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2219" w14:textId="77777777" w:rsidR="001967F4" w:rsidRPr="003F237C" w:rsidRDefault="001967F4">
      <w:pPr>
        <w:pStyle w:val="Title"/>
        <w:spacing w:after="240"/>
        <w:rPr>
          <w:rFonts w:cs="Arial"/>
          <w:sz w:val="22"/>
          <w:szCs w:val="22"/>
          <w:lang w:val="en-GB"/>
        </w:rPr>
      </w:pPr>
      <w:r w:rsidRPr="003F237C">
        <w:rPr>
          <w:rFonts w:cs="Arial"/>
          <w:sz w:val="22"/>
          <w:szCs w:val="22"/>
          <w:lang w:val="en-GB"/>
        </w:rPr>
        <w:t>NATIONAL INSTITUTE FOR</w:t>
      </w:r>
      <w:r w:rsidR="00DF1722" w:rsidRPr="003F237C">
        <w:rPr>
          <w:rFonts w:cs="Arial"/>
          <w:sz w:val="22"/>
          <w:szCs w:val="22"/>
          <w:lang w:val="en-GB"/>
        </w:rPr>
        <w:t xml:space="preserve"> HEALTH AND</w:t>
      </w:r>
      <w:r w:rsidR="00D345BC" w:rsidRPr="003F237C">
        <w:rPr>
          <w:rFonts w:cs="Arial"/>
          <w:sz w:val="22"/>
          <w:szCs w:val="22"/>
          <w:lang w:val="en-GB"/>
        </w:rPr>
        <w:t xml:space="preserve"> CARE</w:t>
      </w:r>
      <w:r w:rsidRPr="003F237C">
        <w:rPr>
          <w:rFonts w:cs="Arial"/>
          <w:sz w:val="22"/>
          <w:szCs w:val="22"/>
          <w:lang w:val="en-GB"/>
        </w:rPr>
        <w:t xml:space="preserve"> EXCELLENCE</w:t>
      </w:r>
    </w:p>
    <w:p w14:paraId="5FBEEE33" w14:textId="77777777" w:rsidR="001967F4" w:rsidRPr="003F237C" w:rsidRDefault="005570C8">
      <w:pPr>
        <w:pStyle w:val="Title"/>
        <w:spacing w:after="240"/>
        <w:rPr>
          <w:rFonts w:cs="Arial"/>
          <w:sz w:val="22"/>
          <w:szCs w:val="22"/>
          <w:lang w:val="en-GB"/>
        </w:rPr>
      </w:pPr>
      <w:r w:rsidRPr="003F237C">
        <w:rPr>
          <w:rFonts w:cs="Arial"/>
          <w:sz w:val="22"/>
          <w:szCs w:val="22"/>
          <w:lang w:val="en-GB"/>
        </w:rPr>
        <w:t>Health Technology Evaluation</w:t>
      </w:r>
    </w:p>
    <w:p w14:paraId="17CBE5B6" w14:textId="2352FC2E" w:rsidR="007E03B6" w:rsidRDefault="007E03B6">
      <w:pPr>
        <w:spacing w:after="240"/>
        <w:jc w:val="center"/>
        <w:rPr>
          <w:rFonts w:cs="Arial"/>
          <w:b/>
          <w:bCs/>
          <w:sz w:val="22"/>
          <w:szCs w:val="22"/>
        </w:rPr>
      </w:pPr>
      <w:r w:rsidRPr="007E03B6">
        <w:rPr>
          <w:rFonts w:cs="Arial"/>
          <w:b/>
          <w:bCs/>
          <w:sz w:val="22"/>
          <w:szCs w:val="22"/>
        </w:rPr>
        <w:t xml:space="preserve">Elinzanetant for treating </w:t>
      </w:r>
      <w:r w:rsidR="00C43D86" w:rsidRPr="00BF05D1">
        <w:rPr>
          <w:rFonts w:cs="Arial"/>
          <w:b/>
          <w:bCs/>
          <w:sz w:val="22"/>
          <w:szCs w:val="22"/>
        </w:rPr>
        <w:t xml:space="preserve">moderate to severe </w:t>
      </w:r>
      <w:r w:rsidRPr="007E03B6">
        <w:rPr>
          <w:rFonts w:cs="Arial"/>
          <w:b/>
          <w:bCs/>
          <w:sz w:val="22"/>
          <w:szCs w:val="22"/>
        </w:rPr>
        <w:t>vasomotor symptoms associated with menopause</w:t>
      </w:r>
    </w:p>
    <w:p w14:paraId="32D9750F" w14:textId="7E582D39" w:rsidR="001967F4" w:rsidRPr="003F237C" w:rsidRDefault="001967F4">
      <w:pPr>
        <w:spacing w:after="240"/>
        <w:jc w:val="center"/>
        <w:rPr>
          <w:rFonts w:cs="Arial"/>
          <w:b/>
          <w:bCs/>
          <w:i/>
          <w:iCs/>
          <w:sz w:val="22"/>
          <w:szCs w:val="22"/>
        </w:rPr>
      </w:pPr>
      <w:r w:rsidRPr="003F237C">
        <w:rPr>
          <w:rFonts w:cs="Arial"/>
          <w:b/>
          <w:bCs/>
          <w:sz w:val="22"/>
          <w:szCs w:val="22"/>
        </w:rPr>
        <w:t>Draft scope</w:t>
      </w:r>
    </w:p>
    <w:p w14:paraId="5B6C9D6F" w14:textId="77777777" w:rsidR="001967F4" w:rsidRPr="003F237C" w:rsidRDefault="001967F4" w:rsidP="00DC68B6">
      <w:pPr>
        <w:pStyle w:val="Heading1"/>
        <w:rPr>
          <w:rFonts w:cs="Arial"/>
          <w:sz w:val="22"/>
          <w:szCs w:val="22"/>
          <w:lang w:val="en-GB"/>
        </w:rPr>
      </w:pPr>
      <w:r w:rsidRPr="003F237C">
        <w:rPr>
          <w:rFonts w:cs="Arial"/>
          <w:sz w:val="22"/>
          <w:szCs w:val="22"/>
          <w:lang w:val="en-GB"/>
        </w:rPr>
        <w:t>Draft remit/</w:t>
      </w:r>
      <w:r w:rsidR="00620044" w:rsidRPr="003F237C">
        <w:rPr>
          <w:rFonts w:cs="Arial"/>
          <w:sz w:val="22"/>
          <w:szCs w:val="22"/>
          <w:lang w:val="en-GB"/>
        </w:rPr>
        <w:t xml:space="preserve">evaluation </w:t>
      </w:r>
      <w:r w:rsidRPr="003F237C">
        <w:rPr>
          <w:rFonts w:cs="Arial"/>
          <w:sz w:val="22"/>
          <w:szCs w:val="22"/>
          <w:lang w:val="en-GB"/>
        </w:rPr>
        <w:t>objective</w:t>
      </w:r>
    </w:p>
    <w:p w14:paraId="3D878FDB" w14:textId="77777777" w:rsidR="003B48AE" w:rsidRDefault="00E9238E" w:rsidP="003B48AE">
      <w:pPr>
        <w:pStyle w:val="Title"/>
        <w:spacing w:after="240"/>
        <w:jc w:val="left"/>
        <w:rPr>
          <w:rFonts w:cs="Arial"/>
          <w:b w:val="0"/>
          <w:sz w:val="22"/>
          <w:szCs w:val="22"/>
          <w:lang w:val="en-GB"/>
        </w:rPr>
      </w:pPr>
      <w:bookmarkStart w:id="0" w:name="_Hlk43898444"/>
      <w:r w:rsidRPr="003F237C">
        <w:rPr>
          <w:rFonts w:cs="Arial"/>
          <w:b w:val="0"/>
          <w:sz w:val="22"/>
          <w:szCs w:val="22"/>
          <w:lang w:val="en-GB"/>
        </w:rPr>
        <w:t xml:space="preserve">To appraise the clinical and cost effectiveness of </w:t>
      </w:r>
      <w:bookmarkEnd w:id="0"/>
      <w:r w:rsidR="00052A77">
        <w:rPr>
          <w:rFonts w:cs="Arial"/>
          <w:b w:val="0"/>
          <w:sz w:val="22"/>
          <w:szCs w:val="22"/>
          <w:lang w:val="en-GB"/>
        </w:rPr>
        <w:t>e</w:t>
      </w:r>
      <w:r w:rsidR="00052A77" w:rsidRPr="00052A77">
        <w:rPr>
          <w:rFonts w:cs="Arial"/>
          <w:b w:val="0"/>
          <w:sz w:val="22"/>
          <w:szCs w:val="22"/>
          <w:lang w:val="en-GB"/>
        </w:rPr>
        <w:t>linzanetant</w:t>
      </w:r>
      <w:r w:rsidRPr="003F237C">
        <w:rPr>
          <w:rFonts w:cs="Arial"/>
          <w:b w:val="0"/>
          <w:sz w:val="22"/>
          <w:szCs w:val="22"/>
          <w:lang w:val="en-GB"/>
        </w:rPr>
        <w:t xml:space="preserve"> within its </w:t>
      </w:r>
      <w:r w:rsidR="00BC25DC" w:rsidRPr="003F237C">
        <w:rPr>
          <w:rFonts w:cs="Arial"/>
          <w:b w:val="0"/>
          <w:sz w:val="22"/>
          <w:szCs w:val="22"/>
          <w:lang w:val="en-GB"/>
        </w:rPr>
        <w:t xml:space="preserve">marketing </w:t>
      </w:r>
      <w:r w:rsidR="00774F1E" w:rsidRPr="003F237C">
        <w:rPr>
          <w:rFonts w:cs="Arial"/>
          <w:b w:val="0"/>
          <w:sz w:val="22"/>
          <w:szCs w:val="22"/>
          <w:lang w:val="en-GB"/>
        </w:rPr>
        <w:t>authorisation</w:t>
      </w:r>
      <w:r w:rsidRPr="003F237C">
        <w:rPr>
          <w:rFonts w:cs="Arial"/>
          <w:b w:val="0"/>
          <w:sz w:val="22"/>
          <w:szCs w:val="22"/>
          <w:lang w:val="en-GB"/>
        </w:rPr>
        <w:t xml:space="preserve"> for </w:t>
      </w:r>
      <w:bookmarkStart w:id="1" w:name="_Hlk43898945"/>
      <w:r w:rsidR="00976E6C" w:rsidRPr="00976E6C">
        <w:rPr>
          <w:rFonts w:cs="Arial"/>
          <w:b w:val="0"/>
          <w:sz w:val="22"/>
          <w:szCs w:val="22"/>
          <w:lang w:val="en-GB"/>
        </w:rPr>
        <w:t>treating moderate to severe vasomotor symptoms associated with menopause</w:t>
      </w:r>
      <w:r w:rsidR="00B024D4" w:rsidRPr="003F237C">
        <w:rPr>
          <w:rFonts w:cs="Arial"/>
          <w:b w:val="0"/>
          <w:sz w:val="22"/>
          <w:szCs w:val="22"/>
          <w:lang w:val="en-GB"/>
        </w:rPr>
        <w:t>.</w:t>
      </w:r>
      <w:bookmarkEnd w:id="1"/>
    </w:p>
    <w:p w14:paraId="72C5B261" w14:textId="1372FE04" w:rsidR="000F549C" w:rsidRPr="003F237C" w:rsidRDefault="008252AD" w:rsidP="003B48AE">
      <w:pPr>
        <w:pStyle w:val="Title"/>
        <w:spacing w:after="240"/>
        <w:jc w:val="left"/>
      </w:pPr>
      <w:r w:rsidRPr="003F237C">
        <w:t>Background</w:t>
      </w:r>
    </w:p>
    <w:p w14:paraId="6F8C286C" w14:textId="2900E9D3" w:rsidR="00B07E8B" w:rsidRDefault="00F55B31" w:rsidP="00B07E8B">
      <w:pPr>
        <w:pStyle w:val="BodyText"/>
        <w:rPr>
          <w:rFonts w:cs="Arial"/>
          <w:sz w:val="22"/>
          <w:szCs w:val="22"/>
          <w:lang w:val="en-GB"/>
        </w:rPr>
      </w:pPr>
      <w:bookmarkStart w:id="2" w:name="Text71"/>
      <w:bookmarkStart w:id="3" w:name="Text72"/>
      <w:r>
        <w:rPr>
          <w:rFonts w:cs="Arial"/>
          <w:sz w:val="22"/>
          <w:szCs w:val="22"/>
        </w:rPr>
        <w:t>M</w:t>
      </w:r>
      <w:r w:rsidR="00B07E8B" w:rsidRPr="002E1607">
        <w:rPr>
          <w:rFonts w:cs="Arial"/>
          <w:sz w:val="22"/>
          <w:szCs w:val="22"/>
        </w:rPr>
        <w:t xml:space="preserve">enopause </w:t>
      </w:r>
      <w:r w:rsidR="00B07E8B">
        <w:rPr>
          <w:rFonts w:cs="Arial"/>
          <w:sz w:val="22"/>
          <w:szCs w:val="22"/>
          <w:lang w:val="en-GB"/>
        </w:rPr>
        <w:t>occurs</w:t>
      </w:r>
      <w:r w:rsidR="00B07E8B" w:rsidRPr="002E1607">
        <w:rPr>
          <w:rFonts w:cs="Arial"/>
          <w:sz w:val="22"/>
          <w:szCs w:val="22"/>
        </w:rPr>
        <w:t xml:space="preserve"> when </w:t>
      </w:r>
      <w:r w:rsidR="00B07E8B">
        <w:rPr>
          <w:rFonts w:cs="Arial"/>
          <w:sz w:val="22"/>
          <w:szCs w:val="22"/>
          <w:lang w:val="en-GB"/>
        </w:rPr>
        <w:t>menstruation stops</w:t>
      </w:r>
      <w:r w:rsidR="00B07E8B" w:rsidRPr="002E1607">
        <w:rPr>
          <w:rFonts w:cs="Arial"/>
          <w:sz w:val="22"/>
          <w:szCs w:val="22"/>
        </w:rPr>
        <w:t xml:space="preserve"> and </w:t>
      </w:r>
      <w:r w:rsidR="00B07E8B" w:rsidRPr="008175F6">
        <w:rPr>
          <w:rFonts w:cs="Arial"/>
          <w:sz w:val="22"/>
          <w:szCs w:val="22"/>
        </w:rPr>
        <w:t>the end of natural reproductive life is reached</w:t>
      </w:r>
      <w:r w:rsidR="00B07E8B">
        <w:rPr>
          <w:rFonts w:cs="Arial"/>
          <w:sz w:val="22"/>
          <w:szCs w:val="22"/>
          <w:lang w:val="en-GB"/>
        </w:rPr>
        <w:t>. U</w:t>
      </w:r>
      <w:r w:rsidR="00B07E8B" w:rsidRPr="008175F6">
        <w:rPr>
          <w:rFonts w:cs="Arial"/>
          <w:sz w:val="22"/>
          <w:szCs w:val="22"/>
          <w:lang w:val="en-GB"/>
        </w:rPr>
        <w:t>sually</w:t>
      </w:r>
      <w:r w:rsidR="00B07E8B">
        <w:rPr>
          <w:rFonts w:cs="Arial"/>
          <w:sz w:val="22"/>
          <w:szCs w:val="22"/>
          <w:lang w:val="en-GB"/>
        </w:rPr>
        <w:t>,</w:t>
      </w:r>
      <w:r w:rsidR="00B07E8B" w:rsidRPr="008175F6">
        <w:rPr>
          <w:rFonts w:cs="Arial"/>
          <w:sz w:val="22"/>
          <w:szCs w:val="22"/>
          <w:lang w:val="en-GB"/>
        </w:rPr>
        <w:t xml:space="preserve"> it is defined as having occurred</w:t>
      </w:r>
      <w:r w:rsidR="00B07E8B">
        <w:rPr>
          <w:rFonts w:cs="Arial"/>
          <w:sz w:val="22"/>
          <w:szCs w:val="22"/>
          <w:lang w:val="en-GB"/>
        </w:rPr>
        <w:t xml:space="preserve"> when</w:t>
      </w:r>
      <w:r w:rsidR="00B07E8B" w:rsidRPr="008175F6">
        <w:rPr>
          <w:rFonts w:cs="Arial"/>
          <w:sz w:val="22"/>
          <w:szCs w:val="22"/>
          <w:lang w:val="en-GB"/>
        </w:rPr>
        <w:t xml:space="preserve"> there has been no naturally occurring period for 12 consecutive months. </w:t>
      </w:r>
      <w:r w:rsidR="002B0EC1">
        <w:rPr>
          <w:rFonts w:cs="Arial"/>
          <w:sz w:val="22"/>
          <w:szCs w:val="22"/>
          <w:lang w:val="en-GB"/>
        </w:rPr>
        <w:t>Perimenopause</w:t>
      </w:r>
      <w:r w:rsidR="004649B4" w:rsidRPr="004649B4">
        <w:rPr>
          <w:rFonts w:cs="Arial"/>
          <w:sz w:val="22"/>
          <w:szCs w:val="22"/>
          <w:lang w:val="en-GB"/>
        </w:rPr>
        <w:t xml:space="preserve"> is the phase leading up to menopause.</w:t>
      </w:r>
      <w:r w:rsidR="002B0EC1">
        <w:rPr>
          <w:rFonts w:cs="Arial"/>
          <w:sz w:val="22"/>
          <w:szCs w:val="22"/>
          <w:lang w:val="en-GB"/>
        </w:rPr>
        <w:t xml:space="preserve"> </w:t>
      </w:r>
      <w:r w:rsidR="00A12B16">
        <w:rPr>
          <w:rFonts w:cs="Arial"/>
          <w:sz w:val="22"/>
          <w:szCs w:val="22"/>
          <w:lang w:val="en-GB"/>
        </w:rPr>
        <w:t>It</w:t>
      </w:r>
      <w:r w:rsidR="002B0EC1">
        <w:rPr>
          <w:rFonts w:cs="Arial"/>
          <w:sz w:val="22"/>
          <w:szCs w:val="22"/>
          <w:lang w:val="en-GB"/>
        </w:rPr>
        <w:t xml:space="preserve"> starts when symptoms of menopause appear and continues until 1 year after the last period. </w:t>
      </w:r>
      <w:r w:rsidR="00DF7958">
        <w:rPr>
          <w:rFonts w:cs="Arial"/>
          <w:sz w:val="22"/>
          <w:szCs w:val="22"/>
          <w:lang w:val="en-GB"/>
        </w:rPr>
        <w:t>Menopause</w:t>
      </w:r>
      <w:r w:rsidR="00B07E8B" w:rsidRPr="008D26F3">
        <w:rPr>
          <w:rFonts w:cs="Arial"/>
          <w:sz w:val="22"/>
          <w:szCs w:val="22"/>
          <w:lang w:val="en-GB"/>
        </w:rPr>
        <w:t xml:space="preserve"> is a natural part of ageing</w:t>
      </w:r>
      <w:r w:rsidR="00B07E8B">
        <w:rPr>
          <w:rFonts w:cs="Arial"/>
          <w:sz w:val="22"/>
          <w:szCs w:val="22"/>
          <w:lang w:val="en-GB"/>
        </w:rPr>
        <w:t xml:space="preserve">. </w:t>
      </w:r>
      <w:r w:rsidR="00B07E8B" w:rsidRPr="003972CE">
        <w:rPr>
          <w:rFonts w:cs="Arial"/>
          <w:sz w:val="22"/>
          <w:szCs w:val="22"/>
          <w:lang w:val="en-GB"/>
        </w:rPr>
        <w:t>Changes associated with menopause occur when the ovaries stop maturing eggs and secreting oestrogen and progesterone</w:t>
      </w:r>
      <w:r w:rsidR="00B07E8B">
        <w:rPr>
          <w:rFonts w:cs="Arial"/>
          <w:sz w:val="22"/>
          <w:szCs w:val="22"/>
          <w:lang w:val="en-GB"/>
        </w:rPr>
        <w:t>.</w:t>
      </w:r>
      <w:r w:rsidR="00B07E8B" w:rsidRPr="008D26F3">
        <w:rPr>
          <w:rFonts w:cs="Arial"/>
          <w:sz w:val="22"/>
          <w:szCs w:val="22"/>
          <w:lang w:val="en-GB"/>
        </w:rPr>
        <w:t xml:space="preserve"> </w:t>
      </w:r>
      <w:r w:rsidR="00B07E8B">
        <w:rPr>
          <w:rFonts w:cs="Arial"/>
          <w:sz w:val="22"/>
          <w:szCs w:val="22"/>
          <w:lang w:val="en-GB"/>
        </w:rPr>
        <w:t xml:space="preserve">The experience of symptoms varies (length and severity) but most people will have some vasomotor symptoms. Vasomotor symptoms include </w:t>
      </w:r>
      <w:r w:rsidR="00B07E8B" w:rsidRPr="003972CE">
        <w:rPr>
          <w:rFonts w:cs="Arial"/>
          <w:sz w:val="22"/>
          <w:szCs w:val="22"/>
          <w:lang w:val="en-GB"/>
        </w:rPr>
        <w:t>hot flushes and night sweats caused by constriction and dilatation of blood vessels in the skin that can lead to a sudden increase in blood flow to allow heat loss</w:t>
      </w:r>
      <w:r w:rsidR="00B07E8B">
        <w:rPr>
          <w:rFonts w:cs="Arial"/>
          <w:sz w:val="22"/>
          <w:szCs w:val="22"/>
          <w:lang w:val="en-GB"/>
        </w:rPr>
        <w:t>. Vasomotor</w:t>
      </w:r>
      <w:r w:rsidR="00B07E8B" w:rsidRPr="005776F4">
        <w:rPr>
          <w:rFonts w:cs="Arial"/>
          <w:sz w:val="22"/>
          <w:szCs w:val="22"/>
          <w:lang w:val="en-GB"/>
        </w:rPr>
        <w:t xml:space="preserve"> symptoms </w:t>
      </w:r>
      <w:r w:rsidR="00B07E8B">
        <w:rPr>
          <w:rFonts w:cs="Arial"/>
          <w:sz w:val="22"/>
          <w:szCs w:val="22"/>
          <w:lang w:val="en-GB"/>
        </w:rPr>
        <w:t xml:space="preserve">can have a significant impact on a person’s life and </w:t>
      </w:r>
      <w:r w:rsidR="00B07E8B" w:rsidRPr="005776F4">
        <w:rPr>
          <w:rFonts w:cs="Arial"/>
          <w:sz w:val="22"/>
          <w:szCs w:val="22"/>
          <w:lang w:val="en-GB"/>
        </w:rPr>
        <w:t>have been linked to problems with sleep, quality of life and</w:t>
      </w:r>
      <w:r w:rsidR="00B07E8B">
        <w:rPr>
          <w:rFonts w:cs="Arial"/>
          <w:sz w:val="22"/>
          <w:szCs w:val="22"/>
          <w:lang w:val="en-GB"/>
        </w:rPr>
        <w:t xml:space="preserve"> </w:t>
      </w:r>
      <w:r w:rsidR="00B07E8B" w:rsidRPr="003237FB">
        <w:rPr>
          <w:rFonts w:cs="Arial"/>
          <w:sz w:val="22"/>
          <w:szCs w:val="22"/>
          <w:lang w:val="en-GB"/>
        </w:rPr>
        <w:t>low moods and anxiety that occur with menopause</w:t>
      </w:r>
      <w:r w:rsidR="00B07E8B">
        <w:rPr>
          <w:rFonts w:cs="Arial"/>
          <w:sz w:val="22"/>
          <w:szCs w:val="22"/>
          <w:lang w:val="en-GB"/>
        </w:rPr>
        <w:t xml:space="preserve">. </w:t>
      </w:r>
      <w:bookmarkEnd w:id="3"/>
    </w:p>
    <w:p w14:paraId="6EF7B184" w14:textId="1ED88877" w:rsidR="00B07E8B" w:rsidRDefault="00B07E8B" w:rsidP="00B07E8B">
      <w:pPr>
        <w:pStyle w:val="BodyText"/>
        <w:rPr>
          <w:sz w:val="22"/>
          <w:szCs w:val="22"/>
        </w:rPr>
      </w:pPr>
      <w:r>
        <w:rPr>
          <w:rFonts w:cs="Arial"/>
          <w:sz w:val="22"/>
          <w:szCs w:val="22"/>
          <w:lang w:val="en-GB"/>
        </w:rPr>
        <w:t>Menopause usually occurs between age 45 and 55 with an average age of</w:t>
      </w:r>
      <w:r w:rsidRPr="0072373B">
        <w:rPr>
          <w:rFonts w:cs="Arial"/>
          <w:sz w:val="22"/>
          <w:szCs w:val="22"/>
          <w:lang w:val="en-GB"/>
        </w:rPr>
        <w:t xml:space="preserve"> 51 years</w:t>
      </w:r>
      <w:r>
        <w:rPr>
          <w:rFonts w:cs="Arial"/>
          <w:sz w:val="22"/>
          <w:szCs w:val="22"/>
          <w:lang w:val="en-GB"/>
        </w:rPr>
        <w:t xml:space="preserve">. </w:t>
      </w:r>
      <w:r w:rsidR="00B261D9" w:rsidRPr="00B261D9">
        <w:t xml:space="preserve"> </w:t>
      </w:r>
      <w:r w:rsidR="00B261D9">
        <w:rPr>
          <w:rFonts w:cs="Arial"/>
          <w:sz w:val="22"/>
          <w:szCs w:val="22"/>
          <w:lang w:val="en-GB"/>
        </w:rPr>
        <w:t>M</w:t>
      </w:r>
      <w:r w:rsidR="00B261D9" w:rsidRPr="00B261D9">
        <w:rPr>
          <w:rFonts w:cs="Arial"/>
          <w:sz w:val="22"/>
          <w:szCs w:val="22"/>
          <w:lang w:val="en-GB"/>
        </w:rPr>
        <w:t>oderate to severe vasomotor symptoms were reported by 24% of women aged 50 to 54 years</w:t>
      </w:r>
      <w:r w:rsidR="00356E97">
        <w:rPr>
          <w:rFonts w:cs="Arial"/>
          <w:sz w:val="22"/>
          <w:szCs w:val="22"/>
          <w:lang w:val="en-GB"/>
        </w:rPr>
        <w:t xml:space="preserve"> in a long term study</w:t>
      </w:r>
      <w:r w:rsidR="007D4865">
        <w:rPr>
          <w:rFonts w:cs="Arial"/>
          <w:sz w:val="22"/>
          <w:szCs w:val="22"/>
          <w:lang w:val="en-GB"/>
        </w:rPr>
        <w:t>,</w:t>
      </w:r>
      <w:r w:rsidRPr="003972CE">
        <w:rPr>
          <w:rFonts w:cs="Arial"/>
          <w:sz w:val="22"/>
          <w:szCs w:val="22"/>
          <w:lang w:val="en-GB"/>
        </w:rPr>
        <w:t xml:space="preserve"> and prevalence decrease</w:t>
      </w:r>
      <w:r w:rsidR="00356E97">
        <w:rPr>
          <w:rFonts w:cs="Arial"/>
          <w:sz w:val="22"/>
          <w:szCs w:val="22"/>
          <w:lang w:val="en-GB"/>
        </w:rPr>
        <w:t>d</w:t>
      </w:r>
      <w:r w:rsidRPr="003972CE">
        <w:rPr>
          <w:rFonts w:cs="Arial"/>
          <w:sz w:val="22"/>
          <w:szCs w:val="22"/>
          <w:lang w:val="en-GB"/>
        </w:rPr>
        <w:t xml:space="preserve"> </w:t>
      </w:r>
      <w:r>
        <w:rPr>
          <w:rFonts w:cs="Arial"/>
          <w:sz w:val="22"/>
          <w:szCs w:val="22"/>
          <w:lang w:val="en-GB"/>
        </w:rPr>
        <w:t xml:space="preserve">with age </w:t>
      </w:r>
      <w:r>
        <w:rPr>
          <w:sz w:val="22"/>
          <w:szCs w:val="22"/>
          <w:lang w:val="en-GB"/>
        </w:rPr>
        <w:t>to 15% at age 55 to 59, 6% at age 60-69 and only 3% at over 70</w:t>
      </w:r>
      <w:r w:rsidR="007D4865">
        <w:rPr>
          <w:sz w:val="22"/>
          <w:szCs w:val="22"/>
          <w:lang w:val="en-GB"/>
        </w:rPr>
        <w:t>.</w:t>
      </w:r>
      <w:r w:rsidR="00B261D9">
        <w:rPr>
          <w:sz w:val="22"/>
          <w:szCs w:val="22"/>
          <w:vertAlign w:val="superscript"/>
          <w:lang w:val="en-GB"/>
        </w:rPr>
        <w:t>1</w:t>
      </w:r>
      <w:r w:rsidRPr="00373CE7">
        <w:rPr>
          <w:sz w:val="22"/>
          <w:szCs w:val="22"/>
        </w:rPr>
        <w:t xml:space="preserve"> However, medical intervention </w:t>
      </w:r>
      <w:r>
        <w:rPr>
          <w:sz w:val="22"/>
          <w:szCs w:val="22"/>
          <w:lang w:val="en-GB"/>
        </w:rPr>
        <w:t xml:space="preserve">is often not sought </w:t>
      </w:r>
      <w:r w:rsidRPr="00373CE7">
        <w:rPr>
          <w:sz w:val="22"/>
          <w:szCs w:val="22"/>
        </w:rPr>
        <w:t xml:space="preserve">so the true </w:t>
      </w:r>
      <w:r>
        <w:rPr>
          <w:sz w:val="22"/>
          <w:szCs w:val="22"/>
          <w:lang w:val="en-GB"/>
        </w:rPr>
        <w:t xml:space="preserve">prevalence of vasomotor symptoms may </w:t>
      </w:r>
      <w:r w:rsidRPr="00373CE7">
        <w:rPr>
          <w:sz w:val="22"/>
          <w:szCs w:val="22"/>
        </w:rPr>
        <w:t>be much higher, with studies showing</w:t>
      </w:r>
      <w:r>
        <w:rPr>
          <w:sz w:val="22"/>
          <w:szCs w:val="22"/>
          <w:lang w:val="en-GB"/>
        </w:rPr>
        <w:t xml:space="preserve"> that</w:t>
      </w:r>
      <w:r w:rsidRPr="00373CE7">
        <w:rPr>
          <w:sz w:val="22"/>
          <w:szCs w:val="22"/>
        </w:rPr>
        <w:t xml:space="preserve"> up to 80% </w:t>
      </w:r>
      <w:r w:rsidR="0016651C">
        <w:rPr>
          <w:sz w:val="22"/>
          <w:szCs w:val="22"/>
        </w:rPr>
        <w:t xml:space="preserve">of </w:t>
      </w:r>
      <w:r w:rsidR="008C3C1A">
        <w:rPr>
          <w:sz w:val="22"/>
          <w:szCs w:val="22"/>
        </w:rPr>
        <w:t xml:space="preserve">people </w:t>
      </w:r>
      <w:r>
        <w:rPr>
          <w:sz w:val="22"/>
          <w:szCs w:val="22"/>
          <w:lang w:val="en-GB"/>
        </w:rPr>
        <w:t xml:space="preserve">may experience </w:t>
      </w:r>
      <w:r w:rsidRPr="00373CE7">
        <w:rPr>
          <w:sz w:val="22"/>
          <w:szCs w:val="22"/>
        </w:rPr>
        <w:t>vasomotor symptoms</w:t>
      </w:r>
      <w:r>
        <w:rPr>
          <w:sz w:val="22"/>
          <w:szCs w:val="22"/>
          <w:lang w:val="en-GB"/>
        </w:rPr>
        <w:t xml:space="preserve"> as part of menopause</w:t>
      </w:r>
      <w:r w:rsidR="007D4865">
        <w:rPr>
          <w:sz w:val="22"/>
          <w:szCs w:val="22"/>
          <w:lang w:val="en-GB"/>
        </w:rPr>
        <w:t>.</w:t>
      </w:r>
      <w:r w:rsidR="007D4865">
        <w:rPr>
          <w:sz w:val="22"/>
          <w:szCs w:val="22"/>
          <w:vertAlign w:val="superscript"/>
          <w:lang w:val="en-GB"/>
        </w:rPr>
        <w:t>2</w:t>
      </w:r>
      <w:bookmarkEnd w:id="2"/>
    </w:p>
    <w:p w14:paraId="57188753" w14:textId="1CB39216" w:rsidR="001B4DA0" w:rsidRDefault="00B07E8B" w:rsidP="00B07E8B">
      <w:pPr>
        <w:pStyle w:val="BodyText"/>
        <w:rPr>
          <w:rFonts w:cs="Arial"/>
          <w:sz w:val="22"/>
          <w:szCs w:val="22"/>
          <w:lang w:val="en-GB"/>
        </w:rPr>
      </w:pPr>
      <w:r>
        <w:rPr>
          <w:rFonts w:cs="Arial"/>
          <w:sz w:val="22"/>
          <w:szCs w:val="22"/>
          <w:lang w:val="en-GB"/>
        </w:rPr>
        <w:t xml:space="preserve">Hormone replacement therapy (HRT) is the main treatment option for vasomotor symptoms in menopause. </w:t>
      </w:r>
      <w:r w:rsidR="000901F1">
        <w:rPr>
          <w:rFonts w:cs="Arial"/>
          <w:sz w:val="22"/>
          <w:szCs w:val="22"/>
          <w:lang w:val="en-GB"/>
        </w:rPr>
        <w:t xml:space="preserve">However, </w:t>
      </w:r>
      <w:r w:rsidR="00830880" w:rsidRPr="00830880">
        <w:rPr>
          <w:rFonts w:cs="Arial"/>
          <w:sz w:val="22"/>
          <w:szCs w:val="22"/>
          <w:lang w:val="en-GB"/>
        </w:rPr>
        <w:t xml:space="preserve">HRT may be unsuitable for </w:t>
      </w:r>
      <w:r w:rsidR="000901F1">
        <w:rPr>
          <w:rFonts w:cs="Arial"/>
          <w:sz w:val="22"/>
          <w:szCs w:val="22"/>
          <w:lang w:val="en-GB"/>
        </w:rPr>
        <w:t xml:space="preserve">some </w:t>
      </w:r>
      <w:r w:rsidR="00830880" w:rsidRPr="00830880">
        <w:rPr>
          <w:rFonts w:cs="Arial"/>
          <w:sz w:val="22"/>
          <w:szCs w:val="22"/>
          <w:lang w:val="en-GB"/>
        </w:rPr>
        <w:t>people</w:t>
      </w:r>
      <w:r w:rsidR="000901F1">
        <w:rPr>
          <w:rFonts w:cs="Arial"/>
          <w:sz w:val="22"/>
          <w:szCs w:val="22"/>
          <w:lang w:val="en-GB"/>
        </w:rPr>
        <w:t xml:space="preserve">, including those with </w:t>
      </w:r>
      <w:r w:rsidR="00830880" w:rsidRPr="00830880">
        <w:rPr>
          <w:rFonts w:cs="Arial"/>
          <w:sz w:val="22"/>
          <w:szCs w:val="22"/>
          <w:lang w:val="en-GB"/>
        </w:rPr>
        <w:t>hormone-dependent cancers</w:t>
      </w:r>
      <w:r w:rsidR="00830880">
        <w:rPr>
          <w:rFonts w:cs="Arial"/>
          <w:sz w:val="22"/>
          <w:szCs w:val="22"/>
          <w:lang w:val="en-GB"/>
        </w:rPr>
        <w:t xml:space="preserve"> such as </w:t>
      </w:r>
      <w:r w:rsidR="009D7136">
        <w:rPr>
          <w:rFonts w:cs="Arial"/>
          <w:sz w:val="22"/>
          <w:szCs w:val="22"/>
          <w:lang w:val="en-GB"/>
        </w:rPr>
        <w:t>breast cancer</w:t>
      </w:r>
      <w:r w:rsidR="00830880" w:rsidRPr="00830880">
        <w:rPr>
          <w:rFonts w:cs="Arial"/>
          <w:sz w:val="22"/>
          <w:szCs w:val="22"/>
          <w:lang w:val="en-GB"/>
        </w:rPr>
        <w:t xml:space="preserve">, </w:t>
      </w:r>
      <w:r w:rsidR="003D6394">
        <w:rPr>
          <w:rFonts w:cs="Arial"/>
          <w:sz w:val="22"/>
          <w:szCs w:val="22"/>
          <w:lang w:val="en-GB"/>
        </w:rPr>
        <w:t xml:space="preserve">those </w:t>
      </w:r>
      <w:r w:rsidR="003D6394" w:rsidRPr="003D6394">
        <w:rPr>
          <w:rFonts w:cs="Arial"/>
          <w:sz w:val="22"/>
          <w:szCs w:val="22"/>
          <w:lang w:val="en-GB"/>
        </w:rPr>
        <w:t>who have experienced significant side effects</w:t>
      </w:r>
      <w:r w:rsidR="002647C9">
        <w:rPr>
          <w:rFonts w:cs="Arial"/>
          <w:sz w:val="22"/>
          <w:szCs w:val="22"/>
          <w:lang w:val="en-GB"/>
        </w:rPr>
        <w:t xml:space="preserve"> with HRT</w:t>
      </w:r>
      <w:r w:rsidR="00A9333C">
        <w:rPr>
          <w:rFonts w:cs="Arial"/>
          <w:sz w:val="22"/>
          <w:szCs w:val="22"/>
          <w:lang w:val="en-GB"/>
        </w:rPr>
        <w:t>, or</w:t>
      </w:r>
      <w:r w:rsidR="009D7136">
        <w:rPr>
          <w:rFonts w:cs="Arial"/>
          <w:sz w:val="22"/>
          <w:szCs w:val="22"/>
          <w:lang w:val="en-GB"/>
        </w:rPr>
        <w:t xml:space="preserve"> </w:t>
      </w:r>
      <w:r w:rsidR="000F415B">
        <w:rPr>
          <w:rFonts w:cs="Arial"/>
          <w:sz w:val="22"/>
          <w:szCs w:val="22"/>
          <w:lang w:val="en-GB"/>
        </w:rPr>
        <w:t>people</w:t>
      </w:r>
      <w:r w:rsidR="009D7136">
        <w:rPr>
          <w:rFonts w:cs="Arial"/>
          <w:sz w:val="22"/>
          <w:szCs w:val="22"/>
          <w:lang w:val="en-GB"/>
        </w:rPr>
        <w:t xml:space="preserve"> </w:t>
      </w:r>
      <w:r w:rsidR="00A9333C">
        <w:rPr>
          <w:rFonts w:cs="Arial"/>
          <w:sz w:val="22"/>
          <w:szCs w:val="22"/>
          <w:lang w:val="en-GB"/>
        </w:rPr>
        <w:t>who</w:t>
      </w:r>
      <w:r w:rsidR="009D7136">
        <w:rPr>
          <w:rFonts w:cs="Arial"/>
          <w:sz w:val="22"/>
          <w:szCs w:val="22"/>
          <w:lang w:val="en-GB"/>
        </w:rPr>
        <w:t xml:space="preserve"> </w:t>
      </w:r>
      <w:r w:rsidR="00830880" w:rsidRPr="00830880">
        <w:rPr>
          <w:rFonts w:cs="Arial"/>
          <w:sz w:val="22"/>
          <w:szCs w:val="22"/>
          <w:lang w:val="en-GB"/>
        </w:rPr>
        <w:t xml:space="preserve">prefer not to have </w:t>
      </w:r>
      <w:r w:rsidR="005F0556">
        <w:rPr>
          <w:rFonts w:cs="Arial"/>
          <w:sz w:val="22"/>
          <w:szCs w:val="22"/>
          <w:lang w:val="en-GB"/>
        </w:rPr>
        <w:t>HRT</w:t>
      </w:r>
      <w:r w:rsidR="000F415B">
        <w:rPr>
          <w:rFonts w:cs="Arial"/>
          <w:sz w:val="22"/>
          <w:szCs w:val="22"/>
          <w:lang w:val="en-GB"/>
        </w:rPr>
        <w:t>.</w:t>
      </w:r>
    </w:p>
    <w:p w14:paraId="4C33F184" w14:textId="4123B1D6" w:rsidR="00B512F8" w:rsidRDefault="00CC0B4F" w:rsidP="00E60E0D">
      <w:pPr>
        <w:pStyle w:val="BodyText"/>
        <w:rPr>
          <w:rFonts w:cs="Arial"/>
          <w:sz w:val="22"/>
          <w:szCs w:val="22"/>
          <w:lang w:val="en-GB"/>
        </w:rPr>
      </w:pPr>
      <w:r w:rsidRPr="00CC0B4F">
        <w:rPr>
          <w:rFonts w:cs="Arial"/>
          <w:sz w:val="22"/>
          <w:szCs w:val="22"/>
          <w:lang w:val="en-GB"/>
        </w:rPr>
        <w:t>NICE guideline</w:t>
      </w:r>
      <w:r>
        <w:rPr>
          <w:rFonts w:cs="Arial"/>
          <w:sz w:val="22"/>
          <w:szCs w:val="22"/>
          <w:lang w:val="en-GB"/>
        </w:rPr>
        <w:t xml:space="preserve"> </w:t>
      </w:r>
      <w:r w:rsidR="0097004E">
        <w:rPr>
          <w:rFonts w:cs="Arial"/>
          <w:sz w:val="22"/>
          <w:szCs w:val="22"/>
          <w:lang w:val="en-GB"/>
        </w:rPr>
        <w:t>‘</w:t>
      </w:r>
      <w:hyperlink r:id="rId11" w:history="1">
        <w:r w:rsidR="001B4DA0" w:rsidRPr="00B5347F">
          <w:rPr>
            <w:rStyle w:val="Hyperlink"/>
            <w:rFonts w:cs="Arial"/>
            <w:sz w:val="22"/>
            <w:szCs w:val="22"/>
            <w:lang w:val="en-GB"/>
          </w:rPr>
          <w:t>Menopause: identification and management (NG23)</w:t>
        </w:r>
        <w:r w:rsidR="0097004E" w:rsidRPr="00B5347F">
          <w:rPr>
            <w:rStyle w:val="Hyperlink"/>
            <w:rFonts w:cs="Arial"/>
            <w:sz w:val="22"/>
            <w:szCs w:val="22"/>
            <w:lang w:val="en-GB"/>
          </w:rPr>
          <w:t>’</w:t>
        </w:r>
      </w:hyperlink>
      <w:r w:rsidR="001B4DA0">
        <w:rPr>
          <w:rFonts w:cs="Arial"/>
          <w:sz w:val="22"/>
          <w:szCs w:val="22"/>
          <w:lang w:val="en-GB"/>
        </w:rPr>
        <w:t xml:space="preserve"> </w:t>
      </w:r>
      <w:r w:rsidR="00074EF3">
        <w:rPr>
          <w:rFonts w:cs="Arial"/>
          <w:sz w:val="22"/>
          <w:szCs w:val="22"/>
          <w:lang w:val="en-GB"/>
        </w:rPr>
        <w:t>includes</w:t>
      </w:r>
      <w:r w:rsidR="00816F89" w:rsidRPr="00816F89">
        <w:rPr>
          <w:rFonts w:cs="Arial"/>
          <w:sz w:val="22"/>
          <w:szCs w:val="22"/>
          <w:lang w:val="en-GB"/>
        </w:rPr>
        <w:t xml:space="preserve"> </w:t>
      </w:r>
      <w:r w:rsidR="009C2019">
        <w:rPr>
          <w:rFonts w:cs="Arial"/>
          <w:sz w:val="22"/>
          <w:szCs w:val="22"/>
          <w:lang w:val="en-GB"/>
        </w:rPr>
        <w:t xml:space="preserve">the following </w:t>
      </w:r>
      <w:r w:rsidR="00B6682C">
        <w:rPr>
          <w:rFonts w:cs="Arial"/>
          <w:sz w:val="22"/>
          <w:szCs w:val="22"/>
          <w:lang w:val="en-GB"/>
        </w:rPr>
        <w:t>options</w:t>
      </w:r>
      <w:r w:rsidR="00816F89" w:rsidRPr="00816F89">
        <w:rPr>
          <w:rFonts w:cs="Arial"/>
          <w:sz w:val="22"/>
          <w:szCs w:val="22"/>
          <w:lang w:val="en-GB"/>
        </w:rPr>
        <w:t xml:space="preserve"> </w:t>
      </w:r>
      <w:r w:rsidR="0028786B">
        <w:rPr>
          <w:rFonts w:cs="Arial"/>
          <w:sz w:val="22"/>
          <w:szCs w:val="22"/>
          <w:lang w:val="en-GB"/>
        </w:rPr>
        <w:t>for</w:t>
      </w:r>
      <w:r w:rsidR="00816F89" w:rsidRPr="00816F89">
        <w:rPr>
          <w:rFonts w:cs="Arial"/>
          <w:sz w:val="22"/>
          <w:szCs w:val="22"/>
          <w:lang w:val="en-GB"/>
        </w:rPr>
        <w:t xml:space="preserve"> people with vasomotor symptoms associated with menopause</w:t>
      </w:r>
      <w:r w:rsidR="00816F89">
        <w:rPr>
          <w:rFonts w:cs="Arial"/>
          <w:sz w:val="22"/>
          <w:szCs w:val="22"/>
          <w:lang w:val="en-GB"/>
        </w:rPr>
        <w:t xml:space="preserve">. </w:t>
      </w:r>
    </w:p>
    <w:p w14:paraId="77B7E54A" w14:textId="77777777" w:rsidR="003274C6" w:rsidRDefault="00156D32" w:rsidP="0028786B">
      <w:pPr>
        <w:pStyle w:val="BodyText"/>
        <w:numPr>
          <w:ilvl w:val="0"/>
          <w:numId w:val="40"/>
        </w:numPr>
        <w:rPr>
          <w:rFonts w:cs="Arial"/>
          <w:sz w:val="22"/>
          <w:szCs w:val="22"/>
          <w:lang w:val="en-GB"/>
        </w:rPr>
      </w:pPr>
      <w:r>
        <w:rPr>
          <w:rFonts w:cs="Arial"/>
          <w:sz w:val="22"/>
          <w:szCs w:val="22"/>
          <w:lang w:val="en-GB"/>
        </w:rPr>
        <w:t xml:space="preserve">Combined </w:t>
      </w:r>
      <w:r w:rsidR="00B01D8C" w:rsidRPr="00B01D8C">
        <w:rPr>
          <w:rFonts w:cs="Arial"/>
          <w:sz w:val="22"/>
          <w:szCs w:val="22"/>
          <w:lang w:val="en-GB"/>
        </w:rPr>
        <w:t xml:space="preserve">HRT with oestrogen and progestogen </w:t>
      </w:r>
      <w:r w:rsidR="00E14EB2">
        <w:rPr>
          <w:rFonts w:cs="Arial"/>
          <w:sz w:val="22"/>
          <w:szCs w:val="22"/>
          <w:lang w:val="en-GB"/>
        </w:rPr>
        <w:t>for</w:t>
      </w:r>
      <w:r w:rsidR="003B6EA6">
        <w:rPr>
          <w:rFonts w:cs="Arial"/>
          <w:sz w:val="22"/>
          <w:szCs w:val="22"/>
          <w:lang w:val="en-GB"/>
        </w:rPr>
        <w:t xml:space="preserve"> people</w:t>
      </w:r>
      <w:r w:rsidR="00B01D8C" w:rsidRPr="00B01D8C">
        <w:rPr>
          <w:rFonts w:cs="Arial"/>
          <w:sz w:val="22"/>
          <w:szCs w:val="22"/>
          <w:lang w:val="en-GB"/>
        </w:rPr>
        <w:t xml:space="preserve"> with a uteru</w:t>
      </w:r>
      <w:r w:rsidR="001A67DC">
        <w:rPr>
          <w:rFonts w:cs="Arial"/>
          <w:sz w:val="22"/>
          <w:szCs w:val="22"/>
          <w:lang w:val="en-GB"/>
        </w:rPr>
        <w:t>s</w:t>
      </w:r>
      <w:r w:rsidR="009D5266">
        <w:rPr>
          <w:rFonts w:cs="Arial"/>
          <w:sz w:val="22"/>
          <w:szCs w:val="22"/>
          <w:lang w:val="en-GB"/>
        </w:rPr>
        <w:t xml:space="preserve">, </w:t>
      </w:r>
      <w:r w:rsidR="00E14EB2">
        <w:rPr>
          <w:rFonts w:cs="Arial"/>
          <w:sz w:val="22"/>
          <w:szCs w:val="22"/>
          <w:lang w:val="en-GB"/>
        </w:rPr>
        <w:t>and</w:t>
      </w:r>
      <w:r w:rsidR="009D5266">
        <w:rPr>
          <w:rFonts w:cs="Arial"/>
          <w:sz w:val="22"/>
          <w:szCs w:val="22"/>
          <w:lang w:val="en-GB"/>
        </w:rPr>
        <w:t xml:space="preserve"> </w:t>
      </w:r>
      <w:r w:rsidR="00B01D8C" w:rsidRPr="00B01D8C">
        <w:rPr>
          <w:rFonts w:cs="Arial"/>
          <w:sz w:val="22"/>
          <w:szCs w:val="22"/>
          <w:lang w:val="en-GB"/>
        </w:rPr>
        <w:t xml:space="preserve">oestrogen alone </w:t>
      </w:r>
      <w:r w:rsidR="00E14EB2">
        <w:rPr>
          <w:rFonts w:cs="Arial"/>
          <w:sz w:val="22"/>
          <w:szCs w:val="22"/>
          <w:lang w:val="en-GB"/>
        </w:rPr>
        <w:t>for</w:t>
      </w:r>
      <w:r w:rsidR="00B01D8C" w:rsidRPr="00B01D8C">
        <w:rPr>
          <w:rFonts w:cs="Arial"/>
          <w:sz w:val="22"/>
          <w:szCs w:val="22"/>
          <w:lang w:val="en-GB"/>
        </w:rPr>
        <w:t xml:space="preserve"> </w:t>
      </w:r>
      <w:r w:rsidR="003B6EA6">
        <w:rPr>
          <w:rFonts w:cs="Arial"/>
          <w:sz w:val="22"/>
          <w:szCs w:val="22"/>
          <w:lang w:val="en-GB"/>
        </w:rPr>
        <w:t xml:space="preserve">people who have had </w:t>
      </w:r>
      <w:r w:rsidR="008E1586" w:rsidRPr="00BE12EE">
        <w:rPr>
          <w:rFonts w:cs="Arial"/>
          <w:sz w:val="22"/>
          <w:szCs w:val="22"/>
          <w:lang w:val="en-GB"/>
        </w:rPr>
        <w:t>a total hysterectomy</w:t>
      </w:r>
      <w:r w:rsidR="00B01D8C">
        <w:rPr>
          <w:rFonts w:cs="Arial"/>
          <w:sz w:val="22"/>
          <w:szCs w:val="22"/>
          <w:lang w:val="en-GB"/>
        </w:rPr>
        <w:t>.</w:t>
      </w:r>
      <w:r>
        <w:rPr>
          <w:rFonts w:cs="Arial"/>
          <w:sz w:val="22"/>
          <w:szCs w:val="22"/>
          <w:lang w:val="en-GB"/>
        </w:rPr>
        <w:t xml:space="preserve"> </w:t>
      </w:r>
    </w:p>
    <w:p w14:paraId="22F35192" w14:textId="2A0E0A8F" w:rsidR="001B4DA0" w:rsidRDefault="00212F81" w:rsidP="0028786B">
      <w:pPr>
        <w:pStyle w:val="BodyText"/>
        <w:numPr>
          <w:ilvl w:val="0"/>
          <w:numId w:val="40"/>
        </w:numPr>
        <w:rPr>
          <w:rFonts w:cs="Arial"/>
          <w:sz w:val="22"/>
          <w:szCs w:val="22"/>
          <w:lang w:val="en-GB"/>
        </w:rPr>
      </w:pPr>
      <w:hyperlink r:id="rId12" w:history="1"/>
      <w:r w:rsidR="009C0664" w:rsidRPr="0028786B">
        <w:rPr>
          <w:rFonts w:cs="Arial"/>
          <w:sz w:val="22"/>
          <w:szCs w:val="22"/>
          <w:lang w:val="en-GB"/>
        </w:rPr>
        <w:t>When</w:t>
      </w:r>
      <w:r w:rsidR="00C96D66" w:rsidRPr="0028786B">
        <w:rPr>
          <w:rFonts w:cs="Arial"/>
          <w:sz w:val="22"/>
          <w:szCs w:val="22"/>
          <w:lang w:val="en-GB"/>
        </w:rPr>
        <w:t xml:space="preserve"> HRT is unsuitable, </w:t>
      </w:r>
      <w:r w:rsidR="00F62C4C" w:rsidRPr="0028786B">
        <w:rPr>
          <w:rFonts w:cs="Arial"/>
          <w:sz w:val="22"/>
          <w:szCs w:val="22"/>
          <w:lang w:val="en-GB"/>
        </w:rPr>
        <w:t>fezolinetant is recommended as an option for treating moderate to severe vasomotor symptoms associated with menopause (</w:t>
      </w:r>
      <w:hyperlink r:id="rId13" w:history="1">
        <w:r w:rsidR="00342BD6" w:rsidRPr="0028786B">
          <w:rPr>
            <w:rStyle w:val="Hyperlink"/>
            <w:rFonts w:cs="Arial"/>
            <w:sz w:val="22"/>
            <w:szCs w:val="22"/>
            <w:lang w:val="en-GB"/>
          </w:rPr>
          <w:t>NICE technology appraisal guidance 1143</w:t>
        </w:r>
      </w:hyperlink>
      <w:r w:rsidR="00F62C4C" w:rsidRPr="0028786B">
        <w:rPr>
          <w:rFonts w:cs="Arial"/>
          <w:sz w:val="22"/>
          <w:szCs w:val="22"/>
          <w:lang w:val="en-GB"/>
        </w:rPr>
        <w:t>).</w:t>
      </w:r>
    </w:p>
    <w:p w14:paraId="539DEC7B" w14:textId="5019DFF2" w:rsidR="00B00AD2" w:rsidRDefault="006B0640" w:rsidP="003B48AE">
      <w:pPr>
        <w:pStyle w:val="BodyText"/>
        <w:numPr>
          <w:ilvl w:val="0"/>
          <w:numId w:val="40"/>
        </w:numPr>
        <w:rPr>
          <w:rFonts w:cs="Arial"/>
          <w:sz w:val="22"/>
          <w:szCs w:val="22"/>
        </w:rPr>
      </w:pPr>
      <w:r>
        <w:rPr>
          <w:rFonts w:cs="Arial"/>
          <w:sz w:val="22"/>
          <w:szCs w:val="22"/>
          <w:lang w:val="en-GB"/>
        </w:rPr>
        <w:lastRenderedPageBreak/>
        <w:t>S</w:t>
      </w:r>
      <w:r w:rsidR="00015085" w:rsidRPr="00015085">
        <w:rPr>
          <w:rFonts w:cs="Arial"/>
          <w:sz w:val="22"/>
          <w:szCs w:val="22"/>
          <w:lang w:val="en-GB"/>
        </w:rPr>
        <w:t xml:space="preserve">elective serotonin reuptake inhibitors (SSRIs), serotonin and norepinephrine reuptake inhibitors (SNRIs) </w:t>
      </w:r>
      <w:r>
        <w:rPr>
          <w:rFonts w:cs="Arial"/>
          <w:sz w:val="22"/>
          <w:szCs w:val="22"/>
          <w:lang w:val="en-GB"/>
        </w:rPr>
        <w:t>and</w:t>
      </w:r>
      <w:r w:rsidR="00015085" w:rsidRPr="00015085">
        <w:rPr>
          <w:rFonts w:cs="Arial"/>
          <w:sz w:val="22"/>
          <w:szCs w:val="22"/>
          <w:lang w:val="en-GB"/>
        </w:rPr>
        <w:t xml:space="preserve"> clonidine</w:t>
      </w:r>
      <w:r>
        <w:rPr>
          <w:rFonts w:cs="Arial"/>
          <w:sz w:val="22"/>
          <w:szCs w:val="22"/>
          <w:lang w:val="en-GB"/>
        </w:rPr>
        <w:t xml:space="preserve"> are further options</w:t>
      </w:r>
      <w:r w:rsidR="0028786B">
        <w:rPr>
          <w:rFonts w:cs="Arial"/>
          <w:sz w:val="22"/>
          <w:szCs w:val="22"/>
          <w:lang w:val="en-GB"/>
        </w:rPr>
        <w:t xml:space="preserve"> for vasomotor symptoms</w:t>
      </w:r>
      <w:r w:rsidR="00ED257C">
        <w:rPr>
          <w:rFonts w:cs="Arial"/>
          <w:sz w:val="22"/>
          <w:szCs w:val="22"/>
          <w:lang w:val="en-GB"/>
        </w:rPr>
        <w:t xml:space="preserve"> but</w:t>
      </w:r>
      <w:r>
        <w:rPr>
          <w:rFonts w:cs="Arial"/>
          <w:sz w:val="22"/>
          <w:szCs w:val="22"/>
          <w:lang w:val="en-GB"/>
        </w:rPr>
        <w:t xml:space="preserve"> should not be used</w:t>
      </w:r>
      <w:r w:rsidR="00015085" w:rsidRPr="00015085">
        <w:rPr>
          <w:rFonts w:cs="Arial"/>
          <w:sz w:val="22"/>
          <w:szCs w:val="22"/>
          <w:lang w:val="en-GB"/>
        </w:rPr>
        <w:t xml:space="preserve"> as first-line treatment for vasomotor symptoms alone</w:t>
      </w:r>
      <w:r w:rsidR="0028786B">
        <w:rPr>
          <w:rFonts w:cs="Arial"/>
          <w:sz w:val="22"/>
          <w:szCs w:val="22"/>
          <w:lang w:val="en-GB"/>
        </w:rPr>
        <w:t>.</w:t>
      </w:r>
    </w:p>
    <w:p w14:paraId="36F531D2" w14:textId="77777777" w:rsidR="00B768BF" w:rsidRPr="003F237C" w:rsidRDefault="005779DB" w:rsidP="005779DB">
      <w:pPr>
        <w:pStyle w:val="Heading1"/>
        <w:rPr>
          <w:rFonts w:cs="Arial"/>
          <w:sz w:val="22"/>
          <w:szCs w:val="22"/>
          <w:lang w:val="en-GB"/>
        </w:rPr>
      </w:pPr>
      <w:r w:rsidRPr="003F237C">
        <w:rPr>
          <w:rFonts w:cs="Arial"/>
          <w:sz w:val="22"/>
          <w:szCs w:val="22"/>
          <w:lang w:val="en-GB"/>
        </w:rPr>
        <w:t>The technology</w:t>
      </w:r>
    </w:p>
    <w:p w14:paraId="21D0FF0E" w14:textId="49276F37" w:rsidR="00FC4DEE" w:rsidRPr="003F237C" w:rsidRDefault="00295A6D" w:rsidP="00DC68B6">
      <w:pPr>
        <w:pStyle w:val="BodyText"/>
        <w:rPr>
          <w:rFonts w:cs="Arial"/>
          <w:sz w:val="22"/>
          <w:szCs w:val="22"/>
          <w:lang w:val="en-GB"/>
        </w:rPr>
      </w:pPr>
      <w:r>
        <w:rPr>
          <w:rFonts w:cs="Arial"/>
          <w:sz w:val="22"/>
          <w:szCs w:val="22"/>
          <w:lang w:val="en-GB"/>
        </w:rPr>
        <w:t>Elinzanetant</w:t>
      </w:r>
      <w:r w:rsidR="00CF6E2F" w:rsidRPr="00CF6E2F">
        <w:rPr>
          <w:rFonts w:cs="Arial"/>
          <w:sz w:val="22"/>
          <w:szCs w:val="22"/>
          <w:lang w:val="en-GB"/>
        </w:rPr>
        <w:t xml:space="preserve"> (</w:t>
      </w:r>
      <w:proofErr w:type="spellStart"/>
      <w:r>
        <w:rPr>
          <w:rFonts w:cs="Arial"/>
          <w:sz w:val="22"/>
          <w:szCs w:val="22"/>
          <w:lang w:val="en-GB"/>
        </w:rPr>
        <w:t>Lynkuet</w:t>
      </w:r>
      <w:proofErr w:type="spellEnd"/>
      <w:r w:rsidR="00016701">
        <w:rPr>
          <w:rFonts w:cs="Arial"/>
          <w:sz w:val="22"/>
          <w:szCs w:val="22"/>
          <w:lang w:val="en-GB"/>
        </w:rPr>
        <w:t>, Bayer</w:t>
      </w:r>
      <w:r w:rsidR="00CF6E2F" w:rsidRPr="00CF6E2F">
        <w:rPr>
          <w:rFonts w:cs="Arial"/>
          <w:sz w:val="22"/>
          <w:szCs w:val="22"/>
          <w:lang w:val="en-GB"/>
        </w:rPr>
        <w:t>) has a marketing authorisation in the UK for treating moderate to severe vasomotor symptoms associated with the menopause.</w:t>
      </w:r>
    </w:p>
    <w:tbl>
      <w:tblPr>
        <w:tblW w:w="8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63"/>
      </w:tblGrid>
      <w:tr w:rsidR="001967F4" w:rsidRPr="003F237C" w14:paraId="661BB4D7" w14:textId="77777777" w:rsidTr="003B48AE">
        <w:trPr>
          <w:cantSplit/>
        </w:trPr>
        <w:tc>
          <w:tcPr>
            <w:tcW w:w="2376" w:type="dxa"/>
            <w:shd w:val="clear" w:color="auto" w:fill="D9D9D9" w:themeFill="background1" w:themeFillShade="D9"/>
          </w:tcPr>
          <w:p w14:paraId="69D58C68" w14:textId="77777777" w:rsidR="001967F4" w:rsidRPr="003F237C" w:rsidRDefault="001967F4">
            <w:pPr>
              <w:spacing w:before="120"/>
              <w:rPr>
                <w:rFonts w:cs="Arial"/>
                <w:b/>
                <w:bCs/>
                <w:sz w:val="22"/>
                <w:szCs w:val="22"/>
              </w:rPr>
            </w:pPr>
            <w:r w:rsidRPr="003F237C">
              <w:rPr>
                <w:rFonts w:cs="Arial"/>
                <w:b/>
                <w:bCs/>
                <w:sz w:val="22"/>
                <w:szCs w:val="22"/>
              </w:rPr>
              <w:t>Intervention(s)</w:t>
            </w:r>
          </w:p>
        </w:tc>
        <w:tc>
          <w:tcPr>
            <w:tcW w:w="6237" w:type="dxa"/>
          </w:tcPr>
          <w:p w14:paraId="40786732" w14:textId="5DAF6E2D" w:rsidR="001967F4" w:rsidRPr="003F237C" w:rsidRDefault="00C62024" w:rsidP="00DC68B6">
            <w:pPr>
              <w:pStyle w:val="BodyText2"/>
              <w:rPr>
                <w:rFonts w:cs="Arial"/>
                <w:sz w:val="22"/>
                <w:szCs w:val="22"/>
                <w:lang w:val="en-GB"/>
              </w:rPr>
            </w:pPr>
            <w:r w:rsidRPr="00C62024">
              <w:rPr>
                <w:rFonts w:cs="Arial"/>
                <w:sz w:val="22"/>
                <w:szCs w:val="22"/>
                <w:lang w:val="en-GB"/>
              </w:rPr>
              <w:t>Elinzanetant</w:t>
            </w:r>
          </w:p>
        </w:tc>
      </w:tr>
      <w:tr w:rsidR="001967F4" w:rsidRPr="003F237C" w14:paraId="5B8C9C4C" w14:textId="77777777" w:rsidTr="003B48AE">
        <w:trPr>
          <w:cantSplit/>
        </w:trPr>
        <w:tc>
          <w:tcPr>
            <w:tcW w:w="2376" w:type="dxa"/>
            <w:shd w:val="clear" w:color="auto" w:fill="D9D9D9" w:themeFill="background1" w:themeFillShade="D9"/>
          </w:tcPr>
          <w:p w14:paraId="4FF5877A" w14:textId="77777777" w:rsidR="001967F4" w:rsidRPr="003F237C" w:rsidRDefault="001967F4">
            <w:pPr>
              <w:pStyle w:val="Header"/>
              <w:tabs>
                <w:tab w:val="clear" w:pos="4153"/>
                <w:tab w:val="clear" w:pos="8306"/>
              </w:tabs>
              <w:spacing w:before="120"/>
              <w:rPr>
                <w:rFonts w:cs="Arial"/>
                <w:sz w:val="22"/>
                <w:szCs w:val="22"/>
                <w:lang w:val="en-GB"/>
              </w:rPr>
            </w:pPr>
            <w:r w:rsidRPr="003F237C">
              <w:rPr>
                <w:rFonts w:cs="Arial"/>
                <w:b/>
                <w:bCs/>
                <w:sz w:val="22"/>
                <w:szCs w:val="22"/>
                <w:lang w:val="en-GB"/>
              </w:rPr>
              <w:t>Population(s)</w:t>
            </w:r>
          </w:p>
        </w:tc>
        <w:tc>
          <w:tcPr>
            <w:tcW w:w="6237" w:type="dxa"/>
          </w:tcPr>
          <w:p w14:paraId="195B3854" w14:textId="4A05E8F3" w:rsidR="001967F4" w:rsidRPr="003F237C" w:rsidRDefault="000B3364" w:rsidP="00DC68B6">
            <w:pPr>
              <w:pStyle w:val="BodyText2"/>
              <w:rPr>
                <w:rFonts w:cs="Arial"/>
                <w:sz w:val="22"/>
                <w:szCs w:val="22"/>
                <w:lang w:val="en-GB"/>
              </w:rPr>
            </w:pPr>
            <w:r>
              <w:rPr>
                <w:rFonts w:cs="Arial"/>
                <w:sz w:val="22"/>
                <w:szCs w:val="22"/>
                <w:lang w:val="en-GB"/>
              </w:rPr>
              <w:t xml:space="preserve">People with moderate to severe vasomotor symptoms associated with </w:t>
            </w:r>
            <w:r w:rsidRPr="007C495C">
              <w:rPr>
                <w:rFonts w:cs="Arial"/>
                <w:sz w:val="22"/>
                <w:szCs w:val="22"/>
              </w:rPr>
              <w:t>menopause</w:t>
            </w:r>
          </w:p>
        </w:tc>
      </w:tr>
      <w:tr w:rsidR="001967F4" w:rsidRPr="003F237C" w14:paraId="53A64CDC" w14:textId="77777777" w:rsidTr="003B48AE">
        <w:trPr>
          <w:cantSplit/>
        </w:trPr>
        <w:tc>
          <w:tcPr>
            <w:tcW w:w="2376" w:type="dxa"/>
            <w:shd w:val="clear" w:color="auto" w:fill="D9D9D9" w:themeFill="background1" w:themeFillShade="D9"/>
          </w:tcPr>
          <w:p w14:paraId="0A51D106" w14:textId="77777777" w:rsidR="001967F4" w:rsidRPr="003F237C" w:rsidRDefault="00436848" w:rsidP="00747737">
            <w:pPr>
              <w:pStyle w:val="Header"/>
              <w:tabs>
                <w:tab w:val="clear" w:pos="4153"/>
                <w:tab w:val="clear" w:pos="8306"/>
              </w:tabs>
              <w:spacing w:before="120"/>
              <w:rPr>
                <w:rFonts w:cs="Arial"/>
                <w:sz w:val="22"/>
                <w:szCs w:val="22"/>
                <w:lang w:val="en-GB"/>
              </w:rPr>
            </w:pPr>
            <w:r w:rsidRPr="003F237C">
              <w:rPr>
                <w:rFonts w:cs="Arial"/>
                <w:b/>
                <w:bCs/>
                <w:sz w:val="22"/>
                <w:szCs w:val="22"/>
                <w:lang w:val="en-GB"/>
              </w:rPr>
              <w:t>C</w:t>
            </w:r>
            <w:r w:rsidR="001967F4" w:rsidRPr="003F237C">
              <w:rPr>
                <w:rFonts w:cs="Arial"/>
                <w:b/>
                <w:bCs/>
                <w:sz w:val="22"/>
                <w:szCs w:val="22"/>
                <w:lang w:val="en-GB"/>
              </w:rPr>
              <w:t>omparators</w:t>
            </w:r>
          </w:p>
        </w:tc>
        <w:tc>
          <w:tcPr>
            <w:tcW w:w="6263" w:type="dxa"/>
          </w:tcPr>
          <w:p w14:paraId="3AD5355D" w14:textId="4ECA98D9" w:rsidR="00FE7F53" w:rsidRPr="00331DF8" w:rsidRDefault="00FE7F53" w:rsidP="00FE7F53">
            <w:pPr>
              <w:pStyle w:val="BodyText2"/>
              <w:rPr>
                <w:rFonts w:cs="Arial"/>
                <w:b/>
                <w:bCs/>
                <w:sz w:val="22"/>
                <w:szCs w:val="22"/>
                <w:lang w:val="en-GB"/>
              </w:rPr>
            </w:pPr>
            <w:r w:rsidRPr="00331DF8">
              <w:rPr>
                <w:rFonts w:cs="Arial"/>
                <w:b/>
                <w:bCs/>
                <w:sz w:val="22"/>
                <w:szCs w:val="22"/>
                <w:lang w:val="en-GB"/>
              </w:rPr>
              <w:t xml:space="preserve">People for whom </w:t>
            </w:r>
            <w:r w:rsidR="00E57FD0">
              <w:rPr>
                <w:rFonts w:cs="Arial"/>
                <w:b/>
                <w:bCs/>
                <w:sz w:val="22"/>
                <w:szCs w:val="22"/>
                <w:lang w:val="en-GB"/>
              </w:rPr>
              <w:t>hormone replacement therapy (</w:t>
            </w:r>
            <w:r w:rsidRPr="00331DF8">
              <w:rPr>
                <w:rFonts w:cs="Arial"/>
                <w:b/>
                <w:bCs/>
                <w:sz w:val="22"/>
                <w:szCs w:val="22"/>
                <w:lang w:val="en-GB"/>
              </w:rPr>
              <w:t>HRT</w:t>
            </w:r>
            <w:r w:rsidR="00E57FD0">
              <w:rPr>
                <w:rFonts w:cs="Arial"/>
                <w:b/>
                <w:bCs/>
                <w:sz w:val="22"/>
                <w:szCs w:val="22"/>
                <w:lang w:val="en-GB"/>
              </w:rPr>
              <w:t>)</w:t>
            </w:r>
            <w:r w:rsidRPr="00331DF8">
              <w:rPr>
                <w:rFonts w:cs="Arial"/>
                <w:b/>
                <w:bCs/>
                <w:sz w:val="22"/>
                <w:szCs w:val="22"/>
                <w:lang w:val="en-GB"/>
              </w:rPr>
              <w:t xml:space="preserve"> is </w:t>
            </w:r>
            <w:r>
              <w:rPr>
                <w:rFonts w:cs="Arial"/>
                <w:b/>
                <w:bCs/>
                <w:sz w:val="22"/>
                <w:szCs w:val="22"/>
                <w:lang w:val="en-GB"/>
              </w:rPr>
              <w:t>considered suitable</w:t>
            </w:r>
            <w:r w:rsidRPr="00331DF8">
              <w:rPr>
                <w:rFonts w:cs="Arial"/>
                <w:b/>
                <w:bCs/>
                <w:sz w:val="22"/>
                <w:szCs w:val="22"/>
                <w:lang w:val="en-GB"/>
              </w:rPr>
              <w:t>:</w:t>
            </w:r>
          </w:p>
          <w:p w14:paraId="37FF5479" w14:textId="36290B6A" w:rsidR="009D44AC" w:rsidRPr="009D44AC" w:rsidRDefault="00FE7F53" w:rsidP="009D44AC">
            <w:pPr>
              <w:pStyle w:val="BodyText2"/>
              <w:numPr>
                <w:ilvl w:val="0"/>
                <w:numId w:val="36"/>
              </w:numPr>
              <w:rPr>
                <w:rFonts w:cs="Arial"/>
                <w:b/>
                <w:bCs/>
                <w:sz w:val="22"/>
                <w:szCs w:val="22"/>
                <w:lang w:val="en-GB"/>
              </w:rPr>
            </w:pPr>
            <w:r w:rsidDel="0038007A">
              <w:rPr>
                <w:rFonts w:cs="Arial"/>
                <w:sz w:val="22"/>
                <w:szCs w:val="22"/>
                <w:lang w:val="en-GB"/>
              </w:rPr>
              <w:t>Hormonal treatments</w:t>
            </w:r>
            <w:r>
              <w:rPr>
                <w:rFonts w:cs="Arial"/>
                <w:sz w:val="22"/>
                <w:szCs w:val="22"/>
                <w:lang w:val="en-GB"/>
              </w:rPr>
              <w:t xml:space="preserve"> such as </w:t>
            </w:r>
            <w:r w:rsidRPr="004306E9">
              <w:rPr>
                <w:rFonts w:cs="Arial"/>
                <w:sz w:val="22"/>
                <w:szCs w:val="22"/>
                <w:lang w:val="en-GB"/>
              </w:rPr>
              <w:t>oestrogen and progestogen</w:t>
            </w:r>
            <w:r>
              <w:rPr>
                <w:rFonts w:cs="Arial"/>
                <w:sz w:val="22"/>
                <w:szCs w:val="22"/>
                <w:lang w:val="en-GB"/>
              </w:rPr>
              <w:t xml:space="preserve"> combination, or oestrogen alone  </w:t>
            </w:r>
          </w:p>
          <w:p w14:paraId="0F43B012" w14:textId="6A0409F8" w:rsidR="00FE7F53" w:rsidRPr="008A4490" w:rsidRDefault="00FE7F53" w:rsidP="009D44AC">
            <w:pPr>
              <w:pStyle w:val="BodyText2"/>
              <w:rPr>
                <w:rFonts w:cs="Arial"/>
                <w:b/>
                <w:bCs/>
                <w:sz w:val="22"/>
                <w:szCs w:val="22"/>
                <w:lang w:val="en-GB"/>
              </w:rPr>
            </w:pPr>
            <w:r w:rsidRPr="008A4490">
              <w:rPr>
                <w:rFonts w:cs="Arial"/>
                <w:b/>
                <w:bCs/>
                <w:sz w:val="22"/>
                <w:szCs w:val="22"/>
                <w:lang w:val="en-GB"/>
              </w:rPr>
              <w:t xml:space="preserve">People for whom HRT is </w:t>
            </w:r>
            <w:r>
              <w:rPr>
                <w:rFonts w:cs="Arial"/>
                <w:b/>
                <w:bCs/>
                <w:sz w:val="22"/>
                <w:szCs w:val="22"/>
                <w:lang w:val="en-GB"/>
              </w:rPr>
              <w:t>not considered suitable</w:t>
            </w:r>
            <w:r w:rsidRPr="008A4490">
              <w:rPr>
                <w:rFonts w:cs="Arial"/>
                <w:b/>
                <w:bCs/>
                <w:sz w:val="22"/>
                <w:szCs w:val="22"/>
                <w:lang w:val="en-GB"/>
              </w:rPr>
              <w:t>:</w:t>
            </w:r>
          </w:p>
          <w:p w14:paraId="4D69CB0F" w14:textId="77777777" w:rsidR="00E57FD0" w:rsidRDefault="00763D05">
            <w:pPr>
              <w:pStyle w:val="ListParagraph"/>
              <w:numPr>
                <w:ilvl w:val="0"/>
                <w:numId w:val="34"/>
              </w:numPr>
              <w:rPr>
                <w:sz w:val="22"/>
                <w:szCs w:val="22"/>
              </w:rPr>
            </w:pPr>
            <w:r w:rsidRPr="003B48AE">
              <w:rPr>
                <w:sz w:val="22"/>
                <w:szCs w:val="22"/>
              </w:rPr>
              <w:t>Fezolinetant</w:t>
            </w:r>
          </w:p>
          <w:p w14:paraId="40216A8A" w14:textId="1F8FC85C" w:rsidR="00FE7F53" w:rsidRDefault="00E57FD0">
            <w:pPr>
              <w:pStyle w:val="ListParagraph"/>
              <w:numPr>
                <w:ilvl w:val="0"/>
                <w:numId w:val="34"/>
              </w:numPr>
              <w:rPr>
                <w:sz w:val="22"/>
                <w:szCs w:val="22"/>
              </w:rPr>
            </w:pPr>
            <w:r>
              <w:rPr>
                <w:sz w:val="22"/>
                <w:szCs w:val="22"/>
              </w:rPr>
              <w:t>A</w:t>
            </w:r>
            <w:r w:rsidR="00FE7F53" w:rsidRPr="003B48AE">
              <w:rPr>
                <w:sz w:val="22"/>
                <w:szCs w:val="22"/>
              </w:rPr>
              <w:t>nti-depressants such as selective serotonin reuptake inhibitors (SSRIs) and serotonin and norepinephrine reuptake inhibitors (SNRIs)</w:t>
            </w:r>
          </w:p>
          <w:p w14:paraId="224F34B8" w14:textId="49CC5021" w:rsidR="00526C9B" w:rsidRPr="008B3189" w:rsidRDefault="00755D8C" w:rsidP="00647A0B">
            <w:pPr>
              <w:pStyle w:val="ListParagraph"/>
              <w:numPr>
                <w:ilvl w:val="0"/>
                <w:numId w:val="34"/>
              </w:numPr>
              <w:spacing w:before="120" w:after="120"/>
            </w:pPr>
            <w:r w:rsidRPr="00B15302">
              <w:rPr>
                <w:rFonts w:cs="Arial"/>
                <w:sz w:val="22"/>
                <w:szCs w:val="22"/>
              </w:rPr>
              <w:t>No pharmacological treatment</w:t>
            </w:r>
          </w:p>
        </w:tc>
      </w:tr>
      <w:tr w:rsidR="001967F4" w:rsidRPr="003F237C" w14:paraId="623E0027" w14:textId="77777777" w:rsidTr="003B48AE">
        <w:trPr>
          <w:cantSplit/>
        </w:trPr>
        <w:tc>
          <w:tcPr>
            <w:tcW w:w="2376" w:type="dxa"/>
            <w:shd w:val="clear" w:color="auto" w:fill="D9D9D9" w:themeFill="background1" w:themeFillShade="D9"/>
          </w:tcPr>
          <w:p w14:paraId="2DDF81D8" w14:textId="77777777" w:rsidR="001967F4" w:rsidRPr="003F237C" w:rsidRDefault="001967F4" w:rsidP="00747737">
            <w:pPr>
              <w:pStyle w:val="Header"/>
              <w:tabs>
                <w:tab w:val="clear" w:pos="4153"/>
                <w:tab w:val="clear" w:pos="8306"/>
              </w:tabs>
              <w:spacing w:before="120"/>
              <w:rPr>
                <w:rFonts w:cs="Arial"/>
                <w:sz w:val="22"/>
                <w:szCs w:val="22"/>
                <w:lang w:val="en-GB"/>
              </w:rPr>
            </w:pPr>
            <w:r w:rsidRPr="003F237C">
              <w:rPr>
                <w:rFonts w:cs="Arial"/>
                <w:b/>
                <w:bCs/>
                <w:sz w:val="22"/>
                <w:szCs w:val="22"/>
                <w:lang w:val="en-GB"/>
              </w:rPr>
              <w:t>Outcomes</w:t>
            </w:r>
          </w:p>
        </w:tc>
        <w:tc>
          <w:tcPr>
            <w:tcW w:w="6237" w:type="dxa"/>
          </w:tcPr>
          <w:p w14:paraId="21385BD6" w14:textId="77777777" w:rsidR="008C3786" w:rsidRDefault="008C3786" w:rsidP="008C3786">
            <w:pPr>
              <w:pStyle w:val="BodyText2"/>
              <w:rPr>
                <w:rFonts w:cs="Arial"/>
                <w:sz w:val="22"/>
                <w:szCs w:val="22"/>
                <w:lang w:val="en-GB"/>
              </w:rPr>
            </w:pPr>
            <w:r w:rsidRPr="00E970E0">
              <w:rPr>
                <w:rFonts w:cs="Arial"/>
                <w:sz w:val="22"/>
                <w:szCs w:val="22"/>
                <w:lang w:val="en-GB"/>
              </w:rPr>
              <w:t>The outcome measures to be considered include:</w:t>
            </w:r>
          </w:p>
          <w:p w14:paraId="0A27E0A9" w14:textId="77777777" w:rsidR="008C3786" w:rsidRDefault="008C3786" w:rsidP="008C3786">
            <w:pPr>
              <w:pStyle w:val="BodyText2"/>
              <w:numPr>
                <w:ilvl w:val="0"/>
                <w:numId w:val="35"/>
              </w:numPr>
              <w:rPr>
                <w:rFonts w:cs="Arial"/>
                <w:sz w:val="22"/>
                <w:szCs w:val="22"/>
                <w:lang w:val="en-GB"/>
              </w:rPr>
            </w:pPr>
            <w:r>
              <w:rPr>
                <w:rFonts w:cs="Arial"/>
                <w:sz w:val="22"/>
                <w:szCs w:val="22"/>
                <w:lang w:val="en-GB"/>
              </w:rPr>
              <w:t>frequency of vasomotor symptoms</w:t>
            </w:r>
          </w:p>
          <w:p w14:paraId="36E2648C" w14:textId="77777777" w:rsidR="008C3786" w:rsidRDefault="008C3786" w:rsidP="008C3786">
            <w:pPr>
              <w:pStyle w:val="BodyText2"/>
              <w:numPr>
                <w:ilvl w:val="0"/>
                <w:numId w:val="35"/>
              </w:numPr>
              <w:rPr>
                <w:rFonts w:cs="Arial"/>
                <w:sz w:val="22"/>
                <w:szCs w:val="22"/>
                <w:lang w:val="en-GB"/>
              </w:rPr>
            </w:pPr>
            <w:r>
              <w:rPr>
                <w:rFonts w:cs="Arial"/>
                <w:sz w:val="22"/>
                <w:szCs w:val="22"/>
                <w:lang w:val="en-GB"/>
              </w:rPr>
              <w:t>severity of vasomotor symptoms</w:t>
            </w:r>
          </w:p>
          <w:p w14:paraId="26382EB2" w14:textId="77777777" w:rsidR="008C3786" w:rsidRDefault="008C3786" w:rsidP="008C3786">
            <w:pPr>
              <w:pStyle w:val="BodyText2"/>
              <w:numPr>
                <w:ilvl w:val="0"/>
                <w:numId w:val="35"/>
              </w:numPr>
              <w:rPr>
                <w:rFonts w:cs="Arial"/>
                <w:sz w:val="22"/>
                <w:szCs w:val="22"/>
                <w:lang w:val="en-GB"/>
              </w:rPr>
            </w:pPr>
            <w:r>
              <w:rPr>
                <w:rFonts w:cs="Arial"/>
                <w:sz w:val="22"/>
                <w:szCs w:val="22"/>
                <w:lang w:val="en-GB"/>
              </w:rPr>
              <w:t>sleep disturbance</w:t>
            </w:r>
          </w:p>
          <w:p w14:paraId="5464225A" w14:textId="77777777" w:rsidR="008C3786" w:rsidRPr="00E970E0" w:rsidRDefault="008C3786" w:rsidP="008C3786">
            <w:pPr>
              <w:pStyle w:val="BodyText2"/>
              <w:numPr>
                <w:ilvl w:val="0"/>
                <w:numId w:val="35"/>
              </w:numPr>
              <w:rPr>
                <w:rFonts w:cs="Arial"/>
                <w:sz w:val="22"/>
                <w:szCs w:val="22"/>
                <w:lang w:val="en-GB"/>
              </w:rPr>
            </w:pPr>
            <w:r>
              <w:rPr>
                <w:rFonts w:cs="Arial"/>
                <w:sz w:val="22"/>
                <w:szCs w:val="22"/>
                <w:lang w:val="en-GB"/>
              </w:rPr>
              <w:t>psychological symptoms (anxiety, low mood)</w:t>
            </w:r>
          </w:p>
          <w:p w14:paraId="2086BFAC" w14:textId="77777777" w:rsidR="008C3786" w:rsidRPr="00E970E0" w:rsidRDefault="008C3786" w:rsidP="008C3786">
            <w:pPr>
              <w:numPr>
                <w:ilvl w:val="0"/>
                <w:numId w:val="11"/>
              </w:numPr>
              <w:spacing w:before="120" w:after="120"/>
              <w:ind w:left="714" w:hanging="357"/>
              <w:rPr>
                <w:rFonts w:cs="Arial"/>
                <w:sz w:val="22"/>
                <w:szCs w:val="22"/>
              </w:rPr>
            </w:pPr>
            <w:r>
              <w:rPr>
                <w:rFonts w:cs="Arial"/>
                <w:sz w:val="22"/>
                <w:szCs w:val="22"/>
              </w:rPr>
              <w:t>a</w:t>
            </w:r>
            <w:r w:rsidRPr="00E970E0">
              <w:rPr>
                <w:rFonts w:cs="Arial"/>
                <w:sz w:val="22"/>
                <w:szCs w:val="22"/>
              </w:rPr>
              <w:t>dverse effects of treatment</w:t>
            </w:r>
          </w:p>
          <w:p w14:paraId="4AF98A5D" w14:textId="6C73EF51" w:rsidR="00171A3A" w:rsidRPr="003F237C" w:rsidRDefault="008C3786" w:rsidP="008C3786">
            <w:pPr>
              <w:numPr>
                <w:ilvl w:val="0"/>
                <w:numId w:val="11"/>
              </w:numPr>
              <w:spacing w:before="120" w:after="120"/>
              <w:ind w:left="714" w:hanging="357"/>
              <w:rPr>
                <w:rFonts w:cs="Arial"/>
                <w:sz w:val="22"/>
                <w:szCs w:val="22"/>
              </w:rPr>
            </w:pPr>
            <w:r>
              <w:rPr>
                <w:rFonts w:cs="Arial"/>
                <w:sz w:val="22"/>
                <w:szCs w:val="22"/>
              </w:rPr>
              <w:t>h</w:t>
            </w:r>
            <w:r w:rsidRPr="00E970E0">
              <w:rPr>
                <w:rFonts w:cs="Arial"/>
                <w:sz w:val="22"/>
                <w:szCs w:val="22"/>
              </w:rPr>
              <w:t>ealth-related quality of life.</w:t>
            </w:r>
          </w:p>
        </w:tc>
      </w:tr>
      <w:tr w:rsidR="001967F4" w:rsidRPr="003F237C" w14:paraId="75B6C011" w14:textId="77777777" w:rsidTr="003B48AE">
        <w:trPr>
          <w:cantSplit/>
        </w:trPr>
        <w:tc>
          <w:tcPr>
            <w:tcW w:w="2376" w:type="dxa"/>
            <w:shd w:val="clear" w:color="auto" w:fill="D9D9D9" w:themeFill="background1" w:themeFillShade="D9"/>
          </w:tcPr>
          <w:p w14:paraId="7F98C75C" w14:textId="77777777" w:rsidR="001967F4" w:rsidRPr="003F237C" w:rsidRDefault="001967F4" w:rsidP="00747737">
            <w:pPr>
              <w:pStyle w:val="Header"/>
              <w:tabs>
                <w:tab w:val="clear" w:pos="4153"/>
                <w:tab w:val="clear" w:pos="8306"/>
              </w:tabs>
              <w:spacing w:before="120"/>
              <w:rPr>
                <w:rFonts w:cs="Arial"/>
                <w:sz w:val="22"/>
                <w:szCs w:val="22"/>
                <w:lang w:val="en-GB"/>
              </w:rPr>
            </w:pPr>
            <w:r w:rsidRPr="003F237C">
              <w:rPr>
                <w:rFonts w:cs="Arial"/>
                <w:b/>
                <w:bCs/>
                <w:sz w:val="22"/>
                <w:szCs w:val="22"/>
                <w:lang w:val="en-GB"/>
              </w:rPr>
              <w:lastRenderedPageBreak/>
              <w:t>Economic analysis</w:t>
            </w:r>
          </w:p>
        </w:tc>
        <w:tc>
          <w:tcPr>
            <w:tcW w:w="6237" w:type="dxa"/>
          </w:tcPr>
          <w:p w14:paraId="2325038B" w14:textId="77777777" w:rsidR="006246E7" w:rsidRDefault="001967F4" w:rsidP="006246E7">
            <w:pPr>
              <w:pStyle w:val="BodyText2"/>
              <w:rPr>
                <w:rFonts w:cs="Arial"/>
                <w:sz w:val="22"/>
                <w:szCs w:val="22"/>
                <w:lang w:val="en-GB"/>
              </w:rPr>
            </w:pPr>
            <w:r w:rsidRPr="003F237C">
              <w:rPr>
                <w:rFonts w:cs="Arial"/>
                <w:sz w:val="22"/>
                <w:szCs w:val="22"/>
                <w:lang w:val="en-GB"/>
              </w:rPr>
              <w:t>The reference case stipulates that the cost effectiveness of treatments should be expressed in terms of incremental cost per quality-adjusted life year.</w:t>
            </w:r>
          </w:p>
          <w:p w14:paraId="66D2D668" w14:textId="69441872" w:rsidR="00753059" w:rsidRPr="003F237C" w:rsidRDefault="00753059" w:rsidP="006246E7">
            <w:pPr>
              <w:pStyle w:val="BodyText2"/>
              <w:rPr>
                <w:rFonts w:cs="Arial"/>
                <w:sz w:val="22"/>
                <w:szCs w:val="22"/>
                <w:lang w:val="en-GB"/>
              </w:rPr>
            </w:pPr>
            <w:r w:rsidRPr="00753059">
              <w:rPr>
                <w:rFonts w:cs="Arial"/>
                <w:sz w:val="22"/>
                <w:szCs w:val="22"/>
                <w:lang w:val="en-GB"/>
              </w:rPr>
              <w:t>If the technology is likely to provide similar or greater health benefits at similar or lower cost than technologies recommended in published NICE technology appraisal guidance for the same indication, a cost comparison may be carried out.</w:t>
            </w:r>
          </w:p>
          <w:p w14:paraId="1AD86F4D" w14:textId="77777777" w:rsidR="00D000D2" w:rsidRPr="003F237C" w:rsidRDefault="00D000D2" w:rsidP="00DC68B6">
            <w:pPr>
              <w:pStyle w:val="BodyText2"/>
              <w:rPr>
                <w:rFonts w:cs="Arial"/>
                <w:sz w:val="22"/>
                <w:szCs w:val="22"/>
                <w:lang w:val="en-GB"/>
              </w:rPr>
            </w:pPr>
            <w:r w:rsidRPr="003F237C">
              <w:rPr>
                <w:rFonts w:cs="Arial"/>
                <w:sz w:val="22"/>
                <w:szCs w:val="22"/>
                <w:lang w:val="en-GB"/>
              </w:rPr>
              <w:t>The reference case stipulates that the time horizon for estimating clinical and cost effectiveness should be sufficiently long to reflect any differences in costs or outcomes between the technologies being compared.</w:t>
            </w:r>
          </w:p>
          <w:p w14:paraId="7C329E62" w14:textId="77777777" w:rsidR="001967F4" w:rsidRDefault="001967F4" w:rsidP="00DC68B6">
            <w:pPr>
              <w:pStyle w:val="BodyText2"/>
              <w:rPr>
                <w:rFonts w:cs="Arial"/>
                <w:sz w:val="22"/>
                <w:szCs w:val="22"/>
                <w:lang w:val="en-GB"/>
              </w:rPr>
            </w:pPr>
            <w:r w:rsidRPr="003F237C">
              <w:rPr>
                <w:rFonts w:cs="Arial"/>
                <w:sz w:val="22"/>
                <w:szCs w:val="22"/>
                <w:lang w:val="en-GB"/>
              </w:rPr>
              <w:t>Costs will be considered from an NHS and Personal Social Services perspective.</w:t>
            </w:r>
          </w:p>
          <w:p w14:paraId="773B3BF1" w14:textId="5B827BC5" w:rsidR="008C3786" w:rsidRDefault="008C3786" w:rsidP="00DC68B6">
            <w:pPr>
              <w:pStyle w:val="BodyText2"/>
              <w:rPr>
                <w:rFonts w:cs="Arial"/>
                <w:sz w:val="22"/>
                <w:szCs w:val="22"/>
                <w:lang w:val="en-GB"/>
              </w:rPr>
            </w:pPr>
            <w:r w:rsidRPr="008C3786">
              <w:rPr>
                <w:rFonts w:cs="Arial"/>
                <w:sz w:val="22"/>
                <w:szCs w:val="22"/>
                <w:lang w:val="en-GB"/>
              </w:rPr>
              <w:t xml:space="preserve">The availability of any commercial arrangements for the intervention, comparator and subsequent treatment technologies will be </w:t>
            </w:r>
            <w:proofErr w:type="gramStart"/>
            <w:r w:rsidRPr="008C3786">
              <w:rPr>
                <w:rFonts w:cs="Arial"/>
                <w:sz w:val="22"/>
                <w:szCs w:val="22"/>
                <w:lang w:val="en-GB"/>
              </w:rPr>
              <w:t>taken into account</w:t>
            </w:r>
            <w:proofErr w:type="gramEnd"/>
            <w:r>
              <w:rPr>
                <w:rFonts w:cs="Arial"/>
                <w:sz w:val="22"/>
                <w:szCs w:val="22"/>
                <w:lang w:val="en-GB"/>
              </w:rPr>
              <w:t>.</w:t>
            </w:r>
          </w:p>
          <w:p w14:paraId="3E76FC38" w14:textId="349759A9" w:rsidR="00BA2A7C" w:rsidRPr="003F237C" w:rsidRDefault="00451F45" w:rsidP="00451F45">
            <w:pPr>
              <w:pStyle w:val="BodyText2"/>
              <w:rPr>
                <w:rFonts w:cs="Arial"/>
                <w:sz w:val="22"/>
                <w:szCs w:val="22"/>
                <w:lang w:val="en-GB"/>
              </w:rPr>
            </w:pPr>
            <w:r w:rsidRPr="00451F45">
              <w:rPr>
                <w:rFonts w:cs="Arial"/>
                <w:sz w:val="22"/>
                <w:szCs w:val="22"/>
                <w:lang w:val="en-GB"/>
              </w:rPr>
              <w:t xml:space="preserve">The availability and cost of biosimilar and generic products should be </w:t>
            </w:r>
            <w:proofErr w:type="gramStart"/>
            <w:r w:rsidRPr="00451F45">
              <w:rPr>
                <w:rFonts w:cs="Arial"/>
                <w:sz w:val="22"/>
                <w:szCs w:val="22"/>
                <w:lang w:val="en-GB"/>
              </w:rPr>
              <w:t>taken into account</w:t>
            </w:r>
            <w:proofErr w:type="gramEnd"/>
            <w:r w:rsidRPr="00451F45">
              <w:rPr>
                <w:rFonts w:cs="Arial"/>
                <w:sz w:val="22"/>
                <w:szCs w:val="22"/>
                <w:lang w:val="en-GB"/>
              </w:rPr>
              <w:t>.</w:t>
            </w:r>
          </w:p>
        </w:tc>
      </w:tr>
      <w:tr w:rsidR="001967F4" w:rsidRPr="003F237C" w14:paraId="7ABFFF03" w14:textId="77777777" w:rsidTr="003B48AE">
        <w:trPr>
          <w:cantSplit/>
        </w:trPr>
        <w:tc>
          <w:tcPr>
            <w:tcW w:w="2376" w:type="dxa"/>
            <w:shd w:val="clear" w:color="auto" w:fill="D9D9D9" w:themeFill="background1" w:themeFillShade="D9"/>
          </w:tcPr>
          <w:p w14:paraId="7EF33034" w14:textId="77777777" w:rsidR="001967F4" w:rsidRPr="003F237C" w:rsidRDefault="001967F4" w:rsidP="00747737">
            <w:pPr>
              <w:pStyle w:val="Header"/>
              <w:tabs>
                <w:tab w:val="clear" w:pos="4153"/>
                <w:tab w:val="clear" w:pos="8306"/>
              </w:tabs>
              <w:spacing w:before="120"/>
              <w:rPr>
                <w:rFonts w:cs="Arial"/>
                <w:sz w:val="22"/>
                <w:szCs w:val="22"/>
                <w:lang w:val="en-GB"/>
              </w:rPr>
            </w:pPr>
            <w:r w:rsidRPr="003F237C">
              <w:rPr>
                <w:rFonts w:cs="Arial"/>
                <w:b/>
                <w:bCs/>
                <w:sz w:val="22"/>
                <w:szCs w:val="22"/>
                <w:lang w:val="en-GB"/>
              </w:rPr>
              <w:t xml:space="preserve">Other considerations </w:t>
            </w:r>
          </w:p>
        </w:tc>
        <w:tc>
          <w:tcPr>
            <w:tcW w:w="6237" w:type="dxa"/>
          </w:tcPr>
          <w:p w14:paraId="0C357B18" w14:textId="5D42D82B" w:rsidR="001967F4" w:rsidRPr="003F237C" w:rsidRDefault="001967F4" w:rsidP="002E3A4D">
            <w:pPr>
              <w:pStyle w:val="BodyText2"/>
              <w:rPr>
                <w:rFonts w:cs="Arial"/>
                <w:sz w:val="22"/>
                <w:szCs w:val="22"/>
                <w:lang w:val="en-GB"/>
              </w:rPr>
            </w:pPr>
            <w:r w:rsidRPr="003F237C">
              <w:rPr>
                <w:rFonts w:cs="Arial"/>
                <w:sz w:val="22"/>
                <w:szCs w:val="22"/>
                <w:lang w:val="en-GB"/>
              </w:rPr>
              <w:t>Guidance will only be issued in accordance with the marketing authorisation</w:t>
            </w:r>
            <w:bookmarkStart w:id="4" w:name="Text54"/>
            <w:r w:rsidR="00451F45">
              <w:rPr>
                <w:rFonts w:cs="Arial"/>
                <w:sz w:val="22"/>
                <w:szCs w:val="22"/>
                <w:lang w:val="en-GB"/>
              </w:rPr>
              <w:t xml:space="preserve">. </w:t>
            </w:r>
            <w:r w:rsidR="002E3A4D" w:rsidRPr="003F237C">
              <w:rPr>
                <w:rFonts w:cs="Arial"/>
                <w:sz w:val="22"/>
                <w:szCs w:val="22"/>
                <w:lang w:val="en-GB"/>
              </w:rPr>
              <w:t>Where the wording of the therapeutic indication does not include specific treatment combinations, guidance will be issued only in the context of the evidence that has underpinned the marketing authorisation granted by the regulator.</w:t>
            </w:r>
            <w:bookmarkEnd w:id="4"/>
          </w:p>
        </w:tc>
      </w:tr>
      <w:tr w:rsidR="00230DA7" w:rsidRPr="003F237C" w14:paraId="7C709D17" w14:textId="77777777" w:rsidTr="003B48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A7183E" w14:textId="77777777" w:rsidR="00230DA7" w:rsidRPr="003F237C" w:rsidRDefault="00230DA7" w:rsidP="00230DA7">
            <w:pPr>
              <w:pStyle w:val="Header"/>
              <w:tabs>
                <w:tab w:val="clear" w:pos="4153"/>
                <w:tab w:val="clear" w:pos="8306"/>
              </w:tabs>
              <w:spacing w:before="120"/>
              <w:rPr>
                <w:rFonts w:cs="Arial"/>
                <w:sz w:val="22"/>
                <w:szCs w:val="22"/>
                <w:lang w:val="en-GB"/>
              </w:rPr>
            </w:pPr>
            <w:r w:rsidRPr="003F237C">
              <w:rPr>
                <w:rFonts w:cs="Arial"/>
                <w:b/>
                <w:bCs/>
                <w:sz w:val="22"/>
                <w:szCs w:val="22"/>
                <w:lang w:val="en-GB"/>
              </w:rPr>
              <w:t>Related NICE recommendations</w:t>
            </w:r>
            <w:r w:rsidR="003A5AFC" w:rsidRPr="003F237C">
              <w:rPr>
                <w:rFonts w:cs="Arial"/>
                <w:b/>
                <w:bCs/>
                <w:sz w:val="22"/>
                <w:szCs w:val="22"/>
                <w:lang w:val="en-GB"/>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0DCA" w14:textId="7F4FC0FD" w:rsidR="00230DA7" w:rsidRPr="003F237C" w:rsidRDefault="00230DA7" w:rsidP="00123602">
            <w:pPr>
              <w:pStyle w:val="BodyText2"/>
              <w:rPr>
                <w:rFonts w:cs="Arial"/>
                <w:b/>
                <w:bCs/>
                <w:sz w:val="22"/>
                <w:szCs w:val="22"/>
                <w:lang w:val="en-GB"/>
              </w:rPr>
            </w:pPr>
            <w:r w:rsidRPr="003F237C">
              <w:rPr>
                <w:rFonts w:cs="Arial"/>
                <w:b/>
                <w:bCs/>
                <w:sz w:val="22"/>
                <w:szCs w:val="22"/>
                <w:lang w:val="en-GB"/>
              </w:rPr>
              <w:t xml:space="preserve">Related </w:t>
            </w:r>
            <w:r w:rsidR="00BD2C43" w:rsidRPr="003F237C">
              <w:rPr>
                <w:rFonts w:cs="Arial"/>
                <w:b/>
                <w:bCs/>
                <w:sz w:val="22"/>
                <w:szCs w:val="22"/>
                <w:lang w:val="en-GB"/>
              </w:rPr>
              <w:t>t</w:t>
            </w:r>
            <w:r w:rsidRPr="003F237C">
              <w:rPr>
                <w:rFonts w:cs="Arial"/>
                <w:b/>
                <w:bCs/>
                <w:sz w:val="22"/>
                <w:szCs w:val="22"/>
                <w:lang w:val="en-GB"/>
              </w:rPr>
              <w:t xml:space="preserve">echnology </w:t>
            </w:r>
            <w:r w:rsidR="00BD2C43" w:rsidRPr="003F237C">
              <w:rPr>
                <w:rFonts w:cs="Arial"/>
                <w:b/>
                <w:bCs/>
                <w:sz w:val="22"/>
                <w:szCs w:val="22"/>
                <w:lang w:val="en-GB"/>
              </w:rPr>
              <w:t>a</w:t>
            </w:r>
            <w:r w:rsidRPr="003F237C">
              <w:rPr>
                <w:rFonts w:cs="Arial"/>
                <w:b/>
                <w:bCs/>
                <w:sz w:val="22"/>
                <w:szCs w:val="22"/>
                <w:lang w:val="en-GB"/>
              </w:rPr>
              <w:t>ppraisals:</w:t>
            </w:r>
          </w:p>
          <w:p w14:paraId="04B2D23B" w14:textId="146F4866" w:rsidR="002C2160" w:rsidRDefault="009052AB" w:rsidP="00123602">
            <w:pPr>
              <w:pStyle w:val="BodyText2"/>
              <w:rPr>
                <w:rFonts w:cs="Arial"/>
                <w:sz w:val="22"/>
                <w:szCs w:val="22"/>
                <w:lang w:val="en-GB"/>
              </w:rPr>
            </w:pPr>
            <w:hyperlink r:id="rId14" w:history="1">
              <w:r w:rsidRPr="00993CF9">
                <w:rPr>
                  <w:rStyle w:val="Hyperlink"/>
                  <w:rFonts w:cs="Arial"/>
                  <w:sz w:val="22"/>
                  <w:szCs w:val="22"/>
                  <w:lang w:val="en-GB"/>
                </w:rPr>
                <w:t>Fezolinetant for treating moderate to severe vasomotor symptoms associated with menopause</w:t>
              </w:r>
            </w:hyperlink>
            <w:r w:rsidRPr="009052AB">
              <w:rPr>
                <w:rFonts w:cs="Arial"/>
                <w:sz w:val="22"/>
                <w:szCs w:val="22"/>
                <w:lang w:val="en-GB"/>
              </w:rPr>
              <w:t xml:space="preserve"> </w:t>
            </w:r>
            <w:r w:rsidR="006E7FF4" w:rsidRPr="003F237C">
              <w:rPr>
                <w:rFonts w:cs="Arial"/>
                <w:sz w:val="22"/>
                <w:szCs w:val="22"/>
                <w:lang w:val="en-GB"/>
              </w:rPr>
              <w:t>(</w:t>
            </w:r>
            <w:r>
              <w:rPr>
                <w:rFonts w:cs="Arial"/>
                <w:sz w:val="22"/>
                <w:szCs w:val="22"/>
                <w:lang w:val="en-GB"/>
              </w:rPr>
              <w:t>2026</w:t>
            </w:r>
            <w:r w:rsidR="006E7FF4" w:rsidRPr="003F237C">
              <w:rPr>
                <w:rFonts w:cs="Arial"/>
                <w:sz w:val="22"/>
                <w:szCs w:val="22"/>
                <w:lang w:val="en-GB"/>
              </w:rPr>
              <w:t xml:space="preserve">) NICE </w:t>
            </w:r>
            <w:r w:rsidR="00BD2C43" w:rsidRPr="003F237C">
              <w:rPr>
                <w:rFonts w:cs="Arial"/>
                <w:sz w:val="22"/>
                <w:szCs w:val="22"/>
                <w:lang w:val="en-GB"/>
              </w:rPr>
              <w:t>t</w:t>
            </w:r>
            <w:r w:rsidR="006E7FF4" w:rsidRPr="003F237C">
              <w:rPr>
                <w:rFonts w:cs="Arial"/>
                <w:sz w:val="22"/>
                <w:szCs w:val="22"/>
                <w:lang w:val="en-GB"/>
              </w:rPr>
              <w:t xml:space="preserve">echnology </w:t>
            </w:r>
            <w:r w:rsidR="00806641" w:rsidRPr="003F237C">
              <w:rPr>
                <w:rFonts w:cs="Arial"/>
                <w:sz w:val="22"/>
                <w:szCs w:val="22"/>
                <w:lang w:val="en-GB"/>
              </w:rPr>
              <w:t>a</w:t>
            </w:r>
            <w:r w:rsidR="006E7FF4" w:rsidRPr="003F237C">
              <w:rPr>
                <w:rFonts w:cs="Arial"/>
                <w:sz w:val="22"/>
                <w:szCs w:val="22"/>
                <w:lang w:val="en-GB"/>
              </w:rPr>
              <w:t xml:space="preserve">ppraisal </w:t>
            </w:r>
            <w:r w:rsidR="00806641" w:rsidRPr="003F237C">
              <w:rPr>
                <w:rFonts w:cs="Arial"/>
                <w:sz w:val="22"/>
                <w:szCs w:val="22"/>
                <w:lang w:val="en-GB"/>
              </w:rPr>
              <w:t xml:space="preserve">guidance </w:t>
            </w:r>
            <w:r>
              <w:rPr>
                <w:rFonts w:cs="Arial"/>
                <w:sz w:val="22"/>
                <w:szCs w:val="22"/>
                <w:lang w:val="en-GB"/>
              </w:rPr>
              <w:t>1143</w:t>
            </w:r>
            <w:r w:rsidR="00B024D4" w:rsidRPr="003F237C">
              <w:rPr>
                <w:rFonts w:cs="Arial"/>
                <w:sz w:val="22"/>
                <w:szCs w:val="22"/>
                <w:lang w:val="en-GB"/>
              </w:rPr>
              <w:t>.</w:t>
            </w:r>
            <w:r w:rsidR="006E7FF4" w:rsidRPr="003F237C">
              <w:rPr>
                <w:rFonts w:cs="Arial"/>
                <w:sz w:val="22"/>
                <w:szCs w:val="22"/>
                <w:lang w:val="en-GB"/>
              </w:rPr>
              <w:t xml:space="preserve"> </w:t>
            </w:r>
          </w:p>
          <w:p w14:paraId="45608293" w14:textId="77777777" w:rsidR="005E41E3" w:rsidRPr="008704E9" w:rsidRDefault="005E41E3" w:rsidP="005E41E3">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NICE g</w:t>
            </w:r>
            <w:r w:rsidRPr="008704E9">
              <w:rPr>
                <w:rFonts w:cs="Arial"/>
                <w:b/>
                <w:bCs/>
                <w:sz w:val="22"/>
                <w:szCs w:val="22"/>
                <w:lang w:val="en-GB"/>
              </w:rPr>
              <w:t>uidelines:</w:t>
            </w:r>
          </w:p>
          <w:p w14:paraId="095F1AFE" w14:textId="7C3B2756" w:rsidR="006567C8" w:rsidRDefault="006567C8" w:rsidP="006567C8">
            <w:pPr>
              <w:pStyle w:val="BodyText2"/>
              <w:rPr>
                <w:rFonts w:cs="Arial"/>
                <w:sz w:val="22"/>
                <w:szCs w:val="22"/>
                <w:lang w:val="en-GB"/>
              </w:rPr>
            </w:pPr>
            <w:hyperlink r:id="rId15" w:history="1">
              <w:r w:rsidRPr="00272C82">
                <w:rPr>
                  <w:rStyle w:val="Hyperlink"/>
                  <w:rFonts w:cs="Arial"/>
                  <w:sz w:val="22"/>
                  <w:szCs w:val="22"/>
                  <w:lang w:val="en-GB"/>
                </w:rPr>
                <w:t>Menopause: diagnosis and management</w:t>
              </w:r>
            </w:hyperlink>
            <w:r w:rsidRPr="00E970E0">
              <w:rPr>
                <w:rFonts w:cs="Arial"/>
                <w:sz w:val="22"/>
                <w:szCs w:val="22"/>
                <w:lang w:val="en-GB"/>
              </w:rPr>
              <w:t xml:space="preserve"> (</w:t>
            </w:r>
            <w:r>
              <w:rPr>
                <w:rFonts w:cs="Arial"/>
                <w:sz w:val="22"/>
                <w:szCs w:val="22"/>
                <w:lang w:val="en-GB"/>
              </w:rPr>
              <w:t>201</w:t>
            </w:r>
            <w:r w:rsidR="00147C29">
              <w:rPr>
                <w:rFonts w:cs="Arial"/>
                <w:sz w:val="22"/>
                <w:szCs w:val="22"/>
                <w:lang w:val="en-GB"/>
              </w:rPr>
              <w:t>5, updated 2026</w:t>
            </w:r>
            <w:r w:rsidRPr="00E970E0">
              <w:rPr>
                <w:rFonts w:cs="Arial"/>
                <w:sz w:val="22"/>
                <w:szCs w:val="22"/>
                <w:lang w:val="en-GB"/>
              </w:rPr>
              <w:t xml:space="preserve">). </w:t>
            </w:r>
            <w:r w:rsidRPr="00E970E0">
              <w:rPr>
                <w:rFonts w:cs="Arial"/>
                <w:sz w:val="22"/>
                <w:szCs w:val="22"/>
              </w:rPr>
              <w:t xml:space="preserve">NICE </w:t>
            </w:r>
            <w:r w:rsidRPr="00E970E0">
              <w:rPr>
                <w:rFonts w:cs="Arial"/>
                <w:sz w:val="22"/>
                <w:szCs w:val="22"/>
                <w:lang w:val="en-GB"/>
              </w:rPr>
              <w:t xml:space="preserve">guideline </w:t>
            </w:r>
            <w:r>
              <w:rPr>
                <w:rFonts w:cs="Arial"/>
                <w:sz w:val="22"/>
                <w:szCs w:val="22"/>
                <w:lang w:val="en-GB"/>
              </w:rPr>
              <w:t>23.</w:t>
            </w:r>
            <w:r w:rsidRPr="00E970E0">
              <w:rPr>
                <w:rFonts w:cs="Arial"/>
                <w:sz w:val="22"/>
                <w:szCs w:val="22"/>
                <w:lang w:val="en-GB"/>
              </w:rPr>
              <w:t xml:space="preserve"> </w:t>
            </w:r>
          </w:p>
          <w:p w14:paraId="209B3288" w14:textId="5B735A4C" w:rsidR="006567C8" w:rsidRPr="00E970E0" w:rsidRDefault="006567C8" w:rsidP="006567C8">
            <w:pPr>
              <w:pStyle w:val="BodyText2"/>
              <w:rPr>
                <w:rFonts w:cs="Arial"/>
                <w:sz w:val="22"/>
                <w:szCs w:val="22"/>
                <w:lang w:val="en-GB"/>
              </w:rPr>
            </w:pPr>
            <w:hyperlink r:id="rId16" w:anchor="complications-of-local-treatment-and-menopausal-symptoms" w:history="1">
              <w:r w:rsidRPr="0023076A">
                <w:rPr>
                  <w:rStyle w:val="Hyperlink"/>
                  <w:rFonts w:cs="Arial"/>
                  <w:sz w:val="22"/>
                  <w:szCs w:val="22"/>
                  <w:lang w:val="en-GB"/>
                </w:rPr>
                <w:t>Early and locally advanced breast cancer: diagnosis and management</w:t>
              </w:r>
            </w:hyperlink>
            <w:r>
              <w:rPr>
                <w:rFonts w:cs="Arial"/>
                <w:sz w:val="22"/>
                <w:szCs w:val="22"/>
                <w:lang w:val="en-GB"/>
              </w:rPr>
              <w:t xml:space="preserve"> (2018</w:t>
            </w:r>
            <w:r w:rsidR="00BA0AE8">
              <w:rPr>
                <w:rFonts w:cs="Arial"/>
                <w:sz w:val="22"/>
                <w:szCs w:val="22"/>
                <w:lang w:val="en-GB"/>
              </w:rPr>
              <w:t>, updated 20</w:t>
            </w:r>
            <w:r w:rsidR="00DC1740">
              <w:rPr>
                <w:rFonts w:cs="Arial"/>
                <w:sz w:val="22"/>
                <w:szCs w:val="22"/>
                <w:lang w:val="en-GB"/>
              </w:rPr>
              <w:t>25</w:t>
            </w:r>
            <w:r>
              <w:rPr>
                <w:rFonts w:cs="Arial"/>
                <w:sz w:val="22"/>
                <w:szCs w:val="22"/>
                <w:lang w:val="en-GB"/>
              </w:rPr>
              <w:t xml:space="preserve">). </w:t>
            </w:r>
            <w:r w:rsidRPr="00E970E0">
              <w:rPr>
                <w:rFonts w:cs="Arial"/>
                <w:sz w:val="22"/>
                <w:szCs w:val="22"/>
              </w:rPr>
              <w:t xml:space="preserve">NICE </w:t>
            </w:r>
            <w:r w:rsidRPr="00E970E0">
              <w:rPr>
                <w:rFonts w:cs="Arial"/>
                <w:sz w:val="22"/>
                <w:szCs w:val="22"/>
                <w:lang w:val="en-GB"/>
              </w:rPr>
              <w:t xml:space="preserve">guideline </w:t>
            </w:r>
            <w:r>
              <w:rPr>
                <w:rFonts w:cs="Arial"/>
                <w:sz w:val="22"/>
                <w:szCs w:val="22"/>
                <w:lang w:val="en-GB"/>
              </w:rPr>
              <w:t>101.</w:t>
            </w:r>
          </w:p>
          <w:p w14:paraId="7CEE3DFB" w14:textId="77777777" w:rsidR="006567C8" w:rsidRPr="008704E9" w:rsidRDefault="006567C8" w:rsidP="006567C8">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i</w:t>
            </w:r>
            <w:r w:rsidRPr="008704E9">
              <w:rPr>
                <w:rFonts w:cs="Arial"/>
                <w:b/>
                <w:bCs/>
                <w:sz w:val="22"/>
                <w:szCs w:val="22"/>
                <w:lang w:val="en-GB"/>
              </w:rPr>
              <w:t xml:space="preserve">nterventional </w:t>
            </w:r>
            <w:r>
              <w:rPr>
                <w:rFonts w:cs="Arial"/>
                <w:b/>
                <w:bCs/>
                <w:sz w:val="22"/>
                <w:szCs w:val="22"/>
                <w:lang w:val="en-GB"/>
              </w:rPr>
              <w:t>p</w:t>
            </w:r>
            <w:r w:rsidRPr="008704E9">
              <w:rPr>
                <w:rFonts w:cs="Arial"/>
                <w:b/>
                <w:bCs/>
                <w:sz w:val="22"/>
                <w:szCs w:val="22"/>
                <w:lang w:val="en-GB"/>
              </w:rPr>
              <w:t>rocedures:</w:t>
            </w:r>
          </w:p>
          <w:p w14:paraId="5ACCB753" w14:textId="77777777" w:rsidR="006567C8" w:rsidRPr="00E970E0" w:rsidRDefault="006567C8" w:rsidP="006567C8">
            <w:pPr>
              <w:pStyle w:val="BodyText2"/>
              <w:rPr>
                <w:rFonts w:cs="Arial"/>
                <w:sz w:val="22"/>
                <w:szCs w:val="22"/>
                <w:lang w:val="en-GB"/>
              </w:rPr>
            </w:pPr>
            <w:hyperlink r:id="rId17" w:history="1">
              <w:r w:rsidRPr="003A4E58">
                <w:rPr>
                  <w:rStyle w:val="Hyperlink"/>
                  <w:rFonts w:cs="Arial"/>
                  <w:sz w:val="22"/>
                  <w:szCs w:val="22"/>
                  <w:lang w:val="en-GB"/>
                </w:rPr>
                <w:t>Removal, preservation and subsequent reimplantation of ovarian tissue to prevent symptoms from the menopause</w:t>
              </w:r>
            </w:hyperlink>
            <w:r w:rsidRPr="00E970E0">
              <w:rPr>
                <w:rFonts w:cs="Arial"/>
                <w:sz w:val="22"/>
                <w:szCs w:val="22"/>
                <w:lang w:val="en-GB"/>
              </w:rPr>
              <w:t xml:space="preserve"> (</w:t>
            </w:r>
            <w:r>
              <w:rPr>
                <w:rFonts w:cs="Arial"/>
                <w:sz w:val="22"/>
                <w:szCs w:val="22"/>
                <w:lang w:val="en-GB"/>
              </w:rPr>
              <w:t>2022</w:t>
            </w:r>
            <w:r w:rsidRPr="00E970E0">
              <w:rPr>
                <w:rFonts w:cs="Arial"/>
                <w:sz w:val="22"/>
                <w:szCs w:val="22"/>
                <w:lang w:val="en-GB"/>
              </w:rPr>
              <w:t xml:space="preserve">). NICE interventional procedures guidance </w:t>
            </w:r>
            <w:r>
              <w:rPr>
                <w:rFonts w:cs="Arial"/>
                <w:sz w:val="22"/>
                <w:szCs w:val="22"/>
                <w:lang w:val="en-GB"/>
              </w:rPr>
              <w:t>738</w:t>
            </w:r>
            <w:r w:rsidRPr="00E970E0">
              <w:rPr>
                <w:rFonts w:cs="Arial"/>
                <w:sz w:val="22"/>
                <w:szCs w:val="22"/>
                <w:lang w:val="en-GB"/>
              </w:rPr>
              <w:t>.</w:t>
            </w:r>
          </w:p>
          <w:p w14:paraId="7AA1CFC7" w14:textId="77777777" w:rsidR="006567C8" w:rsidRPr="008704E9" w:rsidRDefault="006567C8" w:rsidP="006567C8">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q</w:t>
            </w:r>
            <w:r w:rsidRPr="008704E9">
              <w:rPr>
                <w:rFonts w:cs="Arial"/>
                <w:b/>
                <w:bCs/>
                <w:sz w:val="22"/>
                <w:szCs w:val="22"/>
                <w:lang w:val="en-GB"/>
              </w:rPr>
              <w:t xml:space="preserve">uality </w:t>
            </w:r>
            <w:r>
              <w:rPr>
                <w:rFonts w:cs="Arial"/>
                <w:b/>
                <w:bCs/>
                <w:sz w:val="22"/>
                <w:szCs w:val="22"/>
                <w:lang w:val="en-GB"/>
              </w:rPr>
              <w:t>s</w:t>
            </w:r>
            <w:r w:rsidRPr="008704E9">
              <w:rPr>
                <w:rFonts w:cs="Arial"/>
                <w:b/>
                <w:bCs/>
                <w:sz w:val="22"/>
                <w:szCs w:val="22"/>
                <w:lang w:val="en-GB"/>
              </w:rPr>
              <w:t>tandards:</w:t>
            </w:r>
          </w:p>
          <w:p w14:paraId="2938A076" w14:textId="19460574" w:rsidR="007676E9" w:rsidRPr="003F237C" w:rsidRDefault="006567C8" w:rsidP="00123602">
            <w:pPr>
              <w:pStyle w:val="BodyText2"/>
              <w:rPr>
                <w:rFonts w:cs="Arial"/>
                <w:sz w:val="22"/>
                <w:szCs w:val="22"/>
                <w:lang w:val="en-GB"/>
              </w:rPr>
            </w:pPr>
            <w:hyperlink r:id="rId18" w:history="1">
              <w:r w:rsidRPr="00D62131">
                <w:rPr>
                  <w:rStyle w:val="Hyperlink"/>
                  <w:rFonts w:cs="Arial"/>
                  <w:sz w:val="22"/>
                  <w:szCs w:val="22"/>
                  <w:lang w:val="en-GB"/>
                </w:rPr>
                <w:t>Menopause</w:t>
              </w:r>
            </w:hyperlink>
            <w:r w:rsidRPr="00E970E0">
              <w:rPr>
                <w:rFonts w:cs="Arial"/>
                <w:sz w:val="22"/>
                <w:szCs w:val="22"/>
                <w:lang w:val="en-GB"/>
              </w:rPr>
              <w:t xml:space="preserve"> (</w:t>
            </w:r>
            <w:r>
              <w:rPr>
                <w:rFonts w:cs="Arial"/>
                <w:sz w:val="22"/>
                <w:szCs w:val="22"/>
                <w:lang w:val="en-GB"/>
              </w:rPr>
              <w:t>2017</w:t>
            </w:r>
            <w:r w:rsidRPr="00E970E0">
              <w:rPr>
                <w:rFonts w:cs="Arial"/>
                <w:sz w:val="22"/>
                <w:szCs w:val="22"/>
                <w:lang w:val="en-GB"/>
              </w:rPr>
              <w:t xml:space="preserve">). NICE quality standard </w:t>
            </w:r>
            <w:r>
              <w:rPr>
                <w:rFonts w:cs="Arial"/>
                <w:sz w:val="22"/>
                <w:szCs w:val="22"/>
                <w:lang w:val="en-GB"/>
              </w:rPr>
              <w:t>143</w:t>
            </w:r>
            <w:r w:rsidRPr="00E970E0">
              <w:rPr>
                <w:rFonts w:cs="Arial"/>
                <w:sz w:val="22"/>
                <w:szCs w:val="22"/>
                <w:lang w:val="en-GB"/>
              </w:rPr>
              <w:t>.</w:t>
            </w:r>
          </w:p>
        </w:tc>
      </w:tr>
    </w:tbl>
    <w:p w14:paraId="0C0033C0" w14:textId="77777777" w:rsidR="00230DA7" w:rsidRPr="003F237C" w:rsidRDefault="00230DA7" w:rsidP="00230DA7">
      <w:pPr>
        <w:pStyle w:val="Title"/>
        <w:rPr>
          <w:rFonts w:cs="Arial"/>
          <w:sz w:val="22"/>
          <w:szCs w:val="22"/>
          <w:lang w:val="en-GB"/>
        </w:rPr>
      </w:pPr>
    </w:p>
    <w:p w14:paraId="7ECE0C49" w14:textId="77777777" w:rsidR="001967F4" w:rsidRPr="003F237C" w:rsidRDefault="001967F4">
      <w:pPr>
        <w:pStyle w:val="Heading1"/>
        <w:spacing w:before="240"/>
        <w:rPr>
          <w:rFonts w:cs="Arial"/>
          <w:sz w:val="22"/>
          <w:szCs w:val="22"/>
          <w:lang w:val="en-GB"/>
        </w:rPr>
      </w:pPr>
      <w:r w:rsidRPr="003F237C">
        <w:rPr>
          <w:rFonts w:cs="Arial"/>
          <w:sz w:val="22"/>
          <w:szCs w:val="22"/>
          <w:lang w:val="en-GB"/>
        </w:rPr>
        <w:lastRenderedPageBreak/>
        <w:t>Questions for consultation</w:t>
      </w:r>
    </w:p>
    <w:p w14:paraId="25056113" w14:textId="0460F725" w:rsidR="006223DA" w:rsidRDefault="00E9238E" w:rsidP="00923340">
      <w:pPr>
        <w:spacing w:before="120" w:after="120"/>
        <w:rPr>
          <w:rFonts w:cs="Arial"/>
          <w:sz w:val="22"/>
          <w:szCs w:val="22"/>
        </w:rPr>
      </w:pPr>
      <w:r w:rsidRPr="003F237C">
        <w:rPr>
          <w:rFonts w:cs="Arial"/>
          <w:sz w:val="22"/>
          <w:szCs w:val="22"/>
        </w:rPr>
        <w:t xml:space="preserve">Where do you consider </w:t>
      </w:r>
      <w:r w:rsidR="00295A4B">
        <w:rPr>
          <w:rFonts w:cs="Arial"/>
          <w:sz w:val="22"/>
          <w:szCs w:val="22"/>
        </w:rPr>
        <w:t>e</w:t>
      </w:r>
      <w:r w:rsidR="00295A4B" w:rsidRPr="00295A4B">
        <w:rPr>
          <w:rFonts w:cs="Arial"/>
          <w:sz w:val="22"/>
          <w:szCs w:val="22"/>
        </w:rPr>
        <w:t>linzanetant</w:t>
      </w:r>
      <w:r w:rsidRPr="003F237C">
        <w:rPr>
          <w:rFonts w:cs="Arial"/>
          <w:sz w:val="22"/>
          <w:szCs w:val="22"/>
        </w:rPr>
        <w:t xml:space="preserve"> will fit into the existing </w:t>
      </w:r>
      <w:r w:rsidR="00BE42AD" w:rsidRPr="003F237C">
        <w:rPr>
          <w:rFonts w:cs="Arial"/>
          <w:sz w:val="22"/>
          <w:szCs w:val="22"/>
        </w:rPr>
        <w:t>care</w:t>
      </w:r>
      <w:r w:rsidR="004264D6" w:rsidRPr="003F237C">
        <w:rPr>
          <w:rFonts w:cs="Arial"/>
          <w:sz w:val="22"/>
          <w:szCs w:val="22"/>
        </w:rPr>
        <w:t xml:space="preserve"> </w:t>
      </w:r>
      <w:r w:rsidRPr="003F237C">
        <w:rPr>
          <w:rFonts w:cs="Arial"/>
          <w:sz w:val="22"/>
          <w:szCs w:val="22"/>
        </w:rPr>
        <w:t>pathway</w:t>
      </w:r>
      <w:r w:rsidR="005451E1" w:rsidRPr="003F237C">
        <w:rPr>
          <w:rFonts w:cs="Arial"/>
          <w:sz w:val="22"/>
          <w:szCs w:val="22"/>
        </w:rPr>
        <w:t xml:space="preserve"> for</w:t>
      </w:r>
      <w:r w:rsidR="00BF05D1" w:rsidRPr="00BF05D1">
        <w:rPr>
          <w:rFonts w:cs="Arial"/>
          <w:sz w:val="22"/>
          <w:szCs w:val="22"/>
        </w:rPr>
        <w:t xml:space="preserve"> treating moderate to severe vasomotor symptoms associated with menopause</w:t>
      </w:r>
      <w:r w:rsidRPr="003F237C">
        <w:rPr>
          <w:rFonts w:cs="Arial"/>
          <w:sz w:val="22"/>
          <w:szCs w:val="22"/>
        </w:rPr>
        <w:t>?</w:t>
      </w:r>
    </w:p>
    <w:p w14:paraId="4C27D961" w14:textId="7D9C24C3" w:rsidR="00DC1740" w:rsidRDefault="00DC1740" w:rsidP="008007E8">
      <w:pPr>
        <w:pStyle w:val="ListParagraph"/>
        <w:numPr>
          <w:ilvl w:val="0"/>
          <w:numId w:val="39"/>
        </w:numPr>
        <w:spacing w:before="120" w:after="120"/>
        <w:rPr>
          <w:rFonts w:cs="Arial"/>
          <w:sz w:val="22"/>
          <w:szCs w:val="22"/>
        </w:rPr>
      </w:pPr>
      <w:r>
        <w:rPr>
          <w:rFonts w:cs="Arial"/>
          <w:sz w:val="22"/>
          <w:szCs w:val="22"/>
        </w:rPr>
        <w:t>W</w:t>
      </w:r>
      <w:r w:rsidR="00530BD0">
        <w:rPr>
          <w:rFonts w:cs="Arial"/>
          <w:sz w:val="22"/>
          <w:szCs w:val="22"/>
        </w:rPr>
        <w:t xml:space="preserve">ould </w:t>
      </w:r>
      <w:r w:rsidR="7713D67D" w:rsidRPr="293C0FEA">
        <w:rPr>
          <w:rFonts w:cs="Arial"/>
          <w:sz w:val="22"/>
          <w:szCs w:val="22"/>
        </w:rPr>
        <w:t>elinzanetant</w:t>
      </w:r>
      <w:r w:rsidR="00530BD0">
        <w:rPr>
          <w:rFonts w:cs="Arial"/>
          <w:sz w:val="22"/>
          <w:szCs w:val="22"/>
        </w:rPr>
        <w:t xml:space="preserve"> be</w:t>
      </w:r>
      <w:r>
        <w:rPr>
          <w:rFonts w:cs="Arial"/>
          <w:sz w:val="22"/>
          <w:szCs w:val="22"/>
        </w:rPr>
        <w:t xml:space="preserve"> used </w:t>
      </w:r>
      <w:r w:rsidR="00530BD0">
        <w:rPr>
          <w:rFonts w:cs="Arial"/>
          <w:sz w:val="22"/>
          <w:szCs w:val="22"/>
        </w:rPr>
        <w:t xml:space="preserve">in the whole </w:t>
      </w:r>
      <w:r w:rsidR="001751C2">
        <w:rPr>
          <w:rFonts w:cs="Arial"/>
          <w:sz w:val="22"/>
          <w:szCs w:val="22"/>
        </w:rPr>
        <w:t>marketing authorisation</w:t>
      </w:r>
      <w:r w:rsidR="00FB369D">
        <w:rPr>
          <w:rFonts w:cs="Arial"/>
          <w:sz w:val="22"/>
          <w:szCs w:val="22"/>
        </w:rPr>
        <w:t xml:space="preserve"> population</w:t>
      </w:r>
      <w:r w:rsidR="001751C2">
        <w:rPr>
          <w:rFonts w:cs="Arial"/>
          <w:sz w:val="22"/>
          <w:szCs w:val="22"/>
        </w:rPr>
        <w:t xml:space="preserve">, </w:t>
      </w:r>
      <w:r w:rsidR="00212A6C">
        <w:rPr>
          <w:rFonts w:cs="Arial"/>
          <w:sz w:val="22"/>
          <w:szCs w:val="22"/>
        </w:rPr>
        <w:t>i.e.</w:t>
      </w:r>
      <w:r w:rsidR="001751C2">
        <w:rPr>
          <w:rFonts w:cs="Arial"/>
          <w:sz w:val="22"/>
          <w:szCs w:val="22"/>
        </w:rPr>
        <w:t xml:space="preserve"> for p</w:t>
      </w:r>
      <w:r w:rsidR="00530BD0" w:rsidRPr="00530BD0">
        <w:rPr>
          <w:rFonts w:cs="Arial"/>
          <w:sz w:val="22"/>
          <w:szCs w:val="22"/>
        </w:rPr>
        <w:t>eople with moderate to severe vasomotor symptoms associated with menopause</w:t>
      </w:r>
      <w:r w:rsidR="001751C2">
        <w:rPr>
          <w:rFonts w:cs="Arial"/>
          <w:sz w:val="22"/>
          <w:szCs w:val="22"/>
        </w:rPr>
        <w:t xml:space="preserve">? Or </w:t>
      </w:r>
      <w:r w:rsidR="00212A6C">
        <w:rPr>
          <w:rFonts w:cs="Arial"/>
          <w:sz w:val="22"/>
          <w:szCs w:val="22"/>
        </w:rPr>
        <w:t>would</w:t>
      </w:r>
      <w:r w:rsidR="001751C2">
        <w:rPr>
          <w:rFonts w:cs="Arial"/>
          <w:sz w:val="22"/>
          <w:szCs w:val="22"/>
        </w:rPr>
        <w:t xml:space="preserve"> it be </w:t>
      </w:r>
      <w:r w:rsidR="00212A6C">
        <w:rPr>
          <w:rFonts w:cs="Arial"/>
          <w:sz w:val="22"/>
          <w:szCs w:val="22"/>
        </w:rPr>
        <w:t xml:space="preserve">only used for people </w:t>
      </w:r>
      <w:r w:rsidR="00212A6C" w:rsidRPr="00212A6C">
        <w:rPr>
          <w:rFonts w:cs="Arial"/>
          <w:sz w:val="22"/>
          <w:szCs w:val="22"/>
        </w:rPr>
        <w:t>for whom HRT is not considered suitable</w:t>
      </w:r>
      <w:r w:rsidR="00212A6C">
        <w:rPr>
          <w:rFonts w:cs="Arial"/>
          <w:sz w:val="22"/>
          <w:szCs w:val="22"/>
        </w:rPr>
        <w:t>?</w:t>
      </w:r>
      <w:r w:rsidR="00AC2D3E">
        <w:rPr>
          <w:rFonts w:cs="Arial"/>
          <w:sz w:val="22"/>
          <w:szCs w:val="22"/>
        </w:rPr>
        <w:t xml:space="preserve"> Please provide </w:t>
      </w:r>
      <w:r w:rsidR="002D0A9A">
        <w:rPr>
          <w:rFonts w:cs="Arial"/>
          <w:sz w:val="22"/>
          <w:szCs w:val="22"/>
        </w:rPr>
        <w:t xml:space="preserve">a </w:t>
      </w:r>
      <w:r w:rsidR="00AC2D3E">
        <w:rPr>
          <w:rFonts w:cs="Arial"/>
          <w:sz w:val="22"/>
          <w:szCs w:val="22"/>
        </w:rPr>
        <w:t xml:space="preserve">definition of </w:t>
      </w:r>
      <w:r w:rsidR="002D0A9A">
        <w:rPr>
          <w:rFonts w:cs="Arial"/>
          <w:sz w:val="22"/>
          <w:szCs w:val="22"/>
        </w:rPr>
        <w:t xml:space="preserve">the relevant </w:t>
      </w:r>
      <w:r w:rsidR="00AC2D3E">
        <w:rPr>
          <w:rFonts w:cs="Arial"/>
          <w:sz w:val="22"/>
          <w:szCs w:val="22"/>
        </w:rPr>
        <w:t>population</w:t>
      </w:r>
      <w:r w:rsidR="002D0A9A">
        <w:rPr>
          <w:rFonts w:cs="Arial"/>
          <w:sz w:val="22"/>
          <w:szCs w:val="22"/>
        </w:rPr>
        <w:t>.</w:t>
      </w:r>
      <w:r w:rsidR="00AC2D3E">
        <w:rPr>
          <w:rFonts w:cs="Arial"/>
          <w:sz w:val="22"/>
          <w:szCs w:val="22"/>
        </w:rPr>
        <w:t xml:space="preserve"> </w:t>
      </w:r>
    </w:p>
    <w:p w14:paraId="262C5A94" w14:textId="77777777" w:rsidR="00F239AF" w:rsidRDefault="00F239AF" w:rsidP="003B48AE">
      <w:pPr>
        <w:pStyle w:val="ListParagraph"/>
        <w:spacing w:before="120" w:after="120"/>
        <w:ind w:left="360"/>
        <w:rPr>
          <w:rFonts w:cs="Arial"/>
          <w:sz w:val="22"/>
          <w:szCs w:val="22"/>
        </w:rPr>
      </w:pPr>
    </w:p>
    <w:p w14:paraId="6979B020" w14:textId="6A3B5415" w:rsidR="002559FD" w:rsidRPr="003B48AE" w:rsidRDefault="00D80FD6" w:rsidP="003B48AE">
      <w:pPr>
        <w:pStyle w:val="ListParagraph"/>
        <w:numPr>
          <w:ilvl w:val="0"/>
          <w:numId w:val="39"/>
        </w:numPr>
        <w:spacing w:before="120" w:after="120"/>
        <w:rPr>
          <w:rFonts w:cs="Arial"/>
          <w:sz w:val="22"/>
          <w:szCs w:val="22"/>
        </w:rPr>
      </w:pPr>
      <w:r>
        <w:rPr>
          <w:rFonts w:cs="Arial"/>
          <w:sz w:val="22"/>
          <w:szCs w:val="22"/>
        </w:rPr>
        <w:t>Are</w:t>
      </w:r>
      <w:r w:rsidR="00F239AF" w:rsidRPr="002559FD">
        <w:rPr>
          <w:rFonts w:cs="Arial"/>
          <w:sz w:val="22"/>
          <w:szCs w:val="22"/>
        </w:rPr>
        <w:t xml:space="preserve"> all relevant comparators included? </w:t>
      </w:r>
      <w:r w:rsidR="002559FD" w:rsidRPr="003B48AE">
        <w:rPr>
          <w:rFonts w:cs="Arial"/>
          <w:sz w:val="22"/>
          <w:szCs w:val="22"/>
        </w:rPr>
        <w:t>Are</w:t>
      </w:r>
      <w:r w:rsidR="002613AF">
        <w:rPr>
          <w:rFonts w:cs="Arial"/>
          <w:sz w:val="22"/>
          <w:szCs w:val="22"/>
        </w:rPr>
        <w:t xml:space="preserve"> </w:t>
      </w:r>
      <w:r w:rsidR="00DD0F60">
        <w:rPr>
          <w:rFonts w:cs="Arial"/>
          <w:sz w:val="22"/>
          <w:szCs w:val="22"/>
        </w:rPr>
        <w:t>clonidine or</w:t>
      </w:r>
      <w:r w:rsidR="002559FD" w:rsidRPr="003B48AE">
        <w:rPr>
          <w:rFonts w:cs="Arial"/>
          <w:sz w:val="22"/>
          <w:szCs w:val="22"/>
        </w:rPr>
        <w:t xml:space="preserve"> </w:t>
      </w:r>
      <w:r w:rsidR="002613AF" w:rsidRPr="002613AF">
        <w:rPr>
          <w:rFonts w:cs="Arial"/>
          <w:sz w:val="22"/>
          <w:szCs w:val="22"/>
        </w:rPr>
        <w:t>anti-</w:t>
      </w:r>
      <w:proofErr w:type="spellStart"/>
      <w:r w:rsidR="002613AF" w:rsidRPr="002613AF">
        <w:rPr>
          <w:rFonts w:cs="Arial"/>
          <w:sz w:val="22"/>
          <w:szCs w:val="22"/>
        </w:rPr>
        <w:t>convulsants</w:t>
      </w:r>
      <w:proofErr w:type="spellEnd"/>
      <w:r w:rsidR="002613AF" w:rsidRPr="002613AF">
        <w:rPr>
          <w:rFonts w:cs="Arial"/>
          <w:sz w:val="22"/>
          <w:szCs w:val="22"/>
        </w:rPr>
        <w:t xml:space="preserve"> such as gabapentin and pregabalin </w:t>
      </w:r>
      <w:r w:rsidR="002559FD" w:rsidRPr="003B48AE">
        <w:rPr>
          <w:rFonts w:cs="Arial"/>
          <w:sz w:val="22"/>
          <w:szCs w:val="22"/>
        </w:rPr>
        <w:t>relevant comparators</w:t>
      </w:r>
      <w:r w:rsidR="002559FD" w:rsidRPr="002559FD">
        <w:t xml:space="preserve"> </w:t>
      </w:r>
      <w:r w:rsidR="00E551B8">
        <w:t xml:space="preserve">for </w:t>
      </w:r>
      <w:r w:rsidR="002559FD" w:rsidRPr="003B48AE">
        <w:rPr>
          <w:rFonts w:cs="Arial"/>
          <w:sz w:val="22"/>
          <w:szCs w:val="22"/>
        </w:rPr>
        <w:t>people for whom HRT is not considered suitable?</w:t>
      </w:r>
    </w:p>
    <w:p w14:paraId="4CB65B55" w14:textId="5670943F" w:rsidR="002F4C6C" w:rsidRPr="003F237C" w:rsidRDefault="002F4C6C" w:rsidP="00C418D4">
      <w:pPr>
        <w:spacing w:before="240"/>
        <w:rPr>
          <w:rFonts w:cs="Arial"/>
          <w:sz w:val="22"/>
          <w:szCs w:val="22"/>
        </w:rPr>
      </w:pPr>
      <w:r w:rsidRPr="003F237C">
        <w:rPr>
          <w:rFonts w:cs="Arial"/>
          <w:sz w:val="22"/>
          <w:szCs w:val="22"/>
        </w:rPr>
        <w:t xml:space="preserve">Please select from the following, will </w:t>
      </w:r>
      <w:r w:rsidR="00295A4B" w:rsidRPr="00295A4B">
        <w:rPr>
          <w:rFonts w:cs="Arial"/>
          <w:sz w:val="22"/>
          <w:szCs w:val="22"/>
        </w:rPr>
        <w:t>elinzanetant</w:t>
      </w:r>
      <w:r w:rsidRPr="003F237C">
        <w:rPr>
          <w:rFonts w:cs="Arial"/>
          <w:sz w:val="22"/>
          <w:szCs w:val="22"/>
        </w:rPr>
        <w:t xml:space="preserve"> be:</w:t>
      </w:r>
    </w:p>
    <w:p w14:paraId="0ADABC80" w14:textId="77777777" w:rsidR="002F4C6C" w:rsidRPr="003F237C" w:rsidRDefault="002F4C6C" w:rsidP="002F4C6C">
      <w:pPr>
        <w:rPr>
          <w:rFonts w:cs="Arial"/>
          <w:sz w:val="22"/>
          <w:szCs w:val="22"/>
        </w:rPr>
      </w:pPr>
      <w:r w:rsidRPr="003F237C">
        <w:rPr>
          <w:rFonts w:cs="Arial"/>
          <w:sz w:val="22"/>
          <w:szCs w:val="22"/>
        </w:rPr>
        <w:t>A.</w:t>
      </w:r>
      <w:r w:rsidRPr="003F237C">
        <w:rPr>
          <w:rFonts w:cs="Arial"/>
          <w:sz w:val="22"/>
          <w:szCs w:val="22"/>
        </w:rPr>
        <w:tab/>
        <w:t>Prescribed in primary care with routine follow-up in primary care</w:t>
      </w:r>
    </w:p>
    <w:p w14:paraId="047E2E34" w14:textId="77777777" w:rsidR="002F4C6C" w:rsidRPr="003F237C" w:rsidRDefault="002F4C6C" w:rsidP="002F4C6C">
      <w:pPr>
        <w:rPr>
          <w:rFonts w:cs="Arial"/>
          <w:sz w:val="22"/>
          <w:szCs w:val="22"/>
        </w:rPr>
      </w:pPr>
      <w:r w:rsidRPr="003F237C">
        <w:rPr>
          <w:rFonts w:cs="Arial"/>
          <w:sz w:val="22"/>
          <w:szCs w:val="22"/>
        </w:rPr>
        <w:t>B.</w:t>
      </w:r>
      <w:r w:rsidRPr="003F237C">
        <w:rPr>
          <w:rFonts w:cs="Arial"/>
          <w:sz w:val="22"/>
          <w:szCs w:val="22"/>
        </w:rPr>
        <w:tab/>
        <w:t>Prescribed in secondary care with routine follow-up in primary care</w:t>
      </w:r>
    </w:p>
    <w:p w14:paraId="77BF411A" w14:textId="77777777" w:rsidR="002F4C6C" w:rsidRPr="003F237C" w:rsidRDefault="002F4C6C" w:rsidP="002F4C6C">
      <w:pPr>
        <w:rPr>
          <w:rFonts w:cs="Arial"/>
          <w:sz w:val="22"/>
          <w:szCs w:val="22"/>
        </w:rPr>
      </w:pPr>
      <w:r w:rsidRPr="003F237C">
        <w:rPr>
          <w:rFonts w:cs="Arial"/>
          <w:sz w:val="22"/>
          <w:szCs w:val="22"/>
        </w:rPr>
        <w:t>C.</w:t>
      </w:r>
      <w:r w:rsidRPr="003F237C">
        <w:rPr>
          <w:rFonts w:cs="Arial"/>
          <w:sz w:val="22"/>
          <w:szCs w:val="22"/>
        </w:rPr>
        <w:tab/>
        <w:t>Prescribed in secondary care with routine follow-up in secondary care</w:t>
      </w:r>
    </w:p>
    <w:p w14:paraId="7F3175D5" w14:textId="77777777" w:rsidR="002F4C6C" w:rsidRPr="003F237C" w:rsidRDefault="002F4C6C" w:rsidP="002F4C6C">
      <w:pPr>
        <w:rPr>
          <w:rFonts w:cs="Arial"/>
          <w:sz w:val="22"/>
          <w:szCs w:val="22"/>
        </w:rPr>
      </w:pPr>
      <w:r w:rsidRPr="003F237C">
        <w:rPr>
          <w:rFonts w:cs="Arial"/>
          <w:sz w:val="22"/>
          <w:szCs w:val="22"/>
        </w:rPr>
        <w:t>D.</w:t>
      </w:r>
      <w:r w:rsidRPr="003F237C">
        <w:rPr>
          <w:rFonts w:cs="Arial"/>
          <w:sz w:val="22"/>
          <w:szCs w:val="22"/>
        </w:rPr>
        <w:tab/>
        <w:t>Other (please give details):</w:t>
      </w:r>
    </w:p>
    <w:p w14:paraId="15492A7F" w14:textId="77777777" w:rsidR="00E551B8" w:rsidRDefault="00E551B8" w:rsidP="002F4C6C">
      <w:pPr>
        <w:rPr>
          <w:rFonts w:cs="Arial"/>
          <w:sz w:val="22"/>
          <w:szCs w:val="22"/>
        </w:rPr>
      </w:pPr>
    </w:p>
    <w:p w14:paraId="008B4903" w14:textId="0803CFD7" w:rsidR="002F4C6C" w:rsidRPr="003F237C" w:rsidRDefault="002F4C6C" w:rsidP="002F4C6C">
      <w:pPr>
        <w:rPr>
          <w:rFonts w:cs="Arial"/>
          <w:sz w:val="22"/>
          <w:szCs w:val="22"/>
        </w:rPr>
      </w:pPr>
      <w:r w:rsidRPr="003F237C">
        <w:rPr>
          <w:rFonts w:cs="Arial"/>
          <w:sz w:val="22"/>
          <w:szCs w:val="22"/>
        </w:rPr>
        <w:t>For comparators and subsequent treatments, please detail if the setting for prescribing and routine follow-up differs from the intervention.</w:t>
      </w:r>
    </w:p>
    <w:p w14:paraId="5A69CB66" w14:textId="732E3344" w:rsidR="00E9238E" w:rsidRPr="003F237C" w:rsidRDefault="006223DA" w:rsidP="00923340">
      <w:pPr>
        <w:spacing w:before="120" w:after="120"/>
        <w:rPr>
          <w:rFonts w:cs="Arial"/>
          <w:sz w:val="22"/>
          <w:szCs w:val="22"/>
        </w:rPr>
      </w:pPr>
      <w:r w:rsidRPr="003F237C">
        <w:rPr>
          <w:rFonts w:cs="Arial"/>
          <w:sz w:val="22"/>
          <w:szCs w:val="22"/>
        </w:rPr>
        <w:t xml:space="preserve">Would </w:t>
      </w:r>
      <w:r w:rsidR="00295A4B" w:rsidRPr="00295A4B">
        <w:rPr>
          <w:rFonts w:cs="Arial"/>
          <w:sz w:val="22"/>
          <w:szCs w:val="22"/>
        </w:rPr>
        <w:t xml:space="preserve">elinzanetant </w:t>
      </w:r>
      <w:r w:rsidRPr="003F237C">
        <w:rPr>
          <w:rFonts w:cs="Arial"/>
          <w:sz w:val="22"/>
          <w:szCs w:val="22"/>
        </w:rPr>
        <w:t>be a candidate for managed access?</w:t>
      </w:r>
      <w:r w:rsidR="00E9238E" w:rsidRPr="003F237C">
        <w:rPr>
          <w:rFonts w:cs="Arial"/>
          <w:sz w:val="22"/>
          <w:szCs w:val="22"/>
        </w:rPr>
        <w:t xml:space="preserve"> </w:t>
      </w:r>
    </w:p>
    <w:p w14:paraId="27ACFC6C" w14:textId="21B02E9F" w:rsidR="006223DA" w:rsidRPr="003F237C" w:rsidRDefault="006223DA" w:rsidP="00923340">
      <w:pPr>
        <w:spacing w:before="120" w:after="120"/>
        <w:rPr>
          <w:rFonts w:cs="Arial"/>
          <w:sz w:val="22"/>
          <w:szCs w:val="22"/>
        </w:rPr>
      </w:pPr>
      <w:r w:rsidRPr="003F237C">
        <w:rPr>
          <w:rFonts w:cs="Arial"/>
          <w:sz w:val="22"/>
          <w:szCs w:val="22"/>
        </w:rPr>
        <w:t xml:space="preserve">Do you consider that the use of </w:t>
      </w:r>
      <w:r w:rsidR="00295A4B" w:rsidRPr="00295A4B">
        <w:rPr>
          <w:rFonts w:cs="Arial"/>
          <w:sz w:val="22"/>
          <w:szCs w:val="22"/>
        </w:rPr>
        <w:t>elinzanetant</w:t>
      </w:r>
      <w:r w:rsidRPr="003F237C">
        <w:rPr>
          <w:rFonts w:cs="Arial"/>
          <w:sz w:val="22"/>
          <w:szCs w:val="22"/>
        </w:rPr>
        <w:t xml:space="preserve"> can result in any potential substantial health-related benefits that are unlikely to be included in the QALY calculation? </w:t>
      </w:r>
    </w:p>
    <w:p w14:paraId="325C7215" w14:textId="77777777" w:rsidR="006223DA" w:rsidRPr="003F237C" w:rsidRDefault="006223DA" w:rsidP="00923340">
      <w:pPr>
        <w:spacing w:before="120" w:after="120"/>
        <w:rPr>
          <w:rFonts w:cs="Arial"/>
          <w:sz w:val="22"/>
          <w:szCs w:val="22"/>
        </w:rPr>
      </w:pPr>
      <w:r w:rsidRPr="003F237C">
        <w:rPr>
          <w:rFonts w:cs="Arial"/>
          <w:sz w:val="22"/>
          <w:szCs w:val="22"/>
        </w:rPr>
        <w:t>Please identify the nature of the data which you understand to be available to enable the committee to take account of these benefits.</w:t>
      </w:r>
    </w:p>
    <w:p w14:paraId="284E74DB" w14:textId="77777777" w:rsidR="00CC0DA6" w:rsidRPr="000844A3" w:rsidRDefault="00CC0DA6" w:rsidP="00245358">
      <w:pPr>
        <w:pStyle w:val="BodyText"/>
        <w:rPr>
          <w:rFonts w:cs="Arial"/>
          <w:sz w:val="22"/>
          <w:szCs w:val="22"/>
          <w:lang w:val="en-GB"/>
        </w:rPr>
      </w:pPr>
      <w:r w:rsidRPr="003F237C">
        <w:rPr>
          <w:rFonts w:cs="Arial"/>
          <w:sz w:val="22"/>
          <w:szCs w:val="22"/>
          <w:lang w:val="en-GB"/>
        </w:rPr>
        <w:t xml:space="preserve">NICE is committed to promoting equality of opportunity, eliminating unlawful discrimination and fostering good relations between people with </w:t>
      </w:r>
      <w:proofErr w:type="gramStart"/>
      <w:r w:rsidRPr="003F237C">
        <w:rPr>
          <w:rFonts w:cs="Arial"/>
          <w:sz w:val="22"/>
          <w:szCs w:val="22"/>
          <w:lang w:val="en-GB"/>
        </w:rPr>
        <w:t>particular protected</w:t>
      </w:r>
      <w:proofErr w:type="gramEnd"/>
      <w:r w:rsidRPr="003F237C">
        <w:rPr>
          <w:rFonts w:cs="Arial"/>
          <w:sz w:val="22"/>
          <w:szCs w:val="22"/>
          <w:lang w:val="en-GB"/>
        </w:rPr>
        <w:t xml:space="preserve"> characteristics and others.  Please let us know if you think that the proposed remit </w:t>
      </w:r>
      <w:r w:rsidRPr="000844A3">
        <w:rPr>
          <w:rFonts w:cs="Arial"/>
          <w:sz w:val="22"/>
          <w:szCs w:val="22"/>
          <w:lang w:val="en-GB"/>
        </w:rPr>
        <w:t xml:space="preserve">and scope may need changing </w:t>
      </w:r>
      <w:proofErr w:type="gramStart"/>
      <w:r w:rsidRPr="000844A3">
        <w:rPr>
          <w:rFonts w:cs="Arial"/>
          <w:sz w:val="22"/>
          <w:szCs w:val="22"/>
          <w:lang w:val="en-GB"/>
        </w:rPr>
        <w:t>in order to</w:t>
      </w:r>
      <w:proofErr w:type="gramEnd"/>
      <w:r w:rsidRPr="000844A3">
        <w:rPr>
          <w:rFonts w:cs="Arial"/>
          <w:sz w:val="22"/>
          <w:szCs w:val="22"/>
          <w:lang w:val="en-GB"/>
        </w:rPr>
        <w:t xml:space="preserve"> meet these aims.  </w:t>
      </w:r>
      <w:proofErr w:type="gramStart"/>
      <w:r w:rsidRPr="000844A3">
        <w:rPr>
          <w:rFonts w:cs="Arial"/>
          <w:sz w:val="22"/>
          <w:szCs w:val="22"/>
          <w:lang w:val="en-GB"/>
        </w:rPr>
        <w:t>In particular, please</w:t>
      </w:r>
      <w:proofErr w:type="gramEnd"/>
      <w:r w:rsidRPr="000844A3">
        <w:rPr>
          <w:rFonts w:cs="Arial"/>
          <w:sz w:val="22"/>
          <w:szCs w:val="22"/>
          <w:lang w:val="en-GB"/>
        </w:rPr>
        <w:t xml:space="preserve"> tell us if the proposed remit and scope: </w:t>
      </w:r>
    </w:p>
    <w:p w14:paraId="64E5AE47" w14:textId="50DE95D2" w:rsidR="00CC0DA6" w:rsidRPr="000844A3" w:rsidRDefault="00CC0DA6" w:rsidP="00BB3553">
      <w:pPr>
        <w:pStyle w:val="BodyText"/>
        <w:numPr>
          <w:ilvl w:val="0"/>
          <w:numId w:val="17"/>
        </w:numPr>
        <w:rPr>
          <w:rFonts w:cs="Arial"/>
          <w:sz w:val="22"/>
          <w:szCs w:val="22"/>
          <w:lang w:val="en-GB"/>
        </w:rPr>
      </w:pPr>
      <w:r w:rsidRPr="000844A3">
        <w:rPr>
          <w:rFonts w:cs="Arial"/>
          <w:sz w:val="22"/>
          <w:szCs w:val="22"/>
          <w:lang w:val="en-GB"/>
        </w:rPr>
        <w:t>could exclude from full consideration any people protected by the equality legislation who fall within the patient population for which</w:t>
      </w:r>
      <w:r w:rsidR="000844A3">
        <w:rPr>
          <w:rFonts w:cs="Arial"/>
          <w:sz w:val="22"/>
          <w:szCs w:val="22"/>
          <w:lang w:val="en-GB"/>
        </w:rPr>
        <w:t xml:space="preserve"> the treatment</w:t>
      </w:r>
      <w:r w:rsidRPr="000844A3">
        <w:rPr>
          <w:rFonts w:cs="Arial"/>
          <w:sz w:val="22"/>
          <w:szCs w:val="22"/>
          <w:lang w:val="en-GB"/>
        </w:rPr>
        <w:t xml:space="preserve"> is licensed; </w:t>
      </w:r>
    </w:p>
    <w:p w14:paraId="5A5BC6E3" w14:textId="77777777" w:rsidR="00CC0DA6" w:rsidRPr="000844A3" w:rsidRDefault="00CC0DA6" w:rsidP="00CC0DA6">
      <w:pPr>
        <w:pStyle w:val="BodyText"/>
        <w:numPr>
          <w:ilvl w:val="0"/>
          <w:numId w:val="17"/>
        </w:numPr>
        <w:rPr>
          <w:rFonts w:cs="Arial"/>
          <w:sz w:val="22"/>
          <w:szCs w:val="22"/>
          <w:lang w:val="en-GB"/>
        </w:rPr>
      </w:pPr>
      <w:r w:rsidRPr="000844A3">
        <w:rPr>
          <w:rFonts w:cs="Arial"/>
          <w:sz w:val="22"/>
          <w:szCs w:val="22"/>
          <w:lang w:val="en-GB"/>
        </w:rPr>
        <w:t xml:space="preserve">could lead to recommendations that have a different impact on people protected by the equality legislation than on the wider population, e.g. by making it more difficult in practice for a specific group to access the technology; </w:t>
      </w:r>
    </w:p>
    <w:p w14:paraId="0DE9DE4A" w14:textId="77777777" w:rsidR="00CC0DA6" w:rsidRPr="000844A3" w:rsidRDefault="00CC0DA6" w:rsidP="00CC0DA6">
      <w:pPr>
        <w:pStyle w:val="BodyText"/>
        <w:numPr>
          <w:ilvl w:val="0"/>
          <w:numId w:val="17"/>
        </w:numPr>
        <w:rPr>
          <w:rFonts w:cs="Arial"/>
          <w:sz w:val="22"/>
          <w:szCs w:val="22"/>
          <w:lang w:val="en-GB"/>
        </w:rPr>
      </w:pPr>
      <w:r w:rsidRPr="000844A3">
        <w:rPr>
          <w:rFonts w:cs="Arial"/>
          <w:sz w:val="22"/>
          <w:szCs w:val="22"/>
          <w:lang w:val="en-GB"/>
        </w:rPr>
        <w:t xml:space="preserve">could have any adverse impact on people with a particular disability or disabilities.  </w:t>
      </w:r>
    </w:p>
    <w:p w14:paraId="60017EF8" w14:textId="77777777" w:rsidR="006C418B" w:rsidRPr="003F237C" w:rsidRDefault="00CC0DA6" w:rsidP="00245358">
      <w:pPr>
        <w:pStyle w:val="BodyText"/>
        <w:rPr>
          <w:rFonts w:cs="Arial"/>
          <w:sz w:val="22"/>
          <w:szCs w:val="22"/>
          <w:lang w:val="en-GB"/>
        </w:rPr>
      </w:pPr>
      <w:r w:rsidRPr="000844A3">
        <w:rPr>
          <w:rFonts w:cs="Arial"/>
          <w:sz w:val="22"/>
          <w:szCs w:val="22"/>
          <w:lang w:val="en-GB"/>
        </w:rPr>
        <w:t xml:space="preserve">Please tell us what evidence should be obtained to enable the </w:t>
      </w:r>
      <w:r w:rsidR="00C77511" w:rsidRPr="000844A3">
        <w:rPr>
          <w:rFonts w:cs="Arial"/>
          <w:sz w:val="22"/>
          <w:szCs w:val="22"/>
          <w:lang w:val="en-GB"/>
        </w:rPr>
        <w:t>c</w:t>
      </w:r>
      <w:r w:rsidRPr="000844A3">
        <w:rPr>
          <w:rFonts w:cs="Arial"/>
          <w:sz w:val="22"/>
          <w:szCs w:val="22"/>
          <w:lang w:val="en-GB"/>
        </w:rPr>
        <w:t>ommittee to identify and consider such impacts.</w:t>
      </w:r>
    </w:p>
    <w:p w14:paraId="60B70845" w14:textId="6E1F7306" w:rsidR="00931746" w:rsidRPr="003B48AE" w:rsidRDefault="00C527C6" w:rsidP="00C527C6">
      <w:pPr>
        <w:rPr>
          <w:rFonts w:cs="Arial"/>
          <w:sz w:val="22"/>
          <w:szCs w:val="22"/>
        </w:rPr>
      </w:pPr>
      <w:r w:rsidRPr="003B48AE">
        <w:rPr>
          <w:rFonts w:cs="Arial"/>
          <w:sz w:val="22"/>
          <w:szCs w:val="22"/>
        </w:rPr>
        <w:t>NICE intends to evaluate this technology through its Single Technology Appraisal process</w:t>
      </w:r>
      <w:r w:rsidR="00931746" w:rsidRPr="003B48AE">
        <w:rPr>
          <w:rFonts w:cs="Arial"/>
          <w:sz w:val="22"/>
          <w:szCs w:val="22"/>
        </w:rPr>
        <w:t xml:space="preserve">. (Information on NICE’s health technology evaluation processes </w:t>
      </w:r>
      <w:proofErr w:type="gramStart"/>
      <w:r w:rsidR="00931746" w:rsidRPr="003B48AE">
        <w:rPr>
          <w:rFonts w:cs="Arial"/>
          <w:sz w:val="22"/>
          <w:szCs w:val="22"/>
        </w:rPr>
        <w:t>is</w:t>
      </w:r>
      <w:proofErr w:type="gramEnd"/>
      <w:r w:rsidR="00931746" w:rsidRPr="003B48AE">
        <w:rPr>
          <w:rFonts w:cs="Arial"/>
          <w:sz w:val="22"/>
          <w:szCs w:val="22"/>
        </w:rPr>
        <w:t xml:space="preserve"> available at </w:t>
      </w:r>
      <w:hyperlink r:id="rId19" w:history="1">
        <w:r w:rsidR="00CE52CC" w:rsidRPr="003B48AE">
          <w:rPr>
            <w:rStyle w:val="Hyperlink"/>
            <w:rFonts w:cs="Arial"/>
            <w:sz w:val="22"/>
            <w:szCs w:val="22"/>
          </w:rPr>
          <w:t>https://www.nice.org.uk/about/what-we-do/our-programmes/nice-guidance/nice-technology-appraisal-guidance/changes-to-health-technology-evaluation</w:t>
        </w:r>
      </w:hyperlink>
      <w:r w:rsidR="00931746" w:rsidRPr="003B48AE">
        <w:rPr>
          <w:rFonts w:cs="Arial"/>
          <w:sz w:val="22"/>
          <w:szCs w:val="22"/>
        </w:rPr>
        <w:t>).</w:t>
      </w:r>
    </w:p>
    <w:p w14:paraId="2C38AE77" w14:textId="77777777" w:rsidR="00931746" w:rsidRPr="003F237C" w:rsidRDefault="00931746" w:rsidP="00C527C6">
      <w:pPr>
        <w:rPr>
          <w:rFonts w:cs="Arial"/>
          <w:sz w:val="22"/>
          <w:szCs w:val="22"/>
          <w:highlight w:val="yellow"/>
        </w:rPr>
      </w:pPr>
    </w:p>
    <w:p w14:paraId="2DC5F6B8" w14:textId="77777777" w:rsidR="00D95441" w:rsidRPr="003F237C" w:rsidRDefault="00D95441" w:rsidP="00D95441">
      <w:pPr>
        <w:pStyle w:val="Heading1"/>
        <w:spacing w:before="240"/>
        <w:rPr>
          <w:rFonts w:cs="Arial"/>
          <w:sz w:val="22"/>
          <w:szCs w:val="22"/>
          <w:lang w:val="en-GB"/>
        </w:rPr>
      </w:pPr>
      <w:r w:rsidRPr="003F237C">
        <w:rPr>
          <w:rFonts w:cs="Arial"/>
          <w:sz w:val="22"/>
          <w:szCs w:val="22"/>
          <w:lang w:val="en-GB"/>
        </w:rPr>
        <w:lastRenderedPageBreak/>
        <w:t>References</w:t>
      </w:r>
    </w:p>
    <w:p w14:paraId="5AC5E387" w14:textId="5A45675C" w:rsidR="008678A0" w:rsidRDefault="005E1CF2" w:rsidP="008678A0">
      <w:pPr>
        <w:pStyle w:val="BodyText"/>
        <w:numPr>
          <w:ilvl w:val="0"/>
          <w:numId w:val="33"/>
        </w:numPr>
        <w:rPr>
          <w:rFonts w:cs="Arial"/>
          <w:sz w:val="22"/>
          <w:szCs w:val="22"/>
          <w:lang w:val="en-GB"/>
        </w:rPr>
      </w:pPr>
      <w:r w:rsidRPr="003B48AE">
        <w:t xml:space="preserve">BMJ Best Practice. </w:t>
      </w:r>
      <w:r>
        <w:rPr>
          <w:rFonts w:cs="Arial"/>
          <w:sz w:val="22"/>
          <w:szCs w:val="22"/>
          <w:lang w:val="en-GB"/>
        </w:rPr>
        <w:fldChar w:fldCharType="begin"/>
      </w:r>
      <w:r>
        <w:rPr>
          <w:rFonts w:cs="Arial"/>
          <w:sz w:val="22"/>
          <w:szCs w:val="22"/>
          <w:lang w:val="en-GB"/>
        </w:rPr>
        <w:instrText>HYPERLINK "https://bestpractice.bmj.com/topics/en-gb/194/epidemiology"</w:instrText>
      </w:r>
      <w:r>
        <w:rPr>
          <w:rFonts w:cs="Arial"/>
          <w:sz w:val="22"/>
          <w:szCs w:val="22"/>
          <w:lang w:val="en-GB"/>
        </w:rPr>
      </w:r>
      <w:r>
        <w:rPr>
          <w:rFonts w:cs="Arial"/>
          <w:sz w:val="22"/>
          <w:szCs w:val="22"/>
          <w:lang w:val="en-GB"/>
        </w:rPr>
        <w:fldChar w:fldCharType="separate"/>
      </w:r>
      <w:r w:rsidRPr="005E1CF2">
        <w:rPr>
          <w:rStyle w:val="Hyperlink"/>
          <w:rFonts w:cs="Arial"/>
          <w:sz w:val="22"/>
          <w:szCs w:val="22"/>
          <w:lang w:val="en-GB"/>
        </w:rPr>
        <w:t>Menopause - Epidemiology</w:t>
      </w:r>
      <w:r>
        <w:rPr>
          <w:rFonts w:cs="Arial"/>
          <w:sz w:val="22"/>
          <w:szCs w:val="22"/>
          <w:lang w:val="en-GB"/>
        </w:rPr>
        <w:fldChar w:fldCharType="end"/>
      </w:r>
      <w:r w:rsidR="008678A0">
        <w:rPr>
          <w:rFonts w:cs="Arial"/>
          <w:sz w:val="22"/>
          <w:szCs w:val="22"/>
          <w:lang w:val="en-GB"/>
        </w:rPr>
        <w:t xml:space="preserve">. Accessed 23 </w:t>
      </w:r>
      <w:r w:rsidR="004840BB">
        <w:rPr>
          <w:rFonts w:cs="Arial"/>
          <w:sz w:val="22"/>
          <w:szCs w:val="22"/>
          <w:lang w:val="en-GB"/>
        </w:rPr>
        <w:t>June 2026</w:t>
      </w:r>
      <w:r w:rsidR="008678A0">
        <w:rPr>
          <w:rFonts w:cs="Arial"/>
          <w:sz w:val="22"/>
          <w:szCs w:val="22"/>
          <w:lang w:val="en-GB"/>
        </w:rPr>
        <w:t>.</w:t>
      </w:r>
    </w:p>
    <w:p w14:paraId="1F9277E9" w14:textId="58663095" w:rsidR="00A83C9A" w:rsidRPr="00A83C9A" w:rsidRDefault="00A83C9A" w:rsidP="00A83C9A">
      <w:pPr>
        <w:pStyle w:val="ListParagraph"/>
        <w:numPr>
          <w:ilvl w:val="0"/>
          <w:numId w:val="33"/>
        </w:numPr>
        <w:rPr>
          <w:rFonts w:cs="Arial"/>
          <w:sz w:val="22"/>
          <w:szCs w:val="22"/>
        </w:rPr>
      </w:pPr>
      <w:r w:rsidRPr="00A83C9A">
        <w:rPr>
          <w:rFonts w:cs="Arial"/>
          <w:sz w:val="22"/>
          <w:szCs w:val="22"/>
        </w:rPr>
        <w:t xml:space="preserve">Hickey, M., Szabo, R.A. and Hunter, M.S. (2017) </w:t>
      </w:r>
      <w:hyperlink r:id="rId20" w:history="1">
        <w:proofErr w:type="gramStart"/>
        <w:r w:rsidRPr="00442558">
          <w:rPr>
            <w:rStyle w:val="Hyperlink"/>
            <w:rFonts w:cs="Arial"/>
            <w:sz w:val="22"/>
            <w:szCs w:val="22"/>
          </w:rPr>
          <w:t>Non-hormonal</w:t>
        </w:r>
        <w:proofErr w:type="gramEnd"/>
        <w:r w:rsidRPr="00442558">
          <w:rPr>
            <w:rStyle w:val="Hyperlink"/>
            <w:rFonts w:cs="Arial"/>
            <w:sz w:val="22"/>
            <w:szCs w:val="22"/>
          </w:rPr>
          <w:t xml:space="preserve"> treatments for menopausal symptoms</w:t>
        </w:r>
      </w:hyperlink>
      <w:r w:rsidRPr="00A83C9A">
        <w:rPr>
          <w:rFonts w:cs="Arial"/>
          <w:sz w:val="22"/>
          <w:szCs w:val="22"/>
        </w:rPr>
        <w:t>. British Medical Journal 359.</w:t>
      </w:r>
    </w:p>
    <w:p w14:paraId="148C54EC" w14:textId="77777777" w:rsidR="00A83C9A" w:rsidRDefault="00A83C9A" w:rsidP="003B48AE">
      <w:pPr>
        <w:pStyle w:val="BodyText"/>
        <w:ind w:left="360"/>
        <w:rPr>
          <w:rFonts w:cs="Arial"/>
          <w:sz w:val="22"/>
          <w:szCs w:val="22"/>
        </w:rPr>
      </w:pPr>
    </w:p>
    <w:p w14:paraId="675E47C8" w14:textId="02946F1B" w:rsidR="004C1536" w:rsidRPr="003F237C" w:rsidRDefault="004C1536" w:rsidP="008678A0">
      <w:pPr>
        <w:pStyle w:val="BodyText"/>
        <w:rPr>
          <w:rFonts w:cs="Arial"/>
          <w:sz w:val="22"/>
          <w:szCs w:val="22"/>
          <w:lang w:val="en-GB"/>
        </w:rPr>
      </w:pPr>
    </w:p>
    <w:sectPr w:rsidR="004C1536" w:rsidRPr="003F237C" w:rsidSect="00792C5C">
      <w:headerReference w:type="default" r:id="rId21"/>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5B41" w14:textId="77777777" w:rsidR="00A21D8D" w:rsidRDefault="00A21D8D">
      <w:r>
        <w:separator/>
      </w:r>
    </w:p>
  </w:endnote>
  <w:endnote w:type="continuationSeparator" w:id="0">
    <w:p w14:paraId="4BAF3B67" w14:textId="77777777" w:rsidR="00A21D8D" w:rsidRDefault="00A21D8D">
      <w:r>
        <w:continuationSeparator/>
      </w:r>
    </w:p>
  </w:endnote>
  <w:endnote w:type="continuationNotice" w:id="1">
    <w:p w14:paraId="77D32816" w14:textId="77777777" w:rsidR="00A21D8D" w:rsidRDefault="00A21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570D" w14:textId="77777777" w:rsidR="00C67E2F" w:rsidRDefault="00C67E2F">
    <w:pPr>
      <w:pStyle w:val="Footer"/>
      <w:rPr>
        <w:sz w:val="20"/>
      </w:rPr>
    </w:pPr>
  </w:p>
  <w:p w14:paraId="17BC82FD" w14:textId="77777777" w:rsidR="00C67E2F" w:rsidRDefault="00C67E2F">
    <w:pPr>
      <w:pStyle w:val="Footer"/>
      <w:rPr>
        <w:sz w:val="20"/>
      </w:rPr>
    </w:pPr>
    <w:r>
      <w:rPr>
        <w:sz w:val="20"/>
      </w:rPr>
      <w:t xml:space="preserve">Draft scope for the </w:t>
    </w:r>
    <w:r w:rsidR="000C52F6">
      <w:rPr>
        <w:sz w:val="20"/>
      </w:rPr>
      <w:t xml:space="preserve">evaluation </w:t>
    </w:r>
    <w:r>
      <w:rPr>
        <w:sz w:val="20"/>
      </w:rPr>
      <w:t>of</w:t>
    </w:r>
    <w:r w:rsidR="007E03B6" w:rsidRPr="007E03B6">
      <w:t xml:space="preserve"> </w:t>
    </w:r>
    <w:r w:rsidR="007E03B6">
      <w:rPr>
        <w:sz w:val="20"/>
      </w:rPr>
      <w:t>e</w:t>
    </w:r>
    <w:r w:rsidR="007E03B6" w:rsidRPr="007E03B6">
      <w:rPr>
        <w:sz w:val="20"/>
      </w:rPr>
      <w:t xml:space="preserve">linzanetant for treating </w:t>
    </w:r>
    <w:r w:rsidR="005C0455">
      <w:rPr>
        <w:sz w:val="20"/>
      </w:rPr>
      <w:t xml:space="preserve">moderate to severe </w:t>
    </w:r>
    <w:r w:rsidR="007E03B6" w:rsidRPr="007E03B6">
      <w:rPr>
        <w:sz w:val="20"/>
      </w:rPr>
      <w:t>vasomotor symptoms associated with menopause</w:t>
    </w:r>
    <w:r>
      <w:rPr>
        <w:sz w:val="20"/>
      </w:rPr>
      <w:t xml:space="preserve"> </w:t>
    </w:r>
  </w:p>
  <w:p w14:paraId="35F9E1BA" w14:textId="4036F0CA" w:rsidR="00C67E2F" w:rsidRDefault="00C67E2F">
    <w:pPr>
      <w:pStyle w:val="Footer"/>
      <w:rPr>
        <w:sz w:val="20"/>
      </w:rPr>
    </w:pPr>
    <w:r>
      <w:rPr>
        <w:sz w:val="20"/>
      </w:rPr>
      <w:t xml:space="preserve">Issue Date: </w:t>
    </w:r>
    <w:r w:rsidR="00052A77">
      <w:rPr>
        <w:sz w:val="20"/>
      </w:rPr>
      <w:t>July 2026</w:t>
    </w:r>
    <w:r>
      <w:tab/>
    </w:r>
    <w:r>
      <w:rPr>
        <w:sz w:val="20"/>
      </w:rPr>
      <w:t xml:space="preserve">Page </w:t>
    </w:r>
    <w:r>
      <w:rPr>
        <w:sz w:val="20"/>
      </w:rPr>
      <w:fldChar w:fldCharType="begin"/>
    </w:r>
    <w:r>
      <w:rPr>
        <w:sz w:val="20"/>
      </w:rPr>
      <w:instrText xml:space="preserve"> PAGE </w:instrText>
    </w:r>
    <w:r>
      <w:rPr>
        <w:sz w:val="20"/>
      </w:rPr>
      <w:fldChar w:fldCharType="separate"/>
    </w:r>
    <w:r w:rsidR="006A16FD">
      <w:rPr>
        <w:noProof/>
        <w:sz w:val="20"/>
      </w:rPr>
      <w:t>11</w:t>
    </w:r>
    <w:r>
      <w:rPr>
        <w:sz w:val="20"/>
      </w:rPr>
      <w:fldChar w:fldCharType="end"/>
    </w:r>
    <w:r>
      <w:rPr>
        <w:sz w:val="20"/>
      </w:rPr>
      <w:t xml:space="preserve"> of </w:t>
    </w:r>
    <w:r w:rsidRPr="004C25A1">
      <w:rPr>
        <w:sz w:val="20"/>
      </w:rPr>
      <w:fldChar w:fldCharType="begin"/>
    </w:r>
    <w:r w:rsidRPr="004C25A1">
      <w:rPr>
        <w:sz w:val="20"/>
      </w:rPr>
      <w:instrText xml:space="preserve"> NUMPAGES </w:instrText>
    </w:r>
    <w:r w:rsidRPr="004C25A1">
      <w:rPr>
        <w:sz w:val="20"/>
      </w:rPr>
      <w:fldChar w:fldCharType="separate"/>
    </w:r>
    <w:r w:rsidR="006A16FD">
      <w:rPr>
        <w:noProof/>
        <w:sz w:val="20"/>
      </w:rPr>
      <w:t>11</w:t>
    </w:r>
    <w:r w:rsidRPr="004C25A1">
      <w:rPr>
        <w:sz w:val="20"/>
      </w:rPr>
      <w:fldChar w:fldCharType="end"/>
    </w:r>
  </w:p>
  <w:p w14:paraId="4E5570CA" w14:textId="77777777" w:rsidR="00B10464" w:rsidRPr="004C25A1" w:rsidRDefault="00B10464">
    <w:pPr>
      <w:pStyle w:val="Footer"/>
      <w:rPr>
        <w:sz w:val="20"/>
      </w:rPr>
    </w:pPr>
    <w:r w:rsidRPr="00B10464">
      <w:rPr>
        <w:sz w:val="20"/>
      </w:rPr>
      <w:t xml:space="preserve">© National Institute for Health and Care Excellence </w:t>
    </w:r>
    <w:r w:rsidR="00052A77">
      <w:rPr>
        <w:sz w:val="20"/>
      </w:rPr>
      <w:t>2026</w:t>
    </w:r>
    <w:r w:rsidRPr="00B10464">
      <w:rPr>
        <w:sz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A80F" w14:textId="77777777" w:rsidR="00A21D8D" w:rsidRDefault="00A21D8D">
      <w:r>
        <w:separator/>
      </w:r>
    </w:p>
  </w:footnote>
  <w:footnote w:type="continuationSeparator" w:id="0">
    <w:p w14:paraId="569B749D" w14:textId="77777777" w:rsidR="00A21D8D" w:rsidRDefault="00A21D8D">
      <w:r>
        <w:continuationSeparator/>
      </w:r>
    </w:p>
  </w:footnote>
  <w:footnote w:type="continuationNotice" w:id="1">
    <w:p w14:paraId="2DDBBC9C" w14:textId="77777777" w:rsidR="00A21D8D" w:rsidRDefault="00A21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3109" w14:textId="77777777" w:rsidR="00C67E2F" w:rsidRDefault="006B5D1A" w:rsidP="00406CE0">
    <w:pPr>
      <w:pStyle w:val="Header"/>
      <w:rPr>
        <w:b/>
      </w:rPr>
    </w:pPr>
    <w:r>
      <w:rPr>
        <w:b/>
      </w:rPr>
      <w:tab/>
    </w:r>
    <w:r w:rsidR="00C67E2F">
      <w:rPr>
        <w:b/>
      </w:rPr>
      <w:tab/>
      <w:t>Appendix B</w:t>
    </w:r>
  </w:p>
  <w:p w14:paraId="6994F0E5" w14:textId="77777777" w:rsidR="00C67E2F" w:rsidRDefault="00C67E2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3E4"/>
    <w:multiLevelType w:val="hybridMultilevel"/>
    <w:tmpl w:val="6538B2A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731FDE"/>
    <w:multiLevelType w:val="hybridMultilevel"/>
    <w:tmpl w:val="65E475A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37F5308"/>
    <w:multiLevelType w:val="hybridMultilevel"/>
    <w:tmpl w:val="1D209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164CB"/>
    <w:multiLevelType w:val="hybridMultilevel"/>
    <w:tmpl w:val="2CC0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D6B99"/>
    <w:multiLevelType w:val="hybridMultilevel"/>
    <w:tmpl w:val="8B687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10C95"/>
    <w:multiLevelType w:val="hybridMultilevel"/>
    <w:tmpl w:val="B99A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B4DD9"/>
    <w:multiLevelType w:val="hybridMultilevel"/>
    <w:tmpl w:val="7D16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42F5E"/>
    <w:multiLevelType w:val="hybridMultilevel"/>
    <w:tmpl w:val="ACEC89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51057"/>
    <w:multiLevelType w:val="hybridMultilevel"/>
    <w:tmpl w:val="164484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2B7EB0"/>
    <w:multiLevelType w:val="hybridMultilevel"/>
    <w:tmpl w:val="F996A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C6AEB"/>
    <w:multiLevelType w:val="hybridMultilevel"/>
    <w:tmpl w:val="11400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766F79"/>
    <w:multiLevelType w:val="hybridMultilevel"/>
    <w:tmpl w:val="7D7A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A504D"/>
    <w:multiLevelType w:val="hybridMultilevel"/>
    <w:tmpl w:val="3B9AD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92931"/>
    <w:multiLevelType w:val="hybridMultilevel"/>
    <w:tmpl w:val="03B0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54ECE"/>
    <w:multiLevelType w:val="hybridMultilevel"/>
    <w:tmpl w:val="557009B4"/>
    <w:lvl w:ilvl="0" w:tplc="95C2D4F2">
      <w:start w:val="1"/>
      <w:numFmt w:val="bullet"/>
      <w:lvlText w:val=""/>
      <w:lvlJc w:val="left"/>
      <w:pPr>
        <w:ind w:left="720" w:hanging="360"/>
      </w:pPr>
      <w:rPr>
        <w:rFonts w:ascii="Symbol" w:hAnsi="Symbol" w:hint="default"/>
      </w:rPr>
    </w:lvl>
    <w:lvl w:ilvl="1" w:tplc="CD5E4984">
      <w:start w:val="1"/>
      <w:numFmt w:val="bullet"/>
      <w:lvlText w:val="o"/>
      <w:lvlJc w:val="left"/>
      <w:pPr>
        <w:ind w:left="1440" w:hanging="360"/>
      </w:pPr>
      <w:rPr>
        <w:rFonts w:ascii="Courier New" w:hAnsi="Courier New" w:hint="default"/>
      </w:rPr>
    </w:lvl>
    <w:lvl w:ilvl="2" w:tplc="AF6439A2">
      <w:start w:val="1"/>
      <w:numFmt w:val="bullet"/>
      <w:lvlText w:val=""/>
      <w:lvlJc w:val="left"/>
      <w:pPr>
        <w:ind w:left="2160" w:hanging="360"/>
      </w:pPr>
      <w:rPr>
        <w:rFonts w:ascii="Wingdings" w:hAnsi="Wingdings" w:hint="default"/>
      </w:rPr>
    </w:lvl>
    <w:lvl w:ilvl="3" w:tplc="6002A5C2">
      <w:start w:val="1"/>
      <w:numFmt w:val="bullet"/>
      <w:lvlText w:val=""/>
      <w:lvlJc w:val="left"/>
      <w:pPr>
        <w:ind w:left="2880" w:hanging="360"/>
      </w:pPr>
      <w:rPr>
        <w:rFonts w:ascii="Symbol" w:hAnsi="Symbol" w:hint="default"/>
      </w:rPr>
    </w:lvl>
    <w:lvl w:ilvl="4" w:tplc="7254954E">
      <w:start w:val="1"/>
      <w:numFmt w:val="bullet"/>
      <w:lvlText w:val="o"/>
      <w:lvlJc w:val="left"/>
      <w:pPr>
        <w:ind w:left="3600" w:hanging="360"/>
      </w:pPr>
      <w:rPr>
        <w:rFonts w:ascii="Courier New" w:hAnsi="Courier New" w:hint="default"/>
      </w:rPr>
    </w:lvl>
    <w:lvl w:ilvl="5" w:tplc="52726AD6">
      <w:start w:val="1"/>
      <w:numFmt w:val="bullet"/>
      <w:lvlText w:val=""/>
      <w:lvlJc w:val="left"/>
      <w:pPr>
        <w:ind w:left="4320" w:hanging="360"/>
      </w:pPr>
      <w:rPr>
        <w:rFonts w:ascii="Wingdings" w:hAnsi="Wingdings" w:hint="default"/>
      </w:rPr>
    </w:lvl>
    <w:lvl w:ilvl="6" w:tplc="2C9CCFDA">
      <w:start w:val="1"/>
      <w:numFmt w:val="bullet"/>
      <w:lvlText w:val=""/>
      <w:lvlJc w:val="left"/>
      <w:pPr>
        <w:ind w:left="5040" w:hanging="360"/>
      </w:pPr>
      <w:rPr>
        <w:rFonts w:ascii="Symbol" w:hAnsi="Symbol" w:hint="default"/>
      </w:rPr>
    </w:lvl>
    <w:lvl w:ilvl="7" w:tplc="540CDAA4">
      <w:start w:val="1"/>
      <w:numFmt w:val="bullet"/>
      <w:lvlText w:val="o"/>
      <w:lvlJc w:val="left"/>
      <w:pPr>
        <w:ind w:left="5760" w:hanging="360"/>
      </w:pPr>
      <w:rPr>
        <w:rFonts w:ascii="Courier New" w:hAnsi="Courier New" w:hint="default"/>
      </w:rPr>
    </w:lvl>
    <w:lvl w:ilvl="8" w:tplc="4646619C">
      <w:start w:val="1"/>
      <w:numFmt w:val="bullet"/>
      <w:lvlText w:val=""/>
      <w:lvlJc w:val="left"/>
      <w:pPr>
        <w:ind w:left="6480" w:hanging="360"/>
      </w:pPr>
      <w:rPr>
        <w:rFonts w:ascii="Wingdings" w:hAnsi="Wingdings" w:hint="default"/>
      </w:rPr>
    </w:lvl>
  </w:abstractNum>
  <w:abstractNum w:abstractNumId="15" w15:restartNumberingAfterBreak="0">
    <w:nsid w:val="30D22AD1"/>
    <w:multiLevelType w:val="hybridMultilevel"/>
    <w:tmpl w:val="6668FCF2"/>
    <w:lvl w:ilvl="0" w:tplc="9DCE6C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D46736"/>
    <w:multiLevelType w:val="hybridMultilevel"/>
    <w:tmpl w:val="FFE0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5B1E3E"/>
    <w:multiLevelType w:val="hybridMultilevel"/>
    <w:tmpl w:val="A9ACB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A2A1E"/>
    <w:multiLevelType w:val="hybridMultilevel"/>
    <w:tmpl w:val="E9166D0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70E2489"/>
    <w:multiLevelType w:val="multilevel"/>
    <w:tmpl w:val="CF7423B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FD60693"/>
    <w:multiLevelType w:val="hybridMultilevel"/>
    <w:tmpl w:val="BDA87E2A"/>
    <w:lvl w:ilvl="0" w:tplc="7DDCFF46">
      <w:start w:val="20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49F0D47"/>
    <w:multiLevelType w:val="hybridMultilevel"/>
    <w:tmpl w:val="34E0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43471"/>
    <w:multiLevelType w:val="hybridMultilevel"/>
    <w:tmpl w:val="2386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32158F"/>
    <w:multiLevelType w:val="hybridMultilevel"/>
    <w:tmpl w:val="4F804876"/>
    <w:lvl w:ilvl="0" w:tplc="5BFE8248">
      <w:start w:val="1"/>
      <w:numFmt w:val="bullet"/>
      <w:lvlText w:val=""/>
      <w:lvlJc w:val="left"/>
      <w:pPr>
        <w:ind w:left="720" w:hanging="360"/>
      </w:pPr>
      <w:rPr>
        <w:rFonts w:ascii="Symbol" w:hAnsi="Symbol" w:hint="default"/>
      </w:rPr>
    </w:lvl>
    <w:lvl w:ilvl="1" w:tplc="A66C02A0">
      <w:start w:val="1"/>
      <w:numFmt w:val="bullet"/>
      <w:lvlText w:val="o"/>
      <w:lvlJc w:val="left"/>
      <w:pPr>
        <w:ind w:left="1440" w:hanging="360"/>
      </w:pPr>
      <w:rPr>
        <w:rFonts w:ascii="Courier New" w:hAnsi="Courier New" w:hint="default"/>
      </w:rPr>
    </w:lvl>
    <w:lvl w:ilvl="2" w:tplc="0AC207B2">
      <w:start w:val="1"/>
      <w:numFmt w:val="bullet"/>
      <w:lvlText w:val=""/>
      <w:lvlJc w:val="left"/>
      <w:pPr>
        <w:ind w:left="2160" w:hanging="360"/>
      </w:pPr>
      <w:rPr>
        <w:rFonts w:ascii="Wingdings" w:hAnsi="Wingdings" w:hint="default"/>
      </w:rPr>
    </w:lvl>
    <w:lvl w:ilvl="3" w:tplc="A0A68B10">
      <w:start w:val="1"/>
      <w:numFmt w:val="bullet"/>
      <w:lvlText w:val=""/>
      <w:lvlJc w:val="left"/>
      <w:pPr>
        <w:ind w:left="2880" w:hanging="360"/>
      </w:pPr>
      <w:rPr>
        <w:rFonts w:ascii="Symbol" w:hAnsi="Symbol" w:hint="default"/>
      </w:rPr>
    </w:lvl>
    <w:lvl w:ilvl="4" w:tplc="628CF86E">
      <w:start w:val="1"/>
      <w:numFmt w:val="bullet"/>
      <w:lvlText w:val="o"/>
      <w:lvlJc w:val="left"/>
      <w:pPr>
        <w:ind w:left="3600" w:hanging="360"/>
      </w:pPr>
      <w:rPr>
        <w:rFonts w:ascii="Courier New" w:hAnsi="Courier New" w:hint="default"/>
      </w:rPr>
    </w:lvl>
    <w:lvl w:ilvl="5" w:tplc="1BAE50A0">
      <w:start w:val="1"/>
      <w:numFmt w:val="bullet"/>
      <w:lvlText w:val=""/>
      <w:lvlJc w:val="left"/>
      <w:pPr>
        <w:ind w:left="4320" w:hanging="360"/>
      </w:pPr>
      <w:rPr>
        <w:rFonts w:ascii="Wingdings" w:hAnsi="Wingdings" w:hint="default"/>
      </w:rPr>
    </w:lvl>
    <w:lvl w:ilvl="6" w:tplc="799AA672">
      <w:start w:val="1"/>
      <w:numFmt w:val="bullet"/>
      <w:lvlText w:val=""/>
      <w:lvlJc w:val="left"/>
      <w:pPr>
        <w:ind w:left="5040" w:hanging="360"/>
      </w:pPr>
      <w:rPr>
        <w:rFonts w:ascii="Symbol" w:hAnsi="Symbol" w:hint="default"/>
      </w:rPr>
    </w:lvl>
    <w:lvl w:ilvl="7" w:tplc="F5BCE8E6">
      <w:start w:val="1"/>
      <w:numFmt w:val="bullet"/>
      <w:lvlText w:val="o"/>
      <w:lvlJc w:val="left"/>
      <w:pPr>
        <w:ind w:left="5760" w:hanging="360"/>
      </w:pPr>
      <w:rPr>
        <w:rFonts w:ascii="Courier New" w:hAnsi="Courier New" w:hint="default"/>
      </w:rPr>
    </w:lvl>
    <w:lvl w:ilvl="8" w:tplc="5C2453DE">
      <w:start w:val="1"/>
      <w:numFmt w:val="bullet"/>
      <w:lvlText w:val=""/>
      <w:lvlJc w:val="left"/>
      <w:pPr>
        <w:ind w:left="6480" w:hanging="360"/>
      </w:pPr>
      <w:rPr>
        <w:rFonts w:ascii="Wingdings" w:hAnsi="Wingdings" w:hint="default"/>
      </w:rPr>
    </w:lvl>
  </w:abstractNum>
  <w:abstractNum w:abstractNumId="24" w15:restartNumberingAfterBreak="0">
    <w:nsid w:val="573266AB"/>
    <w:multiLevelType w:val="hybridMultilevel"/>
    <w:tmpl w:val="027C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1394B"/>
    <w:multiLevelType w:val="hybridMultilevel"/>
    <w:tmpl w:val="E468034A"/>
    <w:lvl w:ilvl="0" w:tplc="0809000F">
      <w:start w:val="1"/>
      <w:numFmt w:val="decimal"/>
      <w:lvlText w:val="%1."/>
      <w:lvlJc w:val="left"/>
      <w:pPr>
        <w:ind w:left="720" w:hanging="360"/>
      </w:pPr>
    </w:lvl>
    <w:lvl w:ilvl="1" w:tplc="6EA40DD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C65A2"/>
    <w:multiLevelType w:val="hybridMultilevel"/>
    <w:tmpl w:val="6A8A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E4E1D"/>
    <w:multiLevelType w:val="hybridMultilevel"/>
    <w:tmpl w:val="9DA08CB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542D82"/>
    <w:multiLevelType w:val="hybridMultilevel"/>
    <w:tmpl w:val="B05C69F0"/>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9C1F53"/>
    <w:multiLevelType w:val="hybridMultilevel"/>
    <w:tmpl w:val="B96A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0C35EAF"/>
    <w:multiLevelType w:val="hybridMultilevel"/>
    <w:tmpl w:val="D31A3FE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14571EB"/>
    <w:multiLevelType w:val="hybridMultilevel"/>
    <w:tmpl w:val="41A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214D8"/>
    <w:multiLevelType w:val="hybridMultilevel"/>
    <w:tmpl w:val="1DC0D2AE"/>
    <w:lvl w:ilvl="0" w:tplc="08090001">
      <w:start w:val="1"/>
      <w:numFmt w:val="bullet"/>
      <w:lvlText w:val=""/>
      <w:lvlJc w:val="left"/>
      <w:pPr>
        <w:tabs>
          <w:tab w:val="num" w:pos="720"/>
        </w:tabs>
        <w:ind w:left="720" w:hanging="360"/>
      </w:pPr>
      <w:rPr>
        <w:rFonts w:ascii="Symbol" w:hAnsi="Symbol" w:hint="default"/>
      </w:rPr>
    </w:lvl>
    <w:lvl w:ilvl="1" w:tplc="436E3ED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752C5"/>
    <w:multiLevelType w:val="hybridMultilevel"/>
    <w:tmpl w:val="21CAAB2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8A11E7"/>
    <w:multiLevelType w:val="hybridMultilevel"/>
    <w:tmpl w:val="130C3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5E632F"/>
    <w:multiLevelType w:val="hybridMultilevel"/>
    <w:tmpl w:val="C03C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90F3A"/>
    <w:multiLevelType w:val="hybridMultilevel"/>
    <w:tmpl w:val="C9984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44955"/>
    <w:multiLevelType w:val="hybridMultilevel"/>
    <w:tmpl w:val="0122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B2B60"/>
    <w:multiLevelType w:val="hybridMultilevel"/>
    <w:tmpl w:val="541C5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0673937">
    <w:abstractNumId w:val="1"/>
  </w:num>
  <w:num w:numId="2" w16cid:durableId="669992671">
    <w:abstractNumId w:val="2"/>
  </w:num>
  <w:num w:numId="3" w16cid:durableId="485391606">
    <w:abstractNumId w:val="35"/>
  </w:num>
  <w:num w:numId="4" w16cid:durableId="798886258">
    <w:abstractNumId w:val="4"/>
  </w:num>
  <w:num w:numId="5" w16cid:durableId="201089443">
    <w:abstractNumId w:val="7"/>
  </w:num>
  <w:num w:numId="6" w16cid:durableId="831873135">
    <w:abstractNumId w:val="8"/>
  </w:num>
  <w:num w:numId="7" w16cid:durableId="301690943">
    <w:abstractNumId w:val="37"/>
  </w:num>
  <w:num w:numId="8" w16cid:durableId="1378428242">
    <w:abstractNumId w:val="9"/>
  </w:num>
  <w:num w:numId="9" w16cid:durableId="9575947">
    <w:abstractNumId w:val="22"/>
  </w:num>
  <w:num w:numId="10" w16cid:durableId="152725062">
    <w:abstractNumId w:val="36"/>
  </w:num>
  <w:num w:numId="11" w16cid:durableId="624895275">
    <w:abstractNumId w:val="38"/>
  </w:num>
  <w:num w:numId="12" w16cid:durableId="976299359">
    <w:abstractNumId w:val="33"/>
  </w:num>
  <w:num w:numId="13" w16cid:durableId="1725832342">
    <w:abstractNumId w:val="41"/>
  </w:num>
  <w:num w:numId="14" w16cid:durableId="1038851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3159828">
    <w:abstractNumId w:val="27"/>
  </w:num>
  <w:num w:numId="16" w16cid:durableId="735906767">
    <w:abstractNumId w:val="42"/>
  </w:num>
  <w:num w:numId="17" w16cid:durableId="140110088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5829625">
    <w:abstractNumId w:val="20"/>
  </w:num>
  <w:num w:numId="19" w16cid:durableId="1226531784">
    <w:abstractNumId w:val="10"/>
  </w:num>
  <w:num w:numId="20" w16cid:durableId="1873960251">
    <w:abstractNumId w:val="30"/>
  </w:num>
  <w:num w:numId="21" w16cid:durableId="1633752768">
    <w:abstractNumId w:val="30"/>
  </w:num>
  <w:num w:numId="22" w16cid:durableId="681205830">
    <w:abstractNumId w:val="16"/>
  </w:num>
  <w:num w:numId="23" w16cid:durableId="623774881">
    <w:abstractNumId w:val="6"/>
  </w:num>
  <w:num w:numId="24" w16cid:durableId="616913544">
    <w:abstractNumId w:val="19"/>
  </w:num>
  <w:num w:numId="25" w16cid:durableId="845559996">
    <w:abstractNumId w:val="12"/>
  </w:num>
  <w:num w:numId="26" w16cid:durableId="403183799">
    <w:abstractNumId w:val="17"/>
  </w:num>
  <w:num w:numId="27" w16cid:durableId="1817457569">
    <w:abstractNumId w:val="39"/>
  </w:num>
  <w:num w:numId="28" w16cid:durableId="1979455995">
    <w:abstractNumId w:val="25"/>
  </w:num>
  <w:num w:numId="29" w16cid:durableId="1684362543">
    <w:abstractNumId w:val="13"/>
  </w:num>
  <w:num w:numId="30" w16cid:durableId="1585645543">
    <w:abstractNumId w:val="31"/>
  </w:num>
  <w:num w:numId="31" w16cid:durableId="519707923">
    <w:abstractNumId w:val="5"/>
  </w:num>
  <w:num w:numId="32" w16cid:durableId="842817838">
    <w:abstractNumId w:val="34"/>
  </w:num>
  <w:num w:numId="33" w16cid:durableId="379786319">
    <w:abstractNumId w:val="15"/>
  </w:num>
  <w:num w:numId="34" w16cid:durableId="353573705">
    <w:abstractNumId w:val="40"/>
  </w:num>
  <w:num w:numId="35" w16cid:durableId="523711588">
    <w:abstractNumId w:val="11"/>
  </w:num>
  <w:num w:numId="36" w16cid:durableId="1039550927">
    <w:abstractNumId w:val="21"/>
  </w:num>
  <w:num w:numId="37" w16cid:durableId="1455563421">
    <w:abstractNumId w:val="3"/>
  </w:num>
  <w:num w:numId="38" w16cid:durableId="206308137">
    <w:abstractNumId w:val="18"/>
  </w:num>
  <w:num w:numId="39" w16cid:durableId="515734256">
    <w:abstractNumId w:val="0"/>
  </w:num>
  <w:num w:numId="40" w16cid:durableId="361832321">
    <w:abstractNumId w:val="24"/>
  </w:num>
  <w:num w:numId="41" w16cid:durableId="1426994518">
    <w:abstractNumId w:val="26"/>
  </w:num>
  <w:num w:numId="42" w16cid:durableId="1999767637">
    <w:abstractNumId w:val="28"/>
  </w:num>
  <w:num w:numId="43" w16cid:durableId="855576386">
    <w:abstractNumId w:val="23"/>
  </w:num>
  <w:num w:numId="44" w16cid:durableId="637031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5D"/>
    <w:rsid w:val="00001A5D"/>
    <w:rsid w:val="00004C6C"/>
    <w:rsid w:val="00011445"/>
    <w:rsid w:val="00015085"/>
    <w:rsid w:val="00016701"/>
    <w:rsid w:val="000177B7"/>
    <w:rsid w:val="000237C5"/>
    <w:rsid w:val="00025519"/>
    <w:rsid w:val="00026365"/>
    <w:rsid w:val="00026A0D"/>
    <w:rsid w:val="00031720"/>
    <w:rsid w:val="000511D1"/>
    <w:rsid w:val="00051A0D"/>
    <w:rsid w:val="00052337"/>
    <w:rsid w:val="00052A77"/>
    <w:rsid w:val="00055230"/>
    <w:rsid w:val="00055B33"/>
    <w:rsid w:val="00055E82"/>
    <w:rsid w:val="00055FB9"/>
    <w:rsid w:val="00056261"/>
    <w:rsid w:val="00056EC4"/>
    <w:rsid w:val="00061A28"/>
    <w:rsid w:val="00064F06"/>
    <w:rsid w:val="00065C8F"/>
    <w:rsid w:val="000661B6"/>
    <w:rsid w:val="00073DC5"/>
    <w:rsid w:val="00074EF3"/>
    <w:rsid w:val="00077FA3"/>
    <w:rsid w:val="000821E2"/>
    <w:rsid w:val="00084313"/>
    <w:rsid w:val="000844A3"/>
    <w:rsid w:val="000850F3"/>
    <w:rsid w:val="00085BEE"/>
    <w:rsid w:val="000901F1"/>
    <w:rsid w:val="00091BE7"/>
    <w:rsid w:val="00092AF1"/>
    <w:rsid w:val="00095E14"/>
    <w:rsid w:val="00096B24"/>
    <w:rsid w:val="000A2CE3"/>
    <w:rsid w:val="000A3DF6"/>
    <w:rsid w:val="000A424C"/>
    <w:rsid w:val="000A5EE8"/>
    <w:rsid w:val="000A6903"/>
    <w:rsid w:val="000A7EBA"/>
    <w:rsid w:val="000B09BA"/>
    <w:rsid w:val="000B199A"/>
    <w:rsid w:val="000B2758"/>
    <w:rsid w:val="000B3364"/>
    <w:rsid w:val="000B39A5"/>
    <w:rsid w:val="000B57C1"/>
    <w:rsid w:val="000B5B4F"/>
    <w:rsid w:val="000C2E94"/>
    <w:rsid w:val="000C30CD"/>
    <w:rsid w:val="000C44FC"/>
    <w:rsid w:val="000C4888"/>
    <w:rsid w:val="000C52F6"/>
    <w:rsid w:val="000D05D0"/>
    <w:rsid w:val="000D2C86"/>
    <w:rsid w:val="000D4DDF"/>
    <w:rsid w:val="000D5D93"/>
    <w:rsid w:val="000E1E94"/>
    <w:rsid w:val="000E2FFA"/>
    <w:rsid w:val="000E32A4"/>
    <w:rsid w:val="000E3E10"/>
    <w:rsid w:val="000E6811"/>
    <w:rsid w:val="000E6D9A"/>
    <w:rsid w:val="000F415B"/>
    <w:rsid w:val="000F4A29"/>
    <w:rsid w:val="000F549C"/>
    <w:rsid w:val="000F54B1"/>
    <w:rsid w:val="000F6101"/>
    <w:rsid w:val="000F6ACA"/>
    <w:rsid w:val="001026B2"/>
    <w:rsid w:val="00103AF4"/>
    <w:rsid w:val="001112DA"/>
    <w:rsid w:val="001136C7"/>
    <w:rsid w:val="00121949"/>
    <w:rsid w:val="00122AB0"/>
    <w:rsid w:val="00123602"/>
    <w:rsid w:val="00123ADE"/>
    <w:rsid w:val="00124051"/>
    <w:rsid w:val="00127D24"/>
    <w:rsid w:val="001308AD"/>
    <w:rsid w:val="00130F12"/>
    <w:rsid w:val="00140A78"/>
    <w:rsid w:val="001435D4"/>
    <w:rsid w:val="00146C01"/>
    <w:rsid w:val="00147C29"/>
    <w:rsid w:val="001502DA"/>
    <w:rsid w:val="00156D32"/>
    <w:rsid w:val="0015721A"/>
    <w:rsid w:val="0016054C"/>
    <w:rsid w:val="0016651C"/>
    <w:rsid w:val="00167784"/>
    <w:rsid w:val="00170AFE"/>
    <w:rsid w:val="00171A3A"/>
    <w:rsid w:val="001721F8"/>
    <w:rsid w:val="00173B86"/>
    <w:rsid w:val="001751C2"/>
    <w:rsid w:val="0017543A"/>
    <w:rsid w:val="00175525"/>
    <w:rsid w:val="00175783"/>
    <w:rsid w:val="00180785"/>
    <w:rsid w:val="001822C9"/>
    <w:rsid w:val="0018322B"/>
    <w:rsid w:val="0018716D"/>
    <w:rsid w:val="001876A5"/>
    <w:rsid w:val="00187921"/>
    <w:rsid w:val="00192D7C"/>
    <w:rsid w:val="001967F4"/>
    <w:rsid w:val="00197DDB"/>
    <w:rsid w:val="001A2C73"/>
    <w:rsid w:val="001A30CA"/>
    <w:rsid w:val="001A44DC"/>
    <w:rsid w:val="001A4E3F"/>
    <w:rsid w:val="001A5A3A"/>
    <w:rsid w:val="001A67DC"/>
    <w:rsid w:val="001B21DD"/>
    <w:rsid w:val="001B29D3"/>
    <w:rsid w:val="001B4DA0"/>
    <w:rsid w:val="001B717E"/>
    <w:rsid w:val="001C21C6"/>
    <w:rsid w:val="001C3A8D"/>
    <w:rsid w:val="001C5190"/>
    <w:rsid w:val="001D14E9"/>
    <w:rsid w:val="001D3DB6"/>
    <w:rsid w:val="001D3E6C"/>
    <w:rsid w:val="001D5467"/>
    <w:rsid w:val="001E0A33"/>
    <w:rsid w:val="001E1A33"/>
    <w:rsid w:val="001E2112"/>
    <w:rsid w:val="001E6959"/>
    <w:rsid w:val="001E6A44"/>
    <w:rsid w:val="001E7DA9"/>
    <w:rsid w:val="001F04FD"/>
    <w:rsid w:val="001F1C92"/>
    <w:rsid w:val="001F4A71"/>
    <w:rsid w:val="001F72CD"/>
    <w:rsid w:val="002028DC"/>
    <w:rsid w:val="00204AC5"/>
    <w:rsid w:val="00212A6C"/>
    <w:rsid w:val="00212F81"/>
    <w:rsid w:val="00214A4C"/>
    <w:rsid w:val="00215C13"/>
    <w:rsid w:val="00215E38"/>
    <w:rsid w:val="00217ACA"/>
    <w:rsid w:val="00220BB6"/>
    <w:rsid w:val="00220F28"/>
    <w:rsid w:val="002236A0"/>
    <w:rsid w:val="002246EC"/>
    <w:rsid w:val="00226B44"/>
    <w:rsid w:val="00227727"/>
    <w:rsid w:val="00230DA7"/>
    <w:rsid w:val="00232314"/>
    <w:rsid w:val="002423B0"/>
    <w:rsid w:val="00245358"/>
    <w:rsid w:val="00247E32"/>
    <w:rsid w:val="002502A2"/>
    <w:rsid w:val="002505A0"/>
    <w:rsid w:val="00251184"/>
    <w:rsid w:val="00251231"/>
    <w:rsid w:val="00253570"/>
    <w:rsid w:val="002542FF"/>
    <w:rsid w:val="002559FD"/>
    <w:rsid w:val="00256901"/>
    <w:rsid w:val="002569BC"/>
    <w:rsid w:val="002600AF"/>
    <w:rsid w:val="002613AF"/>
    <w:rsid w:val="00262CF3"/>
    <w:rsid w:val="002633C1"/>
    <w:rsid w:val="002647C9"/>
    <w:rsid w:val="002662BC"/>
    <w:rsid w:val="00273B29"/>
    <w:rsid w:val="00274DF9"/>
    <w:rsid w:val="00275047"/>
    <w:rsid w:val="00277B17"/>
    <w:rsid w:val="00281E93"/>
    <w:rsid w:val="00282D33"/>
    <w:rsid w:val="0028676F"/>
    <w:rsid w:val="0028786B"/>
    <w:rsid w:val="002925C0"/>
    <w:rsid w:val="00295A4B"/>
    <w:rsid w:val="00295A6D"/>
    <w:rsid w:val="0029750E"/>
    <w:rsid w:val="002A0B28"/>
    <w:rsid w:val="002A1CE5"/>
    <w:rsid w:val="002A2014"/>
    <w:rsid w:val="002A2BB4"/>
    <w:rsid w:val="002A2E29"/>
    <w:rsid w:val="002A31A1"/>
    <w:rsid w:val="002B0EC1"/>
    <w:rsid w:val="002C2160"/>
    <w:rsid w:val="002C2511"/>
    <w:rsid w:val="002C2706"/>
    <w:rsid w:val="002C6F83"/>
    <w:rsid w:val="002C70AC"/>
    <w:rsid w:val="002C7F1B"/>
    <w:rsid w:val="002D02C4"/>
    <w:rsid w:val="002D0A9A"/>
    <w:rsid w:val="002D0C0D"/>
    <w:rsid w:val="002D283A"/>
    <w:rsid w:val="002D2D1E"/>
    <w:rsid w:val="002D4894"/>
    <w:rsid w:val="002D7C9D"/>
    <w:rsid w:val="002E00A8"/>
    <w:rsid w:val="002E0758"/>
    <w:rsid w:val="002E36B2"/>
    <w:rsid w:val="002E3A4D"/>
    <w:rsid w:val="002E3C2E"/>
    <w:rsid w:val="002E3DD3"/>
    <w:rsid w:val="002E4057"/>
    <w:rsid w:val="002E58B7"/>
    <w:rsid w:val="002F06BD"/>
    <w:rsid w:val="002F0D61"/>
    <w:rsid w:val="002F2470"/>
    <w:rsid w:val="002F4C6C"/>
    <w:rsid w:val="002F6610"/>
    <w:rsid w:val="003005E4"/>
    <w:rsid w:val="00301273"/>
    <w:rsid w:val="00303118"/>
    <w:rsid w:val="00306A4F"/>
    <w:rsid w:val="003070A4"/>
    <w:rsid w:val="003106ED"/>
    <w:rsid w:val="00310C93"/>
    <w:rsid w:val="003146AE"/>
    <w:rsid w:val="00314946"/>
    <w:rsid w:val="00314AD6"/>
    <w:rsid w:val="00317F55"/>
    <w:rsid w:val="00324643"/>
    <w:rsid w:val="003253DB"/>
    <w:rsid w:val="00325D5D"/>
    <w:rsid w:val="00326323"/>
    <w:rsid w:val="003274C6"/>
    <w:rsid w:val="00327E3E"/>
    <w:rsid w:val="00331643"/>
    <w:rsid w:val="00333C14"/>
    <w:rsid w:val="003348B9"/>
    <w:rsid w:val="00342922"/>
    <w:rsid w:val="00342BD6"/>
    <w:rsid w:val="00347B14"/>
    <w:rsid w:val="003563CA"/>
    <w:rsid w:val="00356E97"/>
    <w:rsid w:val="003577AC"/>
    <w:rsid w:val="00357F9A"/>
    <w:rsid w:val="00371069"/>
    <w:rsid w:val="00371AE7"/>
    <w:rsid w:val="003768EB"/>
    <w:rsid w:val="0038007A"/>
    <w:rsid w:val="00380788"/>
    <w:rsid w:val="00381799"/>
    <w:rsid w:val="00381C4A"/>
    <w:rsid w:val="00384C27"/>
    <w:rsid w:val="0038582C"/>
    <w:rsid w:val="003872E8"/>
    <w:rsid w:val="00393454"/>
    <w:rsid w:val="0039683B"/>
    <w:rsid w:val="003A1D54"/>
    <w:rsid w:val="003A34E7"/>
    <w:rsid w:val="003A4334"/>
    <w:rsid w:val="003A5AFC"/>
    <w:rsid w:val="003A7D5C"/>
    <w:rsid w:val="003B3DD3"/>
    <w:rsid w:val="003B48AE"/>
    <w:rsid w:val="003B57C9"/>
    <w:rsid w:val="003B67CF"/>
    <w:rsid w:val="003B6EA6"/>
    <w:rsid w:val="003C12BF"/>
    <w:rsid w:val="003C1801"/>
    <w:rsid w:val="003C1BB0"/>
    <w:rsid w:val="003C1CDD"/>
    <w:rsid w:val="003C23E7"/>
    <w:rsid w:val="003D01D0"/>
    <w:rsid w:val="003D1DD8"/>
    <w:rsid w:val="003D2CD0"/>
    <w:rsid w:val="003D5938"/>
    <w:rsid w:val="003D6394"/>
    <w:rsid w:val="003E10B8"/>
    <w:rsid w:val="003E33EC"/>
    <w:rsid w:val="003E3542"/>
    <w:rsid w:val="003E36E8"/>
    <w:rsid w:val="003E7D4F"/>
    <w:rsid w:val="003F1CE2"/>
    <w:rsid w:val="003F1DA0"/>
    <w:rsid w:val="003F237C"/>
    <w:rsid w:val="003F2691"/>
    <w:rsid w:val="003F365F"/>
    <w:rsid w:val="003F422E"/>
    <w:rsid w:val="003F44D4"/>
    <w:rsid w:val="003F4B6F"/>
    <w:rsid w:val="003F533F"/>
    <w:rsid w:val="003F5D14"/>
    <w:rsid w:val="003F65C0"/>
    <w:rsid w:val="003F6D5D"/>
    <w:rsid w:val="00400151"/>
    <w:rsid w:val="004015D9"/>
    <w:rsid w:val="00401B20"/>
    <w:rsid w:val="00401C06"/>
    <w:rsid w:val="004063B3"/>
    <w:rsid w:val="00406CE0"/>
    <w:rsid w:val="00406E51"/>
    <w:rsid w:val="004073AF"/>
    <w:rsid w:val="00411957"/>
    <w:rsid w:val="00413050"/>
    <w:rsid w:val="00414EC0"/>
    <w:rsid w:val="00415DC2"/>
    <w:rsid w:val="00416301"/>
    <w:rsid w:val="00421ED9"/>
    <w:rsid w:val="004247C6"/>
    <w:rsid w:val="004250B5"/>
    <w:rsid w:val="00425382"/>
    <w:rsid w:val="00425941"/>
    <w:rsid w:val="004264D6"/>
    <w:rsid w:val="004323CF"/>
    <w:rsid w:val="004328C4"/>
    <w:rsid w:val="00432AEF"/>
    <w:rsid w:val="004335F0"/>
    <w:rsid w:val="00436848"/>
    <w:rsid w:val="004373D4"/>
    <w:rsid w:val="00437BDF"/>
    <w:rsid w:val="0044107F"/>
    <w:rsid w:val="004413AA"/>
    <w:rsid w:val="004419D6"/>
    <w:rsid w:val="00441DA0"/>
    <w:rsid w:val="00442558"/>
    <w:rsid w:val="004451BE"/>
    <w:rsid w:val="0045106C"/>
    <w:rsid w:val="00451F45"/>
    <w:rsid w:val="0045446D"/>
    <w:rsid w:val="00456507"/>
    <w:rsid w:val="00456921"/>
    <w:rsid w:val="00461A4E"/>
    <w:rsid w:val="00462D23"/>
    <w:rsid w:val="00462EFA"/>
    <w:rsid w:val="00463675"/>
    <w:rsid w:val="004649B4"/>
    <w:rsid w:val="00470940"/>
    <w:rsid w:val="004742F7"/>
    <w:rsid w:val="00474A8B"/>
    <w:rsid w:val="00476581"/>
    <w:rsid w:val="00476B35"/>
    <w:rsid w:val="00483E50"/>
    <w:rsid w:val="004840BB"/>
    <w:rsid w:val="00486199"/>
    <w:rsid w:val="00491BED"/>
    <w:rsid w:val="004A1E6C"/>
    <w:rsid w:val="004A2B79"/>
    <w:rsid w:val="004A2C55"/>
    <w:rsid w:val="004A3658"/>
    <w:rsid w:val="004A413B"/>
    <w:rsid w:val="004A4F98"/>
    <w:rsid w:val="004A53AC"/>
    <w:rsid w:val="004A63C1"/>
    <w:rsid w:val="004A7611"/>
    <w:rsid w:val="004B1304"/>
    <w:rsid w:val="004B1C9F"/>
    <w:rsid w:val="004B297F"/>
    <w:rsid w:val="004B50B5"/>
    <w:rsid w:val="004C02EF"/>
    <w:rsid w:val="004C1536"/>
    <w:rsid w:val="004C25A1"/>
    <w:rsid w:val="004C63E3"/>
    <w:rsid w:val="004D20E3"/>
    <w:rsid w:val="004D3B13"/>
    <w:rsid w:val="004D6213"/>
    <w:rsid w:val="004D7BDD"/>
    <w:rsid w:val="004E2CFA"/>
    <w:rsid w:val="004E3A1A"/>
    <w:rsid w:val="004E74DC"/>
    <w:rsid w:val="004F0B44"/>
    <w:rsid w:val="004F0E82"/>
    <w:rsid w:val="004F23E4"/>
    <w:rsid w:val="004F4873"/>
    <w:rsid w:val="004F4D49"/>
    <w:rsid w:val="004F6CCF"/>
    <w:rsid w:val="004F6CF1"/>
    <w:rsid w:val="005000E6"/>
    <w:rsid w:val="00501C57"/>
    <w:rsid w:val="00501D74"/>
    <w:rsid w:val="00502583"/>
    <w:rsid w:val="0050422C"/>
    <w:rsid w:val="0050480E"/>
    <w:rsid w:val="00504FC7"/>
    <w:rsid w:val="00505867"/>
    <w:rsid w:val="00506FC1"/>
    <w:rsid w:val="00510AC6"/>
    <w:rsid w:val="00510D4D"/>
    <w:rsid w:val="00511959"/>
    <w:rsid w:val="00511EEA"/>
    <w:rsid w:val="00513DD1"/>
    <w:rsid w:val="00517C9E"/>
    <w:rsid w:val="0052151C"/>
    <w:rsid w:val="00522FDC"/>
    <w:rsid w:val="00526C9B"/>
    <w:rsid w:val="00527935"/>
    <w:rsid w:val="005304FF"/>
    <w:rsid w:val="00530BD0"/>
    <w:rsid w:val="005318C8"/>
    <w:rsid w:val="00531DF6"/>
    <w:rsid w:val="00533483"/>
    <w:rsid w:val="00534AD4"/>
    <w:rsid w:val="0053684A"/>
    <w:rsid w:val="00536B0F"/>
    <w:rsid w:val="0054193F"/>
    <w:rsid w:val="005451E1"/>
    <w:rsid w:val="0055049C"/>
    <w:rsid w:val="00551FA1"/>
    <w:rsid w:val="00554A83"/>
    <w:rsid w:val="00556857"/>
    <w:rsid w:val="00556D21"/>
    <w:rsid w:val="005570C8"/>
    <w:rsid w:val="005605A4"/>
    <w:rsid w:val="00564002"/>
    <w:rsid w:val="00565CEE"/>
    <w:rsid w:val="00571C1C"/>
    <w:rsid w:val="005723A3"/>
    <w:rsid w:val="00574C33"/>
    <w:rsid w:val="0057696B"/>
    <w:rsid w:val="005779DB"/>
    <w:rsid w:val="005848FE"/>
    <w:rsid w:val="005854A5"/>
    <w:rsid w:val="00585841"/>
    <w:rsid w:val="005858DD"/>
    <w:rsid w:val="0059219C"/>
    <w:rsid w:val="00595BDD"/>
    <w:rsid w:val="00595CDD"/>
    <w:rsid w:val="00595E96"/>
    <w:rsid w:val="005A1A51"/>
    <w:rsid w:val="005A401B"/>
    <w:rsid w:val="005A6E30"/>
    <w:rsid w:val="005B08F0"/>
    <w:rsid w:val="005B1D62"/>
    <w:rsid w:val="005B297F"/>
    <w:rsid w:val="005B4FFB"/>
    <w:rsid w:val="005B700D"/>
    <w:rsid w:val="005B7D32"/>
    <w:rsid w:val="005C0455"/>
    <w:rsid w:val="005C1C12"/>
    <w:rsid w:val="005C3290"/>
    <w:rsid w:val="005C36A2"/>
    <w:rsid w:val="005C38C6"/>
    <w:rsid w:val="005C509A"/>
    <w:rsid w:val="005C6231"/>
    <w:rsid w:val="005C6410"/>
    <w:rsid w:val="005C68FB"/>
    <w:rsid w:val="005E1CF2"/>
    <w:rsid w:val="005E41E3"/>
    <w:rsid w:val="005E52DA"/>
    <w:rsid w:val="005E560E"/>
    <w:rsid w:val="005E62F9"/>
    <w:rsid w:val="005F0556"/>
    <w:rsid w:val="005F2DE8"/>
    <w:rsid w:val="005F4A5D"/>
    <w:rsid w:val="005F76C0"/>
    <w:rsid w:val="00600F0E"/>
    <w:rsid w:val="006010B0"/>
    <w:rsid w:val="006044ED"/>
    <w:rsid w:val="00605B72"/>
    <w:rsid w:val="006116CA"/>
    <w:rsid w:val="00611E02"/>
    <w:rsid w:val="00612E96"/>
    <w:rsid w:val="006169DF"/>
    <w:rsid w:val="00620044"/>
    <w:rsid w:val="006223DA"/>
    <w:rsid w:val="006239D8"/>
    <w:rsid w:val="006246E7"/>
    <w:rsid w:val="006312CE"/>
    <w:rsid w:val="006326DA"/>
    <w:rsid w:val="006351A3"/>
    <w:rsid w:val="00643BFA"/>
    <w:rsid w:val="00643C40"/>
    <w:rsid w:val="006465DB"/>
    <w:rsid w:val="00647A0B"/>
    <w:rsid w:val="00652A08"/>
    <w:rsid w:val="00652E05"/>
    <w:rsid w:val="00654CF8"/>
    <w:rsid w:val="0065509F"/>
    <w:rsid w:val="006567C8"/>
    <w:rsid w:val="00657AE2"/>
    <w:rsid w:val="006604A0"/>
    <w:rsid w:val="00663CD0"/>
    <w:rsid w:val="00664C48"/>
    <w:rsid w:val="00666B4A"/>
    <w:rsid w:val="00673874"/>
    <w:rsid w:val="00675147"/>
    <w:rsid w:val="0068107B"/>
    <w:rsid w:val="00682303"/>
    <w:rsid w:val="006933EC"/>
    <w:rsid w:val="00695657"/>
    <w:rsid w:val="00695B2C"/>
    <w:rsid w:val="006965BE"/>
    <w:rsid w:val="006A16FD"/>
    <w:rsid w:val="006A364D"/>
    <w:rsid w:val="006A3BA4"/>
    <w:rsid w:val="006A6C98"/>
    <w:rsid w:val="006A726B"/>
    <w:rsid w:val="006A7FF5"/>
    <w:rsid w:val="006B0640"/>
    <w:rsid w:val="006B11D4"/>
    <w:rsid w:val="006B1C16"/>
    <w:rsid w:val="006B4B29"/>
    <w:rsid w:val="006B5D1A"/>
    <w:rsid w:val="006B6AEA"/>
    <w:rsid w:val="006B79C7"/>
    <w:rsid w:val="006C22AE"/>
    <w:rsid w:val="006C2337"/>
    <w:rsid w:val="006C2654"/>
    <w:rsid w:val="006C3A49"/>
    <w:rsid w:val="006C418B"/>
    <w:rsid w:val="006C5034"/>
    <w:rsid w:val="006C57FB"/>
    <w:rsid w:val="006D0EA5"/>
    <w:rsid w:val="006D142A"/>
    <w:rsid w:val="006D1438"/>
    <w:rsid w:val="006D2928"/>
    <w:rsid w:val="006D2B5B"/>
    <w:rsid w:val="006D63CA"/>
    <w:rsid w:val="006D6D18"/>
    <w:rsid w:val="006E4A35"/>
    <w:rsid w:val="006E4BB8"/>
    <w:rsid w:val="006E62DA"/>
    <w:rsid w:val="006E7FF4"/>
    <w:rsid w:val="006F3383"/>
    <w:rsid w:val="006F36DD"/>
    <w:rsid w:val="006F7A5B"/>
    <w:rsid w:val="0070098A"/>
    <w:rsid w:val="007026C4"/>
    <w:rsid w:val="00702D8B"/>
    <w:rsid w:val="007059E5"/>
    <w:rsid w:val="00711AFB"/>
    <w:rsid w:val="00713182"/>
    <w:rsid w:val="007153FC"/>
    <w:rsid w:val="00715783"/>
    <w:rsid w:val="0072175E"/>
    <w:rsid w:val="0072298F"/>
    <w:rsid w:val="00722C21"/>
    <w:rsid w:val="0072543F"/>
    <w:rsid w:val="00734544"/>
    <w:rsid w:val="00734FD5"/>
    <w:rsid w:val="007375E5"/>
    <w:rsid w:val="00740274"/>
    <w:rsid w:val="00747737"/>
    <w:rsid w:val="0075179E"/>
    <w:rsid w:val="00753059"/>
    <w:rsid w:val="00753D8D"/>
    <w:rsid w:val="00754398"/>
    <w:rsid w:val="00755D8C"/>
    <w:rsid w:val="0076392F"/>
    <w:rsid w:val="00763D05"/>
    <w:rsid w:val="007676E9"/>
    <w:rsid w:val="00770E39"/>
    <w:rsid w:val="0077165B"/>
    <w:rsid w:val="0077257F"/>
    <w:rsid w:val="00774192"/>
    <w:rsid w:val="00774F1E"/>
    <w:rsid w:val="0078721E"/>
    <w:rsid w:val="00787268"/>
    <w:rsid w:val="00792C5C"/>
    <w:rsid w:val="0079526E"/>
    <w:rsid w:val="00795EA3"/>
    <w:rsid w:val="00797B1F"/>
    <w:rsid w:val="007A098D"/>
    <w:rsid w:val="007A40B9"/>
    <w:rsid w:val="007A5DA7"/>
    <w:rsid w:val="007A6C52"/>
    <w:rsid w:val="007A75FD"/>
    <w:rsid w:val="007B084A"/>
    <w:rsid w:val="007C2105"/>
    <w:rsid w:val="007D0DA8"/>
    <w:rsid w:val="007D2D87"/>
    <w:rsid w:val="007D4865"/>
    <w:rsid w:val="007D59AC"/>
    <w:rsid w:val="007D616A"/>
    <w:rsid w:val="007D6B2B"/>
    <w:rsid w:val="007E03B6"/>
    <w:rsid w:val="007E12C6"/>
    <w:rsid w:val="007E1B95"/>
    <w:rsid w:val="007E3100"/>
    <w:rsid w:val="007E4687"/>
    <w:rsid w:val="007E5C05"/>
    <w:rsid w:val="007E67D1"/>
    <w:rsid w:val="007E7E7C"/>
    <w:rsid w:val="007F043C"/>
    <w:rsid w:val="007F12BA"/>
    <w:rsid w:val="007F1E7B"/>
    <w:rsid w:val="007F2BA7"/>
    <w:rsid w:val="007F31A5"/>
    <w:rsid w:val="007F3F09"/>
    <w:rsid w:val="007F44CA"/>
    <w:rsid w:val="007F5886"/>
    <w:rsid w:val="007F6E28"/>
    <w:rsid w:val="0080050F"/>
    <w:rsid w:val="008007E8"/>
    <w:rsid w:val="00806641"/>
    <w:rsid w:val="00813A54"/>
    <w:rsid w:val="00816F89"/>
    <w:rsid w:val="008252AD"/>
    <w:rsid w:val="00826364"/>
    <w:rsid w:val="00826C86"/>
    <w:rsid w:val="008270C4"/>
    <w:rsid w:val="00827220"/>
    <w:rsid w:val="00830880"/>
    <w:rsid w:val="00830F78"/>
    <w:rsid w:val="00832E10"/>
    <w:rsid w:val="008338E0"/>
    <w:rsid w:val="00837F0D"/>
    <w:rsid w:val="0084696F"/>
    <w:rsid w:val="00847415"/>
    <w:rsid w:val="00850018"/>
    <w:rsid w:val="008570C7"/>
    <w:rsid w:val="00863795"/>
    <w:rsid w:val="0086652B"/>
    <w:rsid w:val="00866D9F"/>
    <w:rsid w:val="008678A0"/>
    <w:rsid w:val="008704E9"/>
    <w:rsid w:val="00876DE2"/>
    <w:rsid w:val="00877857"/>
    <w:rsid w:val="008817A7"/>
    <w:rsid w:val="00884C8A"/>
    <w:rsid w:val="00893DF9"/>
    <w:rsid w:val="008A0660"/>
    <w:rsid w:val="008A290D"/>
    <w:rsid w:val="008A4639"/>
    <w:rsid w:val="008A6067"/>
    <w:rsid w:val="008B158F"/>
    <w:rsid w:val="008B3189"/>
    <w:rsid w:val="008C03C9"/>
    <w:rsid w:val="008C0E1D"/>
    <w:rsid w:val="008C116E"/>
    <w:rsid w:val="008C3786"/>
    <w:rsid w:val="008C3C1A"/>
    <w:rsid w:val="008C7A57"/>
    <w:rsid w:val="008D29D7"/>
    <w:rsid w:val="008D4858"/>
    <w:rsid w:val="008D6420"/>
    <w:rsid w:val="008D7CFA"/>
    <w:rsid w:val="008E08DA"/>
    <w:rsid w:val="008E1586"/>
    <w:rsid w:val="008E60AA"/>
    <w:rsid w:val="008E6B2F"/>
    <w:rsid w:val="008F1935"/>
    <w:rsid w:val="008F6F26"/>
    <w:rsid w:val="008F7317"/>
    <w:rsid w:val="008F7799"/>
    <w:rsid w:val="009007E2"/>
    <w:rsid w:val="00900977"/>
    <w:rsid w:val="00902C22"/>
    <w:rsid w:val="00904775"/>
    <w:rsid w:val="009052AB"/>
    <w:rsid w:val="00906722"/>
    <w:rsid w:val="009122E6"/>
    <w:rsid w:val="009146C4"/>
    <w:rsid w:val="00921CC5"/>
    <w:rsid w:val="00921CD6"/>
    <w:rsid w:val="009221E3"/>
    <w:rsid w:val="0092328B"/>
    <w:rsid w:val="00923340"/>
    <w:rsid w:val="00924CEA"/>
    <w:rsid w:val="00930420"/>
    <w:rsid w:val="00931746"/>
    <w:rsid w:val="00931C24"/>
    <w:rsid w:val="00934F39"/>
    <w:rsid w:val="0093633E"/>
    <w:rsid w:val="009368E4"/>
    <w:rsid w:val="00940FB4"/>
    <w:rsid w:val="0094232E"/>
    <w:rsid w:val="00942F62"/>
    <w:rsid w:val="00943FDF"/>
    <w:rsid w:val="00945F90"/>
    <w:rsid w:val="00946265"/>
    <w:rsid w:val="009469F5"/>
    <w:rsid w:val="00956AE4"/>
    <w:rsid w:val="0096406A"/>
    <w:rsid w:val="0096524C"/>
    <w:rsid w:val="009655DE"/>
    <w:rsid w:val="00966F81"/>
    <w:rsid w:val="00967CD7"/>
    <w:rsid w:val="0097004E"/>
    <w:rsid w:val="0097080F"/>
    <w:rsid w:val="00972241"/>
    <w:rsid w:val="00972C6B"/>
    <w:rsid w:val="00973E91"/>
    <w:rsid w:val="009750AA"/>
    <w:rsid w:val="009750DE"/>
    <w:rsid w:val="009764F1"/>
    <w:rsid w:val="00976E6C"/>
    <w:rsid w:val="0097795D"/>
    <w:rsid w:val="00980306"/>
    <w:rsid w:val="00982A0F"/>
    <w:rsid w:val="00985EF4"/>
    <w:rsid w:val="009871D5"/>
    <w:rsid w:val="00987B0D"/>
    <w:rsid w:val="0099359F"/>
    <w:rsid w:val="00993880"/>
    <w:rsid w:val="00993CF9"/>
    <w:rsid w:val="00997D36"/>
    <w:rsid w:val="009A1449"/>
    <w:rsid w:val="009A48D5"/>
    <w:rsid w:val="009A7CD7"/>
    <w:rsid w:val="009B1D30"/>
    <w:rsid w:val="009B2774"/>
    <w:rsid w:val="009B3672"/>
    <w:rsid w:val="009C0664"/>
    <w:rsid w:val="009C0B9D"/>
    <w:rsid w:val="009C12DA"/>
    <w:rsid w:val="009C2019"/>
    <w:rsid w:val="009C2B6E"/>
    <w:rsid w:val="009C3473"/>
    <w:rsid w:val="009C43DA"/>
    <w:rsid w:val="009C5E5A"/>
    <w:rsid w:val="009C7C27"/>
    <w:rsid w:val="009D1FE0"/>
    <w:rsid w:val="009D2A8F"/>
    <w:rsid w:val="009D44AC"/>
    <w:rsid w:val="009D5266"/>
    <w:rsid w:val="009D6742"/>
    <w:rsid w:val="009D7136"/>
    <w:rsid w:val="009D7484"/>
    <w:rsid w:val="009E0848"/>
    <w:rsid w:val="009E150B"/>
    <w:rsid w:val="009E1657"/>
    <w:rsid w:val="009F2CEC"/>
    <w:rsid w:val="009F3D42"/>
    <w:rsid w:val="009F7599"/>
    <w:rsid w:val="009F7F15"/>
    <w:rsid w:val="00A0267D"/>
    <w:rsid w:val="00A030B3"/>
    <w:rsid w:val="00A072FC"/>
    <w:rsid w:val="00A120CC"/>
    <w:rsid w:val="00A12B16"/>
    <w:rsid w:val="00A139A4"/>
    <w:rsid w:val="00A14FC9"/>
    <w:rsid w:val="00A207C8"/>
    <w:rsid w:val="00A21B1D"/>
    <w:rsid w:val="00A21D8D"/>
    <w:rsid w:val="00A27799"/>
    <w:rsid w:val="00A322B6"/>
    <w:rsid w:val="00A33512"/>
    <w:rsid w:val="00A341FE"/>
    <w:rsid w:val="00A34AC7"/>
    <w:rsid w:val="00A34D07"/>
    <w:rsid w:val="00A35379"/>
    <w:rsid w:val="00A364EF"/>
    <w:rsid w:val="00A36D32"/>
    <w:rsid w:val="00A41452"/>
    <w:rsid w:val="00A4189D"/>
    <w:rsid w:val="00A43457"/>
    <w:rsid w:val="00A4388E"/>
    <w:rsid w:val="00A4556D"/>
    <w:rsid w:val="00A46E9C"/>
    <w:rsid w:val="00A50B85"/>
    <w:rsid w:val="00A52BF6"/>
    <w:rsid w:val="00A577A9"/>
    <w:rsid w:val="00A65926"/>
    <w:rsid w:val="00A664E4"/>
    <w:rsid w:val="00A67B7A"/>
    <w:rsid w:val="00A70099"/>
    <w:rsid w:val="00A702AE"/>
    <w:rsid w:val="00A71291"/>
    <w:rsid w:val="00A81315"/>
    <w:rsid w:val="00A824EE"/>
    <w:rsid w:val="00A83741"/>
    <w:rsid w:val="00A83C9A"/>
    <w:rsid w:val="00A91FF8"/>
    <w:rsid w:val="00A9333C"/>
    <w:rsid w:val="00A941EB"/>
    <w:rsid w:val="00A9643C"/>
    <w:rsid w:val="00AA1B87"/>
    <w:rsid w:val="00AA28BD"/>
    <w:rsid w:val="00AA5710"/>
    <w:rsid w:val="00AB002D"/>
    <w:rsid w:val="00AB082F"/>
    <w:rsid w:val="00AB3E7E"/>
    <w:rsid w:val="00AB564F"/>
    <w:rsid w:val="00AC2D3E"/>
    <w:rsid w:val="00AC3461"/>
    <w:rsid w:val="00AC613D"/>
    <w:rsid w:val="00AC79CC"/>
    <w:rsid w:val="00AC7B30"/>
    <w:rsid w:val="00AD0EBB"/>
    <w:rsid w:val="00AD523D"/>
    <w:rsid w:val="00AD6324"/>
    <w:rsid w:val="00AE0182"/>
    <w:rsid w:val="00AE26EF"/>
    <w:rsid w:val="00AE3851"/>
    <w:rsid w:val="00AE47AE"/>
    <w:rsid w:val="00AE64F7"/>
    <w:rsid w:val="00AE6AB1"/>
    <w:rsid w:val="00AE7AD1"/>
    <w:rsid w:val="00AE7D10"/>
    <w:rsid w:val="00AF07A6"/>
    <w:rsid w:val="00AF7008"/>
    <w:rsid w:val="00B00AD2"/>
    <w:rsid w:val="00B01D8C"/>
    <w:rsid w:val="00B024D4"/>
    <w:rsid w:val="00B04311"/>
    <w:rsid w:val="00B0526B"/>
    <w:rsid w:val="00B06788"/>
    <w:rsid w:val="00B07E8B"/>
    <w:rsid w:val="00B07F1A"/>
    <w:rsid w:val="00B10464"/>
    <w:rsid w:val="00B13F05"/>
    <w:rsid w:val="00B1435E"/>
    <w:rsid w:val="00B15302"/>
    <w:rsid w:val="00B1795E"/>
    <w:rsid w:val="00B206EE"/>
    <w:rsid w:val="00B24030"/>
    <w:rsid w:val="00B252B2"/>
    <w:rsid w:val="00B261D9"/>
    <w:rsid w:val="00B26243"/>
    <w:rsid w:val="00B3079C"/>
    <w:rsid w:val="00B31077"/>
    <w:rsid w:val="00B32888"/>
    <w:rsid w:val="00B34617"/>
    <w:rsid w:val="00B36963"/>
    <w:rsid w:val="00B3753E"/>
    <w:rsid w:val="00B37C3B"/>
    <w:rsid w:val="00B37DB3"/>
    <w:rsid w:val="00B400E8"/>
    <w:rsid w:val="00B40F51"/>
    <w:rsid w:val="00B42BB1"/>
    <w:rsid w:val="00B43455"/>
    <w:rsid w:val="00B43567"/>
    <w:rsid w:val="00B47D20"/>
    <w:rsid w:val="00B47D26"/>
    <w:rsid w:val="00B512F8"/>
    <w:rsid w:val="00B51567"/>
    <w:rsid w:val="00B5347F"/>
    <w:rsid w:val="00B60A34"/>
    <w:rsid w:val="00B664CD"/>
    <w:rsid w:val="00B6682C"/>
    <w:rsid w:val="00B67C5C"/>
    <w:rsid w:val="00B70B55"/>
    <w:rsid w:val="00B74E39"/>
    <w:rsid w:val="00B7518A"/>
    <w:rsid w:val="00B768BF"/>
    <w:rsid w:val="00B76F31"/>
    <w:rsid w:val="00B83462"/>
    <w:rsid w:val="00B84FF5"/>
    <w:rsid w:val="00B8656F"/>
    <w:rsid w:val="00B86C6D"/>
    <w:rsid w:val="00B87189"/>
    <w:rsid w:val="00B87C5C"/>
    <w:rsid w:val="00B87EBF"/>
    <w:rsid w:val="00B9206B"/>
    <w:rsid w:val="00B92932"/>
    <w:rsid w:val="00BA0AE8"/>
    <w:rsid w:val="00BA2A7C"/>
    <w:rsid w:val="00BA7A34"/>
    <w:rsid w:val="00BB3553"/>
    <w:rsid w:val="00BB3B50"/>
    <w:rsid w:val="00BB70CC"/>
    <w:rsid w:val="00BB77C0"/>
    <w:rsid w:val="00BB7F1B"/>
    <w:rsid w:val="00BC0234"/>
    <w:rsid w:val="00BC1879"/>
    <w:rsid w:val="00BC1B6D"/>
    <w:rsid w:val="00BC25DC"/>
    <w:rsid w:val="00BC35E7"/>
    <w:rsid w:val="00BC432E"/>
    <w:rsid w:val="00BC666F"/>
    <w:rsid w:val="00BC7BC2"/>
    <w:rsid w:val="00BC7C30"/>
    <w:rsid w:val="00BD1428"/>
    <w:rsid w:val="00BD207D"/>
    <w:rsid w:val="00BD2C43"/>
    <w:rsid w:val="00BD3DD8"/>
    <w:rsid w:val="00BD44D2"/>
    <w:rsid w:val="00BD5BCF"/>
    <w:rsid w:val="00BE0C08"/>
    <w:rsid w:val="00BE12EE"/>
    <w:rsid w:val="00BE42AD"/>
    <w:rsid w:val="00BE4A73"/>
    <w:rsid w:val="00BF032A"/>
    <w:rsid w:val="00BF05D1"/>
    <w:rsid w:val="00BF0F55"/>
    <w:rsid w:val="00BF1535"/>
    <w:rsid w:val="00BF387C"/>
    <w:rsid w:val="00BF3A78"/>
    <w:rsid w:val="00BF3D54"/>
    <w:rsid w:val="00BF5BA2"/>
    <w:rsid w:val="00BF67AA"/>
    <w:rsid w:val="00C00E52"/>
    <w:rsid w:val="00C00E63"/>
    <w:rsid w:val="00C035BF"/>
    <w:rsid w:val="00C045BD"/>
    <w:rsid w:val="00C05A72"/>
    <w:rsid w:val="00C06050"/>
    <w:rsid w:val="00C07203"/>
    <w:rsid w:val="00C07AD1"/>
    <w:rsid w:val="00C10078"/>
    <w:rsid w:val="00C119C3"/>
    <w:rsid w:val="00C13E8A"/>
    <w:rsid w:val="00C1469E"/>
    <w:rsid w:val="00C1601B"/>
    <w:rsid w:val="00C167B9"/>
    <w:rsid w:val="00C2442F"/>
    <w:rsid w:val="00C24DA1"/>
    <w:rsid w:val="00C256ED"/>
    <w:rsid w:val="00C267E4"/>
    <w:rsid w:val="00C302CD"/>
    <w:rsid w:val="00C30C8B"/>
    <w:rsid w:val="00C418D4"/>
    <w:rsid w:val="00C41DFF"/>
    <w:rsid w:val="00C43D86"/>
    <w:rsid w:val="00C44D14"/>
    <w:rsid w:val="00C45823"/>
    <w:rsid w:val="00C527C6"/>
    <w:rsid w:val="00C54723"/>
    <w:rsid w:val="00C549EA"/>
    <w:rsid w:val="00C5586E"/>
    <w:rsid w:val="00C569C0"/>
    <w:rsid w:val="00C60E45"/>
    <w:rsid w:val="00C6132C"/>
    <w:rsid w:val="00C62024"/>
    <w:rsid w:val="00C62FAB"/>
    <w:rsid w:val="00C6393E"/>
    <w:rsid w:val="00C65500"/>
    <w:rsid w:val="00C664D1"/>
    <w:rsid w:val="00C67E2F"/>
    <w:rsid w:val="00C706F7"/>
    <w:rsid w:val="00C70CBA"/>
    <w:rsid w:val="00C74567"/>
    <w:rsid w:val="00C7586E"/>
    <w:rsid w:val="00C77511"/>
    <w:rsid w:val="00C77691"/>
    <w:rsid w:val="00C8110A"/>
    <w:rsid w:val="00C83FE5"/>
    <w:rsid w:val="00C8689B"/>
    <w:rsid w:val="00C86E88"/>
    <w:rsid w:val="00C9343A"/>
    <w:rsid w:val="00C955E8"/>
    <w:rsid w:val="00C96D66"/>
    <w:rsid w:val="00C97A63"/>
    <w:rsid w:val="00CA43F6"/>
    <w:rsid w:val="00CB0D20"/>
    <w:rsid w:val="00CB249E"/>
    <w:rsid w:val="00CB310E"/>
    <w:rsid w:val="00CB44A8"/>
    <w:rsid w:val="00CB57F7"/>
    <w:rsid w:val="00CB5DA8"/>
    <w:rsid w:val="00CB72AD"/>
    <w:rsid w:val="00CC0B4F"/>
    <w:rsid w:val="00CC0DA6"/>
    <w:rsid w:val="00CC2A71"/>
    <w:rsid w:val="00CC4372"/>
    <w:rsid w:val="00CC7424"/>
    <w:rsid w:val="00CD001B"/>
    <w:rsid w:val="00CD1BCF"/>
    <w:rsid w:val="00CD2C24"/>
    <w:rsid w:val="00CD416D"/>
    <w:rsid w:val="00CD42ED"/>
    <w:rsid w:val="00CD7799"/>
    <w:rsid w:val="00CE0F72"/>
    <w:rsid w:val="00CE365F"/>
    <w:rsid w:val="00CE52CC"/>
    <w:rsid w:val="00CE5EAE"/>
    <w:rsid w:val="00CF101A"/>
    <w:rsid w:val="00CF3FEA"/>
    <w:rsid w:val="00CF6E2F"/>
    <w:rsid w:val="00CF7461"/>
    <w:rsid w:val="00D000D2"/>
    <w:rsid w:val="00D00EC9"/>
    <w:rsid w:val="00D02531"/>
    <w:rsid w:val="00D03282"/>
    <w:rsid w:val="00D15055"/>
    <w:rsid w:val="00D15937"/>
    <w:rsid w:val="00D2103E"/>
    <w:rsid w:val="00D215A7"/>
    <w:rsid w:val="00D245A1"/>
    <w:rsid w:val="00D25AA1"/>
    <w:rsid w:val="00D27902"/>
    <w:rsid w:val="00D27E95"/>
    <w:rsid w:val="00D31B2C"/>
    <w:rsid w:val="00D31C02"/>
    <w:rsid w:val="00D345BC"/>
    <w:rsid w:val="00D359F2"/>
    <w:rsid w:val="00D36346"/>
    <w:rsid w:val="00D36557"/>
    <w:rsid w:val="00D37488"/>
    <w:rsid w:val="00D41E9D"/>
    <w:rsid w:val="00D43E1F"/>
    <w:rsid w:val="00D44A86"/>
    <w:rsid w:val="00D469C4"/>
    <w:rsid w:val="00D46D5D"/>
    <w:rsid w:val="00D5711F"/>
    <w:rsid w:val="00D60BFA"/>
    <w:rsid w:val="00D60C6D"/>
    <w:rsid w:val="00D610E0"/>
    <w:rsid w:val="00D614DD"/>
    <w:rsid w:val="00D62A9B"/>
    <w:rsid w:val="00D633F4"/>
    <w:rsid w:val="00D663F3"/>
    <w:rsid w:val="00D667C0"/>
    <w:rsid w:val="00D710C3"/>
    <w:rsid w:val="00D74287"/>
    <w:rsid w:val="00D80FD6"/>
    <w:rsid w:val="00D81C75"/>
    <w:rsid w:val="00D91C5F"/>
    <w:rsid w:val="00D93974"/>
    <w:rsid w:val="00D93A50"/>
    <w:rsid w:val="00D947E0"/>
    <w:rsid w:val="00D94898"/>
    <w:rsid w:val="00D95441"/>
    <w:rsid w:val="00D95EAE"/>
    <w:rsid w:val="00D96AA2"/>
    <w:rsid w:val="00DA0174"/>
    <w:rsid w:val="00DA351F"/>
    <w:rsid w:val="00DA4483"/>
    <w:rsid w:val="00DA4E1F"/>
    <w:rsid w:val="00DA5311"/>
    <w:rsid w:val="00DA585C"/>
    <w:rsid w:val="00DA7B05"/>
    <w:rsid w:val="00DB0D9C"/>
    <w:rsid w:val="00DB4D15"/>
    <w:rsid w:val="00DB6D14"/>
    <w:rsid w:val="00DB6D95"/>
    <w:rsid w:val="00DC137A"/>
    <w:rsid w:val="00DC1740"/>
    <w:rsid w:val="00DC4C5C"/>
    <w:rsid w:val="00DC55D6"/>
    <w:rsid w:val="00DC5A33"/>
    <w:rsid w:val="00DC68B6"/>
    <w:rsid w:val="00DC69C1"/>
    <w:rsid w:val="00DC7660"/>
    <w:rsid w:val="00DC7B64"/>
    <w:rsid w:val="00DD03B9"/>
    <w:rsid w:val="00DD0885"/>
    <w:rsid w:val="00DD0F60"/>
    <w:rsid w:val="00DD1D6A"/>
    <w:rsid w:val="00DD1F52"/>
    <w:rsid w:val="00DD43FD"/>
    <w:rsid w:val="00DD7E8C"/>
    <w:rsid w:val="00DE014A"/>
    <w:rsid w:val="00DE0F55"/>
    <w:rsid w:val="00DE4605"/>
    <w:rsid w:val="00DF1054"/>
    <w:rsid w:val="00DF1722"/>
    <w:rsid w:val="00DF5211"/>
    <w:rsid w:val="00DF5827"/>
    <w:rsid w:val="00DF6249"/>
    <w:rsid w:val="00DF71C0"/>
    <w:rsid w:val="00DF7958"/>
    <w:rsid w:val="00E01D92"/>
    <w:rsid w:val="00E02E11"/>
    <w:rsid w:val="00E04C4A"/>
    <w:rsid w:val="00E066F5"/>
    <w:rsid w:val="00E100CD"/>
    <w:rsid w:val="00E14EB2"/>
    <w:rsid w:val="00E15DE9"/>
    <w:rsid w:val="00E1609A"/>
    <w:rsid w:val="00E203B6"/>
    <w:rsid w:val="00E2261B"/>
    <w:rsid w:val="00E237BC"/>
    <w:rsid w:val="00E23BFA"/>
    <w:rsid w:val="00E2434F"/>
    <w:rsid w:val="00E2598F"/>
    <w:rsid w:val="00E27E74"/>
    <w:rsid w:val="00E31EB4"/>
    <w:rsid w:val="00E3430A"/>
    <w:rsid w:val="00E370A5"/>
    <w:rsid w:val="00E42F61"/>
    <w:rsid w:val="00E43AEC"/>
    <w:rsid w:val="00E444D2"/>
    <w:rsid w:val="00E47782"/>
    <w:rsid w:val="00E50BBC"/>
    <w:rsid w:val="00E52AD6"/>
    <w:rsid w:val="00E53A1B"/>
    <w:rsid w:val="00E53FB5"/>
    <w:rsid w:val="00E54C12"/>
    <w:rsid w:val="00E551B8"/>
    <w:rsid w:val="00E55A9A"/>
    <w:rsid w:val="00E57250"/>
    <w:rsid w:val="00E57FD0"/>
    <w:rsid w:val="00E60E0D"/>
    <w:rsid w:val="00E63084"/>
    <w:rsid w:val="00E64B26"/>
    <w:rsid w:val="00E66418"/>
    <w:rsid w:val="00E67706"/>
    <w:rsid w:val="00E727B6"/>
    <w:rsid w:val="00E72A0C"/>
    <w:rsid w:val="00E7523F"/>
    <w:rsid w:val="00E76755"/>
    <w:rsid w:val="00E774F2"/>
    <w:rsid w:val="00E826FF"/>
    <w:rsid w:val="00E82B37"/>
    <w:rsid w:val="00E84742"/>
    <w:rsid w:val="00E84B66"/>
    <w:rsid w:val="00E856C1"/>
    <w:rsid w:val="00E86F95"/>
    <w:rsid w:val="00E91FDA"/>
    <w:rsid w:val="00E9238E"/>
    <w:rsid w:val="00E94D6C"/>
    <w:rsid w:val="00E94E33"/>
    <w:rsid w:val="00E94FC7"/>
    <w:rsid w:val="00E96F29"/>
    <w:rsid w:val="00E970E0"/>
    <w:rsid w:val="00E973CF"/>
    <w:rsid w:val="00E97FF1"/>
    <w:rsid w:val="00EA0ABF"/>
    <w:rsid w:val="00EA38E5"/>
    <w:rsid w:val="00EA5144"/>
    <w:rsid w:val="00EA7C02"/>
    <w:rsid w:val="00EB09C6"/>
    <w:rsid w:val="00EB0B1F"/>
    <w:rsid w:val="00EB3857"/>
    <w:rsid w:val="00EB7280"/>
    <w:rsid w:val="00EB7DE2"/>
    <w:rsid w:val="00EC0293"/>
    <w:rsid w:val="00EC1E3B"/>
    <w:rsid w:val="00EC2498"/>
    <w:rsid w:val="00EC32F8"/>
    <w:rsid w:val="00EC4D53"/>
    <w:rsid w:val="00EC620A"/>
    <w:rsid w:val="00EC761B"/>
    <w:rsid w:val="00ED08CD"/>
    <w:rsid w:val="00ED0D7D"/>
    <w:rsid w:val="00ED257C"/>
    <w:rsid w:val="00ED2A0D"/>
    <w:rsid w:val="00ED2C11"/>
    <w:rsid w:val="00ED3D9D"/>
    <w:rsid w:val="00ED4549"/>
    <w:rsid w:val="00ED5A4F"/>
    <w:rsid w:val="00ED6BDA"/>
    <w:rsid w:val="00EE01C4"/>
    <w:rsid w:val="00EE662A"/>
    <w:rsid w:val="00EE70CB"/>
    <w:rsid w:val="00EF0F87"/>
    <w:rsid w:val="00EF2C24"/>
    <w:rsid w:val="00EF63DB"/>
    <w:rsid w:val="00F00B89"/>
    <w:rsid w:val="00F015DF"/>
    <w:rsid w:val="00F02197"/>
    <w:rsid w:val="00F023FE"/>
    <w:rsid w:val="00F04CC4"/>
    <w:rsid w:val="00F07C52"/>
    <w:rsid w:val="00F11DC1"/>
    <w:rsid w:val="00F1205F"/>
    <w:rsid w:val="00F1217A"/>
    <w:rsid w:val="00F20158"/>
    <w:rsid w:val="00F204D8"/>
    <w:rsid w:val="00F239AF"/>
    <w:rsid w:val="00F274C5"/>
    <w:rsid w:val="00F27920"/>
    <w:rsid w:val="00F27B1F"/>
    <w:rsid w:val="00F30B6B"/>
    <w:rsid w:val="00F322B8"/>
    <w:rsid w:val="00F329BD"/>
    <w:rsid w:val="00F33638"/>
    <w:rsid w:val="00F33A58"/>
    <w:rsid w:val="00F362EF"/>
    <w:rsid w:val="00F41649"/>
    <w:rsid w:val="00F44EFA"/>
    <w:rsid w:val="00F4556B"/>
    <w:rsid w:val="00F45976"/>
    <w:rsid w:val="00F45D05"/>
    <w:rsid w:val="00F55B31"/>
    <w:rsid w:val="00F563B7"/>
    <w:rsid w:val="00F57C8E"/>
    <w:rsid w:val="00F57EC9"/>
    <w:rsid w:val="00F6050C"/>
    <w:rsid w:val="00F62C4C"/>
    <w:rsid w:val="00F6671C"/>
    <w:rsid w:val="00F70960"/>
    <w:rsid w:val="00F72362"/>
    <w:rsid w:val="00F73EFA"/>
    <w:rsid w:val="00F74B90"/>
    <w:rsid w:val="00F76164"/>
    <w:rsid w:val="00F807D2"/>
    <w:rsid w:val="00F84999"/>
    <w:rsid w:val="00F852D7"/>
    <w:rsid w:val="00F91822"/>
    <w:rsid w:val="00F976C3"/>
    <w:rsid w:val="00FA0C47"/>
    <w:rsid w:val="00FA2EE4"/>
    <w:rsid w:val="00FA3FC8"/>
    <w:rsid w:val="00FA7094"/>
    <w:rsid w:val="00FB369D"/>
    <w:rsid w:val="00FB3BA2"/>
    <w:rsid w:val="00FB3EBD"/>
    <w:rsid w:val="00FC0550"/>
    <w:rsid w:val="00FC0982"/>
    <w:rsid w:val="00FC0AC3"/>
    <w:rsid w:val="00FC1952"/>
    <w:rsid w:val="00FC452A"/>
    <w:rsid w:val="00FC4DEE"/>
    <w:rsid w:val="00FD044C"/>
    <w:rsid w:val="00FD08AF"/>
    <w:rsid w:val="00FD0B07"/>
    <w:rsid w:val="00FD2706"/>
    <w:rsid w:val="00FD2DA5"/>
    <w:rsid w:val="00FD6255"/>
    <w:rsid w:val="00FD6924"/>
    <w:rsid w:val="00FE0CF6"/>
    <w:rsid w:val="00FE1E7B"/>
    <w:rsid w:val="00FE66ED"/>
    <w:rsid w:val="00FE74E8"/>
    <w:rsid w:val="00FE7C8E"/>
    <w:rsid w:val="00FE7F53"/>
    <w:rsid w:val="00FF04EC"/>
    <w:rsid w:val="00FF2C38"/>
    <w:rsid w:val="00FF363F"/>
    <w:rsid w:val="00FF6135"/>
    <w:rsid w:val="00FF6981"/>
    <w:rsid w:val="00FF6FF4"/>
    <w:rsid w:val="00FF76A8"/>
    <w:rsid w:val="0173362F"/>
    <w:rsid w:val="071012A2"/>
    <w:rsid w:val="0786A8FE"/>
    <w:rsid w:val="0ECF47B6"/>
    <w:rsid w:val="10476144"/>
    <w:rsid w:val="144F533A"/>
    <w:rsid w:val="1976406A"/>
    <w:rsid w:val="1B1E651C"/>
    <w:rsid w:val="1BF6274D"/>
    <w:rsid w:val="20144AC3"/>
    <w:rsid w:val="26960ECC"/>
    <w:rsid w:val="293C0FEA"/>
    <w:rsid w:val="2971BBA8"/>
    <w:rsid w:val="2B35E58D"/>
    <w:rsid w:val="2F0BDE17"/>
    <w:rsid w:val="301DA9D5"/>
    <w:rsid w:val="32FD7BE0"/>
    <w:rsid w:val="33E82DEA"/>
    <w:rsid w:val="349FE6BE"/>
    <w:rsid w:val="38A50D3D"/>
    <w:rsid w:val="39FFCAAA"/>
    <w:rsid w:val="3C1E0185"/>
    <w:rsid w:val="3CD0F5A4"/>
    <w:rsid w:val="3DEEDF4C"/>
    <w:rsid w:val="3F403C55"/>
    <w:rsid w:val="4038113B"/>
    <w:rsid w:val="4108C47B"/>
    <w:rsid w:val="47F2797A"/>
    <w:rsid w:val="47F729E2"/>
    <w:rsid w:val="486DFC9B"/>
    <w:rsid w:val="49C8C9A2"/>
    <w:rsid w:val="4B7F711F"/>
    <w:rsid w:val="4C99C621"/>
    <w:rsid w:val="4D03D4AF"/>
    <w:rsid w:val="513A9E2B"/>
    <w:rsid w:val="5A4D8CFB"/>
    <w:rsid w:val="5A84E41B"/>
    <w:rsid w:val="6346AFB1"/>
    <w:rsid w:val="70279396"/>
    <w:rsid w:val="718B5B4D"/>
    <w:rsid w:val="72FD9FD8"/>
    <w:rsid w:val="7713D67D"/>
    <w:rsid w:val="7A2EE0D9"/>
    <w:rsid w:val="7C2DD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2F4B6"/>
  <w15:chartTrackingRefBased/>
  <w15:docId w15:val="{6A033963-AD31-4084-A9E6-77FA851E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382"/>
    <w:rPr>
      <w:rFonts w:ascii="Arial" w:hAnsi="Arial" w:cs="Courier New"/>
      <w:sz w:val="24"/>
      <w:lang w:eastAsia="en-US"/>
    </w:rPr>
  </w:style>
  <w:style w:type="paragraph" w:styleId="Heading1">
    <w:name w:val="heading 1"/>
    <w:basedOn w:val="BodyText"/>
    <w:next w:val="Normal"/>
    <w:qFormat/>
    <w:rsid w:val="00DC68B6"/>
    <w:pPr>
      <w:keepNext/>
      <w:spacing w:before="360" w:after="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2C5C"/>
    <w:pPr>
      <w:jc w:val="center"/>
    </w:pPr>
    <w:rPr>
      <w:rFonts w:cs="Times New Roman"/>
      <w:b/>
      <w:bCs/>
      <w:lang w:val="x-none"/>
    </w:rPr>
  </w:style>
  <w:style w:type="paragraph" w:styleId="Header">
    <w:name w:val="header"/>
    <w:basedOn w:val="Normal"/>
    <w:link w:val="HeaderChar"/>
    <w:rsid w:val="00792C5C"/>
    <w:pPr>
      <w:tabs>
        <w:tab w:val="center" w:pos="4153"/>
        <w:tab w:val="right" w:pos="8306"/>
      </w:tabs>
    </w:pPr>
    <w:rPr>
      <w:rFonts w:cs="Times New Roman"/>
      <w:lang w:val="x-none"/>
    </w:rPr>
  </w:style>
  <w:style w:type="paragraph" w:styleId="Subtitle">
    <w:name w:val="Subtitle"/>
    <w:basedOn w:val="Normal"/>
    <w:qFormat/>
    <w:rsid w:val="00792C5C"/>
    <w:rPr>
      <w:b/>
      <w:bCs/>
    </w:rPr>
  </w:style>
  <w:style w:type="paragraph" w:styleId="FootnoteText">
    <w:name w:val="footnote text"/>
    <w:basedOn w:val="Normal"/>
    <w:semiHidden/>
    <w:rsid w:val="00792C5C"/>
    <w:rPr>
      <w:sz w:val="20"/>
    </w:rPr>
  </w:style>
  <w:style w:type="paragraph" w:styleId="Footer">
    <w:name w:val="footer"/>
    <w:basedOn w:val="Normal"/>
    <w:rsid w:val="00792C5C"/>
    <w:pPr>
      <w:tabs>
        <w:tab w:val="center" w:pos="4153"/>
        <w:tab w:val="right" w:pos="8306"/>
      </w:tabs>
    </w:pPr>
  </w:style>
  <w:style w:type="paragraph" w:styleId="EndnoteText">
    <w:name w:val="endnote text"/>
    <w:basedOn w:val="Normal"/>
    <w:semiHidden/>
    <w:rsid w:val="00792C5C"/>
    <w:rPr>
      <w:sz w:val="20"/>
    </w:rPr>
  </w:style>
  <w:style w:type="character" w:styleId="EndnoteReference">
    <w:name w:val="endnote reference"/>
    <w:semiHidden/>
    <w:rsid w:val="00792C5C"/>
    <w:rPr>
      <w:vertAlign w:val="superscript"/>
    </w:rPr>
  </w:style>
  <w:style w:type="paragraph" w:styleId="BodyText2">
    <w:name w:val="Body Text 2"/>
    <w:basedOn w:val="BodyText"/>
    <w:link w:val="BodyText2Char"/>
    <w:rsid w:val="00DC68B6"/>
    <w:pPr>
      <w:spacing w:before="120" w:after="120"/>
    </w:pPr>
  </w:style>
  <w:style w:type="character" w:styleId="FootnoteReference">
    <w:name w:val="footnote reference"/>
    <w:semiHidden/>
    <w:rsid w:val="00792C5C"/>
    <w:rPr>
      <w:vertAlign w:val="superscript"/>
    </w:rPr>
  </w:style>
  <w:style w:type="character" w:styleId="Hyperlink">
    <w:name w:val="Hyperlink"/>
    <w:rsid w:val="00792C5C"/>
    <w:rPr>
      <w:color w:val="0000FF"/>
      <w:u w:val="single"/>
    </w:rPr>
  </w:style>
  <w:style w:type="paragraph" w:styleId="BodyText">
    <w:name w:val="Body Text"/>
    <w:basedOn w:val="Normal"/>
    <w:link w:val="BodyTextChar"/>
    <w:rsid w:val="00DC68B6"/>
    <w:pPr>
      <w:spacing w:after="240"/>
    </w:pPr>
    <w:rPr>
      <w:rFonts w:cs="Times New Roman"/>
      <w:lang w:val="x-none"/>
    </w:rPr>
  </w:style>
  <w:style w:type="paragraph" w:styleId="BalloonText">
    <w:name w:val="Balloon Text"/>
    <w:basedOn w:val="Normal"/>
    <w:semiHidden/>
    <w:rsid w:val="00792C5C"/>
    <w:rPr>
      <w:rFonts w:ascii="Tahoma" w:hAnsi="Tahoma" w:cs="Tahoma"/>
      <w:sz w:val="16"/>
      <w:szCs w:val="16"/>
    </w:rPr>
  </w:style>
  <w:style w:type="character" w:styleId="CommentReference">
    <w:name w:val="annotation reference"/>
    <w:rsid w:val="00792C5C"/>
    <w:rPr>
      <w:sz w:val="16"/>
      <w:szCs w:val="16"/>
    </w:rPr>
  </w:style>
  <w:style w:type="paragraph" w:styleId="CommentText">
    <w:name w:val="annotation text"/>
    <w:basedOn w:val="Normal"/>
    <w:link w:val="CommentTextChar"/>
    <w:semiHidden/>
    <w:rsid w:val="00792C5C"/>
    <w:rPr>
      <w:rFonts w:cs="Times New Roman"/>
      <w:sz w:val="20"/>
      <w:lang w:val="x-none"/>
    </w:rPr>
  </w:style>
  <w:style w:type="paragraph" w:styleId="CommentSubject">
    <w:name w:val="annotation subject"/>
    <w:basedOn w:val="CommentText"/>
    <w:next w:val="CommentText"/>
    <w:semiHidden/>
    <w:rsid w:val="00792C5C"/>
    <w:rPr>
      <w:b/>
      <w:bCs/>
    </w:rPr>
  </w:style>
  <w:style w:type="character" w:styleId="PageNumber">
    <w:name w:val="page number"/>
    <w:basedOn w:val="DefaultParagraphFont"/>
    <w:rsid w:val="004C25A1"/>
  </w:style>
  <w:style w:type="character" w:styleId="PlaceholderText">
    <w:name w:val="Placeholder Text"/>
    <w:uiPriority w:val="99"/>
    <w:semiHidden/>
    <w:rsid w:val="00F33A58"/>
    <w:rPr>
      <w:color w:val="808080"/>
    </w:rPr>
  </w:style>
  <w:style w:type="character" w:customStyle="1" w:styleId="BodyTextChar">
    <w:name w:val="Body Text Char"/>
    <w:link w:val="BodyText"/>
    <w:rsid w:val="006C22AE"/>
    <w:rPr>
      <w:rFonts w:ascii="Arial" w:hAnsi="Arial" w:cs="Arial"/>
      <w:sz w:val="24"/>
      <w:lang w:eastAsia="en-US"/>
    </w:rPr>
  </w:style>
  <w:style w:type="paragraph" w:styleId="ListParagraph">
    <w:name w:val="List Paragraph"/>
    <w:basedOn w:val="Normal"/>
    <w:uiPriority w:val="34"/>
    <w:qFormat/>
    <w:rsid w:val="00CD1BCF"/>
    <w:pPr>
      <w:ind w:left="720"/>
      <w:contextualSpacing/>
    </w:pPr>
  </w:style>
  <w:style w:type="table" w:styleId="TableGrid">
    <w:name w:val="Table Grid"/>
    <w:basedOn w:val="TableNormal"/>
    <w:rsid w:val="00CD1B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semiHidden/>
    <w:rsid w:val="006169DF"/>
    <w:rPr>
      <w:rFonts w:ascii="Arial" w:hAnsi="Arial" w:cs="Courier New"/>
      <w:lang w:eastAsia="en-US"/>
    </w:rPr>
  </w:style>
  <w:style w:type="paragraph" w:styleId="DocumentMap">
    <w:name w:val="Document Map"/>
    <w:basedOn w:val="Normal"/>
    <w:link w:val="DocumentMapChar"/>
    <w:rsid w:val="000F549C"/>
    <w:rPr>
      <w:rFonts w:ascii="Tahoma" w:hAnsi="Tahoma" w:cs="Times New Roman"/>
      <w:sz w:val="16"/>
      <w:szCs w:val="16"/>
      <w:lang w:val="x-none"/>
    </w:rPr>
  </w:style>
  <w:style w:type="character" w:customStyle="1" w:styleId="DocumentMapChar">
    <w:name w:val="Document Map Char"/>
    <w:link w:val="DocumentMap"/>
    <w:rsid w:val="000F549C"/>
    <w:rPr>
      <w:rFonts w:ascii="Tahoma" w:hAnsi="Tahoma" w:cs="Tahoma"/>
      <w:sz w:val="16"/>
      <w:szCs w:val="16"/>
      <w:lang w:eastAsia="en-US"/>
    </w:rPr>
  </w:style>
  <w:style w:type="paragraph" w:customStyle="1" w:styleId="Paragraph">
    <w:name w:val="Paragraph"/>
    <w:basedOn w:val="Normal"/>
    <w:uiPriority w:val="4"/>
    <w:qFormat/>
    <w:rsid w:val="000F549C"/>
    <w:pPr>
      <w:numPr>
        <w:numId w:val="15"/>
      </w:numPr>
      <w:spacing w:before="240" w:after="240" w:line="276" w:lineRule="auto"/>
      <w:ind w:left="709" w:hanging="709"/>
    </w:pPr>
    <w:rPr>
      <w:rFonts w:cs="Times New Roman"/>
      <w:szCs w:val="24"/>
      <w:lang w:eastAsia="en-GB"/>
    </w:rPr>
  </w:style>
  <w:style w:type="paragraph" w:customStyle="1" w:styleId="NICEnormal">
    <w:name w:val="NICE normal"/>
    <w:rsid w:val="007F3F09"/>
    <w:pPr>
      <w:spacing w:after="240" w:line="360" w:lineRule="auto"/>
    </w:pPr>
    <w:rPr>
      <w:rFonts w:ascii="Arial" w:hAnsi="Arial"/>
      <w:sz w:val="24"/>
      <w:szCs w:val="24"/>
      <w:lang w:val="en-US" w:eastAsia="en-US"/>
    </w:rPr>
  </w:style>
  <w:style w:type="character" w:customStyle="1" w:styleId="TitleChar">
    <w:name w:val="Title Char"/>
    <w:link w:val="Title"/>
    <w:rsid w:val="00230DA7"/>
    <w:rPr>
      <w:rFonts w:ascii="Arial" w:hAnsi="Arial" w:cs="Courier New"/>
      <w:b/>
      <w:bCs/>
      <w:sz w:val="24"/>
      <w:lang w:eastAsia="en-US"/>
    </w:rPr>
  </w:style>
  <w:style w:type="character" w:customStyle="1" w:styleId="HeaderChar">
    <w:name w:val="Header Char"/>
    <w:link w:val="Header"/>
    <w:rsid w:val="00230DA7"/>
    <w:rPr>
      <w:rFonts w:ascii="Arial" w:hAnsi="Arial" w:cs="Courier New"/>
      <w:sz w:val="24"/>
      <w:lang w:eastAsia="en-US"/>
    </w:rPr>
  </w:style>
  <w:style w:type="character" w:customStyle="1" w:styleId="BodyText2Char">
    <w:name w:val="Body Text 2 Char"/>
    <w:link w:val="BodyText2"/>
    <w:rsid w:val="00230DA7"/>
    <w:rPr>
      <w:rFonts w:ascii="Arial" w:hAnsi="Arial"/>
      <w:sz w:val="24"/>
      <w:lang w:eastAsia="en-US"/>
    </w:rPr>
  </w:style>
  <w:style w:type="character" w:styleId="FollowedHyperlink">
    <w:name w:val="FollowedHyperlink"/>
    <w:rsid w:val="00170AFE"/>
    <w:rPr>
      <w:color w:val="800080"/>
      <w:u w:val="single"/>
    </w:rPr>
  </w:style>
  <w:style w:type="paragraph" w:customStyle="1" w:styleId="Default">
    <w:name w:val="Default"/>
    <w:basedOn w:val="Normal"/>
    <w:rsid w:val="006D0EA5"/>
    <w:pPr>
      <w:autoSpaceDE w:val="0"/>
      <w:autoSpaceDN w:val="0"/>
    </w:pPr>
    <w:rPr>
      <w:rFonts w:eastAsia="Calibri" w:cs="Arial"/>
      <w:color w:val="000000"/>
      <w:szCs w:val="24"/>
      <w:lang w:eastAsia="en-GB"/>
    </w:rPr>
  </w:style>
  <w:style w:type="paragraph" w:styleId="Revision">
    <w:name w:val="Revision"/>
    <w:hidden/>
    <w:uiPriority w:val="99"/>
    <w:semiHidden/>
    <w:rsid w:val="00CC7424"/>
    <w:rPr>
      <w:rFonts w:ascii="Arial" w:hAnsi="Arial" w:cs="Courier New"/>
      <w:sz w:val="24"/>
      <w:lang w:eastAsia="en-US"/>
    </w:rPr>
  </w:style>
  <w:style w:type="paragraph" w:customStyle="1" w:styleId="Bulletindent1">
    <w:name w:val="Bullet indent 1"/>
    <w:basedOn w:val="NICEnormal"/>
    <w:link w:val="Bulletindent1Char"/>
    <w:rsid w:val="00C00E63"/>
    <w:pPr>
      <w:numPr>
        <w:numId w:val="24"/>
      </w:numPr>
      <w:spacing w:after="0"/>
    </w:pPr>
  </w:style>
  <w:style w:type="character" w:customStyle="1" w:styleId="Bulletindent1Char">
    <w:name w:val="Bullet indent 1 Char"/>
    <w:link w:val="Bulletindent1"/>
    <w:rsid w:val="00C00E63"/>
    <w:rPr>
      <w:rFonts w:ascii="Arial" w:hAnsi="Arial"/>
      <w:sz w:val="24"/>
      <w:szCs w:val="24"/>
      <w:lang w:val="en-US" w:eastAsia="en-US"/>
    </w:rPr>
  </w:style>
  <w:style w:type="character" w:styleId="UnresolvedMention">
    <w:name w:val="Unresolved Mention"/>
    <w:uiPriority w:val="99"/>
    <w:semiHidden/>
    <w:unhideWhenUsed/>
    <w:rsid w:val="007375E5"/>
    <w:rPr>
      <w:color w:val="605E5C"/>
      <w:shd w:val="clear" w:color="auto" w:fill="E1DFDD"/>
    </w:rPr>
  </w:style>
  <w:style w:type="character" w:styleId="SmartLink">
    <w:name w:val="Smart Link"/>
    <w:basedOn w:val="DefaultParagraphFont"/>
    <w:uiPriority w:val="99"/>
    <w:semiHidden/>
    <w:unhideWhenUsed/>
    <w:rsid w:val="00C13E8A"/>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7004">
      <w:bodyDiv w:val="1"/>
      <w:marLeft w:val="0"/>
      <w:marRight w:val="0"/>
      <w:marTop w:val="0"/>
      <w:marBottom w:val="0"/>
      <w:divBdr>
        <w:top w:val="none" w:sz="0" w:space="0" w:color="auto"/>
        <w:left w:val="none" w:sz="0" w:space="0" w:color="auto"/>
        <w:bottom w:val="none" w:sz="0" w:space="0" w:color="auto"/>
        <w:right w:val="none" w:sz="0" w:space="0" w:color="auto"/>
      </w:divBdr>
    </w:div>
    <w:div w:id="184440044">
      <w:bodyDiv w:val="1"/>
      <w:marLeft w:val="0"/>
      <w:marRight w:val="0"/>
      <w:marTop w:val="0"/>
      <w:marBottom w:val="0"/>
      <w:divBdr>
        <w:top w:val="none" w:sz="0" w:space="0" w:color="auto"/>
        <w:left w:val="none" w:sz="0" w:space="0" w:color="auto"/>
        <w:bottom w:val="none" w:sz="0" w:space="0" w:color="auto"/>
        <w:right w:val="none" w:sz="0" w:space="0" w:color="auto"/>
      </w:divBdr>
    </w:div>
    <w:div w:id="215437193">
      <w:bodyDiv w:val="1"/>
      <w:marLeft w:val="0"/>
      <w:marRight w:val="0"/>
      <w:marTop w:val="0"/>
      <w:marBottom w:val="0"/>
      <w:divBdr>
        <w:top w:val="none" w:sz="0" w:space="0" w:color="auto"/>
        <w:left w:val="none" w:sz="0" w:space="0" w:color="auto"/>
        <w:bottom w:val="none" w:sz="0" w:space="0" w:color="auto"/>
        <w:right w:val="none" w:sz="0" w:space="0" w:color="auto"/>
      </w:divBdr>
    </w:div>
    <w:div w:id="227620738">
      <w:bodyDiv w:val="1"/>
      <w:marLeft w:val="0"/>
      <w:marRight w:val="0"/>
      <w:marTop w:val="0"/>
      <w:marBottom w:val="0"/>
      <w:divBdr>
        <w:top w:val="none" w:sz="0" w:space="0" w:color="auto"/>
        <w:left w:val="none" w:sz="0" w:space="0" w:color="auto"/>
        <w:bottom w:val="none" w:sz="0" w:space="0" w:color="auto"/>
        <w:right w:val="none" w:sz="0" w:space="0" w:color="auto"/>
      </w:divBdr>
    </w:div>
    <w:div w:id="380598941">
      <w:bodyDiv w:val="1"/>
      <w:marLeft w:val="0"/>
      <w:marRight w:val="0"/>
      <w:marTop w:val="0"/>
      <w:marBottom w:val="0"/>
      <w:divBdr>
        <w:top w:val="none" w:sz="0" w:space="0" w:color="auto"/>
        <w:left w:val="none" w:sz="0" w:space="0" w:color="auto"/>
        <w:bottom w:val="none" w:sz="0" w:space="0" w:color="auto"/>
        <w:right w:val="none" w:sz="0" w:space="0" w:color="auto"/>
      </w:divBdr>
    </w:div>
    <w:div w:id="442922443">
      <w:bodyDiv w:val="1"/>
      <w:marLeft w:val="0"/>
      <w:marRight w:val="0"/>
      <w:marTop w:val="0"/>
      <w:marBottom w:val="0"/>
      <w:divBdr>
        <w:top w:val="none" w:sz="0" w:space="0" w:color="auto"/>
        <w:left w:val="none" w:sz="0" w:space="0" w:color="auto"/>
        <w:bottom w:val="none" w:sz="0" w:space="0" w:color="auto"/>
        <w:right w:val="none" w:sz="0" w:space="0" w:color="auto"/>
      </w:divBdr>
    </w:div>
    <w:div w:id="454786717">
      <w:bodyDiv w:val="1"/>
      <w:marLeft w:val="0"/>
      <w:marRight w:val="0"/>
      <w:marTop w:val="0"/>
      <w:marBottom w:val="0"/>
      <w:divBdr>
        <w:top w:val="none" w:sz="0" w:space="0" w:color="auto"/>
        <w:left w:val="none" w:sz="0" w:space="0" w:color="auto"/>
        <w:bottom w:val="none" w:sz="0" w:space="0" w:color="auto"/>
        <w:right w:val="none" w:sz="0" w:space="0" w:color="auto"/>
      </w:divBdr>
    </w:div>
    <w:div w:id="491414565">
      <w:bodyDiv w:val="1"/>
      <w:marLeft w:val="0"/>
      <w:marRight w:val="0"/>
      <w:marTop w:val="0"/>
      <w:marBottom w:val="0"/>
      <w:divBdr>
        <w:top w:val="none" w:sz="0" w:space="0" w:color="auto"/>
        <w:left w:val="none" w:sz="0" w:space="0" w:color="auto"/>
        <w:bottom w:val="none" w:sz="0" w:space="0" w:color="auto"/>
        <w:right w:val="none" w:sz="0" w:space="0" w:color="auto"/>
      </w:divBdr>
    </w:div>
    <w:div w:id="509297236">
      <w:bodyDiv w:val="1"/>
      <w:marLeft w:val="0"/>
      <w:marRight w:val="0"/>
      <w:marTop w:val="0"/>
      <w:marBottom w:val="0"/>
      <w:divBdr>
        <w:top w:val="none" w:sz="0" w:space="0" w:color="auto"/>
        <w:left w:val="none" w:sz="0" w:space="0" w:color="auto"/>
        <w:bottom w:val="none" w:sz="0" w:space="0" w:color="auto"/>
        <w:right w:val="none" w:sz="0" w:space="0" w:color="auto"/>
      </w:divBdr>
    </w:div>
    <w:div w:id="551576253">
      <w:bodyDiv w:val="1"/>
      <w:marLeft w:val="0"/>
      <w:marRight w:val="0"/>
      <w:marTop w:val="0"/>
      <w:marBottom w:val="0"/>
      <w:divBdr>
        <w:top w:val="none" w:sz="0" w:space="0" w:color="auto"/>
        <w:left w:val="none" w:sz="0" w:space="0" w:color="auto"/>
        <w:bottom w:val="none" w:sz="0" w:space="0" w:color="auto"/>
        <w:right w:val="none" w:sz="0" w:space="0" w:color="auto"/>
      </w:divBdr>
    </w:div>
    <w:div w:id="593050458">
      <w:bodyDiv w:val="1"/>
      <w:marLeft w:val="0"/>
      <w:marRight w:val="0"/>
      <w:marTop w:val="0"/>
      <w:marBottom w:val="0"/>
      <w:divBdr>
        <w:top w:val="none" w:sz="0" w:space="0" w:color="auto"/>
        <w:left w:val="none" w:sz="0" w:space="0" w:color="auto"/>
        <w:bottom w:val="none" w:sz="0" w:space="0" w:color="auto"/>
        <w:right w:val="none" w:sz="0" w:space="0" w:color="auto"/>
      </w:divBdr>
    </w:div>
    <w:div w:id="604115629">
      <w:bodyDiv w:val="1"/>
      <w:marLeft w:val="0"/>
      <w:marRight w:val="0"/>
      <w:marTop w:val="0"/>
      <w:marBottom w:val="0"/>
      <w:divBdr>
        <w:top w:val="none" w:sz="0" w:space="0" w:color="auto"/>
        <w:left w:val="none" w:sz="0" w:space="0" w:color="auto"/>
        <w:bottom w:val="none" w:sz="0" w:space="0" w:color="auto"/>
        <w:right w:val="none" w:sz="0" w:space="0" w:color="auto"/>
      </w:divBdr>
    </w:div>
    <w:div w:id="753093834">
      <w:bodyDiv w:val="1"/>
      <w:marLeft w:val="0"/>
      <w:marRight w:val="0"/>
      <w:marTop w:val="0"/>
      <w:marBottom w:val="0"/>
      <w:divBdr>
        <w:top w:val="none" w:sz="0" w:space="0" w:color="auto"/>
        <w:left w:val="none" w:sz="0" w:space="0" w:color="auto"/>
        <w:bottom w:val="none" w:sz="0" w:space="0" w:color="auto"/>
        <w:right w:val="none" w:sz="0" w:space="0" w:color="auto"/>
      </w:divBdr>
    </w:div>
    <w:div w:id="772866926">
      <w:bodyDiv w:val="1"/>
      <w:marLeft w:val="0"/>
      <w:marRight w:val="0"/>
      <w:marTop w:val="0"/>
      <w:marBottom w:val="0"/>
      <w:divBdr>
        <w:top w:val="none" w:sz="0" w:space="0" w:color="auto"/>
        <w:left w:val="none" w:sz="0" w:space="0" w:color="auto"/>
        <w:bottom w:val="none" w:sz="0" w:space="0" w:color="auto"/>
        <w:right w:val="none" w:sz="0" w:space="0" w:color="auto"/>
      </w:divBdr>
    </w:div>
    <w:div w:id="807011816">
      <w:bodyDiv w:val="1"/>
      <w:marLeft w:val="0"/>
      <w:marRight w:val="0"/>
      <w:marTop w:val="0"/>
      <w:marBottom w:val="0"/>
      <w:divBdr>
        <w:top w:val="none" w:sz="0" w:space="0" w:color="auto"/>
        <w:left w:val="none" w:sz="0" w:space="0" w:color="auto"/>
        <w:bottom w:val="none" w:sz="0" w:space="0" w:color="auto"/>
        <w:right w:val="none" w:sz="0" w:space="0" w:color="auto"/>
      </w:divBdr>
    </w:div>
    <w:div w:id="877355082">
      <w:bodyDiv w:val="1"/>
      <w:marLeft w:val="0"/>
      <w:marRight w:val="0"/>
      <w:marTop w:val="0"/>
      <w:marBottom w:val="0"/>
      <w:divBdr>
        <w:top w:val="none" w:sz="0" w:space="0" w:color="auto"/>
        <w:left w:val="none" w:sz="0" w:space="0" w:color="auto"/>
        <w:bottom w:val="none" w:sz="0" w:space="0" w:color="auto"/>
        <w:right w:val="none" w:sz="0" w:space="0" w:color="auto"/>
      </w:divBdr>
    </w:div>
    <w:div w:id="1007320544">
      <w:bodyDiv w:val="1"/>
      <w:marLeft w:val="0"/>
      <w:marRight w:val="0"/>
      <w:marTop w:val="0"/>
      <w:marBottom w:val="0"/>
      <w:divBdr>
        <w:top w:val="none" w:sz="0" w:space="0" w:color="auto"/>
        <w:left w:val="none" w:sz="0" w:space="0" w:color="auto"/>
        <w:bottom w:val="none" w:sz="0" w:space="0" w:color="auto"/>
        <w:right w:val="none" w:sz="0" w:space="0" w:color="auto"/>
      </w:divBdr>
    </w:div>
    <w:div w:id="1015767959">
      <w:bodyDiv w:val="1"/>
      <w:marLeft w:val="0"/>
      <w:marRight w:val="0"/>
      <w:marTop w:val="0"/>
      <w:marBottom w:val="0"/>
      <w:divBdr>
        <w:top w:val="none" w:sz="0" w:space="0" w:color="auto"/>
        <w:left w:val="none" w:sz="0" w:space="0" w:color="auto"/>
        <w:bottom w:val="none" w:sz="0" w:space="0" w:color="auto"/>
        <w:right w:val="none" w:sz="0" w:space="0" w:color="auto"/>
      </w:divBdr>
    </w:div>
    <w:div w:id="1144740001">
      <w:bodyDiv w:val="1"/>
      <w:marLeft w:val="0"/>
      <w:marRight w:val="0"/>
      <w:marTop w:val="0"/>
      <w:marBottom w:val="0"/>
      <w:divBdr>
        <w:top w:val="none" w:sz="0" w:space="0" w:color="auto"/>
        <w:left w:val="none" w:sz="0" w:space="0" w:color="auto"/>
        <w:bottom w:val="none" w:sz="0" w:space="0" w:color="auto"/>
        <w:right w:val="none" w:sz="0" w:space="0" w:color="auto"/>
      </w:divBdr>
    </w:div>
    <w:div w:id="1214734801">
      <w:bodyDiv w:val="1"/>
      <w:marLeft w:val="0"/>
      <w:marRight w:val="0"/>
      <w:marTop w:val="0"/>
      <w:marBottom w:val="0"/>
      <w:divBdr>
        <w:top w:val="none" w:sz="0" w:space="0" w:color="auto"/>
        <w:left w:val="none" w:sz="0" w:space="0" w:color="auto"/>
        <w:bottom w:val="none" w:sz="0" w:space="0" w:color="auto"/>
        <w:right w:val="none" w:sz="0" w:space="0" w:color="auto"/>
      </w:divBdr>
    </w:div>
    <w:div w:id="1247035124">
      <w:bodyDiv w:val="1"/>
      <w:marLeft w:val="0"/>
      <w:marRight w:val="0"/>
      <w:marTop w:val="0"/>
      <w:marBottom w:val="0"/>
      <w:divBdr>
        <w:top w:val="none" w:sz="0" w:space="0" w:color="auto"/>
        <w:left w:val="none" w:sz="0" w:space="0" w:color="auto"/>
        <w:bottom w:val="none" w:sz="0" w:space="0" w:color="auto"/>
        <w:right w:val="none" w:sz="0" w:space="0" w:color="auto"/>
      </w:divBdr>
    </w:div>
    <w:div w:id="1265452917">
      <w:bodyDiv w:val="1"/>
      <w:marLeft w:val="0"/>
      <w:marRight w:val="0"/>
      <w:marTop w:val="0"/>
      <w:marBottom w:val="0"/>
      <w:divBdr>
        <w:top w:val="none" w:sz="0" w:space="0" w:color="auto"/>
        <w:left w:val="none" w:sz="0" w:space="0" w:color="auto"/>
        <w:bottom w:val="none" w:sz="0" w:space="0" w:color="auto"/>
        <w:right w:val="none" w:sz="0" w:space="0" w:color="auto"/>
      </w:divBdr>
    </w:div>
    <w:div w:id="1312054168">
      <w:bodyDiv w:val="1"/>
      <w:marLeft w:val="0"/>
      <w:marRight w:val="0"/>
      <w:marTop w:val="0"/>
      <w:marBottom w:val="0"/>
      <w:divBdr>
        <w:top w:val="none" w:sz="0" w:space="0" w:color="auto"/>
        <w:left w:val="none" w:sz="0" w:space="0" w:color="auto"/>
        <w:bottom w:val="none" w:sz="0" w:space="0" w:color="auto"/>
        <w:right w:val="none" w:sz="0" w:space="0" w:color="auto"/>
      </w:divBdr>
    </w:div>
    <w:div w:id="1378360923">
      <w:bodyDiv w:val="1"/>
      <w:marLeft w:val="0"/>
      <w:marRight w:val="0"/>
      <w:marTop w:val="0"/>
      <w:marBottom w:val="0"/>
      <w:divBdr>
        <w:top w:val="none" w:sz="0" w:space="0" w:color="auto"/>
        <w:left w:val="none" w:sz="0" w:space="0" w:color="auto"/>
        <w:bottom w:val="none" w:sz="0" w:space="0" w:color="auto"/>
        <w:right w:val="none" w:sz="0" w:space="0" w:color="auto"/>
      </w:divBdr>
    </w:div>
    <w:div w:id="1380789306">
      <w:bodyDiv w:val="1"/>
      <w:marLeft w:val="0"/>
      <w:marRight w:val="0"/>
      <w:marTop w:val="0"/>
      <w:marBottom w:val="0"/>
      <w:divBdr>
        <w:top w:val="none" w:sz="0" w:space="0" w:color="auto"/>
        <w:left w:val="none" w:sz="0" w:space="0" w:color="auto"/>
        <w:bottom w:val="none" w:sz="0" w:space="0" w:color="auto"/>
        <w:right w:val="none" w:sz="0" w:space="0" w:color="auto"/>
      </w:divBdr>
    </w:div>
    <w:div w:id="1541937604">
      <w:bodyDiv w:val="1"/>
      <w:marLeft w:val="0"/>
      <w:marRight w:val="0"/>
      <w:marTop w:val="0"/>
      <w:marBottom w:val="0"/>
      <w:divBdr>
        <w:top w:val="none" w:sz="0" w:space="0" w:color="auto"/>
        <w:left w:val="none" w:sz="0" w:space="0" w:color="auto"/>
        <w:bottom w:val="none" w:sz="0" w:space="0" w:color="auto"/>
        <w:right w:val="none" w:sz="0" w:space="0" w:color="auto"/>
      </w:divBdr>
    </w:div>
    <w:div w:id="1580098192">
      <w:bodyDiv w:val="1"/>
      <w:marLeft w:val="0"/>
      <w:marRight w:val="0"/>
      <w:marTop w:val="0"/>
      <w:marBottom w:val="0"/>
      <w:divBdr>
        <w:top w:val="none" w:sz="0" w:space="0" w:color="auto"/>
        <w:left w:val="none" w:sz="0" w:space="0" w:color="auto"/>
        <w:bottom w:val="none" w:sz="0" w:space="0" w:color="auto"/>
        <w:right w:val="none" w:sz="0" w:space="0" w:color="auto"/>
      </w:divBdr>
    </w:div>
    <w:div w:id="1641838292">
      <w:bodyDiv w:val="1"/>
      <w:marLeft w:val="0"/>
      <w:marRight w:val="0"/>
      <w:marTop w:val="0"/>
      <w:marBottom w:val="0"/>
      <w:divBdr>
        <w:top w:val="none" w:sz="0" w:space="0" w:color="auto"/>
        <w:left w:val="none" w:sz="0" w:space="0" w:color="auto"/>
        <w:bottom w:val="none" w:sz="0" w:space="0" w:color="auto"/>
        <w:right w:val="none" w:sz="0" w:space="0" w:color="auto"/>
      </w:divBdr>
    </w:div>
    <w:div w:id="1682123461">
      <w:bodyDiv w:val="1"/>
      <w:marLeft w:val="0"/>
      <w:marRight w:val="0"/>
      <w:marTop w:val="0"/>
      <w:marBottom w:val="0"/>
      <w:divBdr>
        <w:top w:val="none" w:sz="0" w:space="0" w:color="auto"/>
        <w:left w:val="none" w:sz="0" w:space="0" w:color="auto"/>
        <w:bottom w:val="none" w:sz="0" w:space="0" w:color="auto"/>
        <w:right w:val="none" w:sz="0" w:space="0" w:color="auto"/>
      </w:divBdr>
    </w:div>
    <w:div w:id="1700622303">
      <w:bodyDiv w:val="1"/>
      <w:marLeft w:val="0"/>
      <w:marRight w:val="0"/>
      <w:marTop w:val="0"/>
      <w:marBottom w:val="0"/>
      <w:divBdr>
        <w:top w:val="none" w:sz="0" w:space="0" w:color="auto"/>
        <w:left w:val="none" w:sz="0" w:space="0" w:color="auto"/>
        <w:bottom w:val="none" w:sz="0" w:space="0" w:color="auto"/>
        <w:right w:val="none" w:sz="0" w:space="0" w:color="auto"/>
      </w:divBdr>
    </w:div>
    <w:div w:id="1866554304">
      <w:bodyDiv w:val="1"/>
      <w:marLeft w:val="0"/>
      <w:marRight w:val="0"/>
      <w:marTop w:val="0"/>
      <w:marBottom w:val="0"/>
      <w:divBdr>
        <w:top w:val="none" w:sz="0" w:space="0" w:color="auto"/>
        <w:left w:val="none" w:sz="0" w:space="0" w:color="auto"/>
        <w:bottom w:val="none" w:sz="0" w:space="0" w:color="auto"/>
        <w:right w:val="none" w:sz="0" w:space="0" w:color="auto"/>
      </w:divBdr>
    </w:div>
    <w:div w:id="1890023946">
      <w:bodyDiv w:val="1"/>
      <w:marLeft w:val="0"/>
      <w:marRight w:val="0"/>
      <w:marTop w:val="0"/>
      <w:marBottom w:val="0"/>
      <w:divBdr>
        <w:top w:val="none" w:sz="0" w:space="0" w:color="auto"/>
        <w:left w:val="none" w:sz="0" w:space="0" w:color="auto"/>
        <w:bottom w:val="none" w:sz="0" w:space="0" w:color="auto"/>
        <w:right w:val="none" w:sz="0" w:space="0" w:color="auto"/>
      </w:divBdr>
    </w:div>
    <w:div w:id="1936554097">
      <w:bodyDiv w:val="1"/>
      <w:marLeft w:val="0"/>
      <w:marRight w:val="0"/>
      <w:marTop w:val="0"/>
      <w:marBottom w:val="0"/>
      <w:divBdr>
        <w:top w:val="none" w:sz="0" w:space="0" w:color="auto"/>
        <w:left w:val="none" w:sz="0" w:space="0" w:color="auto"/>
        <w:bottom w:val="none" w:sz="0" w:space="0" w:color="auto"/>
        <w:right w:val="none" w:sz="0" w:space="0" w:color="auto"/>
      </w:divBdr>
    </w:div>
    <w:div w:id="1964649288">
      <w:bodyDiv w:val="1"/>
      <w:marLeft w:val="0"/>
      <w:marRight w:val="0"/>
      <w:marTop w:val="0"/>
      <w:marBottom w:val="0"/>
      <w:divBdr>
        <w:top w:val="none" w:sz="0" w:space="0" w:color="auto"/>
        <w:left w:val="none" w:sz="0" w:space="0" w:color="auto"/>
        <w:bottom w:val="none" w:sz="0" w:space="0" w:color="auto"/>
        <w:right w:val="none" w:sz="0" w:space="0" w:color="auto"/>
      </w:divBdr>
    </w:div>
    <w:div w:id="19814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ta1143" TargetMode="External"/><Relationship Id="rId18" Type="http://schemas.openxmlformats.org/officeDocument/2006/relationships/hyperlink" Target="https://www.nice.org.uk/guidance/qs1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ice.org.uk/guidance/ng101" TargetMode="External"/><Relationship Id="rId17" Type="http://schemas.openxmlformats.org/officeDocument/2006/relationships/hyperlink" Target="https://www.nice.org.uk/guidance/IPG738" TargetMode="External"/><Relationship Id="rId2" Type="http://schemas.openxmlformats.org/officeDocument/2006/relationships/customXml" Target="../customXml/item2.xml"/><Relationship Id="rId16" Type="http://schemas.openxmlformats.org/officeDocument/2006/relationships/hyperlink" Target="https://www.nice.org.uk/guidance/ng101/chapter/Recommendations" TargetMode="External"/><Relationship Id="rId20" Type="http://schemas.openxmlformats.org/officeDocument/2006/relationships/hyperlink" Target="https://www.bmj.com/content/359/bmj.j5101.lo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2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ng2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ce.org.uk/about/what-we-do/our-programmes/nice-guidance/nice-technology-appraisal-guidance/changes-to-health-technology-evalu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ta114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6" ma:contentTypeDescription="Create a new document." ma:contentTypeScope="" ma:versionID="12ff63fae144ed75b0ddd7b7c1a65ca6">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45bb4e80be8ad27102706a60e7e6fc58"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m2346e5591114862813975e18538b05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3fad2-883a-4eaf-9e1c-8c20d986e5dc}"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element name="m2346e5591114862813975e18538b05c" ma:index="22" nillable="true" ma:taxonomy="true" ma:internalName="m2346e5591114862813975e18538b05c" ma:taxonomyFieldName="Condition_x0020_category1" ma:displayName="Condition and disease categories" ma:fieldId="{62346e55-9111-4862-8139-75e18538b05c}" ma:sspId="9abb4586-6e39-4769-a9e9-e64cee0e77fc" ma:termSetId="a7ec81b1-b973-4542-a2ec-925a7eb869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m2346e5591114862813975e18538b05c xmlns="0eb656aa-4e79-4e95-9076-bc119a23e0cc">
      <Terms xmlns="http://schemas.microsoft.com/office/infopath/2007/PartnerControls"/>
    </m2346e5591114862813975e18538b05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B1B1E-836F-4EF7-93C8-313E407ABA8A}">
  <ds:schemaRefs>
    <ds:schemaRef ds:uri="http://schemas.microsoft.com/sharepoint/v3/contenttype/forms"/>
  </ds:schemaRefs>
</ds:datastoreItem>
</file>

<file path=customXml/itemProps2.xml><?xml version="1.0" encoding="utf-8"?>
<ds:datastoreItem xmlns:ds="http://schemas.openxmlformats.org/officeDocument/2006/customXml" ds:itemID="{834A5136-92EF-4366-B283-AFE893E7B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f790-c252-4bfe-890a-0e01b9de803a"/>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81938-CF25-4EE6-AB4C-BE8C921B0216}">
  <ds:schemaRefs>
    <ds:schemaRef ds:uri="http://schemas.microsoft.com/office/2006/metadata/properties"/>
    <ds:schemaRef ds:uri="http://schemas.microsoft.com/office/infopath/2007/PartnerControls"/>
    <ds:schemaRef ds:uri="0eb656aa-4e79-4e95-9076-bc119a23e0cc"/>
    <ds:schemaRef ds:uri="6113f790-c252-4bfe-890a-0e01b9de803a"/>
  </ds:schemaRefs>
</ds:datastoreItem>
</file>

<file path=customXml/itemProps4.xml><?xml version="1.0" encoding="utf-8"?>
<ds:datastoreItem xmlns:ds="http://schemas.openxmlformats.org/officeDocument/2006/customXml" ds:itemID="{8D16D95E-3949-4BF0-862D-70519CA5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1390</Words>
  <Characters>8205</Characters>
  <Application>Microsoft Office Word</Application>
  <DocSecurity>0</DocSecurity>
  <Lines>241</Lines>
  <Paragraphs>126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9469</CharactersWithSpaces>
  <SharedDoc>false</SharedDoc>
  <HLinks>
    <vt:vector size="108" baseType="variant">
      <vt:variant>
        <vt:i4>7012400</vt:i4>
      </vt:variant>
      <vt:variant>
        <vt:i4>69</vt:i4>
      </vt:variant>
      <vt:variant>
        <vt:i4>0</vt:i4>
      </vt:variant>
      <vt:variant>
        <vt:i4>5</vt:i4>
      </vt:variant>
      <vt:variant>
        <vt:lpwstr>https://www.bmj.com/content/359/bmj.j5101.long</vt:lpwstr>
      </vt:variant>
      <vt:variant>
        <vt:lpwstr/>
      </vt:variant>
      <vt:variant>
        <vt:i4>6488107</vt:i4>
      </vt:variant>
      <vt:variant>
        <vt:i4>66</vt:i4>
      </vt:variant>
      <vt:variant>
        <vt:i4>0</vt:i4>
      </vt:variant>
      <vt:variant>
        <vt:i4>5</vt:i4>
      </vt:variant>
      <vt:variant>
        <vt:lpwstr>https://bestpractice.bmj.com/topics/en-gb/194/epidemiology</vt:lpwstr>
      </vt:variant>
      <vt:variant>
        <vt:lpwstr/>
      </vt:variant>
      <vt:variant>
        <vt:i4>1835076</vt:i4>
      </vt:variant>
      <vt:variant>
        <vt:i4>51</vt:i4>
      </vt:variant>
      <vt:variant>
        <vt:i4>0</vt:i4>
      </vt:variant>
      <vt:variant>
        <vt:i4>5</vt:i4>
      </vt:variant>
      <vt:variant>
        <vt:lpwstr>https://www.nice.org.uk/about/what-we-do/our-programmes/nice-guidance/nice-technology-appraisal-guidance/changes-to-health-technology-evaluation</vt:lpwstr>
      </vt:variant>
      <vt:variant>
        <vt:lpwstr/>
      </vt:variant>
      <vt:variant>
        <vt:i4>8323120</vt:i4>
      </vt:variant>
      <vt:variant>
        <vt:i4>42</vt:i4>
      </vt:variant>
      <vt:variant>
        <vt:i4>0</vt:i4>
      </vt:variant>
      <vt:variant>
        <vt:i4>5</vt:i4>
      </vt:variant>
      <vt:variant>
        <vt:lpwstr>https://www.nice.org.uk/guidance/qs143</vt:lpwstr>
      </vt:variant>
      <vt:variant>
        <vt:lpwstr/>
      </vt:variant>
      <vt:variant>
        <vt:i4>3211312</vt:i4>
      </vt:variant>
      <vt:variant>
        <vt:i4>39</vt:i4>
      </vt:variant>
      <vt:variant>
        <vt:i4>0</vt:i4>
      </vt:variant>
      <vt:variant>
        <vt:i4>5</vt:i4>
      </vt:variant>
      <vt:variant>
        <vt:lpwstr>https://www.nice.org.uk/guidance/IPG738</vt:lpwstr>
      </vt:variant>
      <vt:variant>
        <vt:lpwstr/>
      </vt:variant>
      <vt:variant>
        <vt:i4>6619191</vt:i4>
      </vt:variant>
      <vt:variant>
        <vt:i4>36</vt:i4>
      </vt:variant>
      <vt:variant>
        <vt:i4>0</vt:i4>
      </vt:variant>
      <vt:variant>
        <vt:i4>5</vt:i4>
      </vt:variant>
      <vt:variant>
        <vt:lpwstr>https://www.nice.org.uk/guidance/ng101/chapter/Recommendations</vt:lpwstr>
      </vt:variant>
      <vt:variant>
        <vt:lpwstr>complications-of-local-treatment-and-menopausal-symptoms</vt:lpwstr>
      </vt:variant>
      <vt:variant>
        <vt:i4>5242896</vt:i4>
      </vt:variant>
      <vt:variant>
        <vt:i4>30</vt:i4>
      </vt:variant>
      <vt:variant>
        <vt:i4>0</vt:i4>
      </vt:variant>
      <vt:variant>
        <vt:i4>5</vt:i4>
      </vt:variant>
      <vt:variant>
        <vt:lpwstr>https://www.nice.org.uk/guidance/ng23</vt:lpwstr>
      </vt:variant>
      <vt:variant>
        <vt:lpwstr/>
      </vt:variant>
      <vt:variant>
        <vt:i4>8192039</vt:i4>
      </vt:variant>
      <vt:variant>
        <vt:i4>27</vt:i4>
      </vt:variant>
      <vt:variant>
        <vt:i4>0</vt:i4>
      </vt:variant>
      <vt:variant>
        <vt:i4>5</vt:i4>
      </vt:variant>
      <vt:variant>
        <vt:lpwstr>https://www.nice.org.uk/guidance/ta1143</vt:lpwstr>
      </vt:variant>
      <vt:variant>
        <vt:lpwstr/>
      </vt:variant>
      <vt:variant>
        <vt:i4>8192039</vt:i4>
      </vt:variant>
      <vt:variant>
        <vt:i4>15</vt:i4>
      </vt:variant>
      <vt:variant>
        <vt:i4>0</vt:i4>
      </vt:variant>
      <vt:variant>
        <vt:i4>5</vt:i4>
      </vt:variant>
      <vt:variant>
        <vt:lpwstr>https://www.nice.org.uk/guidance/ta1143</vt:lpwstr>
      </vt:variant>
      <vt:variant>
        <vt:lpwstr/>
      </vt:variant>
      <vt:variant>
        <vt:i4>6422560</vt:i4>
      </vt:variant>
      <vt:variant>
        <vt:i4>12</vt:i4>
      </vt:variant>
      <vt:variant>
        <vt:i4>0</vt:i4>
      </vt:variant>
      <vt:variant>
        <vt:i4>5</vt:i4>
      </vt:variant>
      <vt:variant>
        <vt:lpwstr>https://www.nice.org.uk/guidance/ng101</vt:lpwstr>
      </vt:variant>
      <vt:variant>
        <vt:lpwstr/>
      </vt:variant>
      <vt:variant>
        <vt:i4>5242896</vt:i4>
      </vt:variant>
      <vt:variant>
        <vt:i4>9</vt:i4>
      </vt:variant>
      <vt:variant>
        <vt:i4>0</vt:i4>
      </vt:variant>
      <vt:variant>
        <vt:i4>5</vt:i4>
      </vt:variant>
      <vt:variant>
        <vt:lpwstr>https://www.nice.org.uk/guidance/ng23</vt:lpwstr>
      </vt:variant>
      <vt:variant>
        <vt:lpwstr/>
      </vt:variant>
      <vt:variant>
        <vt:i4>8192039</vt:i4>
      </vt:variant>
      <vt:variant>
        <vt:i4>6</vt:i4>
      </vt:variant>
      <vt:variant>
        <vt:i4>0</vt:i4>
      </vt:variant>
      <vt:variant>
        <vt:i4>5</vt:i4>
      </vt:variant>
      <vt:variant>
        <vt:lpwstr>https://www.nice.org.uk/guidance/ta1143</vt:lpwstr>
      </vt:variant>
      <vt:variant>
        <vt:lpwstr/>
      </vt:variant>
      <vt:variant>
        <vt:i4>5373998</vt:i4>
      </vt:variant>
      <vt:variant>
        <vt:i4>3</vt:i4>
      </vt:variant>
      <vt:variant>
        <vt:i4>0</vt:i4>
      </vt:variant>
      <vt:variant>
        <vt:i4>5</vt:i4>
      </vt:variant>
      <vt:variant>
        <vt:lpwstr>https://niceuk.sharepoint.com/:u:/s/TA_HST_Ops/EW_bqjOvcEhFmjKJLoo-3TkBX6aNyi5blvR8D0mWKDvPIg?e=mMaZTY</vt:lpwstr>
      </vt:variant>
      <vt:variant>
        <vt:lpwstr/>
      </vt:variant>
      <vt:variant>
        <vt:i4>1507409</vt:i4>
      </vt:variant>
      <vt:variant>
        <vt:i4>0</vt:i4>
      </vt:variant>
      <vt:variant>
        <vt:i4>0</vt:i4>
      </vt:variant>
      <vt:variant>
        <vt:i4>5</vt:i4>
      </vt:variant>
      <vt:variant>
        <vt:lpwstr>https://niceuk.sharepoint.com/:w:/s/TA_HST_Ops/EYA2UICB_ahDul-zk_LABekBGsVsObdnpDAoE6kUB1tYjA?e=SwtDpt</vt:lpwstr>
      </vt:variant>
      <vt:variant>
        <vt:lpwstr/>
      </vt:variant>
      <vt:variant>
        <vt:i4>327710</vt:i4>
      </vt:variant>
      <vt:variant>
        <vt:i4>9</vt:i4>
      </vt:variant>
      <vt:variant>
        <vt:i4>0</vt:i4>
      </vt:variant>
      <vt:variant>
        <vt:i4>5</vt:i4>
      </vt:variant>
      <vt:variant>
        <vt:lpwstr>https://www.nice.org.uk/guidance/gid-ta11817/documents/scope-consultation-comments-and-responses</vt:lpwstr>
      </vt:variant>
      <vt:variant>
        <vt:lpwstr/>
      </vt:variant>
      <vt:variant>
        <vt:i4>7929916</vt:i4>
      </vt:variant>
      <vt:variant>
        <vt:i4>6</vt:i4>
      </vt:variant>
      <vt:variant>
        <vt:i4>0</vt:i4>
      </vt:variant>
      <vt:variant>
        <vt:i4>5</vt:i4>
      </vt:variant>
      <vt:variant>
        <vt:lpwstr>https://www.medicines.org.uk/emc/product/15361/smpc</vt:lpwstr>
      </vt:variant>
      <vt:variant>
        <vt:lpwstr/>
      </vt:variant>
      <vt:variant>
        <vt:i4>5242896</vt:i4>
      </vt:variant>
      <vt:variant>
        <vt:i4>3</vt:i4>
      </vt:variant>
      <vt:variant>
        <vt:i4>0</vt:i4>
      </vt:variant>
      <vt:variant>
        <vt:i4>5</vt:i4>
      </vt:variant>
      <vt:variant>
        <vt:lpwstr>https://www.nice.org.uk/guidance/ng23</vt:lpwstr>
      </vt:variant>
      <vt:variant>
        <vt:lpwstr/>
      </vt:variant>
      <vt:variant>
        <vt:i4>5701698</vt:i4>
      </vt:variant>
      <vt:variant>
        <vt:i4>0</vt:i4>
      </vt:variant>
      <vt:variant>
        <vt:i4>0</vt:i4>
      </vt:variant>
      <vt:variant>
        <vt:i4>5</vt:i4>
      </vt:variant>
      <vt:variant>
        <vt:lpwstr>https://niceuk.sharepoint.com/:w:/s/Non-Cancer_Topics/IQDybTOrkLmOT5ALNLunD0QIATx6woXPmGwwJ86_iAHpulk?e=JKXD9A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Michelle Green</dc:creator>
  <cp:keywords/>
  <cp:lastModifiedBy>Marcela Haasova</cp:lastModifiedBy>
  <cp:revision>4</cp:revision>
  <cp:lastPrinted>2004-04-14T17:59:00Z</cp:lastPrinted>
  <dcterms:created xsi:type="dcterms:W3CDTF">2026-06-11T09:02:00Z</dcterms:created>
  <dcterms:modified xsi:type="dcterms:W3CDTF">2026-06-11T09:05:00Z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2023-07-28T10:23:49Z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103dcb77-a4e6-408f-809b-3bd634601b97</vt:lpwstr>
  </property>
  <property fmtid="{D5CDD505-2E9C-101B-9397-08002B2CF9AE}" pid="8" name="MSIP_Label_c69d85d5-6d9e-4305-a294-1f636ec0f2d6_ContentBits">
    <vt:lpwstr>0</vt:lpwstr>
  </property>
  <property fmtid="{D5CDD505-2E9C-101B-9397-08002B2CF9AE}" pid="9" name="ContentTypeId">
    <vt:lpwstr>0x010100C3164B6419967F4F9BC885BCC38080FE</vt:lpwstr>
  </property>
  <property fmtid="{D5CDD505-2E9C-101B-9397-08002B2CF9AE}" pid="10" name="MediaServiceImageTags">
    <vt:lpwstr/>
  </property>
  <property fmtid="{D5CDD505-2E9C-101B-9397-08002B2CF9AE}" pid="11" name="Condition_x0020_category1">
    <vt:lpwstr/>
  </property>
  <property fmtid="{D5CDD505-2E9C-101B-9397-08002B2CF9AE}" pid="12" name="Condition category1">
    <vt:lpwstr/>
  </property>
</Properties>
</file>