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1009" w14:textId="77777777" w:rsidR="008B596B" w:rsidRDefault="00A43DA6" w:rsidP="008B596B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A0496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</w:t>
      </w:r>
      <w:r w:rsidR="008B596B">
        <w:rPr>
          <w:rFonts w:ascii="Arial" w:hAnsi="Arial" w:cs="Arial"/>
          <w:b/>
          <w:bCs/>
          <w:color w:val="00506A"/>
          <w:sz w:val="28"/>
          <w:szCs w:val="28"/>
        </w:rPr>
        <w:t>r</w:t>
      </w:r>
    </w:p>
    <w:p w14:paraId="37503272" w14:textId="0995E4C7" w:rsidR="002029E7" w:rsidRDefault="009E271E" w:rsidP="008B596B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8B596B" w:rsidRPr="008B596B">
        <w:rPr>
          <w:rFonts w:ascii="Arial" w:hAnsi="Arial" w:cs="Arial"/>
          <w:b/>
          <w:bCs/>
          <w:color w:val="00506A"/>
          <w:sz w:val="28"/>
          <w:szCs w:val="28"/>
        </w:rPr>
        <w:t>Palopegteriparatide</w:t>
      </w:r>
      <w:proofErr w:type="spellEnd"/>
      <w:r w:rsidR="008B596B" w:rsidRPr="008B596B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chronic hypoparathyroidism [ID6380]</w:t>
      </w:r>
    </w:p>
    <w:p w14:paraId="74C01AEC" w14:textId="0692A2C4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305361">
        <w:rPr>
          <w:rFonts w:ascii="Arial" w:hAnsi="Arial" w:cs="Arial"/>
          <w:b/>
          <w:bCs/>
          <w:color w:val="00506A"/>
          <w:sz w:val="28"/>
          <w:szCs w:val="28"/>
        </w:rPr>
        <w:t>23</w:t>
      </w:r>
      <w:r w:rsidR="00305361" w:rsidRPr="00305361">
        <w:rPr>
          <w:rFonts w:ascii="Arial" w:hAnsi="Arial" w:cs="Arial"/>
          <w:b/>
          <w:bCs/>
          <w:color w:val="00506A"/>
          <w:sz w:val="28"/>
          <w:szCs w:val="28"/>
          <w:vertAlign w:val="superscript"/>
        </w:rPr>
        <w:t>rd</w:t>
      </w:r>
      <w:r w:rsidR="00305361">
        <w:rPr>
          <w:rFonts w:ascii="Arial" w:hAnsi="Arial" w:cs="Arial"/>
          <w:b/>
          <w:bCs/>
          <w:color w:val="00506A"/>
          <w:sz w:val="28"/>
          <w:szCs w:val="28"/>
        </w:rPr>
        <w:t xml:space="preserve"> July 2026</w:t>
      </w:r>
    </w:p>
    <w:p w14:paraId="1C7CC411" w14:textId="54A3996B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9F66BF" w14:paraId="111674D1" w14:textId="77777777" w:rsidTr="00354151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00354151">
        <w:tc>
          <w:tcPr>
            <w:tcW w:w="775" w:type="pct"/>
          </w:tcPr>
          <w:p w14:paraId="5A9ABA95" w14:textId="0AB132E3" w:rsidR="005C6BC7" w:rsidRPr="004415DB" w:rsidRDefault="00214DA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Matthew Walton</w:t>
            </w:r>
          </w:p>
        </w:tc>
        <w:tc>
          <w:tcPr>
            <w:tcW w:w="634" w:type="pct"/>
          </w:tcPr>
          <w:p w14:paraId="7CF4D325" w14:textId="55725897" w:rsidR="005C6BC7" w:rsidRPr="004415DB" w:rsidRDefault="00AE78A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57553DA8" w14:textId="632F6F08" w:rsidR="005C6BC7" w:rsidRPr="004415DB" w:rsidRDefault="00AE78A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AE78A4">
              <w:rPr>
                <w:rFonts w:ascii="Arial" w:hAnsi="Arial" w:cs="Arial"/>
                <w:iCs/>
              </w:rPr>
              <w:t>Non-Financial Professional interests</w:t>
            </w:r>
          </w:p>
        </w:tc>
        <w:tc>
          <w:tcPr>
            <w:tcW w:w="1373" w:type="pct"/>
          </w:tcPr>
          <w:p w14:paraId="0079374B" w14:textId="5385B858" w:rsidR="006E7516" w:rsidRDefault="006E7516" w:rsidP="00BE62C5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Matthew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 was the economics lead on the EAG team assigned to the original submission for ID6380. </w:t>
            </w:r>
            <w:r>
              <w:rPr>
                <w:rFonts w:ascii="Arial" w:hAnsi="Arial" w:cs="Arial"/>
                <w:iCs/>
                <w:sz w:val="22"/>
              </w:rPr>
              <w:t>He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 did not attend ACM1 due to this conflict.</w:t>
            </w:r>
          </w:p>
          <w:p w14:paraId="64B53BBA" w14:textId="77777777" w:rsidR="006E7516" w:rsidRDefault="006E7516" w:rsidP="00BE62C5">
            <w:pPr>
              <w:rPr>
                <w:rFonts w:ascii="Arial" w:hAnsi="Arial" w:cs="Arial"/>
                <w:iCs/>
                <w:sz w:val="22"/>
              </w:rPr>
            </w:pPr>
          </w:p>
          <w:p w14:paraId="484EA8F4" w14:textId="454AE162" w:rsidR="005C6BC7" w:rsidRDefault="00AE78A4" w:rsidP="00BE62C5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Matthew</w:t>
            </w:r>
            <w:r w:rsidRPr="00AE78A4">
              <w:rPr>
                <w:rFonts w:ascii="Arial" w:hAnsi="Arial" w:cs="Arial"/>
                <w:iCs/>
                <w:sz w:val="22"/>
              </w:rPr>
              <w:t xml:space="preserve"> was the lead EAG economist for the original company submission of </w:t>
            </w:r>
            <w:proofErr w:type="spellStart"/>
            <w:r w:rsidRPr="00AE78A4">
              <w:rPr>
                <w:rFonts w:ascii="Arial" w:hAnsi="Arial" w:cs="Arial"/>
                <w:iCs/>
                <w:sz w:val="22"/>
              </w:rPr>
              <w:t>palopegteriparatide</w:t>
            </w:r>
            <w:proofErr w:type="spellEnd"/>
            <w:r w:rsidRPr="00AE78A4">
              <w:rPr>
                <w:rFonts w:ascii="Arial" w:hAnsi="Arial" w:cs="Arial"/>
                <w:iCs/>
                <w:sz w:val="22"/>
              </w:rPr>
              <w:t xml:space="preserve">. The topic was paused in response to concerns we raised with the evidence submission, which was revised and the model rebuilt (notionally) </w:t>
            </w:r>
            <w:proofErr w:type="gramStart"/>
            <w:r w:rsidRPr="00AE78A4">
              <w:rPr>
                <w:rFonts w:ascii="Arial" w:hAnsi="Arial" w:cs="Arial"/>
                <w:iCs/>
                <w:sz w:val="22"/>
              </w:rPr>
              <w:t>on the basis of</w:t>
            </w:r>
            <w:proofErr w:type="gramEnd"/>
            <w:r w:rsidRPr="00AE78A4">
              <w:rPr>
                <w:rFonts w:ascii="Arial" w:hAnsi="Arial" w:cs="Arial"/>
                <w:iCs/>
                <w:sz w:val="22"/>
              </w:rPr>
              <w:t xml:space="preserve"> detailed feedback we provided to the company. Whilst </w:t>
            </w:r>
            <w:r w:rsidR="00BE62C5">
              <w:rPr>
                <w:rFonts w:ascii="Arial" w:hAnsi="Arial" w:cs="Arial"/>
                <w:iCs/>
                <w:sz w:val="22"/>
              </w:rPr>
              <w:t>he</w:t>
            </w:r>
            <w:r w:rsidRPr="00AE78A4">
              <w:rPr>
                <w:rFonts w:ascii="Arial" w:hAnsi="Arial" w:cs="Arial"/>
                <w:iCs/>
                <w:sz w:val="22"/>
              </w:rPr>
              <w:t xml:space="preserve"> was not involved in the preparation of the EAG Report considered in the October ACM, </w:t>
            </w:r>
            <w:r w:rsidR="00BE62C5">
              <w:rPr>
                <w:rFonts w:ascii="Arial" w:hAnsi="Arial" w:cs="Arial"/>
                <w:iCs/>
                <w:sz w:val="22"/>
              </w:rPr>
              <w:t>he</w:t>
            </w:r>
            <w:r w:rsidRPr="00AE78A4">
              <w:rPr>
                <w:rFonts w:ascii="Arial" w:hAnsi="Arial" w:cs="Arial"/>
                <w:iCs/>
                <w:sz w:val="22"/>
              </w:rPr>
              <w:t xml:space="preserve"> feel</w:t>
            </w:r>
            <w:r w:rsidR="00BE62C5">
              <w:rPr>
                <w:rFonts w:ascii="Arial" w:hAnsi="Arial" w:cs="Arial"/>
                <w:iCs/>
                <w:sz w:val="22"/>
              </w:rPr>
              <w:t>s</w:t>
            </w:r>
            <w:r w:rsidRPr="00AE78A4">
              <w:rPr>
                <w:rFonts w:ascii="Arial" w:hAnsi="Arial" w:cs="Arial"/>
                <w:iCs/>
                <w:sz w:val="22"/>
              </w:rPr>
              <w:t xml:space="preserve"> </w:t>
            </w:r>
            <w:r w:rsidR="00BE62C5">
              <w:rPr>
                <w:rFonts w:ascii="Arial" w:hAnsi="Arial" w:cs="Arial"/>
                <w:iCs/>
                <w:sz w:val="22"/>
              </w:rPr>
              <w:t>his</w:t>
            </w:r>
            <w:r w:rsidRPr="00AE78A4">
              <w:rPr>
                <w:rFonts w:ascii="Arial" w:hAnsi="Arial" w:cs="Arial"/>
                <w:iCs/>
                <w:sz w:val="22"/>
              </w:rPr>
              <w:t xml:space="preserve"> involvement in the earlier stages of the process means it is inappropriate to participate in this discussion.</w:t>
            </w:r>
          </w:p>
          <w:p w14:paraId="7C2B42C0" w14:textId="7B5B4497" w:rsidR="006E7516" w:rsidRPr="00BE62C5" w:rsidRDefault="006E7516" w:rsidP="00BE62C5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472" w:type="pct"/>
          </w:tcPr>
          <w:p w14:paraId="11122985" w14:textId="77777777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13/04/2026</w:t>
            </w:r>
          </w:p>
          <w:p w14:paraId="55C6028F" w14:textId="68D01067" w:rsidR="005C6BC7" w:rsidRPr="004415DB" w:rsidRDefault="0048432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12/09/2025</w:t>
            </w:r>
          </w:p>
        </w:tc>
        <w:tc>
          <w:tcPr>
            <w:tcW w:w="1039" w:type="pct"/>
          </w:tcPr>
          <w:p w14:paraId="16830DBD" w14:textId="1F8C715C" w:rsidR="00E538FD" w:rsidRPr="00E538FD" w:rsidRDefault="00E538FD" w:rsidP="00E538FD">
            <w:pPr>
              <w:pStyle w:val="Paragraph"/>
              <w:rPr>
                <w:rFonts w:ascii="Arial" w:hAnsi="Arial" w:cs="Arial"/>
                <w:iCs/>
              </w:rPr>
            </w:pPr>
            <w:r w:rsidRPr="00E538FD">
              <w:rPr>
                <w:rFonts w:ascii="Arial" w:hAnsi="Arial" w:cs="Arial"/>
                <w:iCs/>
              </w:rPr>
              <w:t xml:space="preserve">It was agreed that </w:t>
            </w:r>
            <w:r w:rsidR="001A0A1B">
              <w:rPr>
                <w:rFonts w:ascii="Arial" w:hAnsi="Arial" w:cs="Arial"/>
                <w:iCs/>
              </w:rPr>
              <w:t>Matthew Walton</w:t>
            </w:r>
            <w:r w:rsidRPr="00E538FD">
              <w:rPr>
                <w:rFonts w:ascii="Arial" w:hAnsi="Arial" w:cs="Arial"/>
                <w:iCs/>
              </w:rPr>
              <w:t>'s declaration would prevent him from participating in discussions on this appraisal.</w:t>
            </w:r>
          </w:p>
          <w:p w14:paraId="1619F187" w14:textId="77777777" w:rsidR="005C6BC7" w:rsidRPr="004415DB" w:rsidRDefault="005C6BC7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6E7516" w14:paraId="4B90EA20" w14:textId="77777777" w:rsidTr="00354151">
        <w:tc>
          <w:tcPr>
            <w:tcW w:w="775" w:type="pct"/>
          </w:tcPr>
          <w:p w14:paraId="0E8ED078" w14:textId="02ADC40C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Hugo Pedder</w:t>
            </w:r>
          </w:p>
        </w:tc>
        <w:tc>
          <w:tcPr>
            <w:tcW w:w="634" w:type="pct"/>
          </w:tcPr>
          <w:p w14:paraId="17E05387" w14:textId="667F9A93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13F123E8" w14:textId="714A19E5" w:rsidR="006E7516" w:rsidRPr="00AE78A4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Indirect - Financial Interests </w:t>
            </w:r>
          </w:p>
        </w:tc>
        <w:tc>
          <w:tcPr>
            <w:tcW w:w="1373" w:type="pct"/>
          </w:tcPr>
          <w:p w14:paraId="645265B9" w14:textId="4D8400DA" w:rsidR="006E7516" w:rsidRDefault="006E7516" w:rsidP="00BE62C5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 xml:space="preserve">Hugo has 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an indirect financial interest for ID6370: </w:t>
            </w:r>
            <w:r>
              <w:rPr>
                <w:rFonts w:ascii="Arial" w:hAnsi="Arial" w:cs="Arial"/>
                <w:iCs/>
                <w:sz w:val="22"/>
              </w:rPr>
              <w:t>he has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 worked on a project on behalf of </w:t>
            </w:r>
            <w:r>
              <w:rPr>
                <w:rFonts w:ascii="Arial" w:hAnsi="Arial" w:cs="Arial"/>
                <w:iCs/>
                <w:sz w:val="22"/>
              </w:rPr>
              <w:t xml:space="preserve">his 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employer, </w:t>
            </w:r>
            <w:proofErr w:type="spellStart"/>
            <w:r w:rsidRPr="006E7516">
              <w:rPr>
                <w:rFonts w:ascii="Arial" w:hAnsi="Arial" w:cs="Arial"/>
                <w:iCs/>
                <w:sz w:val="22"/>
              </w:rPr>
              <w:t>ConnectHEOR</w:t>
            </w:r>
            <w:proofErr w:type="spellEnd"/>
            <w:r w:rsidRPr="006E7516">
              <w:rPr>
                <w:rFonts w:ascii="Arial" w:hAnsi="Arial" w:cs="Arial"/>
                <w:iCs/>
                <w:sz w:val="22"/>
              </w:rPr>
              <w:t xml:space="preserve"> within that last 12 months that is funded by Roche, on a technology and indication unrelated to the one in question</w:t>
            </w:r>
          </w:p>
          <w:p w14:paraId="24FB4829" w14:textId="0C2E95F8" w:rsidR="006E7516" w:rsidRDefault="006E7516" w:rsidP="00BE62C5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472" w:type="pct"/>
          </w:tcPr>
          <w:p w14:paraId="570C0E4E" w14:textId="53FA0A72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15/04/2026</w:t>
            </w:r>
          </w:p>
        </w:tc>
        <w:tc>
          <w:tcPr>
            <w:tcW w:w="1039" w:type="pct"/>
          </w:tcPr>
          <w:p w14:paraId="048DB622" w14:textId="77777777" w:rsidR="006E7516" w:rsidRPr="00E538FD" w:rsidRDefault="006E7516" w:rsidP="00E538FD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6E7516" w14:paraId="740F95EE" w14:textId="77777777" w:rsidTr="00354151">
        <w:tc>
          <w:tcPr>
            <w:tcW w:w="775" w:type="pct"/>
          </w:tcPr>
          <w:p w14:paraId="0C2D095E" w14:textId="20017DCC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Becky Pennington</w:t>
            </w:r>
          </w:p>
        </w:tc>
        <w:tc>
          <w:tcPr>
            <w:tcW w:w="634" w:type="pct"/>
          </w:tcPr>
          <w:p w14:paraId="36CD0B67" w14:textId="2CC4A343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733B475B" w14:textId="1306A4F7" w:rsidR="006E7516" w:rsidRPr="00AE78A4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Financial Interests</w:t>
            </w:r>
          </w:p>
        </w:tc>
        <w:tc>
          <w:tcPr>
            <w:tcW w:w="1373" w:type="pct"/>
          </w:tcPr>
          <w:p w14:paraId="34EFF7DB" w14:textId="71D189D0" w:rsidR="006E7516" w:rsidRPr="006E7516" w:rsidRDefault="006E7516" w:rsidP="006E7516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Becky has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 undertaken private consultancy for Pierre Fabre for a different drug in a different indication, ceased July 2025.</w:t>
            </w:r>
          </w:p>
          <w:p w14:paraId="750468DE" w14:textId="77777777" w:rsidR="006E7516" w:rsidRPr="006E7516" w:rsidRDefault="006E7516" w:rsidP="006E7516">
            <w:pPr>
              <w:rPr>
                <w:rFonts w:ascii="Arial" w:hAnsi="Arial" w:cs="Arial"/>
                <w:iCs/>
                <w:sz w:val="22"/>
              </w:rPr>
            </w:pPr>
          </w:p>
          <w:p w14:paraId="2A2E2228" w14:textId="1E16AD32" w:rsidR="006E7516" w:rsidRDefault="006E7516" w:rsidP="006E7516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She has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 an ongoing methods project with Pfizer, paid to </w:t>
            </w:r>
            <w:r>
              <w:rPr>
                <w:rFonts w:ascii="Arial" w:hAnsi="Arial" w:cs="Arial"/>
                <w:iCs/>
                <w:sz w:val="22"/>
              </w:rPr>
              <w:t>her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 employer.</w:t>
            </w:r>
          </w:p>
          <w:p w14:paraId="442D5F33" w14:textId="45380475" w:rsidR="006E7516" w:rsidRDefault="006E7516" w:rsidP="006E7516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472" w:type="pct"/>
          </w:tcPr>
          <w:p w14:paraId="1BAA0C29" w14:textId="50652AC7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23/04/2026</w:t>
            </w:r>
          </w:p>
        </w:tc>
        <w:tc>
          <w:tcPr>
            <w:tcW w:w="1039" w:type="pct"/>
          </w:tcPr>
          <w:p w14:paraId="65A13232" w14:textId="77777777" w:rsidR="006E7516" w:rsidRPr="00E538FD" w:rsidRDefault="006E7516" w:rsidP="00E538FD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6E7516" w14:paraId="0A81C1D7" w14:textId="77777777" w:rsidTr="00354151">
        <w:tc>
          <w:tcPr>
            <w:tcW w:w="775" w:type="pct"/>
          </w:tcPr>
          <w:p w14:paraId="221D2129" w14:textId="34466623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Ana Duarte</w:t>
            </w:r>
          </w:p>
        </w:tc>
        <w:tc>
          <w:tcPr>
            <w:tcW w:w="634" w:type="pct"/>
          </w:tcPr>
          <w:p w14:paraId="528DD8AB" w14:textId="1A49AA57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26BDE97F" w14:textId="773C87D8" w:rsidR="006E7516" w:rsidRPr="00AE78A4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E7516">
              <w:rPr>
                <w:rFonts w:ascii="Arial" w:hAnsi="Arial" w:cs="Arial"/>
                <w:iCs/>
              </w:rPr>
              <w:t>Non-Financial Professional interests</w:t>
            </w:r>
          </w:p>
        </w:tc>
        <w:tc>
          <w:tcPr>
            <w:tcW w:w="1373" w:type="pct"/>
          </w:tcPr>
          <w:p w14:paraId="115D11CB" w14:textId="0BB3F16E" w:rsidR="006E7516" w:rsidRDefault="006E7516" w:rsidP="00BE62C5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 xml:space="preserve">Ana is 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a member of the same Technology Appraisal Review (TAR) group (York TAR), as the EAG who reviewed the company's evidence. However, </w:t>
            </w:r>
            <w:r>
              <w:rPr>
                <w:rFonts w:ascii="Arial" w:hAnsi="Arial" w:cs="Arial"/>
                <w:iCs/>
                <w:sz w:val="22"/>
              </w:rPr>
              <w:t>she</w:t>
            </w:r>
            <w:r w:rsidRPr="006E7516">
              <w:rPr>
                <w:rFonts w:ascii="Arial" w:hAnsi="Arial" w:cs="Arial"/>
                <w:iCs/>
                <w:sz w:val="22"/>
              </w:rPr>
              <w:t xml:space="preserve"> was not involved in any element of the review work for this topic.</w:t>
            </w:r>
          </w:p>
          <w:p w14:paraId="5EB36AA7" w14:textId="7BD2E7C5" w:rsidR="006E7516" w:rsidRDefault="006E7516" w:rsidP="00BE62C5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472" w:type="pct"/>
          </w:tcPr>
          <w:p w14:paraId="240F6761" w14:textId="0790A980" w:rsidR="006E7516" w:rsidRDefault="006E751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13/04/2026</w:t>
            </w:r>
          </w:p>
        </w:tc>
        <w:tc>
          <w:tcPr>
            <w:tcW w:w="1039" w:type="pct"/>
          </w:tcPr>
          <w:p w14:paraId="7DFDBE7D" w14:textId="77777777" w:rsidR="006E7516" w:rsidRPr="00E538FD" w:rsidRDefault="006E7516" w:rsidP="00E538FD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F2103A" w14:paraId="07D6FE42" w14:textId="77777777" w:rsidTr="00354151">
        <w:tc>
          <w:tcPr>
            <w:tcW w:w="775" w:type="pct"/>
            <w:vMerge w:val="restart"/>
          </w:tcPr>
          <w:p w14:paraId="5D5835FE" w14:textId="63A7FBA7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84328">
              <w:rPr>
                <w:rFonts w:ascii="Arial" w:hAnsi="Arial" w:cs="Arial"/>
                <w:iCs/>
              </w:rPr>
              <w:t>Otilia Buch</w:t>
            </w:r>
          </w:p>
        </w:tc>
        <w:tc>
          <w:tcPr>
            <w:tcW w:w="634" w:type="pct"/>
            <w:vMerge w:val="restart"/>
          </w:tcPr>
          <w:p w14:paraId="1C1C2F76" w14:textId="183480E9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005581B6" w14:textId="59B9E502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1373" w:type="pct"/>
          </w:tcPr>
          <w:p w14:paraId="7D2BDAD4" w14:textId="77777777" w:rsidR="00F2103A" w:rsidRPr="008A6716" w:rsidRDefault="00F2103A" w:rsidP="00DE6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A6716">
              <w:rPr>
                <w:rFonts w:ascii="Arial" w:hAnsi="Arial" w:cs="Arial"/>
                <w:bCs/>
                <w:sz w:val="22"/>
                <w:szCs w:val="22"/>
              </w:rPr>
              <w:t xml:space="preserve">Attended pharma organised study days (fully sponsored) – </w:t>
            </w:r>
          </w:p>
          <w:p w14:paraId="1676E311" w14:textId="77777777" w:rsidR="00F2103A" w:rsidRPr="008A6716" w:rsidRDefault="00F2103A" w:rsidP="00DE6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A6716">
              <w:rPr>
                <w:rFonts w:ascii="Arial" w:hAnsi="Arial" w:cs="Arial"/>
                <w:bCs/>
                <w:sz w:val="22"/>
                <w:szCs w:val="22"/>
              </w:rPr>
              <w:t>15-16 May 2024 IPSEN (Acromegaly)</w:t>
            </w:r>
          </w:p>
          <w:p w14:paraId="69F1B3F4" w14:textId="77777777" w:rsidR="00F2103A" w:rsidRPr="008A6716" w:rsidRDefault="00F2103A" w:rsidP="00DE66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A6716">
              <w:rPr>
                <w:rFonts w:ascii="Arial" w:hAnsi="Arial" w:cs="Arial"/>
                <w:bCs/>
                <w:sz w:val="22"/>
                <w:szCs w:val="22"/>
              </w:rPr>
              <w:t xml:space="preserve">20 June 2024 </w:t>
            </w:r>
            <w:proofErr w:type="spellStart"/>
            <w:r w:rsidRPr="008A6716">
              <w:rPr>
                <w:rFonts w:ascii="Arial" w:hAnsi="Arial" w:cs="Arial"/>
                <w:bCs/>
                <w:sz w:val="22"/>
                <w:szCs w:val="22"/>
              </w:rPr>
              <w:t>Amegen</w:t>
            </w:r>
            <w:proofErr w:type="spellEnd"/>
            <w:r w:rsidRPr="008A6716">
              <w:rPr>
                <w:rFonts w:ascii="Arial" w:hAnsi="Arial" w:cs="Arial"/>
                <w:bCs/>
                <w:sz w:val="22"/>
                <w:szCs w:val="22"/>
              </w:rPr>
              <w:t xml:space="preserve"> (Osteoporosis)</w:t>
            </w:r>
          </w:p>
          <w:p w14:paraId="6B5DCD4D" w14:textId="7485BA68" w:rsidR="00F2103A" w:rsidRPr="00DE66CE" w:rsidRDefault="00F2103A" w:rsidP="00492FE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A6716">
              <w:rPr>
                <w:rFonts w:ascii="Arial" w:hAnsi="Arial" w:cs="Arial"/>
                <w:bCs/>
                <w:sz w:val="22"/>
                <w:szCs w:val="22"/>
              </w:rPr>
              <w:lastRenderedPageBreak/>
              <w:t>8 July 2024 Pfizer (Acromegaly)</w:t>
            </w:r>
          </w:p>
        </w:tc>
        <w:tc>
          <w:tcPr>
            <w:tcW w:w="472" w:type="pct"/>
            <w:vMerge w:val="restart"/>
          </w:tcPr>
          <w:p w14:paraId="133D062A" w14:textId="6CD05174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07/10/2025</w:t>
            </w:r>
          </w:p>
        </w:tc>
        <w:tc>
          <w:tcPr>
            <w:tcW w:w="1039" w:type="pct"/>
            <w:vMerge w:val="restart"/>
          </w:tcPr>
          <w:p w14:paraId="40089872" w14:textId="7D955EA7" w:rsidR="00F2103A" w:rsidRPr="00E538FD" w:rsidRDefault="00F2103A" w:rsidP="00E538FD">
            <w:pPr>
              <w:pStyle w:val="Paragraph"/>
              <w:rPr>
                <w:rFonts w:ascii="Arial" w:hAnsi="Arial" w:cs="Arial"/>
                <w:iCs/>
              </w:rPr>
            </w:pPr>
            <w:r w:rsidRPr="00E538F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Otilia Buch</w:t>
            </w:r>
            <w:r w:rsidRPr="00E538FD">
              <w:rPr>
                <w:rFonts w:ascii="Arial" w:hAnsi="Arial" w:cs="Arial"/>
                <w:iCs/>
              </w:rPr>
              <w:t>'s declaration would not prevent her from providing expert advice to the committee.</w:t>
            </w:r>
          </w:p>
          <w:p w14:paraId="672EC20B" w14:textId="77777777" w:rsidR="00F2103A" w:rsidRPr="004415DB" w:rsidRDefault="00F2103A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F2103A" w14:paraId="337FADC7" w14:textId="77777777" w:rsidTr="00354151">
        <w:tc>
          <w:tcPr>
            <w:tcW w:w="775" w:type="pct"/>
            <w:vMerge/>
          </w:tcPr>
          <w:p w14:paraId="2CC78238" w14:textId="77777777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4" w:type="pct"/>
            <w:vMerge/>
          </w:tcPr>
          <w:p w14:paraId="7CDB68F8" w14:textId="77777777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6" w:type="pct"/>
          </w:tcPr>
          <w:p w14:paraId="0856EF01" w14:textId="3E22B417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non-financial</w:t>
            </w:r>
          </w:p>
        </w:tc>
        <w:tc>
          <w:tcPr>
            <w:tcW w:w="1373" w:type="pct"/>
          </w:tcPr>
          <w:p w14:paraId="0A1BA50D" w14:textId="0CB716CD" w:rsidR="00F2103A" w:rsidRPr="00F83AE0" w:rsidRDefault="00F2103A" w:rsidP="00492FE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A6716">
              <w:rPr>
                <w:rFonts w:ascii="Arial" w:hAnsi="Arial" w:cs="Arial"/>
                <w:sz w:val="22"/>
                <w:szCs w:val="22"/>
                <w:lang w:eastAsia="en-GB"/>
              </w:rPr>
              <w:t>Currently part of the European Society of Endocrinology clinical guideline working group to develop the updated CG for the management of Chronic Hypoparathyroidism</w:t>
            </w:r>
          </w:p>
        </w:tc>
        <w:tc>
          <w:tcPr>
            <w:tcW w:w="472" w:type="pct"/>
            <w:vMerge/>
          </w:tcPr>
          <w:p w14:paraId="0EF7F80F" w14:textId="77777777" w:rsidR="00F2103A" w:rsidRPr="004415DB" w:rsidRDefault="00F2103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39" w:type="pct"/>
            <w:vMerge/>
          </w:tcPr>
          <w:p w14:paraId="007F6CDB" w14:textId="77777777" w:rsidR="00F2103A" w:rsidRPr="004415DB" w:rsidRDefault="00F2103A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4355AE" w14:paraId="4B7E62E4" w14:textId="77777777" w:rsidTr="00354151">
        <w:tc>
          <w:tcPr>
            <w:tcW w:w="775" w:type="pct"/>
            <w:vMerge w:val="restart"/>
          </w:tcPr>
          <w:p w14:paraId="00A799C6" w14:textId="5B593A4F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Professor Jeremy Turner</w:t>
            </w:r>
          </w:p>
        </w:tc>
        <w:tc>
          <w:tcPr>
            <w:tcW w:w="634" w:type="pct"/>
            <w:vMerge w:val="restart"/>
          </w:tcPr>
          <w:p w14:paraId="38C2EB31" w14:textId="4D6FDA0A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28C57B5D" w14:textId="02EEFC79" w:rsidR="004355AE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Financial </w:t>
            </w:r>
          </w:p>
        </w:tc>
        <w:tc>
          <w:tcPr>
            <w:tcW w:w="1373" w:type="pct"/>
          </w:tcPr>
          <w:p w14:paraId="0D4F67CF" w14:textId="611AA845" w:rsidR="004355AE" w:rsidRDefault="004355AE" w:rsidP="00F2103A">
            <w:pPr>
              <w:rPr>
                <w:rFonts w:ascii="Arial" w:hAnsi="Arial" w:cs="Arial"/>
                <w:sz w:val="22"/>
                <w:szCs w:val="22"/>
              </w:rPr>
            </w:pPr>
            <w:r w:rsidRPr="00C66023">
              <w:rPr>
                <w:rFonts w:ascii="Arial" w:hAnsi="Arial" w:cs="Arial"/>
                <w:sz w:val="22"/>
                <w:szCs w:val="22"/>
              </w:rPr>
              <w:t xml:space="preserve">received consultancy fees from </w:t>
            </w:r>
            <w:proofErr w:type="spellStart"/>
            <w:r w:rsidRPr="00C66023">
              <w:rPr>
                <w:rFonts w:ascii="Arial" w:hAnsi="Arial" w:cs="Arial"/>
                <w:sz w:val="22"/>
                <w:szCs w:val="22"/>
              </w:rPr>
              <w:t>Ascendis</w:t>
            </w:r>
            <w:proofErr w:type="spellEnd"/>
            <w:r w:rsidRPr="00C66023">
              <w:rPr>
                <w:rFonts w:ascii="Arial" w:hAnsi="Arial" w:cs="Arial"/>
                <w:sz w:val="22"/>
                <w:szCs w:val="22"/>
              </w:rPr>
              <w:t xml:space="preserve"> for sitting on advisory boards.</w:t>
            </w:r>
          </w:p>
          <w:p w14:paraId="3B1A6571" w14:textId="165495B9" w:rsidR="004355AE" w:rsidRPr="00F2103A" w:rsidRDefault="004355AE" w:rsidP="00F21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7EB284E7" w14:textId="37C1F397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17/10/2024</w:t>
            </w:r>
          </w:p>
        </w:tc>
        <w:tc>
          <w:tcPr>
            <w:tcW w:w="1039" w:type="pct"/>
            <w:vMerge w:val="restart"/>
          </w:tcPr>
          <w:p w14:paraId="21A17E7E" w14:textId="1DCBEC57" w:rsidR="004355AE" w:rsidRPr="004415DB" w:rsidRDefault="004355AE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4355AE">
              <w:rPr>
                <w:rFonts w:ascii="Arial" w:hAnsi="Arial" w:cs="Arial"/>
                <w:iCs/>
              </w:rPr>
              <w:t xml:space="preserve">It was agreed that </w:t>
            </w:r>
            <w:r w:rsidR="00EA4001">
              <w:rPr>
                <w:rFonts w:ascii="Arial" w:hAnsi="Arial" w:cs="Arial"/>
                <w:iCs/>
              </w:rPr>
              <w:t>Jeremy Turner</w:t>
            </w:r>
            <w:r w:rsidRPr="004355AE">
              <w:rPr>
                <w:rFonts w:ascii="Arial" w:hAnsi="Arial" w:cs="Arial"/>
                <w:iCs/>
              </w:rPr>
              <w:t>'s declaration would not prevent h</w:t>
            </w:r>
            <w:r w:rsidR="00EA4001">
              <w:rPr>
                <w:rFonts w:ascii="Arial" w:hAnsi="Arial" w:cs="Arial"/>
                <w:iCs/>
              </w:rPr>
              <w:t>im</w:t>
            </w:r>
            <w:r w:rsidRPr="004355AE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4355AE" w14:paraId="76082867" w14:textId="77777777" w:rsidTr="00354151">
        <w:tc>
          <w:tcPr>
            <w:tcW w:w="775" w:type="pct"/>
            <w:vMerge/>
          </w:tcPr>
          <w:p w14:paraId="0F29BF8B" w14:textId="77777777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4" w:type="pct"/>
            <w:vMerge/>
          </w:tcPr>
          <w:p w14:paraId="4FA5E175" w14:textId="77777777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6" w:type="pct"/>
          </w:tcPr>
          <w:p w14:paraId="29C7148E" w14:textId="073C8F63" w:rsidR="004355AE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non-financial </w:t>
            </w:r>
          </w:p>
        </w:tc>
        <w:tc>
          <w:tcPr>
            <w:tcW w:w="1373" w:type="pct"/>
          </w:tcPr>
          <w:p w14:paraId="52D163A7" w14:textId="3DA0B509" w:rsidR="004355AE" w:rsidRDefault="004355AE" w:rsidP="00F21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Turner chaired </w:t>
            </w:r>
            <w:r w:rsidRPr="00516528">
              <w:rPr>
                <w:rFonts w:ascii="Arial" w:hAnsi="Arial" w:cs="Arial"/>
                <w:sz w:val="22"/>
                <w:szCs w:val="22"/>
              </w:rPr>
              <w:t xml:space="preserve">an </w:t>
            </w:r>
            <w:proofErr w:type="spellStart"/>
            <w:r w:rsidRPr="00516528">
              <w:rPr>
                <w:rFonts w:ascii="Arial" w:hAnsi="Arial" w:cs="Arial"/>
                <w:sz w:val="22"/>
                <w:szCs w:val="22"/>
              </w:rPr>
              <w:t>Ascendis</w:t>
            </w:r>
            <w:proofErr w:type="spellEnd"/>
            <w:r w:rsidRPr="00516528">
              <w:rPr>
                <w:rFonts w:ascii="Arial" w:hAnsi="Arial" w:cs="Arial"/>
                <w:sz w:val="22"/>
                <w:szCs w:val="22"/>
              </w:rPr>
              <w:t xml:space="preserve"> sponsored satellite symposium at BES (British Endocrine Societies) conference in Harrogate in March 2025.</w:t>
            </w:r>
          </w:p>
          <w:p w14:paraId="556C5743" w14:textId="51AE7F7A" w:rsidR="004355AE" w:rsidRPr="00F2103A" w:rsidRDefault="004355AE" w:rsidP="00F21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385C90B6" w14:textId="77777777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39" w:type="pct"/>
            <w:vMerge/>
          </w:tcPr>
          <w:p w14:paraId="52287B1F" w14:textId="77777777" w:rsidR="004355AE" w:rsidRPr="004415DB" w:rsidRDefault="004355AE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4355AE" w14:paraId="0FDD4DDF" w14:textId="77777777" w:rsidTr="00354151">
        <w:tc>
          <w:tcPr>
            <w:tcW w:w="775" w:type="pct"/>
            <w:vMerge/>
          </w:tcPr>
          <w:p w14:paraId="0F15FB54" w14:textId="77777777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4" w:type="pct"/>
            <w:vMerge/>
          </w:tcPr>
          <w:p w14:paraId="59579071" w14:textId="77777777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6" w:type="pct"/>
          </w:tcPr>
          <w:p w14:paraId="0F4D3178" w14:textId="7E28FB84" w:rsidR="004355AE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</w:t>
            </w:r>
          </w:p>
        </w:tc>
        <w:tc>
          <w:tcPr>
            <w:tcW w:w="1373" w:type="pct"/>
          </w:tcPr>
          <w:p w14:paraId="144F3D7C" w14:textId="1B99EBAD" w:rsidR="004355AE" w:rsidRDefault="004355AE" w:rsidP="00F21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Turner</w:t>
            </w:r>
            <w:r w:rsidRPr="00C660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 a </w:t>
            </w:r>
            <w:r w:rsidRPr="004355AE">
              <w:rPr>
                <w:rFonts w:ascii="Arial" w:hAnsi="Arial" w:cs="Arial"/>
                <w:sz w:val="22"/>
                <w:szCs w:val="22"/>
              </w:rPr>
              <w:t xml:space="preserve">clinical advisor to Parathyroid UK. </w:t>
            </w:r>
            <w:r>
              <w:rPr>
                <w:rFonts w:ascii="Arial" w:hAnsi="Arial" w:cs="Arial"/>
                <w:sz w:val="22"/>
                <w:szCs w:val="22"/>
              </w:rPr>
              <w:t>He</w:t>
            </w:r>
            <w:r w:rsidRPr="004355AE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Pr="004355AE">
              <w:rPr>
                <w:rFonts w:ascii="Arial" w:hAnsi="Arial" w:cs="Arial"/>
                <w:sz w:val="22"/>
                <w:szCs w:val="22"/>
              </w:rPr>
              <w:t xml:space="preserve"> received hospitality from </w:t>
            </w:r>
            <w:proofErr w:type="spellStart"/>
            <w:r w:rsidRPr="004355AE">
              <w:rPr>
                <w:rFonts w:ascii="Arial" w:hAnsi="Arial" w:cs="Arial"/>
                <w:sz w:val="22"/>
                <w:szCs w:val="22"/>
              </w:rPr>
              <w:t>Amolyt</w:t>
            </w:r>
            <w:proofErr w:type="spellEnd"/>
            <w:r w:rsidRPr="004355AE">
              <w:rPr>
                <w:rFonts w:ascii="Arial" w:hAnsi="Arial" w:cs="Arial"/>
                <w:sz w:val="22"/>
                <w:szCs w:val="22"/>
              </w:rPr>
              <w:t xml:space="preserve"> Pharma within the last 18 months to support attendance at an investigator meeting in connection with the Calypso trial (</w:t>
            </w:r>
            <w:proofErr w:type="spellStart"/>
            <w:r w:rsidRPr="004355AE">
              <w:rPr>
                <w:rFonts w:ascii="Arial" w:hAnsi="Arial" w:cs="Arial"/>
                <w:sz w:val="22"/>
                <w:szCs w:val="22"/>
              </w:rPr>
              <w:t>Enaboparatide</w:t>
            </w:r>
            <w:proofErr w:type="spellEnd"/>
            <w:r w:rsidRPr="004355AE">
              <w:rPr>
                <w:rFonts w:ascii="Arial" w:hAnsi="Arial" w:cs="Arial"/>
                <w:sz w:val="22"/>
                <w:szCs w:val="22"/>
              </w:rPr>
              <w:t xml:space="preserve"> for hypoparathyroidism).</w:t>
            </w:r>
          </w:p>
          <w:p w14:paraId="1F6F8A15" w14:textId="29654EC0" w:rsidR="004355AE" w:rsidRPr="00516528" w:rsidRDefault="004355AE" w:rsidP="00F21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15111808" w14:textId="77777777" w:rsidR="004355AE" w:rsidRPr="004415DB" w:rsidRDefault="004355AE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39" w:type="pct"/>
            <w:vMerge/>
          </w:tcPr>
          <w:p w14:paraId="4BD39A8F" w14:textId="77777777" w:rsidR="004355AE" w:rsidRPr="004415DB" w:rsidRDefault="004355AE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</w:tbl>
    <w:p w14:paraId="36C881C0" w14:textId="3BFF9DFF" w:rsidR="00643CD4" w:rsidRPr="004355AE" w:rsidRDefault="00214DA5" w:rsidP="00AC7D02">
      <w:pPr>
        <w:rPr>
          <w:rFonts w:ascii="Arial" w:hAnsi="Arial" w:cs="Arial"/>
          <w:b/>
          <w:bCs/>
        </w:rPr>
      </w:pPr>
      <w:r w:rsidRPr="001C75B2">
        <w:rPr>
          <w:rFonts w:ascii="Arial" w:hAnsi="Arial" w:cs="Arial"/>
          <w:b/>
          <w:bCs/>
        </w:rPr>
        <w:t xml:space="preserve"> </w:t>
      </w:r>
    </w:p>
    <w:sectPr w:rsidR="00643CD4" w:rsidRPr="004355AE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81A5" w14:textId="77777777" w:rsidR="00C57BBE" w:rsidRDefault="00C57BBE" w:rsidP="00446BEE">
      <w:r>
        <w:separator/>
      </w:r>
    </w:p>
  </w:endnote>
  <w:endnote w:type="continuationSeparator" w:id="0">
    <w:p w14:paraId="4FAB6DDB" w14:textId="77777777" w:rsidR="00C57BBE" w:rsidRDefault="00C57BB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99C6" w14:textId="77777777" w:rsidR="00C57BBE" w:rsidRDefault="00C57BBE" w:rsidP="00446BEE">
      <w:r>
        <w:separator/>
      </w:r>
    </w:p>
  </w:footnote>
  <w:footnote w:type="continuationSeparator" w:id="0">
    <w:p w14:paraId="689482F5" w14:textId="77777777" w:rsidR="00C57BBE" w:rsidRDefault="00C57BB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67ADEE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1417"/>
    <w:multiLevelType w:val="hybridMultilevel"/>
    <w:tmpl w:val="FB5A3C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F46CF"/>
    <w:multiLevelType w:val="hybridMultilevel"/>
    <w:tmpl w:val="82822D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4"/>
  </w:num>
  <w:num w:numId="22" w16cid:durableId="1710884642">
    <w:abstractNumId w:val="13"/>
  </w:num>
  <w:num w:numId="23" w16cid:durableId="545414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27C9F"/>
    <w:rsid w:val="000472DC"/>
    <w:rsid w:val="0005185C"/>
    <w:rsid w:val="00070065"/>
    <w:rsid w:val="000A4FEE"/>
    <w:rsid w:val="000B5102"/>
    <w:rsid w:val="000B5939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A0A1B"/>
    <w:rsid w:val="001B0EE9"/>
    <w:rsid w:val="001B65B3"/>
    <w:rsid w:val="002029A6"/>
    <w:rsid w:val="002029E7"/>
    <w:rsid w:val="00214DA5"/>
    <w:rsid w:val="0022538A"/>
    <w:rsid w:val="002408EA"/>
    <w:rsid w:val="0025464B"/>
    <w:rsid w:val="002819D7"/>
    <w:rsid w:val="002C1A7E"/>
    <w:rsid w:val="002D3376"/>
    <w:rsid w:val="00305361"/>
    <w:rsid w:val="003118D6"/>
    <w:rsid w:val="00311ED0"/>
    <w:rsid w:val="00320DA8"/>
    <w:rsid w:val="003404D8"/>
    <w:rsid w:val="00354151"/>
    <w:rsid w:val="00360316"/>
    <w:rsid w:val="003648C5"/>
    <w:rsid w:val="003722FA"/>
    <w:rsid w:val="003C7AAF"/>
    <w:rsid w:val="003E25CF"/>
    <w:rsid w:val="00406A49"/>
    <w:rsid w:val="004075B6"/>
    <w:rsid w:val="00420952"/>
    <w:rsid w:val="004327C3"/>
    <w:rsid w:val="00433EFF"/>
    <w:rsid w:val="004355AE"/>
    <w:rsid w:val="004415DB"/>
    <w:rsid w:val="00443081"/>
    <w:rsid w:val="00446BEE"/>
    <w:rsid w:val="004602D6"/>
    <w:rsid w:val="00471B73"/>
    <w:rsid w:val="00484328"/>
    <w:rsid w:val="00492FE1"/>
    <w:rsid w:val="00494FEF"/>
    <w:rsid w:val="004A241F"/>
    <w:rsid w:val="004A2D1D"/>
    <w:rsid w:val="004E3A84"/>
    <w:rsid w:val="005025A1"/>
    <w:rsid w:val="00516528"/>
    <w:rsid w:val="00557456"/>
    <w:rsid w:val="005602B2"/>
    <w:rsid w:val="0058204D"/>
    <w:rsid w:val="00593097"/>
    <w:rsid w:val="005C6BC7"/>
    <w:rsid w:val="00643CD4"/>
    <w:rsid w:val="006921E1"/>
    <w:rsid w:val="006A3196"/>
    <w:rsid w:val="006C42BD"/>
    <w:rsid w:val="006E7516"/>
    <w:rsid w:val="006F4B25"/>
    <w:rsid w:val="006F6496"/>
    <w:rsid w:val="00706811"/>
    <w:rsid w:val="0073154B"/>
    <w:rsid w:val="00731D82"/>
    <w:rsid w:val="00734402"/>
    <w:rsid w:val="00736348"/>
    <w:rsid w:val="007574E6"/>
    <w:rsid w:val="00760908"/>
    <w:rsid w:val="00773470"/>
    <w:rsid w:val="0079772A"/>
    <w:rsid w:val="007D764C"/>
    <w:rsid w:val="007F238D"/>
    <w:rsid w:val="008131E9"/>
    <w:rsid w:val="00861B92"/>
    <w:rsid w:val="008814FB"/>
    <w:rsid w:val="008B596B"/>
    <w:rsid w:val="008F5E30"/>
    <w:rsid w:val="008F7830"/>
    <w:rsid w:val="00914D7F"/>
    <w:rsid w:val="009176A1"/>
    <w:rsid w:val="00955EC5"/>
    <w:rsid w:val="00961C9E"/>
    <w:rsid w:val="009813A0"/>
    <w:rsid w:val="0099111D"/>
    <w:rsid w:val="009B19D9"/>
    <w:rsid w:val="009C1F2B"/>
    <w:rsid w:val="009E271E"/>
    <w:rsid w:val="009E680B"/>
    <w:rsid w:val="009F4556"/>
    <w:rsid w:val="009F66BF"/>
    <w:rsid w:val="009F74FD"/>
    <w:rsid w:val="00A15A1F"/>
    <w:rsid w:val="00A17C0C"/>
    <w:rsid w:val="00A260DA"/>
    <w:rsid w:val="00A3325A"/>
    <w:rsid w:val="00A43013"/>
    <w:rsid w:val="00A43DA6"/>
    <w:rsid w:val="00A4430C"/>
    <w:rsid w:val="00A6792E"/>
    <w:rsid w:val="00A92390"/>
    <w:rsid w:val="00AC7D02"/>
    <w:rsid w:val="00AE78A4"/>
    <w:rsid w:val="00AF108A"/>
    <w:rsid w:val="00B02E55"/>
    <w:rsid w:val="00B036C1"/>
    <w:rsid w:val="00B13BC8"/>
    <w:rsid w:val="00B53C35"/>
    <w:rsid w:val="00B53CB5"/>
    <w:rsid w:val="00B5431F"/>
    <w:rsid w:val="00B626DF"/>
    <w:rsid w:val="00BE62C5"/>
    <w:rsid w:val="00BF7FE0"/>
    <w:rsid w:val="00C41FDB"/>
    <w:rsid w:val="00C57BBE"/>
    <w:rsid w:val="00C66023"/>
    <w:rsid w:val="00C81104"/>
    <w:rsid w:val="00C96411"/>
    <w:rsid w:val="00CB5671"/>
    <w:rsid w:val="00CD4C18"/>
    <w:rsid w:val="00CD6793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DB7D6D"/>
    <w:rsid w:val="00DE66CE"/>
    <w:rsid w:val="00E23430"/>
    <w:rsid w:val="00E3025D"/>
    <w:rsid w:val="00E51920"/>
    <w:rsid w:val="00E538FD"/>
    <w:rsid w:val="00E64120"/>
    <w:rsid w:val="00E660A1"/>
    <w:rsid w:val="00EA3CCF"/>
    <w:rsid w:val="00EA4001"/>
    <w:rsid w:val="00EB7131"/>
    <w:rsid w:val="00EF637F"/>
    <w:rsid w:val="00F055F1"/>
    <w:rsid w:val="00F17AB0"/>
    <w:rsid w:val="00F2103A"/>
    <w:rsid w:val="00F610AF"/>
    <w:rsid w:val="00F63A40"/>
    <w:rsid w:val="00F777D0"/>
    <w:rsid w:val="00F80C14"/>
    <w:rsid w:val="00F83AE0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nhideWhenUsed/>
    <w:rsid w:val="008B59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9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4DA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6" ma:contentTypeDescription="Create a new document." ma:contentTypeScope="" ma:versionID="12ff63fae144ed75b0ddd7b7c1a65ca6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45bb4e80be8ad27102706a60e7e6fc58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m2346e5591114862813975e18538b05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46e5591114862813975e18538b05c" ma:index="22" nillable="true" ma:taxonomy="true" ma:internalName="m2346e5591114862813975e18538b05c" ma:taxonomyFieldName="Condition_x0020_category1" ma:displayName="Condition and disease categories" ma:fieldId="{62346e55-9111-4862-8139-75e18538b05c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346e5591114862813975e18538b05c xmlns="0eb656aa-4e79-4e95-9076-bc119a23e0cc">
      <Terms xmlns="http://schemas.microsoft.com/office/infopath/2007/PartnerControls"/>
    </m2346e5591114862813975e18538b05c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3E535-790E-465B-9481-B9892D991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9234D-453E-44E1-8B9B-A0C3870365F6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3.xml><?xml version="1.0" encoding="utf-8"?>
<ds:datastoreItem xmlns:ds="http://schemas.openxmlformats.org/officeDocument/2006/customXml" ds:itemID="{00FAE857-71AD-498C-81BC-4D5263E28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474</Words>
  <Characters>2712</Characters>
  <Application>Microsoft Office Word</Application>
  <DocSecurity>0</DocSecurity>
  <Lines>174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10</cp:revision>
  <cp:lastPrinted>2025-10-10T11:45:00Z</cp:lastPrinted>
  <dcterms:created xsi:type="dcterms:W3CDTF">2026-04-30T08:03:00Z</dcterms:created>
  <dcterms:modified xsi:type="dcterms:W3CDTF">2026-05-15T09:53:00Z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  <property fmtid="{D5CDD505-2E9C-101B-9397-08002B2CF9AE}" pid="11" name="Condition_x0020_category1">
    <vt:lpwstr/>
  </property>
  <property fmtid="{D5CDD505-2E9C-101B-9397-08002B2CF9AE}" pid="12" name="Condition category1">
    <vt:lpwstr/>
  </property>
</Properties>
</file>