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C931" w14:textId="6D34C605" w:rsidR="00E139E9" w:rsidRPr="0011041B" w:rsidRDefault="00BD658E" w:rsidP="002C713B">
      <w:pPr>
        <w:spacing w:before="240" w:after="240" w:line="276" w:lineRule="auto"/>
        <w:jc w:val="both"/>
      </w:pPr>
      <w:r w:rsidRPr="009E2C45">
        <w:t>21 January 2026</w:t>
      </w:r>
    </w:p>
    <w:p w14:paraId="107BDA17" w14:textId="77777777" w:rsidR="007C314E" w:rsidRPr="0011041B" w:rsidRDefault="007C314E" w:rsidP="002C713B">
      <w:pPr>
        <w:spacing w:before="240" w:after="240" w:line="276" w:lineRule="auto"/>
        <w:contextualSpacing/>
        <w:jc w:val="both"/>
      </w:pPr>
      <w:r w:rsidRPr="0011041B">
        <w:t>Dr Mark Chakravarty</w:t>
      </w:r>
    </w:p>
    <w:p w14:paraId="7A6A5C53" w14:textId="77777777" w:rsidR="007C314E" w:rsidRPr="0011041B" w:rsidRDefault="007C314E" w:rsidP="002C713B">
      <w:pPr>
        <w:spacing w:before="240" w:after="240" w:line="276" w:lineRule="auto"/>
        <w:contextualSpacing/>
        <w:jc w:val="both"/>
      </w:pPr>
      <w:r w:rsidRPr="0011041B">
        <w:t>Lead Non-executive Director NICE Appeals</w:t>
      </w:r>
    </w:p>
    <w:p w14:paraId="5D64D04A" w14:textId="77777777" w:rsidR="007C314E" w:rsidRPr="0011041B" w:rsidRDefault="007C314E" w:rsidP="002C713B">
      <w:pPr>
        <w:spacing w:before="240" w:after="240" w:line="276" w:lineRule="auto"/>
        <w:contextualSpacing/>
        <w:jc w:val="both"/>
      </w:pPr>
      <w:r w:rsidRPr="0011041B">
        <w:t>National Institute for Health and Care Excellence</w:t>
      </w:r>
    </w:p>
    <w:p w14:paraId="7F9795B3" w14:textId="77777777" w:rsidR="007C314E" w:rsidRPr="0011041B" w:rsidRDefault="007C314E" w:rsidP="002C713B">
      <w:pPr>
        <w:spacing w:before="240" w:after="240" w:line="276" w:lineRule="auto"/>
        <w:contextualSpacing/>
        <w:jc w:val="both"/>
      </w:pPr>
      <w:r w:rsidRPr="0011041B">
        <w:t>2nd Floor</w:t>
      </w:r>
    </w:p>
    <w:p w14:paraId="7556E6AA" w14:textId="77777777" w:rsidR="007C314E" w:rsidRPr="0011041B" w:rsidRDefault="007C314E" w:rsidP="002C713B">
      <w:pPr>
        <w:spacing w:before="240" w:after="240" w:line="276" w:lineRule="auto"/>
        <w:contextualSpacing/>
        <w:jc w:val="both"/>
      </w:pPr>
      <w:r w:rsidRPr="0011041B">
        <w:t>2 Redman Place</w:t>
      </w:r>
    </w:p>
    <w:p w14:paraId="21DC04AA" w14:textId="77777777" w:rsidR="007C314E" w:rsidRDefault="007C314E" w:rsidP="002C713B">
      <w:pPr>
        <w:spacing w:before="240" w:after="240" w:line="276" w:lineRule="auto"/>
        <w:contextualSpacing/>
        <w:jc w:val="both"/>
      </w:pPr>
      <w:r w:rsidRPr="0011041B">
        <w:t>London E20 1JQ</w:t>
      </w:r>
    </w:p>
    <w:p w14:paraId="45A27E6E" w14:textId="77777777" w:rsidR="00E85303" w:rsidRDefault="00E85303" w:rsidP="002C713B">
      <w:pPr>
        <w:spacing w:before="240" w:after="240" w:line="276" w:lineRule="auto"/>
        <w:contextualSpacing/>
        <w:jc w:val="both"/>
      </w:pPr>
    </w:p>
    <w:p w14:paraId="2F40BE09" w14:textId="106F5706" w:rsidR="00E85303" w:rsidRPr="005000D3" w:rsidRDefault="00E85303" w:rsidP="002C713B">
      <w:pPr>
        <w:spacing w:before="240" w:after="240" w:line="276" w:lineRule="auto"/>
        <w:contextualSpacing/>
        <w:jc w:val="both"/>
      </w:pPr>
      <w:r>
        <w:t xml:space="preserve">By email: </w:t>
      </w:r>
      <w:hyperlink r:id="rId11" w:history="1">
        <w:r w:rsidR="00605620" w:rsidRPr="00C67AA2">
          <w:rPr>
            <w:rStyle w:val="Hyperlink"/>
          </w:rPr>
          <w:t>appeals@nice.org.uk</w:t>
        </w:r>
      </w:hyperlink>
      <w:r w:rsidR="00605620">
        <w:t xml:space="preserve"> </w:t>
      </w:r>
      <w:r w:rsidR="005000D3" w:rsidRPr="005000D3">
        <w:rPr>
          <w:highlight w:val="black"/>
        </w:rPr>
        <w:t>XXXXXXXXXXXXXXXXXXXXXXXXXXX</w:t>
      </w:r>
    </w:p>
    <w:p w14:paraId="10ABBFCF" w14:textId="77777777" w:rsidR="007C314E" w:rsidRPr="0011041B" w:rsidRDefault="007C314E" w:rsidP="002C713B">
      <w:pPr>
        <w:spacing w:before="240" w:after="240" w:line="276" w:lineRule="auto"/>
        <w:jc w:val="both"/>
      </w:pPr>
    </w:p>
    <w:p w14:paraId="27EA17B5" w14:textId="77777777" w:rsidR="007C314E" w:rsidRPr="0011041B" w:rsidRDefault="007C314E" w:rsidP="002C713B">
      <w:pPr>
        <w:spacing w:before="240" w:after="240" w:line="276" w:lineRule="auto"/>
        <w:jc w:val="both"/>
      </w:pPr>
      <w:r w:rsidRPr="0011041B">
        <w:t xml:space="preserve">Dear Dr Chakravarty, </w:t>
      </w:r>
    </w:p>
    <w:p w14:paraId="52368466" w14:textId="3B14A83E" w:rsidR="007C314E" w:rsidRPr="0011041B" w:rsidRDefault="007C314E" w:rsidP="002C713B">
      <w:pPr>
        <w:spacing w:before="240" w:after="240" w:line="276" w:lineRule="auto"/>
        <w:jc w:val="both"/>
        <w:rPr>
          <w:b/>
          <w:bCs/>
        </w:rPr>
      </w:pPr>
      <w:r w:rsidRPr="0011041B">
        <w:rPr>
          <w:b/>
          <w:bCs/>
        </w:rPr>
        <w:t xml:space="preserve">Final </w:t>
      </w:r>
      <w:r w:rsidR="00654096">
        <w:rPr>
          <w:b/>
          <w:bCs/>
        </w:rPr>
        <w:t>D</w:t>
      </w:r>
      <w:r w:rsidRPr="0011041B">
        <w:rPr>
          <w:b/>
          <w:bCs/>
        </w:rPr>
        <w:t xml:space="preserve">raft </w:t>
      </w:r>
      <w:r w:rsidR="00866C86" w:rsidRPr="0011041B">
        <w:rPr>
          <w:b/>
          <w:bCs/>
        </w:rPr>
        <w:t>G</w:t>
      </w:r>
      <w:r w:rsidRPr="0011041B">
        <w:rPr>
          <w:b/>
          <w:bCs/>
        </w:rPr>
        <w:t xml:space="preserve">uidance </w:t>
      </w:r>
      <w:r w:rsidR="00512CDE">
        <w:rPr>
          <w:b/>
          <w:bCs/>
        </w:rPr>
        <w:t xml:space="preserve">(FDG) </w:t>
      </w:r>
      <w:r w:rsidRPr="0011041B">
        <w:rPr>
          <w:b/>
          <w:bCs/>
        </w:rPr>
        <w:t xml:space="preserve">– </w:t>
      </w:r>
      <w:proofErr w:type="spellStart"/>
      <w:r w:rsidR="0094146D" w:rsidRPr="0011041B">
        <w:rPr>
          <w:b/>
          <w:bCs/>
        </w:rPr>
        <w:t>Brexucabtagene</w:t>
      </w:r>
      <w:proofErr w:type="spellEnd"/>
      <w:r w:rsidR="0094146D" w:rsidRPr="0011041B">
        <w:rPr>
          <w:b/>
          <w:bCs/>
        </w:rPr>
        <w:t xml:space="preserve"> </w:t>
      </w:r>
      <w:proofErr w:type="spellStart"/>
      <w:r w:rsidR="0094146D" w:rsidRPr="0011041B">
        <w:rPr>
          <w:b/>
          <w:bCs/>
        </w:rPr>
        <w:t>autoleucel</w:t>
      </w:r>
      <w:proofErr w:type="spellEnd"/>
      <w:r w:rsidR="003267B2">
        <w:rPr>
          <w:b/>
          <w:bCs/>
        </w:rPr>
        <w:t xml:space="preserve"> (</w:t>
      </w:r>
      <w:proofErr w:type="spellStart"/>
      <w:r w:rsidR="003267B2">
        <w:rPr>
          <w:b/>
          <w:bCs/>
        </w:rPr>
        <w:t>brexu</w:t>
      </w:r>
      <w:proofErr w:type="spellEnd"/>
      <w:r w:rsidR="003267B2">
        <w:rPr>
          <w:b/>
          <w:bCs/>
        </w:rPr>
        <w:t>-cel)</w:t>
      </w:r>
      <w:r w:rsidR="0094146D" w:rsidRPr="0011041B">
        <w:rPr>
          <w:b/>
          <w:bCs/>
        </w:rPr>
        <w:t xml:space="preserve"> for treating relapsed or refractory </w:t>
      </w:r>
      <w:r w:rsidR="00EB5922">
        <w:rPr>
          <w:b/>
          <w:bCs/>
        </w:rPr>
        <w:t xml:space="preserve">(R/R) </w:t>
      </w:r>
      <w:r w:rsidR="0094146D" w:rsidRPr="0011041B">
        <w:rPr>
          <w:b/>
          <w:bCs/>
        </w:rPr>
        <w:t xml:space="preserve">mantle cell lymphoma </w:t>
      </w:r>
      <w:r w:rsidR="00937BCF">
        <w:rPr>
          <w:b/>
          <w:bCs/>
        </w:rPr>
        <w:t xml:space="preserve">(MCL) </w:t>
      </w:r>
      <w:r w:rsidR="0094146D" w:rsidRPr="0011041B">
        <w:rPr>
          <w:b/>
          <w:bCs/>
        </w:rPr>
        <w:t>after 2 or more systemic treatments (review of TA677) - ID6325</w:t>
      </w:r>
    </w:p>
    <w:p w14:paraId="4AD005C4" w14:textId="77777777" w:rsidR="00866C86" w:rsidRPr="0011041B" w:rsidRDefault="00866C86" w:rsidP="002C713B">
      <w:pPr>
        <w:spacing w:before="240" w:after="240" w:line="276" w:lineRule="auto"/>
        <w:jc w:val="both"/>
        <w:rPr>
          <w:b/>
          <w:bCs/>
        </w:rPr>
      </w:pPr>
      <w:r w:rsidRPr="0011041B">
        <w:rPr>
          <w:b/>
          <w:bCs/>
        </w:rPr>
        <w:t>Executive Summary</w:t>
      </w:r>
    </w:p>
    <w:p w14:paraId="227BDBCD" w14:textId="1665C3DF" w:rsidR="00866C86" w:rsidRPr="0011041B" w:rsidRDefault="00866C86" w:rsidP="002C713B">
      <w:pPr>
        <w:pStyle w:val="StyleParagraph11pt"/>
        <w:rPr>
          <w:rFonts w:ascii="Proxima Nova" w:hAnsi="Proxima Nova"/>
        </w:rPr>
      </w:pPr>
      <w:r w:rsidRPr="0011041B">
        <w:rPr>
          <w:rStyle w:val="LineNumber"/>
          <w:rFonts w:ascii="Proxima Nova" w:hAnsi="Proxima Nova"/>
        </w:rPr>
        <w:t>Gilead</w:t>
      </w:r>
      <w:r w:rsidR="00DC2F1D">
        <w:rPr>
          <w:rStyle w:val="LineNumber"/>
          <w:rFonts w:ascii="Proxima Nova" w:hAnsi="Proxima Nova"/>
        </w:rPr>
        <w:t xml:space="preserve"> Sciences Ltd (</w:t>
      </w:r>
      <w:r w:rsidR="00F013AA">
        <w:rPr>
          <w:rStyle w:val="LineNumber"/>
          <w:rFonts w:ascii="Proxima Nova" w:hAnsi="Proxima Nova"/>
        </w:rPr>
        <w:t>“</w:t>
      </w:r>
      <w:r w:rsidR="00DC2F1D">
        <w:rPr>
          <w:rStyle w:val="LineNumber"/>
          <w:rFonts w:ascii="Proxima Nova" w:hAnsi="Proxima Nova"/>
        </w:rPr>
        <w:t>Gilead</w:t>
      </w:r>
      <w:r w:rsidR="00F013AA">
        <w:rPr>
          <w:rStyle w:val="LineNumber"/>
          <w:rFonts w:ascii="Proxima Nova" w:hAnsi="Proxima Nova"/>
        </w:rPr>
        <w:t>”</w:t>
      </w:r>
      <w:r w:rsidR="00DC2F1D">
        <w:rPr>
          <w:rStyle w:val="LineNumber"/>
          <w:rFonts w:ascii="Proxima Nova" w:hAnsi="Proxima Nova"/>
        </w:rPr>
        <w:t>)</w:t>
      </w:r>
      <w:r w:rsidR="00512CDE">
        <w:rPr>
          <w:rStyle w:val="LineNumber"/>
          <w:rFonts w:ascii="Proxima Nova" w:hAnsi="Proxima Nova"/>
        </w:rPr>
        <w:t xml:space="preserve"> </w:t>
      </w:r>
      <w:r w:rsidRPr="0011041B">
        <w:rPr>
          <w:rFonts w:ascii="Proxima Nova" w:hAnsi="Proxima Nova"/>
        </w:rPr>
        <w:t xml:space="preserve">is appealing the </w:t>
      </w:r>
      <w:r w:rsidR="00512CDE">
        <w:rPr>
          <w:rFonts w:ascii="Proxima Nova" w:hAnsi="Proxima Nova"/>
        </w:rPr>
        <w:t>FDG</w:t>
      </w:r>
      <w:r w:rsidRPr="0011041B">
        <w:rPr>
          <w:rFonts w:ascii="Proxima Nova" w:hAnsi="Proxima Nova"/>
        </w:rPr>
        <w:t xml:space="preserve"> for the single technology appraisal (</w:t>
      </w:r>
      <w:r w:rsidRPr="0011041B">
        <w:rPr>
          <w:rFonts w:ascii="Proxima Nova" w:hAnsi="Proxima Nova"/>
          <w:b/>
          <w:bCs/>
        </w:rPr>
        <w:t>STA</w:t>
      </w:r>
      <w:r w:rsidRPr="0011041B">
        <w:rPr>
          <w:rFonts w:ascii="Proxima Nova" w:hAnsi="Proxima Nova"/>
        </w:rPr>
        <w:t xml:space="preserve">) of </w:t>
      </w:r>
      <w:proofErr w:type="spellStart"/>
      <w:r w:rsidR="00512CDE">
        <w:rPr>
          <w:rFonts w:ascii="Proxima Nova" w:hAnsi="Proxima Nova"/>
        </w:rPr>
        <w:t>brexu</w:t>
      </w:r>
      <w:proofErr w:type="spellEnd"/>
      <w:r w:rsidR="00512CDE">
        <w:rPr>
          <w:rFonts w:ascii="Proxima Nova" w:hAnsi="Proxima Nova"/>
        </w:rPr>
        <w:t>-cel</w:t>
      </w:r>
      <w:r w:rsidRPr="0011041B">
        <w:rPr>
          <w:rFonts w:ascii="Proxima Nova" w:hAnsi="Proxima Nova"/>
        </w:rPr>
        <w:t xml:space="preserve"> for treating relapsed or refractory mantle cell lymphoma after 2 or more systemic treatments</w:t>
      </w:r>
      <w:r w:rsidR="003554AB">
        <w:rPr>
          <w:rFonts w:ascii="Proxima Nova" w:hAnsi="Proxima Nova"/>
        </w:rPr>
        <w:t xml:space="preserve"> (ID</w:t>
      </w:r>
      <w:r w:rsidR="005F2B75">
        <w:rPr>
          <w:rFonts w:ascii="Proxima Nova" w:hAnsi="Proxima Nova"/>
        </w:rPr>
        <w:t>6325)</w:t>
      </w:r>
      <w:r w:rsidRPr="0011041B">
        <w:rPr>
          <w:rFonts w:ascii="Proxima Nova" w:hAnsi="Proxima Nova"/>
        </w:rPr>
        <w:t>, on the following grounds:</w:t>
      </w:r>
    </w:p>
    <w:p w14:paraId="4C303F07" w14:textId="0CC91D0B" w:rsidR="00866C86" w:rsidRPr="0011041B" w:rsidRDefault="00866C86" w:rsidP="002C713B">
      <w:pPr>
        <w:pStyle w:val="StyleHeading211ptNotItalicLinespacingMultiple115li"/>
        <w:spacing w:after="240"/>
        <w:rPr>
          <w:rFonts w:ascii="Proxima Nova" w:hAnsi="Proxima Nova"/>
          <w:i/>
          <w:iCs/>
          <w:szCs w:val="22"/>
        </w:rPr>
      </w:pPr>
      <w:r w:rsidRPr="0011041B">
        <w:rPr>
          <w:rFonts w:ascii="Proxima Nova" w:hAnsi="Proxima Nova"/>
          <w:szCs w:val="22"/>
        </w:rPr>
        <w:t>Ground 1</w:t>
      </w:r>
      <w:r w:rsidR="002F10A2" w:rsidRPr="0011041B">
        <w:rPr>
          <w:rFonts w:ascii="Proxima Nova" w:hAnsi="Proxima Nova"/>
          <w:szCs w:val="22"/>
        </w:rPr>
        <w:t>(</w:t>
      </w:r>
      <w:r w:rsidRPr="0011041B">
        <w:rPr>
          <w:rFonts w:ascii="Proxima Nova" w:hAnsi="Proxima Nova"/>
          <w:szCs w:val="22"/>
        </w:rPr>
        <w:t>a</w:t>
      </w:r>
      <w:r w:rsidR="002F10A2" w:rsidRPr="0011041B">
        <w:rPr>
          <w:rFonts w:ascii="Proxima Nova" w:hAnsi="Proxima Nova"/>
          <w:szCs w:val="22"/>
        </w:rPr>
        <w:t>)</w:t>
      </w:r>
      <w:r w:rsidRPr="0011041B">
        <w:rPr>
          <w:rFonts w:ascii="Proxima Nova" w:hAnsi="Proxima Nova"/>
          <w:szCs w:val="22"/>
        </w:rPr>
        <w:t>: In making the assessment that preceded the recommendation,</w:t>
      </w:r>
      <w:r w:rsidRPr="0011041B">
        <w:rPr>
          <w:rFonts w:ascii="Proxima Nova" w:hAnsi="Proxima Nova"/>
          <w:szCs w:val="22"/>
          <w:lang w:val="en-GB"/>
        </w:rPr>
        <w:t xml:space="preserve"> </w:t>
      </w:r>
      <w:r w:rsidRPr="0011041B">
        <w:rPr>
          <w:rFonts w:ascii="Proxima Nova" w:hAnsi="Proxima Nova"/>
          <w:szCs w:val="22"/>
        </w:rPr>
        <w:t xml:space="preserve">NICE has failed to act fairly </w:t>
      </w:r>
    </w:p>
    <w:p w14:paraId="1A8C4CF7" w14:textId="536689A0" w:rsidR="00866C86" w:rsidRPr="0011041B" w:rsidRDefault="3CEFDBB6" w:rsidP="002C713B">
      <w:pPr>
        <w:spacing w:before="240" w:after="240" w:line="276" w:lineRule="auto"/>
        <w:jc w:val="both"/>
      </w:pPr>
      <w:r>
        <w:t>1(a).1</w:t>
      </w:r>
      <w:r w:rsidR="1AC406BE">
        <w:t xml:space="preserve"> </w:t>
      </w:r>
      <w:r w:rsidR="002A745C" w:rsidRPr="003E2B69">
        <w:t xml:space="preserve">The Committee accepted a CAR-T tariff figure of £60,462 plus ICU costs proposed by NHSE as the cost of treatment with </w:t>
      </w:r>
      <w:proofErr w:type="spellStart"/>
      <w:r w:rsidR="002A745C" w:rsidRPr="003E2B69">
        <w:t>brexu</w:t>
      </w:r>
      <w:proofErr w:type="spellEnd"/>
      <w:r w:rsidR="002A745C" w:rsidRPr="003E2B69">
        <w:t>-cel for the purposes of this appraisal, even though this lacks transparency and the Committee has failed to subject the proposed figure to adequate investigation</w:t>
      </w:r>
    </w:p>
    <w:p w14:paraId="415D4CE9" w14:textId="36E741FB" w:rsidR="002F10A2" w:rsidRPr="0011041B" w:rsidRDefault="002F10A2" w:rsidP="002C713B">
      <w:pPr>
        <w:spacing w:before="240" w:after="240" w:line="276" w:lineRule="auto"/>
        <w:jc w:val="both"/>
        <w:rPr>
          <w:b/>
          <w:bCs/>
        </w:rPr>
      </w:pPr>
      <w:r w:rsidRPr="0011041B">
        <w:t xml:space="preserve">1(a).2 </w:t>
      </w:r>
      <w:r w:rsidR="001950AD" w:rsidRPr="00BD658E">
        <w:t xml:space="preserve">NICE’s decision to follow the Single Technology Appraisal (STA) route for this appraisal, rather than considering </w:t>
      </w:r>
      <w:proofErr w:type="spellStart"/>
      <w:r w:rsidR="001950AD" w:rsidRPr="00BD658E">
        <w:t>brexu</w:t>
      </w:r>
      <w:proofErr w:type="spellEnd"/>
      <w:r w:rsidR="001950AD" w:rsidRPr="00BD658E">
        <w:t>-cel under the Highly Specialised Technology (HST) procedure was contrary to its own procedures</w:t>
      </w:r>
    </w:p>
    <w:p w14:paraId="52384616" w14:textId="5B0BC15E" w:rsidR="00AE2149" w:rsidRPr="0011041B" w:rsidRDefault="00AE2149" w:rsidP="002C713B">
      <w:pPr>
        <w:spacing w:before="240" w:after="240" w:line="276" w:lineRule="auto"/>
        <w:jc w:val="both"/>
      </w:pPr>
      <w:r w:rsidRPr="0011041B">
        <w:t xml:space="preserve">1(a).3 </w:t>
      </w:r>
      <w:r w:rsidR="00375957" w:rsidRPr="0011041B">
        <w:t xml:space="preserve">NICE </w:t>
      </w:r>
      <w:r w:rsidR="00B66176">
        <w:t xml:space="preserve">failed to adequately consider </w:t>
      </w:r>
      <w:r w:rsidR="005F1400">
        <w:t xml:space="preserve">and mitigate </w:t>
      </w:r>
      <w:r w:rsidR="00B66176">
        <w:t>the impact of adopting the severity modifier for ID</w:t>
      </w:r>
      <w:r w:rsidR="00036AE4">
        <w:t>6325</w:t>
      </w:r>
      <w:r w:rsidR="002819D5">
        <w:t xml:space="preserve"> </w:t>
      </w:r>
      <w:proofErr w:type="gramStart"/>
      <w:r w:rsidR="00350B97" w:rsidRPr="003E2B69">
        <w:t>in light of</w:t>
      </w:r>
      <w:proofErr w:type="gramEnd"/>
      <w:r w:rsidR="00350B97" w:rsidRPr="003E2B69">
        <w:t xml:space="preserve"> the perversity of outcome and the impact for the older population</w:t>
      </w:r>
      <w:r w:rsidR="00350B97" w:rsidRPr="0011041B" w:rsidDel="00350B97">
        <w:t xml:space="preserve"> </w:t>
      </w:r>
    </w:p>
    <w:p w14:paraId="4D6C74DF" w14:textId="7AC48065" w:rsidR="00466C54" w:rsidRDefault="009C0FB4" w:rsidP="002C713B">
      <w:pPr>
        <w:spacing w:before="240" w:after="240" w:line="276" w:lineRule="auto"/>
        <w:jc w:val="both"/>
      </w:pPr>
      <w:r w:rsidRPr="06EDCAE8" w:rsidDel="009C0FB4">
        <w:t xml:space="preserve"> </w:t>
      </w:r>
      <w:r w:rsidR="006A796F" w:rsidRPr="0011041B">
        <w:t>1(a).</w:t>
      </w:r>
      <w:r w:rsidR="00BB4899">
        <w:t>4</w:t>
      </w:r>
      <w:r w:rsidR="006A796F" w:rsidRPr="0011041B">
        <w:t xml:space="preserve"> </w:t>
      </w:r>
      <w:r w:rsidR="00EB64C3">
        <w:t xml:space="preserve">NICE provided </w:t>
      </w:r>
      <w:r w:rsidR="007E11BF">
        <w:t>significant</w:t>
      </w:r>
      <w:r w:rsidR="00DD0513">
        <w:t xml:space="preserve"> </w:t>
      </w:r>
      <w:proofErr w:type="spellStart"/>
      <w:r w:rsidR="00570911">
        <w:t>blueteq</w:t>
      </w:r>
      <w:proofErr w:type="spellEnd"/>
      <w:r w:rsidR="00570911">
        <w:t xml:space="preserve"> </w:t>
      </w:r>
      <w:r w:rsidR="00DD0513">
        <w:t>data</w:t>
      </w:r>
      <w:r w:rsidR="007E11BF">
        <w:t xml:space="preserve"> </w:t>
      </w:r>
      <w:r w:rsidR="006F0273">
        <w:t>to Gilead 3 days before</w:t>
      </w:r>
      <w:r w:rsidR="005B1875">
        <w:t xml:space="preserve"> and during</w:t>
      </w:r>
      <w:r w:rsidR="006F0273">
        <w:t xml:space="preserve"> the </w:t>
      </w:r>
      <w:r w:rsidR="00810783">
        <w:t xml:space="preserve">second Committee meeting, </w:t>
      </w:r>
      <w:r w:rsidR="009C659E">
        <w:t xml:space="preserve">prejudicing Gilead’s ability to </w:t>
      </w:r>
      <w:r w:rsidR="009E172B">
        <w:t>adequately</w:t>
      </w:r>
      <w:r w:rsidR="00825100">
        <w:t xml:space="preserve"> consider </w:t>
      </w:r>
      <w:r w:rsidR="00017405">
        <w:t xml:space="preserve">this data </w:t>
      </w:r>
      <w:r w:rsidR="00825100">
        <w:t xml:space="preserve">and </w:t>
      </w:r>
      <w:r w:rsidR="009E172B">
        <w:t>make related submissions</w:t>
      </w:r>
      <w:r w:rsidR="00DD0513">
        <w:t xml:space="preserve"> </w:t>
      </w:r>
    </w:p>
    <w:p w14:paraId="797A5DC4" w14:textId="58CCC33F" w:rsidR="002F10A2" w:rsidRPr="00C77C9B" w:rsidRDefault="002F10A2" w:rsidP="00C77C9B">
      <w:pPr>
        <w:pStyle w:val="StyleHeading211ptNotItalicLinespacingMultiple115li"/>
        <w:spacing w:after="240"/>
        <w:rPr>
          <w:rFonts w:ascii="Proxima Nova" w:hAnsi="Proxima Nova"/>
          <w:i/>
          <w:iCs/>
          <w:szCs w:val="22"/>
        </w:rPr>
      </w:pPr>
      <w:r w:rsidRPr="0011041B">
        <w:rPr>
          <w:rFonts w:ascii="Proxima Nova" w:hAnsi="Proxima Nova"/>
          <w:szCs w:val="22"/>
        </w:rPr>
        <w:lastRenderedPageBreak/>
        <w:t xml:space="preserve">Ground 1(b): </w:t>
      </w:r>
      <w:r w:rsidR="00C77C9B" w:rsidRPr="0011041B">
        <w:rPr>
          <w:rFonts w:ascii="Proxima Nova" w:hAnsi="Proxima Nova"/>
          <w:szCs w:val="22"/>
        </w:rPr>
        <w:t>In making the assessment that preceded the recommendation,</w:t>
      </w:r>
      <w:r w:rsidR="00C77C9B" w:rsidRPr="0011041B">
        <w:rPr>
          <w:rFonts w:ascii="Proxima Nova" w:hAnsi="Proxima Nova"/>
          <w:szCs w:val="22"/>
          <w:lang w:val="en-GB"/>
        </w:rPr>
        <w:t xml:space="preserve"> </w:t>
      </w:r>
      <w:r w:rsidR="00C77C9B" w:rsidRPr="0011041B">
        <w:rPr>
          <w:rFonts w:ascii="Proxima Nova" w:hAnsi="Proxima Nova"/>
          <w:szCs w:val="22"/>
        </w:rPr>
        <w:t xml:space="preserve">NICE has </w:t>
      </w:r>
      <w:r w:rsidR="00C77C9B">
        <w:rPr>
          <w:rFonts w:ascii="Proxima Nova" w:hAnsi="Proxima Nova"/>
          <w:szCs w:val="22"/>
        </w:rPr>
        <w:t>exceeded its powers</w:t>
      </w:r>
    </w:p>
    <w:p w14:paraId="37C5CC3C" w14:textId="73A7604E" w:rsidR="00BB1BA1" w:rsidRPr="003B6386" w:rsidRDefault="5F8064A0" w:rsidP="002C713B">
      <w:pPr>
        <w:spacing w:before="240" w:after="240" w:line="276" w:lineRule="auto"/>
        <w:jc w:val="both"/>
        <w:rPr>
          <w:b/>
          <w:bCs/>
        </w:rPr>
      </w:pPr>
      <w:r w:rsidRPr="1C5FC9CD">
        <w:t xml:space="preserve">1(b).1 </w:t>
      </w:r>
      <w:r w:rsidR="002C2753" w:rsidRPr="003B6386">
        <w:t xml:space="preserve">NICE has exceeded its powers by conducting an appraisal using a procedure which discriminates against older people </w:t>
      </w:r>
    </w:p>
    <w:p w14:paraId="302BB857" w14:textId="2173F83E" w:rsidR="002F10A2" w:rsidRPr="0011041B" w:rsidRDefault="002F10A2" w:rsidP="002C713B">
      <w:pPr>
        <w:spacing w:before="240" w:after="240" w:line="276" w:lineRule="auto"/>
        <w:jc w:val="both"/>
        <w:rPr>
          <w:b/>
          <w:bCs/>
        </w:rPr>
      </w:pPr>
      <w:r w:rsidRPr="0011041B">
        <w:rPr>
          <w:b/>
          <w:bCs/>
        </w:rPr>
        <w:t xml:space="preserve">Ground 2: The recommendation is unreasonable </w:t>
      </w:r>
      <w:proofErr w:type="gramStart"/>
      <w:r w:rsidRPr="0011041B">
        <w:rPr>
          <w:b/>
          <w:bCs/>
        </w:rPr>
        <w:t>in light of</w:t>
      </w:r>
      <w:proofErr w:type="gramEnd"/>
      <w:r w:rsidRPr="0011041B">
        <w:rPr>
          <w:b/>
          <w:bCs/>
        </w:rPr>
        <w:t xml:space="preserve"> the evidence submitted to NICE</w:t>
      </w:r>
    </w:p>
    <w:p w14:paraId="43BAA04E" w14:textId="5F7E9D92" w:rsidR="00734724" w:rsidRDefault="00BB1BA1" w:rsidP="002C713B">
      <w:pPr>
        <w:spacing w:before="240" w:after="240" w:line="276" w:lineRule="auto"/>
        <w:jc w:val="both"/>
        <w:rPr>
          <w:lang w:val="en-IE"/>
        </w:rPr>
      </w:pPr>
      <w:r w:rsidRPr="0011041B">
        <w:t>2.</w:t>
      </w:r>
      <w:r w:rsidR="00F71C93">
        <w:t>1</w:t>
      </w:r>
      <w:r w:rsidRPr="0011041B">
        <w:t xml:space="preserve"> </w:t>
      </w:r>
      <w:r w:rsidR="006B7FDC" w:rsidRPr="006B7FDC">
        <w:rPr>
          <w:lang w:val="en-IE"/>
        </w:rPr>
        <w:t xml:space="preserve">The Committee’s conclusion that the assessment of the efficacy of </w:t>
      </w:r>
      <w:proofErr w:type="spellStart"/>
      <w:r w:rsidR="006B7FDC" w:rsidRPr="006B7FDC">
        <w:rPr>
          <w:lang w:val="en-IE"/>
        </w:rPr>
        <w:t>brexu</w:t>
      </w:r>
      <w:proofErr w:type="spellEnd"/>
      <w:r w:rsidR="006B7FDC" w:rsidRPr="006B7FDC">
        <w:rPr>
          <w:lang w:val="en-IE"/>
        </w:rPr>
        <w:t>-cel should include outcomes from patients who did not receive the therapy was unreasonable</w:t>
      </w:r>
      <w:r w:rsidR="0060345F">
        <w:rPr>
          <w:lang w:val="en-IE"/>
        </w:rPr>
        <w:t xml:space="preserve"> based on the evidence presented</w:t>
      </w:r>
    </w:p>
    <w:p w14:paraId="4BFAE59F" w14:textId="176FE60C" w:rsidR="00BB1BA1" w:rsidRDefault="00BB1BA1" w:rsidP="002C713B">
      <w:pPr>
        <w:spacing w:before="240" w:after="240" w:line="276" w:lineRule="auto"/>
        <w:jc w:val="both"/>
        <w:rPr>
          <w:highlight w:val="yellow"/>
        </w:rPr>
      </w:pPr>
      <w:r w:rsidRPr="0011041B">
        <w:t>2.</w:t>
      </w:r>
      <w:r w:rsidR="00F71C93">
        <w:t>2</w:t>
      </w:r>
      <w:r w:rsidRPr="0011041B">
        <w:t xml:space="preserve"> </w:t>
      </w:r>
      <w:r w:rsidR="00232F6E" w:rsidRPr="006B7FDC">
        <w:rPr>
          <w:lang w:val="en-IE"/>
        </w:rPr>
        <w:t xml:space="preserve">The Committee’s conclusion that the assessment of the efficacy of </w:t>
      </w:r>
      <w:proofErr w:type="spellStart"/>
      <w:r w:rsidR="00232F6E" w:rsidRPr="006B7FDC">
        <w:rPr>
          <w:lang w:val="en-IE"/>
        </w:rPr>
        <w:t>brexu</w:t>
      </w:r>
      <w:proofErr w:type="spellEnd"/>
      <w:r w:rsidR="00232F6E" w:rsidRPr="006B7FDC">
        <w:rPr>
          <w:lang w:val="en-IE"/>
        </w:rPr>
        <w:t xml:space="preserve">-cel should </w:t>
      </w:r>
      <w:r w:rsidR="00F707D9">
        <w:rPr>
          <w:lang w:val="en-IE"/>
        </w:rPr>
        <w:t>use a</w:t>
      </w:r>
      <w:r w:rsidR="00020D2E">
        <w:rPr>
          <w:lang w:val="en-IE"/>
        </w:rPr>
        <w:t xml:space="preserve"> standardised mortality ratio </w:t>
      </w:r>
      <w:r w:rsidR="006735C8">
        <w:rPr>
          <w:lang w:val="en-IE"/>
        </w:rPr>
        <w:t xml:space="preserve">(SMR) </w:t>
      </w:r>
      <w:r w:rsidR="00020D2E" w:rsidRPr="00731307">
        <w:rPr>
          <w:lang w:val="en-IE"/>
        </w:rPr>
        <w:t>of</w:t>
      </w:r>
      <w:r w:rsidR="006735C8" w:rsidRPr="00731307">
        <w:rPr>
          <w:lang w:val="en-IE"/>
        </w:rPr>
        <w:t xml:space="preserve"> </w:t>
      </w:r>
      <w:r w:rsidR="00C71A53" w:rsidRPr="003B6386">
        <w:rPr>
          <w:lang w:val="en-IE"/>
        </w:rPr>
        <w:t>3</w:t>
      </w:r>
      <w:r w:rsidR="00F707D9">
        <w:rPr>
          <w:lang w:val="en-IE"/>
        </w:rPr>
        <w:t xml:space="preserve"> </w:t>
      </w:r>
      <w:r w:rsidR="00232F6E" w:rsidRPr="006B7FDC">
        <w:rPr>
          <w:lang w:val="en-IE"/>
        </w:rPr>
        <w:t xml:space="preserve">was unreasonable </w:t>
      </w:r>
      <w:r w:rsidR="0060345F">
        <w:rPr>
          <w:lang w:val="en-IE"/>
        </w:rPr>
        <w:t>based on the evidence pres</w:t>
      </w:r>
      <w:r w:rsidR="00734724">
        <w:rPr>
          <w:lang w:val="en-IE"/>
        </w:rPr>
        <w:t>ented</w:t>
      </w:r>
    </w:p>
    <w:p w14:paraId="4FA42A7B" w14:textId="7AC5B374" w:rsidR="00914531" w:rsidRDefault="00914531" w:rsidP="00914531">
      <w:pPr>
        <w:spacing w:before="240" w:after="240" w:line="276" w:lineRule="auto"/>
        <w:jc w:val="both"/>
      </w:pPr>
      <w:r w:rsidRPr="002337D6">
        <w:t>2.</w:t>
      </w:r>
      <w:r w:rsidR="00F71C93">
        <w:t>3</w:t>
      </w:r>
      <w:r w:rsidRPr="002337D6">
        <w:t xml:space="preserve"> </w:t>
      </w:r>
      <w:r w:rsidR="004B74C0" w:rsidRPr="002337D6">
        <w:t xml:space="preserve">NICE’s decision not to assess </w:t>
      </w:r>
      <w:proofErr w:type="spellStart"/>
      <w:r w:rsidR="004B74C0" w:rsidRPr="002337D6">
        <w:t>brexu</w:t>
      </w:r>
      <w:proofErr w:type="spellEnd"/>
      <w:r w:rsidR="004B74C0" w:rsidRPr="002337D6">
        <w:t xml:space="preserve">-cel under the </w:t>
      </w:r>
      <w:r w:rsidR="00FB1571" w:rsidRPr="002337D6">
        <w:t xml:space="preserve">HST route was unreasonable as it was based on </w:t>
      </w:r>
      <w:r w:rsidR="007C7B66">
        <w:t>the</w:t>
      </w:r>
      <w:r w:rsidR="00FB1571" w:rsidRPr="002337D6">
        <w:t xml:space="preserve"> incorrect </w:t>
      </w:r>
      <w:r w:rsidR="007C7B66">
        <w:t>conclusion</w:t>
      </w:r>
      <w:r w:rsidR="00FB1571" w:rsidRPr="002337D6">
        <w:t xml:space="preserve"> that</w:t>
      </w:r>
      <w:r w:rsidR="002337D6" w:rsidRPr="002337D6">
        <w:t xml:space="preserve"> the routing criteria had not changed</w:t>
      </w:r>
    </w:p>
    <w:p w14:paraId="07611044" w14:textId="25DF47EE" w:rsidR="008944CC" w:rsidRPr="008944CC" w:rsidRDefault="008944CC" w:rsidP="008944CC">
      <w:pPr>
        <w:spacing w:before="240" w:after="240" w:line="276" w:lineRule="auto"/>
        <w:jc w:val="both"/>
        <w:rPr>
          <w:b/>
          <w:bCs/>
        </w:rPr>
      </w:pPr>
      <w:r w:rsidRPr="008944CC">
        <w:rPr>
          <w:b/>
          <w:bCs/>
        </w:rPr>
        <w:t>Introduction</w:t>
      </w:r>
    </w:p>
    <w:p w14:paraId="31B9A5B8" w14:textId="45F3D672" w:rsidR="008944CC" w:rsidRPr="008944CC" w:rsidRDefault="008944CC" w:rsidP="008944CC">
      <w:pPr>
        <w:spacing w:before="240" w:after="240" w:line="276" w:lineRule="auto"/>
        <w:jc w:val="both"/>
        <w:rPr>
          <w:bCs/>
        </w:rPr>
      </w:pPr>
      <w:r w:rsidRPr="008944CC">
        <w:rPr>
          <w:bCs/>
        </w:rPr>
        <w:t xml:space="preserve">We provide the below background information in relation to use of </w:t>
      </w:r>
      <w:proofErr w:type="spellStart"/>
      <w:r w:rsidRPr="008944CC">
        <w:rPr>
          <w:bCs/>
        </w:rPr>
        <w:t>brexu</w:t>
      </w:r>
      <w:proofErr w:type="spellEnd"/>
      <w:r w:rsidRPr="008944CC">
        <w:rPr>
          <w:bCs/>
        </w:rPr>
        <w:t xml:space="preserve">-cel for the treatment of relapsed or refractory </w:t>
      </w:r>
      <w:r w:rsidR="003241A5">
        <w:rPr>
          <w:bCs/>
        </w:rPr>
        <w:t xml:space="preserve">(R/R) </w:t>
      </w:r>
      <w:r w:rsidRPr="008944CC">
        <w:rPr>
          <w:bCs/>
        </w:rPr>
        <w:t xml:space="preserve">mantle cell lymphoma (“MCL”) </w:t>
      </w:r>
      <w:proofErr w:type="gramStart"/>
      <w:r w:rsidRPr="008944CC">
        <w:rPr>
          <w:bCs/>
        </w:rPr>
        <w:t>in order to</w:t>
      </w:r>
      <w:proofErr w:type="gramEnd"/>
      <w:r w:rsidRPr="008944CC">
        <w:rPr>
          <w:bCs/>
        </w:rPr>
        <w:t xml:space="preserve"> assist the Appeal Panel. This summary does not replace the more detailed information provided by Gilead in its original submission in February 2025 for the purposes of this appraisal. </w:t>
      </w:r>
    </w:p>
    <w:p w14:paraId="3A175358" w14:textId="77777777" w:rsidR="008944CC" w:rsidRPr="008944CC" w:rsidRDefault="008944CC" w:rsidP="008944CC">
      <w:pPr>
        <w:spacing w:before="240" w:after="240" w:line="276" w:lineRule="auto"/>
        <w:jc w:val="both"/>
      </w:pPr>
      <w:r w:rsidRPr="008944CC">
        <w:t xml:space="preserve">MCL is a rare form of non-Hodgkin’s lymphoma (“NHL”) that develops from accumulation of abnormal (malignantly transformed) B-cells in the mantle zone of lymph nodes and often presents at a late stage. In the UK, approximately 590 people are diagnosed with MCL each year, representing approximately 5% of all people diagnosed with NHL. </w:t>
      </w:r>
    </w:p>
    <w:p w14:paraId="2BE52618" w14:textId="77777777" w:rsidR="008944CC" w:rsidRDefault="008944CC" w:rsidP="008944CC">
      <w:pPr>
        <w:spacing w:before="240" w:after="240" w:line="276" w:lineRule="auto"/>
        <w:jc w:val="both"/>
      </w:pPr>
      <w:r w:rsidRPr="008944CC">
        <w:t>Unlike more common high-grade forms of NHL, MCL has generally been considered incurable. Most patients receive chemo-immunotherapy as an early line treatment, while at first relapse inhibitors of Bruton's Tyrosine Kinase (“BTKis”), which is essential for B-cell growth are the mainstay of treatment. The prognosis of patients failing on BTKis has traditionally been dismal due to the lack of effective further lines of therapy; MCL patients inevitably relapse, and each subsequent treatment line is associated with worsening prognosis.</w:t>
      </w:r>
    </w:p>
    <w:p w14:paraId="16FCF1E3" w14:textId="5F401CB0" w:rsidR="001870FA" w:rsidRPr="008944CC" w:rsidRDefault="001870FA" w:rsidP="008944CC">
      <w:pPr>
        <w:spacing w:before="240" w:after="240" w:line="276" w:lineRule="auto"/>
        <w:jc w:val="both"/>
      </w:pPr>
      <w:proofErr w:type="spellStart"/>
      <w:r>
        <w:t>Brexu</w:t>
      </w:r>
      <w:proofErr w:type="spellEnd"/>
      <w:r>
        <w:t>-cel</w:t>
      </w:r>
      <w:r w:rsidRPr="008944CC">
        <w:t xml:space="preserve"> is a chimeric antigen receptor (CAR) T-cell therapy directed against CD19 – a B-cell-specific cell surface antigen that is expressed in most B-cell malignancies, including MCL </w:t>
      </w:r>
      <w:proofErr w:type="spellStart"/>
      <w:r w:rsidRPr="008944CC">
        <w:t>Brexu</w:t>
      </w:r>
      <w:proofErr w:type="spellEnd"/>
      <w:r w:rsidRPr="008944CC">
        <w:t xml:space="preserve">-cel is manufactured from patients’ own T-cells, which are engineered </w:t>
      </w:r>
      <w:r w:rsidRPr="008944CC">
        <w:rPr>
          <w:i/>
          <w:iCs/>
        </w:rPr>
        <w:t>ex vivo</w:t>
      </w:r>
      <w:r w:rsidRPr="008944CC">
        <w:t xml:space="preserve"> to express the CD19 antigen-specific CAR, enabling them to target and kill the CD19-expressing tumour cells when they are returned to the patient.</w:t>
      </w:r>
    </w:p>
    <w:p w14:paraId="10F3395E" w14:textId="1AA70608" w:rsidR="008944CC" w:rsidRPr="00071AFF" w:rsidRDefault="008944CC" w:rsidP="003E2B69">
      <w:pPr>
        <w:pStyle w:val="StyleParagraph11pt"/>
      </w:pPr>
      <w:proofErr w:type="spellStart"/>
      <w:r w:rsidRPr="003E2B69">
        <w:rPr>
          <w:rFonts w:ascii="Proxima Nova" w:hAnsi="Proxima Nova"/>
        </w:rPr>
        <w:t>Brexu</w:t>
      </w:r>
      <w:proofErr w:type="spellEnd"/>
      <w:r w:rsidRPr="003E2B69">
        <w:rPr>
          <w:rFonts w:ascii="Proxima Nova" w:hAnsi="Proxima Nova"/>
        </w:rPr>
        <w:t>-cel was included in the Cancer drugs Fund (“CDF”) in January 2021 and has become the standard of care for relapsed or refractory MCL</w:t>
      </w:r>
      <w:r w:rsidR="007B01C1" w:rsidRPr="002116AA">
        <w:rPr>
          <w:rStyle w:val="EndnoteReference"/>
          <w:rFonts w:ascii="Proxima Nova" w:hAnsi="Proxima Nova"/>
        </w:rPr>
        <w:endnoteReference w:id="1"/>
      </w:r>
      <w:r w:rsidRPr="003E2B69">
        <w:rPr>
          <w:rFonts w:ascii="Proxima Nova" w:hAnsi="Proxima Nova"/>
        </w:rPr>
        <w:t xml:space="preserve">.  It is a critical, life-extending therapy for </w:t>
      </w:r>
      <w:r w:rsidRPr="003E2B69">
        <w:rPr>
          <w:rFonts w:ascii="Proxima Nova" w:hAnsi="Proxima Nova"/>
        </w:rPr>
        <w:lastRenderedPageBreak/>
        <w:t>patients with aggressive MCL who have exhausted other options. delivering meaningful clinical benefit and offering durable responses in a population with historically poor outcomes (39% of people alive at 5 years and median overall survival (OS) of 46.5 months</w:t>
      </w:r>
      <w:r w:rsidRPr="002116AA">
        <w:rPr>
          <w:rFonts w:ascii="Proxima Nova" w:hAnsi="Proxima Nova"/>
          <w:vertAlign w:val="superscript"/>
        </w:rPr>
        <w:endnoteReference w:id="2"/>
      </w:r>
      <w:r w:rsidRPr="003E2B69">
        <w:rPr>
          <w:rFonts w:ascii="Proxima Nova" w:hAnsi="Proxima Nova"/>
        </w:rPr>
        <w:t xml:space="preserve"> vs estimated &lt;10% of patients alive at 5 years and median OS between 5.8 and 12.5 months for standard comparator). </w:t>
      </w:r>
      <w:r w:rsidR="008733D7" w:rsidRPr="003E2B69">
        <w:rPr>
          <w:rFonts w:ascii="Proxima Nova" w:hAnsi="Proxima Nova"/>
        </w:rPr>
        <w:t xml:space="preserve">Despite this compelling clinical evidence, NICE has assessed that </w:t>
      </w:r>
      <w:proofErr w:type="spellStart"/>
      <w:r w:rsidR="008733D7" w:rsidRPr="003E2B69">
        <w:rPr>
          <w:rFonts w:ascii="Proxima Nova" w:hAnsi="Proxima Nova"/>
        </w:rPr>
        <w:t>brexu</w:t>
      </w:r>
      <w:proofErr w:type="spellEnd"/>
      <w:r w:rsidR="008733D7" w:rsidRPr="003E2B69">
        <w:rPr>
          <w:rFonts w:ascii="Proxima Nova" w:hAnsi="Proxima Nova"/>
        </w:rPr>
        <w:t>-cel would not even be considered cost-effective for routine commissioning at a discount level over 100%.</w:t>
      </w:r>
    </w:p>
    <w:p w14:paraId="5DEC8C09" w14:textId="16BC592C" w:rsidR="008944CC" w:rsidRPr="008944CC" w:rsidRDefault="008944CC" w:rsidP="008944CC">
      <w:pPr>
        <w:spacing w:before="240" w:after="240" w:line="276" w:lineRule="auto"/>
        <w:jc w:val="both"/>
        <w:rPr>
          <w:b/>
          <w:u w:val="single"/>
        </w:rPr>
      </w:pPr>
      <w:r w:rsidRPr="008944CC">
        <w:rPr>
          <w:b/>
          <w:u w:val="single"/>
        </w:rPr>
        <w:t>Procedural History</w:t>
      </w:r>
    </w:p>
    <w:tbl>
      <w:tblPr>
        <w:tblStyle w:val="TableGrid"/>
        <w:tblW w:w="0" w:type="auto"/>
        <w:tblLook w:val="04A0" w:firstRow="1" w:lastRow="0" w:firstColumn="1" w:lastColumn="0" w:noHBand="0" w:noVBand="1"/>
      </w:tblPr>
      <w:tblGrid>
        <w:gridCol w:w="4469"/>
        <w:gridCol w:w="4547"/>
      </w:tblGrid>
      <w:tr w:rsidR="008944CC" w:rsidRPr="008944CC" w14:paraId="1AF4C906" w14:textId="77777777" w:rsidTr="003E2B69">
        <w:tc>
          <w:tcPr>
            <w:tcW w:w="446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6C51AA5" w14:textId="77777777" w:rsidR="008944CC" w:rsidRPr="008944CC" w:rsidRDefault="008944CC" w:rsidP="003E2B69">
            <w:pPr>
              <w:spacing w:before="120" w:after="120" w:line="276" w:lineRule="auto"/>
              <w:jc w:val="both"/>
              <w:rPr>
                <w:b/>
                <w:bCs/>
              </w:rPr>
            </w:pPr>
            <w:r w:rsidRPr="008944CC">
              <w:rPr>
                <w:b/>
                <w:bCs/>
              </w:rPr>
              <w:t>Date</w:t>
            </w:r>
          </w:p>
        </w:tc>
        <w:tc>
          <w:tcPr>
            <w:tcW w:w="454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29C22ED" w14:textId="77777777" w:rsidR="008944CC" w:rsidRPr="008944CC" w:rsidRDefault="008944CC" w:rsidP="003E2B69">
            <w:pPr>
              <w:spacing w:before="120" w:after="120" w:line="276" w:lineRule="auto"/>
              <w:jc w:val="both"/>
              <w:rPr>
                <w:b/>
                <w:bCs/>
              </w:rPr>
            </w:pPr>
            <w:r w:rsidRPr="008944CC">
              <w:rPr>
                <w:b/>
                <w:bCs/>
              </w:rPr>
              <w:t>Event</w:t>
            </w:r>
          </w:p>
        </w:tc>
      </w:tr>
      <w:tr w:rsidR="008944CC" w:rsidRPr="008944CC" w14:paraId="576FC184" w14:textId="77777777" w:rsidTr="003E2B69">
        <w:tc>
          <w:tcPr>
            <w:tcW w:w="4469" w:type="dxa"/>
            <w:tcBorders>
              <w:top w:val="single" w:sz="4" w:space="0" w:color="auto"/>
              <w:left w:val="single" w:sz="4" w:space="0" w:color="auto"/>
              <w:bottom w:val="single" w:sz="4" w:space="0" w:color="auto"/>
              <w:right w:val="single" w:sz="4" w:space="0" w:color="auto"/>
            </w:tcBorders>
            <w:hideMark/>
          </w:tcPr>
          <w:p w14:paraId="3BD0A660" w14:textId="77777777" w:rsidR="008944CC" w:rsidRPr="008944CC" w:rsidRDefault="008944CC" w:rsidP="003E2B69">
            <w:pPr>
              <w:spacing w:before="120" w:after="120" w:line="276" w:lineRule="auto"/>
              <w:jc w:val="both"/>
            </w:pPr>
            <w:r w:rsidRPr="008944CC">
              <w:t>14 December 2020</w:t>
            </w:r>
          </w:p>
        </w:tc>
        <w:tc>
          <w:tcPr>
            <w:tcW w:w="4547" w:type="dxa"/>
            <w:tcBorders>
              <w:top w:val="single" w:sz="4" w:space="0" w:color="auto"/>
              <w:left w:val="single" w:sz="4" w:space="0" w:color="auto"/>
              <w:bottom w:val="single" w:sz="4" w:space="0" w:color="auto"/>
              <w:right w:val="single" w:sz="4" w:space="0" w:color="auto"/>
            </w:tcBorders>
            <w:hideMark/>
          </w:tcPr>
          <w:p w14:paraId="4E8B7762" w14:textId="789223A4" w:rsidR="008944CC" w:rsidRPr="008944CC" w:rsidRDefault="008944CC" w:rsidP="003E2B69">
            <w:pPr>
              <w:spacing w:before="120" w:after="120" w:line="276" w:lineRule="auto"/>
              <w:jc w:val="both"/>
            </w:pPr>
            <w:r w:rsidRPr="008944CC">
              <w:t xml:space="preserve">Grant of </w:t>
            </w:r>
            <w:r w:rsidR="003D007B">
              <w:t xml:space="preserve">EU </w:t>
            </w:r>
            <w:r w:rsidRPr="008944CC">
              <w:t xml:space="preserve">marketing </w:t>
            </w:r>
            <w:r w:rsidR="00514574">
              <w:t>authorization (MA)</w:t>
            </w:r>
          </w:p>
        </w:tc>
      </w:tr>
      <w:tr w:rsidR="008E0278" w:rsidRPr="008944CC" w14:paraId="00682DB3" w14:textId="77777777" w:rsidTr="003E2B69">
        <w:tc>
          <w:tcPr>
            <w:tcW w:w="4469" w:type="dxa"/>
            <w:tcBorders>
              <w:top w:val="single" w:sz="4" w:space="0" w:color="auto"/>
              <w:left w:val="single" w:sz="4" w:space="0" w:color="auto"/>
              <w:bottom w:val="single" w:sz="4" w:space="0" w:color="auto"/>
              <w:right w:val="single" w:sz="4" w:space="0" w:color="auto"/>
            </w:tcBorders>
          </w:tcPr>
          <w:p w14:paraId="6514FE4F" w14:textId="2FC51BB5" w:rsidR="008E0278" w:rsidRPr="008944CC" w:rsidRDefault="00514574" w:rsidP="003E2B69">
            <w:pPr>
              <w:spacing w:before="120" w:after="120" w:line="276" w:lineRule="auto"/>
              <w:jc w:val="both"/>
            </w:pPr>
            <w:r>
              <w:t>1 January 2021</w:t>
            </w:r>
          </w:p>
        </w:tc>
        <w:tc>
          <w:tcPr>
            <w:tcW w:w="4547" w:type="dxa"/>
            <w:tcBorders>
              <w:top w:val="single" w:sz="4" w:space="0" w:color="auto"/>
              <w:left w:val="single" w:sz="4" w:space="0" w:color="auto"/>
              <w:bottom w:val="single" w:sz="4" w:space="0" w:color="auto"/>
              <w:right w:val="single" w:sz="4" w:space="0" w:color="auto"/>
            </w:tcBorders>
          </w:tcPr>
          <w:p w14:paraId="716D1269" w14:textId="50E02B9C" w:rsidR="008E0278" w:rsidRPr="008944CC" w:rsidRDefault="003B3320" w:rsidP="003E2B69">
            <w:pPr>
              <w:spacing w:before="120" w:after="120" w:line="276" w:lineRule="auto"/>
              <w:jc w:val="both"/>
            </w:pPr>
            <w:r w:rsidRPr="003B3320">
              <w:rPr>
                <w:lang w:val="en-GB"/>
              </w:rPr>
              <w:t xml:space="preserve">EU </w:t>
            </w:r>
            <w:r w:rsidR="00514574">
              <w:rPr>
                <w:lang w:val="en-GB"/>
              </w:rPr>
              <w:t>MA</w:t>
            </w:r>
            <w:r w:rsidRPr="003B3320">
              <w:rPr>
                <w:lang w:val="en-GB"/>
              </w:rPr>
              <w:t xml:space="preserve"> was grandfathered/duplicated into a UK </w:t>
            </w:r>
            <w:r w:rsidR="00514574">
              <w:rPr>
                <w:lang w:val="en-GB"/>
              </w:rPr>
              <w:t>MA</w:t>
            </w:r>
          </w:p>
        </w:tc>
      </w:tr>
      <w:tr w:rsidR="008944CC" w:rsidRPr="008944CC" w14:paraId="1157220D" w14:textId="77777777" w:rsidTr="003E2B69">
        <w:tc>
          <w:tcPr>
            <w:tcW w:w="4469" w:type="dxa"/>
            <w:tcBorders>
              <w:top w:val="single" w:sz="4" w:space="0" w:color="auto"/>
              <w:left w:val="single" w:sz="4" w:space="0" w:color="auto"/>
              <w:bottom w:val="single" w:sz="4" w:space="0" w:color="auto"/>
              <w:right w:val="single" w:sz="4" w:space="0" w:color="auto"/>
            </w:tcBorders>
            <w:hideMark/>
          </w:tcPr>
          <w:p w14:paraId="755FD9C3" w14:textId="4987169B" w:rsidR="008944CC" w:rsidRPr="008944CC" w:rsidRDefault="00DF3DF9" w:rsidP="003E2B69">
            <w:pPr>
              <w:spacing w:before="120" w:after="120" w:line="276" w:lineRule="auto"/>
              <w:jc w:val="both"/>
            </w:pPr>
            <w:r>
              <w:t xml:space="preserve">21 </w:t>
            </w:r>
            <w:r w:rsidR="008944CC" w:rsidRPr="008944CC">
              <w:t>January 2021</w:t>
            </w:r>
          </w:p>
        </w:tc>
        <w:tc>
          <w:tcPr>
            <w:tcW w:w="4547" w:type="dxa"/>
            <w:tcBorders>
              <w:top w:val="single" w:sz="4" w:space="0" w:color="auto"/>
              <w:left w:val="single" w:sz="4" w:space="0" w:color="auto"/>
              <w:bottom w:val="single" w:sz="4" w:space="0" w:color="auto"/>
              <w:right w:val="single" w:sz="4" w:space="0" w:color="auto"/>
            </w:tcBorders>
            <w:hideMark/>
          </w:tcPr>
          <w:p w14:paraId="793214DC" w14:textId="7FB4E1C8" w:rsidR="008944CC" w:rsidRPr="008944CC" w:rsidRDefault="008944CC" w:rsidP="003E2B69">
            <w:pPr>
              <w:spacing w:before="120" w:after="120" w:line="276" w:lineRule="auto"/>
              <w:jc w:val="both"/>
            </w:pPr>
            <w:proofErr w:type="spellStart"/>
            <w:r w:rsidRPr="008944CC">
              <w:t>Brexu</w:t>
            </w:r>
            <w:proofErr w:type="spellEnd"/>
            <w:r w:rsidRPr="008944CC">
              <w:t xml:space="preserve">-cel </w:t>
            </w:r>
            <w:r w:rsidR="007D1780">
              <w:t xml:space="preserve">for R/R MCL </w:t>
            </w:r>
            <w:r w:rsidRPr="008944CC">
              <w:t>enters the CDF</w:t>
            </w:r>
          </w:p>
        </w:tc>
      </w:tr>
      <w:tr w:rsidR="008944CC" w:rsidRPr="008944CC" w14:paraId="54C3CB8D" w14:textId="77777777" w:rsidTr="003E2B69">
        <w:tc>
          <w:tcPr>
            <w:tcW w:w="4469" w:type="dxa"/>
            <w:tcBorders>
              <w:top w:val="single" w:sz="4" w:space="0" w:color="auto"/>
              <w:left w:val="single" w:sz="4" w:space="0" w:color="auto"/>
              <w:bottom w:val="single" w:sz="4" w:space="0" w:color="auto"/>
              <w:right w:val="single" w:sz="4" w:space="0" w:color="auto"/>
            </w:tcBorders>
            <w:hideMark/>
          </w:tcPr>
          <w:p w14:paraId="56C21660" w14:textId="77777777" w:rsidR="008944CC" w:rsidRPr="008944CC" w:rsidRDefault="008944CC" w:rsidP="003E2B69">
            <w:pPr>
              <w:spacing w:before="120" w:after="120" w:line="276" w:lineRule="auto"/>
              <w:jc w:val="both"/>
            </w:pPr>
            <w:r w:rsidRPr="008944CC">
              <w:t>24 February 2021</w:t>
            </w:r>
          </w:p>
        </w:tc>
        <w:tc>
          <w:tcPr>
            <w:tcW w:w="4547" w:type="dxa"/>
            <w:tcBorders>
              <w:top w:val="single" w:sz="4" w:space="0" w:color="auto"/>
              <w:left w:val="single" w:sz="4" w:space="0" w:color="auto"/>
              <w:bottom w:val="single" w:sz="4" w:space="0" w:color="auto"/>
              <w:right w:val="single" w:sz="4" w:space="0" w:color="auto"/>
            </w:tcBorders>
            <w:hideMark/>
          </w:tcPr>
          <w:p w14:paraId="6EE14FEB" w14:textId="77777777" w:rsidR="008944CC" w:rsidRPr="008944CC" w:rsidRDefault="008944CC" w:rsidP="003E2B69">
            <w:pPr>
              <w:spacing w:before="120" w:after="120" w:line="276" w:lineRule="auto"/>
              <w:jc w:val="both"/>
            </w:pPr>
            <w:r w:rsidRPr="008944CC">
              <w:t xml:space="preserve">Publication of TA677 recommending </w:t>
            </w:r>
            <w:proofErr w:type="spellStart"/>
            <w:r w:rsidRPr="008944CC">
              <w:t>brexu</w:t>
            </w:r>
            <w:proofErr w:type="spellEnd"/>
            <w:r w:rsidRPr="008944CC">
              <w:t>-cel for use within the CDF</w:t>
            </w:r>
          </w:p>
        </w:tc>
      </w:tr>
      <w:tr w:rsidR="008944CC" w:rsidRPr="008944CC" w14:paraId="61495E6A" w14:textId="77777777" w:rsidTr="003E2B69">
        <w:tc>
          <w:tcPr>
            <w:tcW w:w="4469" w:type="dxa"/>
            <w:tcBorders>
              <w:top w:val="single" w:sz="4" w:space="0" w:color="auto"/>
              <w:left w:val="single" w:sz="4" w:space="0" w:color="auto"/>
              <w:bottom w:val="single" w:sz="4" w:space="0" w:color="auto"/>
              <w:right w:val="single" w:sz="4" w:space="0" w:color="auto"/>
            </w:tcBorders>
            <w:hideMark/>
          </w:tcPr>
          <w:p w14:paraId="7664D0B0" w14:textId="77777777" w:rsidR="008944CC" w:rsidRPr="008944CC" w:rsidRDefault="008944CC" w:rsidP="003E2B69">
            <w:pPr>
              <w:spacing w:before="120" w:after="120" w:line="276" w:lineRule="auto"/>
              <w:jc w:val="both"/>
            </w:pPr>
            <w:r w:rsidRPr="008944CC">
              <w:t>6 December 2024</w:t>
            </w:r>
          </w:p>
        </w:tc>
        <w:tc>
          <w:tcPr>
            <w:tcW w:w="4547" w:type="dxa"/>
            <w:tcBorders>
              <w:top w:val="single" w:sz="4" w:space="0" w:color="auto"/>
              <w:left w:val="single" w:sz="4" w:space="0" w:color="auto"/>
              <w:bottom w:val="single" w:sz="4" w:space="0" w:color="auto"/>
              <w:right w:val="single" w:sz="4" w:space="0" w:color="auto"/>
            </w:tcBorders>
            <w:hideMark/>
          </w:tcPr>
          <w:p w14:paraId="14A6E26E" w14:textId="77777777" w:rsidR="008944CC" w:rsidRPr="008944CC" w:rsidRDefault="008944CC" w:rsidP="003E2B69">
            <w:pPr>
              <w:spacing w:before="120" w:after="120" w:line="276" w:lineRule="auto"/>
              <w:jc w:val="both"/>
            </w:pPr>
            <w:r w:rsidRPr="008944CC">
              <w:t>Invitation to participate in appraisal (review on exit from CDF)</w:t>
            </w:r>
          </w:p>
        </w:tc>
      </w:tr>
      <w:tr w:rsidR="008944CC" w:rsidRPr="008944CC" w14:paraId="60C2E390" w14:textId="77777777" w:rsidTr="003E2B69">
        <w:tc>
          <w:tcPr>
            <w:tcW w:w="4469" w:type="dxa"/>
            <w:tcBorders>
              <w:top w:val="single" w:sz="4" w:space="0" w:color="auto"/>
              <w:left w:val="single" w:sz="4" w:space="0" w:color="auto"/>
              <w:bottom w:val="single" w:sz="4" w:space="0" w:color="auto"/>
              <w:right w:val="single" w:sz="4" w:space="0" w:color="auto"/>
            </w:tcBorders>
            <w:hideMark/>
          </w:tcPr>
          <w:p w14:paraId="56B7FB26" w14:textId="6CD8B979" w:rsidR="008944CC" w:rsidRPr="008944CC" w:rsidRDefault="00FE22B6" w:rsidP="003E2B69">
            <w:pPr>
              <w:spacing w:before="120" w:after="120" w:line="276" w:lineRule="auto"/>
              <w:jc w:val="both"/>
            </w:pPr>
            <w:r>
              <w:t>6</w:t>
            </w:r>
            <w:r w:rsidR="008944CC" w:rsidRPr="008944CC">
              <w:t xml:space="preserve"> December 2024</w:t>
            </w:r>
          </w:p>
        </w:tc>
        <w:tc>
          <w:tcPr>
            <w:tcW w:w="4547" w:type="dxa"/>
            <w:tcBorders>
              <w:top w:val="single" w:sz="4" w:space="0" w:color="auto"/>
              <w:left w:val="single" w:sz="4" w:space="0" w:color="auto"/>
              <w:bottom w:val="single" w:sz="4" w:space="0" w:color="auto"/>
              <w:right w:val="single" w:sz="4" w:space="0" w:color="auto"/>
            </w:tcBorders>
            <w:hideMark/>
          </w:tcPr>
          <w:p w14:paraId="6B2AB732" w14:textId="77777777" w:rsidR="008944CC" w:rsidRPr="008944CC" w:rsidRDefault="008944CC" w:rsidP="003E2B69">
            <w:pPr>
              <w:spacing w:before="120" w:after="120" w:line="276" w:lineRule="auto"/>
              <w:jc w:val="both"/>
            </w:pPr>
            <w:r w:rsidRPr="008944CC">
              <w:t>Final Scope for appraisal</w:t>
            </w:r>
          </w:p>
        </w:tc>
      </w:tr>
      <w:tr w:rsidR="008944CC" w:rsidRPr="008944CC" w14:paraId="3D885F6E" w14:textId="77777777" w:rsidTr="003E2B69">
        <w:tc>
          <w:tcPr>
            <w:tcW w:w="4469" w:type="dxa"/>
            <w:tcBorders>
              <w:top w:val="single" w:sz="4" w:space="0" w:color="auto"/>
              <w:left w:val="single" w:sz="4" w:space="0" w:color="auto"/>
              <w:bottom w:val="single" w:sz="4" w:space="0" w:color="auto"/>
              <w:right w:val="single" w:sz="4" w:space="0" w:color="auto"/>
            </w:tcBorders>
            <w:hideMark/>
          </w:tcPr>
          <w:p w14:paraId="2FA0E275" w14:textId="7B9917A3" w:rsidR="008944CC" w:rsidRPr="008944CC" w:rsidRDefault="00306568" w:rsidP="003E2B69">
            <w:pPr>
              <w:spacing w:before="120" w:after="120" w:line="276" w:lineRule="auto"/>
              <w:jc w:val="both"/>
            </w:pPr>
            <w:r>
              <w:t>1</w:t>
            </w:r>
            <w:r w:rsidR="00EA5617">
              <w:t>3</w:t>
            </w:r>
            <w:r>
              <w:t xml:space="preserve"> </w:t>
            </w:r>
            <w:r w:rsidR="008944CC" w:rsidRPr="008944CC">
              <w:t>February 2025</w:t>
            </w:r>
          </w:p>
        </w:tc>
        <w:tc>
          <w:tcPr>
            <w:tcW w:w="4547" w:type="dxa"/>
            <w:tcBorders>
              <w:top w:val="single" w:sz="4" w:space="0" w:color="auto"/>
              <w:left w:val="single" w:sz="4" w:space="0" w:color="auto"/>
              <w:bottom w:val="single" w:sz="4" w:space="0" w:color="auto"/>
              <w:right w:val="single" w:sz="4" w:space="0" w:color="auto"/>
            </w:tcBorders>
            <w:hideMark/>
          </w:tcPr>
          <w:p w14:paraId="4A1C5F7F" w14:textId="77777777" w:rsidR="008944CC" w:rsidRPr="008944CC" w:rsidRDefault="008944CC" w:rsidP="003E2B69">
            <w:pPr>
              <w:spacing w:before="120" w:after="120" w:line="276" w:lineRule="auto"/>
              <w:jc w:val="both"/>
            </w:pPr>
            <w:r w:rsidRPr="008944CC">
              <w:t>Gilead company submission to NICE for the purposes of appraisal</w:t>
            </w:r>
          </w:p>
        </w:tc>
      </w:tr>
      <w:tr w:rsidR="008944CC" w:rsidRPr="008944CC" w14:paraId="16B9557B" w14:textId="77777777" w:rsidTr="003E2B69">
        <w:tc>
          <w:tcPr>
            <w:tcW w:w="4469" w:type="dxa"/>
            <w:tcBorders>
              <w:top w:val="single" w:sz="4" w:space="0" w:color="auto"/>
              <w:left w:val="single" w:sz="4" w:space="0" w:color="auto"/>
              <w:bottom w:val="single" w:sz="4" w:space="0" w:color="auto"/>
              <w:right w:val="single" w:sz="4" w:space="0" w:color="auto"/>
            </w:tcBorders>
            <w:hideMark/>
          </w:tcPr>
          <w:p w14:paraId="33C1E610" w14:textId="51505476" w:rsidR="008944CC" w:rsidRPr="008944CC" w:rsidRDefault="003C0E98" w:rsidP="003E2B69">
            <w:pPr>
              <w:spacing w:before="120" w:after="120" w:line="276" w:lineRule="auto"/>
              <w:jc w:val="both"/>
            </w:pPr>
            <w:r>
              <w:t>24</w:t>
            </w:r>
            <w:r w:rsidR="008944CC" w:rsidRPr="008944CC">
              <w:t xml:space="preserve"> April 2025</w:t>
            </w:r>
          </w:p>
        </w:tc>
        <w:tc>
          <w:tcPr>
            <w:tcW w:w="4547" w:type="dxa"/>
            <w:tcBorders>
              <w:top w:val="single" w:sz="4" w:space="0" w:color="auto"/>
              <w:left w:val="single" w:sz="4" w:space="0" w:color="auto"/>
              <w:bottom w:val="single" w:sz="4" w:space="0" w:color="auto"/>
              <w:right w:val="single" w:sz="4" w:space="0" w:color="auto"/>
            </w:tcBorders>
            <w:hideMark/>
          </w:tcPr>
          <w:p w14:paraId="30A3CB41" w14:textId="77777777" w:rsidR="008944CC" w:rsidRPr="008944CC" w:rsidRDefault="008944CC" w:rsidP="003E2B69">
            <w:pPr>
              <w:spacing w:before="120" w:after="120" w:line="276" w:lineRule="auto"/>
              <w:jc w:val="both"/>
            </w:pPr>
            <w:r w:rsidRPr="008944CC">
              <w:t>External Assessment Group (EAG) Report prepared by Birmingham Centre for Evidence and Implementation Science</w:t>
            </w:r>
          </w:p>
        </w:tc>
      </w:tr>
      <w:tr w:rsidR="008944CC" w:rsidRPr="008944CC" w14:paraId="1A12793C" w14:textId="77777777" w:rsidTr="003E2B69">
        <w:tc>
          <w:tcPr>
            <w:tcW w:w="4469" w:type="dxa"/>
            <w:tcBorders>
              <w:top w:val="single" w:sz="4" w:space="0" w:color="auto"/>
              <w:left w:val="single" w:sz="4" w:space="0" w:color="auto"/>
              <w:bottom w:val="single" w:sz="4" w:space="0" w:color="auto"/>
              <w:right w:val="single" w:sz="4" w:space="0" w:color="auto"/>
            </w:tcBorders>
            <w:hideMark/>
          </w:tcPr>
          <w:p w14:paraId="5F11137E" w14:textId="77777777" w:rsidR="008944CC" w:rsidRPr="008944CC" w:rsidRDefault="008944CC" w:rsidP="003E2B69">
            <w:pPr>
              <w:spacing w:before="120" w:after="120" w:line="276" w:lineRule="auto"/>
              <w:jc w:val="both"/>
            </w:pPr>
            <w:r w:rsidRPr="008944CC">
              <w:t>1 July 2025</w:t>
            </w:r>
          </w:p>
        </w:tc>
        <w:tc>
          <w:tcPr>
            <w:tcW w:w="4547" w:type="dxa"/>
            <w:tcBorders>
              <w:top w:val="single" w:sz="4" w:space="0" w:color="auto"/>
              <w:left w:val="single" w:sz="4" w:space="0" w:color="auto"/>
              <w:bottom w:val="single" w:sz="4" w:space="0" w:color="auto"/>
              <w:right w:val="single" w:sz="4" w:space="0" w:color="auto"/>
            </w:tcBorders>
            <w:hideMark/>
          </w:tcPr>
          <w:p w14:paraId="2D25B160" w14:textId="77777777" w:rsidR="008944CC" w:rsidRPr="008944CC" w:rsidRDefault="008944CC" w:rsidP="003E2B69">
            <w:pPr>
              <w:spacing w:before="120" w:after="120" w:line="276" w:lineRule="auto"/>
              <w:jc w:val="both"/>
            </w:pPr>
            <w:r w:rsidRPr="008944CC">
              <w:t>First meeting of the Appraisal Committee (ACM1)</w:t>
            </w:r>
          </w:p>
        </w:tc>
      </w:tr>
      <w:tr w:rsidR="008944CC" w:rsidRPr="008944CC" w14:paraId="61C50922" w14:textId="77777777" w:rsidTr="003E2B69">
        <w:tc>
          <w:tcPr>
            <w:tcW w:w="4469" w:type="dxa"/>
            <w:tcBorders>
              <w:top w:val="single" w:sz="4" w:space="0" w:color="auto"/>
              <w:left w:val="single" w:sz="4" w:space="0" w:color="auto"/>
              <w:bottom w:val="single" w:sz="4" w:space="0" w:color="auto"/>
              <w:right w:val="single" w:sz="4" w:space="0" w:color="auto"/>
            </w:tcBorders>
            <w:hideMark/>
          </w:tcPr>
          <w:p w14:paraId="670648EB" w14:textId="77777777" w:rsidR="008944CC" w:rsidRPr="008944CC" w:rsidRDefault="008944CC" w:rsidP="003E2B69">
            <w:pPr>
              <w:spacing w:before="120" w:after="120" w:line="276" w:lineRule="auto"/>
              <w:jc w:val="both"/>
            </w:pPr>
            <w:r w:rsidRPr="008944CC">
              <w:t>23 July – 13 August 2025</w:t>
            </w:r>
          </w:p>
        </w:tc>
        <w:tc>
          <w:tcPr>
            <w:tcW w:w="4547" w:type="dxa"/>
            <w:tcBorders>
              <w:top w:val="single" w:sz="4" w:space="0" w:color="auto"/>
              <w:left w:val="single" w:sz="4" w:space="0" w:color="auto"/>
              <w:bottom w:val="single" w:sz="4" w:space="0" w:color="auto"/>
              <w:right w:val="single" w:sz="4" w:space="0" w:color="auto"/>
            </w:tcBorders>
            <w:hideMark/>
          </w:tcPr>
          <w:p w14:paraId="77285801" w14:textId="77777777" w:rsidR="008944CC" w:rsidRPr="008944CC" w:rsidRDefault="008944CC" w:rsidP="003E2B69">
            <w:pPr>
              <w:spacing w:before="120" w:after="120" w:line="276" w:lineRule="auto"/>
              <w:jc w:val="both"/>
            </w:pPr>
            <w:r w:rsidRPr="008944CC">
              <w:t>Consultation on Draft Guidance</w:t>
            </w:r>
          </w:p>
        </w:tc>
      </w:tr>
      <w:tr w:rsidR="008944CC" w:rsidRPr="008944CC" w14:paraId="7B6FEC54" w14:textId="77777777" w:rsidTr="003E2B69">
        <w:tc>
          <w:tcPr>
            <w:tcW w:w="4469" w:type="dxa"/>
            <w:tcBorders>
              <w:top w:val="single" w:sz="4" w:space="0" w:color="auto"/>
              <w:left w:val="single" w:sz="4" w:space="0" w:color="auto"/>
              <w:bottom w:val="single" w:sz="4" w:space="0" w:color="auto"/>
              <w:right w:val="single" w:sz="4" w:space="0" w:color="auto"/>
            </w:tcBorders>
            <w:hideMark/>
          </w:tcPr>
          <w:p w14:paraId="5EFC5768" w14:textId="77777777" w:rsidR="008944CC" w:rsidRPr="008944CC" w:rsidRDefault="008944CC" w:rsidP="003E2B69">
            <w:pPr>
              <w:spacing w:before="120" w:after="120" w:line="276" w:lineRule="auto"/>
              <w:jc w:val="both"/>
            </w:pPr>
            <w:r w:rsidRPr="008944CC">
              <w:t>13 August 2025</w:t>
            </w:r>
          </w:p>
        </w:tc>
        <w:tc>
          <w:tcPr>
            <w:tcW w:w="4547" w:type="dxa"/>
            <w:tcBorders>
              <w:top w:val="single" w:sz="4" w:space="0" w:color="auto"/>
              <w:left w:val="single" w:sz="4" w:space="0" w:color="auto"/>
              <w:bottom w:val="single" w:sz="4" w:space="0" w:color="auto"/>
              <w:right w:val="single" w:sz="4" w:space="0" w:color="auto"/>
            </w:tcBorders>
            <w:hideMark/>
          </w:tcPr>
          <w:p w14:paraId="11B22CDE" w14:textId="77777777" w:rsidR="008944CC" w:rsidRPr="008944CC" w:rsidRDefault="008944CC" w:rsidP="003E2B69">
            <w:pPr>
              <w:spacing w:before="120" w:after="120" w:line="276" w:lineRule="auto"/>
              <w:jc w:val="both"/>
            </w:pPr>
            <w:r w:rsidRPr="008944CC">
              <w:t>Gilead submits response to Draft Guidance</w:t>
            </w:r>
          </w:p>
        </w:tc>
      </w:tr>
      <w:tr w:rsidR="008944CC" w:rsidRPr="008944CC" w14:paraId="157B2AE2" w14:textId="77777777" w:rsidTr="003E2B69">
        <w:tc>
          <w:tcPr>
            <w:tcW w:w="4469" w:type="dxa"/>
            <w:tcBorders>
              <w:top w:val="single" w:sz="4" w:space="0" w:color="auto"/>
              <w:left w:val="single" w:sz="4" w:space="0" w:color="auto"/>
              <w:bottom w:val="single" w:sz="4" w:space="0" w:color="auto"/>
              <w:right w:val="single" w:sz="4" w:space="0" w:color="auto"/>
            </w:tcBorders>
            <w:hideMark/>
          </w:tcPr>
          <w:p w14:paraId="0FCA4EC0" w14:textId="77777777" w:rsidR="008944CC" w:rsidRPr="008944CC" w:rsidRDefault="008944CC" w:rsidP="003E2B69">
            <w:pPr>
              <w:spacing w:before="120" w:after="120" w:line="276" w:lineRule="auto"/>
              <w:jc w:val="both"/>
            </w:pPr>
            <w:r w:rsidRPr="008944CC">
              <w:t>27 August 2025</w:t>
            </w:r>
          </w:p>
        </w:tc>
        <w:tc>
          <w:tcPr>
            <w:tcW w:w="4547" w:type="dxa"/>
            <w:tcBorders>
              <w:top w:val="single" w:sz="4" w:space="0" w:color="auto"/>
              <w:left w:val="single" w:sz="4" w:space="0" w:color="auto"/>
              <w:bottom w:val="single" w:sz="4" w:space="0" w:color="auto"/>
              <w:right w:val="single" w:sz="4" w:space="0" w:color="auto"/>
            </w:tcBorders>
            <w:hideMark/>
          </w:tcPr>
          <w:p w14:paraId="5F3BD585" w14:textId="77777777" w:rsidR="008944CC" w:rsidRPr="008944CC" w:rsidRDefault="008944CC" w:rsidP="003E2B69">
            <w:pPr>
              <w:spacing w:before="120" w:after="120" w:line="276" w:lineRule="auto"/>
              <w:jc w:val="both"/>
            </w:pPr>
            <w:r w:rsidRPr="008944CC">
              <w:t xml:space="preserve">NICE discloses </w:t>
            </w:r>
            <w:proofErr w:type="spellStart"/>
            <w:r w:rsidRPr="008944CC">
              <w:t>Blueteq</w:t>
            </w:r>
            <w:proofErr w:type="spellEnd"/>
            <w:r w:rsidRPr="008944CC">
              <w:t xml:space="preserve"> data provided by NHSE to Gilead</w:t>
            </w:r>
          </w:p>
        </w:tc>
      </w:tr>
      <w:tr w:rsidR="008944CC" w:rsidRPr="008944CC" w14:paraId="118F7E0C" w14:textId="77777777" w:rsidTr="003E2B69">
        <w:tc>
          <w:tcPr>
            <w:tcW w:w="4469" w:type="dxa"/>
            <w:tcBorders>
              <w:top w:val="single" w:sz="4" w:space="0" w:color="auto"/>
              <w:left w:val="single" w:sz="4" w:space="0" w:color="auto"/>
              <w:bottom w:val="single" w:sz="4" w:space="0" w:color="auto"/>
              <w:right w:val="single" w:sz="4" w:space="0" w:color="auto"/>
            </w:tcBorders>
            <w:hideMark/>
          </w:tcPr>
          <w:p w14:paraId="3128D23B" w14:textId="77777777" w:rsidR="008944CC" w:rsidRPr="008944CC" w:rsidRDefault="008944CC" w:rsidP="003E2B69">
            <w:pPr>
              <w:spacing w:before="120" w:after="120" w:line="276" w:lineRule="auto"/>
              <w:jc w:val="both"/>
            </w:pPr>
            <w:r w:rsidRPr="008944CC">
              <w:t>2 September 2025</w:t>
            </w:r>
          </w:p>
        </w:tc>
        <w:tc>
          <w:tcPr>
            <w:tcW w:w="4547" w:type="dxa"/>
            <w:tcBorders>
              <w:top w:val="single" w:sz="4" w:space="0" w:color="auto"/>
              <w:left w:val="single" w:sz="4" w:space="0" w:color="auto"/>
              <w:bottom w:val="single" w:sz="4" w:space="0" w:color="auto"/>
              <w:right w:val="single" w:sz="4" w:space="0" w:color="auto"/>
            </w:tcBorders>
            <w:hideMark/>
          </w:tcPr>
          <w:p w14:paraId="0615E8C5" w14:textId="77777777" w:rsidR="008944CC" w:rsidRPr="008944CC" w:rsidRDefault="008944CC" w:rsidP="003E2B69">
            <w:pPr>
              <w:spacing w:before="120" w:after="120" w:line="276" w:lineRule="auto"/>
              <w:jc w:val="both"/>
            </w:pPr>
            <w:r w:rsidRPr="008944CC">
              <w:t>Second meeting of the Appraisal Committee (ACM2)</w:t>
            </w:r>
          </w:p>
        </w:tc>
      </w:tr>
      <w:tr w:rsidR="008944CC" w:rsidRPr="008944CC" w14:paraId="26EFD0B5" w14:textId="77777777" w:rsidTr="003E2B69">
        <w:tc>
          <w:tcPr>
            <w:tcW w:w="4469" w:type="dxa"/>
            <w:tcBorders>
              <w:top w:val="single" w:sz="4" w:space="0" w:color="auto"/>
              <w:left w:val="single" w:sz="4" w:space="0" w:color="auto"/>
              <w:bottom w:val="single" w:sz="4" w:space="0" w:color="auto"/>
              <w:right w:val="single" w:sz="4" w:space="0" w:color="auto"/>
            </w:tcBorders>
          </w:tcPr>
          <w:p w14:paraId="48E359D7" w14:textId="39C47E84" w:rsidR="008944CC" w:rsidRPr="008944CC" w:rsidRDefault="00D45D08" w:rsidP="003E2B69">
            <w:pPr>
              <w:spacing w:before="120" w:after="120" w:line="276" w:lineRule="auto"/>
              <w:jc w:val="both"/>
            </w:pPr>
            <w:r>
              <w:lastRenderedPageBreak/>
              <w:t>17 December 2025</w:t>
            </w:r>
          </w:p>
        </w:tc>
        <w:tc>
          <w:tcPr>
            <w:tcW w:w="4547" w:type="dxa"/>
            <w:tcBorders>
              <w:top w:val="single" w:sz="4" w:space="0" w:color="auto"/>
              <w:left w:val="single" w:sz="4" w:space="0" w:color="auto"/>
              <w:bottom w:val="single" w:sz="4" w:space="0" w:color="auto"/>
              <w:right w:val="single" w:sz="4" w:space="0" w:color="auto"/>
            </w:tcBorders>
            <w:hideMark/>
          </w:tcPr>
          <w:p w14:paraId="54FA71E2" w14:textId="2CA4CC70" w:rsidR="008944CC" w:rsidRPr="008944CC" w:rsidRDefault="008944CC" w:rsidP="003E2B69">
            <w:pPr>
              <w:spacing w:before="120" w:after="120" w:line="276" w:lineRule="auto"/>
              <w:jc w:val="both"/>
            </w:pPr>
            <w:r w:rsidRPr="008944CC">
              <w:t>Final Draft Guidance is issued</w:t>
            </w:r>
            <w:r w:rsidR="005D6E57">
              <w:t xml:space="preserve"> to stakeholders</w:t>
            </w:r>
          </w:p>
        </w:tc>
      </w:tr>
      <w:tr w:rsidR="008944CC" w:rsidRPr="008944CC" w14:paraId="0F288C25" w14:textId="77777777" w:rsidTr="003E2B69">
        <w:tc>
          <w:tcPr>
            <w:tcW w:w="4469" w:type="dxa"/>
            <w:tcBorders>
              <w:top w:val="single" w:sz="4" w:space="0" w:color="auto"/>
              <w:left w:val="single" w:sz="4" w:space="0" w:color="auto"/>
              <w:bottom w:val="single" w:sz="4" w:space="0" w:color="auto"/>
              <w:right w:val="single" w:sz="4" w:space="0" w:color="auto"/>
            </w:tcBorders>
            <w:hideMark/>
          </w:tcPr>
          <w:p w14:paraId="59266EEB" w14:textId="77777777" w:rsidR="008944CC" w:rsidRPr="008944CC" w:rsidRDefault="008944CC" w:rsidP="003E2B69">
            <w:pPr>
              <w:spacing w:before="120" w:after="120" w:line="276" w:lineRule="auto"/>
              <w:jc w:val="both"/>
            </w:pPr>
            <w:r w:rsidRPr="008944CC">
              <w:t>21 January 2026</w:t>
            </w:r>
          </w:p>
        </w:tc>
        <w:tc>
          <w:tcPr>
            <w:tcW w:w="4547" w:type="dxa"/>
            <w:tcBorders>
              <w:top w:val="single" w:sz="4" w:space="0" w:color="auto"/>
              <w:left w:val="single" w:sz="4" w:space="0" w:color="auto"/>
              <w:bottom w:val="single" w:sz="4" w:space="0" w:color="auto"/>
              <w:right w:val="single" w:sz="4" w:space="0" w:color="auto"/>
            </w:tcBorders>
            <w:hideMark/>
          </w:tcPr>
          <w:p w14:paraId="327A0BEF" w14:textId="77777777" w:rsidR="008944CC" w:rsidRPr="008944CC" w:rsidRDefault="008944CC" w:rsidP="003E2B69">
            <w:pPr>
              <w:spacing w:before="120" w:after="120" w:line="276" w:lineRule="auto"/>
              <w:jc w:val="both"/>
            </w:pPr>
            <w:r w:rsidRPr="008944CC">
              <w:t>Date for submission of appeal</w:t>
            </w:r>
          </w:p>
        </w:tc>
      </w:tr>
    </w:tbl>
    <w:p w14:paraId="6BB4BF00" w14:textId="6CBB9AF5" w:rsidR="00C331C0" w:rsidRPr="0011041B" w:rsidRDefault="00733257" w:rsidP="3DAED6E3">
      <w:pPr>
        <w:spacing w:before="240" w:after="240" w:line="276" w:lineRule="auto"/>
        <w:jc w:val="both"/>
        <w:rPr>
          <w:highlight w:val="yellow"/>
        </w:rPr>
      </w:pPr>
      <w:r w:rsidRPr="003E2B69">
        <w:rPr>
          <w:rFonts w:eastAsiaTheme="majorEastAsia"/>
          <w:szCs w:val="20"/>
          <w:lang w:eastAsia="x-none"/>
        </w:rPr>
        <w:t>Details of each of these grounds is set out below.</w:t>
      </w:r>
    </w:p>
    <w:p w14:paraId="30D40FEC" w14:textId="70323726" w:rsidR="00866C86" w:rsidRPr="008A2B53" w:rsidRDefault="00866C86" w:rsidP="002C713B">
      <w:pPr>
        <w:pStyle w:val="StyleHeading211ptNotItalicLinespacingMultiple115li"/>
        <w:spacing w:after="240"/>
        <w:rPr>
          <w:rFonts w:ascii="Proxima Nova" w:hAnsi="Proxima Nova"/>
          <w:i/>
          <w:u w:val="single"/>
        </w:rPr>
      </w:pPr>
      <w:r w:rsidRPr="008A2B53">
        <w:rPr>
          <w:rFonts w:ascii="Proxima Nova" w:hAnsi="Proxima Nova"/>
          <w:u w:val="single"/>
        </w:rPr>
        <w:t>Ground 1</w:t>
      </w:r>
      <w:r w:rsidR="00744C5F" w:rsidRPr="008A2B53">
        <w:rPr>
          <w:rFonts w:ascii="Proxima Nova" w:hAnsi="Proxima Nova"/>
          <w:u w:val="single"/>
        </w:rPr>
        <w:t>(</w:t>
      </w:r>
      <w:r w:rsidRPr="008A2B53">
        <w:rPr>
          <w:rFonts w:ascii="Proxima Nova" w:hAnsi="Proxima Nova"/>
          <w:u w:val="single"/>
        </w:rPr>
        <w:t>a</w:t>
      </w:r>
      <w:r w:rsidR="00744C5F" w:rsidRPr="008A2B53">
        <w:rPr>
          <w:rFonts w:ascii="Proxima Nova" w:hAnsi="Proxima Nova"/>
          <w:u w:val="single"/>
        </w:rPr>
        <w:t>)</w:t>
      </w:r>
      <w:r w:rsidRPr="008A2B53">
        <w:rPr>
          <w:rFonts w:ascii="Proxima Nova" w:hAnsi="Proxima Nova"/>
          <w:u w:val="single"/>
        </w:rPr>
        <w:t>: In making the assessment that preceded the recommendation,</w:t>
      </w:r>
      <w:r w:rsidRPr="008A2B53">
        <w:rPr>
          <w:rFonts w:ascii="Proxima Nova" w:hAnsi="Proxima Nova"/>
          <w:u w:val="single"/>
          <w:lang w:val="en-GB"/>
        </w:rPr>
        <w:t xml:space="preserve"> </w:t>
      </w:r>
      <w:r w:rsidRPr="008A2B53">
        <w:rPr>
          <w:rFonts w:ascii="Proxima Nova" w:hAnsi="Proxima Nova"/>
          <w:u w:val="single"/>
        </w:rPr>
        <w:t xml:space="preserve">NICE has failed to act fairly </w:t>
      </w:r>
    </w:p>
    <w:p w14:paraId="5EA14211" w14:textId="3D93A342" w:rsidR="006A796F" w:rsidRPr="0011041B" w:rsidRDefault="2E440BA1" w:rsidP="002C713B">
      <w:pPr>
        <w:pStyle w:val="StyleParagraph11pt"/>
        <w:rPr>
          <w:rFonts w:ascii="Proxima Nova" w:hAnsi="Proxima Nova"/>
        </w:rPr>
      </w:pPr>
      <w:r w:rsidRPr="1C5FC9CD">
        <w:rPr>
          <w:rFonts w:ascii="Proxima Nova" w:hAnsi="Proxima Nova"/>
        </w:rPr>
        <w:t>In this STA, NICE has not followed its own published processes and methods and/or has acted unfairly, as further described below.</w:t>
      </w:r>
    </w:p>
    <w:p w14:paraId="4AB79842" w14:textId="62106060" w:rsidR="002136F8" w:rsidRPr="003E2B69" w:rsidRDefault="00744C5F" w:rsidP="002136F8">
      <w:pPr>
        <w:pStyle w:val="StyleParagraph11pt"/>
        <w:rPr>
          <w:rFonts w:ascii="Proxima Nova" w:hAnsi="Proxima Nova"/>
          <w:b/>
          <w:bCs/>
        </w:rPr>
      </w:pPr>
      <w:r w:rsidRPr="3DAED6E3">
        <w:rPr>
          <w:rFonts w:ascii="Proxima Nova" w:hAnsi="Proxima Nova"/>
          <w:b/>
          <w:bCs/>
        </w:rPr>
        <w:t xml:space="preserve">1(a).1 </w:t>
      </w:r>
      <w:r w:rsidR="002136F8" w:rsidRPr="0011041B">
        <w:rPr>
          <w:rFonts w:ascii="Proxima Nova" w:hAnsi="Proxima Nova"/>
          <w:b/>
          <w:bCs/>
        </w:rPr>
        <w:t xml:space="preserve">The Committee </w:t>
      </w:r>
      <w:r w:rsidR="002136F8">
        <w:rPr>
          <w:rFonts w:ascii="Proxima Nova" w:hAnsi="Proxima Nova"/>
          <w:b/>
          <w:bCs/>
        </w:rPr>
        <w:t xml:space="preserve">accepted </w:t>
      </w:r>
      <w:r w:rsidR="002136F8" w:rsidRPr="0011041B">
        <w:rPr>
          <w:rFonts w:ascii="Proxima Nova" w:hAnsi="Proxima Nova"/>
          <w:b/>
          <w:bCs/>
        </w:rPr>
        <w:t>a CAR-T tariff figure of £</w:t>
      </w:r>
      <w:r w:rsidR="002136F8" w:rsidRPr="0026110C">
        <w:rPr>
          <w:rFonts w:ascii="Proxima Nova" w:hAnsi="Proxima Nova"/>
          <w:b/>
          <w:bCs/>
        </w:rPr>
        <w:t>60,462</w:t>
      </w:r>
      <w:r w:rsidR="001923C1">
        <w:rPr>
          <w:rFonts w:ascii="Proxima Nova" w:hAnsi="Proxima Nova"/>
          <w:b/>
          <w:bCs/>
        </w:rPr>
        <w:t xml:space="preserve"> plus ICU costs</w:t>
      </w:r>
      <w:r w:rsidR="002136F8" w:rsidRPr="0011041B">
        <w:rPr>
          <w:rFonts w:ascii="Proxima Nova" w:hAnsi="Proxima Nova"/>
          <w:b/>
          <w:bCs/>
        </w:rPr>
        <w:t xml:space="preserve"> </w:t>
      </w:r>
      <w:r w:rsidR="002136F8">
        <w:rPr>
          <w:rFonts w:ascii="Proxima Nova" w:hAnsi="Proxima Nova"/>
          <w:b/>
          <w:bCs/>
        </w:rPr>
        <w:t xml:space="preserve">proposed by NHSE as the cost of treatment with </w:t>
      </w:r>
      <w:proofErr w:type="spellStart"/>
      <w:r w:rsidR="002136F8">
        <w:rPr>
          <w:rFonts w:ascii="Proxima Nova" w:hAnsi="Proxima Nova"/>
          <w:b/>
          <w:bCs/>
        </w:rPr>
        <w:t>b</w:t>
      </w:r>
      <w:r w:rsidR="002136F8" w:rsidRPr="00A0797D">
        <w:rPr>
          <w:rFonts w:ascii="Proxima Nova" w:hAnsi="Proxima Nova"/>
          <w:b/>
          <w:bCs/>
        </w:rPr>
        <w:t>rexu</w:t>
      </w:r>
      <w:proofErr w:type="spellEnd"/>
      <w:r w:rsidR="002136F8" w:rsidRPr="00A0797D">
        <w:rPr>
          <w:rFonts w:ascii="Proxima Nova" w:hAnsi="Proxima Nova"/>
          <w:b/>
          <w:bCs/>
        </w:rPr>
        <w:t>-cel</w:t>
      </w:r>
      <w:r w:rsidR="002136F8">
        <w:rPr>
          <w:rFonts w:ascii="Proxima Nova" w:hAnsi="Proxima Nova"/>
          <w:b/>
          <w:bCs/>
        </w:rPr>
        <w:t xml:space="preserve"> for the purposes of this appraisal, even though this lacks transparency and </w:t>
      </w:r>
      <w:r w:rsidR="002A745C">
        <w:rPr>
          <w:rFonts w:ascii="Proxima Nova" w:hAnsi="Proxima Nova"/>
          <w:b/>
          <w:bCs/>
        </w:rPr>
        <w:t xml:space="preserve">the Committee </w:t>
      </w:r>
      <w:r w:rsidR="002136F8">
        <w:rPr>
          <w:rFonts w:ascii="Proxima Nova" w:hAnsi="Proxima Nova"/>
          <w:b/>
          <w:bCs/>
        </w:rPr>
        <w:t>has failed to subject the proposed figure to adequate investigation</w:t>
      </w:r>
      <w:r w:rsidR="002136F8" w:rsidRPr="0011041B">
        <w:rPr>
          <w:rFonts w:ascii="Proxima Nova" w:hAnsi="Proxima Nova"/>
          <w:b/>
          <w:bCs/>
        </w:rPr>
        <w:t>.</w:t>
      </w:r>
      <w:r w:rsidR="002136F8" w:rsidRPr="0011041B">
        <w:rPr>
          <w:rFonts w:ascii="Proxima Nova" w:hAnsi="Proxima Nova"/>
          <w:b/>
          <w:bCs/>
          <w:highlight w:val="yellow"/>
        </w:rPr>
        <w:t xml:space="preserve"> </w:t>
      </w:r>
    </w:p>
    <w:p w14:paraId="0058EB1B" w14:textId="77777777" w:rsidR="002136F8" w:rsidRDefault="002136F8" w:rsidP="002136F8">
      <w:pPr>
        <w:pStyle w:val="StyleParagraph11pt"/>
        <w:rPr>
          <w:rFonts w:ascii="Proxima Nova" w:hAnsi="Proxima Nova"/>
        </w:rPr>
      </w:pPr>
      <w:r>
        <w:rPr>
          <w:rFonts w:ascii="Proxima Nova" w:hAnsi="Proxima Nova"/>
        </w:rPr>
        <w:t>To determine the cost of treatment in the context of a cost-effectiveness appraisal, NICE must consider evidence on costs and resource use associated with a technology. “</w:t>
      </w:r>
      <w:r w:rsidRPr="003B6386">
        <w:rPr>
          <w:rFonts w:ascii="Proxima Nova" w:hAnsi="Proxima Nova"/>
          <w:i/>
          <w:iCs/>
        </w:rPr>
        <w:t>The perspective adopted on costs should be that of the NHS and PSS</w:t>
      </w:r>
      <w:r>
        <w:rPr>
          <w:rFonts w:ascii="Proxima Nova" w:hAnsi="Proxima Nova"/>
        </w:rPr>
        <w:t>” (NICE health technology evaluations: the manual (</w:t>
      </w:r>
      <w:r w:rsidRPr="003B6386">
        <w:rPr>
          <w:rFonts w:ascii="Proxima Nova" w:hAnsi="Proxima Nova"/>
          <w:b/>
          <w:bCs/>
        </w:rPr>
        <w:t>NICE Manual</w:t>
      </w:r>
      <w:r>
        <w:rPr>
          <w:rFonts w:ascii="Proxima Nova" w:hAnsi="Proxima Nova"/>
        </w:rPr>
        <w:t>) 4.2.7) and the “</w:t>
      </w:r>
      <w:r w:rsidRPr="00A0797D">
        <w:rPr>
          <w:rFonts w:ascii="Proxima Nova" w:hAnsi="Proxima Nova"/>
          <w:i/>
          <w:iCs/>
        </w:rPr>
        <w:t>Estimates of resource use should include the comparative costs or saving of the technologies and changes in infrastructure, use and maintenance. If appropriate, staff training costs should be included</w:t>
      </w:r>
      <w:r>
        <w:rPr>
          <w:rFonts w:ascii="Proxima Nova" w:hAnsi="Proxima Nova"/>
        </w:rPr>
        <w:t>” (NICE Manual, 4.4.2).</w:t>
      </w:r>
    </w:p>
    <w:p w14:paraId="6E401717" w14:textId="3E6836C3" w:rsidR="002136F8" w:rsidRDefault="002136F8" w:rsidP="002136F8">
      <w:pPr>
        <w:pStyle w:val="StyleParagraph11pt"/>
        <w:rPr>
          <w:rFonts w:ascii="Proxima Nova" w:hAnsi="Proxima Nova"/>
        </w:rPr>
      </w:pPr>
      <w:r>
        <w:rPr>
          <w:rFonts w:ascii="Proxima Nova" w:hAnsi="Proxima Nova"/>
        </w:rPr>
        <w:t xml:space="preserve">Gilead proposed that the figure of </w:t>
      </w:r>
      <w:r w:rsidRPr="00D1016A">
        <w:rPr>
          <w:rFonts w:ascii="Proxima Nova" w:hAnsi="Proxima Nova"/>
        </w:rPr>
        <w:t xml:space="preserve">£41,101 </w:t>
      </w:r>
      <w:r>
        <w:rPr>
          <w:rFonts w:ascii="Proxima Nova" w:hAnsi="Proxima Nova"/>
        </w:rPr>
        <w:t xml:space="preserve">should be </w:t>
      </w:r>
      <w:r w:rsidRPr="00D1016A">
        <w:rPr>
          <w:rFonts w:ascii="Proxima Nova" w:hAnsi="Proxima Nova"/>
        </w:rPr>
        <w:t xml:space="preserve">used in </w:t>
      </w:r>
      <w:r>
        <w:rPr>
          <w:rFonts w:ascii="Proxima Nova" w:hAnsi="Proxima Nova"/>
        </w:rPr>
        <w:t xml:space="preserve">the </w:t>
      </w:r>
      <w:r w:rsidRPr="00D1016A">
        <w:rPr>
          <w:rFonts w:ascii="Proxima Nova" w:hAnsi="Proxima Nova"/>
        </w:rPr>
        <w:t xml:space="preserve">economic model </w:t>
      </w:r>
      <w:r w:rsidRPr="003E2B69">
        <w:rPr>
          <w:rFonts w:ascii="Proxima Nova" w:hAnsi="Proxima Nova"/>
        </w:rPr>
        <w:t xml:space="preserve">to cover the costs of leukapheresis, treatment delivery, adverse events experienced in hospital, monitoring and training associated with use of </w:t>
      </w:r>
      <w:proofErr w:type="spellStart"/>
      <w:r w:rsidRPr="003E2B69">
        <w:rPr>
          <w:rFonts w:ascii="Proxima Nova" w:hAnsi="Proxima Nova"/>
        </w:rPr>
        <w:t>brexu</w:t>
      </w:r>
      <w:proofErr w:type="spellEnd"/>
      <w:r w:rsidRPr="003E2B69">
        <w:rPr>
          <w:rFonts w:ascii="Proxima Nova" w:hAnsi="Proxima Nova"/>
        </w:rPr>
        <w:t>-cel, reflecting the figure a</w:t>
      </w:r>
      <w:r w:rsidRPr="00D1016A">
        <w:rPr>
          <w:rFonts w:ascii="Proxima Nova" w:hAnsi="Proxima Nova"/>
        </w:rPr>
        <w:t xml:space="preserve">ccepted in previous NICE </w:t>
      </w:r>
      <w:r>
        <w:rPr>
          <w:rFonts w:ascii="Proxima Nova" w:hAnsi="Proxima Nova"/>
        </w:rPr>
        <w:t xml:space="preserve">appraisals of </w:t>
      </w:r>
      <w:r w:rsidRPr="00D1016A">
        <w:rPr>
          <w:rFonts w:ascii="Proxima Nova" w:hAnsi="Proxima Nova"/>
        </w:rPr>
        <w:t>CAR T-cell treatments</w:t>
      </w:r>
      <w:r>
        <w:rPr>
          <w:rFonts w:ascii="Proxima Nova" w:hAnsi="Proxima Nova"/>
        </w:rPr>
        <w:t xml:space="preserve"> (TA872, TA893, TA895 and TA975)</w:t>
      </w:r>
      <w:r w:rsidRPr="00D1016A">
        <w:rPr>
          <w:rFonts w:ascii="Proxima Nova" w:hAnsi="Proxima Nova"/>
        </w:rPr>
        <w:t xml:space="preserve">. </w:t>
      </w:r>
      <w:r>
        <w:rPr>
          <w:rFonts w:ascii="Proxima Nova" w:hAnsi="Proxima Nova"/>
        </w:rPr>
        <w:t xml:space="preserve"> The Committee however rejected this figure, stating at paragraph 3.13 of the FDG:</w:t>
      </w:r>
    </w:p>
    <w:p w14:paraId="2BC2B49C" w14:textId="77777777" w:rsidR="002136F8" w:rsidRPr="00611957" w:rsidRDefault="002136F8" w:rsidP="003E2B69">
      <w:pPr>
        <w:pStyle w:val="StyleParagraph11pt"/>
        <w:rPr>
          <w:rFonts w:ascii="Proxima Nova" w:hAnsi="Proxima Nova"/>
          <w:i/>
          <w:iCs/>
        </w:rPr>
      </w:pPr>
      <w:r>
        <w:rPr>
          <w:rFonts w:ascii="Proxima Nova" w:hAnsi="Proxima Nova"/>
        </w:rPr>
        <w:t>“</w:t>
      </w:r>
      <w:r w:rsidRPr="00611957">
        <w:rPr>
          <w:rFonts w:ascii="Proxima Nova" w:hAnsi="Proxima Nova"/>
          <w:i/>
          <w:iCs/>
        </w:rPr>
        <w:t>But the Cancer Drugs Fund lead explained that this value was outdated by several years and had only ever been intended to be an approximate figure that would serve until more thorough cost calculations could be done. These calculations had produced a figure of £58,964 for the 2024 to 2025 financial year, and this had been revised in line with inflationary pressures for 2025 to 2026, giving a tariff of £60,462”.</w:t>
      </w:r>
    </w:p>
    <w:p w14:paraId="67979212" w14:textId="4CA634B4" w:rsidR="002136F8" w:rsidRDefault="002136F8" w:rsidP="002136F8">
      <w:pPr>
        <w:pStyle w:val="StyleParagraph11pt"/>
        <w:tabs>
          <w:tab w:val="left" w:pos="4536"/>
        </w:tabs>
        <w:rPr>
          <w:rFonts w:ascii="Proxima Nova" w:hAnsi="Proxima Nova"/>
        </w:rPr>
      </w:pPr>
      <w:r>
        <w:rPr>
          <w:rFonts w:ascii="Proxima Nova" w:hAnsi="Proxima Nova"/>
        </w:rPr>
        <w:t>While t</w:t>
      </w:r>
      <w:r w:rsidRPr="00D1016A">
        <w:rPr>
          <w:rFonts w:ascii="Proxima Nova" w:hAnsi="Proxima Nova"/>
        </w:rPr>
        <w:t xml:space="preserve">he </w:t>
      </w:r>
      <w:r>
        <w:rPr>
          <w:rFonts w:ascii="Proxima Nova" w:hAnsi="Proxima Nova"/>
        </w:rPr>
        <w:t xml:space="preserve">tariff figure proposed by NHSE (“the </w:t>
      </w:r>
      <w:r w:rsidRPr="00D1016A">
        <w:rPr>
          <w:rFonts w:ascii="Proxima Nova" w:hAnsi="Proxima Nova"/>
        </w:rPr>
        <w:t xml:space="preserve">CAR-T </w:t>
      </w:r>
      <w:r>
        <w:rPr>
          <w:rFonts w:ascii="Proxima Nova" w:hAnsi="Proxima Nova"/>
        </w:rPr>
        <w:t>T</w:t>
      </w:r>
      <w:r w:rsidRPr="00D1016A">
        <w:rPr>
          <w:rFonts w:ascii="Proxima Nova" w:hAnsi="Proxima Nova"/>
        </w:rPr>
        <w:t>ariff</w:t>
      </w:r>
      <w:r>
        <w:rPr>
          <w:rFonts w:ascii="Proxima Nova" w:hAnsi="Proxima Nova"/>
        </w:rPr>
        <w:t>”)</w:t>
      </w:r>
      <w:r w:rsidRPr="00D1016A">
        <w:rPr>
          <w:rFonts w:ascii="Proxima Nova" w:hAnsi="Proxima Nova"/>
        </w:rPr>
        <w:t xml:space="preserve"> </w:t>
      </w:r>
      <w:r>
        <w:rPr>
          <w:rFonts w:ascii="Proxima Nova" w:hAnsi="Proxima Nova"/>
        </w:rPr>
        <w:t xml:space="preserve">is stated by NHSE to </w:t>
      </w:r>
      <w:r w:rsidRPr="00D1016A">
        <w:rPr>
          <w:rFonts w:ascii="Proxima Nova" w:hAnsi="Proxima Nova"/>
        </w:rPr>
        <w:t>represent the funding provided by NHSE to CAR-T delivery centres for each patient who receives CAR-T treatment, to cover care and associated costs (excluding intensive care unit (ICU) costs and intravenous immunoglobulin (IVIg))</w:t>
      </w:r>
      <w:r>
        <w:rPr>
          <w:rFonts w:ascii="Proxima Nova" w:hAnsi="Proxima Nova"/>
        </w:rPr>
        <w:t>, whether or not the proposed figure constitutes an appropriate “</w:t>
      </w:r>
      <w:r w:rsidRPr="00611957">
        <w:rPr>
          <w:rFonts w:ascii="Proxima Nova" w:hAnsi="Proxima Nova"/>
          <w:i/>
          <w:iCs/>
        </w:rPr>
        <w:t>estimate of resource use</w:t>
      </w:r>
      <w:r>
        <w:rPr>
          <w:rFonts w:ascii="Proxima Nova" w:hAnsi="Proxima Nova"/>
        </w:rPr>
        <w:t xml:space="preserve">” for the purposes of paragraph 4.4.2 of the NICE Manual will depend on the elements included and the associated calculations.  </w:t>
      </w:r>
    </w:p>
    <w:p w14:paraId="3CCBAEBB" w14:textId="3104DB03" w:rsidR="002136F8" w:rsidRDefault="002136F8" w:rsidP="002136F8">
      <w:pPr>
        <w:pStyle w:val="StyleParagraph11pt"/>
        <w:tabs>
          <w:tab w:val="left" w:pos="4536"/>
        </w:tabs>
        <w:rPr>
          <w:rFonts w:ascii="Proxima Nova" w:hAnsi="Proxima Nova"/>
        </w:rPr>
      </w:pPr>
      <w:r>
        <w:rPr>
          <w:rFonts w:ascii="Proxima Nova" w:hAnsi="Proxima Nova"/>
        </w:rPr>
        <w:t>In these circumstances, Gilead has repeatedly requested clarification of the figure suggested by NHS England, including the “</w:t>
      </w:r>
      <w:r w:rsidRPr="004E52DD">
        <w:rPr>
          <w:rFonts w:ascii="Proxima Nova" w:hAnsi="Proxima Nova"/>
          <w:i/>
          <w:iCs/>
        </w:rPr>
        <w:t>calculations</w:t>
      </w:r>
      <w:r>
        <w:rPr>
          <w:rFonts w:ascii="Proxima Nova" w:hAnsi="Proxima Nova"/>
        </w:rPr>
        <w:t xml:space="preserve">” referenced at paragraph 3.13 of the FDG, these </w:t>
      </w:r>
      <w:r>
        <w:rPr>
          <w:rFonts w:ascii="Proxima Nova" w:hAnsi="Proxima Nova"/>
        </w:rPr>
        <w:lastRenderedPageBreak/>
        <w:t>have not been provided and it is therefore impossible for Gilead and other consultees, the EAG or the Committee itself to understand or confirm whether the elements included in the CAR-T Tariff are consistent with the NICE Manual and whether the calculations are reliable.  No explanation has been provided by NHSE for its failure to disclose the details of the CAR-T Tariff to stakeholders for the purposes of the current appraisal.  However</w:t>
      </w:r>
      <w:r w:rsidR="003B0206">
        <w:rPr>
          <w:rFonts w:ascii="Proxima Nova" w:hAnsi="Proxima Nova"/>
        </w:rPr>
        <w:t>,</w:t>
      </w:r>
      <w:r>
        <w:rPr>
          <w:rFonts w:ascii="Proxima Nova" w:hAnsi="Proxima Nova"/>
        </w:rPr>
        <w:t xml:space="preserve"> following a request by Gilead under the Freedom of Information Act 2000 (“FOIA”), NHSE claimed that such information was exempt from disclosure to the public (as distinct to disclosure potentially limited to consultees for the purposes of NICE appraisal)</w:t>
      </w:r>
      <w:r w:rsidR="00197CEC">
        <w:rPr>
          <w:rFonts w:ascii="Proxima Nova" w:hAnsi="Proxima Nova"/>
        </w:rPr>
        <w:t>,</w:t>
      </w:r>
      <w:r>
        <w:rPr>
          <w:rFonts w:ascii="Proxima Nova" w:hAnsi="Proxima Nova"/>
        </w:rPr>
        <w:t xml:space="preserve"> as it had been provided to NHSE under an obligation of confidentiality.  (The issue has since been the subject of an appeal to the Information Commissioner and an ongoing appeal to the First Tier Tribunal, </w:t>
      </w:r>
      <w:proofErr w:type="gramStart"/>
      <w:r>
        <w:rPr>
          <w:rFonts w:ascii="Proxima Nova" w:hAnsi="Proxima Nova"/>
        </w:rPr>
        <w:t>as a consequence of</w:t>
      </w:r>
      <w:proofErr w:type="gramEnd"/>
      <w:r>
        <w:rPr>
          <w:rFonts w:ascii="Proxima Nova" w:hAnsi="Proxima Nova"/>
        </w:rPr>
        <w:t xml:space="preserve"> which NHSE now relies on various additional exemptions from disclosure to the public, provided by FOIA.)  </w:t>
      </w:r>
    </w:p>
    <w:p w14:paraId="6CFB0EE0" w14:textId="21CA5668" w:rsidR="002136F8" w:rsidRDefault="002136F8" w:rsidP="002136F8">
      <w:pPr>
        <w:spacing w:before="240" w:after="240" w:line="276" w:lineRule="auto"/>
        <w:jc w:val="both"/>
        <w:rPr>
          <w:rFonts w:eastAsia="Times New Roman"/>
          <w:lang w:eastAsia="en-GB"/>
        </w:rPr>
      </w:pPr>
      <w:r>
        <w:rPr>
          <w:rFonts w:eastAsia="Times New Roman"/>
          <w:lang w:eastAsia="en-GB"/>
        </w:rPr>
        <w:t xml:space="preserve">Despite Gilead’s repeated requests to NICE and our efforts to obtain information through other routes (e.g. FOIA requests) important aspects of the CAR-T Tariff proposed by NHSE </w:t>
      </w:r>
      <w:r w:rsidR="00076917">
        <w:rPr>
          <w:rFonts w:eastAsia="Times New Roman"/>
          <w:lang w:eastAsia="en-GB"/>
        </w:rPr>
        <w:t>were unclear at the time of the second Committee meeting, and</w:t>
      </w:r>
      <w:r>
        <w:rPr>
          <w:rFonts w:eastAsia="Times New Roman"/>
          <w:lang w:eastAsia="en-GB"/>
        </w:rPr>
        <w:t xml:space="preserve"> remain unclear, including:</w:t>
      </w:r>
    </w:p>
    <w:p w14:paraId="7676AA7F" w14:textId="2252DD34" w:rsidR="002136F8" w:rsidRPr="0008266C" w:rsidRDefault="00D066CB" w:rsidP="002136F8">
      <w:pPr>
        <w:pStyle w:val="ListParagraph"/>
        <w:numPr>
          <w:ilvl w:val="0"/>
          <w:numId w:val="37"/>
        </w:numPr>
        <w:spacing w:before="240" w:after="240" w:line="276" w:lineRule="auto"/>
        <w:jc w:val="both"/>
        <w:rPr>
          <w:rFonts w:eastAsia="Times New Roman"/>
          <w:lang w:eastAsia="en-GB"/>
        </w:rPr>
      </w:pPr>
      <w:r>
        <w:t>Full d</w:t>
      </w:r>
      <w:r w:rsidR="002136F8">
        <w:t xml:space="preserve">etails of the </w:t>
      </w:r>
      <w:r w:rsidR="002136F8" w:rsidRPr="0011041B">
        <w:t xml:space="preserve">costing exercise undertaken by </w:t>
      </w:r>
      <w:r w:rsidR="002136F8">
        <w:t xml:space="preserve">the </w:t>
      </w:r>
      <w:r w:rsidR="002136F8" w:rsidRPr="0011041B">
        <w:t>‘</w:t>
      </w:r>
      <w:r w:rsidR="002136F8" w:rsidRPr="0011041B">
        <w:rPr>
          <w:i/>
          <w:iCs/>
        </w:rPr>
        <w:t>CAR-T Tariff Review Working Group</w:t>
      </w:r>
      <w:r w:rsidR="002136F8" w:rsidRPr="0011041B">
        <w:t xml:space="preserve">’ </w:t>
      </w:r>
      <w:r w:rsidR="002136F8" w:rsidRPr="0008266C">
        <w:t xml:space="preserve">established by NHSE in </w:t>
      </w:r>
      <w:proofErr w:type="gramStart"/>
      <w:r w:rsidR="002136F8" w:rsidRPr="0008266C">
        <w:t>2023</w:t>
      </w:r>
      <w:r w:rsidR="002136F8">
        <w:t>;</w:t>
      </w:r>
      <w:proofErr w:type="gramEnd"/>
    </w:p>
    <w:p w14:paraId="4177C58B" w14:textId="0480F8E3" w:rsidR="002136F8" w:rsidRPr="00BD658E" w:rsidRDefault="002136F8" w:rsidP="002136F8">
      <w:pPr>
        <w:pStyle w:val="ListParagraph"/>
        <w:numPr>
          <w:ilvl w:val="0"/>
          <w:numId w:val="37"/>
        </w:numPr>
        <w:spacing w:before="240" w:after="240" w:line="276" w:lineRule="auto"/>
        <w:jc w:val="both"/>
        <w:rPr>
          <w:rFonts w:eastAsia="Times New Roman"/>
          <w:lang w:eastAsia="en-GB"/>
        </w:rPr>
      </w:pPr>
      <w:r w:rsidRPr="00BD658E">
        <w:t xml:space="preserve">The </w:t>
      </w:r>
      <w:r w:rsidRPr="00BD658E">
        <w:rPr>
          <w:rFonts w:hint="eastAsia"/>
        </w:rPr>
        <w:t>‘</w:t>
      </w:r>
      <w:r w:rsidRPr="00BD658E">
        <w:rPr>
          <w:i/>
          <w:iCs/>
        </w:rPr>
        <w:t xml:space="preserve">Future approach to CAR-T Tariff design </w:t>
      </w:r>
      <w:r w:rsidRPr="00BD658E">
        <w:rPr>
          <w:rFonts w:hint="eastAsia"/>
          <w:i/>
          <w:iCs/>
        </w:rPr>
        <w:t>–</w:t>
      </w:r>
      <w:r w:rsidRPr="00BD658E">
        <w:rPr>
          <w:i/>
          <w:iCs/>
        </w:rPr>
        <w:t xml:space="preserve"> Final Options Appraisal</w:t>
      </w:r>
      <w:r w:rsidRPr="00BD658E">
        <w:rPr>
          <w:rFonts w:hint="eastAsia"/>
        </w:rPr>
        <w:t>’</w:t>
      </w:r>
      <w:r w:rsidRPr="00BD658E">
        <w:t xml:space="preserve"> </w:t>
      </w:r>
      <w:proofErr w:type="gramStart"/>
      <w:r w:rsidRPr="00BD658E">
        <w:t>document</w:t>
      </w:r>
      <w:r>
        <w:t>;</w:t>
      </w:r>
      <w:proofErr w:type="gramEnd"/>
    </w:p>
    <w:p w14:paraId="2AE245A1" w14:textId="258EA5F1" w:rsidR="002136F8" w:rsidRDefault="002136F8" w:rsidP="002136F8">
      <w:pPr>
        <w:pStyle w:val="ListParagraph"/>
        <w:numPr>
          <w:ilvl w:val="0"/>
          <w:numId w:val="37"/>
        </w:numPr>
        <w:spacing w:before="240" w:after="240" w:line="276" w:lineRule="auto"/>
        <w:jc w:val="both"/>
      </w:pPr>
      <w:r>
        <w:t xml:space="preserve">Details of the </w:t>
      </w:r>
      <w:r w:rsidRPr="00BD658E">
        <w:t xml:space="preserve">components </w:t>
      </w:r>
      <w:r>
        <w:t xml:space="preserve">included </w:t>
      </w:r>
      <w:r w:rsidRPr="00BD658E">
        <w:t xml:space="preserve">within the CAR-T </w:t>
      </w:r>
      <w:r>
        <w:t>T</w:t>
      </w:r>
      <w:r w:rsidRPr="00BD658E">
        <w:t xml:space="preserve">ariff </w:t>
      </w:r>
      <w:r w:rsidR="008D182D" w:rsidRPr="00B00E00">
        <w:t xml:space="preserve">and whether these are limited to marginal costs or inappropriately include any set up </w:t>
      </w:r>
      <w:proofErr w:type="gramStart"/>
      <w:r w:rsidR="008D182D" w:rsidRPr="00B00E00">
        <w:t>costs</w:t>
      </w:r>
      <w:r w:rsidR="00F05B34">
        <w:t>;</w:t>
      </w:r>
      <w:proofErr w:type="gramEnd"/>
    </w:p>
    <w:p w14:paraId="45960D0D" w14:textId="47A8C89C" w:rsidR="002136F8" w:rsidRPr="00BD658E" w:rsidRDefault="002136F8" w:rsidP="002136F8">
      <w:pPr>
        <w:pStyle w:val="ListParagraph"/>
        <w:numPr>
          <w:ilvl w:val="0"/>
          <w:numId w:val="37"/>
        </w:numPr>
        <w:spacing w:before="240" w:after="240" w:line="276" w:lineRule="auto"/>
        <w:jc w:val="both"/>
      </w:pPr>
      <w:r>
        <w:t>T</w:t>
      </w:r>
      <w:r w:rsidRPr="00BD658E">
        <w:t>he costs</w:t>
      </w:r>
      <w:r>
        <w:t xml:space="preserve"> allocated to each of the </w:t>
      </w:r>
      <w:proofErr w:type="gramStart"/>
      <w:r>
        <w:t>component</w:t>
      </w:r>
      <w:r w:rsidR="00F05B34">
        <w:t>s</w:t>
      </w:r>
      <w:r>
        <w:t>;</w:t>
      </w:r>
      <w:proofErr w:type="gramEnd"/>
    </w:p>
    <w:p w14:paraId="287F8437" w14:textId="0D494C16" w:rsidR="002136F8" w:rsidRPr="00D76173" w:rsidRDefault="002136F8" w:rsidP="002136F8">
      <w:pPr>
        <w:pStyle w:val="ListParagraph"/>
        <w:numPr>
          <w:ilvl w:val="0"/>
          <w:numId w:val="37"/>
        </w:numPr>
        <w:spacing w:before="240" w:after="240" w:line="276" w:lineRule="auto"/>
        <w:jc w:val="both"/>
        <w:rPr>
          <w:rFonts w:eastAsia="Times New Roman"/>
          <w:lang w:eastAsia="en-GB"/>
        </w:rPr>
      </w:pPr>
      <w:r w:rsidRPr="00BD658E">
        <w:t>For each component where an approximate/average/median cost is used, the range of costs that were used to inform this</w:t>
      </w:r>
      <w:r w:rsidR="000B48A2">
        <w:t>; and</w:t>
      </w:r>
    </w:p>
    <w:p w14:paraId="089077AF" w14:textId="3622C9C0" w:rsidR="00BF77FA" w:rsidRPr="00400671" w:rsidRDefault="00BF77FA" w:rsidP="006D2AEB">
      <w:pPr>
        <w:pStyle w:val="ListParagraph"/>
        <w:numPr>
          <w:ilvl w:val="0"/>
          <w:numId w:val="37"/>
        </w:numPr>
        <w:spacing w:before="240" w:after="240" w:line="276" w:lineRule="auto"/>
        <w:jc w:val="both"/>
        <w:rPr>
          <w:rFonts w:eastAsia="Times New Roman"/>
          <w:lang w:eastAsia="en-GB"/>
        </w:rPr>
      </w:pPr>
      <w:r>
        <w:t>How the CAR-T Tariff takes account of experience in delivering CAR-T with the associated increased efficiencies.</w:t>
      </w:r>
    </w:p>
    <w:p w14:paraId="6678CA3E" w14:textId="53A127BE" w:rsidR="00076917" w:rsidRDefault="00076917" w:rsidP="00076917">
      <w:pPr>
        <w:spacing w:before="240" w:after="240" w:line="276" w:lineRule="auto"/>
        <w:jc w:val="both"/>
        <w:rPr>
          <w:rFonts w:eastAsia="Times New Roman"/>
          <w:lang w:eastAsia="en-GB"/>
        </w:rPr>
      </w:pPr>
      <w:r>
        <w:rPr>
          <w:rFonts w:eastAsia="Times New Roman"/>
          <w:lang w:eastAsia="en-GB"/>
        </w:rPr>
        <w:t>After the second Committee meeting</w:t>
      </w:r>
      <w:r w:rsidR="009C41C2">
        <w:rPr>
          <w:rFonts w:eastAsia="Times New Roman"/>
          <w:lang w:eastAsia="en-GB"/>
        </w:rPr>
        <w:t xml:space="preserve">, </w:t>
      </w:r>
      <w:r>
        <w:rPr>
          <w:rFonts w:eastAsia="Times New Roman"/>
          <w:lang w:eastAsia="en-GB"/>
        </w:rPr>
        <w:t xml:space="preserve">Gilead received limited additional information </w:t>
      </w:r>
      <w:r w:rsidR="00931D5A">
        <w:rPr>
          <w:rFonts w:eastAsia="Times New Roman"/>
          <w:lang w:eastAsia="en-GB"/>
        </w:rPr>
        <w:t xml:space="preserve">(on 9 September 2025) </w:t>
      </w:r>
      <w:r w:rsidR="00F37145">
        <w:rPr>
          <w:rFonts w:eastAsia="Times New Roman"/>
          <w:lang w:eastAsia="en-GB"/>
        </w:rPr>
        <w:t xml:space="preserve">relating to the 2023 costing exercise </w:t>
      </w:r>
      <w:r>
        <w:rPr>
          <w:rFonts w:eastAsia="Times New Roman"/>
          <w:lang w:eastAsia="en-GB"/>
        </w:rPr>
        <w:t>as set out</w:t>
      </w:r>
      <w:r w:rsidR="00E067C6">
        <w:rPr>
          <w:rFonts w:eastAsia="Times New Roman"/>
          <w:lang w:eastAsia="en-GB"/>
        </w:rPr>
        <w:t xml:space="preserve"> </w:t>
      </w:r>
      <w:r w:rsidR="001F52BC">
        <w:rPr>
          <w:rFonts w:eastAsia="Times New Roman"/>
          <w:lang w:eastAsia="en-GB"/>
        </w:rPr>
        <w:t>in more detail</w:t>
      </w:r>
      <w:r w:rsidR="00E067C6">
        <w:rPr>
          <w:rFonts w:eastAsia="Times New Roman"/>
          <w:lang w:eastAsia="en-GB"/>
        </w:rPr>
        <w:t xml:space="preserve"> below</w:t>
      </w:r>
      <w:r w:rsidR="001F52BC">
        <w:rPr>
          <w:rFonts w:eastAsia="Times New Roman"/>
          <w:lang w:eastAsia="en-GB"/>
        </w:rPr>
        <w:t>. In summary, this covered:</w:t>
      </w:r>
    </w:p>
    <w:p w14:paraId="33E5586D" w14:textId="5B90D847" w:rsidR="001F52BC" w:rsidRDefault="00C622B8" w:rsidP="00C622B8">
      <w:pPr>
        <w:pStyle w:val="ListParagraph"/>
        <w:numPr>
          <w:ilvl w:val="0"/>
          <w:numId w:val="42"/>
        </w:numPr>
        <w:spacing w:before="240" w:after="240" w:line="276" w:lineRule="auto"/>
        <w:jc w:val="both"/>
        <w:rPr>
          <w:rFonts w:eastAsia="Times New Roman"/>
          <w:lang w:eastAsia="en-GB"/>
        </w:rPr>
      </w:pPr>
      <w:r>
        <w:rPr>
          <w:rFonts w:eastAsia="Times New Roman"/>
          <w:lang w:eastAsia="en-GB"/>
        </w:rPr>
        <w:t>Lack of disaggregation of pathway costs</w:t>
      </w:r>
    </w:p>
    <w:p w14:paraId="3D66AB55" w14:textId="397410E7" w:rsidR="00F37145" w:rsidRDefault="00F37145" w:rsidP="00C622B8">
      <w:pPr>
        <w:pStyle w:val="ListParagraph"/>
        <w:numPr>
          <w:ilvl w:val="0"/>
          <w:numId w:val="42"/>
        </w:numPr>
        <w:spacing w:before="240" w:after="240" w:line="276" w:lineRule="auto"/>
        <w:jc w:val="both"/>
        <w:rPr>
          <w:rFonts w:eastAsia="Times New Roman"/>
          <w:lang w:eastAsia="en-GB"/>
        </w:rPr>
      </w:pPr>
      <w:r>
        <w:rPr>
          <w:rFonts w:eastAsia="Times New Roman"/>
          <w:lang w:eastAsia="en-GB"/>
        </w:rPr>
        <w:t>Variation of costing approaches</w:t>
      </w:r>
    </w:p>
    <w:p w14:paraId="12880FDD" w14:textId="4901F797" w:rsidR="00F37145" w:rsidRDefault="001D52B4" w:rsidP="00C622B8">
      <w:pPr>
        <w:pStyle w:val="ListParagraph"/>
        <w:numPr>
          <w:ilvl w:val="0"/>
          <w:numId w:val="42"/>
        </w:numPr>
        <w:spacing w:before="240" w:after="240" w:line="276" w:lineRule="auto"/>
        <w:jc w:val="both"/>
        <w:rPr>
          <w:rFonts w:eastAsia="Times New Roman"/>
          <w:lang w:eastAsia="en-GB"/>
        </w:rPr>
      </w:pPr>
      <w:r>
        <w:rPr>
          <w:rFonts w:eastAsia="Times New Roman"/>
          <w:lang w:eastAsia="en-GB"/>
        </w:rPr>
        <w:t>Number of centres involved in the exercise</w:t>
      </w:r>
    </w:p>
    <w:p w14:paraId="266DFC59" w14:textId="7D0D41A6" w:rsidR="001D52B4" w:rsidRPr="003E2B69" w:rsidRDefault="001D52B4" w:rsidP="003E2B69">
      <w:pPr>
        <w:pStyle w:val="ListParagraph"/>
        <w:numPr>
          <w:ilvl w:val="0"/>
          <w:numId w:val="42"/>
        </w:numPr>
        <w:spacing w:before="240" w:after="240" w:line="276" w:lineRule="auto"/>
        <w:jc w:val="both"/>
        <w:rPr>
          <w:rFonts w:eastAsia="Times New Roman"/>
          <w:lang w:eastAsia="en-GB"/>
        </w:rPr>
      </w:pPr>
      <w:r>
        <w:rPr>
          <w:rFonts w:eastAsia="Times New Roman"/>
          <w:lang w:eastAsia="en-GB"/>
        </w:rPr>
        <w:t>Use of subjective discussions to reach a consensus figure</w:t>
      </w:r>
    </w:p>
    <w:p w14:paraId="3EFFF950" w14:textId="77777777" w:rsidR="002136F8" w:rsidRDefault="002136F8" w:rsidP="002136F8">
      <w:pPr>
        <w:pStyle w:val="StyleParagraph11pt"/>
        <w:tabs>
          <w:tab w:val="left" w:pos="4536"/>
        </w:tabs>
        <w:rPr>
          <w:rFonts w:ascii="Proxima Nova" w:hAnsi="Proxima Nova"/>
        </w:rPr>
      </w:pPr>
      <w:r>
        <w:rPr>
          <w:rFonts w:ascii="Proxima Nova" w:hAnsi="Proxima Nova"/>
        </w:rPr>
        <w:t xml:space="preserve">In these circumstances the reliance on the unexplained and opaque CAR-T Tariff for the purposes of NICE’s appraisal of </w:t>
      </w:r>
      <w:proofErr w:type="spellStart"/>
      <w:r>
        <w:rPr>
          <w:rFonts w:ascii="Proxima Nova" w:hAnsi="Proxima Nova"/>
        </w:rPr>
        <w:t>brexu</w:t>
      </w:r>
      <w:proofErr w:type="spellEnd"/>
      <w:r>
        <w:rPr>
          <w:rFonts w:ascii="Proxima Nova" w:hAnsi="Proxima Nova"/>
        </w:rPr>
        <w:t>-cel to is procedurally unfair.</w:t>
      </w:r>
    </w:p>
    <w:p w14:paraId="7D0C48E7" w14:textId="77777777" w:rsidR="002136F8" w:rsidRDefault="002136F8" w:rsidP="002136F8">
      <w:pPr>
        <w:pStyle w:val="StyleParagraph11pt"/>
        <w:tabs>
          <w:tab w:val="left" w:pos="4536"/>
        </w:tabs>
        <w:rPr>
          <w:rFonts w:ascii="Proxima Nova" w:hAnsi="Proxima Nova"/>
          <w:u w:val="single"/>
        </w:rPr>
      </w:pPr>
      <w:r w:rsidRPr="00850DFA">
        <w:rPr>
          <w:rFonts w:ascii="Proxima Nova" w:hAnsi="Proxima Nova"/>
          <w:u w:val="single"/>
        </w:rPr>
        <w:t>NICE’s obligations to ensure transparency</w:t>
      </w:r>
    </w:p>
    <w:p w14:paraId="5B55B3C3" w14:textId="32CD3964" w:rsidR="002136F8" w:rsidRDefault="002136F8" w:rsidP="002136F8">
      <w:pPr>
        <w:pStyle w:val="StyleParagraph11pt"/>
        <w:tabs>
          <w:tab w:val="left" w:pos="4536"/>
        </w:tabs>
        <w:rPr>
          <w:rFonts w:ascii="Proxima Nova" w:hAnsi="Proxima Nova"/>
        </w:rPr>
      </w:pPr>
      <w:r>
        <w:rPr>
          <w:rFonts w:ascii="Proxima Nova" w:hAnsi="Proxima Nova"/>
        </w:rPr>
        <w:t>Transparency is a fundamental aspect of a fair procedure and rigorous decision making</w:t>
      </w:r>
      <w:r w:rsidR="00CE5B9C">
        <w:rPr>
          <w:rFonts w:ascii="Proxima Nova" w:hAnsi="Proxima Nova"/>
        </w:rPr>
        <w:t>,</w:t>
      </w:r>
      <w:r>
        <w:rPr>
          <w:rFonts w:ascii="Proxima Nova" w:hAnsi="Proxima Nova"/>
        </w:rPr>
        <w:t xml:space="preserve"> requiring that p</w:t>
      </w:r>
      <w:r w:rsidRPr="0091190D">
        <w:rPr>
          <w:rFonts w:ascii="Proxima Nova" w:hAnsi="Proxima Nova"/>
        </w:rPr>
        <w:t xml:space="preserve">arties </w:t>
      </w:r>
      <w:r>
        <w:rPr>
          <w:rFonts w:ascii="Proxima Nova" w:hAnsi="Proxima Nova"/>
        </w:rPr>
        <w:t xml:space="preserve">are </w:t>
      </w:r>
      <w:r w:rsidRPr="0091190D">
        <w:rPr>
          <w:rFonts w:ascii="Proxima Nova" w:hAnsi="Proxima Nova"/>
        </w:rPr>
        <w:t xml:space="preserve">informed of </w:t>
      </w:r>
      <w:r>
        <w:rPr>
          <w:rFonts w:ascii="Proxima Nova" w:hAnsi="Proxima Nova"/>
        </w:rPr>
        <w:t>the relevant process, receive disclosure of the evidence relied upon and that the r</w:t>
      </w:r>
      <w:r w:rsidRPr="0091190D">
        <w:rPr>
          <w:rFonts w:ascii="Proxima Nova" w:hAnsi="Proxima Nova"/>
        </w:rPr>
        <w:t xml:space="preserve">easons for decisions </w:t>
      </w:r>
      <w:r>
        <w:rPr>
          <w:rFonts w:ascii="Proxima Nova" w:hAnsi="Proxima Nova"/>
        </w:rPr>
        <w:t xml:space="preserve">are </w:t>
      </w:r>
      <w:r w:rsidRPr="0091190D">
        <w:rPr>
          <w:rFonts w:ascii="Proxima Nova" w:hAnsi="Proxima Nova"/>
        </w:rPr>
        <w:t>clearly communicated</w:t>
      </w:r>
      <w:r>
        <w:rPr>
          <w:rFonts w:ascii="Proxima Nova" w:hAnsi="Proxima Nova"/>
        </w:rPr>
        <w:t>.</w:t>
      </w:r>
    </w:p>
    <w:p w14:paraId="01DE24C6" w14:textId="77777777" w:rsidR="002136F8" w:rsidRDefault="002136F8" w:rsidP="002136F8">
      <w:pPr>
        <w:pStyle w:val="StyleParagraph11pt"/>
        <w:tabs>
          <w:tab w:val="left" w:pos="4536"/>
        </w:tabs>
        <w:rPr>
          <w:rFonts w:ascii="Proxima Nova" w:hAnsi="Proxima Nova"/>
        </w:rPr>
      </w:pPr>
      <w:r>
        <w:rPr>
          <w:rFonts w:ascii="Proxima Nova" w:hAnsi="Proxima Nova"/>
        </w:rPr>
        <w:lastRenderedPageBreak/>
        <w:t xml:space="preserve">NICE’s procedures require a high level of transparency. </w:t>
      </w:r>
    </w:p>
    <w:p w14:paraId="423566BE" w14:textId="77777777" w:rsidR="002136F8" w:rsidRDefault="002136F8" w:rsidP="002136F8">
      <w:pPr>
        <w:pStyle w:val="StyleParagraph11pt"/>
        <w:rPr>
          <w:rFonts w:ascii="Proxima Nova" w:hAnsi="Proxima Nova"/>
        </w:rPr>
      </w:pPr>
      <w:r>
        <w:rPr>
          <w:rFonts w:ascii="Proxima Nova" w:hAnsi="Proxima Nova"/>
        </w:rPr>
        <w:t>The NICE Manual states at paragraph 5.4.1 “</w:t>
      </w:r>
      <w:r w:rsidRPr="00611957">
        <w:rPr>
          <w:rFonts w:ascii="Proxima Nova" w:hAnsi="Proxima Nova"/>
          <w:i/>
          <w:iCs/>
        </w:rPr>
        <w:t>It is essential that as much of the evidence as possible informing the committee's decision making is made available to stakeholders and is publicly available. This is to ensure that the evaluation process is as transparent as possible”</w:t>
      </w:r>
      <w:r w:rsidRPr="00FD6E70">
        <w:rPr>
          <w:rFonts w:ascii="Proxima Nova" w:hAnsi="Proxima Nova"/>
        </w:rPr>
        <w:t>.</w:t>
      </w:r>
    </w:p>
    <w:p w14:paraId="15B36450" w14:textId="77777777" w:rsidR="002136F8" w:rsidRDefault="002136F8" w:rsidP="002136F8">
      <w:pPr>
        <w:pStyle w:val="StyleParagraph11pt"/>
        <w:rPr>
          <w:rFonts w:ascii="Proxima Nova" w:hAnsi="Proxima Nova"/>
          <w:i/>
          <w:iCs/>
        </w:rPr>
      </w:pPr>
      <w:r>
        <w:rPr>
          <w:rFonts w:ascii="Proxima Nova" w:hAnsi="Proxima Nova"/>
        </w:rPr>
        <w:t>And paragraph 5.4.21 provides “</w:t>
      </w:r>
      <w:r w:rsidRPr="00611957">
        <w:rPr>
          <w:rFonts w:ascii="Proxima Nova" w:hAnsi="Proxima Nova"/>
          <w:i/>
          <w:iCs/>
        </w:rPr>
        <w:t>Information marked as confidential should be kept to an absolute minimum and reasons for confidentiality must be stated clearly. Marking must allow evidence and information that is likely to be fundamental to the committee's decision making to be sufficiently explained to stakeholders and users of NICE guidance”.</w:t>
      </w:r>
    </w:p>
    <w:p w14:paraId="1E1C2103" w14:textId="687E7BD6" w:rsidR="002136F8" w:rsidRPr="003E2B69" w:rsidRDefault="002136F8" w:rsidP="002136F8">
      <w:pPr>
        <w:spacing w:before="240" w:after="240" w:line="276" w:lineRule="auto"/>
        <w:jc w:val="both"/>
        <w:rPr>
          <w:sz w:val="24"/>
          <w:szCs w:val="24"/>
        </w:rPr>
      </w:pPr>
      <w:r>
        <w:t xml:space="preserve">The requirements of transparency in the context of NICE’s appraisals were considered by the Court of Appeal in </w:t>
      </w:r>
      <w:r w:rsidRPr="00673713">
        <w:rPr>
          <w:u w:val="single"/>
        </w:rPr>
        <w:t>R (on the application of Eisai Ltd) v National Institute for Health &amp; Clinical Excellence (NICE) &amp; (1) Shire Pharmaceuticals Ltd (2) Association of the British Pharmaceutical Industry (Interveners)</w:t>
      </w:r>
      <w:r>
        <w:t xml:space="preserve"> [2008] EWCA </w:t>
      </w:r>
      <w:proofErr w:type="spellStart"/>
      <w:r>
        <w:t>Civ</w:t>
      </w:r>
      <w:proofErr w:type="spellEnd"/>
      <w:r>
        <w:t xml:space="preserve"> 438.  The Court found that NICE’s procedures require disclosure to consultees of key evidence relied upon for the purposes of its decision making (in that case, an executable version of the economic model) so that this can be tested to confirm </w:t>
      </w:r>
      <w:r w:rsidRPr="00E53358">
        <w:t>reliability. The position with respect to resource costs in this appraisal is comparable.</w:t>
      </w:r>
    </w:p>
    <w:p w14:paraId="382B42A9" w14:textId="5761BC73" w:rsidR="002136F8" w:rsidRPr="00E53358" w:rsidRDefault="002136F8" w:rsidP="002136F8">
      <w:pPr>
        <w:pStyle w:val="StyleParagraph11pt"/>
        <w:rPr>
          <w:rFonts w:ascii="Proxima Nova" w:hAnsi="Proxima Nova"/>
        </w:rPr>
      </w:pPr>
      <w:bookmarkStart w:id="0" w:name="para123"/>
      <w:r w:rsidRPr="003E2B69">
        <w:rPr>
          <w:rFonts w:ascii="Proxima Nova" w:hAnsi="Proxima Nova"/>
        </w:rPr>
        <w:t xml:space="preserve">In cases such as the current appraisal, where information is held by a third party, NICE is required to investigate how information needed to ensure its decisions are transparent and may be understood, can be obtained and made available to consultees (see for example the judgment of the Court of Appeal in </w:t>
      </w:r>
      <w:r w:rsidRPr="003E2B69">
        <w:rPr>
          <w:rFonts w:ascii="Proxima Nova" w:hAnsi="Proxima Nova"/>
          <w:u w:val="single"/>
        </w:rPr>
        <w:t>Servier v NICE</w:t>
      </w:r>
      <w:r w:rsidRPr="003E2B69">
        <w:rPr>
          <w:rFonts w:ascii="Proxima Nova" w:hAnsi="Proxima Nova"/>
        </w:rPr>
        <w:t xml:space="preserve"> [2010] EWCA </w:t>
      </w:r>
      <w:proofErr w:type="spellStart"/>
      <w:r w:rsidRPr="003E2B69">
        <w:rPr>
          <w:rFonts w:ascii="Proxima Nova" w:hAnsi="Proxima Nova"/>
        </w:rPr>
        <w:t>Civ</w:t>
      </w:r>
      <w:proofErr w:type="spellEnd"/>
      <w:r w:rsidRPr="003E2B69">
        <w:rPr>
          <w:rFonts w:ascii="Proxima Nova" w:hAnsi="Proxima Nova"/>
        </w:rPr>
        <w:t xml:space="preserve"> 346). </w:t>
      </w:r>
      <w:r w:rsidRPr="00E53358">
        <w:rPr>
          <w:rFonts w:ascii="Proxima Nova" w:hAnsi="Proxima Nova"/>
        </w:rPr>
        <w:t xml:space="preserve">The Court in </w:t>
      </w:r>
      <w:r w:rsidRPr="00E53358">
        <w:rPr>
          <w:rFonts w:ascii="Proxima Nova" w:hAnsi="Proxima Nova"/>
          <w:u w:val="single"/>
        </w:rPr>
        <w:t>Servier</w:t>
      </w:r>
      <w:r w:rsidRPr="00E53358">
        <w:rPr>
          <w:rFonts w:ascii="Proxima Nova" w:hAnsi="Proxima Nova"/>
        </w:rPr>
        <w:t xml:space="preserve"> formulated NICE’s duty as follows:</w:t>
      </w:r>
    </w:p>
    <w:p w14:paraId="6EA92DAD" w14:textId="77777777" w:rsidR="002136F8" w:rsidRDefault="002136F8" w:rsidP="002136F8">
      <w:pPr>
        <w:pStyle w:val="StyleParagraph11pt"/>
        <w:rPr>
          <w:rFonts w:ascii="Proxima Nova" w:hAnsi="Proxima Nova"/>
        </w:rPr>
      </w:pPr>
      <w:r>
        <w:rPr>
          <w:rFonts w:ascii="Proxima Nova" w:hAnsi="Proxima Nova"/>
        </w:rPr>
        <w:t>“</w:t>
      </w:r>
      <w:r w:rsidRPr="00611957">
        <w:rPr>
          <w:rFonts w:ascii="Proxima Nova" w:hAnsi="Proxima Nova"/>
          <w:i/>
          <w:iCs/>
        </w:rPr>
        <w:t>Even after a confidentiality undertaking has been justifiably given, NICE remains under a positive duty, at appropriate stages in the process, to take all reasonable steps to obtain permission to disclose the information. In deciding what are reasonable steps it must keep firmly in mind the high importance of fairness and transparency, and the importance of the respective information to understanding the appraisal. Having regard to the decision of the Court of Appeal in </w:t>
      </w:r>
      <w:r w:rsidRPr="00611957">
        <w:rPr>
          <w:rFonts w:ascii="Proxima Nova" w:hAnsi="Proxima Nova"/>
          <w:i/>
          <w:iCs/>
          <w:u w:val="single"/>
        </w:rPr>
        <w:t>Eisai v NICE</w:t>
      </w:r>
      <w:r w:rsidRPr="00611957">
        <w:rPr>
          <w:rFonts w:ascii="Proxima Nova" w:hAnsi="Proxima Nova"/>
          <w:i/>
          <w:iCs/>
        </w:rPr>
        <w:t>, it must particularly strive to seek permission to disclose the economic model and /or the data contained therein</w:t>
      </w:r>
      <w:bookmarkEnd w:id="0"/>
      <w:r w:rsidRPr="00611957">
        <w:rPr>
          <w:rFonts w:ascii="Proxima Nova" w:hAnsi="Proxima Nova"/>
          <w:i/>
          <w:iCs/>
        </w:rPr>
        <w:t>”.</w:t>
      </w:r>
    </w:p>
    <w:p w14:paraId="6B4A2F58" w14:textId="25967701" w:rsidR="002136F8" w:rsidRPr="00BD658E" w:rsidRDefault="002136F8" w:rsidP="002136F8">
      <w:pPr>
        <w:spacing w:before="240" w:after="240" w:line="276" w:lineRule="auto"/>
        <w:jc w:val="both"/>
      </w:pPr>
      <w:r>
        <w:t xml:space="preserve">In the current appraisal, there is no transparency of a key element determining the cost effectiveness of </w:t>
      </w:r>
      <w:proofErr w:type="spellStart"/>
      <w:r>
        <w:t>brexu</w:t>
      </w:r>
      <w:proofErr w:type="spellEnd"/>
      <w:r>
        <w:t xml:space="preserve">-cel, namely the costs of administration, stated by NHSE to be represented by the CAR-T Tariff </w:t>
      </w:r>
      <w:r w:rsidR="00B456FB">
        <w:t xml:space="preserve">(plus ICU costs) </w:t>
      </w:r>
      <w:r>
        <w:t>and accepted by the Committee without adequate or any investigation.  Importantly, while details of the CAR-T Tariff are held by NHSE and not, so far as Gilead is aware, by NICE, this does not relieve NICE of its obligation to achieve transparency.  However</w:t>
      </w:r>
      <w:r w:rsidR="00C708E8">
        <w:t>,</w:t>
      </w:r>
      <w:r>
        <w:t xml:space="preserve"> it is unclear what efforts NICE has made, consistent with the decision of the Court in </w:t>
      </w:r>
      <w:r w:rsidRPr="00611957">
        <w:rPr>
          <w:u w:val="single"/>
        </w:rPr>
        <w:t>Servier</w:t>
      </w:r>
      <w:r>
        <w:t xml:space="preserve"> to obtain disclosure of details of the CAR-T Tariff from NHSE. No explanation has been provided by NICE or NHSE of the reasons why such details have been withheld from proper scrutiny</w:t>
      </w:r>
      <w:r w:rsidR="00D80428">
        <w:t>,</w:t>
      </w:r>
      <w:r>
        <w:t xml:space="preserve"> or the efforts made by NICE to achieve disclosure.  </w:t>
      </w:r>
      <w:r w:rsidRPr="00BD658E">
        <w:t>Furthermore, Gilead believes that fairness requires that NICE should be cautious about accepting evidence from a third party which cannot be adequately interrogated or understood.</w:t>
      </w:r>
    </w:p>
    <w:p w14:paraId="18073995" w14:textId="77777777" w:rsidR="002136F8" w:rsidRPr="00611957" w:rsidRDefault="002136F8" w:rsidP="002136F8">
      <w:pPr>
        <w:pStyle w:val="StyleParagraph11pt"/>
        <w:rPr>
          <w:rFonts w:ascii="Proxima Nova" w:hAnsi="Proxima Nova"/>
          <w:u w:val="single"/>
        </w:rPr>
      </w:pPr>
      <w:r w:rsidRPr="00611957">
        <w:rPr>
          <w:rFonts w:ascii="Proxima Nova" w:hAnsi="Proxima Nova"/>
          <w:u w:val="single"/>
        </w:rPr>
        <w:t>The Committee has not subjected the CAR-T Tariff proposed by NHSE to appropriate scrutiny</w:t>
      </w:r>
    </w:p>
    <w:p w14:paraId="6838D148" w14:textId="77777777" w:rsidR="002136F8" w:rsidRDefault="002136F8" w:rsidP="002136F8">
      <w:pPr>
        <w:pStyle w:val="StyleParagraph11pt"/>
        <w:rPr>
          <w:rFonts w:ascii="Proxima Nova" w:hAnsi="Proxima Nova"/>
        </w:rPr>
      </w:pPr>
      <w:r>
        <w:rPr>
          <w:rFonts w:ascii="Proxima Nova" w:hAnsi="Proxima Nova"/>
        </w:rPr>
        <w:lastRenderedPageBreak/>
        <w:t>While the CAR-T Tariff plus ICU costs proposed for this appraisal amounts to an approximate doubling of the resource costs accepted by NHSE and by NICE for the purposes of prior appraisals of CAR-T therapies, the Committee has not investigated these costs to confirm that the calculations are reliable and the figures plausible.  It has</w:t>
      </w:r>
      <w:proofErr w:type="gramStart"/>
      <w:r>
        <w:rPr>
          <w:rFonts w:ascii="Proxima Nova" w:hAnsi="Proxima Nova"/>
        </w:rPr>
        <w:t>, in particular, failed</w:t>
      </w:r>
      <w:proofErr w:type="gramEnd"/>
      <w:r>
        <w:rPr>
          <w:rFonts w:ascii="Proxima Nova" w:hAnsi="Proxima Nova"/>
        </w:rPr>
        <w:t xml:space="preserve"> to </w:t>
      </w:r>
      <w:proofErr w:type="gramStart"/>
      <w:r>
        <w:rPr>
          <w:rFonts w:ascii="Proxima Nova" w:hAnsi="Proxima Nova"/>
        </w:rPr>
        <w:t>take into account</w:t>
      </w:r>
      <w:proofErr w:type="gramEnd"/>
      <w:r>
        <w:rPr>
          <w:rFonts w:ascii="Proxima Nova" w:hAnsi="Proxima Nova"/>
        </w:rPr>
        <w:t xml:space="preserve"> the following matters when considering the CAR-T Tariff: </w:t>
      </w:r>
    </w:p>
    <w:p w14:paraId="66C1B449" w14:textId="75786A52" w:rsidR="002136F8" w:rsidRDefault="002136F8" w:rsidP="002136F8">
      <w:pPr>
        <w:pStyle w:val="StyleParagraph11pt"/>
        <w:numPr>
          <w:ilvl w:val="0"/>
          <w:numId w:val="27"/>
        </w:numPr>
        <w:rPr>
          <w:rFonts w:ascii="Proxima Nova" w:hAnsi="Proxima Nova"/>
        </w:rPr>
      </w:pPr>
      <w:r w:rsidRPr="0011041B">
        <w:rPr>
          <w:rFonts w:ascii="Proxima Nova" w:hAnsi="Proxima Nova"/>
        </w:rPr>
        <w:t xml:space="preserve">The clinical treatment most </w:t>
      </w:r>
      <w:proofErr w:type="gramStart"/>
      <w:r w:rsidRPr="0011041B">
        <w:rPr>
          <w:rFonts w:ascii="Proxima Nova" w:hAnsi="Proxima Nova"/>
        </w:rPr>
        <w:t>similar to</w:t>
      </w:r>
      <w:proofErr w:type="gramEnd"/>
      <w:r w:rsidRPr="0011041B">
        <w:rPr>
          <w:rFonts w:ascii="Proxima Nova" w:hAnsi="Proxima Nova"/>
        </w:rPr>
        <w:t xml:space="preserve"> CAR-T treatment in terms of complexity and NHS activity is autologous stem cell transplant (ASCT) which has a</w:t>
      </w:r>
      <w:r w:rsidR="00454E96">
        <w:rPr>
          <w:rFonts w:ascii="Proxima Nova" w:hAnsi="Proxima Nova"/>
        </w:rPr>
        <w:t>n</w:t>
      </w:r>
      <w:r>
        <w:rPr>
          <w:rFonts w:ascii="Proxima Nova" w:hAnsi="Proxima Nova"/>
        </w:rPr>
        <w:t xml:space="preserve"> </w:t>
      </w:r>
      <w:r w:rsidR="00641EAC">
        <w:rPr>
          <w:rFonts w:ascii="Proxima Nova" w:hAnsi="Proxima Nova"/>
        </w:rPr>
        <w:t xml:space="preserve">NHS </w:t>
      </w:r>
      <w:r w:rsidR="00905155">
        <w:rPr>
          <w:rFonts w:ascii="Proxima Nova" w:hAnsi="Proxima Nova"/>
        </w:rPr>
        <w:t xml:space="preserve">guide </w:t>
      </w:r>
      <w:r w:rsidR="007A4E27">
        <w:rPr>
          <w:rFonts w:ascii="Proxima Nova" w:hAnsi="Proxima Nova"/>
        </w:rPr>
        <w:t>price</w:t>
      </w:r>
      <w:r w:rsidRPr="0011041B">
        <w:rPr>
          <w:rFonts w:ascii="Proxima Nova" w:hAnsi="Proxima Nova"/>
        </w:rPr>
        <w:t xml:space="preserve"> of </w:t>
      </w:r>
      <w:r w:rsidR="00A71CA4">
        <w:rPr>
          <w:rFonts w:ascii="Proxima Nova" w:hAnsi="Proxima Nova"/>
        </w:rPr>
        <w:t>£</w:t>
      </w:r>
      <w:r w:rsidR="00FB275D">
        <w:rPr>
          <w:rFonts w:ascii="Proxima Nova" w:hAnsi="Proxima Nova"/>
        </w:rPr>
        <w:t>35,119 (2025/2026</w:t>
      </w:r>
      <w:r w:rsidRPr="0011041B">
        <w:rPr>
          <w:rFonts w:ascii="Proxima Nova" w:hAnsi="Proxima Nova"/>
        </w:rPr>
        <w:t xml:space="preserve"> </w:t>
      </w:r>
      <w:r w:rsidR="00FD1E8E">
        <w:rPr>
          <w:rFonts w:ascii="Proxima Nova" w:hAnsi="Proxima Nova"/>
        </w:rPr>
        <w:t>NHSPS</w:t>
      </w:r>
      <w:r w:rsidRPr="0011041B">
        <w:rPr>
          <w:rFonts w:ascii="Proxima Nova" w:hAnsi="Proxima Nova"/>
        </w:rPr>
        <w:t xml:space="preserve"> </w:t>
      </w:r>
      <w:r w:rsidR="00905155">
        <w:rPr>
          <w:rFonts w:ascii="Proxima Nova" w:hAnsi="Proxima Nova"/>
        </w:rPr>
        <w:t xml:space="preserve">HRG code </w:t>
      </w:r>
      <w:r w:rsidRPr="0011041B">
        <w:rPr>
          <w:rFonts w:ascii="Proxima Nova" w:hAnsi="Proxima Nova"/>
        </w:rPr>
        <w:t>SA26A). The discrepancy between the CAR</w:t>
      </w:r>
      <w:r>
        <w:rPr>
          <w:rFonts w:ascii="Proxima Nova" w:hAnsi="Proxima Nova"/>
        </w:rPr>
        <w:t>-</w:t>
      </w:r>
      <w:r w:rsidRPr="0011041B">
        <w:rPr>
          <w:rFonts w:ascii="Proxima Nova" w:hAnsi="Proxima Nova"/>
        </w:rPr>
        <w:t>T</w:t>
      </w:r>
      <w:r>
        <w:rPr>
          <w:rFonts w:ascii="Proxima Nova" w:hAnsi="Proxima Nova"/>
        </w:rPr>
        <w:t xml:space="preserve"> Tariff</w:t>
      </w:r>
      <w:r w:rsidRPr="0011041B">
        <w:rPr>
          <w:rFonts w:ascii="Proxima Nova" w:hAnsi="Proxima Nova"/>
        </w:rPr>
        <w:t xml:space="preserve"> and </w:t>
      </w:r>
      <w:r>
        <w:rPr>
          <w:rFonts w:ascii="Proxima Nova" w:hAnsi="Proxima Nova"/>
        </w:rPr>
        <w:t xml:space="preserve">the </w:t>
      </w:r>
      <w:r w:rsidRPr="0011041B">
        <w:rPr>
          <w:rFonts w:ascii="Proxima Nova" w:hAnsi="Proxima Nova"/>
        </w:rPr>
        <w:t xml:space="preserve">ASCT </w:t>
      </w:r>
      <w:r>
        <w:rPr>
          <w:rFonts w:ascii="Proxima Nova" w:hAnsi="Proxima Nova"/>
        </w:rPr>
        <w:t xml:space="preserve">HRG figures is counter-intuitive and </w:t>
      </w:r>
      <w:r w:rsidRPr="0011041B">
        <w:rPr>
          <w:rFonts w:ascii="Proxima Nova" w:hAnsi="Proxima Nova"/>
        </w:rPr>
        <w:t xml:space="preserve">suggests that the </w:t>
      </w:r>
      <w:r>
        <w:rPr>
          <w:rFonts w:ascii="Proxima Nova" w:hAnsi="Proxima Nova"/>
        </w:rPr>
        <w:t xml:space="preserve">CAR-T Tariff is likely to overstate </w:t>
      </w:r>
      <w:r w:rsidRPr="0011041B">
        <w:rPr>
          <w:rFonts w:ascii="Proxima Nova" w:hAnsi="Proxima Nova"/>
        </w:rPr>
        <w:t>the actual resources required for CAR</w:t>
      </w:r>
      <w:r w:rsidR="00044FF2">
        <w:rPr>
          <w:rFonts w:ascii="Proxima Nova" w:hAnsi="Proxima Nova"/>
        </w:rPr>
        <w:t>-</w:t>
      </w:r>
      <w:r w:rsidRPr="0011041B">
        <w:rPr>
          <w:rFonts w:ascii="Proxima Nova" w:hAnsi="Proxima Nova"/>
        </w:rPr>
        <w:t>T</w:t>
      </w:r>
      <w:r w:rsidR="00044FF2">
        <w:rPr>
          <w:rFonts w:ascii="Proxima Nova" w:hAnsi="Proxima Nova"/>
        </w:rPr>
        <w:t xml:space="preserve"> </w:t>
      </w:r>
      <w:r w:rsidRPr="0011041B">
        <w:rPr>
          <w:rFonts w:ascii="Proxima Nova" w:hAnsi="Proxima Nova"/>
        </w:rPr>
        <w:t xml:space="preserve">cell therapy delivery. </w:t>
      </w:r>
    </w:p>
    <w:p w14:paraId="19038884" w14:textId="77777777" w:rsidR="00CC4D4F" w:rsidRDefault="002136F8" w:rsidP="002136F8">
      <w:pPr>
        <w:pStyle w:val="StyleParagraph11pt"/>
        <w:numPr>
          <w:ilvl w:val="0"/>
          <w:numId w:val="27"/>
        </w:numPr>
        <w:rPr>
          <w:rFonts w:ascii="Proxima Nova" w:hAnsi="Proxima Nova"/>
        </w:rPr>
      </w:pPr>
      <w:r>
        <w:rPr>
          <w:rFonts w:ascii="Proxima Nova" w:hAnsi="Proxima Nova"/>
        </w:rPr>
        <w:t>T</w:t>
      </w:r>
      <w:r w:rsidRPr="00B034AB">
        <w:rPr>
          <w:rFonts w:ascii="Proxima Nova" w:hAnsi="Proxima Nova"/>
        </w:rPr>
        <w:t xml:space="preserve">he </w:t>
      </w:r>
      <w:r>
        <w:rPr>
          <w:rFonts w:ascii="Proxima Nova" w:hAnsi="Proxima Nova"/>
        </w:rPr>
        <w:t>CAR-T T</w:t>
      </w:r>
      <w:r w:rsidRPr="00B034AB">
        <w:rPr>
          <w:rFonts w:ascii="Proxima Nova" w:hAnsi="Proxima Nova"/>
        </w:rPr>
        <w:t xml:space="preserve">ariff </w:t>
      </w:r>
      <w:r>
        <w:rPr>
          <w:rFonts w:ascii="Proxima Nova" w:hAnsi="Proxima Nova"/>
        </w:rPr>
        <w:t xml:space="preserve">figure proposed by NHSE </w:t>
      </w:r>
      <w:r w:rsidRPr="00B034AB">
        <w:rPr>
          <w:rFonts w:ascii="Proxima Nova" w:hAnsi="Proxima Nova"/>
        </w:rPr>
        <w:t xml:space="preserve">is far higher than the costs identified by </w:t>
      </w:r>
      <w:r>
        <w:rPr>
          <w:rFonts w:ascii="Proxima Nova" w:hAnsi="Proxima Nova"/>
        </w:rPr>
        <w:t>Gilead</w:t>
      </w:r>
      <w:r w:rsidRPr="00B034AB">
        <w:rPr>
          <w:rFonts w:ascii="Proxima Nova" w:hAnsi="Proxima Nova"/>
        </w:rPr>
        <w:t xml:space="preserve"> in a targeted literature review. The review identified six published studies</w:t>
      </w:r>
      <w:r w:rsidR="00C408C3">
        <w:rPr>
          <w:rStyle w:val="EndnoteReference"/>
          <w:rFonts w:ascii="Proxima Nova" w:hAnsi="Proxima Nova"/>
        </w:rPr>
        <w:endnoteReference w:id="3"/>
      </w:r>
      <w:r w:rsidRPr="00B034AB">
        <w:rPr>
          <w:rFonts w:ascii="Proxima Nova" w:hAnsi="Proxima Nova"/>
        </w:rPr>
        <w:t xml:space="preserve"> that provide absolute or comparative cost data for CAR</w:t>
      </w:r>
      <w:r>
        <w:rPr>
          <w:rFonts w:ascii="Proxima Nova" w:hAnsi="Proxima Nova"/>
        </w:rPr>
        <w:t>-</w:t>
      </w:r>
      <w:r w:rsidRPr="00B034AB">
        <w:rPr>
          <w:rFonts w:ascii="Proxima Nova" w:hAnsi="Proxima Nova"/>
        </w:rPr>
        <w:t>T</w:t>
      </w:r>
      <w:r>
        <w:rPr>
          <w:rFonts w:ascii="Proxima Nova" w:hAnsi="Proxima Nova"/>
        </w:rPr>
        <w:t xml:space="preserve"> </w:t>
      </w:r>
      <w:r w:rsidRPr="00B034AB">
        <w:rPr>
          <w:rFonts w:ascii="Proxima Nova" w:hAnsi="Proxima Nova"/>
        </w:rPr>
        <w:t xml:space="preserve">cell therapies and/or </w:t>
      </w:r>
      <w:proofErr w:type="spellStart"/>
      <w:r w:rsidRPr="00B034AB">
        <w:rPr>
          <w:rFonts w:ascii="Proxima Nova" w:hAnsi="Proxima Nova"/>
        </w:rPr>
        <w:t>allo</w:t>
      </w:r>
      <w:proofErr w:type="spellEnd"/>
      <w:r w:rsidRPr="00B034AB">
        <w:rPr>
          <w:rFonts w:ascii="Proxima Nova" w:hAnsi="Proxima Nova"/>
        </w:rPr>
        <w:t>- and/or autologous stem cell transplant (auto-SCT). Across all studies, the mean total hospitalization costs associated with inpatient CAR T-cell administration was £35,402 (converted value, including US studies where healthcare costs are far higher).</w:t>
      </w:r>
      <w:r w:rsidR="00044FF2">
        <w:rPr>
          <w:rFonts w:ascii="Proxima Nova" w:hAnsi="Proxima Nova"/>
        </w:rPr>
        <w:t xml:space="preserve"> </w:t>
      </w:r>
    </w:p>
    <w:p w14:paraId="302E3B66" w14:textId="279BA487" w:rsidR="002136F8" w:rsidRDefault="002136F8" w:rsidP="002136F8">
      <w:pPr>
        <w:pStyle w:val="StyleParagraph11pt"/>
        <w:numPr>
          <w:ilvl w:val="0"/>
          <w:numId w:val="27"/>
        </w:numPr>
        <w:rPr>
          <w:rFonts w:ascii="Proxima Nova" w:hAnsi="Proxima Nova"/>
        </w:rPr>
      </w:pPr>
      <w:r>
        <w:rPr>
          <w:rFonts w:ascii="Proxima Nova" w:hAnsi="Proxima Nova"/>
        </w:rPr>
        <w:t>T</w:t>
      </w:r>
      <w:r w:rsidRPr="1C5FC9CD">
        <w:rPr>
          <w:rFonts w:ascii="Proxima Nova" w:hAnsi="Proxima Nova"/>
        </w:rPr>
        <w:t>he EAG in this appraisal produced its own estimate of the cost of CAR-T administration (EAG</w:t>
      </w:r>
      <w:r>
        <w:rPr>
          <w:rFonts w:ascii="Proxima Nova" w:hAnsi="Proxima Nova"/>
        </w:rPr>
        <w:t xml:space="preserve"> Report</w:t>
      </w:r>
      <w:r w:rsidRPr="1C5FC9CD">
        <w:rPr>
          <w:rFonts w:ascii="Proxima Nova" w:hAnsi="Proxima Nova"/>
        </w:rPr>
        <w:t xml:space="preserve"> addendum Table 8). This bottom-up costing included the costs of ICU stay. </w:t>
      </w:r>
      <w:r>
        <w:rPr>
          <w:rFonts w:ascii="Proxima Nova" w:hAnsi="Proxima Nova"/>
        </w:rPr>
        <w:t xml:space="preserve">The EAG estimated cost is </w:t>
      </w:r>
      <w:r w:rsidRPr="0026110C">
        <w:rPr>
          <w:rFonts w:ascii="Proxima Nova" w:hAnsi="Proxima Nova"/>
        </w:rPr>
        <w:t>£60,845</w:t>
      </w:r>
      <w:r>
        <w:rPr>
          <w:rFonts w:ascii="Proxima Nova" w:hAnsi="Proxima Nova"/>
        </w:rPr>
        <w:t xml:space="preserve">, </w:t>
      </w:r>
      <w:r w:rsidRPr="1C5FC9CD">
        <w:rPr>
          <w:rFonts w:ascii="Proxima Nova" w:hAnsi="Proxima Nova"/>
        </w:rPr>
        <w:t>and</w:t>
      </w:r>
      <w:r>
        <w:rPr>
          <w:rFonts w:ascii="Proxima Nova" w:hAnsi="Proxima Nova"/>
        </w:rPr>
        <w:t xml:space="preserve"> following exclusion of</w:t>
      </w:r>
      <w:r w:rsidRPr="1C5FC9CD">
        <w:rPr>
          <w:rFonts w:ascii="Proxima Nova" w:hAnsi="Proxima Nova"/>
        </w:rPr>
        <w:t xml:space="preserve"> the cost of IVIg (</w:t>
      </w:r>
      <w:r>
        <w:rPr>
          <w:rFonts w:ascii="Proxima Nova" w:hAnsi="Proxima Nova"/>
        </w:rPr>
        <w:t>not included in the previously agreed NHS CAR-T tariff</w:t>
      </w:r>
      <w:r w:rsidRPr="1C5FC9CD">
        <w:rPr>
          <w:rFonts w:ascii="Proxima Nova" w:hAnsi="Proxima Nova"/>
        </w:rPr>
        <w:t xml:space="preserve">), the EAG estimated cost is </w:t>
      </w:r>
      <w:r>
        <w:rPr>
          <w:rFonts w:ascii="Proxima Nova" w:hAnsi="Proxima Nova"/>
        </w:rPr>
        <w:t xml:space="preserve">£46,822, </w:t>
      </w:r>
      <w:r w:rsidRPr="1C5FC9CD">
        <w:rPr>
          <w:rFonts w:ascii="Proxima Nova" w:hAnsi="Proxima Nova"/>
        </w:rPr>
        <w:t>close to the</w:t>
      </w:r>
      <w:r>
        <w:rPr>
          <w:rFonts w:ascii="Proxima Nova" w:hAnsi="Proxima Nova"/>
        </w:rPr>
        <w:t xml:space="preserve"> previously</w:t>
      </w:r>
      <w:r w:rsidRPr="1C5FC9CD">
        <w:rPr>
          <w:rFonts w:ascii="Proxima Nova" w:hAnsi="Proxima Nova"/>
        </w:rPr>
        <w:t xml:space="preserve"> agreed tariff figure of £41,101</w:t>
      </w:r>
      <w:r>
        <w:rPr>
          <w:rFonts w:ascii="Proxima Nova" w:hAnsi="Proxima Nova"/>
        </w:rPr>
        <w:t>, however the EAG’s figure and any consideration by the Committee is not mentioned in the FDG</w:t>
      </w:r>
      <w:r w:rsidRPr="1C5FC9CD">
        <w:rPr>
          <w:rFonts w:ascii="Proxima Nova" w:hAnsi="Proxima Nova"/>
        </w:rPr>
        <w:t xml:space="preserve">. </w:t>
      </w:r>
    </w:p>
    <w:p w14:paraId="78A97A96" w14:textId="566FA54B" w:rsidR="002136F8" w:rsidRPr="0011041B" w:rsidRDefault="002136F8" w:rsidP="002136F8">
      <w:pPr>
        <w:pStyle w:val="StyleParagraph11pt"/>
        <w:numPr>
          <w:ilvl w:val="0"/>
          <w:numId w:val="27"/>
        </w:numPr>
        <w:rPr>
          <w:rFonts w:ascii="Proxima Nova" w:hAnsi="Proxima Nova"/>
        </w:rPr>
      </w:pPr>
      <w:r>
        <w:rPr>
          <w:rFonts w:ascii="Proxima Nova" w:hAnsi="Proxima Nova"/>
        </w:rPr>
        <w:t xml:space="preserve">The substantial increase in the </w:t>
      </w:r>
      <w:r w:rsidRPr="06EDCAE8">
        <w:rPr>
          <w:rFonts w:ascii="Proxima Nova" w:hAnsi="Proxima Nova"/>
        </w:rPr>
        <w:t xml:space="preserve">CAR-T </w:t>
      </w:r>
      <w:r>
        <w:rPr>
          <w:rFonts w:ascii="Proxima Nova" w:hAnsi="Proxima Nova"/>
        </w:rPr>
        <w:t>T</w:t>
      </w:r>
      <w:r w:rsidRPr="06EDCAE8">
        <w:rPr>
          <w:rFonts w:ascii="Proxima Nova" w:hAnsi="Proxima Nova"/>
        </w:rPr>
        <w:t xml:space="preserve">ariff </w:t>
      </w:r>
      <w:r>
        <w:rPr>
          <w:rFonts w:ascii="Proxima Nova" w:hAnsi="Proxima Nova"/>
        </w:rPr>
        <w:t xml:space="preserve">relative to the costs </w:t>
      </w:r>
      <w:proofErr w:type="gramStart"/>
      <w:r>
        <w:rPr>
          <w:rFonts w:ascii="Proxima Nova" w:hAnsi="Proxima Nova"/>
        </w:rPr>
        <w:t>taken into account</w:t>
      </w:r>
      <w:proofErr w:type="gramEnd"/>
      <w:r>
        <w:rPr>
          <w:rFonts w:ascii="Proxima Nova" w:hAnsi="Proxima Nova"/>
        </w:rPr>
        <w:t xml:space="preserve"> for the purpose of earlier appraisals does not take account of </w:t>
      </w:r>
      <w:r w:rsidRPr="06EDCAE8">
        <w:rPr>
          <w:rFonts w:ascii="Proxima Nova" w:hAnsi="Proxima Nova"/>
        </w:rPr>
        <w:t>the fact that the infrastructure for CAR</w:t>
      </w:r>
      <w:r>
        <w:rPr>
          <w:rFonts w:ascii="Proxima Nova" w:hAnsi="Proxima Nova"/>
        </w:rPr>
        <w:t>-</w:t>
      </w:r>
      <w:r w:rsidRPr="06EDCAE8">
        <w:rPr>
          <w:rFonts w:ascii="Proxima Nova" w:hAnsi="Proxima Nova"/>
        </w:rPr>
        <w:t>T cell therapy delivery within the NHS is now well-established. Additionally, healthcare professionals now have significant experience delivering this treatment, and the expected increase in patient numbers will only further enhance efficiency in NHS delivery</w:t>
      </w:r>
      <w:r>
        <w:rPr>
          <w:rFonts w:ascii="Proxima Nova" w:hAnsi="Proxima Nova"/>
        </w:rPr>
        <w:t>.</w:t>
      </w:r>
    </w:p>
    <w:p w14:paraId="18D0D816" w14:textId="77777777" w:rsidR="002136F8" w:rsidRDefault="002136F8" w:rsidP="002136F8">
      <w:pPr>
        <w:pStyle w:val="StyleParagraph11pt"/>
        <w:numPr>
          <w:ilvl w:val="0"/>
          <w:numId w:val="27"/>
        </w:numPr>
        <w:rPr>
          <w:rFonts w:ascii="Proxima Nova" w:hAnsi="Proxima Nova"/>
        </w:rPr>
      </w:pPr>
      <w:r w:rsidRPr="009726B9">
        <w:rPr>
          <w:rFonts w:ascii="Proxima Nova" w:hAnsi="Proxima Nova"/>
        </w:rPr>
        <w:t>A 2023 study of 726 UK</w:t>
      </w:r>
      <w:r w:rsidRPr="1C5FC9CD">
        <w:rPr>
          <w:rFonts w:ascii="Proxima Nova" w:hAnsi="Proxima Nova"/>
        </w:rPr>
        <w:t xml:space="preserve"> patients treated with CAR</w:t>
      </w:r>
      <w:r>
        <w:rPr>
          <w:rFonts w:ascii="Proxima Nova" w:hAnsi="Proxima Nova"/>
        </w:rPr>
        <w:t>-</w:t>
      </w:r>
      <w:r w:rsidRPr="1C5FC9CD">
        <w:rPr>
          <w:rFonts w:ascii="Proxima Nova" w:hAnsi="Proxima Nova"/>
        </w:rPr>
        <w:t>T for relapsing and remitting large B-cell lymphoma also demonstrated that the costs of delivering CAR</w:t>
      </w:r>
      <w:r>
        <w:rPr>
          <w:rFonts w:ascii="Proxima Nova" w:hAnsi="Proxima Nova"/>
        </w:rPr>
        <w:t>-</w:t>
      </w:r>
      <w:r w:rsidRPr="1C5FC9CD">
        <w:rPr>
          <w:rFonts w:ascii="Proxima Nova" w:hAnsi="Proxima Nova"/>
        </w:rPr>
        <w:t>T should be decreasing with scale and experience. This is due to a significant reduction in incidence of</w:t>
      </w:r>
      <w:r>
        <w:rPr>
          <w:rFonts w:ascii="Proxima Nova" w:hAnsi="Proxima Nova"/>
        </w:rPr>
        <w:t xml:space="preserve"> </w:t>
      </w:r>
      <w:proofErr w:type="gramStart"/>
      <w:r>
        <w:rPr>
          <w:rFonts w:ascii="Proxima Nova" w:hAnsi="Proxima Nova"/>
        </w:rPr>
        <w:t>high grade</w:t>
      </w:r>
      <w:proofErr w:type="gramEnd"/>
      <w:r w:rsidRPr="1C5FC9CD">
        <w:rPr>
          <w:rFonts w:ascii="Proxima Nova" w:hAnsi="Proxima Nova"/>
        </w:rPr>
        <w:t xml:space="preserve"> cytokine release syndrome and need for ICU admissions over time</w:t>
      </w:r>
      <w:r>
        <w:rPr>
          <w:rStyle w:val="EndnoteReference"/>
          <w:rFonts w:ascii="Proxima Nova" w:hAnsi="Proxima Nova"/>
        </w:rPr>
        <w:endnoteReference w:id="4"/>
      </w:r>
      <w:r>
        <w:rPr>
          <w:rFonts w:ascii="Proxima Nova" w:hAnsi="Proxima Nova"/>
        </w:rPr>
        <w:t xml:space="preserve">. </w:t>
      </w:r>
    </w:p>
    <w:p w14:paraId="1EFE86C1" w14:textId="27B202E4" w:rsidR="002136F8" w:rsidRPr="00145552" w:rsidRDefault="002136F8" w:rsidP="002136F8">
      <w:pPr>
        <w:pStyle w:val="StyleParagraph11pt"/>
        <w:numPr>
          <w:ilvl w:val="0"/>
          <w:numId w:val="27"/>
        </w:numPr>
        <w:rPr>
          <w:rFonts w:ascii="Proxima Nova" w:hAnsi="Proxima Nova"/>
        </w:rPr>
      </w:pPr>
      <w:r>
        <w:rPr>
          <w:rFonts w:ascii="Proxima Nova" w:hAnsi="Proxima Nova"/>
        </w:rPr>
        <w:t>I</w:t>
      </w:r>
      <w:r w:rsidRPr="1B5EC0E3">
        <w:rPr>
          <w:rFonts w:ascii="Proxima Nova" w:hAnsi="Proxima Nova"/>
        </w:rPr>
        <w:t xml:space="preserve">t </w:t>
      </w:r>
      <w:r>
        <w:rPr>
          <w:rFonts w:ascii="Proxima Nova" w:hAnsi="Proxima Nova"/>
        </w:rPr>
        <w:t xml:space="preserve">is </w:t>
      </w:r>
      <w:r w:rsidRPr="1B5EC0E3">
        <w:rPr>
          <w:rFonts w:ascii="Proxima Nova" w:hAnsi="Proxima Nova"/>
        </w:rPr>
        <w:t xml:space="preserve">implausible for the costs of providing CAR-T treatment </w:t>
      </w:r>
      <w:r>
        <w:rPr>
          <w:rFonts w:ascii="Proxima Nova" w:hAnsi="Proxima Nova"/>
        </w:rPr>
        <w:t xml:space="preserve">(including ICU costs) </w:t>
      </w:r>
      <w:r w:rsidRPr="1B5EC0E3">
        <w:rPr>
          <w:rFonts w:ascii="Proxima Nova" w:hAnsi="Proxima Nova"/>
        </w:rPr>
        <w:t xml:space="preserve">to </w:t>
      </w:r>
      <w:r>
        <w:rPr>
          <w:rFonts w:ascii="Proxima Nova" w:hAnsi="Proxima Nova"/>
        </w:rPr>
        <w:t>increase almost two-fold from May 2024 (TA975) and no reasons to justify this have been provided in the FDG</w:t>
      </w:r>
      <w:r w:rsidRPr="1B5EC0E3">
        <w:rPr>
          <w:rFonts w:ascii="Proxima Nova" w:hAnsi="Proxima Nova"/>
        </w:rPr>
        <w:t xml:space="preserve">.  </w:t>
      </w:r>
    </w:p>
    <w:p w14:paraId="25846DE3" w14:textId="77777777" w:rsidR="002136F8" w:rsidRPr="00611957" w:rsidRDefault="002136F8" w:rsidP="002136F8">
      <w:pPr>
        <w:pStyle w:val="StyleParagraph11pt"/>
        <w:rPr>
          <w:rFonts w:ascii="Proxima Nova" w:hAnsi="Proxima Nova"/>
          <w:u w:val="single"/>
        </w:rPr>
      </w:pPr>
      <w:r w:rsidRPr="00611957">
        <w:rPr>
          <w:rFonts w:ascii="Proxima Nova" w:hAnsi="Proxima Nova"/>
          <w:u w:val="single"/>
        </w:rPr>
        <w:t xml:space="preserve">Further information regarding the CAR-T Tariff which has become available after ACM2 further supports the requirement for scrutiny of the proposed figure </w:t>
      </w:r>
    </w:p>
    <w:p w14:paraId="647853C9" w14:textId="7D922D57" w:rsidR="002136F8" w:rsidRPr="0011041B" w:rsidRDefault="002136F8" w:rsidP="002136F8">
      <w:pPr>
        <w:pStyle w:val="StyleParagraph11pt"/>
        <w:rPr>
          <w:rFonts w:ascii="Proxima Nova" w:hAnsi="Proxima Nova"/>
        </w:rPr>
      </w:pPr>
      <w:r>
        <w:rPr>
          <w:rFonts w:ascii="Proxima Nova" w:hAnsi="Proxima Nova"/>
        </w:rPr>
        <w:lastRenderedPageBreak/>
        <w:t xml:space="preserve">As explained, in circumstances where Gilead was unable to access details of the CAR-T Tariff proposed by NHSE through NICE’s procedures, Gilead requested this information under FOIA.  While this procedure has not yet been completed, it has resulted in disclosure of some additional information, received by Gilead on </w:t>
      </w:r>
      <w:r w:rsidR="00B93BEB" w:rsidRPr="003E2B69">
        <w:rPr>
          <w:rFonts w:ascii="Proxima Nova" w:hAnsi="Proxima Nova"/>
        </w:rPr>
        <w:t>9 September 2025</w:t>
      </w:r>
      <w:r>
        <w:rPr>
          <w:rFonts w:ascii="Proxima Nova" w:hAnsi="Proxima Nova"/>
        </w:rPr>
        <w:t xml:space="preserve">. This information, which was not available to the Committee </w:t>
      </w:r>
      <w:r w:rsidRPr="1C5FC9CD">
        <w:rPr>
          <w:rFonts w:ascii="Proxima Nova" w:hAnsi="Proxima Nova"/>
        </w:rPr>
        <w:t>cast</w:t>
      </w:r>
      <w:r>
        <w:rPr>
          <w:rFonts w:ascii="Proxima Nova" w:hAnsi="Proxima Nova"/>
        </w:rPr>
        <w:t>s</w:t>
      </w:r>
      <w:r w:rsidRPr="1C5FC9CD">
        <w:rPr>
          <w:rFonts w:ascii="Proxima Nova" w:hAnsi="Proxima Nova"/>
        </w:rPr>
        <w:t xml:space="preserve"> </w:t>
      </w:r>
      <w:r>
        <w:rPr>
          <w:rFonts w:ascii="Proxima Nova" w:hAnsi="Proxima Nova"/>
        </w:rPr>
        <w:t xml:space="preserve">further </w:t>
      </w:r>
      <w:r w:rsidRPr="1C5FC9CD">
        <w:rPr>
          <w:rFonts w:ascii="Proxima Nova" w:hAnsi="Proxima Nova"/>
        </w:rPr>
        <w:t xml:space="preserve">doubt on the validity and robustness of the CAR-T </w:t>
      </w:r>
      <w:r>
        <w:rPr>
          <w:rFonts w:ascii="Proxima Nova" w:hAnsi="Proxima Nova"/>
        </w:rPr>
        <w:t>T</w:t>
      </w:r>
      <w:r w:rsidRPr="1C5FC9CD">
        <w:rPr>
          <w:rFonts w:ascii="Proxima Nova" w:hAnsi="Proxima Nova"/>
        </w:rPr>
        <w:t>ariff figure</w:t>
      </w:r>
      <w:r>
        <w:rPr>
          <w:rFonts w:ascii="Proxima Nova" w:hAnsi="Proxima Nova"/>
        </w:rPr>
        <w:t xml:space="preserve"> and supports Gilead’s position that full transparency should have been sought from NHSE by NICE</w:t>
      </w:r>
      <w:r w:rsidR="001A4BC4">
        <w:rPr>
          <w:rFonts w:ascii="Proxima Nova" w:hAnsi="Proxima Nova"/>
        </w:rPr>
        <w:t>,</w:t>
      </w:r>
      <w:r>
        <w:rPr>
          <w:rFonts w:ascii="Proxima Nova" w:hAnsi="Proxima Nova"/>
        </w:rPr>
        <w:t xml:space="preserve"> and the proposed figure subject to rigorous review.  The following deficiencies in the data used to calculate the CAR-T Tariff have become clear from this new information</w:t>
      </w:r>
      <w:r w:rsidRPr="1C5FC9CD">
        <w:rPr>
          <w:rFonts w:ascii="Proxima Nova" w:hAnsi="Proxima Nova"/>
        </w:rPr>
        <w:t>:</w:t>
      </w:r>
    </w:p>
    <w:p w14:paraId="77333A4E" w14:textId="23552451" w:rsidR="002136F8" w:rsidRPr="0011041B" w:rsidRDefault="002136F8" w:rsidP="002136F8">
      <w:pPr>
        <w:numPr>
          <w:ilvl w:val="0"/>
          <w:numId w:val="3"/>
        </w:numPr>
        <w:spacing w:before="240" w:after="240" w:line="276" w:lineRule="auto"/>
        <w:ind w:left="777" w:hanging="357"/>
        <w:jc w:val="both"/>
        <w:rPr>
          <w:rFonts w:eastAsia="Times New Roman"/>
          <w:lang w:eastAsia="en-GB"/>
        </w:rPr>
      </w:pPr>
      <w:r w:rsidRPr="0011041B">
        <w:rPr>
          <w:rFonts w:eastAsia="Times New Roman"/>
          <w:b/>
          <w:bCs/>
          <w:lang w:eastAsia="en-GB"/>
        </w:rPr>
        <w:t>Lack of disaggregation:</w:t>
      </w:r>
      <w:r w:rsidRPr="0011041B">
        <w:rPr>
          <w:rFonts w:eastAsia="Times New Roman"/>
          <w:lang w:eastAsia="en-GB"/>
        </w:rPr>
        <w:t xml:space="preserve"> NHSE confirmed that cost data was not broken down by clinical pathway stages due to limitations in Trusts’ data systems. This undermines the granularity and precision of the </w:t>
      </w:r>
      <w:r>
        <w:rPr>
          <w:rFonts w:eastAsia="Times New Roman"/>
          <w:lang w:eastAsia="en-GB"/>
        </w:rPr>
        <w:t xml:space="preserve">CAR-T </w:t>
      </w:r>
      <w:proofErr w:type="gramStart"/>
      <w:r>
        <w:rPr>
          <w:rFonts w:eastAsia="Times New Roman"/>
          <w:lang w:eastAsia="en-GB"/>
        </w:rPr>
        <w:t>T</w:t>
      </w:r>
      <w:r w:rsidRPr="0011041B">
        <w:rPr>
          <w:rFonts w:eastAsia="Times New Roman"/>
          <w:lang w:eastAsia="en-GB"/>
        </w:rPr>
        <w:t>ariff, and</w:t>
      </w:r>
      <w:proofErr w:type="gramEnd"/>
      <w:r w:rsidRPr="0011041B">
        <w:rPr>
          <w:rFonts w:eastAsia="Times New Roman"/>
          <w:lang w:eastAsia="en-GB"/>
        </w:rPr>
        <w:t xml:space="preserve"> makes it </w:t>
      </w:r>
      <w:r>
        <w:rPr>
          <w:rFonts w:eastAsia="Times New Roman"/>
          <w:lang w:eastAsia="en-GB"/>
        </w:rPr>
        <w:t>impossible</w:t>
      </w:r>
      <w:r w:rsidRPr="0011041B">
        <w:rPr>
          <w:rFonts w:eastAsia="Times New Roman"/>
          <w:lang w:eastAsia="en-GB"/>
        </w:rPr>
        <w:t xml:space="preserve"> to determine </w:t>
      </w:r>
      <w:r>
        <w:rPr>
          <w:rFonts w:eastAsia="Times New Roman"/>
          <w:lang w:eastAsia="en-GB"/>
        </w:rPr>
        <w:t>which</w:t>
      </w:r>
      <w:r w:rsidRPr="0011041B">
        <w:rPr>
          <w:rFonts w:eastAsia="Times New Roman"/>
          <w:lang w:eastAsia="en-GB"/>
        </w:rPr>
        <w:t xml:space="preserve"> elements</w:t>
      </w:r>
      <w:r>
        <w:rPr>
          <w:rFonts w:eastAsia="Times New Roman"/>
          <w:lang w:eastAsia="en-GB"/>
        </w:rPr>
        <w:t xml:space="preserve"> are included and if these</w:t>
      </w:r>
      <w:r w:rsidRPr="0011041B">
        <w:rPr>
          <w:rFonts w:eastAsia="Times New Roman"/>
          <w:lang w:eastAsia="en-GB"/>
        </w:rPr>
        <w:t xml:space="preserve"> should </w:t>
      </w:r>
      <w:r>
        <w:rPr>
          <w:rFonts w:eastAsia="Times New Roman"/>
          <w:lang w:eastAsia="en-GB"/>
        </w:rPr>
        <w:t>properly</w:t>
      </w:r>
      <w:r w:rsidRPr="0011041B">
        <w:rPr>
          <w:rFonts w:eastAsia="Times New Roman"/>
          <w:lang w:eastAsia="en-GB"/>
        </w:rPr>
        <w:t xml:space="preserve"> be</w:t>
      </w:r>
      <w:r>
        <w:rPr>
          <w:rFonts w:eastAsia="Times New Roman"/>
          <w:lang w:eastAsia="en-GB"/>
        </w:rPr>
        <w:t xml:space="preserve"> considered for the purposes of NICE’s cost-effectiveness assessment. In the original 2019 NHSE costing exercise, NHSE incorporated costs such as counselling and psychological support, hotel stays and hospital overheads. Without sufficient transparency, NICE cannot assess if the current CAR-T Tariff contains any similarly inappropriate costs. </w:t>
      </w:r>
    </w:p>
    <w:p w14:paraId="0350BEF2" w14:textId="77777777" w:rsidR="002136F8" w:rsidRPr="0011041B" w:rsidRDefault="002136F8" w:rsidP="002136F8">
      <w:pPr>
        <w:numPr>
          <w:ilvl w:val="0"/>
          <w:numId w:val="3"/>
        </w:numPr>
        <w:spacing w:before="240" w:after="240" w:line="276" w:lineRule="auto"/>
        <w:ind w:left="777" w:hanging="357"/>
        <w:jc w:val="both"/>
        <w:rPr>
          <w:rFonts w:eastAsia="Times New Roman"/>
          <w:lang w:eastAsia="en-GB"/>
        </w:rPr>
      </w:pPr>
      <w:r w:rsidRPr="0011041B">
        <w:rPr>
          <w:rFonts w:eastAsia="Times New Roman"/>
          <w:b/>
          <w:bCs/>
          <w:lang w:eastAsia="en-GB"/>
        </w:rPr>
        <w:t>Variation in costing approaches:</w:t>
      </w:r>
      <w:r w:rsidRPr="0011041B">
        <w:rPr>
          <w:rFonts w:eastAsia="Times New Roman"/>
          <w:lang w:eastAsia="en-GB"/>
        </w:rPr>
        <w:t xml:space="preserve"> NHSE acknowledged “</w:t>
      </w:r>
      <w:r w:rsidRPr="003E2B69">
        <w:rPr>
          <w:rFonts w:eastAsia="Times New Roman"/>
          <w:i/>
          <w:lang w:eastAsia="en-GB"/>
        </w:rPr>
        <w:t>notable variation</w:t>
      </w:r>
      <w:r w:rsidRPr="0011041B">
        <w:rPr>
          <w:rFonts w:eastAsia="Times New Roman"/>
          <w:lang w:eastAsia="en-GB"/>
        </w:rPr>
        <w:t>” in how Trusts allocated costs (e.g., consultant vs. nurse time</w:t>
      </w:r>
      <w:proofErr w:type="gramStart"/>
      <w:r w:rsidRPr="0011041B">
        <w:rPr>
          <w:rFonts w:eastAsia="Times New Roman"/>
          <w:lang w:eastAsia="en-GB"/>
        </w:rPr>
        <w:t>), and</w:t>
      </w:r>
      <w:proofErr w:type="gramEnd"/>
      <w:r w:rsidRPr="0011041B">
        <w:rPr>
          <w:rFonts w:eastAsia="Times New Roman"/>
          <w:lang w:eastAsia="en-GB"/>
        </w:rPr>
        <w:t xml:space="preserve"> chose to focus on total costs rather than reconciling these differences. </w:t>
      </w:r>
      <w:r>
        <w:rPr>
          <w:rFonts w:eastAsia="Times New Roman"/>
          <w:lang w:eastAsia="en-GB"/>
        </w:rPr>
        <w:t>T</w:t>
      </w:r>
      <w:r w:rsidRPr="0011041B">
        <w:rPr>
          <w:rFonts w:eastAsia="Times New Roman"/>
          <w:lang w:eastAsia="en-GB"/>
        </w:rPr>
        <w:t xml:space="preserve">he final figure may </w:t>
      </w:r>
      <w:r>
        <w:rPr>
          <w:rFonts w:eastAsia="Times New Roman"/>
          <w:lang w:eastAsia="en-GB"/>
        </w:rPr>
        <w:t xml:space="preserve">therefore </w:t>
      </w:r>
      <w:r w:rsidRPr="0011041B">
        <w:rPr>
          <w:rFonts w:eastAsia="Times New Roman"/>
          <w:lang w:eastAsia="en-GB"/>
        </w:rPr>
        <w:t>mask significant inconsistencies.</w:t>
      </w:r>
      <w:r>
        <w:rPr>
          <w:rFonts w:eastAsia="Times New Roman"/>
          <w:lang w:eastAsia="en-GB"/>
        </w:rPr>
        <w:t xml:space="preserve"> Gilead previously raised concerns with NICE over the significant variation in costs between Trusts seen in NHSE’s 2019 costing exercise</w:t>
      </w:r>
      <w:r>
        <w:rPr>
          <w:rStyle w:val="EndnoteReference"/>
          <w:rFonts w:eastAsia="Times New Roman"/>
          <w:lang w:eastAsia="en-GB"/>
        </w:rPr>
        <w:endnoteReference w:id="5"/>
      </w:r>
      <w:r>
        <w:rPr>
          <w:rFonts w:eastAsia="Times New Roman"/>
          <w:lang w:eastAsia="en-GB"/>
        </w:rPr>
        <w:t>, and NICE has not interrogated whether similar variations still exist and if NHSE’s methodology adequately accounted for these.</w:t>
      </w:r>
    </w:p>
    <w:p w14:paraId="4BBA0016" w14:textId="77777777" w:rsidR="002136F8" w:rsidRPr="0011041B" w:rsidRDefault="002136F8" w:rsidP="002136F8">
      <w:pPr>
        <w:numPr>
          <w:ilvl w:val="0"/>
          <w:numId w:val="3"/>
        </w:numPr>
        <w:spacing w:before="240" w:after="240" w:line="276" w:lineRule="auto"/>
        <w:ind w:left="777" w:hanging="357"/>
        <w:jc w:val="both"/>
        <w:rPr>
          <w:rFonts w:eastAsia="Times New Roman"/>
          <w:lang w:eastAsia="en-GB"/>
        </w:rPr>
      </w:pPr>
      <w:r w:rsidRPr="0011041B">
        <w:rPr>
          <w:rFonts w:eastAsia="Times New Roman"/>
          <w:b/>
          <w:bCs/>
          <w:lang w:eastAsia="en-GB"/>
        </w:rPr>
        <w:t>Small sample size:</w:t>
      </w:r>
      <w:r w:rsidRPr="0011041B">
        <w:rPr>
          <w:rFonts w:eastAsia="Times New Roman"/>
          <w:lang w:eastAsia="en-GB"/>
        </w:rPr>
        <w:t xml:space="preserve"> Only 7 out of 20 commissioned CAR</w:t>
      </w:r>
      <w:r>
        <w:rPr>
          <w:rFonts w:eastAsia="Times New Roman"/>
          <w:lang w:eastAsia="en-GB"/>
        </w:rPr>
        <w:t>-</w:t>
      </w:r>
      <w:r w:rsidRPr="0011041B">
        <w:rPr>
          <w:rFonts w:eastAsia="Times New Roman"/>
          <w:lang w:eastAsia="en-GB"/>
        </w:rPr>
        <w:t>T centres provided data, raising questions about representativeness and robustness of the final tariff.</w:t>
      </w:r>
    </w:p>
    <w:p w14:paraId="39A23259" w14:textId="77777777" w:rsidR="002136F8" w:rsidRDefault="002136F8" w:rsidP="002136F8">
      <w:pPr>
        <w:numPr>
          <w:ilvl w:val="0"/>
          <w:numId w:val="3"/>
        </w:numPr>
        <w:spacing w:before="240" w:after="240" w:line="276" w:lineRule="auto"/>
        <w:ind w:left="777" w:hanging="357"/>
        <w:jc w:val="both"/>
        <w:rPr>
          <w:rFonts w:eastAsia="Times New Roman"/>
          <w:lang w:eastAsia="en-GB"/>
        </w:rPr>
      </w:pPr>
      <w:r w:rsidRPr="0011041B">
        <w:rPr>
          <w:rFonts w:eastAsia="Times New Roman"/>
          <w:b/>
          <w:bCs/>
          <w:lang w:eastAsia="en-GB"/>
        </w:rPr>
        <w:t>Consensus vs. evidence:</w:t>
      </w:r>
      <w:r w:rsidRPr="0011041B">
        <w:rPr>
          <w:rFonts w:eastAsia="Times New Roman"/>
          <w:lang w:eastAsia="en-GB"/>
        </w:rPr>
        <w:t xml:space="preserve"> The </w:t>
      </w:r>
      <w:r>
        <w:rPr>
          <w:rFonts w:eastAsia="Times New Roman"/>
          <w:lang w:eastAsia="en-GB"/>
        </w:rPr>
        <w:t>CAR-T T</w:t>
      </w:r>
      <w:r w:rsidRPr="0011041B">
        <w:rPr>
          <w:rFonts w:eastAsia="Times New Roman"/>
          <w:lang w:eastAsia="en-GB"/>
        </w:rPr>
        <w:t xml:space="preserve">ariff was </w:t>
      </w:r>
      <w:r>
        <w:rPr>
          <w:rFonts w:eastAsia="Times New Roman"/>
          <w:lang w:eastAsia="en-GB"/>
        </w:rPr>
        <w:t xml:space="preserve">seemingly </w:t>
      </w:r>
      <w:r w:rsidRPr="0011041B">
        <w:rPr>
          <w:rFonts w:eastAsia="Times New Roman"/>
          <w:lang w:eastAsia="en-GB"/>
        </w:rPr>
        <w:t>agreed through consensus among centres, but the ICO notes that this process involved subjective discussions not captured in the data</w:t>
      </w:r>
      <w:r>
        <w:rPr>
          <w:rFonts w:eastAsia="Times New Roman"/>
          <w:lang w:eastAsia="en-GB"/>
        </w:rPr>
        <w:t xml:space="preserve">, weakening </w:t>
      </w:r>
      <w:r w:rsidRPr="0011041B">
        <w:rPr>
          <w:rFonts w:eastAsia="Times New Roman"/>
          <w:lang w:eastAsia="en-GB"/>
        </w:rPr>
        <w:t>the evidential basis for the figure</w:t>
      </w:r>
      <w:r>
        <w:rPr>
          <w:rFonts w:eastAsia="Times New Roman"/>
          <w:lang w:eastAsia="en-GB"/>
        </w:rPr>
        <w:t>.</w:t>
      </w:r>
    </w:p>
    <w:p w14:paraId="1E724F75" w14:textId="77777777" w:rsidR="002136F8" w:rsidRPr="00E42A65" w:rsidRDefault="002136F8" w:rsidP="002136F8">
      <w:pPr>
        <w:pStyle w:val="StyleParagraph11pt"/>
        <w:rPr>
          <w:rFonts w:ascii="Proxima Nova" w:hAnsi="Proxima Nova"/>
          <w:u w:val="single"/>
        </w:rPr>
      </w:pPr>
      <w:r w:rsidRPr="00E42A65">
        <w:rPr>
          <w:rFonts w:ascii="Proxima Nova" w:hAnsi="Proxima Nova"/>
          <w:u w:val="single"/>
        </w:rPr>
        <w:t>The Committee may not simply accept resource costs proposed by NHSE without investigation or scrutiny</w:t>
      </w:r>
    </w:p>
    <w:p w14:paraId="225F0E27" w14:textId="77777777" w:rsidR="002136F8" w:rsidRPr="003E2B69" w:rsidRDefault="002136F8" w:rsidP="002136F8">
      <w:pPr>
        <w:pStyle w:val="StyleParagraph11pt"/>
        <w:rPr>
          <w:rFonts w:ascii="Proxima Nova" w:hAnsi="Proxima Nova"/>
        </w:rPr>
      </w:pPr>
      <w:r>
        <w:rPr>
          <w:rFonts w:ascii="Proxima Nova" w:hAnsi="Proxima Nova"/>
        </w:rPr>
        <w:t>At paragraph 3.13 of the FDG, the Committee agreed “</w:t>
      </w:r>
      <w:r w:rsidRPr="003E2B69">
        <w:rPr>
          <w:rFonts w:ascii="Proxima Nova" w:hAnsi="Proxima Nova"/>
          <w:i/>
        </w:rPr>
        <w:t>that the updated tariff for 2025 to 2026 was the current cost of delivering CAR T-cell treatments in the NHS, so this tariff should be included in the economic model”</w:t>
      </w:r>
      <w:r w:rsidRPr="003E2B69">
        <w:rPr>
          <w:rFonts w:ascii="Proxima Nova" w:hAnsi="Proxima Nova"/>
        </w:rPr>
        <w:t xml:space="preserve"> and it “</w:t>
      </w:r>
      <w:r w:rsidRPr="003E2B69">
        <w:rPr>
          <w:rFonts w:ascii="Proxima Nova" w:hAnsi="Proxima Nova"/>
          <w:i/>
        </w:rPr>
        <w:t>also concluded that ICU costs should be incorporated separately”</w:t>
      </w:r>
      <w:r w:rsidRPr="003E2B69">
        <w:rPr>
          <w:rFonts w:ascii="Proxima Nova" w:hAnsi="Proxima Nova"/>
        </w:rPr>
        <w:t xml:space="preserve">  This was on the basis </w:t>
      </w:r>
      <w:r>
        <w:rPr>
          <w:rFonts w:ascii="Proxima Nova" w:hAnsi="Proxima Nova"/>
        </w:rPr>
        <w:t>of an oral assertion by the Cancer Drugs Fund Lead that the value of £41,101 used in previous appraisals of CAR-T therapies “</w:t>
      </w:r>
      <w:r w:rsidRPr="003E2B69">
        <w:rPr>
          <w:rFonts w:ascii="Proxima Nova" w:hAnsi="Proxima Nova"/>
          <w:i/>
        </w:rPr>
        <w:t>was outdated by several years and had only ever been intended to be an approximate figure</w:t>
      </w:r>
      <w:r w:rsidRPr="003E2B69">
        <w:rPr>
          <w:rFonts w:ascii="Proxima Nova" w:hAnsi="Proxima Nova"/>
        </w:rPr>
        <w:t xml:space="preserve">”, and that </w:t>
      </w:r>
      <w:r>
        <w:rPr>
          <w:rFonts w:ascii="Proxima Nova" w:hAnsi="Proxima Nova"/>
        </w:rPr>
        <w:t>“</w:t>
      </w:r>
      <w:r w:rsidRPr="00E42A65">
        <w:rPr>
          <w:rFonts w:ascii="Proxima Nova" w:hAnsi="Proxima Nova"/>
          <w:i/>
          <w:iCs/>
        </w:rPr>
        <w:t>[</w:t>
      </w:r>
      <w:r w:rsidRPr="003E2B69">
        <w:rPr>
          <w:rFonts w:ascii="Proxima Nova" w:hAnsi="Proxima Nova"/>
          <w:i/>
        </w:rPr>
        <w:t xml:space="preserve">more thorough cost calculations] had produced a figure of £58,964 for the 2024 to 2025 financial </w:t>
      </w:r>
      <w:r w:rsidRPr="003E2B69">
        <w:rPr>
          <w:rFonts w:ascii="Proxima Nova" w:hAnsi="Proxima Nova"/>
          <w:i/>
        </w:rPr>
        <w:lastRenderedPageBreak/>
        <w:t>year, and this had been revised in line with inflationary pressures for 2025 to 2026, giving a tariff of £60,462”.</w:t>
      </w:r>
      <w:r w:rsidRPr="003E2B69">
        <w:rPr>
          <w:rFonts w:ascii="Proxima Nova" w:hAnsi="Proxima Nova"/>
        </w:rPr>
        <w:t xml:space="preserve"> </w:t>
      </w:r>
    </w:p>
    <w:p w14:paraId="33AEAF0F" w14:textId="6D308920" w:rsidR="002136F8" w:rsidRPr="003E2B69" w:rsidRDefault="002136F8" w:rsidP="002136F8">
      <w:pPr>
        <w:pStyle w:val="StyleParagraph11pt"/>
        <w:rPr>
          <w:rFonts w:ascii="Proxima Nova" w:hAnsi="Proxima Nova"/>
        </w:rPr>
      </w:pPr>
      <w:r w:rsidRPr="003E2B69">
        <w:rPr>
          <w:rFonts w:ascii="Proxima Nova" w:hAnsi="Proxima Nova"/>
        </w:rPr>
        <w:t xml:space="preserve">It is procedurally unfair to accept a figure proposed by NHSE without investigation. Gilead does not suggest bad faith on the part of </w:t>
      </w:r>
      <w:proofErr w:type="gramStart"/>
      <w:r w:rsidRPr="003E2B69">
        <w:rPr>
          <w:rFonts w:ascii="Proxima Nova" w:hAnsi="Proxima Nova"/>
        </w:rPr>
        <w:t>NHSE,</w:t>
      </w:r>
      <w:proofErr w:type="gramEnd"/>
      <w:r w:rsidRPr="003E2B69">
        <w:rPr>
          <w:rFonts w:ascii="Proxima Nova" w:hAnsi="Proxima Nova"/>
        </w:rPr>
        <w:t xml:space="preserve"> however the CAR-T Tariff appears implausible as explained above</w:t>
      </w:r>
      <w:r w:rsidR="00CB7A3B">
        <w:rPr>
          <w:rFonts w:ascii="Proxima Nova" w:hAnsi="Proxima Nova"/>
        </w:rPr>
        <w:t>,</w:t>
      </w:r>
      <w:r w:rsidRPr="003E2B69">
        <w:rPr>
          <w:rFonts w:ascii="Proxima Nova" w:hAnsi="Proxima Nova"/>
        </w:rPr>
        <w:t xml:space="preserve"> and it is possible (we believe likely) that the proposed CAR-T Tariff includes elements which fall outside paragraph 4.4.2 of the Manual or that the calculations are otherwise flawed.  This view is supported by experience during </w:t>
      </w:r>
      <w:r w:rsidR="0034110D">
        <w:rPr>
          <w:rFonts w:ascii="Proxima Nova" w:hAnsi="Proxima Nova"/>
        </w:rPr>
        <w:t>TA</w:t>
      </w:r>
      <w:r w:rsidR="00081B11">
        <w:rPr>
          <w:rFonts w:ascii="Proxima Nova" w:hAnsi="Proxima Nova"/>
        </w:rPr>
        <w:t>872,</w:t>
      </w:r>
      <w:r w:rsidR="00614274">
        <w:rPr>
          <w:rFonts w:ascii="Proxima Nova" w:hAnsi="Proxima Nova"/>
        </w:rPr>
        <w:t xml:space="preserve"> TA</w:t>
      </w:r>
      <w:r w:rsidR="002F4806">
        <w:rPr>
          <w:rFonts w:ascii="Proxima Nova" w:hAnsi="Proxima Nova"/>
        </w:rPr>
        <w:t xml:space="preserve">894 and TA895 </w:t>
      </w:r>
      <w:r w:rsidR="006D0DD5">
        <w:rPr>
          <w:rFonts w:ascii="Proxima Nova" w:hAnsi="Proxima Nova"/>
        </w:rPr>
        <w:t>in 2022,</w:t>
      </w:r>
      <w:r>
        <w:rPr>
          <w:rFonts w:ascii="Proxima Nova" w:hAnsi="Proxima Nova"/>
        </w:rPr>
        <w:t xml:space="preserve"> </w:t>
      </w:r>
      <w:r w:rsidRPr="003E2B69">
        <w:rPr>
          <w:rFonts w:ascii="Proxima Nova" w:hAnsi="Proxima Nova"/>
        </w:rPr>
        <w:t xml:space="preserve">when costing figures of some £96,000 were originally proposed by NHSE.  At that time, NHSE was willing to disclose </w:t>
      </w:r>
      <w:r w:rsidR="00F31E17">
        <w:rPr>
          <w:rFonts w:ascii="Proxima Nova" w:hAnsi="Proxima Nova"/>
        </w:rPr>
        <w:t>more</w:t>
      </w:r>
      <w:r w:rsidRPr="003E2B69">
        <w:rPr>
          <w:rFonts w:ascii="Proxima Nova" w:hAnsi="Proxima Nova"/>
        </w:rPr>
        <w:t xml:space="preserve"> details of its calculations and review of these indicated that the figures proposed were substantially incorrect, </w:t>
      </w:r>
      <w:proofErr w:type="gramStart"/>
      <w:r w:rsidRPr="003E2B69">
        <w:rPr>
          <w:rFonts w:ascii="Proxima Nova" w:hAnsi="Proxima Nova"/>
        </w:rPr>
        <w:t>as a result of</w:t>
      </w:r>
      <w:proofErr w:type="gramEnd"/>
      <w:r w:rsidRPr="003E2B69">
        <w:rPr>
          <w:rFonts w:ascii="Proxima Nova" w:hAnsi="Proxima Nova"/>
        </w:rPr>
        <w:t xml:space="preserve"> which the figure </w:t>
      </w:r>
      <w:r w:rsidR="003A5330">
        <w:rPr>
          <w:rFonts w:ascii="Proxima Nova" w:hAnsi="Proxima Nova"/>
        </w:rPr>
        <w:t xml:space="preserve">was reduced to </w:t>
      </w:r>
      <w:r w:rsidR="007F714E">
        <w:rPr>
          <w:rFonts w:ascii="Proxima Nova" w:hAnsi="Proxima Nova"/>
        </w:rPr>
        <w:t>£65</w:t>
      </w:r>
      <w:r w:rsidR="00F36113">
        <w:rPr>
          <w:rFonts w:ascii="Proxima Nova" w:hAnsi="Proxima Nova"/>
        </w:rPr>
        <w:t xml:space="preserve">,415 </w:t>
      </w:r>
      <w:r w:rsidR="005F3A0E">
        <w:rPr>
          <w:rFonts w:ascii="Proxima Nova" w:hAnsi="Proxima Nova"/>
        </w:rPr>
        <w:t xml:space="preserve">and then further to a figure </w:t>
      </w:r>
      <w:r w:rsidRPr="003E2B69">
        <w:rPr>
          <w:rFonts w:ascii="Proxima Nova" w:hAnsi="Proxima Nova"/>
        </w:rPr>
        <w:t xml:space="preserve">of £41,101 </w:t>
      </w:r>
      <w:r w:rsidR="005F3A0E">
        <w:rPr>
          <w:rFonts w:ascii="Proxima Nova" w:hAnsi="Proxima Nova"/>
        </w:rPr>
        <w:t xml:space="preserve">which </w:t>
      </w:r>
      <w:r w:rsidRPr="003E2B69">
        <w:rPr>
          <w:rFonts w:ascii="Proxima Nova" w:hAnsi="Proxima Nova"/>
        </w:rPr>
        <w:t xml:space="preserve">was accepted by NHSE and by NICE. </w:t>
      </w:r>
    </w:p>
    <w:p w14:paraId="4F7E9177" w14:textId="77777777" w:rsidR="002136F8" w:rsidRPr="003E2B69" w:rsidRDefault="002136F8" w:rsidP="002136F8">
      <w:pPr>
        <w:pStyle w:val="StyleParagraph11pt"/>
        <w:rPr>
          <w:rFonts w:ascii="Proxima Nova" w:hAnsi="Proxima Nova"/>
        </w:rPr>
      </w:pPr>
      <w:r w:rsidRPr="003E2B69">
        <w:rPr>
          <w:rFonts w:ascii="Proxima Nova" w:hAnsi="Proxima Nova"/>
        </w:rPr>
        <w:t xml:space="preserve">The acceptance of a tariff figure proposed by NHSE, based on a simple assertion by NHSE, as commissioner of NHS services, that it is correct, is procedurally unacceptable.  It is equivalent to the Committee accepting an assertion from Gilead as to the benefits of </w:t>
      </w:r>
      <w:proofErr w:type="spellStart"/>
      <w:r w:rsidRPr="003E2B69">
        <w:rPr>
          <w:rFonts w:ascii="Proxima Nova" w:hAnsi="Proxima Nova"/>
        </w:rPr>
        <w:t>brexu</w:t>
      </w:r>
      <w:proofErr w:type="spellEnd"/>
      <w:r w:rsidRPr="003E2B69">
        <w:rPr>
          <w:rFonts w:ascii="Proxima Nova" w:hAnsi="Proxima Nova"/>
        </w:rPr>
        <w:t>-cel in terms of outcomes from the ZUMA-2 trial, in circumstances where Gilead is the trial sponsor, without the Committee or the EAG seeing the trial data, confidence intervals around the outcomes or even details of the trial protocol – an approach that is entirely inconsistent with NICE’s methodology and standards.  Furthermore, NHSE is a consultee in the appraisal, as is Gilead and consultees should be subject to equal treatment and standards.</w:t>
      </w:r>
    </w:p>
    <w:p w14:paraId="459F52DA" w14:textId="77777777" w:rsidR="002136F8" w:rsidRPr="009F2314" w:rsidRDefault="002136F8" w:rsidP="002136F8">
      <w:pPr>
        <w:spacing w:before="240" w:after="240" w:line="276" w:lineRule="auto"/>
        <w:jc w:val="both"/>
        <w:rPr>
          <w:rFonts w:eastAsia="Times New Roman"/>
          <w:u w:val="single"/>
          <w:lang w:eastAsia="en-GB"/>
        </w:rPr>
      </w:pPr>
      <w:r w:rsidRPr="009F2314">
        <w:rPr>
          <w:rFonts w:eastAsia="Times New Roman"/>
          <w:u w:val="single"/>
          <w:lang w:eastAsia="en-GB"/>
        </w:rPr>
        <w:t>Overall conclusion</w:t>
      </w:r>
    </w:p>
    <w:p w14:paraId="0C3A601F" w14:textId="685D8120" w:rsidR="002136F8" w:rsidRPr="0008266C" w:rsidRDefault="002136F8" w:rsidP="002136F8">
      <w:pPr>
        <w:spacing w:before="240" w:after="240" w:line="276" w:lineRule="auto"/>
        <w:jc w:val="both"/>
        <w:rPr>
          <w:rFonts w:eastAsia="Times New Roman"/>
          <w:lang w:eastAsia="en-GB"/>
        </w:rPr>
      </w:pPr>
      <w:r>
        <w:rPr>
          <w:rFonts w:eastAsia="Times New Roman"/>
          <w:lang w:eastAsia="en-GB"/>
        </w:rPr>
        <w:t>In circumstances where the costs of CAR-T treatment are central to any assessment, procedural fairness requires that the costs relied upon by the Committee for the purpose of decision-making are fully transparent and may be reviewed and tested to confirm their reliability.  The requirement for such transparency is increased where, as here, the proposed costs are substantially inflated relative to those considered in the context of other appraisals of CAR-T therapies and the overall figure proposed appears implausible.  In this appraisal, despite Gilead’s repeated requests to NICE for details of the CAR-T tariff proposed by NHSE and our efforts to obtain such information through other routes (e.g. Freedom of Information requests) important aspects of NHSE’s calculations remain unclear</w:t>
      </w:r>
      <w:r w:rsidR="006B14B1">
        <w:rPr>
          <w:rFonts w:eastAsia="Times New Roman"/>
          <w:lang w:eastAsia="en-GB"/>
        </w:rPr>
        <w:t>.</w:t>
      </w:r>
    </w:p>
    <w:p w14:paraId="36864075" w14:textId="140D4C9C" w:rsidR="002136F8" w:rsidRDefault="002136F8" w:rsidP="002136F8">
      <w:pPr>
        <w:spacing w:before="240" w:after="240" w:line="276" w:lineRule="auto"/>
        <w:jc w:val="both"/>
      </w:pPr>
      <w:r w:rsidRPr="0008266C">
        <w:rPr>
          <w:rFonts w:eastAsia="Times New Roman"/>
          <w:lang w:eastAsia="en-GB"/>
        </w:rPr>
        <w:t>In the absence of transparency of such evidence, it is impossible</w:t>
      </w:r>
      <w:r>
        <w:rPr>
          <w:rFonts w:eastAsia="Times New Roman"/>
          <w:lang w:eastAsia="en-GB"/>
        </w:rPr>
        <w:t xml:space="preserve"> to understand whether the CAR-T tariff costs proposed by NHSE are appropriate for any assessment of cost effectiveness in the context of the current appraisal by NICE and it is patently unfair to incorporate the costs proposed by NHSE based simply on an oral submission by the CDF Lead (paragraph 3.13 of the FDG) unsupported by explanation or evidence</w:t>
      </w:r>
      <w:r w:rsidR="00420E7E">
        <w:rPr>
          <w:rFonts w:eastAsia="Times New Roman"/>
          <w:lang w:eastAsia="en-GB"/>
        </w:rPr>
        <w:t xml:space="preserve"> </w:t>
      </w:r>
      <w:r w:rsidR="00420E7E" w:rsidRPr="00420E7E">
        <w:rPr>
          <w:rFonts w:eastAsia="Times New Roman"/>
          <w:lang w:eastAsia="en-GB"/>
        </w:rPr>
        <w:t>and without adequate or any investigation of those proposed costs</w:t>
      </w:r>
      <w:r>
        <w:rPr>
          <w:rFonts w:eastAsia="Times New Roman"/>
          <w:lang w:eastAsia="en-GB"/>
        </w:rPr>
        <w:t xml:space="preserve">. </w:t>
      </w:r>
      <w:r w:rsidRPr="00E4471A">
        <w:t xml:space="preserve"> </w:t>
      </w:r>
      <w:r w:rsidRPr="00BD658E">
        <w:t xml:space="preserve">It remains uncertain whether any efforts have been made by NICE to obtain relevant disclosure of information by NHSE as required following the decision in </w:t>
      </w:r>
      <w:r w:rsidRPr="00E42A65">
        <w:t>Servier</w:t>
      </w:r>
      <w:r w:rsidRPr="00BD658E">
        <w:t xml:space="preserve">.  </w:t>
      </w:r>
    </w:p>
    <w:p w14:paraId="21C69656" w14:textId="582D5345" w:rsidR="006A796F" w:rsidRPr="0011041B" w:rsidRDefault="002136F8" w:rsidP="003E2B69">
      <w:pPr>
        <w:spacing w:before="240" w:after="240" w:line="276" w:lineRule="auto"/>
        <w:jc w:val="both"/>
      </w:pPr>
      <w:r w:rsidRPr="00BD658E">
        <w:lastRenderedPageBreak/>
        <w:t xml:space="preserve">The reliance on </w:t>
      </w:r>
      <w:r w:rsidR="00420E7E">
        <w:t>the opa</w:t>
      </w:r>
      <w:r w:rsidR="00B5774B">
        <w:t xml:space="preserve">que and unexplained </w:t>
      </w:r>
      <w:r w:rsidRPr="00BD658E">
        <w:t>NHSE CAR-T tariff costs is therefore procedurally unfair.</w:t>
      </w:r>
      <w:r w:rsidR="00B77DDC" w:rsidRPr="00B77DDC">
        <w:rPr>
          <w:b/>
          <w:bCs/>
          <w:noProof/>
          <w14:ligatures w14:val="standardContextual"/>
        </w:rPr>
        <w:t xml:space="preserve"> </w:t>
      </w:r>
      <w:r w:rsidR="00B77DDC" w:rsidRPr="00F66587">
        <w:rPr>
          <w:b/>
          <w:bCs/>
          <w:noProof/>
          <w14:ligatures w14:val="standardContextual"/>
        </w:rPr>
        <mc:AlternateContent>
          <mc:Choice Requires="wps">
            <w:drawing>
              <wp:inline distT="0" distB="0" distL="0" distR="0" wp14:anchorId="771D361A" wp14:editId="4D439394">
                <wp:extent cx="5731510" cy="635"/>
                <wp:effectExtent l="0" t="0" r="21590" b="37465"/>
                <wp:docPr id="1381199680" name="Horizontal Lin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Horizontal Line 17" style="width:451.3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FCB8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o:lock v:ext="edit" rotation="t" verticies="t" text="t" aspectratio="t" shapetype="t"/>
                <w10:anchorlock/>
              </v:rect>
            </w:pict>
          </mc:Fallback>
        </mc:AlternateContent>
      </w:r>
    </w:p>
    <w:p w14:paraId="2E13B25C" w14:textId="23D379AF" w:rsidR="00744C5F" w:rsidRPr="0011041B" w:rsidRDefault="00744C5F" w:rsidP="002C713B">
      <w:pPr>
        <w:pStyle w:val="StyleParagraph11pt"/>
        <w:rPr>
          <w:rFonts w:ascii="Proxima Nova" w:hAnsi="Proxima Nova"/>
          <w:b/>
          <w:bCs/>
        </w:rPr>
      </w:pPr>
      <w:r w:rsidRPr="0011041B">
        <w:rPr>
          <w:rFonts w:ascii="Proxima Nova" w:hAnsi="Proxima Nova"/>
          <w:b/>
          <w:bCs/>
        </w:rPr>
        <w:t xml:space="preserve">1(a).2 </w:t>
      </w:r>
      <w:r w:rsidR="006A796F" w:rsidRPr="0011041B">
        <w:rPr>
          <w:rFonts w:ascii="Proxima Nova" w:hAnsi="Proxima Nova"/>
          <w:b/>
          <w:bCs/>
        </w:rPr>
        <w:t>NICE</w:t>
      </w:r>
      <w:r w:rsidR="00D704DE">
        <w:rPr>
          <w:rFonts w:ascii="Proxima Nova" w:hAnsi="Proxima Nova"/>
          <w:b/>
          <w:bCs/>
        </w:rPr>
        <w:t>’s decision to</w:t>
      </w:r>
      <w:r w:rsidR="006A796F" w:rsidRPr="0011041B">
        <w:rPr>
          <w:rFonts w:ascii="Proxima Nova" w:hAnsi="Proxima Nova"/>
          <w:b/>
          <w:bCs/>
        </w:rPr>
        <w:t xml:space="preserve"> follow the Single Technology Appraisal (STA) route for this appraisal, </w:t>
      </w:r>
      <w:r w:rsidR="00D704DE">
        <w:rPr>
          <w:rFonts w:ascii="Proxima Nova" w:hAnsi="Proxima Nova"/>
          <w:b/>
          <w:bCs/>
        </w:rPr>
        <w:t xml:space="preserve">rather than </w:t>
      </w:r>
      <w:r w:rsidR="00AE5CF7">
        <w:rPr>
          <w:rFonts w:ascii="Proxima Nova" w:hAnsi="Proxima Nova"/>
          <w:b/>
          <w:bCs/>
        </w:rPr>
        <w:t xml:space="preserve">considering </w:t>
      </w:r>
      <w:proofErr w:type="spellStart"/>
      <w:r w:rsidR="006A796F" w:rsidRPr="0011041B">
        <w:rPr>
          <w:rFonts w:ascii="Proxima Nova" w:hAnsi="Proxima Nova"/>
          <w:b/>
          <w:bCs/>
        </w:rPr>
        <w:t>brexu</w:t>
      </w:r>
      <w:proofErr w:type="spellEnd"/>
      <w:r w:rsidR="006A796F" w:rsidRPr="0011041B">
        <w:rPr>
          <w:rFonts w:ascii="Proxima Nova" w:hAnsi="Proxima Nova"/>
          <w:b/>
          <w:bCs/>
        </w:rPr>
        <w:t xml:space="preserve">-cel </w:t>
      </w:r>
      <w:r w:rsidR="00AE5CF7">
        <w:rPr>
          <w:rFonts w:ascii="Proxima Nova" w:hAnsi="Proxima Nova"/>
          <w:b/>
          <w:bCs/>
        </w:rPr>
        <w:t xml:space="preserve">under </w:t>
      </w:r>
      <w:r w:rsidR="006A796F" w:rsidRPr="0011041B">
        <w:rPr>
          <w:rFonts w:ascii="Proxima Nova" w:hAnsi="Proxima Nova"/>
          <w:b/>
          <w:bCs/>
        </w:rPr>
        <w:t>the Highly Specialised Technology (HST)</w:t>
      </w:r>
      <w:r w:rsidR="00AE5CF7">
        <w:rPr>
          <w:rFonts w:ascii="Proxima Nova" w:hAnsi="Proxima Nova"/>
          <w:b/>
          <w:bCs/>
        </w:rPr>
        <w:t xml:space="preserve"> procedure was contrary to its own procedures</w:t>
      </w:r>
      <w:r w:rsidR="006A796F" w:rsidRPr="0011041B">
        <w:rPr>
          <w:rFonts w:ascii="Proxima Nova" w:hAnsi="Proxima Nova"/>
          <w:b/>
          <w:bCs/>
        </w:rPr>
        <w:t>.</w:t>
      </w:r>
    </w:p>
    <w:p w14:paraId="20611FE8" w14:textId="10349A75" w:rsidR="005C48F7" w:rsidRPr="0011041B" w:rsidRDefault="005C48F7" w:rsidP="002C713B">
      <w:pPr>
        <w:pStyle w:val="StyleParagraph11pt"/>
        <w:rPr>
          <w:rFonts w:ascii="Proxima Nova" w:hAnsi="Proxima Nova"/>
          <w:u w:val="single"/>
        </w:rPr>
      </w:pPr>
      <w:r w:rsidRPr="0011041B">
        <w:rPr>
          <w:rFonts w:ascii="Proxima Nova" w:hAnsi="Proxima Nova"/>
          <w:u w:val="single"/>
        </w:rPr>
        <w:t>Gilead’s request to follow HST route</w:t>
      </w:r>
    </w:p>
    <w:p w14:paraId="53377A30" w14:textId="06A1C992" w:rsidR="005C48F7" w:rsidRPr="0011041B" w:rsidRDefault="005C48F7" w:rsidP="002C713B">
      <w:pPr>
        <w:pStyle w:val="StyleParagraph11pt"/>
        <w:rPr>
          <w:rFonts w:ascii="Proxima Nova" w:hAnsi="Proxima Nova"/>
        </w:rPr>
      </w:pPr>
      <w:r w:rsidRPr="0011041B">
        <w:rPr>
          <w:rFonts w:ascii="Proxima Nova" w:hAnsi="Proxima Nova"/>
        </w:rPr>
        <w:t xml:space="preserve">During the Scoping and Decision Problem process, Gilead made NICE aware of </w:t>
      </w:r>
      <w:r w:rsidR="00ED696D">
        <w:rPr>
          <w:rFonts w:ascii="Proxima Nova" w:hAnsi="Proxima Nova"/>
        </w:rPr>
        <w:t xml:space="preserve">its </w:t>
      </w:r>
      <w:r w:rsidRPr="0011041B">
        <w:rPr>
          <w:rFonts w:ascii="Proxima Nova" w:hAnsi="Proxima Nova"/>
        </w:rPr>
        <w:t xml:space="preserve">request </w:t>
      </w:r>
      <w:r w:rsidR="00ED696D">
        <w:rPr>
          <w:rFonts w:ascii="Proxima Nova" w:hAnsi="Proxima Nova"/>
        </w:rPr>
        <w:t xml:space="preserve">that </w:t>
      </w:r>
      <w:proofErr w:type="spellStart"/>
      <w:r w:rsidRPr="0011041B">
        <w:rPr>
          <w:rFonts w:ascii="Proxima Nova" w:hAnsi="Proxima Nova"/>
        </w:rPr>
        <w:t>brexu</w:t>
      </w:r>
      <w:proofErr w:type="spellEnd"/>
      <w:r w:rsidRPr="0011041B">
        <w:rPr>
          <w:rFonts w:ascii="Proxima Nova" w:hAnsi="Proxima Nova"/>
        </w:rPr>
        <w:t xml:space="preserve">-cel </w:t>
      </w:r>
      <w:r w:rsidR="00ED696D">
        <w:rPr>
          <w:rFonts w:ascii="Proxima Nova" w:hAnsi="Proxima Nova"/>
        </w:rPr>
        <w:t xml:space="preserve">should be </w:t>
      </w:r>
      <w:r w:rsidRPr="0011041B">
        <w:rPr>
          <w:rFonts w:ascii="Proxima Nova" w:hAnsi="Proxima Nova"/>
        </w:rPr>
        <w:t>assessed under the Highly Specialised Technology (HST) route</w:t>
      </w:r>
      <w:r w:rsidR="003F7042" w:rsidRPr="0011041B">
        <w:rPr>
          <w:rStyle w:val="EndnoteReference"/>
          <w:rFonts w:ascii="Proxima Nova" w:hAnsi="Proxima Nova"/>
        </w:rPr>
        <w:endnoteReference w:id="6"/>
      </w:r>
      <w:r w:rsidRPr="0011041B">
        <w:rPr>
          <w:rFonts w:ascii="Proxima Nova" w:hAnsi="Proxima Nova"/>
        </w:rPr>
        <w:t>. The response from NICE in December 2024 to this request stated that “</w:t>
      </w:r>
      <w:r w:rsidRPr="0011041B">
        <w:rPr>
          <w:rFonts w:ascii="Proxima Nova" w:hAnsi="Proxima Nova"/>
          <w:i/>
          <w:iCs/>
        </w:rPr>
        <w:t xml:space="preserve">This topic has been selected as a single technology appraisal, as it was for the first evaluation of </w:t>
      </w:r>
      <w:proofErr w:type="spellStart"/>
      <w:r w:rsidRPr="0011041B">
        <w:rPr>
          <w:rFonts w:ascii="Proxima Nova" w:hAnsi="Proxima Nova"/>
          <w:i/>
          <w:iCs/>
        </w:rPr>
        <w:t>brexucabtagene</w:t>
      </w:r>
      <w:proofErr w:type="spellEnd"/>
      <w:r w:rsidRPr="0011041B">
        <w:rPr>
          <w:rFonts w:ascii="Proxima Nova" w:hAnsi="Proxima Nova"/>
          <w:i/>
          <w:iCs/>
        </w:rPr>
        <w:t xml:space="preserve"> </w:t>
      </w:r>
      <w:proofErr w:type="spellStart"/>
      <w:r w:rsidRPr="0011041B">
        <w:rPr>
          <w:rFonts w:ascii="Proxima Nova" w:hAnsi="Proxima Nova"/>
          <w:i/>
          <w:iCs/>
        </w:rPr>
        <w:t>autoleucel</w:t>
      </w:r>
      <w:proofErr w:type="spellEnd"/>
      <w:r w:rsidRPr="0011041B">
        <w:rPr>
          <w:rFonts w:ascii="Proxima Nova" w:hAnsi="Proxima Nova"/>
          <w:i/>
          <w:iCs/>
        </w:rPr>
        <w:t xml:space="preserve"> (TA677). The HST criteria have not substantially changed and hence it would not be appropriate to route via the HST </w:t>
      </w:r>
      <w:r w:rsidRPr="0011041B">
        <w:rPr>
          <w:rFonts w:ascii="Proxima Nova" w:hAnsi="Proxima Nova"/>
        </w:rPr>
        <w:t>process.”</w:t>
      </w:r>
      <w:r w:rsidR="00524171">
        <w:rPr>
          <w:rStyle w:val="EndnoteReference"/>
          <w:rFonts w:ascii="Proxima Nova" w:hAnsi="Proxima Nova"/>
        </w:rPr>
        <w:endnoteReference w:id="7"/>
      </w:r>
      <w:r w:rsidRPr="0011041B">
        <w:rPr>
          <w:rFonts w:ascii="Proxima Nova" w:hAnsi="Proxima Nova"/>
        </w:rPr>
        <w:t xml:space="preserve"> NICE also reiterated that the current review would use the methods and process in place at the time the invitation to participate in the guidance review </w:t>
      </w:r>
      <w:r w:rsidR="00ED696D">
        <w:rPr>
          <w:rFonts w:ascii="Proxima Nova" w:hAnsi="Proxima Nova"/>
        </w:rPr>
        <w:t>wa</w:t>
      </w:r>
      <w:r w:rsidRPr="0011041B">
        <w:rPr>
          <w:rFonts w:ascii="Proxima Nova" w:hAnsi="Proxima Nova"/>
        </w:rPr>
        <w:t>s issued.  </w:t>
      </w:r>
    </w:p>
    <w:p w14:paraId="174657E1" w14:textId="77777777" w:rsidR="0065143B" w:rsidRDefault="005C48F7" w:rsidP="002C713B">
      <w:pPr>
        <w:pStyle w:val="StyleParagraph11pt"/>
        <w:rPr>
          <w:rFonts w:ascii="Proxima Nova" w:hAnsi="Proxima Nova"/>
        </w:rPr>
      </w:pPr>
      <w:r w:rsidRPr="0011041B">
        <w:rPr>
          <w:rFonts w:ascii="Proxima Nova" w:hAnsi="Proxima Nova"/>
        </w:rPr>
        <w:t xml:space="preserve">At the time of scoping for the first evaluation of </w:t>
      </w:r>
      <w:proofErr w:type="spellStart"/>
      <w:r w:rsidRPr="0011041B">
        <w:rPr>
          <w:rFonts w:ascii="Proxima Nova" w:hAnsi="Proxima Nova"/>
        </w:rPr>
        <w:t>brexu</w:t>
      </w:r>
      <w:proofErr w:type="spellEnd"/>
      <w:r w:rsidRPr="0011041B">
        <w:rPr>
          <w:rFonts w:ascii="Proxima Nova" w:hAnsi="Proxima Nova"/>
        </w:rPr>
        <w:t>-cel in February 2020, the “</w:t>
      </w:r>
      <w:r w:rsidRPr="0011041B">
        <w:rPr>
          <w:rFonts w:ascii="Proxima Nova" w:hAnsi="Proxima Nova"/>
          <w:i/>
          <w:iCs/>
        </w:rPr>
        <w:t>Interim Process and Methods of the Highly Specialised Technologies Programme</w:t>
      </w:r>
      <w:r w:rsidRPr="0011041B">
        <w:rPr>
          <w:rFonts w:ascii="Proxima Nova" w:hAnsi="Proxima Nova"/>
        </w:rPr>
        <w:t>” dated April 2017 was in effect</w:t>
      </w:r>
      <w:r w:rsidR="00E02CF0">
        <w:rPr>
          <w:rFonts w:ascii="Proxima Nova" w:hAnsi="Proxima Nova"/>
        </w:rPr>
        <w:t xml:space="preserve"> and set out the criteria for acceptance into the HST route</w:t>
      </w:r>
      <w:r w:rsidR="00AF2B38">
        <w:rPr>
          <w:rFonts w:ascii="Proxima Nova" w:hAnsi="Proxima Nova"/>
        </w:rPr>
        <w:t xml:space="preserve">. </w:t>
      </w:r>
    </w:p>
    <w:p w14:paraId="00A6144E" w14:textId="5CB4DDD9" w:rsidR="0065143B" w:rsidRDefault="00AF2B38" w:rsidP="002C713B">
      <w:pPr>
        <w:pStyle w:val="StyleParagraph11pt"/>
        <w:rPr>
          <w:rFonts w:ascii="Proxima Nova" w:hAnsi="Proxima Nova"/>
        </w:rPr>
      </w:pPr>
      <w:r>
        <w:rPr>
          <w:rFonts w:ascii="Proxima Nova" w:hAnsi="Proxima Nova"/>
        </w:rPr>
        <w:t xml:space="preserve">A substantial redrafting of the HST criteria took place in </w:t>
      </w:r>
      <w:r w:rsidR="00A467CC">
        <w:rPr>
          <w:rFonts w:ascii="Proxima Nova" w:hAnsi="Proxima Nova"/>
        </w:rPr>
        <w:t>January</w:t>
      </w:r>
      <w:r>
        <w:rPr>
          <w:rFonts w:ascii="Proxima Nova" w:hAnsi="Proxima Nova"/>
        </w:rPr>
        <w:t xml:space="preserve"> 2022, after conclusion of TA677</w:t>
      </w:r>
      <w:r w:rsidR="004D3931">
        <w:rPr>
          <w:rFonts w:ascii="Proxima Nova" w:hAnsi="Proxima Nova"/>
        </w:rPr>
        <w:t xml:space="preserve">. The revised criteria remained in effect at the </w:t>
      </w:r>
      <w:r w:rsidR="00770DB0">
        <w:rPr>
          <w:rFonts w:ascii="Proxima Nova" w:hAnsi="Proxima Nova"/>
        </w:rPr>
        <w:t xml:space="preserve">time of the invitation to participate </w:t>
      </w:r>
      <w:r w:rsidR="00E838E4">
        <w:rPr>
          <w:rFonts w:ascii="Proxima Nova" w:hAnsi="Proxima Nova"/>
        </w:rPr>
        <w:t>in the current guidance review was issued in December 202</w:t>
      </w:r>
      <w:r w:rsidR="0065143B">
        <w:rPr>
          <w:rFonts w:ascii="Proxima Nova" w:hAnsi="Proxima Nova"/>
        </w:rPr>
        <w:t>4.</w:t>
      </w:r>
    </w:p>
    <w:p w14:paraId="7E65B0D6" w14:textId="77777777" w:rsidR="0065143B" w:rsidRDefault="0065143B" w:rsidP="002C713B">
      <w:pPr>
        <w:pStyle w:val="StyleParagraph11pt"/>
        <w:rPr>
          <w:rFonts w:ascii="Proxima Nova" w:hAnsi="Proxima Nova"/>
        </w:rPr>
      </w:pPr>
      <w:r>
        <w:rPr>
          <w:rFonts w:ascii="Proxima Nova" w:hAnsi="Proxima Nova"/>
        </w:rPr>
        <w:t xml:space="preserve">A comparison of the criteria is set out below: </w:t>
      </w:r>
    </w:p>
    <w:tbl>
      <w:tblPr>
        <w:tblStyle w:val="TableGrid"/>
        <w:tblW w:w="5000" w:type="pct"/>
        <w:tblLook w:val="04A0" w:firstRow="1" w:lastRow="0" w:firstColumn="1" w:lastColumn="0" w:noHBand="0" w:noVBand="1"/>
      </w:tblPr>
      <w:tblGrid>
        <w:gridCol w:w="2658"/>
        <w:gridCol w:w="3107"/>
        <w:gridCol w:w="3251"/>
      </w:tblGrid>
      <w:tr w:rsidR="0065143B" w14:paraId="57C4DDB1" w14:textId="77777777" w:rsidTr="003E2B69">
        <w:tc>
          <w:tcPr>
            <w:tcW w:w="1474" w:type="pct"/>
            <w:shd w:val="clear" w:color="auto" w:fill="E8E8E8" w:themeFill="background2"/>
          </w:tcPr>
          <w:p w14:paraId="1E3E08A7" w14:textId="77777777" w:rsidR="0065143B" w:rsidRDefault="0065143B" w:rsidP="003E2B69">
            <w:pPr>
              <w:spacing w:before="120" w:after="120" w:line="276" w:lineRule="auto"/>
              <w:jc w:val="both"/>
            </w:pPr>
            <w:r>
              <w:t>Aspect</w:t>
            </w:r>
          </w:p>
        </w:tc>
        <w:tc>
          <w:tcPr>
            <w:tcW w:w="1723" w:type="pct"/>
            <w:shd w:val="clear" w:color="auto" w:fill="E8E8E8" w:themeFill="background2"/>
          </w:tcPr>
          <w:p w14:paraId="4CDEC283" w14:textId="77777777" w:rsidR="0065143B" w:rsidRDefault="0065143B" w:rsidP="003E2B69">
            <w:pPr>
              <w:spacing w:before="120" w:after="120" w:line="276" w:lineRule="auto"/>
              <w:jc w:val="both"/>
            </w:pPr>
            <w:r>
              <w:t>April 2017 Criteria</w:t>
            </w:r>
          </w:p>
        </w:tc>
        <w:tc>
          <w:tcPr>
            <w:tcW w:w="1803" w:type="pct"/>
            <w:shd w:val="clear" w:color="auto" w:fill="E8E8E8" w:themeFill="background2"/>
          </w:tcPr>
          <w:p w14:paraId="18D8FF3F" w14:textId="77777777" w:rsidR="0065143B" w:rsidRDefault="0065143B" w:rsidP="003E2B69">
            <w:pPr>
              <w:spacing w:before="120" w:after="120" w:line="276" w:lineRule="auto"/>
              <w:jc w:val="both"/>
            </w:pPr>
            <w:r>
              <w:t>January 2022 Criteria</w:t>
            </w:r>
          </w:p>
        </w:tc>
      </w:tr>
      <w:tr w:rsidR="0065143B" w14:paraId="7D8C3095" w14:textId="77777777" w:rsidTr="003E2B69">
        <w:tc>
          <w:tcPr>
            <w:tcW w:w="1474" w:type="pct"/>
          </w:tcPr>
          <w:p w14:paraId="3679A5EB" w14:textId="77777777" w:rsidR="0065143B" w:rsidRDefault="0065143B" w:rsidP="003E2B69">
            <w:pPr>
              <w:spacing w:before="120" w:after="120" w:line="276" w:lineRule="auto"/>
              <w:jc w:val="both"/>
            </w:pPr>
            <w:r>
              <w:t>Patient Population Size</w:t>
            </w:r>
          </w:p>
        </w:tc>
        <w:tc>
          <w:tcPr>
            <w:tcW w:w="1723" w:type="pct"/>
          </w:tcPr>
          <w:p w14:paraId="73DF014F" w14:textId="77777777" w:rsidR="0065143B" w:rsidRDefault="0065143B" w:rsidP="003E2B69">
            <w:pPr>
              <w:spacing w:before="120" w:after="120" w:line="276" w:lineRule="auto"/>
              <w:jc w:val="both"/>
            </w:pPr>
            <w:r>
              <w:t xml:space="preserve">Target patient group is so small that treatment will usually be concentrated in very few NHS </w:t>
            </w:r>
            <w:proofErr w:type="spellStart"/>
            <w:r>
              <w:t>centres</w:t>
            </w:r>
            <w:proofErr w:type="spellEnd"/>
          </w:p>
        </w:tc>
        <w:tc>
          <w:tcPr>
            <w:tcW w:w="1803" w:type="pct"/>
          </w:tcPr>
          <w:p w14:paraId="4D4224D7" w14:textId="77777777" w:rsidR="0065143B" w:rsidRDefault="0065143B" w:rsidP="003E2B69">
            <w:pPr>
              <w:spacing w:before="120" w:after="120" w:line="276" w:lineRule="auto"/>
              <w:jc w:val="both"/>
            </w:pPr>
            <w:r>
              <w:t xml:space="preserve">Normally, no more than 300 people in England </w:t>
            </w:r>
            <w:proofErr w:type="gramStart"/>
            <w:r>
              <w:t>eligible</w:t>
            </w:r>
            <w:proofErr w:type="gramEnd"/>
            <w:r>
              <w:t xml:space="preserve"> for the technology in its licensed indication and no more than 500 across all indications</w:t>
            </w:r>
          </w:p>
        </w:tc>
      </w:tr>
      <w:tr w:rsidR="0065143B" w14:paraId="177B1DAB" w14:textId="77777777" w:rsidTr="003E2B69">
        <w:tc>
          <w:tcPr>
            <w:tcW w:w="1474" w:type="pct"/>
          </w:tcPr>
          <w:p w14:paraId="0630B43A" w14:textId="77777777" w:rsidR="0065143B" w:rsidRDefault="0065143B" w:rsidP="003E2B69">
            <w:pPr>
              <w:spacing w:before="120" w:after="120" w:line="276" w:lineRule="auto"/>
              <w:jc w:val="both"/>
            </w:pPr>
            <w:r>
              <w:t>Disease Rarity</w:t>
            </w:r>
          </w:p>
        </w:tc>
        <w:tc>
          <w:tcPr>
            <w:tcW w:w="1723" w:type="pct"/>
          </w:tcPr>
          <w:p w14:paraId="157EBE5C" w14:textId="77777777" w:rsidR="0065143B" w:rsidRDefault="0065143B" w:rsidP="003E2B69">
            <w:pPr>
              <w:spacing w:before="120" w:after="120" w:line="276" w:lineRule="auto"/>
              <w:jc w:val="both"/>
            </w:pPr>
            <w:r>
              <w:t xml:space="preserve">Not explicitly quantified; implied by “very few </w:t>
            </w:r>
            <w:proofErr w:type="spellStart"/>
            <w:r>
              <w:t>centres</w:t>
            </w:r>
            <w:proofErr w:type="spellEnd"/>
            <w:r>
              <w:t>”</w:t>
            </w:r>
          </w:p>
        </w:tc>
        <w:tc>
          <w:tcPr>
            <w:tcW w:w="1803" w:type="pct"/>
          </w:tcPr>
          <w:p w14:paraId="3A59861F" w14:textId="77777777" w:rsidR="0065143B" w:rsidRDefault="0065143B" w:rsidP="003E2B69">
            <w:pPr>
              <w:spacing w:before="120" w:after="120" w:line="276" w:lineRule="auto"/>
              <w:jc w:val="both"/>
            </w:pPr>
            <w:r>
              <w:t xml:space="preserve">Disease is very rare (prevalence in England </w:t>
            </w:r>
            <w:proofErr w:type="gramStart"/>
            <w:r>
              <w:t>lower</w:t>
            </w:r>
            <w:proofErr w:type="gramEnd"/>
            <w:r>
              <w:t xml:space="preserve"> than 1 in 50,000 people, ~1,100 people)</w:t>
            </w:r>
          </w:p>
        </w:tc>
      </w:tr>
      <w:tr w:rsidR="0065143B" w14:paraId="25DC48EA" w14:textId="77777777" w:rsidTr="003E2B69">
        <w:tc>
          <w:tcPr>
            <w:tcW w:w="1474" w:type="pct"/>
          </w:tcPr>
          <w:p w14:paraId="692DEAC2" w14:textId="77777777" w:rsidR="0065143B" w:rsidRDefault="0065143B" w:rsidP="003E2B69">
            <w:pPr>
              <w:spacing w:before="120" w:after="120" w:line="276" w:lineRule="auto"/>
              <w:jc w:val="both"/>
            </w:pPr>
            <w:r>
              <w:t>Clinical Distinctness</w:t>
            </w:r>
          </w:p>
        </w:tc>
        <w:tc>
          <w:tcPr>
            <w:tcW w:w="1723" w:type="pct"/>
          </w:tcPr>
          <w:p w14:paraId="2193F2D0" w14:textId="77777777" w:rsidR="0065143B" w:rsidRDefault="0065143B" w:rsidP="003E2B69">
            <w:pPr>
              <w:spacing w:before="120" w:after="120" w:line="276" w:lineRule="auto"/>
              <w:jc w:val="both"/>
            </w:pPr>
            <w:r>
              <w:t>Target patient group is distinct for clinical reasons</w:t>
            </w:r>
          </w:p>
        </w:tc>
        <w:tc>
          <w:tcPr>
            <w:tcW w:w="1803" w:type="pct"/>
          </w:tcPr>
          <w:p w14:paraId="43D6E357" w14:textId="77777777" w:rsidR="0065143B" w:rsidRDefault="0065143B" w:rsidP="003E2B69">
            <w:pPr>
              <w:spacing w:before="120" w:after="120" w:line="276" w:lineRule="auto"/>
              <w:jc w:val="both"/>
            </w:pPr>
            <w:r>
              <w:t>Incorporated into rarity and severity criteria</w:t>
            </w:r>
          </w:p>
        </w:tc>
      </w:tr>
      <w:tr w:rsidR="0065143B" w14:paraId="59D9276C" w14:textId="77777777" w:rsidTr="003E2B69">
        <w:tc>
          <w:tcPr>
            <w:tcW w:w="1474" w:type="pct"/>
          </w:tcPr>
          <w:p w14:paraId="0EE5F75A" w14:textId="77777777" w:rsidR="0065143B" w:rsidRDefault="0065143B" w:rsidP="003E2B69">
            <w:pPr>
              <w:spacing w:before="120" w:after="120" w:line="276" w:lineRule="auto"/>
              <w:jc w:val="both"/>
            </w:pPr>
            <w:r>
              <w:lastRenderedPageBreak/>
              <w:t>Severity</w:t>
            </w:r>
          </w:p>
        </w:tc>
        <w:tc>
          <w:tcPr>
            <w:tcW w:w="1723" w:type="pct"/>
          </w:tcPr>
          <w:p w14:paraId="274EEFF8" w14:textId="77777777" w:rsidR="0065143B" w:rsidRDefault="0065143B" w:rsidP="003E2B69">
            <w:pPr>
              <w:spacing w:before="120" w:after="120" w:line="276" w:lineRule="auto"/>
              <w:jc w:val="both"/>
            </w:pPr>
            <w:r>
              <w:t>Condition is chronic and severely disabling</w:t>
            </w:r>
          </w:p>
        </w:tc>
        <w:tc>
          <w:tcPr>
            <w:tcW w:w="1803" w:type="pct"/>
          </w:tcPr>
          <w:p w14:paraId="1A58C062" w14:textId="77777777" w:rsidR="0065143B" w:rsidRDefault="0065143B" w:rsidP="003E2B69">
            <w:pPr>
              <w:spacing w:before="120" w:after="120" w:line="276" w:lineRule="auto"/>
              <w:jc w:val="both"/>
            </w:pPr>
            <w:r>
              <w:t>Disease significantly shortens life or severely impairs quality of life</w:t>
            </w:r>
          </w:p>
        </w:tc>
      </w:tr>
      <w:tr w:rsidR="0065143B" w14:paraId="24AAA94D" w14:textId="77777777" w:rsidTr="003E2B69">
        <w:tc>
          <w:tcPr>
            <w:tcW w:w="1474" w:type="pct"/>
          </w:tcPr>
          <w:p w14:paraId="7ACA406F" w14:textId="77777777" w:rsidR="0065143B" w:rsidRDefault="0065143B" w:rsidP="003E2B69">
            <w:pPr>
              <w:spacing w:before="120" w:after="120" w:line="276" w:lineRule="auto"/>
              <w:jc w:val="both"/>
            </w:pPr>
            <w:r>
              <w:t>Treatment Context</w:t>
            </w:r>
          </w:p>
        </w:tc>
        <w:tc>
          <w:tcPr>
            <w:tcW w:w="1723" w:type="pct"/>
          </w:tcPr>
          <w:p w14:paraId="3C16D93C" w14:textId="77777777" w:rsidR="0065143B" w:rsidRDefault="0065143B" w:rsidP="003E2B69">
            <w:pPr>
              <w:spacing w:before="120" w:after="120" w:line="276" w:lineRule="auto"/>
              <w:jc w:val="both"/>
            </w:pPr>
            <w:r>
              <w:t xml:space="preserve">Technology </w:t>
            </w:r>
            <w:proofErr w:type="gramStart"/>
            <w:r>
              <w:t>expected</w:t>
            </w:r>
            <w:proofErr w:type="gramEnd"/>
            <w:r>
              <w:t xml:space="preserve"> to be used exclusively in a highly </w:t>
            </w:r>
            <w:proofErr w:type="spellStart"/>
            <w:r>
              <w:t>specialised</w:t>
            </w:r>
            <w:proofErr w:type="spellEnd"/>
            <w:r>
              <w:t xml:space="preserve"> service</w:t>
            </w:r>
          </w:p>
        </w:tc>
        <w:tc>
          <w:tcPr>
            <w:tcW w:w="1803" w:type="pct"/>
          </w:tcPr>
          <w:p w14:paraId="5398B6D3" w14:textId="77777777" w:rsidR="0065143B" w:rsidRDefault="0065143B" w:rsidP="003E2B69">
            <w:pPr>
              <w:spacing w:before="120" w:after="120" w:line="276" w:lineRule="auto"/>
              <w:jc w:val="both"/>
            </w:pPr>
            <w:r>
              <w:t>No explicit mention of service exclusivity</w:t>
            </w:r>
          </w:p>
        </w:tc>
      </w:tr>
      <w:tr w:rsidR="0065143B" w14:paraId="10990743" w14:textId="77777777" w:rsidTr="003E2B69">
        <w:tc>
          <w:tcPr>
            <w:tcW w:w="1474" w:type="pct"/>
          </w:tcPr>
          <w:p w14:paraId="422DB0FC" w14:textId="77777777" w:rsidR="0065143B" w:rsidRDefault="0065143B" w:rsidP="003E2B69">
            <w:pPr>
              <w:spacing w:before="120" w:after="120" w:line="276" w:lineRule="auto"/>
              <w:jc w:val="both"/>
            </w:pPr>
            <w:r>
              <w:t>Cost</w:t>
            </w:r>
          </w:p>
        </w:tc>
        <w:tc>
          <w:tcPr>
            <w:tcW w:w="1723" w:type="pct"/>
          </w:tcPr>
          <w:p w14:paraId="6DEB8E5C" w14:textId="77777777" w:rsidR="0065143B" w:rsidRDefault="0065143B" w:rsidP="003E2B69">
            <w:pPr>
              <w:spacing w:before="120" w:after="120" w:line="276" w:lineRule="auto"/>
              <w:jc w:val="both"/>
            </w:pPr>
            <w:r>
              <w:t xml:space="preserve">Technology </w:t>
            </w:r>
            <w:proofErr w:type="gramStart"/>
            <w:r>
              <w:t>likely</w:t>
            </w:r>
            <w:proofErr w:type="gramEnd"/>
            <w:r>
              <w:t xml:space="preserve"> to have a very high acquisition cost</w:t>
            </w:r>
          </w:p>
        </w:tc>
        <w:tc>
          <w:tcPr>
            <w:tcW w:w="1803" w:type="pct"/>
          </w:tcPr>
          <w:p w14:paraId="00C13EF6" w14:textId="77777777" w:rsidR="0065143B" w:rsidRDefault="0065143B" w:rsidP="003E2B69">
            <w:pPr>
              <w:spacing w:before="120" w:after="120" w:line="276" w:lineRule="auto"/>
              <w:jc w:val="both"/>
            </w:pPr>
            <w:r>
              <w:t>Not explicitly stated</w:t>
            </w:r>
          </w:p>
        </w:tc>
      </w:tr>
      <w:tr w:rsidR="0065143B" w14:paraId="090BCE72" w14:textId="77777777" w:rsidTr="003E2B69">
        <w:tc>
          <w:tcPr>
            <w:tcW w:w="1474" w:type="pct"/>
          </w:tcPr>
          <w:p w14:paraId="59B8490A" w14:textId="77777777" w:rsidR="0065143B" w:rsidRDefault="0065143B" w:rsidP="003E2B69">
            <w:pPr>
              <w:spacing w:before="120" w:after="120" w:line="276" w:lineRule="auto"/>
              <w:jc w:val="both"/>
            </w:pPr>
            <w:r>
              <w:t>Duration of Use</w:t>
            </w:r>
          </w:p>
        </w:tc>
        <w:tc>
          <w:tcPr>
            <w:tcW w:w="1723" w:type="pct"/>
          </w:tcPr>
          <w:p w14:paraId="0DD6F6B7" w14:textId="77777777" w:rsidR="0065143B" w:rsidRDefault="0065143B" w:rsidP="003E2B69">
            <w:pPr>
              <w:spacing w:before="120" w:after="120" w:line="276" w:lineRule="auto"/>
              <w:jc w:val="both"/>
            </w:pPr>
            <w:r>
              <w:t>Technology has potential for lifelong use</w:t>
            </w:r>
          </w:p>
        </w:tc>
        <w:tc>
          <w:tcPr>
            <w:tcW w:w="1803" w:type="pct"/>
          </w:tcPr>
          <w:p w14:paraId="0AC37FD5" w14:textId="77777777" w:rsidR="0065143B" w:rsidRDefault="0065143B" w:rsidP="003E2B69">
            <w:pPr>
              <w:spacing w:before="120" w:after="120" w:line="276" w:lineRule="auto"/>
              <w:jc w:val="both"/>
            </w:pPr>
            <w:r>
              <w:t>Removed from criteria</w:t>
            </w:r>
          </w:p>
        </w:tc>
      </w:tr>
      <w:tr w:rsidR="0065143B" w14:paraId="485A057B" w14:textId="77777777" w:rsidTr="003E2B69">
        <w:tc>
          <w:tcPr>
            <w:tcW w:w="1474" w:type="pct"/>
          </w:tcPr>
          <w:p w14:paraId="24FBAA81" w14:textId="77777777" w:rsidR="0065143B" w:rsidRDefault="0065143B" w:rsidP="003E2B69">
            <w:pPr>
              <w:spacing w:before="120" w:after="120" w:line="276" w:lineRule="auto"/>
              <w:jc w:val="both"/>
            </w:pPr>
            <w:r>
              <w:t>Commissioning Need</w:t>
            </w:r>
          </w:p>
        </w:tc>
        <w:tc>
          <w:tcPr>
            <w:tcW w:w="1723" w:type="pct"/>
          </w:tcPr>
          <w:p w14:paraId="65C8EE74" w14:textId="77777777" w:rsidR="0065143B" w:rsidRDefault="0065143B" w:rsidP="003E2B69">
            <w:pPr>
              <w:spacing w:before="120" w:after="120" w:line="276" w:lineRule="auto"/>
              <w:jc w:val="both"/>
            </w:pPr>
            <w:r>
              <w:t>Need for national commissioning is significant</w:t>
            </w:r>
          </w:p>
        </w:tc>
        <w:tc>
          <w:tcPr>
            <w:tcW w:w="1803" w:type="pct"/>
          </w:tcPr>
          <w:p w14:paraId="6870BEF1" w14:textId="77777777" w:rsidR="0065143B" w:rsidRDefault="0065143B" w:rsidP="003E2B69">
            <w:pPr>
              <w:spacing w:before="120" w:after="120" w:line="276" w:lineRule="auto"/>
              <w:jc w:val="both"/>
            </w:pPr>
            <w:r>
              <w:t>Removed from criteria</w:t>
            </w:r>
          </w:p>
        </w:tc>
      </w:tr>
      <w:tr w:rsidR="0065143B" w14:paraId="711A4530" w14:textId="77777777" w:rsidTr="003E2B69">
        <w:tc>
          <w:tcPr>
            <w:tcW w:w="1474" w:type="pct"/>
          </w:tcPr>
          <w:p w14:paraId="40912908" w14:textId="77777777" w:rsidR="0065143B" w:rsidRDefault="0065143B" w:rsidP="003E2B69">
            <w:pPr>
              <w:spacing w:before="120" w:after="120" w:line="276" w:lineRule="auto"/>
              <w:jc w:val="both"/>
            </w:pPr>
            <w:r>
              <w:t>Alternative Treatments</w:t>
            </w:r>
          </w:p>
        </w:tc>
        <w:tc>
          <w:tcPr>
            <w:tcW w:w="1723" w:type="pct"/>
          </w:tcPr>
          <w:p w14:paraId="1BE00095" w14:textId="77777777" w:rsidR="0065143B" w:rsidRDefault="0065143B" w:rsidP="003E2B69">
            <w:pPr>
              <w:spacing w:before="120" w:after="120" w:line="276" w:lineRule="auto"/>
              <w:jc w:val="both"/>
            </w:pPr>
            <w:r>
              <w:t>Not mentioned</w:t>
            </w:r>
          </w:p>
        </w:tc>
        <w:tc>
          <w:tcPr>
            <w:tcW w:w="1803" w:type="pct"/>
          </w:tcPr>
          <w:p w14:paraId="7B832473" w14:textId="77777777" w:rsidR="0065143B" w:rsidRDefault="0065143B" w:rsidP="003E2B69">
            <w:pPr>
              <w:spacing w:before="120" w:after="120" w:line="276" w:lineRule="auto"/>
              <w:jc w:val="both"/>
            </w:pPr>
            <w:r>
              <w:t>There are no other satisfactory treatment options, or technology offers significant additional benefit</w:t>
            </w:r>
          </w:p>
        </w:tc>
      </w:tr>
    </w:tbl>
    <w:p w14:paraId="32F1DC87" w14:textId="4DEC78F1" w:rsidR="005C48F7" w:rsidRPr="0011041B" w:rsidRDefault="005C48F7" w:rsidP="002C713B">
      <w:pPr>
        <w:pStyle w:val="StyleParagraph11pt"/>
        <w:rPr>
          <w:rFonts w:ascii="Proxima Nova" w:hAnsi="Proxima Nova"/>
        </w:rPr>
      </w:pPr>
      <w:r w:rsidRPr="06EDCAE8">
        <w:rPr>
          <w:rFonts w:ascii="Proxima Nova" w:hAnsi="Proxima Nova"/>
        </w:rPr>
        <w:t>Therefore, contrary to NICE’s assertion, there ha</w:t>
      </w:r>
      <w:r w:rsidR="00516350">
        <w:rPr>
          <w:rFonts w:ascii="Proxima Nova" w:hAnsi="Proxima Nova"/>
        </w:rPr>
        <w:t>d</w:t>
      </w:r>
      <w:r w:rsidR="664D65CC" w:rsidRPr="7E529845">
        <w:rPr>
          <w:rFonts w:ascii="Proxima Nova" w:hAnsi="Proxima Nova"/>
        </w:rPr>
        <w:t xml:space="preserve"> clearly</w:t>
      </w:r>
      <w:r w:rsidRPr="06EDCAE8">
        <w:rPr>
          <w:rFonts w:ascii="Proxima Nova" w:hAnsi="Proxima Nova"/>
        </w:rPr>
        <w:t xml:space="preserve"> been substantial changes to the HST </w:t>
      </w:r>
      <w:r w:rsidR="00516350">
        <w:rPr>
          <w:rFonts w:ascii="Proxima Nova" w:hAnsi="Proxima Nova"/>
        </w:rPr>
        <w:t xml:space="preserve">routing </w:t>
      </w:r>
      <w:r w:rsidRPr="06EDCAE8">
        <w:rPr>
          <w:rFonts w:ascii="Proxima Nova" w:hAnsi="Proxima Nova"/>
        </w:rPr>
        <w:t xml:space="preserve">criteria </w:t>
      </w:r>
      <w:r w:rsidR="00516350">
        <w:rPr>
          <w:rFonts w:ascii="Proxima Nova" w:hAnsi="Proxima Nova"/>
        </w:rPr>
        <w:t xml:space="preserve">between the time of </w:t>
      </w:r>
      <w:r w:rsidRPr="06EDCAE8">
        <w:rPr>
          <w:rFonts w:ascii="Proxima Nova" w:hAnsi="Proxima Nova"/>
        </w:rPr>
        <w:t>the first evaluation and</w:t>
      </w:r>
      <w:r w:rsidR="00C94D34">
        <w:rPr>
          <w:rFonts w:ascii="Proxima Nova" w:hAnsi="Proxima Nova"/>
        </w:rPr>
        <w:t xml:space="preserve"> </w:t>
      </w:r>
      <w:r w:rsidR="00F23FA0">
        <w:rPr>
          <w:rFonts w:ascii="Proxima Nova" w:hAnsi="Proxima Nova"/>
        </w:rPr>
        <w:t xml:space="preserve">reassessment.  In circumstances where NICE’s procedures required that the assessment on exit from the CDF </w:t>
      </w:r>
      <w:r w:rsidR="00F23FA0" w:rsidRPr="0011041B">
        <w:rPr>
          <w:rFonts w:ascii="Proxima Nova" w:hAnsi="Proxima Nova"/>
        </w:rPr>
        <w:t xml:space="preserve">would use the methods and process in place at the time the invitation to participate in the guidance review </w:t>
      </w:r>
      <w:r w:rsidR="00F23FA0">
        <w:rPr>
          <w:rFonts w:ascii="Proxima Nova" w:hAnsi="Proxima Nova"/>
        </w:rPr>
        <w:t>wa</w:t>
      </w:r>
      <w:r w:rsidR="00F23FA0" w:rsidRPr="0011041B">
        <w:rPr>
          <w:rFonts w:ascii="Proxima Nova" w:hAnsi="Proxima Nova"/>
        </w:rPr>
        <w:t>s issued</w:t>
      </w:r>
      <w:r w:rsidR="00E7518B">
        <w:rPr>
          <w:rFonts w:ascii="Proxima Nova" w:hAnsi="Proxima Nova"/>
        </w:rPr>
        <w:t>,</w:t>
      </w:r>
      <w:r w:rsidR="00F23FA0">
        <w:rPr>
          <w:rFonts w:ascii="Proxima Nova" w:hAnsi="Proxima Nova"/>
        </w:rPr>
        <w:t xml:space="preserve"> </w:t>
      </w:r>
      <w:r w:rsidR="00AE2966">
        <w:rPr>
          <w:rFonts w:ascii="Proxima Nova" w:hAnsi="Proxima Nova"/>
        </w:rPr>
        <w:t>it was</w:t>
      </w:r>
      <w:r w:rsidRPr="06EDCAE8">
        <w:rPr>
          <w:rFonts w:ascii="Proxima Nova" w:hAnsi="Proxima Nova"/>
        </w:rPr>
        <w:t xml:space="preserve"> in any event </w:t>
      </w:r>
      <w:r w:rsidR="00AE2966">
        <w:rPr>
          <w:rFonts w:ascii="Proxima Nova" w:hAnsi="Proxima Nova"/>
        </w:rPr>
        <w:t xml:space="preserve">incumbent on </w:t>
      </w:r>
      <w:r w:rsidRPr="06EDCAE8">
        <w:rPr>
          <w:rFonts w:ascii="Proxima Nova" w:hAnsi="Proxima Nova"/>
        </w:rPr>
        <w:t xml:space="preserve">NICE </w:t>
      </w:r>
      <w:r w:rsidR="00AE2966">
        <w:rPr>
          <w:rFonts w:ascii="Proxima Nova" w:hAnsi="Proxima Nova"/>
        </w:rPr>
        <w:t xml:space="preserve">to </w:t>
      </w:r>
      <w:r w:rsidRPr="06EDCAE8">
        <w:rPr>
          <w:rFonts w:ascii="Proxima Nova" w:hAnsi="Proxima Nova"/>
        </w:rPr>
        <w:t xml:space="preserve">reassess </w:t>
      </w:r>
      <w:proofErr w:type="spellStart"/>
      <w:r w:rsidRPr="06EDCAE8">
        <w:rPr>
          <w:rFonts w:ascii="Proxima Nova" w:hAnsi="Proxima Nova"/>
        </w:rPr>
        <w:t>brexu</w:t>
      </w:r>
      <w:proofErr w:type="spellEnd"/>
      <w:r w:rsidRPr="06EDCAE8">
        <w:rPr>
          <w:rFonts w:ascii="Proxima Nova" w:hAnsi="Proxima Nova"/>
        </w:rPr>
        <w:t xml:space="preserve">-cel’s eligibility </w:t>
      </w:r>
      <w:r w:rsidR="00AE2966">
        <w:rPr>
          <w:rFonts w:ascii="Proxima Nova" w:hAnsi="Proxima Nova"/>
        </w:rPr>
        <w:t xml:space="preserve">for HST assessment </w:t>
      </w:r>
      <w:r w:rsidRPr="06EDCAE8">
        <w:rPr>
          <w:rFonts w:ascii="Proxima Nova" w:hAnsi="Proxima Nova"/>
        </w:rPr>
        <w:t xml:space="preserve">in </w:t>
      </w:r>
      <w:r w:rsidR="006301B0">
        <w:rPr>
          <w:rFonts w:ascii="Proxima Nova" w:hAnsi="Proxima Nova"/>
        </w:rPr>
        <w:t xml:space="preserve">accordance with the </w:t>
      </w:r>
      <w:r w:rsidR="00270863">
        <w:rPr>
          <w:rFonts w:ascii="Proxima Nova" w:hAnsi="Proxima Nova"/>
        </w:rPr>
        <w:t xml:space="preserve">January 2022 </w:t>
      </w:r>
      <w:r w:rsidR="00F7642E">
        <w:rPr>
          <w:rFonts w:ascii="Proxima Nova" w:hAnsi="Proxima Nova"/>
        </w:rPr>
        <w:t xml:space="preserve">HST eligibility criteria </w:t>
      </w:r>
      <w:r w:rsidR="001F1D04">
        <w:rPr>
          <w:rFonts w:ascii="Proxima Nova" w:hAnsi="Proxima Nova"/>
        </w:rPr>
        <w:t>and</w:t>
      </w:r>
      <w:r w:rsidR="00F7642E">
        <w:rPr>
          <w:rFonts w:ascii="Proxima Nova" w:hAnsi="Proxima Nova"/>
        </w:rPr>
        <w:t xml:space="preserve"> in</w:t>
      </w:r>
      <w:r w:rsidR="006301B0">
        <w:rPr>
          <w:rFonts w:ascii="Proxima Nova" w:hAnsi="Proxima Nova"/>
        </w:rPr>
        <w:t xml:space="preserve"> </w:t>
      </w:r>
      <w:r w:rsidRPr="06EDCAE8">
        <w:rPr>
          <w:rFonts w:ascii="Proxima Nova" w:hAnsi="Proxima Nova"/>
        </w:rPr>
        <w:t xml:space="preserve">light of current data and in the context of current disease prevalence and alternative treatment options. </w:t>
      </w:r>
      <w:r w:rsidR="0012157B">
        <w:rPr>
          <w:rFonts w:ascii="Proxima Nova" w:hAnsi="Proxima Nova"/>
        </w:rPr>
        <w:t xml:space="preserve"> </w:t>
      </w:r>
      <w:r w:rsidR="005A13CB" w:rsidRPr="0011041B">
        <w:rPr>
          <w:rFonts w:ascii="Proxima Nova" w:hAnsi="Proxima Nova"/>
        </w:rPr>
        <w:t xml:space="preserve">Gilead provided NICE with full </w:t>
      </w:r>
      <w:r w:rsidRPr="0011041B">
        <w:rPr>
          <w:rFonts w:ascii="Proxima Nova" w:hAnsi="Proxima Nova"/>
        </w:rPr>
        <w:t xml:space="preserve">details of how </w:t>
      </w:r>
      <w:proofErr w:type="spellStart"/>
      <w:r w:rsidRPr="0011041B">
        <w:rPr>
          <w:rFonts w:ascii="Proxima Nova" w:hAnsi="Proxima Nova"/>
        </w:rPr>
        <w:t>brexu</w:t>
      </w:r>
      <w:proofErr w:type="spellEnd"/>
      <w:r w:rsidRPr="0011041B">
        <w:rPr>
          <w:rFonts w:ascii="Proxima Nova" w:hAnsi="Proxima Nova"/>
        </w:rPr>
        <w:t xml:space="preserve">-cel meets the 2022 HST criteria in </w:t>
      </w:r>
      <w:r w:rsidR="00F403B1" w:rsidRPr="0011041B">
        <w:rPr>
          <w:rFonts w:ascii="Proxima Nova" w:hAnsi="Proxima Nova"/>
        </w:rPr>
        <w:t>the</w:t>
      </w:r>
      <w:r w:rsidRPr="0011041B">
        <w:rPr>
          <w:rFonts w:ascii="Proxima Nova" w:hAnsi="Proxima Nova"/>
        </w:rPr>
        <w:t xml:space="preserve"> original response to the draft scope</w:t>
      </w:r>
      <w:r w:rsidR="00A45598">
        <w:rPr>
          <w:rFonts w:ascii="Proxima Nova" w:hAnsi="Proxima Nova"/>
        </w:rPr>
        <w:t xml:space="preserve"> for the current </w:t>
      </w:r>
      <w:proofErr w:type="gramStart"/>
      <w:r w:rsidR="00A45598">
        <w:rPr>
          <w:rFonts w:ascii="Proxima Nova" w:hAnsi="Proxima Nova"/>
        </w:rPr>
        <w:t>appraisal</w:t>
      </w:r>
      <w:r w:rsidRPr="0011041B">
        <w:rPr>
          <w:rFonts w:ascii="Proxima Nova" w:hAnsi="Proxima Nova"/>
        </w:rPr>
        <w:t xml:space="preserve">, </w:t>
      </w:r>
      <w:r w:rsidR="007234F3" w:rsidRPr="0011041B">
        <w:rPr>
          <w:rFonts w:ascii="Proxima Nova" w:hAnsi="Proxima Nova"/>
        </w:rPr>
        <w:t>and</w:t>
      </w:r>
      <w:proofErr w:type="gramEnd"/>
      <w:r w:rsidRPr="0011041B">
        <w:rPr>
          <w:rFonts w:ascii="Proxima Nova" w:hAnsi="Proxima Nova"/>
        </w:rPr>
        <w:t xml:space="preserve"> again </w:t>
      </w:r>
      <w:r w:rsidR="007234F3" w:rsidRPr="0011041B">
        <w:rPr>
          <w:rFonts w:ascii="Proxima Nova" w:hAnsi="Proxima Nova"/>
        </w:rPr>
        <w:t xml:space="preserve">set </w:t>
      </w:r>
      <w:r w:rsidR="00F403B1" w:rsidRPr="0011041B">
        <w:rPr>
          <w:rFonts w:ascii="Proxima Nova" w:hAnsi="Proxima Nova"/>
        </w:rPr>
        <w:t xml:space="preserve">out </w:t>
      </w:r>
      <w:r w:rsidR="007234F3" w:rsidRPr="0011041B">
        <w:rPr>
          <w:rFonts w:ascii="Proxima Nova" w:hAnsi="Proxima Nova"/>
        </w:rPr>
        <w:t xml:space="preserve">the below details in a letter to NICE dated </w:t>
      </w:r>
      <w:r w:rsidR="00DD7235" w:rsidRPr="0011041B">
        <w:rPr>
          <w:rFonts w:ascii="Proxima Nova" w:hAnsi="Proxima Nova"/>
        </w:rPr>
        <w:t>2</w:t>
      </w:r>
      <w:r w:rsidR="00D43F0A" w:rsidRPr="0011041B">
        <w:rPr>
          <w:rFonts w:ascii="Proxima Nova" w:hAnsi="Proxima Nova"/>
        </w:rPr>
        <w:t>7</w:t>
      </w:r>
      <w:r w:rsidR="00DD7235" w:rsidRPr="0011041B">
        <w:rPr>
          <w:rFonts w:ascii="Proxima Nova" w:hAnsi="Proxima Nova"/>
        </w:rPr>
        <w:t xml:space="preserve"> May 2025</w:t>
      </w:r>
      <w:r w:rsidR="00E23F59">
        <w:rPr>
          <w:rFonts w:ascii="Proxima Nova" w:hAnsi="Proxima Nova"/>
        </w:rPr>
        <w:t xml:space="preserve"> and</w:t>
      </w:r>
      <w:r w:rsidR="00F2517E">
        <w:rPr>
          <w:rFonts w:ascii="Proxima Nova" w:hAnsi="Proxima Nova"/>
        </w:rPr>
        <w:t xml:space="preserve"> </w:t>
      </w:r>
      <w:r w:rsidR="6EF42EC7" w:rsidRPr="17F5EDC3">
        <w:rPr>
          <w:rFonts w:ascii="Proxima Nova" w:hAnsi="Proxima Nova"/>
        </w:rPr>
        <w:t>request</w:t>
      </w:r>
      <w:r w:rsidR="00E23F59">
        <w:rPr>
          <w:rFonts w:ascii="Proxima Nova" w:hAnsi="Proxima Nova"/>
        </w:rPr>
        <w:t>ed</w:t>
      </w:r>
      <w:r w:rsidR="000A1C87" w:rsidRPr="0011041B">
        <w:rPr>
          <w:rFonts w:ascii="Proxima Nova" w:hAnsi="Proxima Nova"/>
        </w:rPr>
        <w:t xml:space="preserve"> that </w:t>
      </w:r>
      <w:proofErr w:type="spellStart"/>
      <w:r w:rsidR="000A1C87" w:rsidRPr="0011041B">
        <w:rPr>
          <w:rFonts w:ascii="Proxima Nova" w:hAnsi="Proxima Nova"/>
        </w:rPr>
        <w:t>brexu</w:t>
      </w:r>
      <w:proofErr w:type="spellEnd"/>
      <w:r w:rsidR="000A1C87" w:rsidRPr="0011041B">
        <w:rPr>
          <w:rFonts w:ascii="Proxima Nova" w:hAnsi="Proxima Nova"/>
        </w:rPr>
        <w:t>-cel be assessed by the NICE technical team against the 2022 HST routing criteria</w:t>
      </w:r>
      <w:r w:rsidR="00DD7235" w:rsidRPr="0011041B">
        <w:rPr>
          <w:rFonts w:ascii="Proxima Nova" w:hAnsi="Proxima Nova"/>
        </w:rPr>
        <w:t>.</w:t>
      </w:r>
      <w:r w:rsidR="004A5993" w:rsidRPr="0011041B">
        <w:rPr>
          <w:rFonts w:ascii="Proxima Nova" w:hAnsi="Proxima Nova"/>
        </w:rPr>
        <w:t xml:space="preserv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4540"/>
      </w:tblGrid>
      <w:tr w:rsidR="005C48F7" w:rsidRPr="0011041B" w14:paraId="08134DE8" w14:textId="77777777" w:rsidTr="003E2B69">
        <w:trPr>
          <w:trHeight w:val="300"/>
        </w:trPr>
        <w:tc>
          <w:tcPr>
            <w:tcW w:w="4470"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03A5EF5A" w14:textId="6C80110C" w:rsidR="005C48F7" w:rsidRPr="0011041B" w:rsidRDefault="005C48F7" w:rsidP="003E2B69">
            <w:pPr>
              <w:pStyle w:val="StyleParagraph11pt"/>
              <w:spacing w:before="120" w:after="120"/>
              <w:ind w:left="127" w:right="225"/>
              <w:rPr>
                <w:rFonts w:ascii="Proxima Nova" w:hAnsi="Proxima Nova"/>
              </w:rPr>
            </w:pPr>
            <w:r w:rsidRPr="0011041B">
              <w:rPr>
                <w:rFonts w:ascii="Proxima Nova" w:hAnsi="Proxima Nova"/>
                <w:b/>
                <w:bCs/>
              </w:rPr>
              <w:t xml:space="preserve">The NICE Manual (2022) </w:t>
            </w:r>
            <w:r w:rsidR="009B4BA6" w:rsidRPr="0011041B">
              <w:rPr>
                <w:rFonts w:ascii="Proxima Nova" w:hAnsi="Proxima Nova"/>
                <w:b/>
                <w:bCs/>
              </w:rPr>
              <w:t xml:space="preserve">HST </w:t>
            </w:r>
            <w:r w:rsidRPr="0011041B">
              <w:rPr>
                <w:rFonts w:ascii="Proxima Nova" w:hAnsi="Proxima Nova"/>
                <w:b/>
                <w:bCs/>
              </w:rPr>
              <w:t>Criteria</w:t>
            </w:r>
            <w:r w:rsidRPr="0011041B">
              <w:rPr>
                <w:rFonts w:ascii="Proxima Nova" w:hAnsi="Proxima Nova"/>
              </w:rPr>
              <w:t> </w:t>
            </w:r>
          </w:p>
        </w:tc>
        <w:tc>
          <w:tcPr>
            <w:tcW w:w="4540"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0FDC0E0A" w14:textId="77777777" w:rsidR="005C48F7" w:rsidRPr="0011041B" w:rsidRDefault="005C48F7" w:rsidP="003E2B69">
            <w:pPr>
              <w:pStyle w:val="StyleParagraph11pt"/>
              <w:spacing w:before="120" w:after="120"/>
              <w:ind w:left="194" w:right="227"/>
              <w:rPr>
                <w:rFonts w:ascii="Proxima Nova" w:hAnsi="Proxima Nova"/>
              </w:rPr>
            </w:pPr>
            <w:proofErr w:type="spellStart"/>
            <w:r w:rsidRPr="0011041B">
              <w:rPr>
                <w:rFonts w:ascii="Proxima Nova" w:hAnsi="Proxima Nova"/>
                <w:b/>
                <w:bCs/>
              </w:rPr>
              <w:t>Brexu</w:t>
            </w:r>
            <w:proofErr w:type="spellEnd"/>
            <w:r w:rsidRPr="0011041B">
              <w:rPr>
                <w:rFonts w:ascii="Proxima Nova" w:hAnsi="Proxima Nova"/>
                <w:b/>
                <w:bCs/>
              </w:rPr>
              <w:t>-cel (ID6325)</w:t>
            </w:r>
            <w:r w:rsidRPr="0011041B">
              <w:rPr>
                <w:rFonts w:ascii="Proxima Nova" w:hAnsi="Proxima Nova"/>
              </w:rPr>
              <w:t> </w:t>
            </w:r>
          </w:p>
        </w:tc>
      </w:tr>
      <w:tr w:rsidR="005C48F7" w:rsidRPr="0011041B" w14:paraId="74331A2C" w14:textId="77777777" w:rsidTr="1C5FC9CD">
        <w:trPr>
          <w:trHeight w:val="300"/>
        </w:trPr>
        <w:tc>
          <w:tcPr>
            <w:tcW w:w="4470" w:type="dxa"/>
            <w:tcBorders>
              <w:top w:val="single" w:sz="6" w:space="0" w:color="auto"/>
              <w:left w:val="single" w:sz="6" w:space="0" w:color="auto"/>
              <w:bottom w:val="single" w:sz="6" w:space="0" w:color="auto"/>
              <w:right w:val="single" w:sz="6" w:space="0" w:color="auto"/>
            </w:tcBorders>
            <w:hideMark/>
          </w:tcPr>
          <w:p w14:paraId="67A08091" w14:textId="77777777" w:rsidR="005C48F7" w:rsidRPr="0011041B" w:rsidRDefault="005C48F7" w:rsidP="003E2B69">
            <w:pPr>
              <w:pStyle w:val="StyleParagraph11pt"/>
              <w:spacing w:before="120" w:after="120"/>
              <w:ind w:left="127" w:right="225"/>
              <w:rPr>
                <w:rFonts w:ascii="Proxima Nova" w:hAnsi="Proxima Nova"/>
              </w:rPr>
            </w:pPr>
            <w:r w:rsidRPr="0011041B">
              <w:rPr>
                <w:rFonts w:ascii="Proxima Nova" w:hAnsi="Proxima Nova"/>
              </w:rPr>
              <w:t>The disease is very rare (prevalence in England lower than 1 in 50,000 people, or about 1,100 people) </w:t>
            </w:r>
          </w:p>
        </w:tc>
        <w:tc>
          <w:tcPr>
            <w:tcW w:w="4540" w:type="dxa"/>
            <w:tcBorders>
              <w:top w:val="single" w:sz="6" w:space="0" w:color="auto"/>
              <w:left w:val="single" w:sz="6" w:space="0" w:color="auto"/>
              <w:bottom w:val="single" w:sz="6" w:space="0" w:color="auto"/>
              <w:right w:val="single" w:sz="6" w:space="0" w:color="auto"/>
            </w:tcBorders>
            <w:hideMark/>
          </w:tcPr>
          <w:p w14:paraId="137118DD" w14:textId="34882FA9" w:rsidR="005C48F7" w:rsidRPr="0011041B" w:rsidRDefault="005C48F7" w:rsidP="003E2B69">
            <w:pPr>
              <w:pStyle w:val="StyleParagraph11pt"/>
              <w:spacing w:before="120" w:after="120"/>
              <w:ind w:left="194" w:right="227"/>
              <w:rPr>
                <w:rFonts w:ascii="Proxima Nova" w:hAnsi="Proxima Nova"/>
              </w:rPr>
            </w:pPr>
            <w:r w:rsidRPr="333D91A2">
              <w:rPr>
                <w:rFonts w:ascii="Proxima Nova" w:hAnsi="Proxima Nova"/>
              </w:rPr>
              <w:t>MCL incidence: 0.9 per 100,000</w:t>
            </w:r>
            <w:r w:rsidRPr="003E2B69">
              <w:rPr>
                <w:rStyle w:val="EndnoteReference"/>
                <w:rFonts w:ascii="Proxima Nova" w:hAnsi="Proxima Nova" w:cs="Cambria Math"/>
              </w:rPr>
              <w:endnoteReference w:id="8"/>
            </w:r>
            <w:r w:rsidRPr="333D91A2">
              <w:rPr>
                <w:rFonts w:ascii="Cambria Math" w:hAnsi="Cambria Math" w:cs="Cambria Math"/>
              </w:rPr>
              <w:t>​</w:t>
            </w:r>
            <w:r w:rsidRPr="333D91A2">
              <w:rPr>
                <w:rFonts w:ascii="Proxima Nova" w:hAnsi="Proxima Nova"/>
                <w:vertAlign w:val="superscript"/>
              </w:rPr>
              <w:t xml:space="preserve"> </w:t>
            </w:r>
            <w:r w:rsidRPr="333D91A2">
              <w:rPr>
                <w:rFonts w:ascii="Proxima Nova" w:hAnsi="Proxima Nova"/>
              </w:rPr>
              <w:t> </w:t>
            </w:r>
          </w:p>
          <w:p w14:paraId="74D3961F" w14:textId="67992F99" w:rsidR="005C48F7" w:rsidRPr="0011041B" w:rsidRDefault="005C48F7" w:rsidP="003E2B69">
            <w:pPr>
              <w:pStyle w:val="StyleParagraph11pt"/>
              <w:spacing w:before="120" w:after="120"/>
              <w:ind w:left="194" w:right="227"/>
              <w:rPr>
                <w:rFonts w:ascii="Proxima Nova" w:hAnsi="Proxima Nova"/>
              </w:rPr>
            </w:pPr>
            <w:r w:rsidRPr="5BA551CD">
              <w:rPr>
                <w:rFonts w:ascii="Proxima Nova" w:hAnsi="Proxima Nova"/>
              </w:rPr>
              <w:t>Around 540 patients per year are diagnosed with MCL in England. However, the number of relapsed or refractory after 2 or more systemic treatments including a BTKi is much lower, around 90 per year</w:t>
            </w:r>
            <w:r w:rsidRPr="5BA551CD">
              <w:rPr>
                <w:rFonts w:ascii="Cambria Math" w:hAnsi="Cambria Math" w:cs="Cambria Math"/>
              </w:rPr>
              <w:t>​</w:t>
            </w:r>
            <w:r w:rsidRPr="5BA551CD">
              <w:rPr>
                <w:rFonts w:ascii="Proxima Nova" w:hAnsi="Proxima Nova"/>
                <w:vertAlign w:val="superscript"/>
              </w:rPr>
              <w:t xml:space="preserve"> </w:t>
            </w:r>
            <w:r w:rsidR="00D95105">
              <w:rPr>
                <w:rStyle w:val="EndnoteReference"/>
                <w:rFonts w:ascii="Proxima Nova" w:hAnsi="Proxima Nova"/>
              </w:rPr>
              <w:endnoteReference w:id="9"/>
            </w:r>
            <w:r w:rsidRPr="5BA551CD">
              <w:rPr>
                <w:rFonts w:ascii="Cambria Math" w:hAnsi="Cambria Math" w:cs="Cambria Math"/>
              </w:rPr>
              <w:t>​</w:t>
            </w:r>
            <w:r w:rsidRPr="5BA551CD">
              <w:rPr>
                <w:rFonts w:ascii="Proxima Nova" w:hAnsi="Proxima Nova"/>
              </w:rPr>
              <w:t>. </w:t>
            </w:r>
          </w:p>
        </w:tc>
      </w:tr>
      <w:tr w:rsidR="005C48F7" w:rsidRPr="0011041B" w14:paraId="6B77D58D" w14:textId="77777777" w:rsidTr="1C5FC9CD">
        <w:trPr>
          <w:trHeight w:val="300"/>
        </w:trPr>
        <w:tc>
          <w:tcPr>
            <w:tcW w:w="4470" w:type="dxa"/>
            <w:tcBorders>
              <w:top w:val="single" w:sz="6" w:space="0" w:color="auto"/>
              <w:left w:val="single" w:sz="6" w:space="0" w:color="auto"/>
              <w:bottom w:val="single" w:sz="6" w:space="0" w:color="auto"/>
              <w:right w:val="single" w:sz="6" w:space="0" w:color="auto"/>
            </w:tcBorders>
            <w:hideMark/>
          </w:tcPr>
          <w:p w14:paraId="677FEE03" w14:textId="77777777" w:rsidR="005C48F7" w:rsidRPr="0011041B" w:rsidRDefault="005C48F7" w:rsidP="003E2B69">
            <w:pPr>
              <w:pStyle w:val="StyleParagraph11pt"/>
              <w:spacing w:before="120" w:after="120"/>
              <w:ind w:left="127" w:right="225"/>
              <w:rPr>
                <w:rFonts w:ascii="Proxima Nova" w:hAnsi="Proxima Nova"/>
              </w:rPr>
            </w:pPr>
            <w:r w:rsidRPr="06EDCAE8">
              <w:rPr>
                <w:rFonts w:ascii="Proxima Nova" w:hAnsi="Proxima Nova"/>
              </w:rPr>
              <w:lastRenderedPageBreak/>
              <w:t>Normally, no more than 300 people in England are eligible for the technology in its licensed indication and no more than 500 across all its indications </w:t>
            </w:r>
          </w:p>
        </w:tc>
        <w:tc>
          <w:tcPr>
            <w:tcW w:w="4540" w:type="dxa"/>
            <w:tcBorders>
              <w:top w:val="single" w:sz="6" w:space="0" w:color="auto"/>
              <w:left w:val="single" w:sz="6" w:space="0" w:color="auto"/>
              <w:bottom w:val="single" w:sz="6" w:space="0" w:color="auto"/>
              <w:right w:val="single" w:sz="6" w:space="0" w:color="auto"/>
            </w:tcBorders>
            <w:hideMark/>
          </w:tcPr>
          <w:p w14:paraId="31DAD5D0" w14:textId="49487441" w:rsidR="005C48F7" w:rsidRPr="0011041B" w:rsidRDefault="005C48F7" w:rsidP="003E2B69">
            <w:pPr>
              <w:pStyle w:val="StyleParagraph11pt"/>
              <w:numPr>
                <w:ilvl w:val="0"/>
                <w:numId w:val="16"/>
              </w:numPr>
              <w:spacing w:before="120" w:after="120"/>
              <w:ind w:left="194" w:right="227"/>
              <w:rPr>
                <w:rFonts w:ascii="Proxima Nova" w:hAnsi="Proxima Nova"/>
              </w:rPr>
            </w:pPr>
            <w:r w:rsidRPr="0011041B">
              <w:rPr>
                <w:rFonts w:ascii="Proxima Nova" w:hAnsi="Proxima Nova"/>
              </w:rPr>
              <w:t xml:space="preserve">MCL </w:t>
            </w:r>
            <w:r w:rsidR="00B773B6">
              <w:rPr>
                <w:rFonts w:ascii="Proxima Nova" w:hAnsi="Proxima Nova"/>
              </w:rPr>
              <w:t>R</w:t>
            </w:r>
            <w:r w:rsidRPr="0011041B">
              <w:rPr>
                <w:rFonts w:ascii="Proxima Nova" w:hAnsi="Proxima Nova"/>
              </w:rPr>
              <w:t>/</w:t>
            </w:r>
            <w:r w:rsidR="00B773B6">
              <w:rPr>
                <w:rFonts w:ascii="Proxima Nova" w:hAnsi="Proxima Nova"/>
              </w:rPr>
              <w:t>R</w:t>
            </w:r>
            <w:r w:rsidRPr="0011041B">
              <w:rPr>
                <w:rFonts w:ascii="Proxima Nova" w:hAnsi="Proxima Nova"/>
              </w:rPr>
              <w:t xml:space="preserve"> eligibility:  </w:t>
            </w:r>
          </w:p>
          <w:p w14:paraId="3349558B" w14:textId="77777777" w:rsidR="005C48F7" w:rsidRPr="0011041B" w:rsidRDefault="005C48F7" w:rsidP="003E2B69">
            <w:pPr>
              <w:pStyle w:val="StyleParagraph11pt"/>
              <w:numPr>
                <w:ilvl w:val="0"/>
                <w:numId w:val="17"/>
              </w:numPr>
              <w:spacing w:before="120" w:after="120"/>
              <w:ind w:left="194" w:right="227"/>
              <w:rPr>
                <w:rFonts w:ascii="Proxima Nova" w:hAnsi="Proxima Nova"/>
              </w:rPr>
            </w:pPr>
            <w:r w:rsidRPr="0011041B">
              <w:rPr>
                <w:rFonts w:ascii="Proxima Nova" w:hAnsi="Proxima Nova"/>
              </w:rPr>
              <w:t>Patients fit to receive 3L (as per NICE BIA estimates ID6325) = 105 patients  </w:t>
            </w:r>
          </w:p>
          <w:p w14:paraId="1F638C31" w14:textId="6351FFA2" w:rsidR="005C48F7" w:rsidRPr="0011041B" w:rsidRDefault="426B4192" w:rsidP="003E2B69">
            <w:pPr>
              <w:pStyle w:val="StyleParagraph11pt"/>
              <w:numPr>
                <w:ilvl w:val="0"/>
                <w:numId w:val="18"/>
              </w:numPr>
              <w:spacing w:before="120" w:after="120"/>
              <w:ind w:left="194" w:right="227"/>
              <w:rPr>
                <w:rFonts w:ascii="Proxima Nova" w:hAnsi="Proxima Nova"/>
              </w:rPr>
            </w:pPr>
            <w:r w:rsidRPr="1C5FC9CD">
              <w:rPr>
                <w:rFonts w:ascii="Proxima Nova" w:hAnsi="Proxima Nova"/>
              </w:rPr>
              <w:t xml:space="preserve">ALL </w:t>
            </w:r>
            <w:r w:rsidR="00F87FBE">
              <w:rPr>
                <w:rFonts w:ascii="Proxima Nova" w:hAnsi="Proxima Nova"/>
              </w:rPr>
              <w:t>R</w:t>
            </w:r>
            <w:r w:rsidRPr="1C5FC9CD">
              <w:rPr>
                <w:rFonts w:ascii="Proxima Nova" w:hAnsi="Proxima Nova"/>
              </w:rPr>
              <w:t>/</w:t>
            </w:r>
            <w:r w:rsidR="00F87FBE">
              <w:rPr>
                <w:rFonts w:ascii="Proxima Nova" w:hAnsi="Proxima Nova"/>
              </w:rPr>
              <w:t>R</w:t>
            </w:r>
            <w:r w:rsidRPr="1C5FC9CD">
              <w:rPr>
                <w:rFonts w:ascii="Proxima Nova" w:hAnsi="Proxima Nova"/>
              </w:rPr>
              <w:t xml:space="preserve"> eligibility (as per ID1494 NICE BIA estimates):  </w:t>
            </w:r>
          </w:p>
          <w:p w14:paraId="4905ED58" w14:textId="77777777" w:rsidR="005C48F7" w:rsidRPr="0011041B" w:rsidRDefault="005C48F7" w:rsidP="003E2B69">
            <w:pPr>
              <w:pStyle w:val="StyleParagraph11pt"/>
              <w:numPr>
                <w:ilvl w:val="0"/>
                <w:numId w:val="19"/>
              </w:numPr>
              <w:spacing w:before="120" w:after="120"/>
              <w:ind w:left="194" w:right="227"/>
              <w:rPr>
                <w:rFonts w:ascii="Proxima Nova" w:hAnsi="Proxima Nova"/>
              </w:rPr>
            </w:pPr>
            <w:r w:rsidRPr="0011041B">
              <w:rPr>
                <w:rFonts w:ascii="Proxima Nova" w:hAnsi="Proxima Nova"/>
              </w:rPr>
              <w:t>Ph+ = 80 </w:t>
            </w:r>
          </w:p>
          <w:p w14:paraId="036F35FE" w14:textId="77777777" w:rsidR="005C48F7" w:rsidRPr="0011041B" w:rsidRDefault="005C48F7" w:rsidP="003E2B69">
            <w:pPr>
              <w:pStyle w:val="StyleParagraph11pt"/>
              <w:numPr>
                <w:ilvl w:val="0"/>
                <w:numId w:val="20"/>
              </w:numPr>
              <w:spacing w:before="120" w:after="120"/>
              <w:ind w:left="194" w:right="227"/>
              <w:rPr>
                <w:rFonts w:ascii="Proxima Nova" w:hAnsi="Proxima Nova"/>
              </w:rPr>
            </w:pPr>
            <w:r w:rsidRPr="0011041B">
              <w:rPr>
                <w:rFonts w:ascii="Proxima Nova" w:hAnsi="Proxima Nova"/>
              </w:rPr>
              <w:t>Ph- = 22 </w:t>
            </w:r>
          </w:p>
          <w:p w14:paraId="5C770FC3" w14:textId="77777777" w:rsidR="005C48F7" w:rsidRPr="0011041B" w:rsidRDefault="005C48F7" w:rsidP="003E2B69">
            <w:pPr>
              <w:pStyle w:val="StyleParagraph11pt"/>
              <w:numPr>
                <w:ilvl w:val="0"/>
                <w:numId w:val="21"/>
              </w:numPr>
              <w:spacing w:before="120" w:after="120"/>
              <w:ind w:left="194" w:right="227"/>
              <w:rPr>
                <w:rFonts w:ascii="Proxima Nova" w:hAnsi="Proxima Nova"/>
              </w:rPr>
            </w:pPr>
            <w:r w:rsidRPr="0011041B">
              <w:rPr>
                <w:rFonts w:ascii="Proxima Nova" w:hAnsi="Proxima Nova"/>
              </w:rPr>
              <w:t>Total across indications: 207 patients eligible </w:t>
            </w:r>
          </w:p>
          <w:p w14:paraId="5EA49869" w14:textId="5BC8E15C" w:rsidR="005C48F7" w:rsidRPr="0011041B" w:rsidRDefault="005C48F7" w:rsidP="003E2B69">
            <w:pPr>
              <w:pStyle w:val="StyleParagraph11pt"/>
              <w:spacing w:before="120" w:after="120"/>
              <w:ind w:left="194" w:right="227"/>
              <w:rPr>
                <w:rFonts w:ascii="Proxima Nova" w:hAnsi="Proxima Nova"/>
              </w:rPr>
            </w:pPr>
          </w:p>
        </w:tc>
      </w:tr>
      <w:tr w:rsidR="005C48F7" w:rsidRPr="0011041B" w14:paraId="6C43A5F2" w14:textId="77777777" w:rsidTr="1C5FC9CD">
        <w:trPr>
          <w:trHeight w:val="300"/>
        </w:trPr>
        <w:tc>
          <w:tcPr>
            <w:tcW w:w="4470" w:type="dxa"/>
            <w:tcBorders>
              <w:top w:val="single" w:sz="6" w:space="0" w:color="auto"/>
              <w:left w:val="single" w:sz="6" w:space="0" w:color="auto"/>
              <w:bottom w:val="single" w:sz="6" w:space="0" w:color="auto"/>
              <w:right w:val="single" w:sz="6" w:space="0" w:color="auto"/>
            </w:tcBorders>
            <w:hideMark/>
          </w:tcPr>
          <w:p w14:paraId="6F486127" w14:textId="77777777" w:rsidR="005C48F7" w:rsidRPr="0011041B" w:rsidRDefault="005C48F7" w:rsidP="003E2B69">
            <w:pPr>
              <w:pStyle w:val="StyleParagraph11pt"/>
              <w:spacing w:before="120" w:after="120"/>
              <w:ind w:left="127" w:right="225"/>
              <w:rPr>
                <w:rFonts w:ascii="Proxima Nova" w:hAnsi="Proxima Nova"/>
              </w:rPr>
            </w:pPr>
            <w:r w:rsidRPr="0011041B">
              <w:rPr>
                <w:rFonts w:ascii="Proxima Nova" w:hAnsi="Proxima Nova"/>
              </w:rPr>
              <w:t>The very rare disease for which the technology is indicated significantly shortens life or severely impairs quality of life </w:t>
            </w:r>
          </w:p>
        </w:tc>
        <w:tc>
          <w:tcPr>
            <w:tcW w:w="4540" w:type="dxa"/>
            <w:tcBorders>
              <w:top w:val="single" w:sz="6" w:space="0" w:color="auto"/>
              <w:left w:val="single" w:sz="6" w:space="0" w:color="auto"/>
              <w:bottom w:val="single" w:sz="6" w:space="0" w:color="auto"/>
              <w:right w:val="single" w:sz="6" w:space="0" w:color="auto"/>
            </w:tcBorders>
            <w:hideMark/>
          </w:tcPr>
          <w:p w14:paraId="46C41AC4" w14:textId="2D4EF851" w:rsidR="005C48F7" w:rsidRPr="0011041B" w:rsidRDefault="005C48F7" w:rsidP="003E2B69">
            <w:pPr>
              <w:pStyle w:val="StyleParagraph11pt"/>
              <w:spacing w:before="120" w:after="120"/>
              <w:ind w:left="194" w:right="227"/>
              <w:rPr>
                <w:rFonts w:ascii="Proxima Nova" w:hAnsi="Proxima Nova"/>
              </w:rPr>
            </w:pPr>
            <w:r w:rsidRPr="57F8C531">
              <w:rPr>
                <w:rFonts w:ascii="Proxima Nova" w:hAnsi="Proxima Nova"/>
              </w:rPr>
              <w:t>The outcomes of patients prior to the UK availability of CAR T have been reported by the Haematological Malignancy Research Network (HMRN</w:t>
            </w:r>
            <w:r w:rsidRPr="57F8C531">
              <w:rPr>
                <w:rFonts w:ascii="Cambria Math" w:hAnsi="Cambria Math" w:cs="Cambria Math"/>
              </w:rPr>
              <w:t>​​</w:t>
            </w:r>
            <w:r w:rsidRPr="57F8C531">
              <w:rPr>
                <w:rFonts w:ascii="Proxima Nova" w:hAnsi="Proxima Nova"/>
              </w:rPr>
              <w:t>)</w:t>
            </w:r>
            <w:r w:rsidR="009579D3" w:rsidRPr="57F8C531">
              <w:rPr>
                <w:rStyle w:val="EndnoteReference"/>
                <w:rFonts w:ascii="Proxima Nova" w:hAnsi="Proxima Nova"/>
              </w:rPr>
              <w:endnoteReference w:id="10"/>
            </w:r>
            <w:r w:rsidRPr="57F8C531">
              <w:rPr>
                <w:rFonts w:ascii="Proxima Nova" w:hAnsi="Proxima Nova"/>
              </w:rPr>
              <w:t xml:space="preserve">. This report showed substantially reduced survival with each additional line of treatment in UK patients diagnosed with MCL between September 2004 and August 2017. Median survival decreased from </w:t>
            </w:r>
            <w:r w:rsidR="00F03604" w:rsidRPr="57F8C531">
              <w:rPr>
                <w:rFonts w:ascii="Proxima Nova" w:hAnsi="Proxima Nova"/>
              </w:rPr>
              <w:t>0.</w:t>
            </w:r>
            <w:r w:rsidR="007D59E0" w:rsidRPr="57F8C531">
              <w:rPr>
                <w:rFonts w:ascii="Proxima Nova" w:hAnsi="Proxima Nova"/>
              </w:rPr>
              <w:t>8 years following</w:t>
            </w:r>
            <w:r w:rsidRPr="57F8C531">
              <w:rPr>
                <w:rFonts w:ascii="Proxima Nova" w:hAnsi="Proxima Nova"/>
              </w:rPr>
              <w:t xml:space="preserve"> second-line treatment </w:t>
            </w:r>
            <w:r w:rsidR="00313575" w:rsidRPr="57F8C531">
              <w:rPr>
                <w:rFonts w:ascii="Proxima Nova" w:hAnsi="Proxima Nova"/>
              </w:rPr>
              <w:t xml:space="preserve">(n = 140) </w:t>
            </w:r>
            <w:r w:rsidRPr="57F8C531">
              <w:rPr>
                <w:rFonts w:ascii="Proxima Nova" w:hAnsi="Proxima Nova"/>
              </w:rPr>
              <w:t xml:space="preserve">to </w:t>
            </w:r>
            <w:r w:rsidR="00557654" w:rsidRPr="57F8C531">
              <w:rPr>
                <w:rFonts w:ascii="Proxima Nova" w:hAnsi="Proxima Nova"/>
              </w:rPr>
              <w:t>0.6 years following</w:t>
            </w:r>
            <w:r w:rsidRPr="57F8C531">
              <w:rPr>
                <w:rFonts w:ascii="Proxima Nova" w:hAnsi="Proxima Nova"/>
              </w:rPr>
              <w:t xml:space="preserve"> with third-line treatment</w:t>
            </w:r>
            <w:r w:rsidR="00557654" w:rsidRPr="57F8C531">
              <w:rPr>
                <w:rFonts w:ascii="Proxima Nova" w:hAnsi="Proxima Nova"/>
              </w:rPr>
              <w:t xml:space="preserve"> (n = </w:t>
            </w:r>
            <w:r w:rsidR="008044DC" w:rsidRPr="57F8C531">
              <w:rPr>
                <w:rFonts w:ascii="Proxima Nova" w:hAnsi="Proxima Nova"/>
              </w:rPr>
              <w:t>55)</w:t>
            </w:r>
            <w:r w:rsidRPr="57F8C531">
              <w:rPr>
                <w:rFonts w:ascii="Proxima Nova" w:hAnsi="Proxima Nova"/>
              </w:rPr>
              <w:t xml:space="preserve">, </w:t>
            </w:r>
            <w:r w:rsidR="008044DC" w:rsidRPr="57F8C531">
              <w:rPr>
                <w:rFonts w:ascii="Proxima Nova" w:hAnsi="Proxima Nova"/>
              </w:rPr>
              <w:t>0.4 years following</w:t>
            </w:r>
            <w:r w:rsidRPr="57F8C531">
              <w:rPr>
                <w:rFonts w:ascii="Proxima Nova" w:hAnsi="Proxima Nova"/>
              </w:rPr>
              <w:t xml:space="preserve"> fourth-line treatment</w:t>
            </w:r>
            <w:r w:rsidR="008044DC" w:rsidRPr="57F8C531">
              <w:rPr>
                <w:rFonts w:ascii="Proxima Nova" w:hAnsi="Proxima Nova"/>
              </w:rPr>
              <w:t xml:space="preserve"> (n = 28)</w:t>
            </w:r>
            <w:r w:rsidRPr="57F8C531">
              <w:rPr>
                <w:rFonts w:ascii="Proxima Nova" w:hAnsi="Proxima Nova"/>
              </w:rPr>
              <w:t xml:space="preserve"> and </w:t>
            </w:r>
            <w:r w:rsidR="008044DC" w:rsidRPr="57F8C531">
              <w:rPr>
                <w:rFonts w:ascii="Proxima Nova" w:hAnsi="Proxima Nova"/>
              </w:rPr>
              <w:t>0.1 years</w:t>
            </w:r>
            <w:r w:rsidR="00D320F1" w:rsidRPr="57F8C531">
              <w:rPr>
                <w:rFonts w:ascii="Proxima Nova" w:hAnsi="Proxima Nova"/>
              </w:rPr>
              <w:t xml:space="preserve"> following</w:t>
            </w:r>
            <w:r w:rsidRPr="57F8C531">
              <w:rPr>
                <w:rFonts w:ascii="Proxima Nova" w:hAnsi="Proxima Nova"/>
              </w:rPr>
              <w:t xml:space="preserve"> fifth-line treatment</w:t>
            </w:r>
            <w:r w:rsidR="00D320F1" w:rsidRPr="57F8C531">
              <w:rPr>
                <w:rFonts w:ascii="Proxima Nova" w:hAnsi="Proxima Nova"/>
              </w:rPr>
              <w:t xml:space="preserve"> (n = 8)</w:t>
            </w:r>
            <w:r w:rsidRPr="57F8C531">
              <w:rPr>
                <w:rFonts w:ascii="Proxima Nova" w:hAnsi="Proxima Nova"/>
              </w:rPr>
              <w:t>. </w:t>
            </w:r>
          </w:p>
        </w:tc>
      </w:tr>
      <w:tr w:rsidR="005C48F7" w:rsidRPr="0011041B" w14:paraId="0FCCA700" w14:textId="77777777" w:rsidTr="1C5FC9CD">
        <w:trPr>
          <w:trHeight w:val="300"/>
        </w:trPr>
        <w:tc>
          <w:tcPr>
            <w:tcW w:w="4470" w:type="dxa"/>
            <w:tcBorders>
              <w:top w:val="single" w:sz="6" w:space="0" w:color="auto"/>
              <w:left w:val="single" w:sz="6" w:space="0" w:color="auto"/>
              <w:bottom w:val="single" w:sz="6" w:space="0" w:color="auto"/>
              <w:right w:val="single" w:sz="6" w:space="0" w:color="auto"/>
            </w:tcBorders>
            <w:hideMark/>
          </w:tcPr>
          <w:p w14:paraId="7A421F75" w14:textId="77777777" w:rsidR="005C48F7" w:rsidRPr="0011041B" w:rsidRDefault="005C48F7" w:rsidP="003E2B69">
            <w:pPr>
              <w:pStyle w:val="StyleParagraph11pt"/>
              <w:spacing w:before="120" w:after="120"/>
              <w:ind w:left="127" w:right="225"/>
              <w:rPr>
                <w:rFonts w:ascii="Proxima Nova" w:hAnsi="Proxima Nova"/>
              </w:rPr>
            </w:pPr>
            <w:r w:rsidRPr="0011041B">
              <w:rPr>
                <w:rFonts w:ascii="Proxima Nova" w:hAnsi="Proxima Nova"/>
              </w:rPr>
              <w:t>There are no other satisfactory treatment options, or the technology is likely to offer significant additional benefit over existing treatment options </w:t>
            </w:r>
          </w:p>
        </w:tc>
        <w:tc>
          <w:tcPr>
            <w:tcW w:w="4540" w:type="dxa"/>
            <w:tcBorders>
              <w:top w:val="single" w:sz="6" w:space="0" w:color="auto"/>
              <w:left w:val="single" w:sz="6" w:space="0" w:color="auto"/>
              <w:bottom w:val="single" w:sz="6" w:space="0" w:color="auto"/>
              <w:right w:val="single" w:sz="6" w:space="0" w:color="auto"/>
            </w:tcBorders>
            <w:hideMark/>
          </w:tcPr>
          <w:p w14:paraId="55BDD718" w14:textId="77777777" w:rsidR="005C48F7" w:rsidRPr="0011041B" w:rsidRDefault="005C48F7" w:rsidP="003E2B69">
            <w:pPr>
              <w:pStyle w:val="StyleParagraph11pt"/>
              <w:numPr>
                <w:ilvl w:val="0"/>
                <w:numId w:val="22"/>
              </w:numPr>
              <w:spacing w:before="120" w:after="120"/>
              <w:ind w:left="194" w:right="227"/>
              <w:rPr>
                <w:rFonts w:ascii="Proxima Nova" w:hAnsi="Proxima Nova"/>
              </w:rPr>
            </w:pPr>
            <w:r w:rsidRPr="06EDCAE8">
              <w:rPr>
                <w:rFonts w:ascii="Proxima Nova" w:hAnsi="Proxima Nova"/>
              </w:rPr>
              <w:t>Chemotherapy (with or without rituximab). </w:t>
            </w:r>
          </w:p>
          <w:p w14:paraId="178C14EC" w14:textId="3E5155E7" w:rsidR="005C48F7" w:rsidRDefault="005C48F7" w:rsidP="003E2B69">
            <w:pPr>
              <w:pStyle w:val="StyleParagraph11pt"/>
              <w:spacing w:before="120" w:after="120"/>
              <w:ind w:left="194" w:right="227"/>
              <w:rPr>
                <w:rFonts w:ascii="Proxima Nova" w:hAnsi="Proxima Nova"/>
              </w:rPr>
            </w:pPr>
            <w:r w:rsidRPr="06EDCAE8">
              <w:rPr>
                <w:rFonts w:ascii="Proxima Nova" w:hAnsi="Proxima Nova"/>
              </w:rPr>
              <w:t>Management options for patients who have failed a covalent BTK inhibitor and are unfit for, or have already received, CAR-T are poorly defined, and no standard of care is currently recognised. </w:t>
            </w:r>
          </w:p>
          <w:p w14:paraId="461ADE3D" w14:textId="51196E0B" w:rsidR="008A6338" w:rsidRPr="0011041B" w:rsidRDefault="008A6338" w:rsidP="003E2B69">
            <w:pPr>
              <w:pStyle w:val="StyleParagraph11pt"/>
              <w:spacing w:before="120" w:after="120"/>
              <w:ind w:left="194" w:right="227"/>
              <w:rPr>
                <w:rFonts w:ascii="Proxima Nova" w:hAnsi="Proxima Nova"/>
              </w:rPr>
            </w:pPr>
            <w:r w:rsidRPr="008A6338">
              <w:rPr>
                <w:rFonts w:ascii="Proxima Nova" w:hAnsi="Proxima Nova"/>
              </w:rPr>
              <w:t>Outcomes on these treatments are dismal with median OS of patients who relapse after a BTKi varying between 5.8-12.5 months - survival at 5 years is expected to be less than 10% (possibly as low as 5%)</w:t>
            </w:r>
            <w:r w:rsidR="006C7CEE">
              <w:rPr>
                <w:rStyle w:val="EndnoteReference"/>
                <w:rFonts w:ascii="Proxima Nova" w:hAnsi="Proxima Nova"/>
              </w:rPr>
              <w:endnoteReference w:id="11"/>
            </w:r>
          </w:p>
        </w:tc>
      </w:tr>
    </w:tbl>
    <w:p w14:paraId="25F746F2" w14:textId="04245051" w:rsidR="000A1C87" w:rsidRPr="0011041B" w:rsidRDefault="05E24BDC" w:rsidP="002C713B">
      <w:pPr>
        <w:pStyle w:val="StyleParagraph11pt"/>
        <w:rPr>
          <w:rFonts w:ascii="Proxima Nova" w:hAnsi="Proxima Nova"/>
        </w:rPr>
      </w:pPr>
      <w:r w:rsidRPr="7E529845">
        <w:rPr>
          <w:rFonts w:ascii="Proxima Nova" w:hAnsi="Proxima Nova"/>
        </w:rPr>
        <w:t xml:space="preserve">Despite the fact that </w:t>
      </w:r>
      <w:r w:rsidR="00684326">
        <w:rPr>
          <w:rFonts w:ascii="Proxima Nova" w:hAnsi="Proxima Nova"/>
        </w:rPr>
        <w:t xml:space="preserve">the data </w:t>
      </w:r>
      <w:r w:rsidR="734E8F71" w:rsidRPr="7E529845">
        <w:rPr>
          <w:rFonts w:ascii="Proxima Nova" w:hAnsi="Proxima Nova"/>
        </w:rPr>
        <w:t>demonstrate</w:t>
      </w:r>
      <w:r w:rsidR="4F68F17D" w:rsidRPr="1BA8B5A4">
        <w:rPr>
          <w:rFonts w:ascii="Proxima Nova" w:hAnsi="Proxima Nova"/>
        </w:rPr>
        <w:t xml:space="preserve"> </w:t>
      </w:r>
      <w:r w:rsidR="00684326" w:rsidRPr="1BA8B5A4">
        <w:rPr>
          <w:rFonts w:ascii="Proxima Nova" w:hAnsi="Proxima Nova"/>
        </w:rPr>
        <w:t>that</w:t>
      </w:r>
      <w:r w:rsidR="00684326">
        <w:rPr>
          <w:rFonts w:ascii="Proxima Nova" w:hAnsi="Proxima Nova"/>
        </w:rPr>
        <w:t xml:space="preserve"> </w:t>
      </w:r>
      <w:proofErr w:type="spellStart"/>
      <w:r w:rsidR="00684326">
        <w:rPr>
          <w:rFonts w:ascii="Proxima Nova" w:hAnsi="Proxima Nova"/>
        </w:rPr>
        <w:t>brexu</w:t>
      </w:r>
      <w:proofErr w:type="spellEnd"/>
      <w:r w:rsidR="00684326">
        <w:rPr>
          <w:rFonts w:ascii="Proxima Nova" w:hAnsi="Proxima Nova"/>
        </w:rPr>
        <w:t xml:space="preserve">-cel </w:t>
      </w:r>
      <w:r w:rsidR="3B4AE925" w:rsidRPr="7760ADEE">
        <w:rPr>
          <w:rFonts w:ascii="Proxima Nova" w:hAnsi="Proxima Nova"/>
        </w:rPr>
        <w:t>qualifies</w:t>
      </w:r>
      <w:r w:rsidR="00684326">
        <w:rPr>
          <w:rFonts w:ascii="Proxima Nova" w:hAnsi="Proxima Nova"/>
        </w:rPr>
        <w:t xml:space="preserve"> for HST evaluation under the 2022 </w:t>
      </w:r>
      <w:r w:rsidR="002F35D9">
        <w:rPr>
          <w:rFonts w:ascii="Proxima Nova" w:hAnsi="Proxima Nova"/>
        </w:rPr>
        <w:t xml:space="preserve">procedures, </w:t>
      </w:r>
      <w:r w:rsidR="000A1C87" w:rsidRPr="0011041B">
        <w:rPr>
          <w:rFonts w:ascii="Proxima Nova" w:hAnsi="Proxima Nova"/>
        </w:rPr>
        <w:t xml:space="preserve">NICE </w:t>
      </w:r>
      <w:r w:rsidR="002F35D9">
        <w:rPr>
          <w:rFonts w:ascii="Proxima Nova" w:hAnsi="Proxima Nova"/>
        </w:rPr>
        <w:t xml:space="preserve">nevertheless </w:t>
      </w:r>
      <w:r w:rsidR="000A1C87" w:rsidRPr="0011041B">
        <w:rPr>
          <w:rFonts w:ascii="Proxima Nova" w:hAnsi="Proxima Nova"/>
        </w:rPr>
        <w:t xml:space="preserve">responded to </w:t>
      </w:r>
      <w:r w:rsidR="002F35D9">
        <w:rPr>
          <w:rFonts w:ascii="Proxima Nova" w:hAnsi="Proxima Nova"/>
        </w:rPr>
        <w:t xml:space="preserve">Gilead’s </w:t>
      </w:r>
      <w:r w:rsidR="000A1C87" w:rsidRPr="0011041B">
        <w:rPr>
          <w:rFonts w:ascii="Proxima Nova" w:hAnsi="Proxima Nova"/>
        </w:rPr>
        <w:t>request on 5 June 2025</w:t>
      </w:r>
      <w:r w:rsidR="00A31CA4" w:rsidRPr="0011041B">
        <w:rPr>
          <w:rFonts w:ascii="Proxima Nova" w:hAnsi="Proxima Nova"/>
        </w:rPr>
        <w:t xml:space="preserve">, </w:t>
      </w:r>
      <w:r w:rsidR="00A31CA4" w:rsidRPr="0011041B">
        <w:rPr>
          <w:rFonts w:ascii="Proxima Nova" w:hAnsi="Proxima Nova"/>
        </w:rPr>
        <w:lastRenderedPageBreak/>
        <w:t xml:space="preserve">making reference to </w:t>
      </w:r>
      <w:r w:rsidR="005B3548" w:rsidRPr="0011041B">
        <w:rPr>
          <w:rFonts w:ascii="Proxima Nova" w:hAnsi="Proxima Nova"/>
        </w:rPr>
        <w:t xml:space="preserve">section 8.6.5 of the NICE </w:t>
      </w:r>
      <w:r w:rsidR="00672E0C">
        <w:rPr>
          <w:rFonts w:ascii="Proxima Nova" w:hAnsi="Proxima Nova"/>
        </w:rPr>
        <w:t>Manual</w:t>
      </w:r>
      <w:r w:rsidR="00C6281F">
        <w:rPr>
          <w:rFonts w:ascii="Proxima Nova" w:hAnsi="Proxima Nova"/>
        </w:rPr>
        <w:t xml:space="preserve"> </w:t>
      </w:r>
      <w:r w:rsidR="000B33CE" w:rsidRPr="0011041B">
        <w:rPr>
          <w:rFonts w:ascii="Proxima Nova" w:hAnsi="Proxima Nova"/>
        </w:rPr>
        <w:t>which states “</w:t>
      </w:r>
      <w:r w:rsidR="000B33CE" w:rsidRPr="0011041B">
        <w:rPr>
          <w:rFonts w:ascii="Proxima Nova" w:hAnsi="Proxima Nova"/>
          <w:i/>
          <w:iCs/>
        </w:rPr>
        <w:t>A guidance update after a period of managed access will be done through NICE's processes for developing guidance (that is, a single technology appraisal, a multiple technology appraisal or a cost-comparison evaluation) unless otherwise specified by NICE in the data collection agreement</w:t>
      </w:r>
      <w:r w:rsidR="000B33CE" w:rsidRPr="0011041B">
        <w:rPr>
          <w:rFonts w:ascii="Proxima Nova" w:hAnsi="Proxima Nova"/>
        </w:rPr>
        <w:t xml:space="preserve">.” </w:t>
      </w:r>
    </w:p>
    <w:p w14:paraId="06DB688D" w14:textId="6B3128C9" w:rsidR="00165AF1" w:rsidRDefault="00C40C40" w:rsidP="002C713B">
      <w:pPr>
        <w:pStyle w:val="StyleParagraph11pt"/>
        <w:rPr>
          <w:rFonts w:ascii="Proxima Nova" w:hAnsi="Proxima Nova"/>
        </w:rPr>
      </w:pPr>
      <w:r w:rsidRPr="0011041B">
        <w:rPr>
          <w:rFonts w:ascii="Proxima Nova" w:hAnsi="Proxima Nova"/>
        </w:rPr>
        <w:t>However</w:t>
      </w:r>
      <w:r w:rsidR="009F0E7D" w:rsidRPr="0011041B">
        <w:rPr>
          <w:rFonts w:ascii="Proxima Nova" w:hAnsi="Proxima Nova"/>
        </w:rPr>
        <w:t>,</w:t>
      </w:r>
      <w:r w:rsidRPr="0011041B">
        <w:rPr>
          <w:rFonts w:ascii="Proxima Nova" w:hAnsi="Proxima Nova"/>
        </w:rPr>
        <w:t xml:space="preserve"> </w:t>
      </w:r>
      <w:r w:rsidR="0098742E">
        <w:rPr>
          <w:rFonts w:ascii="Proxima Nova" w:hAnsi="Proxima Nova"/>
        </w:rPr>
        <w:t xml:space="preserve">this response disregarded section 8.6.4 of </w:t>
      </w:r>
      <w:r w:rsidRPr="0011041B">
        <w:rPr>
          <w:rFonts w:ascii="Proxima Nova" w:hAnsi="Proxima Nova"/>
        </w:rPr>
        <w:t xml:space="preserve">the </w:t>
      </w:r>
      <w:r w:rsidR="00833413" w:rsidRPr="0011041B">
        <w:rPr>
          <w:rFonts w:ascii="Proxima Nova" w:hAnsi="Proxima Nova"/>
        </w:rPr>
        <w:t xml:space="preserve">NICE Manual </w:t>
      </w:r>
      <w:r w:rsidR="0098742E">
        <w:rPr>
          <w:rFonts w:ascii="Proxima Nova" w:hAnsi="Proxima Nova"/>
        </w:rPr>
        <w:t xml:space="preserve">which </w:t>
      </w:r>
      <w:r w:rsidR="00833413" w:rsidRPr="0011041B">
        <w:rPr>
          <w:rFonts w:ascii="Proxima Nova" w:hAnsi="Proxima Nova"/>
        </w:rPr>
        <w:t xml:space="preserve">states </w:t>
      </w:r>
      <w:r w:rsidR="00255E32" w:rsidRPr="0011041B">
        <w:rPr>
          <w:rFonts w:ascii="Proxima Nova" w:hAnsi="Proxima Nova"/>
        </w:rPr>
        <w:t>that “</w:t>
      </w:r>
      <w:r w:rsidR="00255E32" w:rsidRPr="0011041B">
        <w:rPr>
          <w:rFonts w:ascii="Proxima Nova" w:hAnsi="Proxima Nova"/>
          <w:i/>
          <w:iCs/>
        </w:rPr>
        <w:t>NICE will apply the process and methods in place at the time of the invitation to participate to a guidance update after a period of managed access</w:t>
      </w:r>
      <w:r w:rsidR="00255E32" w:rsidRPr="0011041B">
        <w:rPr>
          <w:rFonts w:ascii="Proxima Nova" w:hAnsi="Proxima Nova"/>
        </w:rPr>
        <w:t>”</w:t>
      </w:r>
      <w:r w:rsidR="007F623B" w:rsidRPr="0011041B">
        <w:rPr>
          <w:rFonts w:ascii="Proxima Nova" w:hAnsi="Proxima Nova"/>
        </w:rPr>
        <w:t xml:space="preserve">. </w:t>
      </w:r>
      <w:r w:rsidR="00BA4EFE">
        <w:rPr>
          <w:rFonts w:ascii="Proxima Nova" w:hAnsi="Proxima Nova"/>
        </w:rPr>
        <w:t>NICE also made it clear to Gilead in the context of applying the severity modifier in ID6325 rather than the end-of-life criteria which w</w:t>
      </w:r>
      <w:r w:rsidR="000E56C5">
        <w:rPr>
          <w:rFonts w:ascii="Proxima Nova" w:hAnsi="Proxima Nova"/>
        </w:rPr>
        <w:t>ere</w:t>
      </w:r>
      <w:r w:rsidR="00BA4EFE">
        <w:rPr>
          <w:rFonts w:ascii="Proxima Nova" w:hAnsi="Proxima Nova"/>
        </w:rPr>
        <w:t xml:space="preserve"> used in TA677 that the meth</w:t>
      </w:r>
      <w:r w:rsidR="00A76C37">
        <w:rPr>
          <w:rFonts w:ascii="Proxima Nova" w:hAnsi="Proxima Nova"/>
        </w:rPr>
        <w:t>o</w:t>
      </w:r>
      <w:r w:rsidR="00BA4EFE">
        <w:rPr>
          <w:rFonts w:ascii="Proxima Nova" w:hAnsi="Proxima Nova"/>
        </w:rPr>
        <w:t xml:space="preserve">ds in place at the time of CDF exit were to be applied. </w:t>
      </w:r>
    </w:p>
    <w:p w14:paraId="6DE7A784" w14:textId="0029F5E4" w:rsidR="00371AEE" w:rsidRPr="0011041B" w:rsidRDefault="0097481C" w:rsidP="002C713B">
      <w:pPr>
        <w:pStyle w:val="StyleParagraph11pt"/>
        <w:rPr>
          <w:rFonts w:ascii="Proxima Nova" w:hAnsi="Proxima Nova"/>
        </w:rPr>
      </w:pPr>
      <w:r>
        <w:rPr>
          <w:rFonts w:ascii="Proxima Nova" w:hAnsi="Proxima Nova"/>
        </w:rPr>
        <w:t>In summary, g</w:t>
      </w:r>
      <w:r w:rsidR="007F623B" w:rsidRPr="14DD2E3B">
        <w:rPr>
          <w:rFonts w:ascii="Proxima Nova" w:hAnsi="Proxima Nova"/>
        </w:rPr>
        <w:t>iven</w:t>
      </w:r>
      <w:r w:rsidR="007F623B" w:rsidRPr="0011041B">
        <w:rPr>
          <w:rFonts w:ascii="Proxima Nova" w:hAnsi="Proxima Nova"/>
        </w:rPr>
        <w:t xml:space="preserve"> the significant changes to the HST criteria from </w:t>
      </w:r>
      <w:r w:rsidR="00993A0A" w:rsidRPr="0011041B">
        <w:rPr>
          <w:rFonts w:ascii="Proxima Nova" w:hAnsi="Proxima Nova"/>
        </w:rPr>
        <w:t>February 2020 to December 2024, it was incumbent on NICE to</w:t>
      </w:r>
      <w:r w:rsidR="009F0E7D" w:rsidRPr="0011041B">
        <w:rPr>
          <w:rFonts w:ascii="Proxima Nova" w:hAnsi="Proxima Nova"/>
        </w:rPr>
        <w:t xml:space="preserve"> </w:t>
      </w:r>
      <w:r w:rsidR="00627D42">
        <w:rPr>
          <w:rFonts w:ascii="Proxima Nova" w:hAnsi="Proxima Nova"/>
        </w:rPr>
        <w:t>re</w:t>
      </w:r>
      <w:r w:rsidR="00806CE7" w:rsidRPr="0011041B">
        <w:rPr>
          <w:rFonts w:ascii="Proxima Nova" w:hAnsi="Proxima Nova"/>
        </w:rPr>
        <w:t>con</w:t>
      </w:r>
      <w:r w:rsidR="004F1D0E" w:rsidRPr="0011041B">
        <w:rPr>
          <w:rFonts w:ascii="Proxima Nova" w:hAnsi="Proxima Nova"/>
        </w:rPr>
        <w:t>sider</w:t>
      </w:r>
      <w:r w:rsidR="009F3323" w:rsidRPr="0011041B">
        <w:rPr>
          <w:rFonts w:ascii="Proxima Nova" w:hAnsi="Proxima Nova"/>
        </w:rPr>
        <w:t xml:space="preserve"> at scoping stage</w:t>
      </w:r>
      <w:r w:rsidR="004F1D0E" w:rsidRPr="0011041B">
        <w:rPr>
          <w:rFonts w:ascii="Proxima Nova" w:hAnsi="Proxima Nova"/>
        </w:rPr>
        <w:t xml:space="preserve"> </w:t>
      </w:r>
      <w:r w:rsidR="007E1ADA">
        <w:rPr>
          <w:rFonts w:ascii="Proxima Nova" w:hAnsi="Proxima Nova"/>
        </w:rPr>
        <w:t xml:space="preserve">or subsequently </w:t>
      </w:r>
      <w:r w:rsidR="004F1D0E" w:rsidRPr="0011041B">
        <w:rPr>
          <w:rFonts w:ascii="Proxima Nova" w:hAnsi="Proxima Nova"/>
        </w:rPr>
        <w:t xml:space="preserve">whether </w:t>
      </w:r>
      <w:proofErr w:type="spellStart"/>
      <w:r w:rsidR="004F1D0E" w:rsidRPr="0011041B">
        <w:rPr>
          <w:rFonts w:ascii="Proxima Nova" w:hAnsi="Proxima Nova"/>
        </w:rPr>
        <w:t>brexu</w:t>
      </w:r>
      <w:proofErr w:type="spellEnd"/>
      <w:r w:rsidR="004F1D0E" w:rsidRPr="0011041B">
        <w:rPr>
          <w:rFonts w:ascii="Proxima Nova" w:hAnsi="Proxima Nova"/>
        </w:rPr>
        <w:t>-cel should be appraised under the HST route</w:t>
      </w:r>
      <w:r w:rsidR="00627D42">
        <w:rPr>
          <w:rFonts w:ascii="Proxima Nova" w:hAnsi="Proxima Nova"/>
        </w:rPr>
        <w:t xml:space="preserve"> on CDF exit</w:t>
      </w:r>
      <w:r w:rsidR="004F1D0E" w:rsidRPr="0011041B">
        <w:rPr>
          <w:rFonts w:ascii="Proxima Nova" w:hAnsi="Proxima Nova"/>
        </w:rPr>
        <w:t xml:space="preserve">, or alternatively for the Committee to utilise the HST ICER threshold within the current </w:t>
      </w:r>
      <w:r w:rsidR="002E1178" w:rsidRPr="0011041B">
        <w:rPr>
          <w:rFonts w:ascii="Proxima Nova" w:hAnsi="Proxima Nova"/>
        </w:rPr>
        <w:t>STA process</w:t>
      </w:r>
      <w:r w:rsidR="00836DFA">
        <w:rPr>
          <w:rFonts w:ascii="Proxima Nova" w:hAnsi="Proxima Nova"/>
        </w:rPr>
        <w:t>.</w:t>
      </w:r>
    </w:p>
    <w:p w14:paraId="69043909" w14:textId="01D7B66D" w:rsidR="006526D7" w:rsidRPr="0011041B" w:rsidRDefault="001D5666" w:rsidP="002C713B">
      <w:pPr>
        <w:pStyle w:val="StyleParagraph11pt"/>
        <w:rPr>
          <w:rFonts w:ascii="Proxima Nova" w:hAnsi="Proxima Nova"/>
        </w:rPr>
      </w:pPr>
      <w:r>
        <w:rPr>
          <w:rFonts w:ascii="Proxima Nova" w:hAnsi="Proxima Nova"/>
        </w:rPr>
        <w:t>T</w:t>
      </w:r>
      <w:r w:rsidR="00EE29D9" w:rsidRPr="0011041B">
        <w:rPr>
          <w:rFonts w:ascii="Proxima Nova" w:hAnsi="Proxima Nova"/>
        </w:rPr>
        <w:t xml:space="preserve">here </w:t>
      </w:r>
      <w:r w:rsidR="00E8421A" w:rsidRPr="0011041B">
        <w:rPr>
          <w:rFonts w:ascii="Proxima Nova" w:hAnsi="Proxima Nova"/>
        </w:rPr>
        <w:t>was</w:t>
      </w:r>
      <w:r w:rsidR="0CE83004" w:rsidRPr="282CF46A">
        <w:rPr>
          <w:rFonts w:ascii="Proxima Nova" w:hAnsi="Proxima Nova"/>
        </w:rPr>
        <w:t>,</w:t>
      </w:r>
      <w:r w:rsidR="00E8421A" w:rsidRPr="0011041B">
        <w:rPr>
          <w:rFonts w:ascii="Proxima Nova" w:hAnsi="Proxima Nova"/>
        </w:rPr>
        <w:t xml:space="preserve"> </w:t>
      </w:r>
      <w:r>
        <w:rPr>
          <w:rFonts w:ascii="Proxima Nova" w:hAnsi="Proxima Nova"/>
        </w:rPr>
        <w:t>however</w:t>
      </w:r>
      <w:r w:rsidR="3B5AB604" w:rsidRPr="282CF46A">
        <w:rPr>
          <w:rFonts w:ascii="Proxima Nova" w:hAnsi="Proxima Nova"/>
        </w:rPr>
        <w:t>,</w:t>
      </w:r>
      <w:r>
        <w:rPr>
          <w:rFonts w:ascii="Proxima Nova" w:hAnsi="Proxima Nova"/>
        </w:rPr>
        <w:t xml:space="preserve"> </w:t>
      </w:r>
      <w:r w:rsidR="00E8421A" w:rsidRPr="0011041B">
        <w:rPr>
          <w:rFonts w:ascii="Proxima Nova" w:hAnsi="Proxima Nova"/>
        </w:rPr>
        <w:t>no mention of this issue in the slides for the 1</w:t>
      </w:r>
      <w:r w:rsidR="00E8421A" w:rsidRPr="0011041B">
        <w:rPr>
          <w:rFonts w:ascii="Proxima Nova" w:hAnsi="Proxima Nova"/>
          <w:vertAlign w:val="superscript"/>
        </w:rPr>
        <w:t>st</w:t>
      </w:r>
      <w:r w:rsidR="00E8421A" w:rsidRPr="0011041B">
        <w:rPr>
          <w:rFonts w:ascii="Proxima Nova" w:hAnsi="Proxima Nova"/>
        </w:rPr>
        <w:t xml:space="preserve"> Committee Meeting</w:t>
      </w:r>
      <w:r w:rsidR="002620D3" w:rsidRPr="0011041B">
        <w:rPr>
          <w:rFonts w:ascii="Proxima Nova" w:hAnsi="Proxima Nova"/>
        </w:rPr>
        <w:t xml:space="preserve"> or the Draft Guidance,</w:t>
      </w:r>
      <w:r w:rsidR="00E8421A" w:rsidRPr="0011041B">
        <w:rPr>
          <w:rFonts w:ascii="Proxima Nova" w:hAnsi="Proxima Nova"/>
        </w:rPr>
        <w:t xml:space="preserve"> and so Gilead </w:t>
      </w:r>
      <w:r w:rsidR="00AA0F64">
        <w:rPr>
          <w:rFonts w:ascii="Proxima Nova" w:hAnsi="Proxima Nova"/>
        </w:rPr>
        <w:t>can only conclude</w:t>
      </w:r>
      <w:r w:rsidR="000169D5">
        <w:rPr>
          <w:rFonts w:ascii="Proxima Nova" w:hAnsi="Proxima Nova"/>
        </w:rPr>
        <w:t xml:space="preserve"> </w:t>
      </w:r>
      <w:r w:rsidR="00E8421A" w:rsidRPr="0011041B">
        <w:rPr>
          <w:rFonts w:ascii="Proxima Nova" w:hAnsi="Proxima Nova"/>
        </w:rPr>
        <w:t xml:space="preserve">it was not considered or discussed by the Committee.  </w:t>
      </w:r>
      <w:r w:rsidR="006526D7" w:rsidRPr="0011041B">
        <w:rPr>
          <w:rFonts w:ascii="Proxima Nova" w:hAnsi="Proxima Nova"/>
        </w:rPr>
        <w:t xml:space="preserve">Gilead again raised this issue in the </w:t>
      </w:r>
      <w:r w:rsidR="00634AD7" w:rsidRPr="0011041B">
        <w:rPr>
          <w:rFonts w:ascii="Proxima Nova" w:hAnsi="Proxima Nova"/>
        </w:rPr>
        <w:t xml:space="preserve">consultation on the Draft Guidance, </w:t>
      </w:r>
      <w:r w:rsidR="00E75F5A" w:rsidRPr="0011041B">
        <w:rPr>
          <w:rFonts w:ascii="Proxima Nova" w:hAnsi="Proxima Nova"/>
        </w:rPr>
        <w:t>and again it was not tabled for discussion by the Committee in ACM2</w:t>
      </w:r>
      <w:r w:rsidR="00471FCE">
        <w:rPr>
          <w:rFonts w:ascii="Proxima Nova" w:hAnsi="Proxima Nova"/>
        </w:rPr>
        <w:t xml:space="preserve"> and was not mentioned in the FDG</w:t>
      </w:r>
      <w:r w:rsidR="00E75F5A" w:rsidRPr="0011041B">
        <w:rPr>
          <w:rFonts w:ascii="Proxima Nova" w:hAnsi="Proxima Nova"/>
        </w:rPr>
        <w:t>.</w:t>
      </w:r>
    </w:p>
    <w:p w14:paraId="7391C91C" w14:textId="2EB22D51" w:rsidR="00D954EA" w:rsidRPr="0011041B" w:rsidRDefault="00D954EA" w:rsidP="002C713B">
      <w:pPr>
        <w:pStyle w:val="StyleParagraph11pt"/>
        <w:rPr>
          <w:rFonts w:ascii="Proxima Nova" w:hAnsi="Proxima Nova"/>
          <w:u w:val="single"/>
        </w:rPr>
      </w:pPr>
      <w:r w:rsidRPr="0011041B">
        <w:rPr>
          <w:rFonts w:ascii="Proxima Nova" w:hAnsi="Proxima Nova"/>
          <w:u w:val="single"/>
        </w:rPr>
        <w:t>Impact</w:t>
      </w:r>
    </w:p>
    <w:p w14:paraId="6F5051F6" w14:textId="64CAE3B9" w:rsidR="00D954EA" w:rsidRDefault="00D954EA" w:rsidP="002C713B">
      <w:pPr>
        <w:pStyle w:val="StyleParagraph11pt"/>
        <w:rPr>
          <w:rFonts w:ascii="Proxima Nova" w:hAnsi="Proxima Nova"/>
        </w:rPr>
      </w:pPr>
      <w:r w:rsidRPr="0011041B">
        <w:rPr>
          <w:rFonts w:ascii="Proxima Nova" w:hAnsi="Proxima Nova"/>
        </w:rPr>
        <w:t>NICE’s refusal t</w:t>
      </w:r>
      <w:r w:rsidR="008746A2" w:rsidRPr="0011041B">
        <w:rPr>
          <w:rFonts w:ascii="Proxima Nova" w:hAnsi="Proxima Nova"/>
        </w:rPr>
        <w:t xml:space="preserve">o </w:t>
      </w:r>
      <w:r w:rsidR="0036315B" w:rsidRPr="0011041B">
        <w:rPr>
          <w:rFonts w:ascii="Proxima Nova" w:hAnsi="Proxima Nova"/>
        </w:rPr>
        <w:t xml:space="preserve">assess whether </w:t>
      </w:r>
      <w:proofErr w:type="spellStart"/>
      <w:r w:rsidR="0036315B" w:rsidRPr="0011041B">
        <w:rPr>
          <w:rFonts w:ascii="Proxima Nova" w:hAnsi="Proxima Nova"/>
        </w:rPr>
        <w:t>brexu</w:t>
      </w:r>
      <w:proofErr w:type="spellEnd"/>
      <w:r w:rsidR="0036315B" w:rsidRPr="0011041B">
        <w:rPr>
          <w:rFonts w:ascii="Proxima Nova" w:hAnsi="Proxima Nova"/>
        </w:rPr>
        <w:t>-cel met</w:t>
      </w:r>
      <w:r w:rsidR="008746A2" w:rsidRPr="0011041B">
        <w:rPr>
          <w:rFonts w:ascii="Proxima Nova" w:hAnsi="Proxima Nova"/>
        </w:rPr>
        <w:t xml:space="preserve"> the </w:t>
      </w:r>
      <w:r w:rsidR="0036315B" w:rsidRPr="0011041B">
        <w:rPr>
          <w:rFonts w:ascii="Proxima Nova" w:hAnsi="Proxima Nova"/>
        </w:rPr>
        <w:t>HST criter</w:t>
      </w:r>
      <w:r w:rsidR="00B43A18" w:rsidRPr="0011041B">
        <w:rPr>
          <w:rFonts w:ascii="Proxima Nova" w:hAnsi="Proxima Nova"/>
        </w:rPr>
        <w:t>i</w:t>
      </w:r>
      <w:r w:rsidR="0036315B" w:rsidRPr="0011041B">
        <w:rPr>
          <w:rFonts w:ascii="Proxima Nova" w:hAnsi="Proxima Nova"/>
        </w:rPr>
        <w:t>a</w:t>
      </w:r>
      <w:r w:rsidR="008746A2" w:rsidRPr="0011041B">
        <w:rPr>
          <w:rFonts w:ascii="Proxima Nova" w:hAnsi="Proxima Nova"/>
        </w:rPr>
        <w:t xml:space="preserve"> or </w:t>
      </w:r>
      <w:r w:rsidR="00B43A18" w:rsidRPr="0011041B">
        <w:rPr>
          <w:rFonts w:ascii="Proxima Nova" w:hAnsi="Proxima Nova"/>
        </w:rPr>
        <w:t xml:space="preserve">whether </w:t>
      </w:r>
      <w:r w:rsidR="008746A2" w:rsidRPr="0011041B">
        <w:rPr>
          <w:rFonts w:ascii="Proxima Nova" w:hAnsi="Proxima Nova"/>
        </w:rPr>
        <w:t xml:space="preserve">the HST ICER threshold </w:t>
      </w:r>
      <w:r w:rsidR="00B43A18" w:rsidRPr="0011041B">
        <w:rPr>
          <w:rFonts w:ascii="Proxima Nova" w:hAnsi="Proxima Nova"/>
        </w:rPr>
        <w:t>could be applied</w:t>
      </w:r>
      <w:r w:rsidR="005511D7" w:rsidRPr="0011041B">
        <w:rPr>
          <w:rFonts w:ascii="Proxima Nova" w:hAnsi="Proxima Nova"/>
        </w:rPr>
        <w:t xml:space="preserve"> was manifestly unfair and</w:t>
      </w:r>
      <w:r w:rsidR="00B43A18" w:rsidRPr="0011041B">
        <w:rPr>
          <w:rFonts w:ascii="Proxima Nova" w:hAnsi="Proxima Nova"/>
        </w:rPr>
        <w:t xml:space="preserve"> </w:t>
      </w:r>
      <w:r w:rsidR="008746A2" w:rsidRPr="0011041B">
        <w:rPr>
          <w:rFonts w:ascii="Proxima Nova" w:hAnsi="Proxima Nova"/>
        </w:rPr>
        <w:t xml:space="preserve">has </w:t>
      </w:r>
      <w:r w:rsidR="00B43A18" w:rsidRPr="0011041B">
        <w:rPr>
          <w:rFonts w:ascii="Proxima Nova" w:hAnsi="Proxima Nova"/>
        </w:rPr>
        <w:t>led to the</w:t>
      </w:r>
      <w:r w:rsidR="00A421B4" w:rsidRPr="0011041B">
        <w:rPr>
          <w:rFonts w:ascii="Proxima Nova" w:hAnsi="Proxima Nova"/>
        </w:rPr>
        <w:t xml:space="preserve"> lower £30k </w:t>
      </w:r>
      <w:r w:rsidR="00B43A18" w:rsidRPr="0011041B">
        <w:rPr>
          <w:rFonts w:ascii="Proxima Nova" w:hAnsi="Proxima Nova"/>
        </w:rPr>
        <w:t xml:space="preserve">ICER threshold being used in this appraisal, with </w:t>
      </w:r>
      <w:proofErr w:type="spellStart"/>
      <w:r w:rsidR="00B43A18" w:rsidRPr="0011041B">
        <w:rPr>
          <w:rFonts w:ascii="Proxima Nova" w:hAnsi="Proxima Nova"/>
        </w:rPr>
        <w:t>brexu</w:t>
      </w:r>
      <w:proofErr w:type="spellEnd"/>
      <w:r w:rsidR="00B43A18" w:rsidRPr="0011041B">
        <w:rPr>
          <w:rFonts w:ascii="Proxima Nova" w:hAnsi="Proxima Nova"/>
        </w:rPr>
        <w:t>-cel subsequently being judged not cost effective.</w:t>
      </w:r>
      <w:r w:rsidR="005B1D68" w:rsidRPr="0011041B">
        <w:rPr>
          <w:rFonts w:ascii="Proxima Nova" w:hAnsi="Proxima Nova"/>
        </w:rPr>
        <w:t xml:space="preserve"> It seems illogical that if this was the first HTA for </w:t>
      </w:r>
      <w:proofErr w:type="spellStart"/>
      <w:r w:rsidR="005B1D68" w:rsidRPr="0011041B">
        <w:rPr>
          <w:rFonts w:ascii="Proxima Nova" w:hAnsi="Proxima Nova"/>
        </w:rPr>
        <w:t>brexu</w:t>
      </w:r>
      <w:proofErr w:type="spellEnd"/>
      <w:r w:rsidR="005B1D68" w:rsidRPr="0011041B">
        <w:rPr>
          <w:rFonts w:ascii="Proxima Nova" w:hAnsi="Proxima Nova"/>
        </w:rPr>
        <w:t xml:space="preserve">-cel, it would be considered under the HST route, but by virtue of the fact </w:t>
      </w:r>
      <w:proofErr w:type="spellStart"/>
      <w:r w:rsidR="005B1D68" w:rsidRPr="0011041B">
        <w:rPr>
          <w:rFonts w:ascii="Proxima Nova" w:hAnsi="Proxima Nova"/>
        </w:rPr>
        <w:t>brexu</w:t>
      </w:r>
      <w:proofErr w:type="spellEnd"/>
      <w:r w:rsidR="005B1D68" w:rsidRPr="0011041B">
        <w:rPr>
          <w:rFonts w:ascii="Proxima Nova" w:hAnsi="Proxima Nova"/>
        </w:rPr>
        <w:t xml:space="preserve">-cel has been available through the </w:t>
      </w:r>
      <w:r w:rsidR="0014210A">
        <w:rPr>
          <w:rFonts w:ascii="Proxima Nova" w:hAnsi="Proxima Nova"/>
        </w:rPr>
        <w:t>CDF</w:t>
      </w:r>
      <w:r w:rsidR="005B1D68" w:rsidRPr="0011041B">
        <w:rPr>
          <w:rFonts w:ascii="Proxima Nova" w:hAnsi="Proxima Nova"/>
        </w:rPr>
        <w:t xml:space="preserve"> for 5 years, it is no longer able to benefit from the higher </w:t>
      </w:r>
      <w:r w:rsidR="00897C1B">
        <w:rPr>
          <w:rFonts w:ascii="Proxima Nova" w:hAnsi="Proxima Nova"/>
        </w:rPr>
        <w:t>willingness to pay</w:t>
      </w:r>
      <w:r w:rsidR="45DEE811" w:rsidRPr="1220F1DF">
        <w:rPr>
          <w:rFonts w:ascii="Proxima Nova" w:hAnsi="Proxima Nova"/>
        </w:rPr>
        <w:t xml:space="preserve"> </w:t>
      </w:r>
      <w:r w:rsidR="005B1D68" w:rsidRPr="1220F1DF">
        <w:rPr>
          <w:rFonts w:ascii="Proxima Nova" w:hAnsi="Proxima Nova"/>
        </w:rPr>
        <w:t>threshold.</w:t>
      </w:r>
      <w:r w:rsidR="005B1D68" w:rsidRPr="0011041B">
        <w:rPr>
          <w:rFonts w:ascii="Proxima Nova" w:hAnsi="Proxima Nova"/>
        </w:rPr>
        <w:t xml:space="preserve"> </w:t>
      </w:r>
      <w:r w:rsidR="001D5666">
        <w:rPr>
          <w:rFonts w:ascii="Proxima Nova" w:hAnsi="Proxima Nova"/>
        </w:rPr>
        <w:t xml:space="preserve"> Furthermore, it is patently unfair for </w:t>
      </w:r>
      <w:r w:rsidR="001D5666" w:rsidRPr="06EDCAE8">
        <w:rPr>
          <w:rFonts w:ascii="Proxima Nova" w:hAnsi="Proxima Nova"/>
        </w:rPr>
        <w:t xml:space="preserve">NICE </w:t>
      </w:r>
      <w:r w:rsidR="001D5666">
        <w:rPr>
          <w:rFonts w:ascii="Proxima Nova" w:hAnsi="Proxima Nova"/>
        </w:rPr>
        <w:t xml:space="preserve">to select only certain aspects of current procedures (e.g. substitution of the severity modifier for the end of life criteria) for the purpose of the current appraisal and to reject others (e.g. the revised HST eligibility criteria) in circumstances where the various elements of NICE’s procedures are intended to operate together to create a fair appraisal. </w:t>
      </w:r>
    </w:p>
    <w:p w14:paraId="5CF0FED4" w14:textId="533C42B1" w:rsidR="000169D5" w:rsidRPr="0011041B" w:rsidRDefault="000169D5" w:rsidP="002C713B">
      <w:pPr>
        <w:pStyle w:val="StyleParagraph11pt"/>
        <w:rPr>
          <w:rFonts w:ascii="Proxima Nova" w:hAnsi="Proxima Nova"/>
        </w:rPr>
      </w:pPr>
      <w:r>
        <w:rPr>
          <w:rFonts w:ascii="Proxima Nova" w:hAnsi="Proxima Nova"/>
        </w:rPr>
        <w:t xml:space="preserve">NICE’s conclusion that </w:t>
      </w:r>
      <w:proofErr w:type="spellStart"/>
      <w:r>
        <w:rPr>
          <w:rFonts w:ascii="Proxima Nova" w:hAnsi="Proxima Nova"/>
        </w:rPr>
        <w:t>brexu</w:t>
      </w:r>
      <w:proofErr w:type="spellEnd"/>
      <w:r>
        <w:rPr>
          <w:rFonts w:ascii="Proxima Nova" w:hAnsi="Proxima Nova"/>
        </w:rPr>
        <w:t>-cel w</w:t>
      </w:r>
      <w:r w:rsidR="001B10FA">
        <w:rPr>
          <w:rFonts w:ascii="Proxima Nova" w:hAnsi="Proxima Nova"/>
        </w:rPr>
        <w:t>as not eligible for the HST route was also unreasonable as set out further in point 2.</w:t>
      </w:r>
      <w:r w:rsidR="0086069A" w:rsidRPr="7E529845">
        <w:rPr>
          <w:rFonts w:ascii="Proxima Nova" w:hAnsi="Proxima Nova"/>
        </w:rPr>
        <w:t>4</w:t>
      </w:r>
      <w:r w:rsidR="2DCAF1FB" w:rsidRPr="7E529845">
        <w:rPr>
          <w:rFonts w:ascii="Proxima Nova" w:hAnsi="Proxima Nova"/>
        </w:rPr>
        <w:t xml:space="preserve"> </w:t>
      </w:r>
      <w:r w:rsidR="001B10FA" w:rsidRPr="7E529845">
        <w:rPr>
          <w:rFonts w:ascii="Proxima Nova" w:hAnsi="Proxima Nova"/>
        </w:rPr>
        <w:t>below</w:t>
      </w:r>
      <w:r w:rsidR="001B10FA">
        <w:rPr>
          <w:rFonts w:ascii="Proxima Nova" w:hAnsi="Proxima Nova"/>
        </w:rPr>
        <w:t>.</w:t>
      </w:r>
    </w:p>
    <w:p w14:paraId="101E93A1" w14:textId="227B5A11" w:rsidR="00341B45" w:rsidRPr="0011041B" w:rsidRDefault="00F66587" w:rsidP="002C713B">
      <w:pPr>
        <w:spacing w:before="240" w:after="240" w:line="276" w:lineRule="auto"/>
        <w:jc w:val="both"/>
        <w:rPr>
          <w:b/>
          <w:bCs/>
        </w:rPr>
      </w:pPr>
      <w:r>
        <w:rPr>
          <w:b/>
          <w:bCs/>
          <w:noProof/>
        </w:rPr>
        <mc:AlternateContent>
          <mc:Choice Requires="wps">
            <w:drawing>
              <wp:inline distT="0" distB="0" distL="0" distR="0" wp14:anchorId="587A5B50" wp14:editId="045E8BA1">
                <wp:extent cx="5731510" cy="635"/>
                <wp:effectExtent l="0" t="31750" r="0" b="36830"/>
                <wp:docPr id="1193239158" name="Horizontal Lin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D032C2B">
              <v:rect id="Horizontal Line 29" style="width:451.3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w14:anchorId="5F1A8F2D">
                <o:lock v:ext="edit" rotation="t" verticies="t" text="t" aspectratio="t" shapetype="t"/>
                <w10:anchorlock/>
              </v:rect>
            </w:pict>
          </mc:Fallback>
        </mc:AlternateContent>
      </w:r>
    </w:p>
    <w:p w14:paraId="4135DE8C" w14:textId="266E0D28" w:rsidR="00CD62FF" w:rsidRDefault="0E2557DD" w:rsidP="003B6386">
      <w:pPr>
        <w:spacing w:before="240" w:after="240" w:line="276" w:lineRule="auto"/>
        <w:jc w:val="both"/>
        <w:rPr>
          <w:b/>
          <w:highlight w:val="yellow"/>
        </w:rPr>
      </w:pPr>
      <w:r w:rsidRPr="005F1400">
        <w:rPr>
          <w:b/>
          <w:bCs/>
        </w:rPr>
        <w:t>1(a).</w:t>
      </w:r>
      <w:r w:rsidRPr="00136E80">
        <w:rPr>
          <w:b/>
          <w:bCs/>
        </w:rPr>
        <w:t xml:space="preserve">3 </w:t>
      </w:r>
      <w:r w:rsidR="005F1400" w:rsidRPr="003B6386">
        <w:rPr>
          <w:b/>
          <w:bCs/>
        </w:rPr>
        <w:t xml:space="preserve">NICE failed to adequately consider and mitigate the impact of adopting the severity modifier for ID6325 </w:t>
      </w:r>
      <w:proofErr w:type="gramStart"/>
      <w:r w:rsidR="1023B17B" w:rsidRPr="58848C12">
        <w:rPr>
          <w:b/>
          <w:bCs/>
        </w:rPr>
        <w:t>in light of</w:t>
      </w:r>
      <w:proofErr w:type="gramEnd"/>
      <w:r w:rsidR="1023B17B" w:rsidRPr="58848C12">
        <w:rPr>
          <w:b/>
          <w:bCs/>
        </w:rPr>
        <w:t xml:space="preserve"> the perversity of outcome and the impact for the </w:t>
      </w:r>
      <w:r w:rsidR="00FC1C1C">
        <w:rPr>
          <w:b/>
          <w:bCs/>
        </w:rPr>
        <w:t>older</w:t>
      </w:r>
      <w:r w:rsidR="1023B17B" w:rsidRPr="58848C12">
        <w:rPr>
          <w:b/>
          <w:bCs/>
        </w:rPr>
        <w:t xml:space="preserve"> population</w:t>
      </w:r>
    </w:p>
    <w:p w14:paraId="1C0A7C70" w14:textId="376C9AD2" w:rsidR="001F4B66" w:rsidRDefault="00695D28" w:rsidP="002C713B">
      <w:pPr>
        <w:pStyle w:val="BodyText"/>
        <w:spacing w:before="240" w:line="276" w:lineRule="auto"/>
        <w:rPr>
          <w:rFonts w:ascii="Proxima Nova" w:hAnsi="Proxima Nova"/>
        </w:rPr>
      </w:pPr>
      <w:proofErr w:type="spellStart"/>
      <w:r w:rsidRPr="06EDCAE8">
        <w:rPr>
          <w:rFonts w:ascii="Proxima Nova" w:hAnsi="Proxima Nova"/>
        </w:rPr>
        <w:t>Brexu</w:t>
      </w:r>
      <w:proofErr w:type="spellEnd"/>
      <w:r w:rsidRPr="06EDCAE8">
        <w:rPr>
          <w:rFonts w:ascii="Proxima Nova" w:hAnsi="Proxima Nova"/>
        </w:rPr>
        <w:t xml:space="preserve">-cel for adult patients for the treatment of </w:t>
      </w:r>
      <w:r w:rsidR="00F81A5E">
        <w:rPr>
          <w:rFonts w:ascii="Proxima Nova" w:hAnsi="Proxima Nova"/>
        </w:rPr>
        <w:t>R/R</w:t>
      </w:r>
      <w:r w:rsidRPr="06EDCAE8">
        <w:rPr>
          <w:rFonts w:ascii="Proxima Nova" w:hAnsi="Proxima Nova"/>
        </w:rPr>
        <w:t xml:space="preserve"> mantle cell lymphoma was initially appraised in 2020 /2021 under NICE’s previous methodology and recommended for use via </w:t>
      </w:r>
      <w:r w:rsidRPr="06EDCAE8">
        <w:rPr>
          <w:rFonts w:ascii="Proxima Nova" w:hAnsi="Proxima Nova"/>
        </w:rPr>
        <w:lastRenderedPageBreak/>
        <w:t>the CDF</w:t>
      </w:r>
      <w:r w:rsidR="00B34DCE">
        <w:rPr>
          <w:rFonts w:ascii="Proxima Nova" w:hAnsi="Proxima Nova"/>
        </w:rPr>
        <w:t xml:space="preserve"> (TA677)</w:t>
      </w:r>
      <w:r w:rsidR="00C8385A">
        <w:rPr>
          <w:rFonts w:ascii="Proxima Nova" w:hAnsi="Proxima Nova"/>
        </w:rPr>
        <w:t>.</w:t>
      </w:r>
      <w:r w:rsidR="00430C50">
        <w:rPr>
          <w:rFonts w:ascii="Proxima Nova" w:hAnsi="Proxima Nova"/>
        </w:rPr>
        <w:t xml:space="preserve"> </w:t>
      </w:r>
      <w:r w:rsidR="00C8385A">
        <w:rPr>
          <w:rFonts w:ascii="Proxima Nova" w:hAnsi="Proxima Nova"/>
        </w:rPr>
        <w:t>T</w:t>
      </w:r>
      <w:r w:rsidR="00430C50">
        <w:rPr>
          <w:rFonts w:ascii="Proxima Nova" w:hAnsi="Proxima Nova"/>
        </w:rPr>
        <w:t>he Committee</w:t>
      </w:r>
      <w:r w:rsidR="00F81A5E">
        <w:rPr>
          <w:rFonts w:ascii="Proxima Nova" w:hAnsi="Proxima Nova"/>
        </w:rPr>
        <w:t xml:space="preserve"> in TA677</w:t>
      </w:r>
      <w:r w:rsidR="00430C50">
        <w:rPr>
          <w:rFonts w:ascii="Proxima Nova" w:hAnsi="Proxima Nova"/>
        </w:rPr>
        <w:t xml:space="preserve"> </w:t>
      </w:r>
      <w:r w:rsidR="00FA69CB">
        <w:rPr>
          <w:rFonts w:ascii="Proxima Nova" w:hAnsi="Proxima Nova"/>
        </w:rPr>
        <w:t xml:space="preserve">considered that </w:t>
      </w:r>
      <w:r w:rsidR="00FA69CB" w:rsidRPr="00CD62FF">
        <w:rPr>
          <w:rFonts w:ascii="Proxima Nova" w:hAnsi="Proxima Nova"/>
        </w:rPr>
        <w:t>there was “</w:t>
      </w:r>
      <w:r w:rsidR="00FA69CB" w:rsidRPr="003B6386">
        <w:rPr>
          <w:rFonts w:ascii="Proxima Nova" w:hAnsi="Proxima Nova"/>
          <w:i/>
          <w:iCs/>
        </w:rPr>
        <w:t>plausible potential</w:t>
      </w:r>
      <w:r w:rsidR="00FA69CB" w:rsidRPr="00CD62FF">
        <w:rPr>
          <w:rFonts w:ascii="Proxima Nova" w:hAnsi="Proxima Nova"/>
        </w:rPr>
        <w:t xml:space="preserve">” for </w:t>
      </w:r>
      <w:proofErr w:type="spellStart"/>
      <w:r w:rsidR="00FA69CB" w:rsidRPr="00CD62FF">
        <w:rPr>
          <w:rFonts w:ascii="Proxima Nova" w:hAnsi="Proxima Nova"/>
        </w:rPr>
        <w:t>brexu</w:t>
      </w:r>
      <w:proofErr w:type="spellEnd"/>
      <w:r w:rsidR="00FA69CB" w:rsidRPr="00CD62FF">
        <w:rPr>
          <w:rFonts w:ascii="Proxima Nova" w:hAnsi="Proxima Nova"/>
        </w:rPr>
        <w:t>-cel to meet criteria for routine commissioning (FAD para 3.15), which was an ICER of £50,000 / QALY or less, although more data was required to resolve uncertainties</w:t>
      </w:r>
      <w:r w:rsidRPr="06EDCAE8">
        <w:rPr>
          <w:rFonts w:ascii="Proxima Nova" w:hAnsi="Proxima Nova"/>
        </w:rPr>
        <w:t xml:space="preserve">.  </w:t>
      </w:r>
    </w:p>
    <w:p w14:paraId="2BD07F8E" w14:textId="66FB8AA0" w:rsidR="00103DB8" w:rsidRPr="00EA37B9" w:rsidRDefault="001F4B66" w:rsidP="00103DB8">
      <w:pPr>
        <w:pStyle w:val="BodyText"/>
        <w:spacing w:before="240" w:line="276" w:lineRule="auto"/>
        <w:rPr>
          <w:rFonts w:ascii="Proxima Nova" w:hAnsi="Proxima Nova"/>
        </w:rPr>
      </w:pPr>
      <w:r w:rsidRPr="5F23D2FA">
        <w:rPr>
          <w:rFonts w:ascii="Proxima Nova" w:hAnsi="Proxima Nova"/>
        </w:rPr>
        <w:t>NICE subsequently changed the criteria for routine commissioning for this technology to an ICER of £3</w:t>
      </w:r>
      <w:r w:rsidR="00A62FE5" w:rsidRPr="5F23D2FA">
        <w:rPr>
          <w:rFonts w:ascii="Proxima Nova" w:hAnsi="Proxima Nova"/>
        </w:rPr>
        <w:t>3</w:t>
      </w:r>
      <w:r w:rsidRPr="5F23D2FA">
        <w:rPr>
          <w:rFonts w:ascii="Proxima Nova" w:hAnsi="Proxima Nova"/>
        </w:rPr>
        <w:t>,</w:t>
      </w:r>
      <w:r w:rsidR="00A62FE5" w:rsidRPr="5F23D2FA">
        <w:rPr>
          <w:rFonts w:ascii="Proxima Nova" w:hAnsi="Proxima Nova"/>
        </w:rPr>
        <w:t>6</w:t>
      </w:r>
      <w:r w:rsidRPr="5F23D2FA">
        <w:rPr>
          <w:rFonts w:ascii="Proxima Nova" w:hAnsi="Proxima Nova"/>
        </w:rPr>
        <w:t xml:space="preserve">00 / QALY or </w:t>
      </w:r>
      <w:proofErr w:type="gramStart"/>
      <w:r w:rsidRPr="5F23D2FA">
        <w:rPr>
          <w:rFonts w:ascii="Proxima Nova" w:hAnsi="Proxima Nova"/>
        </w:rPr>
        <w:t>less</w:t>
      </w:r>
      <w:r w:rsidR="00EA684D" w:rsidRPr="5F23D2FA">
        <w:rPr>
          <w:rFonts w:ascii="Proxima Nova" w:hAnsi="Proxima Nova"/>
        </w:rPr>
        <w:t>,</w:t>
      </w:r>
      <w:r w:rsidR="00AA35AB" w:rsidRPr="5F23D2FA">
        <w:rPr>
          <w:rFonts w:ascii="Proxima Nova" w:hAnsi="Proxima Nova"/>
        </w:rPr>
        <w:t xml:space="preserve"> and</w:t>
      </w:r>
      <w:proofErr w:type="gramEnd"/>
      <w:r w:rsidR="00AA35AB" w:rsidRPr="5F23D2FA">
        <w:rPr>
          <w:rFonts w:ascii="Proxima Nova" w:hAnsi="Proxima Nova"/>
        </w:rPr>
        <w:t xml:space="preserve"> demonstrating cost-effectiveness of a technology predominantly occurring in the older population has become far more challenging since the replacement of the end-of-life modifier with the severity modifier</w:t>
      </w:r>
      <w:r w:rsidRPr="5F23D2FA">
        <w:rPr>
          <w:rFonts w:ascii="Proxima Nova" w:hAnsi="Proxima Nova"/>
        </w:rPr>
        <w:t xml:space="preserve">. </w:t>
      </w:r>
      <w:r w:rsidR="00F40C01" w:rsidRPr="5F23D2FA">
        <w:rPr>
          <w:rFonts w:ascii="Proxima Nova" w:hAnsi="Proxima Nova"/>
        </w:rPr>
        <w:t xml:space="preserve">The substantial change in the willingness to pay (WTP) level has been the subject of concern for oncology appraisals but </w:t>
      </w:r>
      <w:proofErr w:type="gramStart"/>
      <w:r w:rsidR="00F40C01" w:rsidRPr="5F23D2FA">
        <w:rPr>
          <w:rFonts w:ascii="Proxima Nova" w:hAnsi="Proxima Nova"/>
        </w:rPr>
        <w:t>in particular those</w:t>
      </w:r>
      <w:proofErr w:type="gramEnd"/>
      <w:r w:rsidR="00F40C01" w:rsidRPr="5F23D2FA">
        <w:rPr>
          <w:rFonts w:ascii="Proxima Nova" w:hAnsi="Proxima Nova"/>
        </w:rPr>
        <w:t xml:space="preserve"> technologies treating </w:t>
      </w:r>
      <w:r w:rsidR="00483ED8" w:rsidRPr="5F23D2FA">
        <w:rPr>
          <w:rFonts w:ascii="Proxima Nova" w:hAnsi="Proxima Nova"/>
        </w:rPr>
        <w:t xml:space="preserve">adult </w:t>
      </w:r>
      <w:r w:rsidR="00F40C01" w:rsidRPr="5F23D2FA">
        <w:rPr>
          <w:rFonts w:ascii="Proxima Nova" w:hAnsi="Proxima Nova"/>
        </w:rPr>
        <w:t xml:space="preserve">blood cancers, which predominantly occur in the </w:t>
      </w:r>
      <w:r w:rsidR="00663A68" w:rsidRPr="5F23D2FA">
        <w:rPr>
          <w:rFonts w:ascii="Proxima Nova" w:hAnsi="Proxima Nova"/>
        </w:rPr>
        <w:t xml:space="preserve">older </w:t>
      </w:r>
      <w:r w:rsidR="00F40C01" w:rsidRPr="5F23D2FA">
        <w:rPr>
          <w:rFonts w:ascii="Proxima Nova" w:hAnsi="Proxima Nova"/>
        </w:rPr>
        <w:t>population</w:t>
      </w:r>
      <w:r w:rsidR="009871BE">
        <w:rPr>
          <w:rStyle w:val="EndnoteReference"/>
          <w:rFonts w:ascii="Proxima Nova" w:hAnsi="Proxima Nova"/>
        </w:rPr>
        <w:endnoteReference w:id="12"/>
      </w:r>
      <w:r w:rsidR="00F40C01" w:rsidRPr="5F23D2FA">
        <w:rPr>
          <w:rFonts w:ascii="Proxima Nova" w:hAnsi="Proxima Nova"/>
        </w:rPr>
        <w:t>.</w:t>
      </w:r>
      <w:r w:rsidR="00BE5B9E" w:rsidRPr="5F23D2FA">
        <w:rPr>
          <w:rFonts w:ascii="Proxima Nova" w:hAnsi="Proxima Nova"/>
        </w:rPr>
        <w:t xml:space="preserve"> </w:t>
      </w:r>
      <w:r w:rsidR="00390DA0" w:rsidRPr="5F23D2FA">
        <w:rPr>
          <w:rFonts w:ascii="Proxima Nova" w:hAnsi="Proxima Nova"/>
        </w:rPr>
        <w:t xml:space="preserve">Following TA677 </w:t>
      </w:r>
      <w:r w:rsidR="000A6249" w:rsidRPr="5F23D2FA">
        <w:rPr>
          <w:rFonts w:ascii="Proxima Nova" w:hAnsi="Proxima Nova"/>
        </w:rPr>
        <w:t xml:space="preserve">Gilead </w:t>
      </w:r>
      <w:r w:rsidR="00695D28" w:rsidRPr="5F23D2FA">
        <w:rPr>
          <w:rFonts w:ascii="Proxima Nova" w:hAnsi="Proxima Nova"/>
        </w:rPr>
        <w:t>entered into the managed access agreement in good faith</w:t>
      </w:r>
      <w:r w:rsidR="004B38D6" w:rsidRPr="5F23D2FA">
        <w:rPr>
          <w:rFonts w:ascii="Proxima Nova" w:hAnsi="Proxima Nova"/>
        </w:rPr>
        <w:t xml:space="preserve">, with the </w:t>
      </w:r>
      <w:r w:rsidR="1D0099EB" w:rsidRPr="5F23D2FA">
        <w:rPr>
          <w:rFonts w:ascii="Proxima Nova" w:hAnsi="Proxima Nova"/>
        </w:rPr>
        <w:t>legitimate</w:t>
      </w:r>
      <w:r w:rsidR="004B38D6" w:rsidRPr="5F23D2FA">
        <w:rPr>
          <w:rFonts w:ascii="Proxima Nova" w:hAnsi="Proxima Nova"/>
        </w:rPr>
        <w:t xml:space="preserve"> expectation</w:t>
      </w:r>
      <w:r w:rsidR="00695D28" w:rsidRPr="5F23D2FA">
        <w:rPr>
          <w:rFonts w:ascii="Proxima Nova" w:hAnsi="Proxima Nova"/>
        </w:rPr>
        <w:t xml:space="preserve"> of a fair exit appraisal</w:t>
      </w:r>
      <w:r w:rsidR="00103DB8" w:rsidRPr="5F23D2FA">
        <w:rPr>
          <w:rFonts w:ascii="Proxima Nova" w:hAnsi="Proxima Nova"/>
        </w:rPr>
        <w:t xml:space="preserve"> that would not frustrate the </w:t>
      </w:r>
      <w:r w:rsidR="5379DA12" w:rsidRPr="5F23D2FA">
        <w:rPr>
          <w:rFonts w:ascii="Proxima Nova" w:hAnsi="Proxima Nova"/>
        </w:rPr>
        <w:t>conclusion</w:t>
      </w:r>
      <w:r w:rsidR="00103DB8" w:rsidRPr="5F23D2FA">
        <w:rPr>
          <w:rFonts w:ascii="Proxima Nova" w:hAnsi="Proxima Nova"/>
        </w:rPr>
        <w:t xml:space="preserve"> of the original appraisal committee </w:t>
      </w:r>
      <w:r w:rsidR="5590FE08" w:rsidRPr="5F23D2FA">
        <w:rPr>
          <w:rFonts w:ascii="Proxima Nova" w:hAnsi="Proxima Nova"/>
        </w:rPr>
        <w:t xml:space="preserve">(above). </w:t>
      </w:r>
    </w:p>
    <w:p w14:paraId="42722550" w14:textId="77777777" w:rsidR="00872907" w:rsidRPr="008A2B53" w:rsidRDefault="00872907" w:rsidP="00103DB8">
      <w:pPr>
        <w:pStyle w:val="BodyText"/>
        <w:spacing w:before="240" w:line="276" w:lineRule="auto"/>
        <w:rPr>
          <w:rFonts w:ascii="Proxima Nova" w:hAnsi="Proxima Nova"/>
          <w:u w:val="single"/>
        </w:rPr>
      </w:pPr>
      <w:r>
        <w:rPr>
          <w:rFonts w:ascii="Proxima Nova" w:hAnsi="Proxima Nova"/>
          <w:u w:val="single"/>
        </w:rPr>
        <w:t>Perversity of outcome</w:t>
      </w:r>
    </w:p>
    <w:p w14:paraId="3D3F19A6" w14:textId="2798F8F3" w:rsidR="00BA41D4" w:rsidRPr="00BE330A" w:rsidRDefault="1ECDF47D" w:rsidP="002C713B">
      <w:pPr>
        <w:pStyle w:val="BodyText"/>
        <w:spacing w:before="240" w:line="276" w:lineRule="auto"/>
        <w:rPr>
          <w:rFonts w:ascii="Proxima Nova" w:hAnsi="Proxima Nova"/>
        </w:rPr>
      </w:pPr>
      <w:r w:rsidRPr="1C5FC9CD">
        <w:rPr>
          <w:rFonts w:ascii="Proxima Nova" w:hAnsi="Proxima Nova"/>
        </w:rPr>
        <w:t xml:space="preserve">Based on </w:t>
      </w:r>
      <w:r w:rsidR="006B1490">
        <w:rPr>
          <w:rFonts w:ascii="Proxima Nova" w:hAnsi="Proxima Nova"/>
        </w:rPr>
        <w:t>NICE’s own</w:t>
      </w:r>
      <w:r w:rsidR="00A61907">
        <w:rPr>
          <w:rFonts w:ascii="Proxima Nova" w:hAnsi="Proxima Nova"/>
        </w:rPr>
        <w:t xml:space="preserve"> </w:t>
      </w:r>
      <w:r w:rsidR="45F67A51" w:rsidRPr="1C5FC9CD">
        <w:rPr>
          <w:rFonts w:ascii="Proxima Nova" w:hAnsi="Proxima Nova"/>
        </w:rPr>
        <w:t>assessment provided</w:t>
      </w:r>
      <w:r w:rsidR="00FA1E94">
        <w:rPr>
          <w:rFonts w:ascii="Proxima Nova" w:hAnsi="Proxima Nova"/>
        </w:rPr>
        <w:t xml:space="preserve"> to Gilead in the Commercial Briefing document on</w:t>
      </w:r>
      <w:r w:rsidR="00536C77">
        <w:rPr>
          <w:rFonts w:ascii="Proxima Nova" w:hAnsi="Proxima Nova"/>
        </w:rPr>
        <w:t xml:space="preserve"> 24 October 2025,</w:t>
      </w:r>
      <w:r w:rsidR="00683A35">
        <w:rPr>
          <w:rFonts w:ascii="Proxima Nova" w:hAnsi="Proxima Nova"/>
        </w:rPr>
        <w:t xml:space="preserve"> </w:t>
      </w:r>
      <w:r w:rsidR="45F67A51" w:rsidRPr="1C5FC9CD">
        <w:rPr>
          <w:rFonts w:ascii="Proxima Nova" w:hAnsi="Proxima Nova"/>
        </w:rPr>
        <w:t xml:space="preserve">under this new framework </w:t>
      </w:r>
      <w:proofErr w:type="spellStart"/>
      <w:r w:rsidR="00BD7FCE">
        <w:rPr>
          <w:rFonts w:ascii="Proxima Nova" w:hAnsi="Proxima Nova"/>
        </w:rPr>
        <w:t>brexu</w:t>
      </w:r>
      <w:proofErr w:type="spellEnd"/>
      <w:r w:rsidR="00BD7FCE">
        <w:rPr>
          <w:rFonts w:ascii="Proxima Nova" w:hAnsi="Proxima Nova"/>
        </w:rPr>
        <w:t>-cel</w:t>
      </w:r>
      <w:r w:rsidR="45F67A51" w:rsidRPr="1C5FC9CD">
        <w:rPr>
          <w:rFonts w:ascii="Proxima Nova" w:hAnsi="Proxima Nova"/>
        </w:rPr>
        <w:t xml:space="preserve"> would not </w:t>
      </w:r>
      <w:r w:rsidR="00E7630C">
        <w:rPr>
          <w:rFonts w:ascii="Proxima Nova" w:hAnsi="Proxima Nova"/>
        </w:rPr>
        <w:t xml:space="preserve">even </w:t>
      </w:r>
      <w:r w:rsidR="45F67A51" w:rsidRPr="1C5FC9CD">
        <w:rPr>
          <w:rFonts w:ascii="Proxima Nova" w:hAnsi="Proxima Nova"/>
        </w:rPr>
        <w:t xml:space="preserve">be considered </w:t>
      </w:r>
      <w:r w:rsidR="769E5965" w:rsidRPr="1C5FC9CD">
        <w:rPr>
          <w:rFonts w:ascii="Proxima Nova" w:hAnsi="Proxima Nova"/>
        </w:rPr>
        <w:t xml:space="preserve">cost-effective </w:t>
      </w:r>
      <w:r w:rsidR="00734213">
        <w:rPr>
          <w:rFonts w:ascii="Proxima Nova" w:hAnsi="Proxima Nova"/>
        </w:rPr>
        <w:t xml:space="preserve">for routine commissioning </w:t>
      </w:r>
      <w:r w:rsidR="769E5965" w:rsidRPr="1C5FC9CD">
        <w:rPr>
          <w:rFonts w:ascii="Proxima Nova" w:hAnsi="Proxima Nova"/>
        </w:rPr>
        <w:t xml:space="preserve">at </w:t>
      </w:r>
      <w:r w:rsidR="00D25B52">
        <w:rPr>
          <w:rFonts w:ascii="Proxima Nova" w:hAnsi="Proxima Nova"/>
        </w:rPr>
        <w:t>d</w:t>
      </w:r>
      <w:r w:rsidR="769E5965" w:rsidRPr="1C5FC9CD">
        <w:rPr>
          <w:rFonts w:ascii="Proxima Nova" w:hAnsi="Proxima Nova"/>
        </w:rPr>
        <w:t>iscount level</w:t>
      </w:r>
      <w:r w:rsidR="00D25B52">
        <w:rPr>
          <w:rFonts w:ascii="Proxima Nova" w:hAnsi="Proxima Nova"/>
        </w:rPr>
        <w:t xml:space="preserve"> over 100%. Despite the </w:t>
      </w:r>
      <w:r w:rsidR="0001257F">
        <w:rPr>
          <w:rFonts w:ascii="Proxima Nova" w:hAnsi="Proxima Nova"/>
        </w:rPr>
        <w:t>Committee</w:t>
      </w:r>
      <w:r w:rsidR="00D25B52">
        <w:rPr>
          <w:rFonts w:ascii="Proxima Nova" w:hAnsi="Proxima Nova"/>
        </w:rPr>
        <w:t xml:space="preserve"> concluding that </w:t>
      </w:r>
      <w:proofErr w:type="spellStart"/>
      <w:r w:rsidR="00D25B52">
        <w:rPr>
          <w:rFonts w:ascii="Proxima Nova" w:hAnsi="Proxima Nova"/>
        </w:rPr>
        <w:t>brexu</w:t>
      </w:r>
      <w:proofErr w:type="spellEnd"/>
      <w:r w:rsidR="00D25B52">
        <w:rPr>
          <w:rFonts w:ascii="Proxima Nova" w:hAnsi="Proxima Nova"/>
        </w:rPr>
        <w:t xml:space="preserve">-cel </w:t>
      </w:r>
      <w:r w:rsidR="00610081">
        <w:rPr>
          <w:rFonts w:ascii="Proxima Nova" w:hAnsi="Proxima Nova"/>
        </w:rPr>
        <w:t>“</w:t>
      </w:r>
      <w:r w:rsidR="00F23C9C">
        <w:rPr>
          <w:rFonts w:ascii="Proxima Nova" w:hAnsi="Proxima Nova"/>
        </w:rPr>
        <w:t xml:space="preserve">is </w:t>
      </w:r>
      <w:r w:rsidR="00F23C9C" w:rsidRPr="00F23C9C">
        <w:rPr>
          <w:rFonts w:ascii="Proxima Nova" w:hAnsi="Proxima Nova"/>
          <w:i/>
          <w:iCs/>
        </w:rPr>
        <w:t>clinically effective, with a high overall response rate</w:t>
      </w:r>
      <w:r w:rsidR="00610081">
        <w:rPr>
          <w:rFonts w:ascii="Proxima Nova" w:hAnsi="Proxima Nova"/>
        </w:rPr>
        <w:t>”</w:t>
      </w:r>
      <w:r w:rsidR="00EC11F8">
        <w:rPr>
          <w:rFonts w:ascii="Proxima Nova" w:hAnsi="Proxima Nova"/>
        </w:rPr>
        <w:t xml:space="preserve"> and that “</w:t>
      </w:r>
      <w:r w:rsidR="00EC11F8" w:rsidRPr="00BD658E">
        <w:rPr>
          <w:rFonts w:ascii="Proxima Nova" w:hAnsi="Proxima Nova"/>
          <w:i/>
          <w:iCs/>
        </w:rPr>
        <w:t>there is an unmet need in this population</w:t>
      </w:r>
      <w:r w:rsidR="00EC11F8">
        <w:rPr>
          <w:rFonts w:ascii="Proxima Nova" w:hAnsi="Proxima Nova"/>
        </w:rPr>
        <w:t>”;</w:t>
      </w:r>
      <w:r w:rsidR="0001257F">
        <w:rPr>
          <w:rFonts w:ascii="Proxima Nova" w:hAnsi="Proxima Nova"/>
        </w:rPr>
        <w:t xml:space="preserve"> patient experts </w:t>
      </w:r>
      <w:r w:rsidR="00716E26">
        <w:rPr>
          <w:rFonts w:ascii="Proxima Nova" w:hAnsi="Proxima Nova"/>
        </w:rPr>
        <w:t>highlighting it is “</w:t>
      </w:r>
      <w:r w:rsidR="007E3E41" w:rsidRPr="00BD658E">
        <w:rPr>
          <w:rFonts w:ascii="Proxima Nova" w:hAnsi="Proxima Nova"/>
          <w:i/>
          <w:iCs/>
        </w:rPr>
        <w:t>a life-changing treatment</w:t>
      </w:r>
      <w:r w:rsidR="007E3E41">
        <w:rPr>
          <w:rFonts w:ascii="Proxima Nova" w:hAnsi="Proxima Nova"/>
        </w:rPr>
        <w:t>”</w:t>
      </w:r>
      <w:r w:rsidR="00D571AF">
        <w:rPr>
          <w:rFonts w:ascii="Proxima Nova" w:hAnsi="Proxima Nova"/>
        </w:rPr>
        <w:t>;</w:t>
      </w:r>
      <w:r w:rsidR="00EC11F8">
        <w:rPr>
          <w:rFonts w:ascii="Proxima Nova" w:hAnsi="Proxima Nova"/>
        </w:rPr>
        <w:t xml:space="preserve"> and clinical experts noting </w:t>
      </w:r>
      <w:r w:rsidR="00BE1A40">
        <w:rPr>
          <w:rFonts w:ascii="Proxima Nova" w:hAnsi="Proxima Nova"/>
        </w:rPr>
        <w:t>“</w:t>
      </w:r>
      <w:r w:rsidR="00BE1A40" w:rsidRPr="00BD658E">
        <w:rPr>
          <w:rFonts w:ascii="Proxima Nova" w:hAnsi="Proxima Nova"/>
          <w:i/>
          <w:iCs/>
        </w:rPr>
        <w:t>the possibility of a functional cure for some people</w:t>
      </w:r>
      <w:r w:rsidR="00BE1A40">
        <w:rPr>
          <w:rFonts w:ascii="Proxima Nova" w:hAnsi="Proxima Nova"/>
        </w:rPr>
        <w:t>”,</w:t>
      </w:r>
      <w:r w:rsidR="00D25B52">
        <w:rPr>
          <w:rFonts w:ascii="Proxima Nova" w:hAnsi="Proxima Nova"/>
        </w:rPr>
        <w:t xml:space="preserve"> </w:t>
      </w:r>
      <w:r w:rsidR="00D25B52" w:rsidRPr="00BE330A">
        <w:rPr>
          <w:rFonts w:ascii="Proxima Nova" w:hAnsi="Proxima Nova"/>
        </w:rPr>
        <w:t xml:space="preserve">Gilead would be required to </w:t>
      </w:r>
      <w:r w:rsidR="00850D45" w:rsidRPr="00BE330A">
        <w:rPr>
          <w:rFonts w:ascii="Proxima Nova" w:hAnsi="Proxima Nova"/>
        </w:rPr>
        <w:t>provide the treatment at zero charge to the NHS for it to be considered cost effective under this chosen NICE base case</w:t>
      </w:r>
      <w:r w:rsidR="00DA04F2" w:rsidRPr="00BE330A">
        <w:rPr>
          <w:rFonts w:ascii="Proxima Nova" w:hAnsi="Proxima Nova"/>
        </w:rPr>
        <w:t>.</w:t>
      </w:r>
    </w:p>
    <w:p w14:paraId="300E529E" w14:textId="7F221834" w:rsidR="008109A0" w:rsidRPr="003504E8" w:rsidRDefault="057BAC8E" w:rsidP="002C713B">
      <w:pPr>
        <w:pStyle w:val="BodyText"/>
        <w:spacing w:before="240" w:line="276" w:lineRule="auto"/>
        <w:rPr>
          <w:rFonts w:ascii="Proxima Nova" w:eastAsiaTheme="minorEastAsia" w:hAnsi="Proxima Nova" w:cs="Lora"/>
          <w:color w:val="000000"/>
        </w:rPr>
      </w:pPr>
      <w:r w:rsidRPr="003504E8">
        <w:rPr>
          <w:rFonts w:ascii="Proxima Nova" w:hAnsi="Proxima Nova"/>
        </w:rPr>
        <w:t xml:space="preserve">In the </w:t>
      </w:r>
      <w:r w:rsidRPr="00A4005F">
        <w:rPr>
          <w:rFonts w:ascii="Proxima Nova" w:hAnsi="Proxima Nova"/>
        </w:rPr>
        <w:t>above circumstances, it is incumbent on NICE to adopt a</w:t>
      </w:r>
      <w:r w:rsidR="00BA41D4" w:rsidRPr="00A4005F">
        <w:rPr>
          <w:rFonts w:ascii="Proxima Nova" w:hAnsi="Proxima Nova"/>
        </w:rPr>
        <w:t>n</w:t>
      </w:r>
      <w:r w:rsidRPr="00A4005F">
        <w:rPr>
          <w:rFonts w:ascii="Proxima Nova" w:hAnsi="Proxima Nova"/>
        </w:rPr>
        <w:t xml:space="preserve"> approach to </w:t>
      </w:r>
      <w:r w:rsidR="6BEF7ED0" w:rsidRPr="00A4005F">
        <w:rPr>
          <w:rFonts w:ascii="Proxima Nova" w:hAnsi="Proxima Nova"/>
        </w:rPr>
        <w:t>th</w:t>
      </w:r>
      <w:r w:rsidR="00C97521" w:rsidRPr="00A4005F">
        <w:rPr>
          <w:rFonts w:ascii="Proxima Nova" w:hAnsi="Proxima Nova"/>
        </w:rPr>
        <w:t>is</w:t>
      </w:r>
      <w:r w:rsidR="6BEF7ED0" w:rsidRPr="00A4005F">
        <w:rPr>
          <w:rFonts w:ascii="Proxima Nova" w:hAnsi="Proxima Nova"/>
        </w:rPr>
        <w:t xml:space="preserve"> </w:t>
      </w:r>
      <w:r w:rsidRPr="00A4005F">
        <w:rPr>
          <w:rFonts w:ascii="Proxima Nova" w:hAnsi="Proxima Nova"/>
        </w:rPr>
        <w:t>appraisal</w:t>
      </w:r>
      <w:r w:rsidR="27EDB7A9" w:rsidRPr="00A4005F">
        <w:rPr>
          <w:rFonts w:ascii="Proxima Nova" w:hAnsi="Proxima Nova"/>
        </w:rPr>
        <w:t>,</w:t>
      </w:r>
      <w:r w:rsidRPr="00A4005F">
        <w:rPr>
          <w:rFonts w:ascii="Proxima Nova" w:hAnsi="Proxima Nova"/>
        </w:rPr>
        <w:t xml:space="preserve"> despite the change in its own methodology, which is procedurally fair and avoids the perverse situation where highly effective therapies</w:t>
      </w:r>
      <w:r w:rsidR="612B2299" w:rsidRPr="003504E8">
        <w:rPr>
          <w:rFonts w:ascii="Proxima Nova" w:hAnsi="Proxima Nova"/>
        </w:rPr>
        <w:t>,</w:t>
      </w:r>
      <w:r w:rsidRPr="00A4005F">
        <w:rPr>
          <w:rFonts w:ascii="Proxima Nova" w:hAnsi="Proxima Nova"/>
        </w:rPr>
        <w:t xml:space="preserve"> which have </w:t>
      </w:r>
      <w:r w:rsidR="27EDB7A9" w:rsidRPr="00A4005F">
        <w:rPr>
          <w:rFonts w:ascii="Proxima Nova" w:hAnsi="Proxima Nova"/>
        </w:rPr>
        <w:t xml:space="preserve">become </w:t>
      </w:r>
      <w:r w:rsidRPr="00A4005F">
        <w:rPr>
          <w:rFonts w:ascii="Proxima Nova" w:hAnsi="Proxima Nova"/>
        </w:rPr>
        <w:t>established as standard of care, are excluded in favour of older, less effective regimens, simply due to a change in NICE’s methodologies and the associated ICER thresholds.</w:t>
      </w:r>
      <w:r w:rsidRPr="003504E8">
        <w:rPr>
          <w:rFonts w:ascii="Proxima Nova" w:hAnsi="Proxima Nova"/>
        </w:rPr>
        <w:t xml:space="preserve">  </w:t>
      </w:r>
    </w:p>
    <w:p w14:paraId="30844819" w14:textId="32933F6C" w:rsidR="008C5382" w:rsidRDefault="00D314AF" w:rsidP="002C713B">
      <w:pPr>
        <w:autoSpaceDE w:val="0"/>
        <w:autoSpaceDN w:val="0"/>
        <w:adjustRightInd w:val="0"/>
        <w:spacing w:before="240" w:after="240" w:line="276" w:lineRule="auto"/>
        <w:jc w:val="both"/>
        <w:rPr>
          <w:rFonts w:eastAsia="CIDFont+F2" w:cs="CIDFont+F2"/>
        </w:rPr>
      </w:pPr>
      <w:r w:rsidRPr="00BE330A">
        <w:rPr>
          <w:rFonts w:eastAsia="CIDFont+F2" w:cs="CIDFont+F2"/>
        </w:rPr>
        <w:t>The FDG notes that “</w:t>
      </w:r>
      <w:r w:rsidRPr="00BE330A">
        <w:rPr>
          <w:rFonts w:eastAsia="CIDFont+F2" w:cs="CIDFont+F2"/>
          <w:i/>
          <w:iCs/>
        </w:rPr>
        <w:t xml:space="preserve">At the second meeting, the committee considered the </w:t>
      </w:r>
      <w:proofErr w:type="gramStart"/>
      <w:r w:rsidRPr="00BE330A">
        <w:rPr>
          <w:rFonts w:eastAsia="CIDFont+F2" w:cs="CIDFont+F2"/>
          <w:i/>
          <w:iCs/>
        </w:rPr>
        <w:t>particular circumstances</w:t>
      </w:r>
      <w:proofErr w:type="gramEnd"/>
      <w:r w:rsidRPr="5F23D2FA">
        <w:rPr>
          <w:rFonts w:eastAsia="CIDFont+F2" w:cs="CIDFont+F2"/>
          <w:i/>
          <w:iCs/>
        </w:rPr>
        <w:t xml:space="preserve"> in this evaluation, noting that the end-of-life criteria was applied in TA677. The committee considered if it could apply flexibility in terms of the severity modifier</w:t>
      </w:r>
      <w:r w:rsidRPr="5F23D2FA">
        <w:rPr>
          <w:rFonts w:eastAsia="CIDFont+F2" w:cs="CIDFont+F2"/>
        </w:rPr>
        <w:t>”</w:t>
      </w:r>
      <w:r w:rsidR="00582D7D" w:rsidRPr="5F23D2FA">
        <w:rPr>
          <w:rFonts w:eastAsia="CIDFont+F2" w:cs="CIDFont+F2"/>
        </w:rPr>
        <w:t>. However</w:t>
      </w:r>
      <w:r w:rsidR="00680E58" w:rsidRPr="5F23D2FA">
        <w:rPr>
          <w:rFonts w:eastAsia="CIDFont+F2" w:cs="CIDFont+F2"/>
        </w:rPr>
        <w:t>,</w:t>
      </w:r>
      <w:r w:rsidR="00582D7D" w:rsidRPr="5F23D2FA">
        <w:rPr>
          <w:rFonts w:eastAsia="CIDFont+F2" w:cs="CIDFont+F2"/>
        </w:rPr>
        <w:t xml:space="preserve"> the Committee then concluded that as th</w:t>
      </w:r>
      <w:r w:rsidR="00586B7C" w:rsidRPr="5F23D2FA">
        <w:rPr>
          <w:rFonts w:eastAsia="CIDFont+F2" w:cs="CIDFont+F2"/>
        </w:rPr>
        <w:t>e proportional QALY shortfall (</w:t>
      </w:r>
      <w:r w:rsidR="0062423A" w:rsidRPr="5F23D2FA">
        <w:rPr>
          <w:rFonts w:eastAsia="CIDFont+F2" w:cs="CIDFont+F2"/>
        </w:rPr>
        <w:t xml:space="preserve">87.9%) was not close enough to the 95% </w:t>
      </w:r>
      <w:r w:rsidR="006464EF" w:rsidRPr="5F23D2FA">
        <w:rPr>
          <w:rFonts w:eastAsia="CIDFont+F2" w:cs="CIDFont+F2"/>
        </w:rPr>
        <w:t xml:space="preserve">required for a 1.7 </w:t>
      </w:r>
      <w:r w:rsidR="001B724F" w:rsidRPr="5F23D2FA">
        <w:rPr>
          <w:rFonts w:eastAsia="CIDFont+F2" w:cs="CIDFont+F2"/>
        </w:rPr>
        <w:t>severity</w:t>
      </w:r>
      <w:r w:rsidR="006464EF" w:rsidRPr="5F23D2FA">
        <w:rPr>
          <w:rFonts w:eastAsia="CIDFont+F2" w:cs="CIDFont+F2"/>
        </w:rPr>
        <w:t xml:space="preserve"> modifier,</w:t>
      </w:r>
      <w:r w:rsidR="001B724F" w:rsidRPr="5F23D2FA">
        <w:rPr>
          <w:rFonts w:eastAsia="CIDFont+F2" w:cs="CIDFont+F2"/>
        </w:rPr>
        <w:t xml:space="preserve"> </w:t>
      </w:r>
      <w:r w:rsidR="006464EF" w:rsidRPr="5F23D2FA">
        <w:rPr>
          <w:rFonts w:eastAsia="CIDFont+F2" w:cs="CIDFont+F2"/>
        </w:rPr>
        <w:t xml:space="preserve">no </w:t>
      </w:r>
      <w:r w:rsidR="001B724F" w:rsidRPr="5F23D2FA">
        <w:rPr>
          <w:rFonts w:eastAsia="CIDFont+F2" w:cs="CIDFont+F2"/>
        </w:rPr>
        <w:t xml:space="preserve">flexibility would be applied. This decision failed to </w:t>
      </w:r>
      <w:proofErr w:type="gramStart"/>
      <w:r w:rsidR="001B724F" w:rsidRPr="5F23D2FA">
        <w:rPr>
          <w:rFonts w:eastAsia="CIDFont+F2" w:cs="CIDFont+F2"/>
        </w:rPr>
        <w:t>take into account</w:t>
      </w:r>
      <w:proofErr w:type="gramEnd"/>
      <w:r w:rsidR="73FEA7D6" w:rsidRPr="5F23D2FA">
        <w:rPr>
          <w:rFonts w:eastAsia="CIDFont+F2" w:cs="CIDFont+F2"/>
        </w:rPr>
        <w:t xml:space="preserve"> the perverse outcome outlined above</w:t>
      </w:r>
      <w:r w:rsidR="008C5382">
        <w:rPr>
          <w:rFonts w:eastAsia="CIDFont+F2" w:cs="CIDFont+F2"/>
        </w:rPr>
        <w:t>.</w:t>
      </w:r>
    </w:p>
    <w:p w14:paraId="5DCEB29C" w14:textId="77777777" w:rsidR="00E723C4" w:rsidRPr="008A2B53" w:rsidRDefault="007B7C40" w:rsidP="002C713B">
      <w:pPr>
        <w:autoSpaceDE w:val="0"/>
        <w:autoSpaceDN w:val="0"/>
        <w:adjustRightInd w:val="0"/>
        <w:spacing w:before="240" w:after="240" w:line="276" w:lineRule="auto"/>
        <w:jc w:val="both"/>
        <w:rPr>
          <w:rFonts w:eastAsia="CIDFont+F2" w:cs="CIDFont+F2"/>
          <w:u w:val="single"/>
        </w:rPr>
      </w:pPr>
      <w:r w:rsidRPr="008A2B53">
        <w:rPr>
          <w:rFonts w:eastAsia="CIDFont+F2" w:cs="CIDFont+F2"/>
          <w:u w:val="single"/>
        </w:rPr>
        <w:t xml:space="preserve">Impact on </w:t>
      </w:r>
      <w:r w:rsidR="00E723C4" w:rsidRPr="008A2B53">
        <w:rPr>
          <w:rFonts w:eastAsia="CIDFont+F2" w:cs="CIDFont+F2"/>
          <w:u w:val="single"/>
        </w:rPr>
        <w:t>aged population</w:t>
      </w:r>
    </w:p>
    <w:p w14:paraId="2E3EFEA0" w14:textId="5A077F32" w:rsidR="00BA41D4" w:rsidRDefault="00E723C4" w:rsidP="002C713B">
      <w:pPr>
        <w:autoSpaceDE w:val="0"/>
        <w:autoSpaceDN w:val="0"/>
        <w:adjustRightInd w:val="0"/>
        <w:spacing w:before="240" w:after="240" w:line="276" w:lineRule="auto"/>
        <w:jc w:val="both"/>
        <w:rPr>
          <w:rFonts w:eastAsia="CIDFont+F2" w:cs="CIDFont+F2"/>
        </w:rPr>
      </w:pPr>
      <w:r>
        <w:rPr>
          <w:rFonts w:eastAsia="CIDFont+F2" w:cs="CIDFont+F2"/>
        </w:rPr>
        <w:t>The Committee</w:t>
      </w:r>
      <w:r w:rsidR="00A740F6">
        <w:rPr>
          <w:rFonts w:eastAsia="CIDFont+F2" w:cs="CIDFont+F2"/>
        </w:rPr>
        <w:t>’s decision</w:t>
      </w:r>
      <w:r w:rsidR="007B7C40">
        <w:rPr>
          <w:rFonts w:eastAsia="CIDFont+F2" w:cs="CIDFont+F2"/>
        </w:rPr>
        <w:t xml:space="preserve"> </w:t>
      </w:r>
      <w:r w:rsidR="00FA1270">
        <w:rPr>
          <w:rFonts w:eastAsia="CIDFont+F2" w:cs="CIDFont+F2"/>
        </w:rPr>
        <w:t>not to apply flexibility in terms of the modifier</w:t>
      </w:r>
      <w:r w:rsidR="73FEA7D6" w:rsidRPr="5F23D2FA">
        <w:rPr>
          <w:rFonts w:eastAsia="CIDFont+F2" w:cs="CIDFont+F2"/>
        </w:rPr>
        <w:t xml:space="preserve"> </w:t>
      </w:r>
      <w:r w:rsidR="002D5BEB">
        <w:rPr>
          <w:rFonts w:eastAsia="CIDFont+F2" w:cs="CIDFont+F2"/>
        </w:rPr>
        <w:t>also did not take account of</w:t>
      </w:r>
      <w:r w:rsidR="73FEA7D6" w:rsidRPr="5F23D2FA">
        <w:rPr>
          <w:rFonts w:eastAsia="CIDFont+F2" w:cs="CIDFont+F2"/>
        </w:rPr>
        <w:t xml:space="preserve"> </w:t>
      </w:r>
      <w:r w:rsidR="00BA41D4" w:rsidRPr="5F23D2FA">
        <w:rPr>
          <w:rFonts w:eastAsia="CIDFont+F2" w:cs="CIDFont+F2"/>
        </w:rPr>
        <w:t>t</w:t>
      </w:r>
      <w:r w:rsidR="00BA41D4" w:rsidRPr="003E2B69">
        <w:rPr>
          <w:rFonts w:eastAsia="CIDFont+F2" w:cs="CIDFont+F2"/>
        </w:rPr>
        <w:t xml:space="preserve">he advanced median age of the population of interest, the poor efficacy seen with comparators, and the establishment of </w:t>
      </w:r>
      <w:proofErr w:type="spellStart"/>
      <w:r w:rsidR="00BA41D4" w:rsidRPr="003E2B69">
        <w:rPr>
          <w:rFonts w:eastAsia="CIDFont+F2" w:cs="CIDFont+F2"/>
        </w:rPr>
        <w:t>brexu</w:t>
      </w:r>
      <w:proofErr w:type="spellEnd"/>
      <w:r w:rsidR="00BA41D4" w:rsidRPr="003E2B69">
        <w:rPr>
          <w:rFonts w:eastAsia="CIDFont+F2" w:cs="CIDFont+F2"/>
        </w:rPr>
        <w:t xml:space="preserve">-cel as standard of care (SoC) for patients with </w:t>
      </w:r>
      <w:r w:rsidR="00D6508D" w:rsidRPr="003E2B69">
        <w:rPr>
          <w:rFonts w:eastAsia="CIDFont+F2" w:cs="CIDFont+F2"/>
        </w:rPr>
        <w:t>R</w:t>
      </w:r>
      <w:r w:rsidR="00BA41D4" w:rsidRPr="003E2B69">
        <w:rPr>
          <w:rFonts w:eastAsia="CIDFont+F2" w:cs="CIDFont+F2"/>
        </w:rPr>
        <w:t>/R MCL following the update to the BSH</w:t>
      </w:r>
      <w:r w:rsidR="00BA41D4" w:rsidRPr="5F23D2FA">
        <w:rPr>
          <w:rFonts w:eastAsia="CIDFont+F2" w:cs="CIDFont+F2"/>
        </w:rPr>
        <w:t xml:space="preserve"> Guidelines in 2022.</w:t>
      </w:r>
      <w:r w:rsidR="005E70B2" w:rsidRPr="5F23D2FA">
        <w:rPr>
          <w:rFonts w:eastAsia="CIDFont+F2" w:cs="CIDFont+F2"/>
        </w:rPr>
        <w:t xml:space="preserve"> </w:t>
      </w:r>
      <w:r w:rsidR="008721DB">
        <w:rPr>
          <w:rFonts w:eastAsia="CIDFont+F2" w:cs="CIDFont+F2"/>
        </w:rPr>
        <w:t>In this context, t</w:t>
      </w:r>
      <w:r w:rsidR="008721DB" w:rsidRPr="00141C83">
        <w:rPr>
          <w:rFonts w:eastAsia="CIDFont+F2" w:cs="CIDFont+F2"/>
        </w:rPr>
        <w:t>he</w:t>
      </w:r>
      <w:r w:rsidR="005E70B2" w:rsidRPr="5F23D2FA">
        <w:rPr>
          <w:rFonts w:eastAsia="CIDFont+F2" w:cs="CIDFont+F2"/>
        </w:rPr>
        <w:t xml:space="preserve"> Committee also did not consider the application of a severity modif</w:t>
      </w:r>
      <w:r w:rsidR="00E67B1F" w:rsidRPr="5F23D2FA">
        <w:rPr>
          <w:rFonts w:eastAsia="CIDFont+F2" w:cs="CIDFont+F2"/>
        </w:rPr>
        <w:t>ier at a point between 1.2 and 1.7</w:t>
      </w:r>
      <w:r w:rsidR="00222A16" w:rsidRPr="5F23D2FA">
        <w:rPr>
          <w:rFonts w:eastAsia="CIDFont+F2" w:cs="CIDFont+F2"/>
        </w:rPr>
        <w:t>.</w:t>
      </w:r>
    </w:p>
    <w:p w14:paraId="42D6C5B0" w14:textId="639AA18F" w:rsidR="00E95943" w:rsidRPr="003E2B69" w:rsidRDefault="1042E672" w:rsidP="00BD658E">
      <w:pPr>
        <w:pStyle w:val="BodyText"/>
        <w:spacing w:before="240" w:line="276" w:lineRule="auto"/>
        <w:rPr>
          <w:rFonts w:ascii="Proxima Nova" w:eastAsia="CIDFont+F2" w:hAnsi="Proxima Nova" w:cs="CIDFont+F2"/>
        </w:rPr>
      </w:pPr>
      <w:r w:rsidRPr="1B5EC0E3">
        <w:rPr>
          <w:rFonts w:ascii="Proxima Nova" w:hAnsi="Proxima Nova"/>
        </w:rPr>
        <w:lastRenderedPageBreak/>
        <w:t>The blanket application of a severity modifier approach to therapies principally directed towards indications occurring in the aged population is potentially discriminatory and risks breach of the Equalities Act 2010.</w:t>
      </w:r>
      <w:r w:rsidR="00B972F7">
        <w:rPr>
          <w:rFonts w:ascii="Proxima Nova" w:hAnsi="Proxima Nova"/>
        </w:rPr>
        <w:t xml:space="preserve"> </w:t>
      </w:r>
      <w:r w:rsidRPr="1B5EC0E3">
        <w:rPr>
          <w:rFonts w:ascii="Proxima Nova" w:hAnsi="Proxima Nova"/>
        </w:rPr>
        <w:t xml:space="preserve">NICE’s severity modifier seeks to avoid age discrimination by introducing routes based on proportional QALY shortfall as well as absolute QALY shortfall.  However, the threshold for eligibility for the 1.7 weighting is set at 0.95 (at least) </w:t>
      </w:r>
      <w:r w:rsidR="29D4119D" w:rsidRPr="206121C2">
        <w:rPr>
          <w:rFonts w:ascii="Proxima Nova" w:hAnsi="Proxima Nova"/>
        </w:rPr>
        <w:t xml:space="preserve">for proportional QALY shortfall, </w:t>
      </w:r>
      <w:r w:rsidRPr="1B5EC0E3">
        <w:rPr>
          <w:rFonts w:ascii="Proxima Nova" w:hAnsi="Proxima Nova"/>
        </w:rPr>
        <w:t>a figure that is, in practice, impossible for an older person to meet irrespective of the severity of their underlying condition and the benefits of treatment.  In these circumstances, it is incumbent on the Committee to apply the severity modifier flexibly in a way that avoids contravention of the 2010 Act.  However</w:t>
      </w:r>
      <w:r w:rsidR="00445E5E">
        <w:rPr>
          <w:rFonts w:ascii="Proxima Nova" w:hAnsi="Proxima Nova"/>
        </w:rPr>
        <w:t>,</w:t>
      </w:r>
      <w:r w:rsidRPr="1B5EC0E3">
        <w:rPr>
          <w:rFonts w:ascii="Proxima Nova" w:hAnsi="Proxima Nova"/>
        </w:rPr>
        <w:t xml:space="preserve"> </w:t>
      </w:r>
      <w:r w:rsidR="63E855FB" w:rsidRPr="1B5EC0E3">
        <w:rPr>
          <w:rFonts w:ascii="Proxima Nova" w:hAnsi="Proxima Nova"/>
        </w:rPr>
        <w:t>there is no indication that, when considering flexibility in the context of this appraisal</w:t>
      </w:r>
      <w:r w:rsidR="4B9264D1" w:rsidRPr="1B5EC0E3">
        <w:rPr>
          <w:rFonts w:ascii="Proxima Nova" w:hAnsi="Proxima Nova"/>
        </w:rPr>
        <w:t xml:space="preserve">, the Committee has </w:t>
      </w:r>
      <w:proofErr w:type="gramStart"/>
      <w:r w:rsidR="4B9264D1" w:rsidRPr="1B5EC0E3">
        <w:rPr>
          <w:rFonts w:ascii="Proxima Nova" w:hAnsi="Proxima Nova"/>
        </w:rPr>
        <w:t>taken into account</w:t>
      </w:r>
      <w:proofErr w:type="gramEnd"/>
      <w:r w:rsidR="4B9264D1" w:rsidRPr="1B5EC0E3">
        <w:rPr>
          <w:rFonts w:ascii="Proxima Nova" w:hAnsi="Proxima Nova"/>
        </w:rPr>
        <w:t xml:space="preserve"> what proportional QALY shortfall is feasible in the context of the </w:t>
      </w:r>
      <w:r w:rsidR="6E83FA86" w:rsidRPr="1B5EC0E3">
        <w:rPr>
          <w:rFonts w:ascii="Proxima Nova" w:hAnsi="Proxima Nova"/>
        </w:rPr>
        <w:t xml:space="preserve">likely age of </w:t>
      </w:r>
      <w:r w:rsidR="4B9264D1" w:rsidRPr="1B5EC0E3">
        <w:rPr>
          <w:rFonts w:ascii="Proxima Nova" w:hAnsi="Proxima Nova"/>
        </w:rPr>
        <w:t xml:space="preserve">patients eligible </w:t>
      </w:r>
      <w:r w:rsidR="6E83FA86" w:rsidRPr="1B5EC0E3">
        <w:rPr>
          <w:rFonts w:ascii="Proxima Nova" w:hAnsi="Proxima Nova"/>
        </w:rPr>
        <w:t xml:space="preserve">for treatment with </w:t>
      </w:r>
      <w:proofErr w:type="spellStart"/>
      <w:r w:rsidR="6E83FA86" w:rsidRPr="1B5EC0E3">
        <w:rPr>
          <w:rFonts w:ascii="Proxima Nova" w:hAnsi="Proxima Nova"/>
        </w:rPr>
        <w:t>brexu</w:t>
      </w:r>
      <w:proofErr w:type="spellEnd"/>
      <w:r w:rsidR="6E83FA86" w:rsidRPr="1B5EC0E3">
        <w:rPr>
          <w:rFonts w:ascii="Proxima Nova" w:hAnsi="Proxima Nova"/>
        </w:rPr>
        <w:t>-cel.</w:t>
      </w:r>
      <w:r w:rsidR="63E855FB" w:rsidRPr="1B5EC0E3">
        <w:rPr>
          <w:rFonts w:ascii="Proxima Nova" w:hAnsi="Proxima Nova"/>
        </w:rPr>
        <w:t xml:space="preserve"> </w:t>
      </w:r>
    </w:p>
    <w:p w14:paraId="743F7667" w14:textId="47E336CC" w:rsidR="006A796F" w:rsidRPr="00014963" w:rsidRDefault="00BA41D4" w:rsidP="008A2B53">
      <w:pPr>
        <w:pStyle w:val="BodyText"/>
        <w:spacing w:before="240" w:line="276" w:lineRule="auto"/>
        <w:rPr>
          <w:rFonts w:ascii="Proxima Nova" w:hAnsi="Proxima Nova"/>
          <w:b/>
          <w:bCs/>
        </w:rPr>
      </w:pPr>
      <w:r w:rsidRPr="0011041B">
        <w:rPr>
          <w:rFonts w:ascii="Proxima Nova" w:hAnsi="Proxima Nova"/>
        </w:rPr>
        <w:t xml:space="preserve">It is </w:t>
      </w:r>
      <w:r w:rsidR="001E26F7">
        <w:rPr>
          <w:rFonts w:ascii="Proxima Nova" w:hAnsi="Proxima Nova"/>
        </w:rPr>
        <w:t>Gilead’s</w:t>
      </w:r>
      <w:r w:rsidR="001E26F7" w:rsidRPr="0011041B">
        <w:rPr>
          <w:rFonts w:ascii="Proxima Nova" w:hAnsi="Proxima Nova"/>
        </w:rPr>
        <w:t xml:space="preserve"> </w:t>
      </w:r>
      <w:r w:rsidRPr="0011041B">
        <w:rPr>
          <w:rFonts w:ascii="Proxima Nova" w:hAnsi="Proxima Nova"/>
        </w:rPr>
        <w:t>view</w:t>
      </w:r>
      <w:r w:rsidR="005506C0">
        <w:rPr>
          <w:rFonts w:ascii="Proxima Nova" w:hAnsi="Proxima Nova"/>
        </w:rPr>
        <w:t>, for the reasons set out above,</w:t>
      </w:r>
      <w:r w:rsidRPr="0011041B">
        <w:rPr>
          <w:rFonts w:ascii="Proxima Nova" w:hAnsi="Proxima Nova"/>
        </w:rPr>
        <w:t xml:space="preserve"> that the approach followed in this appraisal is inconsistent with a fair procedure.</w:t>
      </w:r>
    </w:p>
    <w:p w14:paraId="606B2669" w14:textId="028E0935" w:rsidR="00BB1BA1" w:rsidRPr="0011041B" w:rsidRDefault="00F66587" w:rsidP="002C713B">
      <w:pPr>
        <w:spacing w:before="240" w:after="240" w:line="276" w:lineRule="auto"/>
        <w:jc w:val="both"/>
        <w:rPr>
          <w:b/>
          <w:bCs/>
        </w:rPr>
      </w:pPr>
      <w:r>
        <w:rPr>
          <w:b/>
          <w:bCs/>
          <w:noProof/>
        </w:rPr>
        <mc:AlternateContent>
          <mc:Choice Requires="wps">
            <w:drawing>
              <wp:inline distT="0" distB="0" distL="0" distR="0" wp14:anchorId="01FFB133" wp14:editId="2FAFB497">
                <wp:extent cx="5731510" cy="635"/>
                <wp:effectExtent l="0" t="31750" r="0" b="36830"/>
                <wp:docPr id="4110005" name="Horizontal Lin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B9F646B">
              <v:rect id="Horizontal Line 27" style="width:451.3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w14:anchorId="52784AB5">
                <o:lock v:ext="edit" rotation="t" verticies="t" text="t" aspectratio="t" shapetype="t"/>
                <w10:anchorlock/>
              </v:rect>
            </w:pict>
          </mc:Fallback>
        </mc:AlternateContent>
      </w:r>
    </w:p>
    <w:p w14:paraId="195BAF16" w14:textId="3FA10DDF" w:rsidR="00BB1BA1" w:rsidRPr="0011041B" w:rsidRDefault="2AC8CAD3" w:rsidP="002C713B">
      <w:pPr>
        <w:spacing w:before="240" w:after="240" w:line="276" w:lineRule="auto"/>
        <w:jc w:val="both"/>
        <w:rPr>
          <w:b/>
          <w:bCs/>
        </w:rPr>
      </w:pPr>
      <w:r w:rsidRPr="3B09CD20">
        <w:rPr>
          <w:b/>
          <w:bCs/>
        </w:rPr>
        <w:t>1(a).</w:t>
      </w:r>
      <w:r w:rsidR="00EC2453" w:rsidRPr="3B09CD20">
        <w:rPr>
          <w:b/>
          <w:bCs/>
        </w:rPr>
        <w:t>4</w:t>
      </w:r>
      <w:r w:rsidR="3C3D367E" w:rsidRPr="3B09CD20">
        <w:rPr>
          <w:b/>
          <w:bCs/>
        </w:rPr>
        <w:t xml:space="preserve"> </w:t>
      </w:r>
      <w:r w:rsidR="7AB1137C" w:rsidRPr="3B09CD20">
        <w:rPr>
          <w:b/>
          <w:bCs/>
        </w:rPr>
        <w:t xml:space="preserve">NICE </w:t>
      </w:r>
      <w:r w:rsidR="00C61C06">
        <w:rPr>
          <w:b/>
          <w:bCs/>
        </w:rPr>
        <w:t xml:space="preserve">relied on </w:t>
      </w:r>
      <w:r w:rsidR="7AB1137C" w:rsidRPr="3B09CD20">
        <w:rPr>
          <w:b/>
          <w:bCs/>
        </w:rPr>
        <w:t xml:space="preserve">significant </w:t>
      </w:r>
      <w:proofErr w:type="spellStart"/>
      <w:r w:rsidR="00570911" w:rsidRPr="3B09CD20">
        <w:rPr>
          <w:b/>
          <w:bCs/>
        </w:rPr>
        <w:t>blueteq</w:t>
      </w:r>
      <w:proofErr w:type="spellEnd"/>
      <w:r w:rsidR="00570911" w:rsidRPr="3B09CD20">
        <w:rPr>
          <w:b/>
          <w:bCs/>
        </w:rPr>
        <w:t xml:space="preserve"> </w:t>
      </w:r>
      <w:r w:rsidR="7AB1137C" w:rsidRPr="3B09CD20">
        <w:rPr>
          <w:b/>
          <w:bCs/>
        </w:rPr>
        <w:t xml:space="preserve">data </w:t>
      </w:r>
      <w:r w:rsidR="00C61C06">
        <w:rPr>
          <w:b/>
          <w:bCs/>
        </w:rPr>
        <w:t xml:space="preserve">provided </w:t>
      </w:r>
      <w:r w:rsidR="7AB1137C" w:rsidRPr="3B09CD20">
        <w:rPr>
          <w:b/>
          <w:bCs/>
        </w:rPr>
        <w:t>to Gilead 3 days before</w:t>
      </w:r>
      <w:r w:rsidR="005B1875">
        <w:rPr>
          <w:b/>
          <w:bCs/>
        </w:rPr>
        <w:t xml:space="preserve"> and during</w:t>
      </w:r>
      <w:r w:rsidR="7AB1137C" w:rsidRPr="3B09CD20">
        <w:rPr>
          <w:b/>
          <w:bCs/>
        </w:rPr>
        <w:t xml:space="preserve"> the second Committee meeting, prejudicing Gilead’s ability to adequately consider this data and make related submissions</w:t>
      </w:r>
      <w:r w:rsidR="7AB1137C">
        <w:t xml:space="preserve"> </w:t>
      </w:r>
    </w:p>
    <w:p w14:paraId="5895C576" w14:textId="77777777" w:rsidR="00C61C06" w:rsidRPr="008A2B53" w:rsidRDefault="00C61C06" w:rsidP="00AD22CF">
      <w:pPr>
        <w:spacing w:before="240" w:after="240" w:line="276" w:lineRule="auto"/>
        <w:jc w:val="both"/>
        <w:rPr>
          <w:u w:val="single"/>
        </w:rPr>
      </w:pPr>
      <w:r w:rsidRPr="008A2B53">
        <w:rPr>
          <w:u w:val="single"/>
        </w:rPr>
        <w:t>Before the second Committee meeting</w:t>
      </w:r>
    </w:p>
    <w:p w14:paraId="1A19364B" w14:textId="6CA78830" w:rsidR="00574025" w:rsidRPr="0011041B" w:rsidRDefault="00C76B19" w:rsidP="00574025">
      <w:pPr>
        <w:spacing w:before="240" w:after="240" w:line="276" w:lineRule="auto"/>
        <w:jc w:val="both"/>
      </w:pPr>
      <w:r>
        <w:t xml:space="preserve">NHSE provided NICE with additional </w:t>
      </w:r>
      <w:proofErr w:type="spellStart"/>
      <w:r w:rsidR="00570911">
        <w:t>blu</w:t>
      </w:r>
      <w:r w:rsidR="2470FA7B">
        <w:t>e</w:t>
      </w:r>
      <w:r w:rsidR="00570911">
        <w:t>teq</w:t>
      </w:r>
      <w:proofErr w:type="spellEnd"/>
      <w:r w:rsidR="00570911">
        <w:t xml:space="preserve"> </w:t>
      </w:r>
      <w:r>
        <w:t xml:space="preserve">data </w:t>
      </w:r>
      <w:r w:rsidR="00167EC7">
        <w:t>which set out the number of</w:t>
      </w:r>
      <w:r w:rsidR="00266B26">
        <w:t xml:space="preserve"> patients</w:t>
      </w:r>
      <w:r w:rsidR="00482C17">
        <w:t xml:space="preserve"> enrolled, apheresed and infused</w:t>
      </w:r>
      <w:r w:rsidR="00C53578">
        <w:t xml:space="preserve"> </w:t>
      </w:r>
      <w:r w:rsidR="00032A96">
        <w:t>(</w:t>
      </w:r>
      <w:r w:rsidR="00443074">
        <w:t xml:space="preserve">for the full period </w:t>
      </w:r>
      <w:r w:rsidR="00A57639">
        <w:t xml:space="preserve">from availability of </w:t>
      </w:r>
      <w:proofErr w:type="spellStart"/>
      <w:r w:rsidR="00A57639">
        <w:t>brexu</w:t>
      </w:r>
      <w:proofErr w:type="spellEnd"/>
      <w:r w:rsidR="00A57639">
        <w:t xml:space="preserve">-cel in the NHS </w:t>
      </w:r>
      <w:r w:rsidR="00032A96">
        <w:t>up to 4 August 2025)</w:t>
      </w:r>
      <w:r w:rsidR="0050610B">
        <w:t>. Th</w:t>
      </w:r>
      <w:r w:rsidR="00DA33DA">
        <w:t>ese</w:t>
      </w:r>
      <w:r w:rsidR="0050610B">
        <w:t xml:space="preserve"> data w</w:t>
      </w:r>
      <w:r w:rsidR="006045B9">
        <w:t>ere</w:t>
      </w:r>
      <w:r w:rsidR="0050610B">
        <w:t xml:space="preserve"> </w:t>
      </w:r>
      <w:r w:rsidR="0035752B">
        <w:t xml:space="preserve">critical </w:t>
      </w:r>
      <w:r w:rsidR="00B97C94">
        <w:t xml:space="preserve">to understand </w:t>
      </w:r>
      <w:r w:rsidR="00422468">
        <w:t>the</w:t>
      </w:r>
      <w:r w:rsidR="003A1F45">
        <w:t xml:space="preserve"> </w:t>
      </w:r>
      <w:r w:rsidR="00B5380B">
        <w:t>p</w:t>
      </w:r>
      <w:r w:rsidR="007A7241">
        <w:t xml:space="preserve">roportion of patients who drop out between apheresis and infusion, a major driver of </w:t>
      </w:r>
      <w:proofErr w:type="spellStart"/>
      <w:r w:rsidR="007A7241">
        <w:t>brexu</w:t>
      </w:r>
      <w:proofErr w:type="spellEnd"/>
      <w:r w:rsidR="007A7241">
        <w:t>-cel cost effectiveness</w:t>
      </w:r>
      <w:r>
        <w:t xml:space="preserve">. </w:t>
      </w:r>
      <w:r w:rsidR="00574025" w:rsidRPr="0011041B">
        <w:t xml:space="preserve">This was only disclosed to </w:t>
      </w:r>
      <w:r w:rsidR="00975301">
        <w:t xml:space="preserve">Gilead </w:t>
      </w:r>
      <w:r>
        <w:t>and the EAG</w:t>
      </w:r>
      <w:r w:rsidR="00574025" w:rsidRPr="0011041B">
        <w:t xml:space="preserve"> on </w:t>
      </w:r>
      <w:r w:rsidR="00FE72D8">
        <w:t>2</w:t>
      </w:r>
      <w:r w:rsidR="00167EC7">
        <w:t>7</w:t>
      </w:r>
      <w:r w:rsidR="00FE72D8" w:rsidRPr="003B6386">
        <w:rPr>
          <w:vertAlign w:val="superscript"/>
        </w:rPr>
        <w:t>th</w:t>
      </w:r>
      <w:r w:rsidR="00FE72D8" w:rsidRPr="0011041B">
        <w:t xml:space="preserve"> </w:t>
      </w:r>
      <w:r w:rsidR="00574025" w:rsidRPr="0011041B">
        <w:t>August 2025, for the purpose only of identification of factual errors</w:t>
      </w:r>
      <w:r w:rsidR="00FE72D8">
        <w:t xml:space="preserve"> within the Committee Papers</w:t>
      </w:r>
      <w:r w:rsidR="00574025" w:rsidRPr="0011041B">
        <w:t>, in advance of the Committee’s meeting on 2</w:t>
      </w:r>
      <w:r w:rsidR="00574025" w:rsidRPr="0011041B">
        <w:rPr>
          <w:vertAlign w:val="superscript"/>
        </w:rPr>
        <w:t>nd</w:t>
      </w:r>
      <w:r w:rsidR="00574025" w:rsidRPr="0011041B">
        <w:t xml:space="preserve"> September 2025. </w:t>
      </w:r>
    </w:p>
    <w:p w14:paraId="54448DD2" w14:textId="6206D945" w:rsidR="00574025" w:rsidRDefault="3DEAFF93" w:rsidP="00574025">
      <w:pPr>
        <w:spacing w:before="240" w:after="240" w:line="276" w:lineRule="auto"/>
        <w:jc w:val="both"/>
      </w:pPr>
      <w:r>
        <w:t>Therefore</w:t>
      </w:r>
      <w:r w:rsidR="007A1BC8">
        <w:t>,</w:t>
      </w:r>
      <w:r>
        <w:t xml:space="preserve"> </w:t>
      </w:r>
      <w:r w:rsidR="0036390D">
        <w:t xml:space="preserve">NICE only allowed Gilead </w:t>
      </w:r>
      <w:r w:rsidR="009575CF">
        <w:t>three</w:t>
      </w:r>
      <w:r w:rsidR="007B0D0B">
        <w:t xml:space="preserve"> working day</w:t>
      </w:r>
      <w:r w:rsidR="009575CF">
        <w:t>s</w:t>
      </w:r>
      <w:r w:rsidR="0A3F1AE1" w:rsidRPr="1C5FC9CD">
        <w:t xml:space="preserve"> to </w:t>
      </w:r>
      <w:r w:rsidR="00C76B19">
        <w:t xml:space="preserve">critique </w:t>
      </w:r>
      <w:r w:rsidR="0A3F1AE1" w:rsidRPr="1C5FC9CD">
        <w:t>the</w:t>
      </w:r>
      <w:r w:rsidR="009575CF">
        <w:t xml:space="preserve"> data</w:t>
      </w:r>
      <w:r w:rsidR="0A3F1AE1" w:rsidRPr="1C5FC9CD">
        <w:t xml:space="preserve"> or send company analyses to the Committee before its meeting on 2</w:t>
      </w:r>
      <w:r w:rsidR="0A3F1AE1" w:rsidRPr="1C5FC9CD">
        <w:rPr>
          <w:vertAlign w:val="superscript"/>
        </w:rPr>
        <w:t>nd</w:t>
      </w:r>
      <w:r w:rsidR="0A3F1AE1" w:rsidRPr="1C5FC9CD">
        <w:t xml:space="preserve"> September</w:t>
      </w:r>
      <w:r w:rsidR="0024103D">
        <w:t xml:space="preserve">. This was </w:t>
      </w:r>
      <w:r w:rsidR="00460E75">
        <w:t>insufficient</w:t>
      </w:r>
      <w:r w:rsidR="00737C2C">
        <w:t xml:space="preserve"> for proper review and consideration</w:t>
      </w:r>
      <w:r w:rsidR="0A3F1AE1" w:rsidRPr="1C5FC9CD">
        <w:t>.</w:t>
      </w:r>
      <w:r w:rsidR="37FFDDF7" w:rsidRPr="1C5FC9CD">
        <w:t xml:space="preserve"> </w:t>
      </w:r>
      <w:r w:rsidR="00D21C02">
        <w:t xml:space="preserve">Gilead was unable in this short </w:t>
      </w:r>
      <w:proofErr w:type="gramStart"/>
      <w:r w:rsidR="00D21C02">
        <w:t>time period</w:t>
      </w:r>
      <w:proofErr w:type="gramEnd"/>
      <w:r w:rsidR="00D21C02">
        <w:t xml:space="preserve"> to validate the </w:t>
      </w:r>
      <w:proofErr w:type="spellStart"/>
      <w:r w:rsidR="00D21C02">
        <w:t>blu</w:t>
      </w:r>
      <w:r w:rsidR="1A5E209E">
        <w:t>e</w:t>
      </w:r>
      <w:r w:rsidR="00D21C02">
        <w:t>teq</w:t>
      </w:r>
      <w:proofErr w:type="spellEnd"/>
      <w:r w:rsidR="00D21C02">
        <w:t xml:space="preserve"> data against </w:t>
      </w:r>
      <w:proofErr w:type="spellStart"/>
      <w:r w:rsidR="00A25467">
        <w:t>drop out</w:t>
      </w:r>
      <w:proofErr w:type="spellEnd"/>
      <w:r w:rsidR="00A25467">
        <w:t xml:space="preserve"> rates obtained from the Company</w:t>
      </w:r>
      <w:r w:rsidR="67298225">
        <w:t>’s</w:t>
      </w:r>
      <w:r w:rsidR="00A25467">
        <w:t xml:space="preserve"> ordering system</w:t>
      </w:r>
      <w:r w:rsidR="00DD6E71">
        <w:t xml:space="preserve">, which were </w:t>
      </w:r>
      <w:r w:rsidR="0051328C">
        <w:t>lower</w:t>
      </w:r>
      <w:r w:rsidR="005C6CB6">
        <w:t xml:space="preserve"> and</w:t>
      </w:r>
      <w:r w:rsidR="006F11BB">
        <w:t xml:space="preserve"> illustrated a different distribution of patients dropping out </w:t>
      </w:r>
      <w:r w:rsidR="00D24A33">
        <w:t xml:space="preserve">in the </w:t>
      </w:r>
      <w:r w:rsidR="007469CF">
        <w:t>peri</w:t>
      </w:r>
      <w:r w:rsidR="008111B5">
        <w:t xml:space="preserve">od between enrolment and apheresis compared to apheresis </w:t>
      </w:r>
      <w:r w:rsidR="0073647F">
        <w:t>and</w:t>
      </w:r>
      <w:r w:rsidR="008111B5">
        <w:t xml:space="preserve"> infusion</w:t>
      </w:r>
      <w:r w:rsidR="0051328C">
        <w:t>.</w:t>
      </w:r>
      <w:r w:rsidR="005B5641">
        <w:t xml:space="preserve"> The </w:t>
      </w:r>
      <w:proofErr w:type="spellStart"/>
      <w:r w:rsidR="005B5641">
        <w:t>blu</w:t>
      </w:r>
      <w:r w:rsidR="40EC887B">
        <w:t>e</w:t>
      </w:r>
      <w:r w:rsidR="005B5641">
        <w:t>teq</w:t>
      </w:r>
      <w:proofErr w:type="spellEnd"/>
      <w:r w:rsidR="005B5641">
        <w:t xml:space="preserve"> data </w:t>
      </w:r>
      <w:r w:rsidR="65740EAB">
        <w:t>provided</w:t>
      </w:r>
      <w:r w:rsidR="005B5641">
        <w:t xml:space="preserve"> also omitted </w:t>
      </w:r>
      <w:r w:rsidR="00662B5C">
        <w:t xml:space="preserve">key information, including </w:t>
      </w:r>
      <w:r w:rsidR="005B5641">
        <w:t>the total number of patient</w:t>
      </w:r>
      <w:r w:rsidR="00410811">
        <w:t xml:space="preserve">s </w:t>
      </w:r>
      <w:r w:rsidR="00662B5C">
        <w:t xml:space="preserve">approved </w:t>
      </w:r>
      <w:r w:rsidR="00410811">
        <w:t xml:space="preserve">in the </w:t>
      </w:r>
      <w:proofErr w:type="gramStart"/>
      <w:r w:rsidR="00410811">
        <w:t>time period</w:t>
      </w:r>
      <w:proofErr w:type="gramEnd"/>
      <w:r w:rsidR="00662B5C">
        <w:t xml:space="preserve"> (i.e. with a </w:t>
      </w:r>
      <w:r w:rsidR="001B7FBC">
        <w:t>Form A)</w:t>
      </w:r>
      <w:r w:rsidR="00410811">
        <w:t>, making it impossible to validate</w:t>
      </w:r>
      <w:r w:rsidR="00597F97">
        <w:t>.</w:t>
      </w:r>
    </w:p>
    <w:p w14:paraId="04C5191C" w14:textId="4950857E" w:rsidR="00684B44" w:rsidRDefault="00684B44" w:rsidP="00574025">
      <w:pPr>
        <w:spacing w:before="240" w:after="240" w:line="276" w:lineRule="auto"/>
        <w:jc w:val="both"/>
      </w:pPr>
      <w:r>
        <w:t xml:space="preserve">To fully </w:t>
      </w:r>
      <w:r w:rsidR="008A4D8A">
        <w:t xml:space="preserve">interrogate the validity of this </w:t>
      </w:r>
      <w:proofErr w:type="spellStart"/>
      <w:r w:rsidR="45EB6004">
        <w:t>blueteq</w:t>
      </w:r>
      <w:proofErr w:type="spellEnd"/>
      <w:r w:rsidR="45EB6004">
        <w:t xml:space="preserve"> </w:t>
      </w:r>
      <w:r w:rsidR="008A4D8A">
        <w:t xml:space="preserve">data, Gilead would have had to </w:t>
      </w:r>
      <w:r w:rsidR="00386017">
        <w:t>check it against information in</w:t>
      </w:r>
      <w:r w:rsidR="02803AC9">
        <w:t xml:space="preserve"> the </w:t>
      </w:r>
      <w:r w:rsidR="00A516EA">
        <w:t>company ordering system (</w:t>
      </w:r>
      <w:proofErr w:type="spellStart"/>
      <w:r w:rsidR="00A516EA">
        <w:t>KiteKonnect</w:t>
      </w:r>
      <w:proofErr w:type="spellEnd"/>
      <w:r w:rsidR="00A516EA">
        <w:t>®)</w:t>
      </w:r>
      <w:r w:rsidR="00CA5E19">
        <w:t>, by</w:t>
      </w:r>
      <w:r w:rsidR="00A516EA">
        <w:t xml:space="preserve"> </w:t>
      </w:r>
      <w:r w:rsidR="02803AC9">
        <w:t>review</w:t>
      </w:r>
      <w:r w:rsidR="00CA5E19">
        <w:t>ing</w:t>
      </w:r>
      <w:r w:rsidR="02803AC9">
        <w:t xml:space="preserve"> </w:t>
      </w:r>
      <w:r w:rsidR="004B4C5B">
        <w:t>a</w:t>
      </w:r>
      <w:r w:rsidR="02803AC9">
        <w:t>pheresis and delivery</w:t>
      </w:r>
      <w:r w:rsidR="2F95350F">
        <w:t xml:space="preserve"> </w:t>
      </w:r>
      <w:r w:rsidR="00C23A94">
        <w:t xml:space="preserve">dates </w:t>
      </w:r>
      <w:r w:rsidR="02803AC9">
        <w:t xml:space="preserve">of </w:t>
      </w:r>
      <w:proofErr w:type="spellStart"/>
      <w:r w:rsidR="02803AC9">
        <w:t>brexu</w:t>
      </w:r>
      <w:proofErr w:type="spellEnd"/>
      <w:r w:rsidR="02803AC9">
        <w:t>-cel for a cohort of patients</w:t>
      </w:r>
      <w:r w:rsidR="00C23A94">
        <w:t xml:space="preserve"> </w:t>
      </w:r>
      <w:r w:rsidR="02803AC9">
        <w:t xml:space="preserve">over an agreed period of time, </w:t>
      </w:r>
      <w:r w:rsidR="00700600">
        <w:t xml:space="preserve">and ensuring </w:t>
      </w:r>
      <w:r w:rsidR="02803AC9">
        <w:t>that</w:t>
      </w:r>
      <w:r w:rsidR="00700600">
        <w:t xml:space="preserve"> </w:t>
      </w:r>
      <w:r w:rsidR="02803AC9">
        <w:t xml:space="preserve">the </w:t>
      </w:r>
      <w:proofErr w:type="spellStart"/>
      <w:r w:rsidR="02803AC9">
        <w:t>drop out</w:t>
      </w:r>
      <w:proofErr w:type="spellEnd"/>
      <w:r w:rsidR="2F95350F">
        <w:t xml:space="preserve"> </w:t>
      </w:r>
      <w:r w:rsidR="02803AC9">
        <w:t xml:space="preserve">rate </w:t>
      </w:r>
      <w:r w:rsidR="370580F6">
        <w:t xml:space="preserve">omitted patients </w:t>
      </w:r>
      <w:r w:rsidR="00261992">
        <w:t>awaiting delivery</w:t>
      </w:r>
      <w:r w:rsidR="00E44F30">
        <w:t>/infusion</w:t>
      </w:r>
      <w:r w:rsidR="00261992">
        <w:t xml:space="preserve"> of final product, </w:t>
      </w:r>
      <w:r w:rsidR="00C40692">
        <w:t>or</w:t>
      </w:r>
      <w:r w:rsidR="00261992">
        <w:t xml:space="preserve"> </w:t>
      </w:r>
      <w:r w:rsidR="370580F6">
        <w:t>that were on hold</w:t>
      </w:r>
      <w:r w:rsidR="7E00424F">
        <w:t xml:space="preserve"> (e.g. patients who have undergone apheresis, but ha</w:t>
      </w:r>
      <w:r w:rsidR="00EE37A5">
        <w:t>d</w:t>
      </w:r>
      <w:r w:rsidR="7E00424F">
        <w:t xml:space="preserve"> not yet moved forward with </w:t>
      </w:r>
      <w:r w:rsidR="7E00424F">
        <w:lastRenderedPageBreak/>
        <w:t>infusion and are still expected to procee</w:t>
      </w:r>
      <w:r w:rsidR="76D84312">
        <w:t>d unless they formally withdraw/become clinically ineligible)</w:t>
      </w:r>
      <w:r w:rsidR="370580F6">
        <w:t xml:space="preserve">. This would require follow up with centres to understand the reasons </w:t>
      </w:r>
      <w:r w:rsidR="00BD0233">
        <w:t>why a patient who had been apheresed was not infused</w:t>
      </w:r>
      <w:r w:rsidR="2C21E47B">
        <w:t>.</w:t>
      </w:r>
      <w:r w:rsidR="2F95350F">
        <w:t xml:space="preserve"> </w:t>
      </w:r>
    </w:p>
    <w:p w14:paraId="2AA49DD3" w14:textId="77777777" w:rsidR="00920E2E" w:rsidRPr="003E2B69" w:rsidRDefault="00920E2E" w:rsidP="003E2B69">
      <w:pPr>
        <w:spacing w:before="240" w:after="240" w:line="276" w:lineRule="auto"/>
        <w:jc w:val="both"/>
        <w:rPr>
          <w:rFonts w:eastAsiaTheme="minorEastAsia"/>
          <w:u w:val="single"/>
        </w:rPr>
      </w:pPr>
      <w:r w:rsidRPr="003E2B69">
        <w:rPr>
          <w:rFonts w:eastAsiaTheme="minorEastAsia"/>
          <w:u w:val="single"/>
        </w:rPr>
        <w:t>During the second Committee Meeting</w:t>
      </w:r>
    </w:p>
    <w:p w14:paraId="7E5326C1" w14:textId="6B7C3D93" w:rsidR="00E7376A" w:rsidRDefault="009A0F56" w:rsidP="00AD22CF">
      <w:pPr>
        <w:spacing w:before="240" w:after="240" w:line="276" w:lineRule="auto"/>
        <w:jc w:val="both"/>
      </w:pPr>
      <w:r w:rsidRPr="008A2B53">
        <w:t>As extensively discussed in this appraisal, the dropout rate observed within the initial 24 months</w:t>
      </w:r>
      <w:r w:rsidR="00884095" w:rsidRPr="008A2B53">
        <w:t xml:space="preserve"> of use</w:t>
      </w:r>
      <w:r w:rsidRPr="008A2B53">
        <w:t xml:space="preserve"> </w:t>
      </w:r>
      <w:r w:rsidR="00E061AF" w:rsidRPr="008A2B53">
        <w:t xml:space="preserve">in the NHS </w:t>
      </w:r>
      <w:r w:rsidRPr="008A2B53">
        <w:t>was higher than that recorded during the remainder of the period</w:t>
      </w:r>
      <w:r w:rsidR="00882D10" w:rsidRPr="008A2B53">
        <w:t>, due to a change in</w:t>
      </w:r>
      <w:r w:rsidR="003D08F2" w:rsidRPr="008A2B53">
        <w:t xml:space="preserve"> treatment guidelines and manufacturing improvements</w:t>
      </w:r>
      <w:r w:rsidRPr="008A2B53">
        <w:t xml:space="preserve">. </w:t>
      </w:r>
      <w:r w:rsidR="00E061AF" w:rsidRPr="008A2B53">
        <w:t xml:space="preserve">Gilead </w:t>
      </w:r>
      <w:r w:rsidR="005873A6" w:rsidRPr="008A2B53">
        <w:t xml:space="preserve">carried out an analysis of </w:t>
      </w:r>
      <w:r w:rsidR="00D847E1" w:rsidRPr="008A2B53">
        <w:t xml:space="preserve">the dropout rate </w:t>
      </w:r>
      <w:r w:rsidR="00477977" w:rsidRPr="008A2B53">
        <w:t xml:space="preserve">from apheresis to infusion </w:t>
      </w:r>
      <w:r w:rsidR="00D847E1" w:rsidRPr="008A2B53">
        <w:t xml:space="preserve">for the more recent </w:t>
      </w:r>
      <w:proofErr w:type="gramStart"/>
      <w:r w:rsidR="006247FC" w:rsidRPr="008A2B53">
        <w:t>time period</w:t>
      </w:r>
      <w:proofErr w:type="gramEnd"/>
      <w:r w:rsidR="006247FC" w:rsidRPr="008A2B53">
        <w:t xml:space="preserve"> (</w:t>
      </w:r>
      <w:r w:rsidR="005220DA" w:rsidRPr="008A2B53">
        <w:t xml:space="preserve">January </w:t>
      </w:r>
      <w:r w:rsidR="00A6301B" w:rsidRPr="008A2B53">
        <w:t>2024 – June 2025)</w:t>
      </w:r>
      <w:r w:rsidR="007C007F" w:rsidRPr="008A2B53">
        <w:t xml:space="preserve"> using data from the company’s ordering system (KiteKonnnect®), this produced a value of 7%</w:t>
      </w:r>
      <w:r w:rsidR="009A0E44" w:rsidRPr="00AA79C5">
        <w:rPr>
          <w:vertAlign w:val="superscript"/>
        </w:rPr>
        <w:endnoteReference w:id="13"/>
      </w:r>
      <w:r w:rsidR="00477977" w:rsidRPr="008A2B53">
        <w:rPr>
          <w:vertAlign w:val="superscript"/>
        </w:rPr>
        <w:t xml:space="preserve"> </w:t>
      </w:r>
      <w:r w:rsidR="00477977" w:rsidRPr="008A2B53">
        <w:t>which closely matched the rate seen in Z</w:t>
      </w:r>
      <w:r w:rsidR="000B3C31" w:rsidRPr="008A2B53">
        <w:t>UMA</w:t>
      </w:r>
      <w:r w:rsidR="00477977" w:rsidRPr="008A2B53">
        <w:t>-2 (</w:t>
      </w:r>
      <w:r w:rsidR="7B5EA0BD" w:rsidRPr="1AEDE55B">
        <w:rPr>
          <w:highlight w:val="black"/>
          <w:u w:val="single"/>
        </w:rPr>
        <w:t>X</w:t>
      </w:r>
      <w:r w:rsidR="00477977" w:rsidRPr="008A2B53">
        <w:t>%)</w:t>
      </w:r>
      <w:r w:rsidR="007C007F" w:rsidRPr="008A2B53">
        <w:t xml:space="preserve">. </w:t>
      </w:r>
      <w:r w:rsidR="007D0AE1">
        <w:t xml:space="preserve">This figure was provided to NICE </w:t>
      </w:r>
      <w:r w:rsidR="00E7376A">
        <w:t xml:space="preserve">in response to the Draft Guidance. </w:t>
      </w:r>
    </w:p>
    <w:p w14:paraId="1E251FEF" w14:textId="66547A8F" w:rsidR="00DE04F3" w:rsidRDefault="009A0F56" w:rsidP="00AD22CF">
      <w:pPr>
        <w:spacing w:before="240" w:after="240" w:line="276" w:lineRule="auto"/>
        <w:jc w:val="both"/>
      </w:pPr>
      <w:r w:rsidRPr="008A2B53">
        <w:t xml:space="preserve">During the </w:t>
      </w:r>
      <w:r w:rsidR="00884095" w:rsidRPr="008A2B53">
        <w:t>C</w:t>
      </w:r>
      <w:r w:rsidRPr="008A2B53">
        <w:t>ommittee meeting</w:t>
      </w:r>
      <w:r w:rsidRPr="008A2B53" w:rsidDel="00083119">
        <w:t xml:space="preserve"> </w:t>
      </w:r>
      <w:r w:rsidR="79F5247E" w:rsidRPr="008A2B53">
        <w:t xml:space="preserve">NHSE </w:t>
      </w:r>
      <w:r w:rsidR="00F473D0" w:rsidRPr="008A2B53">
        <w:t xml:space="preserve">verbally </w:t>
      </w:r>
      <w:r w:rsidR="79F5247E" w:rsidRPr="008A2B53">
        <w:t>shared</w:t>
      </w:r>
      <w:r w:rsidR="00816FA0">
        <w:t xml:space="preserve"> for the first time</w:t>
      </w:r>
      <w:r w:rsidR="79F5247E" w:rsidRPr="008A2B53">
        <w:t xml:space="preserve"> the number of patient</w:t>
      </w:r>
      <w:r w:rsidR="00D72BEA" w:rsidRPr="008A2B53">
        <w:t>s</w:t>
      </w:r>
      <w:r w:rsidR="79F5247E" w:rsidRPr="008A2B53">
        <w:t xml:space="preserve"> who dropped out between enrolment and infusion in the </w:t>
      </w:r>
      <w:r w:rsidR="00F01B9D" w:rsidRPr="008A2B53">
        <w:t xml:space="preserve">period </w:t>
      </w:r>
      <w:r w:rsidR="00A7132C" w:rsidRPr="008A2B53">
        <w:t xml:space="preserve">1 August 2024 </w:t>
      </w:r>
      <w:r w:rsidR="001A3178" w:rsidRPr="008A2B53">
        <w:t>–</w:t>
      </w:r>
      <w:r w:rsidR="00A7132C" w:rsidRPr="008A2B53">
        <w:t xml:space="preserve"> </w:t>
      </w:r>
      <w:r w:rsidR="001A3178" w:rsidRPr="008A2B53">
        <w:t>31 July 2025</w:t>
      </w:r>
      <w:r w:rsidR="00A72EAA" w:rsidRPr="008A2B53">
        <w:t xml:space="preserve"> (20%</w:t>
      </w:r>
      <w:r w:rsidR="002005A7" w:rsidRPr="008A2B53">
        <w:t xml:space="preserve">, as later </w:t>
      </w:r>
      <w:r w:rsidR="00DD4BBA" w:rsidRPr="008A2B53">
        <w:t>confirmed in writing by NHSE by email</w:t>
      </w:r>
      <w:r w:rsidR="00A72EAA" w:rsidRPr="008A2B53">
        <w:t>)</w:t>
      </w:r>
      <w:r w:rsidR="79F5247E" w:rsidRPr="008A2B53">
        <w:t xml:space="preserve">. </w:t>
      </w:r>
    </w:p>
    <w:p w14:paraId="3E9EDF4A" w14:textId="7933A9F2" w:rsidR="00EF5345" w:rsidRDefault="79F5247E" w:rsidP="007C7937">
      <w:pPr>
        <w:spacing w:before="240" w:after="240" w:line="276" w:lineRule="auto"/>
        <w:jc w:val="both"/>
      </w:pPr>
      <w:r w:rsidRPr="008A2B53">
        <w:t xml:space="preserve">However, </w:t>
      </w:r>
      <w:r w:rsidR="004A77F9" w:rsidRPr="008A2B53">
        <w:t xml:space="preserve">when asked by the Committee </w:t>
      </w:r>
      <w:r w:rsidR="0021037D" w:rsidRPr="008A2B53">
        <w:t>for the</w:t>
      </w:r>
      <w:r w:rsidR="00400455" w:rsidRPr="008A2B53">
        <w:t xml:space="preserve"> </w:t>
      </w:r>
      <w:proofErr w:type="spellStart"/>
      <w:r w:rsidR="00400455" w:rsidRPr="008A2B53">
        <w:t>drop out</w:t>
      </w:r>
      <w:proofErr w:type="spellEnd"/>
      <w:r w:rsidR="00400455" w:rsidRPr="008A2B53">
        <w:t xml:space="preserve"> rate between apheresis and infusion, </w:t>
      </w:r>
      <w:r w:rsidRPr="008A2B53">
        <w:t xml:space="preserve">NHSE </w:t>
      </w:r>
      <w:r w:rsidR="00400455" w:rsidRPr="008A2B53">
        <w:t xml:space="preserve">were unable </w:t>
      </w:r>
      <w:r w:rsidR="00083C6D" w:rsidRPr="008A2B53">
        <w:t>t</w:t>
      </w:r>
      <w:r w:rsidR="00400455" w:rsidRPr="008A2B53">
        <w:t>o provide this</w:t>
      </w:r>
      <w:r w:rsidR="003027EF" w:rsidRPr="008A2B53">
        <w:t>, as th</w:t>
      </w:r>
      <w:r w:rsidR="00A60D3A" w:rsidRPr="008A2B53">
        <w:t xml:space="preserve">e </w:t>
      </w:r>
      <w:proofErr w:type="spellStart"/>
      <w:r w:rsidR="00A60D3A" w:rsidRPr="008A2B53">
        <w:t>blueteq</w:t>
      </w:r>
      <w:proofErr w:type="spellEnd"/>
      <w:r w:rsidR="00A60D3A" w:rsidRPr="008A2B53">
        <w:t xml:space="preserve"> data only captures numbers of enrolments and infusions</w:t>
      </w:r>
      <w:r w:rsidR="1F5186A2" w:rsidRPr="008A2B53">
        <w:t>.</w:t>
      </w:r>
      <w:r w:rsidR="5E0D9AD0" w:rsidRPr="008A2B53">
        <w:t xml:space="preserve"> To fill this missing information,</w:t>
      </w:r>
      <w:r w:rsidR="1F5186A2" w:rsidRPr="008A2B53">
        <w:t xml:space="preserve"> </w:t>
      </w:r>
      <w:r w:rsidR="00083119" w:rsidRPr="008A2B53">
        <w:t>NICE concluded</w:t>
      </w:r>
      <w:r w:rsidR="009A0F56" w:rsidRPr="008A2B53">
        <w:t xml:space="preserve"> that the </w:t>
      </w:r>
      <w:proofErr w:type="spellStart"/>
      <w:r w:rsidR="009A0F56" w:rsidRPr="008A2B53">
        <w:t>drop</w:t>
      </w:r>
      <w:r w:rsidR="00202FBC">
        <w:t xml:space="preserve"> </w:t>
      </w:r>
      <w:r w:rsidR="009A0F56" w:rsidRPr="00BA304E">
        <w:rPr>
          <w:rFonts w:eastAsiaTheme="minorEastAsia"/>
        </w:rPr>
        <w:t>out</w:t>
      </w:r>
      <w:proofErr w:type="spellEnd"/>
      <w:r w:rsidR="009A0F56" w:rsidRPr="00BA304E">
        <w:rPr>
          <w:rFonts w:eastAsiaTheme="minorEastAsia"/>
        </w:rPr>
        <w:t xml:space="preserve"> rate between apheresis and infusion, calculated across the entire</w:t>
      </w:r>
      <w:r w:rsidR="00DE04F3">
        <w:t xml:space="preserve"> </w:t>
      </w:r>
      <w:proofErr w:type="gramStart"/>
      <w:r w:rsidR="00DE04F3">
        <w:t>time</w:t>
      </w:r>
      <w:r w:rsidR="009A0F56" w:rsidRPr="008A2B53">
        <w:t xml:space="preserve"> period</w:t>
      </w:r>
      <w:proofErr w:type="gramEnd"/>
      <w:r w:rsidR="00BC70BC" w:rsidRPr="008A2B53">
        <w:t xml:space="preserve"> (</w:t>
      </w:r>
      <w:r w:rsidR="00F65DEB" w:rsidRPr="008A2B53">
        <w:t>two-thirds)</w:t>
      </w:r>
      <w:r w:rsidR="009A0F56" w:rsidRPr="008A2B53">
        <w:t xml:space="preserve">, would </w:t>
      </w:r>
      <w:r w:rsidR="00B41881" w:rsidRPr="008A2B53">
        <w:t xml:space="preserve">also </w:t>
      </w:r>
      <w:r w:rsidR="009A0F56" w:rsidRPr="008A2B53">
        <w:t>be applied to the number of patients who discontinued between enrolment and infusion in the last 12 months</w:t>
      </w:r>
      <w:r w:rsidR="00FE42D3" w:rsidRPr="008A2B53">
        <w:t>, leading to a figure of 12% being used</w:t>
      </w:r>
      <w:r w:rsidR="009A0F56" w:rsidRPr="008A2B53">
        <w:t xml:space="preserve">. </w:t>
      </w:r>
      <w:r w:rsidR="00E02209">
        <w:t xml:space="preserve">This approach </w:t>
      </w:r>
      <w:r w:rsidR="005A2F6B">
        <w:t>did not</w:t>
      </w:r>
      <w:r w:rsidR="00E02209">
        <w:t xml:space="preserve"> </w:t>
      </w:r>
      <w:proofErr w:type="gramStart"/>
      <w:r w:rsidR="00E02209">
        <w:t xml:space="preserve">take </w:t>
      </w:r>
      <w:r w:rsidR="005A2F6B">
        <w:t>into account</w:t>
      </w:r>
      <w:proofErr w:type="gramEnd"/>
      <w:r w:rsidR="00E02209">
        <w:t xml:space="preserve"> the reduction in </w:t>
      </w:r>
      <w:proofErr w:type="spellStart"/>
      <w:r w:rsidR="00E02209">
        <w:t>drop out</w:t>
      </w:r>
      <w:proofErr w:type="spellEnd"/>
      <w:r w:rsidR="00E02209">
        <w:t xml:space="preserve"> rate which has been seen over time</w:t>
      </w:r>
      <w:r w:rsidR="001851D5">
        <w:t>,</w:t>
      </w:r>
      <w:r w:rsidR="005A2F6B">
        <w:t xml:space="preserve"> and the </w:t>
      </w:r>
      <w:proofErr w:type="gramStart"/>
      <w:r w:rsidR="005A2F6B">
        <w:t>Committee  failed</w:t>
      </w:r>
      <w:proofErr w:type="gramEnd"/>
      <w:r w:rsidR="005A2F6B">
        <w:t xml:space="preserve"> to question or interrogate the variation in attrition rates between the </w:t>
      </w:r>
      <w:proofErr w:type="spellStart"/>
      <w:r w:rsidR="008E71B3">
        <w:t>blu</w:t>
      </w:r>
      <w:r w:rsidR="003E0426">
        <w:t>e</w:t>
      </w:r>
      <w:r w:rsidR="008E71B3">
        <w:t>te</w:t>
      </w:r>
      <w:r w:rsidR="003E5B5F">
        <w:t>q</w:t>
      </w:r>
      <w:proofErr w:type="spellEnd"/>
      <w:r w:rsidR="003E5B5F">
        <w:t xml:space="preserve"> data and the</w:t>
      </w:r>
      <w:r w:rsidR="00B648DD">
        <w:t xml:space="preserve"> company’s </w:t>
      </w:r>
      <w:proofErr w:type="spellStart"/>
      <w:r w:rsidR="00B648DD">
        <w:t>KiteKonnect</w:t>
      </w:r>
      <w:proofErr w:type="spellEnd"/>
      <w:r w:rsidR="00B648DD">
        <w:t>® data</w:t>
      </w:r>
      <w:r w:rsidR="009C38BE">
        <w:t>.</w:t>
      </w:r>
    </w:p>
    <w:p w14:paraId="61F212CF" w14:textId="30676DDE" w:rsidR="005A22DB" w:rsidRPr="0011041B" w:rsidRDefault="005A22DB" w:rsidP="003E2B69">
      <w:pPr>
        <w:spacing w:before="240" w:after="240" w:line="276" w:lineRule="auto"/>
        <w:jc w:val="both"/>
      </w:pPr>
      <w:r w:rsidRPr="003E2B69">
        <w:rPr>
          <w:u w:val="single"/>
        </w:rPr>
        <w:t>Procedural issues</w:t>
      </w:r>
    </w:p>
    <w:p w14:paraId="3B6F7099" w14:textId="0AEEAD9A" w:rsidR="00505E5F" w:rsidRDefault="0A3F1AE1" w:rsidP="007C7937">
      <w:pPr>
        <w:spacing w:before="240" w:after="240" w:line="276" w:lineRule="auto"/>
        <w:jc w:val="both"/>
      </w:pPr>
      <w:r w:rsidRPr="1C5FC9CD">
        <w:t>The procedure followed was</w:t>
      </w:r>
      <w:r w:rsidR="00344409">
        <w:t xml:space="preserve"> therefore</w:t>
      </w:r>
      <w:r w:rsidRPr="1C5FC9CD">
        <w:t xml:space="preserve"> inconsistent with paragraph </w:t>
      </w:r>
      <w:r w:rsidR="00D551F3">
        <w:t>5.8.3</w:t>
      </w:r>
      <w:r w:rsidRPr="1C5FC9CD">
        <w:t xml:space="preserve"> of the </w:t>
      </w:r>
      <w:r w:rsidR="1F99D74C" w:rsidRPr="1C5FC9CD">
        <w:t>NICE</w:t>
      </w:r>
      <w:r w:rsidR="00D7569D">
        <w:t xml:space="preserve"> Manual</w:t>
      </w:r>
      <w:r w:rsidRPr="1C5FC9CD">
        <w:t xml:space="preserve"> which </w:t>
      </w:r>
      <w:r w:rsidR="00D7569D">
        <w:t>states</w:t>
      </w:r>
      <w:r w:rsidR="00744A60">
        <w:t xml:space="preserve"> that “</w:t>
      </w:r>
      <w:r w:rsidR="00744A60" w:rsidRPr="003B6386">
        <w:rPr>
          <w:i/>
          <w:iCs/>
        </w:rPr>
        <w:t>The committee papers are usually circulated to all attendees)</w:t>
      </w:r>
      <w:r w:rsidR="00351222">
        <w:rPr>
          <w:i/>
          <w:iCs/>
        </w:rPr>
        <w:t xml:space="preserve"> </w:t>
      </w:r>
      <w:r w:rsidR="00744A60" w:rsidRPr="003B6386">
        <w:rPr>
          <w:i/>
          <w:iCs/>
        </w:rPr>
        <w:t>except members of the public) 2 weeks before the first committee meeting</w:t>
      </w:r>
      <w:r w:rsidR="00744A60">
        <w:t>”. Whilst the NICE Manual is silent with regards to any subsequent Committee meeting, companies have a legitimate expectation that the same time periods would apply.</w:t>
      </w:r>
      <w:r w:rsidR="00B94A42">
        <w:t xml:space="preserve">  No explanation for the </w:t>
      </w:r>
      <w:r w:rsidR="003F57DD">
        <w:t xml:space="preserve">late disclosure of the additional </w:t>
      </w:r>
      <w:proofErr w:type="spellStart"/>
      <w:r w:rsidR="003F57DD">
        <w:t>blu</w:t>
      </w:r>
      <w:r w:rsidR="009B35EC">
        <w:t>e</w:t>
      </w:r>
      <w:r w:rsidR="003F57DD">
        <w:t>teq</w:t>
      </w:r>
      <w:proofErr w:type="spellEnd"/>
      <w:r w:rsidR="003F57DD">
        <w:t xml:space="preserve"> data</w:t>
      </w:r>
      <w:r w:rsidR="009B35EC">
        <w:t xml:space="preserve"> was provided</w:t>
      </w:r>
      <w:r w:rsidR="007202DB">
        <w:t>.</w:t>
      </w:r>
    </w:p>
    <w:p w14:paraId="2B7B7B20" w14:textId="3CD334C8" w:rsidR="00344409" w:rsidRDefault="00344409" w:rsidP="00574025">
      <w:pPr>
        <w:spacing w:before="240" w:after="240" w:line="276" w:lineRule="auto"/>
        <w:jc w:val="both"/>
      </w:pPr>
      <w:r>
        <w:t xml:space="preserve">Additionally, as noted in the Eisai case set out in ground 1(a).1, NICE’s procedures require disclosure to consultees of key evidence relied upon for the purposes of its decision making so that this can be tested to confirm reliability. The requirement for consultation was recognised by NICE as demonstrated by the fact that the data were disclosed to </w:t>
      </w:r>
      <w:r w:rsidRPr="1C5FC9CD">
        <w:t>Gilead</w:t>
      </w:r>
      <w:r>
        <w:t xml:space="preserve">, however the period for review and assessment of the initial </w:t>
      </w:r>
      <w:proofErr w:type="spellStart"/>
      <w:r>
        <w:t>blueteq</w:t>
      </w:r>
      <w:proofErr w:type="spellEnd"/>
      <w:r>
        <w:t xml:space="preserve"> and the subsequent ad hoc verbal analysis was then wholly inadequate, and Gilead was unable to validate the data. </w:t>
      </w:r>
    </w:p>
    <w:p w14:paraId="74497688" w14:textId="29E12DC5" w:rsidR="005A22DB" w:rsidRPr="003E2B69" w:rsidRDefault="005A22DB" w:rsidP="00574025">
      <w:pPr>
        <w:spacing w:before="240" w:after="240" w:line="276" w:lineRule="auto"/>
        <w:jc w:val="both"/>
        <w:rPr>
          <w:u w:val="single"/>
        </w:rPr>
      </w:pPr>
      <w:r w:rsidRPr="003E2B69">
        <w:rPr>
          <w:u w:val="single"/>
        </w:rPr>
        <w:t>Impact</w:t>
      </w:r>
    </w:p>
    <w:p w14:paraId="6660C0B3" w14:textId="01869928" w:rsidR="00DC48EF" w:rsidRDefault="00344409" w:rsidP="00574025">
      <w:pPr>
        <w:spacing w:before="240" w:after="240" w:line="276" w:lineRule="auto"/>
        <w:jc w:val="both"/>
      </w:pPr>
      <w:r w:rsidRPr="008A2B53">
        <w:lastRenderedPageBreak/>
        <w:t>Th</w:t>
      </w:r>
      <w:r w:rsidR="00BB4942">
        <w:t>e Committee’s</w:t>
      </w:r>
      <w:r w:rsidRPr="008A2B53">
        <w:t xml:space="preserve"> approach resulted in an increased overall dropout rate between apheresis and infusion being used by NICE in its decision-making process (12%), thereby leading to an overestimation of the proportion of patients who reach apheresis and a materially higher final ICER. NICE elected to adopt this assumption rather than rely on </w:t>
      </w:r>
      <w:r w:rsidR="001D4B8E">
        <w:t xml:space="preserve">more accurate </w:t>
      </w:r>
      <w:r w:rsidRPr="008A2B53">
        <w:t xml:space="preserve">data that Gilead could have provided for this </w:t>
      </w:r>
      <w:proofErr w:type="gramStart"/>
      <w:r w:rsidRPr="008A2B53">
        <w:t>time period</w:t>
      </w:r>
      <w:proofErr w:type="gramEnd"/>
      <w:r w:rsidRPr="008A2B53">
        <w:t xml:space="preserve"> through its internal </w:t>
      </w:r>
      <w:proofErr w:type="spellStart"/>
      <w:r w:rsidRPr="008A2B53">
        <w:t>KiteKonnect</w:t>
      </w:r>
      <w:proofErr w:type="spellEnd"/>
      <w:r w:rsidRPr="008A2B53">
        <w:t>® ordering system, had the company been given sufficient time to carry out a detailed review</w:t>
      </w:r>
      <w:r>
        <w:t xml:space="preserve"> of data for that same </w:t>
      </w:r>
      <w:proofErr w:type="gramStart"/>
      <w:r>
        <w:t>time period</w:t>
      </w:r>
      <w:proofErr w:type="gramEnd"/>
      <w:r w:rsidRPr="008A2B53">
        <w:t xml:space="preserve">. </w:t>
      </w:r>
      <w:r w:rsidR="007202DB">
        <w:t xml:space="preserve">In circumstances where the proportion of patients who drop out between apheresis and infusion is central to </w:t>
      </w:r>
      <w:proofErr w:type="spellStart"/>
      <w:r w:rsidR="007202DB">
        <w:t>brexu</w:t>
      </w:r>
      <w:proofErr w:type="spellEnd"/>
      <w:r w:rsidR="007202DB">
        <w:t>-cel’s cost effectiveness</w:t>
      </w:r>
      <w:r w:rsidR="008C6786">
        <w:t>,</w:t>
      </w:r>
      <w:r w:rsidR="007202DB" w:rsidRPr="1C5FC9CD">
        <w:t xml:space="preserve"> </w:t>
      </w:r>
      <w:r w:rsidR="008C6786">
        <w:t>adequate consultation should have taken place in relation to the new data</w:t>
      </w:r>
      <w:r w:rsidR="00181F07">
        <w:t>, and it was wholly inappropriate</w:t>
      </w:r>
      <w:r w:rsidR="001B3895">
        <w:t xml:space="preserve"> for NICE</w:t>
      </w:r>
      <w:r w:rsidR="00181F07">
        <w:t xml:space="preserve"> to </w:t>
      </w:r>
      <w:r w:rsidR="00C73BC0">
        <w:t>make a material conclusi</w:t>
      </w:r>
      <w:r w:rsidR="003D6819">
        <w:t>on</w:t>
      </w:r>
      <w:r w:rsidR="00DD55C7">
        <w:t xml:space="preserve"> based on</w:t>
      </w:r>
      <w:r w:rsidR="001B3895">
        <w:t xml:space="preserve"> this data without offering this opportunity</w:t>
      </w:r>
      <w:r w:rsidR="008C6786">
        <w:t xml:space="preserve">. </w:t>
      </w:r>
    </w:p>
    <w:p w14:paraId="0D090DA7" w14:textId="6533B0D0" w:rsidR="004F7B79" w:rsidRDefault="00DA6850" w:rsidP="003E2B69">
      <w:pPr>
        <w:spacing w:before="240" w:after="240" w:line="276" w:lineRule="auto"/>
        <w:jc w:val="both"/>
        <w:rPr>
          <w:rFonts w:eastAsia="Times New Roman"/>
          <w:lang w:eastAsia="en-GB"/>
        </w:rPr>
      </w:pPr>
      <w:r>
        <w:rPr>
          <w:rStyle w:val="CommentReference"/>
          <w:sz w:val="22"/>
          <w:szCs w:val="22"/>
        </w:rPr>
        <w:t xml:space="preserve">The importance of these data is confirmed by the fact that they were </w:t>
      </w:r>
      <w:r w:rsidR="006E49CB">
        <w:rPr>
          <w:rStyle w:val="CommentReference"/>
          <w:sz w:val="22"/>
          <w:szCs w:val="22"/>
        </w:rPr>
        <w:t xml:space="preserve">discussed at length in the Committee meeting </w:t>
      </w:r>
      <w:r w:rsidR="00AE6FBC">
        <w:rPr>
          <w:rStyle w:val="CommentReference"/>
          <w:sz w:val="22"/>
          <w:szCs w:val="22"/>
        </w:rPr>
        <w:t xml:space="preserve">(although, in view of </w:t>
      </w:r>
      <w:r w:rsidR="005C2FC6">
        <w:rPr>
          <w:rStyle w:val="CommentReference"/>
          <w:sz w:val="22"/>
          <w:szCs w:val="22"/>
        </w:rPr>
        <w:t>inadequate time for review,</w:t>
      </w:r>
      <w:r w:rsidR="00AE6FBC">
        <w:rPr>
          <w:rStyle w:val="CommentReference"/>
          <w:sz w:val="22"/>
          <w:szCs w:val="22"/>
        </w:rPr>
        <w:t xml:space="preserve"> Gilead was unable to contribute as it would have wished) </w:t>
      </w:r>
      <w:r w:rsidR="006E49CB">
        <w:rPr>
          <w:rStyle w:val="CommentReference"/>
          <w:sz w:val="22"/>
          <w:szCs w:val="22"/>
        </w:rPr>
        <w:t>and w</w:t>
      </w:r>
      <w:r>
        <w:rPr>
          <w:rStyle w:val="CommentReference"/>
          <w:sz w:val="22"/>
          <w:szCs w:val="22"/>
        </w:rPr>
        <w:t>ere</w:t>
      </w:r>
      <w:r w:rsidR="006E49CB">
        <w:rPr>
          <w:rStyle w:val="CommentReference"/>
          <w:sz w:val="22"/>
          <w:szCs w:val="22"/>
        </w:rPr>
        <w:t xml:space="preserve"> used as the Committee’s basis for </w:t>
      </w:r>
      <w:r w:rsidR="00CC2951">
        <w:rPr>
          <w:rStyle w:val="CommentReference"/>
          <w:sz w:val="22"/>
          <w:szCs w:val="22"/>
        </w:rPr>
        <w:t>formulating their preferred assump</w:t>
      </w:r>
      <w:r w:rsidR="00EE25A5">
        <w:rPr>
          <w:rStyle w:val="CommentReference"/>
          <w:sz w:val="22"/>
          <w:szCs w:val="22"/>
        </w:rPr>
        <w:t xml:space="preserve">tions relating to the </w:t>
      </w:r>
      <w:r w:rsidR="00F811CD">
        <w:rPr>
          <w:rStyle w:val="CommentReference"/>
          <w:sz w:val="22"/>
          <w:szCs w:val="22"/>
        </w:rPr>
        <w:t xml:space="preserve">attrition rate between </w:t>
      </w:r>
      <w:r w:rsidR="0028019F">
        <w:rPr>
          <w:rStyle w:val="CommentReference"/>
          <w:sz w:val="22"/>
          <w:szCs w:val="22"/>
        </w:rPr>
        <w:t>leukapheresis and infusion</w:t>
      </w:r>
      <w:r w:rsidR="0BDAD283" w:rsidRPr="626C0530">
        <w:rPr>
          <w:rStyle w:val="CommentReference"/>
          <w:sz w:val="22"/>
          <w:szCs w:val="22"/>
        </w:rPr>
        <w:t>.</w:t>
      </w:r>
      <w:r w:rsidR="017735E7" w:rsidRPr="7DF3B15B">
        <w:rPr>
          <w:rStyle w:val="CommentReference"/>
          <w:sz w:val="22"/>
          <w:szCs w:val="22"/>
        </w:rPr>
        <w:t xml:space="preserve"> </w:t>
      </w:r>
      <w:r w:rsidR="3535A46F" w:rsidRPr="3A1D0463">
        <w:rPr>
          <w:rStyle w:val="CommentReference"/>
          <w:sz w:val="22"/>
          <w:szCs w:val="22"/>
        </w:rPr>
        <w:t>I</w:t>
      </w:r>
      <w:r>
        <w:rPr>
          <w:rStyle w:val="CommentReference"/>
          <w:sz w:val="22"/>
          <w:szCs w:val="22"/>
        </w:rPr>
        <w:t xml:space="preserve">n these circumstances the lack of </w:t>
      </w:r>
      <w:r w:rsidR="00735FED">
        <w:rPr>
          <w:rStyle w:val="CommentReference"/>
          <w:sz w:val="22"/>
          <w:szCs w:val="22"/>
        </w:rPr>
        <w:t>appropriate consultation is procedurally unfair</w:t>
      </w:r>
      <w:r w:rsidR="00EE25A5">
        <w:rPr>
          <w:rStyle w:val="CommentReference"/>
          <w:sz w:val="22"/>
          <w:szCs w:val="22"/>
        </w:rPr>
        <w:t>.</w:t>
      </w:r>
      <w:r w:rsidR="006E49CB">
        <w:rPr>
          <w:rStyle w:val="CommentReference"/>
          <w:sz w:val="22"/>
          <w:szCs w:val="22"/>
        </w:rPr>
        <w:t xml:space="preserve"> </w:t>
      </w:r>
      <w:r w:rsidR="37F5C757" w:rsidRPr="1C5FC9CD">
        <w:t xml:space="preserve"> </w:t>
      </w:r>
    </w:p>
    <w:p w14:paraId="55F6DD2A" w14:textId="2E24A82C" w:rsidR="00990EA8" w:rsidRDefault="00F66587" w:rsidP="003E2B69">
      <w:pPr>
        <w:spacing w:before="240" w:after="240" w:line="276" w:lineRule="auto"/>
        <w:jc w:val="both"/>
      </w:pPr>
      <w:r w:rsidRPr="00F66587">
        <w:rPr>
          <w:b/>
          <w:bCs/>
          <w:noProof/>
        </w:rPr>
        <mc:AlternateContent>
          <mc:Choice Requires="wps">
            <w:drawing>
              <wp:inline distT="0" distB="0" distL="0" distR="0" wp14:anchorId="40E80EF5" wp14:editId="558A3A7F">
                <wp:extent cx="5731510" cy="635"/>
                <wp:effectExtent l="0" t="31750" r="0" b="36830"/>
                <wp:docPr id="2126145572" name="Horizontal Lin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145B252C">
              <v:rect id="Horizontal Line 23" style="width:451.3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w14:anchorId="5E90F0AB">
                <o:lock v:ext="edit" rotation="t" verticies="t" text="t" aspectratio="t" shapetype="t"/>
                <w10:anchorlock/>
              </v:rect>
            </w:pict>
          </mc:Fallback>
        </mc:AlternateContent>
      </w:r>
    </w:p>
    <w:p w14:paraId="739B4462" w14:textId="77777777" w:rsidR="00C77C9B" w:rsidRPr="00C77C9B" w:rsidRDefault="00C77C9B" w:rsidP="00C77C9B">
      <w:pPr>
        <w:pStyle w:val="StyleHeading211ptNotItalicLinespacingMultiple115li"/>
        <w:spacing w:after="240"/>
        <w:rPr>
          <w:rFonts w:ascii="Proxima Nova" w:hAnsi="Proxima Nova"/>
          <w:i/>
          <w:iCs/>
          <w:szCs w:val="22"/>
        </w:rPr>
      </w:pPr>
      <w:r w:rsidRPr="0011041B">
        <w:rPr>
          <w:rFonts w:ascii="Proxima Nova" w:hAnsi="Proxima Nova"/>
          <w:szCs w:val="22"/>
        </w:rPr>
        <w:t>Ground 1(b): In making the assessment that preceded the recommendation,</w:t>
      </w:r>
      <w:r w:rsidRPr="0011041B">
        <w:rPr>
          <w:rFonts w:ascii="Proxima Nova" w:hAnsi="Proxima Nova"/>
          <w:szCs w:val="22"/>
          <w:lang w:val="en-GB"/>
        </w:rPr>
        <w:t xml:space="preserve"> </w:t>
      </w:r>
      <w:r w:rsidRPr="0011041B">
        <w:rPr>
          <w:rFonts w:ascii="Proxima Nova" w:hAnsi="Proxima Nova"/>
          <w:szCs w:val="22"/>
        </w:rPr>
        <w:t xml:space="preserve">NICE has </w:t>
      </w:r>
      <w:r>
        <w:rPr>
          <w:rFonts w:ascii="Proxima Nova" w:hAnsi="Proxima Nova"/>
          <w:szCs w:val="22"/>
        </w:rPr>
        <w:t>exceeded its powers</w:t>
      </w:r>
    </w:p>
    <w:p w14:paraId="269B52B9" w14:textId="5959DB14" w:rsidR="00C77C9B" w:rsidRDefault="00C77C9B" w:rsidP="00C77C9B">
      <w:pPr>
        <w:spacing w:before="240" w:after="240" w:line="276" w:lineRule="auto"/>
        <w:jc w:val="both"/>
        <w:rPr>
          <w:b/>
          <w:bCs/>
        </w:rPr>
      </w:pPr>
      <w:r w:rsidRPr="00275F25">
        <w:rPr>
          <w:b/>
          <w:bCs/>
        </w:rPr>
        <w:t xml:space="preserve">1(b).1 </w:t>
      </w:r>
      <w:r w:rsidR="006B1146" w:rsidRPr="00275F25">
        <w:rPr>
          <w:b/>
          <w:bCs/>
        </w:rPr>
        <w:t xml:space="preserve">NICE has exceeded its powers </w:t>
      </w:r>
      <w:r w:rsidR="00ED6EDE" w:rsidRPr="00275F25">
        <w:rPr>
          <w:b/>
          <w:bCs/>
        </w:rPr>
        <w:t xml:space="preserve">by conducting an appraisal using a procedure </w:t>
      </w:r>
      <w:r w:rsidR="002266F7" w:rsidRPr="00275F25">
        <w:rPr>
          <w:b/>
          <w:bCs/>
        </w:rPr>
        <w:t>which discriminates against older people</w:t>
      </w:r>
      <w:r w:rsidR="00ED6EDE" w:rsidRPr="00275F25">
        <w:rPr>
          <w:b/>
          <w:bCs/>
        </w:rPr>
        <w:t xml:space="preserve"> </w:t>
      </w:r>
    </w:p>
    <w:p w14:paraId="1D1E037E" w14:textId="780B2199" w:rsidR="000E19B8" w:rsidRPr="003B6386" w:rsidRDefault="0001559C" w:rsidP="00114117">
      <w:pPr>
        <w:spacing w:before="240" w:after="240" w:line="276" w:lineRule="auto"/>
        <w:jc w:val="both"/>
        <w:rPr>
          <w:i/>
          <w:iCs/>
        </w:rPr>
      </w:pPr>
      <w:r>
        <w:t xml:space="preserve">The NICE </w:t>
      </w:r>
      <w:r w:rsidR="00760895">
        <w:t xml:space="preserve">Manual </w:t>
      </w:r>
      <w:r>
        <w:t>states at 3.1.4 that</w:t>
      </w:r>
      <w:r w:rsidR="00472438">
        <w:t xml:space="preserve"> “</w:t>
      </w:r>
      <w:r w:rsidR="00472438" w:rsidRPr="003B6386">
        <w:rPr>
          <w:i/>
          <w:iCs/>
        </w:rPr>
        <w:t>In addition to evidence on the technology's effects and costs, health technology evaluation should consider a range of other relevant issues. For example:</w:t>
      </w:r>
    </w:p>
    <w:p w14:paraId="1138C04B" w14:textId="1B581A3C" w:rsidR="000E19B8" w:rsidRPr="003B6386" w:rsidRDefault="000E19B8" w:rsidP="00114117">
      <w:pPr>
        <w:spacing w:before="240" w:after="240" w:line="276" w:lineRule="auto"/>
        <w:jc w:val="both"/>
        <w:rPr>
          <w:i/>
          <w:iCs/>
        </w:rPr>
      </w:pPr>
      <w:r w:rsidRPr="003B6386">
        <w:rPr>
          <w:i/>
          <w:iCs/>
        </w:rPr>
        <w:t>…</w:t>
      </w:r>
    </w:p>
    <w:p w14:paraId="6AB73D0B" w14:textId="77777777" w:rsidR="000E19B8" w:rsidRPr="003B6386" w:rsidRDefault="00472438" w:rsidP="00F73BF7">
      <w:pPr>
        <w:pStyle w:val="ListParagraph"/>
        <w:numPr>
          <w:ilvl w:val="0"/>
          <w:numId w:val="30"/>
        </w:numPr>
        <w:spacing w:before="240" w:after="240" w:line="276" w:lineRule="auto"/>
        <w:jc w:val="both"/>
        <w:rPr>
          <w:i/>
          <w:iCs/>
        </w:rPr>
      </w:pPr>
      <w:r w:rsidRPr="003B6386">
        <w:rPr>
          <w:i/>
          <w:iCs/>
        </w:rPr>
        <w:t>NICE's legal obligations on equality and human rights</w:t>
      </w:r>
    </w:p>
    <w:p w14:paraId="730AD740" w14:textId="77777777" w:rsidR="008E4118" w:rsidRPr="003B6386" w:rsidRDefault="008E4118" w:rsidP="00F73BF7">
      <w:pPr>
        <w:pStyle w:val="ListParagraph"/>
        <w:numPr>
          <w:ilvl w:val="0"/>
          <w:numId w:val="30"/>
        </w:numPr>
        <w:spacing w:before="240" w:after="240" w:line="276" w:lineRule="auto"/>
        <w:jc w:val="both"/>
        <w:rPr>
          <w:i/>
          <w:iCs/>
        </w:rPr>
      </w:pPr>
      <w:r w:rsidRPr="003B6386">
        <w:rPr>
          <w:i/>
          <w:iCs/>
        </w:rPr>
        <w:t>the requirement to treat people fairly</w:t>
      </w:r>
    </w:p>
    <w:p w14:paraId="21B471BE" w14:textId="5DC6282E" w:rsidR="008E4118" w:rsidRDefault="008E4118" w:rsidP="00F73BF7">
      <w:pPr>
        <w:pStyle w:val="ListParagraph"/>
        <w:numPr>
          <w:ilvl w:val="0"/>
          <w:numId w:val="30"/>
        </w:numPr>
        <w:spacing w:before="240" w:after="240" w:line="276" w:lineRule="auto"/>
        <w:jc w:val="both"/>
      </w:pPr>
      <w:r w:rsidRPr="003B6386">
        <w:rPr>
          <w:i/>
          <w:iCs/>
        </w:rPr>
        <w:t>issues relating to health inequalities.</w:t>
      </w:r>
      <w:r w:rsidRPr="008E4118">
        <w:t xml:space="preserve"> </w:t>
      </w:r>
      <w:r>
        <w:t>“</w:t>
      </w:r>
      <w:r w:rsidR="00472438" w:rsidRPr="003B6386">
        <w:t xml:space="preserve"> </w:t>
      </w:r>
    </w:p>
    <w:p w14:paraId="2A7302E5" w14:textId="4982FBAA" w:rsidR="00114117" w:rsidRPr="003B6386" w:rsidRDefault="00394E75" w:rsidP="008E4118">
      <w:pPr>
        <w:spacing w:before="240" w:after="240" w:line="276" w:lineRule="auto"/>
        <w:jc w:val="both"/>
      </w:pPr>
      <w:r>
        <w:t>However</w:t>
      </w:r>
      <w:r w:rsidR="005C55BB">
        <w:t>,</w:t>
      </w:r>
      <w:r>
        <w:t xml:space="preserve"> the requirements of t</w:t>
      </w:r>
      <w:r w:rsidR="00114117" w:rsidRPr="003B6386">
        <w:t>he Equality Act 2010</w:t>
      </w:r>
      <w:r>
        <w:t xml:space="preserve"> extend beyond the </w:t>
      </w:r>
      <w:r w:rsidR="004E7554">
        <w:t xml:space="preserve">provisions set out in NICE’s Manual, which simply </w:t>
      </w:r>
      <w:r w:rsidR="00AB3305">
        <w:t>states that equality duties must “</w:t>
      </w:r>
      <w:r w:rsidR="00AB3305" w:rsidRPr="00BD658E">
        <w:rPr>
          <w:i/>
          <w:iCs/>
        </w:rPr>
        <w:t>be considered</w:t>
      </w:r>
      <w:r w:rsidR="00AB3305">
        <w:t>”.  The 2010 Act</w:t>
      </w:r>
      <w:r w:rsidR="00114117" w:rsidRPr="003B6386">
        <w:t xml:space="preserve"> requires fair and equal treatment for individuals with protected characteristics, including age</w:t>
      </w:r>
      <w:r w:rsidR="004F0E72">
        <w:t>, not merely consideration of such matters</w:t>
      </w:r>
      <w:r w:rsidR="00957EDE" w:rsidRPr="003B6386">
        <w:t xml:space="preserve">. NICE must avoid unjustifiable age discrimination and comply with the </w:t>
      </w:r>
      <w:r w:rsidR="004C6D8A" w:rsidRPr="003B6386">
        <w:t>public sector equality duty</w:t>
      </w:r>
      <w:r w:rsidR="00957EDE" w:rsidRPr="003B6386">
        <w:t xml:space="preserve"> </w:t>
      </w:r>
      <w:r w:rsidR="000E1CE8" w:rsidRPr="003B6386">
        <w:t xml:space="preserve">(PSED) </w:t>
      </w:r>
      <w:r w:rsidR="00957EDE" w:rsidRPr="003B6386">
        <w:t xml:space="preserve">(section 149), which requires consideration of </w:t>
      </w:r>
      <w:r w:rsidR="00080EA2">
        <w:t xml:space="preserve">the </w:t>
      </w:r>
      <w:r w:rsidR="00957EDE" w:rsidRPr="003B6386">
        <w:t>impacts on older people when making decisions</w:t>
      </w:r>
      <w:r w:rsidR="0060075D">
        <w:t>.</w:t>
      </w:r>
      <w:r w:rsidR="00B311AE" w:rsidRPr="00B311AE">
        <w:t xml:space="preserve"> </w:t>
      </w:r>
      <w:r w:rsidR="00E0581E" w:rsidRPr="003B6386">
        <w:t>NICE guidance that disproportionately disadvantages older patients without robust justification breaches th</w:t>
      </w:r>
      <w:r w:rsidR="0060075D">
        <w:t>ese</w:t>
      </w:r>
      <w:r w:rsidR="005C54EE" w:rsidRPr="003B6386">
        <w:t xml:space="preserve"> obligation</w:t>
      </w:r>
      <w:r w:rsidR="0060075D">
        <w:t>s</w:t>
      </w:r>
      <w:r w:rsidR="005C54EE" w:rsidRPr="003B6386">
        <w:t>.</w:t>
      </w:r>
    </w:p>
    <w:p w14:paraId="311DF4C0" w14:textId="46388460" w:rsidR="000E1CE8" w:rsidRPr="000E1CE8" w:rsidRDefault="000E1CE8" w:rsidP="000E1CE8">
      <w:pPr>
        <w:pStyle w:val="BodyText"/>
        <w:spacing w:before="240" w:line="276" w:lineRule="auto"/>
        <w:rPr>
          <w:rFonts w:ascii="Proxima Nova" w:hAnsi="Proxima Nova"/>
        </w:rPr>
      </w:pPr>
      <w:r w:rsidRPr="000E1CE8">
        <w:rPr>
          <w:rFonts w:ascii="Proxima Nova" w:hAnsi="Proxima Nova"/>
        </w:rPr>
        <w:lastRenderedPageBreak/>
        <w:t xml:space="preserve">The recommendation restricts access to </w:t>
      </w:r>
      <w:proofErr w:type="spellStart"/>
      <w:r>
        <w:rPr>
          <w:rFonts w:ascii="Proxima Nova" w:hAnsi="Proxima Nova"/>
        </w:rPr>
        <w:t>brexu</w:t>
      </w:r>
      <w:proofErr w:type="spellEnd"/>
      <w:r>
        <w:rPr>
          <w:rFonts w:ascii="Proxima Nova" w:hAnsi="Proxima Nova"/>
        </w:rPr>
        <w:t>-cel</w:t>
      </w:r>
      <w:r w:rsidRPr="000E1CE8">
        <w:rPr>
          <w:rFonts w:ascii="Proxima Nova" w:hAnsi="Proxima Nova"/>
        </w:rPr>
        <w:t xml:space="preserve"> for </w:t>
      </w:r>
      <w:r w:rsidR="004F7CAA">
        <w:rPr>
          <w:rFonts w:ascii="Proxima Nova" w:hAnsi="Proxima Nova"/>
        </w:rPr>
        <w:t>R</w:t>
      </w:r>
      <w:r>
        <w:rPr>
          <w:rFonts w:ascii="Proxima Nova" w:hAnsi="Proxima Nova"/>
        </w:rPr>
        <w:t>/</w:t>
      </w:r>
      <w:r w:rsidR="004F7CAA">
        <w:rPr>
          <w:rFonts w:ascii="Proxima Nova" w:hAnsi="Proxima Nova"/>
        </w:rPr>
        <w:t>R</w:t>
      </w:r>
      <w:r>
        <w:rPr>
          <w:rFonts w:ascii="Proxima Nova" w:hAnsi="Proxima Nova"/>
        </w:rPr>
        <w:t xml:space="preserve"> MCL</w:t>
      </w:r>
      <w:r w:rsidRPr="000E1CE8">
        <w:rPr>
          <w:rFonts w:ascii="Proxima Nova" w:hAnsi="Proxima Nova"/>
        </w:rPr>
        <w:t>, which predominantly affects older populations. This creates</w:t>
      </w:r>
      <w:r w:rsidR="00D96D90">
        <w:rPr>
          <w:rFonts w:ascii="Proxima Nova" w:hAnsi="Proxima Nova"/>
        </w:rPr>
        <w:t xml:space="preserve"> a requirement to ensure that the guidance does not result in</w:t>
      </w:r>
      <w:r w:rsidRPr="000E1CE8">
        <w:rPr>
          <w:rFonts w:ascii="Proxima Nova" w:hAnsi="Proxima Nova"/>
        </w:rPr>
        <w:t>:</w:t>
      </w:r>
    </w:p>
    <w:p w14:paraId="65433114" w14:textId="77777777" w:rsidR="000E1CE8" w:rsidRPr="000E1CE8" w:rsidRDefault="000E1CE8" w:rsidP="000E1CE8">
      <w:pPr>
        <w:pStyle w:val="BodyText"/>
        <w:numPr>
          <w:ilvl w:val="0"/>
          <w:numId w:val="28"/>
        </w:numPr>
        <w:spacing w:before="240" w:line="276" w:lineRule="auto"/>
        <w:rPr>
          <w:rFonts w:ascii="Proxima Nova" w:hAnsi="Proxima Nova"/>
        </w:rPr>
      </w:pPr>
      <w:r w:rsidRPr="000E1CE8">
        <w:rPr>
          <w:rFonts w:ascii="Proxima Nova" w:hAnsi="Proxima Nova"/>
        </w:rPr>
        <w:t>Indirect age discrimination under section 19 Equality Act.</w:t>
      </w:r>
    </w:p>
    <w:p w14:paraId="1FC7052B" w14:textId="256F8034" w:rsidR="000E1CE8" w:rsidRPr="005332F4" w:rsidRDefault="000E1CE8" w:rsidP="00114117">
      <w:pPr>
        <w:pStyle w:val="BodyText"/>
        <w:numPr>
          <w:ilvl w:val="0"/>
          <w:numId w:val="28"/>
        </w:numPr>
        <w:spacing w:before="240" w:line="276" w:lineRule="auto"/>
        <w:rPr>
          <w:rFonts w:ascii="Proxima Nova" w:hAnsi="Proxima Nova"/>
        </w:rPr>
      </w:pPr>
      <w:r w:rsidRPr="000E1CE8">
        <w:rPr>
          <w:rFonts w:ascii="Proxima Nova" w:hAnsi="Proxima Nova"/>
        </w:rPr>
        <w:t>A failure to advance equality of opportunity, contrary to PSED.</w:t>
      </w:r>
    </w:p>
    <w:p w14:paraId="54684E13" w14:textId="278AFC78" w:rsidR="00340C18" w:rsidRDefault="005331E8" w:rsidP="003E2B69">
      <w:pPr>
        <w:pStyle w:val="NormalWeb"/>
        <w:spacing w:before="240" w:beforeAutospacing="0" w:after="240" w:afterAutospacing="0" w:line="276" w:lineRule="auto"/>
        <w:jc w:val="both"/>
        <w:rPr>
          <w:rFonts w:ascii="Proxima Nova" w:hAnsi="Proxima Nova"/>
          <w:lang w:eastAsia="en-US"/>
        </w:rPr>
      </w:pPr>
      <w:r>
        <w:rPr>
          <w:rFonts w:ascii="Proxima Nova" w:hAnsi="Proxima Nova"/>
        </w:rPr>
        <w:t xml:space="preserve">As set out above in 1(a).3, </w:t>
      </w:r>
      <w:proofErr w:type="gramStart"/>
      <w:r w:rsidR="00E20458">
        <w:rPr>
          <w:rFonts w:ascii="Proxima Nova" w:hAnsi="Proxima Nova"/>
        </w:rPr>
        <w:t>it is clear that</w:t>
      </w:r>
      <w:r w:rsidRPr="0011041B">
        <w:rPr>
          <w:rFonts w:ascii="Proxima Nova" w:hAnsi="Proxima Nova"/>
        </w:rPr>
        <w:t xml:space="preserve"> </w:t>
      </w:r>
      <w:r w:rsidR="00353E2A">
        <w:rPr>
          <w:rFonts w:ascii="Proxima Nova" w:hAnsi="Proxima Nova"/>
        </w:rPr>
        <w:t>it</w:t>
      </w:r>
      <w:proofErr w:type="gramEnd"/>
      <w:r w:rsidR="00353E2A">
        <w:rPr>
          <w:rFonts w:ascii="Proxima Nova" w:hAnsi="Proxima Nova"/>
        </w:rPr>
        <w:t xml:space="preserve"> is increasingly challenging </w:t>
      </w:r>
      <w:r w:rsidRPr="0011041B">
        <w:rPr>
          <w:rFonts w:ascii="Proxima Nova" w:hAnsi="Proxima Nova"/>
        </w:rPr>
        <w:t xml:space="preserve">using NICE’s </w:t>
      </w:r>
      <w:r w:rsidR="00E20458">
        <w:rPr>
          <w:rFonts w:ascii="Proxima Nova" w:hAnsi="Proxima Nova"/>
        </w:rPr>
        <w:t xml:space="preserve">new methods </w:t>
      </w:r>
      <w:r w:rsidRPr="0011041B">
        <w:rPr>
          <w:rFonts w:ascii="Proxima Nova" w:hAnsi="Proxima Nova"/>
        </w:rPr>
        <w:t>to demonstrate cost-effectiveness of a new technology that is predominantly occurring in the older population.</w:t>
      </w:r>
      <w:r>
        <w:rPr>
          <w:rFonts w:ascii="Proxima Nova" w:hAnsi="Proxima Nova"/>
        </w:rPr>
        <w:t xml:space="preserve"> </w:t>
      </w:r>
      <w:r w:rsidRPr="0011041B">
        <w:rPr>
          <w:rFonts w:ascii="Proxima Nova" w:hAnsi="Proxima Nova"/>
        </w:rPr>
        <w:t xml:space="preserve">The reason for this is that, previously the value of the </w:t>
      </w:r>
      <w:proofErr w:type="gramStart"/>
      <w:r>
        <w:rPr>
          <w:rFonts w:ascii="Proxima Nova" w:hAnsi="Proxima Nova"/>
        </w:rPr>
        <w:t>e</w:t>
      </w:r>
      <w:r w:rsidRPr="0011041B">
        <w:rPr>
          <w:rFonts w:ascii="Proxima Nova" w:hAnsi="Proxima Nova"/>
        </w:rPr>
        <w:t xml:space="preserve">nd of </w:t>
      </w:r>
      <w:r>
        <w:rPr>
          <w:rFonts w:ascii="Proxima Nova" w:hAnsi="Proxima Nova"/>
        </w:rPr>
        <w:t>l</w:t>
      </w:r>
      <w:r w:rsidRPr="0011041B">
        <w:rPr>
          <w:rFonts w:ascii="Proxima Nova" w:hAnsi="Proxima Nova"/>
        </w:rPr>
        <w:t>ife</w:t>
      </w:r>
      <w:proofErr w:type="gramEnd"/>
      <w:r w:rsidRPr="0011041B">
        <w:rPr>
          <w:rFonts w:ascii="Proxima Nova" w:hAnsi="Proxima Nova"/>
        </w:rPr>
        <w:t xml:space="preserve"> modifier was not based on accrual of benefit over remaining life years but on the extension to life resulting from the introduction of the new therapy.  </w:t>
      </w:r>
      <w:r w:rsidR="00360F50">
        <w:rPr>
          <w:rFonts w:ascii="Proxima Nova" w:hAnsi="Proxima Nova"/>
        </w:rPr>
        <w:t xml:space="preserve">The </w:t>
      </w:r>
      <w:r w:rsidRPr="0011041B">
        <w:rPr>
          <w:rFonts w:ascii="Proxima Nova" w:hAnsi="Proxima Nova"/>
        </w:rPr>
        <w:t xml:space="preserve">change in NICE’s methodology in 2022 removed the </w:t>
      </w:r>
      <w:proofErr w:type="gramStart"/>
      <w:r w:rsidRPr="0011041B">
        <w:rPr>
          <w:rFonts w:ascii="Proxima Nova" w:hAnsi="Proxima Nova"/>
        </w:rPr>
        <w:t>end of life</w:t>
      </w:r>
      <w:proofErr w:type="gramEnd"/>
      <w:r w:rsidRPr="0011041B">
        <w:rPr>
          <w:rFonts w:ascii="Proxima Nova" w:hAnsi="Proxima Nova"/>
        </w:rPr>
        <w:t xml:space="preserve"> criteria from assessment of new technologies,</w:t>
      </w:r>
      <w:r w:rsidR="00360F50">
        <w:rPr>
          <w:rFonts w:ascii="Proxima Nova" w:hAnsi="Proxima Nova"/>
        </w:rPr>
        <w:t xml:space="preserve"> replacing it with the severity modifier which</w:t>
      </w:r>
      <w:r w:rsidRPr="0011041B">
        <w:rPr>
          <w:rFonts w:ascii="Proxima Nova" w:hAnsi="Proxima Nova"/>
        </w:rPr>
        <w:t xml:space="preserve"> reduced the effective QALY weighting for conditions such as </w:t>
      </w:r>
      <w:r w:rsidR="00025125">
        <w:rPr>
          <w:rFonts w:ascii="Proxima Nova" w:hAnsi="Proxima Nova"/>
        </w:rPr>
        <w:t>MCL</w:t>
      </w:r>
      <w:r w:rsidRPr="0011041B">
        <w:rPr>
          <w:rFonts w:ascii="Proxima Nova" w:hAnsi="Proxima Nova"/>
        </w:rPr>
        <w:t xml:space="preserve"> </w:t>
      </w:r>
      <w:r w:rsidR="000023F0">
        <w:rPr>
          <w:rFonts w:ascii="Proxima Nova" w:hAnsi="Proxima Nova"/>
        </w:rPr>
        <w:t>(</w:t>
      </w:r>
      <w:r w:rsidR="00EC76B9">
        <w:rPr>
          <w:rFonts w:ascii="Proxima Nova" w:hAnsi="Proxima Nova"/>
        </w:rPr>
        <w:t xml:space="preserve">average </w:t>
      </w:r>
      <w:r w:rsidR="00BC6CF9">
        <w:rPr>
          <w:rFonts w:ascii="Proxima Nova" w:hAnsi="Proxima Nova"/>
        </w:rPr>
        <w:t xml:space="preserve">patient age </w:t>
      </w:r>
      <w:r w:rsidR="00FA631E">
        <w:rPr>
          <w:rFonts w:ascii="Proxima Nova" w:hAnsi="Proxima Nova"/>
        </w:rPr>
        <w:t>63.2 years</w:t>
      </w:r>
      <w:r w:rsidR="000023F0">
        <w:rPr>
          <w:rFonts w:ascii="Proxima Nova" w:hAnsi="Proxima Nova"/>
        </w:rPr>
        <w:t xml:space="preserve">) </w:t>
      </w:r>
      <w:r w:rsidRPr="0011041B">
        <w:rPr>
          <w:rFonts w:ascii="Proxima Nova" w:hAnsi="Proxima Nova"/>
        </w:rPr>
        <w:t xml:space="preserve">from around 1.7 to 1.2 and reduced the effective ICER threshold for </w:t>
      </w:r>
      <w:proofErr w:type="gramStart"/>
      <w:r w:rsidRPr="0011041B">
        <w:rPr>
          <w:rFonts w:ascii="Proxima Nova" w:hAnsi="Proxima Nova"/>
        </w:rPr>
        <w:t>end of life</w:t>
      </w:r>
      <w:proofErr w:type="gramEnd"/>
      <w:r w:rsidRPr="0011041B">
        <w:rPr>
          <w:rFonts w:ascii="Proxima Nova" w:hAnsi="Proxima Nova"/>
        </w:rPr>
        <w:t xml:space="preserve"> treatments from £50,000 to around £30,000. </w:t>
      </w:r>
      <w:r w:rsidR="00026430">
        <w:rPr>
          <w:rFonts w:ascii="Proxima Nova" w:hAnsi="Proxima Nova"/>
        </w:rPr>
        <w:t xml:space="preserve"> The change is particularly problematic in the case of treatments principally directed towards </w:t>
      </w:r>
      <w:r w:rsidR="008754CF">
        <w:rPr>
          <w:rFonts w:ascii="Proxima Nova" w:hAnsi="Proxima Nova"/>
        </w:rPr>
        <w:t xml:space="preserve">diseases affecting an older population because they cannot meet the </w:t>
      </w:r>
      <w:r w:rsidR="001565B9">
        <w:rPr>
          <w:rFonts w:ascii="Proxima Nova" w:hAnsi="Proxima Nova"/>
        </w:rPr>
        <w:t xml:space="preserve">threshold for a higher severity weighting based on absolute QALY shortfall and the </w:t>
      </w:r>
      <w:r w:rsidR="004E36CE">
        <w:rPr>
          <w:rFonts w:ascii="Proxima Nova" w:hAnsi="Proxima Nova"/>
        </w:rPr>
        <w:t xml:space="preserve">threshold for a proportional QALY shortfall is set so high that </w:t>
      </w:r>
      <w:r w:rsidR="005B473A">
        <w:rPr>
          <w:rFonts w:ascii="Proxima Nova" w:hAnsi="Proxima Nova"/>
        </w:rPr>
        <w:t>it is in practice impossible for an older person to qualify.</w:t>
      </w:r>
      <w:r w:rsidR="00DA3634">
        <w:rPr>
          <w:rFonts w:ascii="Proxima Nova" w:hAnsi="Proxima Nova"/>
        </w:rPr>
        <w:t xml:space="preserve">    </w:t>
      </w:r>
    </w:p>
    <w:p w14:paraId="61E5C5A9" w14:textId="15D16B0B" w:rsidR="00340C18" w:rsidRDefault="00340C18" w:rsidP="003E2B69">
      <w:pPr>
        <w:pStyle w:val="NormalWeb"/>
        <w:spacing w:before="240" w:beforeAutospacing="0" w:after="240" w:afterAutospacing="0" w:line="276" w:lineRule="auto"/>
        <w:jc w:val="both"/>
        <w:rPr>
          <w:rFonts w:ascii="Proxima Nova" w:hAnsi="Proxima Nova"/>
          <w:lang w:eastAsia="en-US"/>
        </w:rPr>
      </w:pPr>
      <w:r w:rsidRPr="003E2B69">
        <w:rPr>
          <w:rFonts w:ascii="Proxima Nova" w:hAnsi="Proxima Nova"/>
          <w:lang w:eastAsia="en-US"/>
        </w:rPr>
        <w:t xml:space="preserve">Under NICE’s severity modifier, a </w:t>
      </w:r>
      <w:proofErr w:type="gramStart"/>
      <w:r w:rsidRPr="003E2B69">
        <w:rPr>
          <w:rFonts w:ascii="Proxima Nova" w:hAnsi="Proxima Nova"/>
          <w:lang w:eastAsia="en-US"/>
        </w:rPr>
        <w:t>70</w:t>
      </w:r>
      <w:r w:rsidR="00594DB3">
        <w:rPr>
          <w:rFonts w:ascii="Proxima Nova" w:hAnsi="Proxima Nova"/>
          <w:lang w:eastAsia="en-US"/>
        </w:rPr>
        <w:t xml:space="preserve"> </w:t>
      </w:r>
      <w:r w:rsidRPr="003E2B69">
        <w:rPr>
          <w:rFonts w:ascii="Proxima Nova" w:hAnsi="Proxima Nova"/>
          <w:lang w:eastAsia="en-US"/>
        </w:rPr>
        <w:t>year</w:t>
      </w:r>
      <w:r w:rsidR="00594DB3">
        <w:rPr>
          <w:rFonts w:ascii="Proxima Nova" w:hAnsi="Proxima Nova"/>
          <w:lang w:eastAsia="en-US"/>
        </w:rPr>
        <w:t xml:space="preserve"> </w:t>
      </w:r>
      <w:r w:rsidRPr="003E2B69">
        <w:rPr>
          <w:rFonts w:ascii="Proxima Nova" w:hAnsi="Proxima Nova"/>
          <w:lang w:eastAsia="en-US"/>
        </w:rPr>
        <w:t>old</w:t>
      </w:r>
      <w:proofErr w:type="gramEnd"/>
      <w:r w:rsidR="005E34A0">
        <w:rPr>
          <w:rFonts w:ascii="Proxima Nova" w:hAnsi="Proxima Nova"/>
          <w:lang w:eastAsia="en-US"/>
        </w:rPr>
        <w:t xml:space="preserve"> person</w:t>
      </w:r>
      <w:r w:rsidRPr="003E2B69">
        <w:rPr>
          <w:rFonts w:ascii="Proxima Nova" w:hAnsi="Proxima Nova"/>
          <w:lang w:eastAsia="en-US"/>
        </w:rPr>
        <w:t xml:space="preserve"> cannot qualify for the higher severity weighting based on absolute QALY shortfall, which requires an expected loss of at least 18 QALYs. This is mathematically impossible because the average remaining life expectancy for a </w:t>
      </w:r>
      <w:proofErr w:type="gramStart"/>
      <w:r w:rsidRPr="003E2B69">
        <w:rPr>
          <w:rFonts w:ascii="Proxima Nova" w:hAnsi="Proxima Nova"/>
          <w:lang w:eastAsia="en-US"/>
        </w:rPr>
        <w:t>70</w:t>
      </w:r>
      <w:r w:rsidR="00FE1C11">
        <w:rPr>
          <w:rFonts w:ascii="Proxima Nova" w:hAnsi="Proxima Nova"/>
          <w:lang w:eastAsia="en-US"/>
        </w:rPr>
        <w:t xml:space="preserve"> </w:t>
      </w:r>
      <w:r w:rsidRPr="003E2B69">
        <w:rPr>
          <w:rFonts w:ascii="Proxima Nova" w:hAnsi="Proxima Nova"/>
          <w:lang w:eastAsia="en-US"/>
        </w:rPr>
        <w:t>year</w:t>
      </w:r>
      <w:r w:rsidR="00FE1C11">
        <w:rPr>
          <w:rFonts w:ascii="Proxima Nova" w:hAnsi="Proxima Nova"/>
          <w:lang w:eastAsia="en-US"/>
        </w:rPr>
        <w:t xml:space="preserve"> </w:t>
      </w:r>
      <w:r w:rsidRPr="003E2B69">
        <w:rPr>
          <w:rFonts w:ascii="Proxima Nova" w:hAnsi="Proxima Nova"/>
          <w:lang w:eastAsia="en-US"/>
        </w:rPr>
        <w:t>old</w:t>
      </w:r>
      <w:proofErr w:type="gramEnd"/>
      <w:r w:rsidRPr="003E2B69">
        <w:rPr>
          <w:rFonts w:ascii="Proxima Nova" w:hAnsi="Proxima Nova"/>
          <w:lang w:eastAsia="en-US"/>
        </w:rPr>
        <w:t xml:space="preserve"> </w:t>
      </w:r>
      <w:r w:rsidR="00FE1C11">
        <w:rPr>
          <w:rFonts w:ascii="Proxima Nova" w:hAnsi="Proxima Nova"/>
          <w:lang w:eastAsia="en-US"/>
        </w:rPr>
        <w:t>person</w:t>
      </w:r>
      <w:r w:rsidRPr="003E2B69">
        <w:rPr>
          <w:rFonts w:ascii="Proxima Nova" w:hAnsi="Proxima Nova"/>
          <w:lang w:eastAsia="en-US"/>
        </w:rPr>
        <w:t xml:space="preserve"> in the UK is approximately 15 years, meaning that even a complete loss of remaining life would not meet the threshold.</w:t>
      </w:r>
      <w:r w:rsidR="00A332F0">
        <w:rPr>
          <w:rFonts w:ascii="Proxima Nova" w:hAnsi="Proxima Nova"/>
          <w:lang w:eastAsia="en-US"/>
        </w:rPr>
        <w:t xml:space="preserve"> This figure is even harder to achieve when discounting of remaining life years is considered.</w:t>
      </w:r>
    </w:p>
    <w:p w14:paraId="345EBCB1" w14:textId="177E433A" w:rsidR="00340C18" w:rsidRPr="003E2B69" w:rsidRDefault="00340C18" w:rsidP="003E2B69">
      <w:pPr>
        <w:pStyle w:val="NormalWeb"/>
        <w:spacing w:before="240" w:beforeAutospacing="0" w:after="240" w:afterAutospacing="0" w:line="276" w:lineRule="auto"/>
        <w:jc w:val="both"/>
        <w:rPr>
          <w:rFonts w:ascii="Proxima Nova" w:hAnsi="Proxima Nova"/>
        </w:rPr>
      </w:pPr>
      <w:r w:rsidRPr="003E2B69">
        <w:rPr>
          <w:rFonts w:ascii="Proxima Nova" w:hAnsi="Proxima Nova"/>
        </w:rPr>
        <w:t xml:space="preserve">To qualify for the higher severity weighting under the proportional QALY shortfall method, the same individual would need to lose at least 95% of his remaining QALYs </w:t>
      </w:r>
      <w:proofErr w:type="gramStart"/>
      <w:r w:rsidRPr="003E2B69">
        <w:rPr>
          <w:rFonts w:ascii="Proxima Nova" w:hAnsi="Proxima Nova"/>
        </w:rPr>
        <w:t>as a result of</w:t>
      </w:r>
      <w:proofErr w:type="gramEnd"/>
      <w:r w:rsidRPr="003E2B69">
        <w:rPr>
          <w:rFonts w:ascii="Proxima Nova" w:hAnsi="Proxima Nova"/>
        </w:rPr>
        <w:t xml:space="preserve"> the disease. Even under the unrealistic assumption that all 15 remaining years would be lived in full health (i.e., 15 remaining QALYs), this would require a QALY loss of at least 14.25, which is implausible in most clinical contexts. </w:t>
      </w:r>
      <w:proofErr w:type="gramStart"/>
      <w:r w:rsidRPr="003E2B69">
        <w:rPr>
          <w:rFonts w:ascii="Proxima Nova" w:hAnsi="Proxima Nova"/>
        </w:rPr>
        <w:t>In reality, because</w:t>
      </w:r>
      <w:proofErr w:type="gramEnd"/>
      <w:r w:rsidRPr="003E2B69">
        <w:rPr>
          <w:rFonts w:ascii="Proxima Nova" w:hAnsi="Proxima Nova"/>
        </w:rPr>
        <w:t xml:space="preserve"> older individuals typically have fewer remaining QALYs and often at less than perfect health, it becomes practically impossible for any intervention targeting patients over approximately 45 years of age to qualify for the higher severity weighting using the proportional method.</w:t>
      </w:r>
    </w:p>
    <w:p w14:paraId="1040CEEE" w14:textId="019B6D3B" w:rsidR="005331E8" w:rsidRPr="0011041B" w:rsidRDefault="00340C18" w:rsidP="003E2B69">
      <w:pPr>
        <w:spacing w:before="240" w:after="240" w:line="276" w:lineRule="auto"/>
        <w:jc w:val="both"/>
      </w:pPr>
      <w:r w:rsidRPr="003E2B69">
        <w:rPr>
          <w:rFonts w:eastAsia="Times New Roman"/>
        </w:rPr>
        <w:t>This discriminatory effect arises from the high severity thresholds established by NICE. By contrast, other jurisdictions that employ severity-based modifiers—such as the Netherlands—use significantly lower thresholds, making their systems less restrictive for older populations.</w:t>
      </w:r>
    </w:p>
    <w:p w14:paraId="22421CE4" w14:textId="79C6F5E7" w:rsidR="00D52040" w:rsidRDefault="005331E8" w:rsidP="00A67831">
      <w:pPr>
        <w:pStyle w:val="BodyText"/>
        <w:spacing w:before="240" w:line="276" w:lineRule="auto"/>
        <w:rPr>
          <w:rFonts w:ascii="Proxima Nova" w:hAnsi="Proxima Nova"/>
        </w:rPr>
      </w:pPr>
      <w:r w:rsidRPr="0011041B">
        <w:rPr>
          <w:rFonts w:ascii="Proxima Nova" w:hAnsi="Proxima Nova"/>
        </w:rPr>
        <w:t xml:space="preserve">This substantial change in the </w:t>
      </w:r>
      <w:r w:rsidR="00272E94">
        <w:rPr>
          <w:rFonts w:ascii="Proxima Nova" w:hAnsi="Proxima Nova"/>
        </w:rPr>
        <w:t>willingness to pay</w:t>
      </w:r>
      <w:r w:rsidRPr="0011041B">
        <w:rPr>
          <w:rFonts w:ascii="Proxima Nova" w:hAnsi="Proxima Nova"/>
        </w:rPr>
        <w:t xml:space="preserve"> level of the QALY weighting has been the subject of concern for oncology appraisals but </w:t>
      </w:r>
      <w:proofErr w:type="gramStart"/>
      <w:r w:rsidRPr="0011041B">
        <w:rPr>
          <w:rFonts w:ascii="Proxima Nova" w:hAnsi="Proxima Nova"/>
        </w:rPr>
        <w:t>in particular those</w:t>
      </w:r>
      <w:proofErr w:type="gramEnd"/>
      <w:r w:rsidRPr="0011041B">
        <w:rPr>
          <w:rFonts w:ascii="Proxima Nova" w:hAnsi="Proxima Nova"/>
        </w:rPr>
        <w:t xml:space="preserve"> technologies treating blood cancers, which predominantly occur in the </w:t>
      </w:r>
      <w:r w:rsidR="00561BE3">
        <w:rPr>
          <w:rFonts w:ascii="Proxima Nova" w:hAnsi="Proxima Nova"/>
        </w:rPr>
        <w:t>older</w:t>
      </w:r>
      <w:r w:rsidRPr="0011041B">
        <w:rPr>
          <w:rFonts w:ascii="Proxima Nova" w:hAnsi="Proxima Nova"/>
        </w:rPr>
        <w:t xml:space="preserve"> population</w:t>
      </w:r>
      <w:r w:rsidR="00561BE3">
        <w:rPr>
          <w:rFonts w:ascii="Proxima Nova" w:hAnsi="Proxima Nova"/>
        </w:rPr>
        <w:t>, and are, for the reasons set out above, discriminatory</w:t>
      </w:r>
      <w:r w:rsidRPr="0011041B">
        <w:rPr>
          <w:rFonts w:ascii="Proxima Nova" w:hAnsi="Proxima Nova"/>
        </w:rPr>
        <w:t xml:space="preserve">. </w:t>
      </w:r>
    </w:p>
    <w:p w14:paraId="4ACD1EAB" w14:textId="7FD6F517" w:rsidR="00D52040" w:rsidRDefault="00800B1C" w:rsidP="00A67831">
      <w:pPr>
        <w:pStyle w:val="BodyText"/>
        <w:spacing w:before="240" w:line="276" w:lineRule="auto"/>
        <w:rPr>
          <w:rFonts w:ascii="Proxima Nova" w:hAnsi="Proxima Nova"/>
        </w:rPr>
      </w:pPr>
      <w:r>
        <w:rPr>
          <w:rFonts w:ascii="Proxima Nova" w:hAnsi="Proxima Nova"/>
        </w:rPr>
        <w:lastRenderedPageBreak/>
        <w:t xml:space="preserve">The </w:t>
      </w:r>
      <w:r w:rsidR="00E5440C">
        <w:rPr>
          <w:rFonts w:ascii="Proxima Nova" w:hAnsi="Proxima Nova"/>
        </w:rPr>
        <w:t>Equality</w:t>
      </w:r>
      <w:r w:rsidR="00F61C11">
        <w:rPr>
          <w:rFonts w:ascii="Proxima Nova" w:hAnsi="Proxima Nova"/>
        </w:rPr>
        <w:t xml:space="preserve"> Impact </w:t>
      </w:r>
      <w:r w:rsidR="00E5440C">
        <w:rPr>
          <w:rFonts w:ascii="Proxima Nova" w:hAnsi="Proxima Nova"/>
        </w:rPr>
        <w:t>Assessment</w:t>
      </w:r>
      <w:r w:rsidR="00F61C11">
        <w:rPr>
          <w:rFonts w:ascii="Proxima Nova" w:hAnsi="Proxima Nova"/>
        </w:rPr>
        <w:t xml:space="preserve"> carried out by NICE at scoping stage</w:t>
      </w:r>
      <w:r w:rsidR="00E5440C">
        <w:rPr>
          <w:rFonts w:ascii="Proxima Nova" w:hAnsi="Proxima Nova"/>
        </w:rPr>
        <w:t xml:space="preserve"> stated “</w:t>
      </w:r>
      <w:r w:rsidR="00E5440C" w:rsidRPr="0026110C">
        <w:rPr>
          <w:rFonts w:ascii="Proxima Nova" w:hAnsi="Proxima Nova"/>
          <w:i/>
          <w:iCs/>
        </w:rPr>
        <w:t>Mantle cell lymphoma is more prevalent in men than women. No other equalities issues were identified during scoping</w:t>
      </w:r>
      <w:r w:rsidR="00E5440C">
        <w:rPr>
          <w:rFonts w:ascii="Proxima Nova" w:hAnsi="Proxima Nova"/>
        </w:rPr>
        <w:t>”</w:t>
      </w:r>
      <w:r w:rsidR="000675B5">
        <w:rPr>
          <w:rFonts w:ascii="Proxima Nova" w:hAnsi="Proxima Nova"/>
        </w:rPr>
        <w:t xml:space="preserve">. The </w:t>
      </w:r>
      <w:r>
        <w:rPr>
          <w:rFonts w:ascii="Proxima Nova" w:hAnsi="Proxima Nova"/>
        </w:rPr>
        <w:t xml:space="preserve">FDG </w:t>
      </w:r>
      <w:r w:rsidR="000675B5">
        <w:rPr>
          <w:rFonts w:ascii="Proxima Nova" w:hAnsi="Proxima Nova"/>
        </w:rPr>
        <w:t xml:space="preserve">also </w:t>
      </w:r>
      <w:r w:rsidR="004B29F9">
        <w:rPr>
          <w:rFonts w:ascii="Proxima Nova" w:hAnsi="Proxima Nova"/>
        </w:rPr>
        <w:t xml:space="preserve">fails to mention any </w:t>
      </w:r>
      <w:proofErr w:type="gramStart"/>
      <w:r w:rsidR="004B29F9">
        <w:rPr>
          <w:rFonts w:ascii="Proxima Nova" w:hAnsi="Proxima Nova"/>
        </w:rPr>
        <w:t>age related</w:t>
      </w:r>
      <w:proofErr w:type="gramEnd"/>
      <w:r w:rsidR="004B29F9">
        <w:rPr>
          <w:rFonts w:ascii="Proxima Nova" w:hAnsi="Proxima Nova"/>
        </w:rPr>
        <w:t xml:space="preserve"> equality issues in </w:t>
      </w:r>
      <w:r w:rsidR="009F4AE1">
        <w:rPr>
          <w:rFonts w:ascii="Proxima Nova" w:hAnsi="Proxima Nova"/>
        </w:rPr>
        <w:t>s</w:t>
      </w:r>
      <w:r w:rsidR="004B29F9">
        <w:rPr>
          <w:rFonts w:ascii="Proxima Nova" w:hAnsi="Proxima Nova"/>
        </w:rPr>
        <w:t>ection</w:t>
      </w:r>
      <w:r w:rsidR="009F4AE1">
        <w:rPr>
          <w:rFonts w:ascii="Proxima Nova" w:hAnsi="Proxima Nova"/>
        </w:rPr>
        <w:t xml:space="preserve"> 3.20</w:t>
      </w:r>
      <w:r w:rsidR="00AC4012">
        <w:rPr>
          <w:rFonts w:ascii="Proxima Nova" w:hAnsi="Proxima Nova"/>
        </w:rPr>
        <w:t xml:space="preserve"> or any concern regarding the application of the </w:t>
      </w:r>
      <w:r w:rsidR="001712C9">
        <w:rPr>
          <w:rFonts w:ascii="Proxima Nova" w:hAnsi="Proxima Nova"/>
        </w:rPr>
        <w:t>severity modifier in the context of an older eligible patient population</w:t>
      </w:r>
      <w:r w:rsidR="000675B5">
        <w:rPr>
          <w:rFonts w:ascii="Proxima Nova" w:hAnsi="Proxima Nova"/>
        </w:rPr>
        <w:t>.</w:t>
      </w:r>
    </w:p>
    <w:p w14:paraId="2734AE45" w14:textId="1C74E049" w:rsidR="00A77BA2" w:rsidRPr="00957EDE" w:rsidRDefault="005C01BD" w:rsidP="00A67831">
      <w:pPr>
        <w:pStyle w:val="BodyText"/>
        <w:spacing w:before="240" w:line="276" w:lineRule="auto"/>
        <w:rPr>
          <w:rFonts w:ascii="Proxima Nova" w:hAnsi="Proxima Nova"/>
        </w:rPr>
      </w:pPr>
      <w:r w:rsidRPr="005C01BD">
        <w:rPr>
          <w:rFonts w:ascii="Proxima Nova" w:hAnsi="Proxima Nova"/>
        </w:rPr>
        <w:t>By failing to properly consider and mitigate age-related disadvantage</w:t>
      </w:r>
      <w:r w:rsidR="00A027D4">
        <w:rPr>
          <w:rFonts w:ascii="Proxima Nova" w:hAnsi="Proxima Nova"/>
        </w:rPr>
        <w:t xml:space="preserve"> </w:t>
      </w:r>
      <w:r w:rsidR="00F917C3">
        <w:rPr>
          <w:rFonts w:ascii="Proxima Nova" w:hAnsi="Proxima Nova"/>
        </w:rPr>
        <w:t xml:space="preserve">in this appraisal </w:t>
      </w:r>
      <w:r w:rsidR="00A027D4">
        <w:rPr>
          <w:rFonts w:ascii="Proxima Nova" w:hAnsi="Proxima Nova"/>
        </w:rPr>
        <w:t xml:space="preserve">caused by the </w:t>
      </w:r>
      <w:r w:rsidR="00F917C3">
        <w:rPr>
          <w:rFonts w:ascii="Proxima Nova" w:hAnsi="Proxima Nova"/>
        </w:rPr>
        <w:t>change from</w:t>
      </w:r>
      <w:r w:rsidR="00A027D4">
        <w:rPr>
          <w:rFonts w:ascii="Proxima Nova" w:hAnsi="Proxima Nova"/>
        </w:rPr>
        <w:t xml:space="preserve"> the </w:t>
      </w:r>
      <w:proofErr w:type="gramStart"/>
      <w:r w:rsidR="00A027D4">
        <w:rPr>
          <w:rFonts w:ascii="Proxima Nova" w:hAnsi="Proxima Nova"/>
        </w:rPr>
        <w:t>end of life</w:t>
      </w:r>
      <w:proofErr w:type="gramEnd"/>
      <w:r w:rsidR="00A027D4">
        <w:rPr>
          <w:rFonts w:ascii="Proxima Nova" w:hAnsi="Proxima Nova"/>
        </w:rPr>
        <w:t xml:space="preserve"> </w:t>
      </w:r>
      <w:r w:rsidR="00E12798">
        <w:rPr>
          <w:rFonts w:ascii="Proxima Nova" w:hAnsi="Proxima Nova"/>
        </w:rPr>
        <w:t xml:space="preserve">modifier </w:t>
      </w:r>
      <w:r w:rsidR="00F917C3">
        <w:rPr>
          <w:rFonts w:ascii="Proxima Nova" w:hAnsi="Proxima Nova"/>
        </w:rPr>
        <w:t>to the</w:t>
      </w:r>
      <w:r w:rsidR="00E12798">
        <w:rPr>
          <w:rFonts w:ascii="Proxima Nova" w:hAnsi="Proxima Nova"/>
        </w:rPr>
        <w:t xml:space="preserve"> severity modifier</w:t>
      </w:r>
      <w:r w:rsidRPr="005C01BD">
        <w:rPr>
          <w:rFonts w:ascii="Proxima Nova" w:hAnsi="Proxima Nova"/>
        </w:rPr>
        <w:t>, NICE acted outside its statutory remit and breached its Equality Act duties. The recommendation should be set aside and reconsidered with full compliance with equality obligations.</w:t>
      </w:r>
    </w:p>
    <w:p w14:paraId="3E044D2A" w14:textId="14722D42" w:rsidR="00BB1BA1" w:rsidRPr="0011041B" w:rsidRDefault="00F66587" w:rsidP="002C713B">
      <w:pPr>
        <w:pStyle w:val="StyleParagraph11pt"/>
        <w:rPr>
          <w:rFonts w:ascii="Proxima Nova" w:hAnsi="Proxima Nova"/>
        </w:rPr>
      </w:pPr>
      <w:r w:rsidRPr="00F66587">
        <w:rPr>
          <w:rFonts w:ascii="Proxima Nova" w:hAnsi="Proxima Nova"/>
          <w:b/>
          <w:bCs/>
          <w:noProof/>
          <w14:ligatures w14:val="standardContextual"/>
        </w:rPr>
        <mc:AlternateContent>
          <mc:Choice Requires="wps">
            <w:drawing>
              <wp:inline distT="0" distB="0" distL="0" distR="0" wp14:anchorId="2E780DE3" wp14:editId="5B358D2C">
                <wp:extent cx="5731510" cy="635"/>
                <wp:effectExtent l="0" t="31750" r="0" b="36830"/>
                <wp:docPr id="510402268" name="Horizontal Lin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D337761">
              <v:rect id="Horizontal Line 22" style="width:451.3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w14:anchorId="60508A5C">
                <o:lock v:ext="edit" rotation="t" verticies="t" text="t" aspectratio="t" shapetype="t"/>
                <w10:anchorlock/>
              </v:rect>
            </w:pict>
          </mc:Fallback>
        </mc:AlternateContent>
      </w:r>
    </w:p>
    <w:p w14:paraId="5141E9C4" w14:textId="2739822C" w:rsidR="006A796F" w:rsidRPr="0011041B" w:rsidRDefault="00744C5F" w:rsidP="002C713B">
      <w:pPr>
        <w:pStyle w:val="StyleParagraph11pt"/>
        <w:rPr>
          <w:rFonts w:ascii="Proxima Nova" w:hAnsi="Proxima Nova"/>
          <w:b/>
          <w:bCs/>
          <w:iCs/>
        </w:rPr>
      </w:pPr>
      <w:r w:rsidRPr="0011041B">
        <w:rPr>
          <w:rFonts w:ascii="Proxima Nova" w:hAnsi="Proxima Nova"/>
          <w:b/>
          <w:bCs/>
          <w:iCs/>
        </w:rPr>
        <w:t>Ground 2: The recommendation is unreasonable in the light of the evidence submitted to NICE</w:t>
      </w:r>
    </w:p>
    <w:p w14:paraId="1E3C2B12" w14:textId="28E70BE6" w:rsidR="00BB1BA1" w:rsidRPr="0011041B" w:rsidRDefault="00BB1BA1" w:rsidP="002C713B">
      <w:pPr>
        <w:spacing w:before="240" w:after="240" w:line="276" w:lineRule="auto"/>
        <w:jc w:val="both"/>
        <w:rPr>
          <w:b/>
          <w:bCs/>
          <w:highlight w:val="yellow"/>
        </w:rPr>
      </w:pPr>
      <w:r w:rsidRPr="0011041B">
        <w:rPr>
          <w:b/>
          <w:bCs/>
        </w:rPr>
        <w:t>2.</w:t>
      </w:r>
      <w:r w:rsidR="0085364E">
        <w:rPr>
          <w:b/>
          <w:bCs/>
        </w:rPr>
        <w:t>1</w:t>
      </w:r>
      <w:r w:rsidRPr="0011041B">
        <w:rPr>
          <w:b/>
          <w:bCs/>
        </w:rPr>
        <w:t xml:space="preserve"> </w:t>
      </w:r>
      <w:r w:rsidR="00EA59D4">
        <w:rPr>
          <w:b/>
          <w:bCs/>
        </w:rPr>
        <w:t xml:space="preserve">The Committee’s </w:t>
      </w:r>
      <w:r w:rsidR="004269E9">
        <w:rPr>
          <w:b/>
          <w:bCs/>
        </w:rPr>
        <w:t>conclusion that the</w:t>
      </w:r>
      <w:r w:rsidR="00890740">
        <w:rPr>
          <w:b/>
          <w:bCs/>
        </w:rPr>
        <w:t xml:space="preserve"> assessment of the</w:t>
      </w:r>
      <w:r w:rsidR="004269E9">
        <w:rPr>
          <w:b/>
          <w:bCs/>
        </w:rPr>
        <w:t xml:space="preserve"> effic</w:t>
      </w:r>
      <w:r w:rsidR="00780130">
        <w:rPr>
          <w:b/>
          <w:bCs/>
        </w:rPr>
        <w:t xml:space="preserve">acy of </w:t>
      </w:r>
      <w:proofErr w:type="spellStart"/>
      <w:r w:rsidR="00890740">
        <w:rPr>
          <w:b/>
          <w:bCs/>
        </w:rPr>
        <w:t>brexu</w:t>
      </w:r>
      <w:proofErr w:type="spellEnd"/>
      <w:r w:rsidR="00890740">
        <w:rPr>
          <w:b/>
          <w:bCs/>
        </w:rPr>
        <w:t xml:space="preserve">-cel should </w:t>
      </w:r>
      <w:r w:rsidR="00834E99">
        <w:rPr>
          <w:b/>
          <w:bCs/>
        </w:rPr>
        <w:t xml:space="preserve">include outcomes from patients who did not receive the therapy </w:t>
      </w:r>
      <w:r w:rsidR="00982E3A">
        <w:rPr>
          <w:b/>
          <w:bCs/>
        </w:rPr>
        <w:t>was unreasonable</w:t>
      </w:r>
      <w:r w:rsidR="001144C5">
        <w:rPr>
          <w:b/>
          <w:bCs/>
        </w:rPr>
        <w:t xml:space="preserve"> </w:t>
      </w:r>
      <w:r w:rsidR="00734724">
        <w:rPr>
          <w:b/>
          <w:bCs/>
        </w:rPr>
        <w:t>based on the evidence presented</w:t>
      </w:r>
    </w:p>
    <w:p w14:paraId="5B3D782D" w14:textId="42C04B99" w:rsidR="00505974" w:rsidRPr="003E2B69" w:rsidRDefault="007F44B4" w:rsidP="007C7937">
      <w:pPr>
        <w:spacing w:before="240" w:after="240" w:line="276" w:lineRule="auto"/>
        <w:jc w:val="both"/>
        <w:rPr>
          <w:rFonts w:eastAsia="Times New Roman"/>
          <w:lang w:eastAsia="en-GB"/>
        </w:rPr>
      </w:pPr>
      <w:r>
        <w:rPr>
          <w:lang w:val="en-IE"/>
        </w:rPr>
        <w:t>I</w:t>
      </w:r>
      <w:r w:rsidR="0059315F" w:rsidRPr="0011041B">
        <w:rPr>
          <w:lang w:val="en-IE"/>
        </w:rPr>
        <w:t xml:space="preserve">n contrast to TA677 and </w:t>
      </w:r>
      <w:r w:rsidR="00BE6C9E">
        <w:rPr>
          <w:lang w:val="en-IE"/>
        </w:rPr>
        <w:t>a</w:t>
      </w:r>
      <w:r w:rsidR="00342265">
        <w:rPr>
          <w:lang w:val="en-IE"/>
        </w:rPr>
        <w:t xml:space="preserve">ll </w:t>
      </w:r>
      <w:r w:rsidR="0059315F" w:rsidRPr="0011041B">
        <w:rPr>
          <w:lang w:val="en-IE"/>
        </w:rPr>
        <w:t>other</w:t>
      </w:r>
      <w:r w:rsidR="0043438B">
        <w:rPr>
          <w:lang w:val="en-IE"/>
        </w:rPr>
        <w:t xml:space="preserve"> lymphoma</w:t>
      </w:r>
      <w:r w:rsidR="0059315F" w:rsidRPr="0011041B">
        <w:rPr>
          <w:lang w:val="en-IE"/>
        </w:rPr>
        <w:t xml:space="preserve"> appraisals that resulted in reimbursement of CAR-T therapies, the Committee assessed the efficacy of </w:t>
      </w:r>
      <w:proofErr w:type="spellStart"/>
      <w:r w:rsidR="001D4E98">
        <w:rPr>
          <w:lang w:val="en-IE"/>
        </w:rPr>
        <w:t>brexu</w:t>
      </w:r>
      <w:proofErr w:type="spellEnd"/>
      <w:r w:rsidR="001D4E98">
        <w:rPr>
          <w:lang w:val="en-IE"/>
        </w:rPr>
        <w:t>-cel</w:t>
      </w:r>
      <w:r w:rsidR="0059315F" w:rsidRPr="0011041B">
        <w:rPr>
          <w:lang w:val="en-IE"/>
        </w:rPr>
        <w:t xml:space="preserve"> by considering outcomes from patients who had not received the therapy.</w:t>
      </w:r>
      <w:r w:rsidR="000F2565">
        <w:rPr>
          <w:lang w:val="en-IE"/>
        </w:rPr>
        <w:t xml:space="preserve"> </w:t>
      </w:r>
      <w:r w:rsidR="00505974">
        <w:rPr>
          <w:lang w:val="en-IE"/>
        </w:rPr>
        <w:t xml:space="preserve">Based on the evidence presented to the Committee, it was unreasonable for the Committee to </w:t>
      </w:r>
      <w:r w:rsidR="000F2565">
        <w:rPr>
          <w:lang w:val="en-IE"/>
        </w:rPr>
        <w:t>reach this conclusion</w:t>
      </w:r>
      <w:r w:rsidR="00505974">
        <w:rPr>
          <w:lang w:val="en-IE"/>
        </w:rPr>
        <w:t>.</w:t>
      </w:r>
    </w:p>
    <w:p w14:paraId="050C5871" w14:textId="3D4A020D" w:rsidR="0059315F" w:rsidRPr="0011041B" w:rsidRDefault="00DD3D87" w:rsidP="002C713B">
      <w:pPr>
        <w:spacing w:before="240" w:after="240" w:line="276" w:lineRule="auto"/>
        <w:jc w:val="both"/>
        <w:rPr>
          <w:lang w:val="en-IE"/>
        </w:rPr>
      </w:pPr>
      <w:r w:rsidRPr="7B09A72E">
        <w:rPr>
          <w:lang w:val="en-IE"/>
        </w:rPr>
        <w:t>For context,</w:t>
      </w:r>
      <w:r w:rsidR="0059315F" w:rsidRPr="7B09A72E">
        <w:rPr>
          <w:lang w:val="en-IE"/>
        </w:rPr>
        <w:t xml:space="preserve"> the treatment pathway for CAR-T therapy includes apheresis, a process where a patient’s blood cells are collected to manufacture the CAR-T product. However, a small number of patients approved for CAR-T will not proceed to apheresis and an even smaller number of patients will not receive an infusion once apheresis has taken place, often due to disease progression or clinical deterioration.</w:t>
      </w:r>
    </w:p>
    <w:p w14:paraId="45A9A385" w14:textId="310ADEE4" w:rsidR="0059315F" w:rsidRPr="0011041B" w:rsidRDefault="0059315F" w:rsidP="002C713B">
      <w:pPr>
        <w:spacing w:before="240" w:after="240" w:line="276" w:lineRule="auto"/>
        <w:jc w:val="both"/>
        <w:rPr>
          <w:lang w:val="en-IE"/>
        </w:rPr>
      </w:pPr>
      <w:r w:rsidRPr="7CF0960D">
        <w:rPr>
          <w:lang w:val="en-IE"/>
        </w:rPr>
        <w:t xml:space="preserve">In TA677, following agreement with the Committee, the </w:t>
      </w:r>
      <w:r w:rsidR="4D9E5EFB" w:rsidRPr="7CF0960D">
        <w:rPr>
          <w:lang w:val="en-IE"/>
        </w:rPr>
        <w:t>C</w:t>
      </w:r>
      <w:r w:rsidRPr="7CF0960D">
        <w:rPr>
          <w:lang w:val="en-IE"/>
        </w:rPr>
        <w:t>ompany modelled a modified intention-to-treat (mITT) population, where outcomes are measured from the point of infusion i.e., only for patients that receive the therapy.  The company followed a similar approach in ID6325 and to account for the small proportion of patients who undergo apheresis but do not proceed to infusion, the costs of apheresis are included for all patients who reach that stage</w:t>
      </w:r>
      <w:r w:rsidR="003A1B2C" w:rsidRPr="7CF0960D">
        <w:rPr>
          <w:lang w:val="en-IE"/>
        </w:rPr>
        <w:t xml:space="preserve"> </w:t>
      </w:r>
      <w:r w:rsidR="7EDBEFFB" w:rsidRPr="7CF0960D">
        <w:rPr>
          <w:highlight w:val="black"/>
          <w:lang w:val="en-IE"/>
        </w:rPr>
        <w:t xml:space="preserve">xxxxxxxxxxxxxxxxxxxxxxxxxxxxxxxxxxxxxxxxxxxxxxxxxxxxxxxxxxx </w:t>
      </w:r>
      <w:r w:rsidR="3B777A32" w:rsidRPr="7CF0960D">
        <w:rPr>
          <w:highlight w:val="black"/>
          <w:lang w:val="en-IE"/>
        </w:rPr>
        <w:t>xxxxxxxxxxxxxxxxxxxxxxxxxxxx</w:t>
      </w:r>
      <w:r w:rsidR="10A10805" w:rsidRPr="7CF0960D">
        <w:rPr>
          <w:highlight w:val="black"/>
          <w:lang w:val="en-IE"/>
        </w:rPr>
        <w:t>xxxxxxxxxxxxxxxxxxxxxxxxxxxxxxxxxxxxxxxxxxx</w:t>
      </w:r>
      <w:r w:rsidRPr="7CF0960D">
        <w:rPr>
          <w:highlight w:val="black"/>
          <w:lang w:val="en-IE"/>
        </w:rPr>
        <w:t>.</w:t>
      </w:r>
    </w:p>
    <w:p w14:paraId="17F2EF33" w14:textId="43EA4AD0" w:rsidR="0059315F" w:rsidRPr="0011041B" w:rsidRDefault="0059315F" w:rsidP="002C713B">
      <w:pPr>
        <w:spacing w:before="240" w:after="240" w:line="276" w:lineRule="auto"/>
        <w:jc w:val="both"/>
        <w:rPr>
          <w:rFonts w:eastAsia="Segoe UI" w:cs="Arial"/>
        </w:rPr>
      </w:pPr>
      <w:r w:rsidRPr="0011041B">
        <w:rPr>
          <w:rFonts w:eastAsia="Segoe UI" w:cs="Arial"/>
        </w:rPr>
        <w:t xml:space="preserve">This approach is consistent with </w:t>
      </w:r>
      <w:r w:rsidR="00EE6132">
        <w:rPr>
          <w:rFonts w:eastAsia="Segoe UI" w:cs="Arial"/>
        </w:rPr>
        <w:t xml:space="preserve">numerous </w:t>
      </w:r>
      <w:r w:rsidR="00EE6132" w:rsidRPr="008A2B53">
        <w:t>other</w:t>
      </w:r>
      <w:r w:rsidRPr="0011041B">
        <w:rPr>
          <w:rFonts w:eastAsia="Segoe UI" w:cs="Arial"/>
        </w:rPr>
        <w:t xml:space="preserve"> prior CAR-T technology appraisals, where committees have consistently concluded that the </w:t>
      </w:r>
      <w:proofErr w:type="spellStart"/>
      <w:r w:rsidRPr="0011041B">
        <w:rPr>
          <w:rFonts w:eastAsia="Segoe UI" w:cs="Arial"/>
        </w:rPr>
        <w:t>mITT</w:t>
      </w:r>
      <w:proofErr w:type="spellEnd"/>
      <w:r w:rsidRPr="0011041B">
        <w:rPr>
          <w:rFonts w:eastAsia="Segoe UI" w:cs="Arial"/>
        </w:rPr>
        <w:t xml:space="preserve"> population provides the most appropriate basis for analysis. This includes appraisals:</w:t>
      </w:r>
    </w:p>
    <w:p w14:paraId="5DCF2EBF" w14:textId="1CEEC42D" w:rsidR="0059315F" w:rsidRPr="0011041B" w:rsidRDefault="0059315F" w:rsidP="002C713B">
      <w:pPr>
        <w:pStyle w:val="ListParagraph"/>
        <w:numPr>
          <w:ilvl w:val="0"/>
          <w:numId w:val="24"/>
        </w:numPr>
        <w:spacing w:before="240" w:after="240" w:line="276" w:lineRule="auto"/>
        <w:jc w:val="both"/>
        <w:rPr>
          <w:rFonts w:eastAsia="Segoe UI" w:cstheme="minorHAnsi"/>
        </w:rPr>
      </w:pPr>
      <w:r w:rsidRPr="0011041B">
        <w:rPr>
          <w:rFonts w:eastAsia="Segoe UI" w:cstheme="minorHAnsi"/>
        </w:rPr>
        <w:t xml:space="preserve">TA559; </w:t>
      </w:r>
      <w:proofErr w:type="spellStart"/>
      <w:r w:rsidR="00467911">
        <w:rPr>
          <w:rFonts w:eastAsia="Segoe UI" w:cstheme="minorHAnsi"/>
        </w:rPr>
        <w:t>A</w:t>
      </w:r>
      <w:r w:rsidRPr="0011041B">
        <w:rPr>
          <w:rFonts w:eastAsia="Segoe UI" w:cstheme="minorHAnsi"/>
        </w:rPr>
        <w:t>xicabtagene</w:t>
      </w:r>
      <w:proofErr w:type="spellEnd"/>
      <w:r w:rsidRPr="0011041B">
        <w:rPr>
          <w:rFonts w:eastAsia="Segoe UI" w:cstheme="minorHAnsi"/>
        </w:rPr>
        <w:t xml:space="preserve"> </w:t>
      </w:r>
      <w:proofErr w:type="spellStart"/>
      <w:r w:rsidR="00457795">
        <w:t>ciloleucel</w:t>
      </w:r>
      <w:proofErr w:type="spellEnd"/>
      <w:r w:rsidRPr="0011041B">
        <w:rPr>
          <w:rFonts w:eastAsia="Segoe UI" w:cstheme="minorHAnsi"/>
        </w:rPr>
        <w:t xml:space="preserve"> for treating diffuse large B-cell lymphoma and primary mediastinal large B-cell lymphoma after 2 or more systemic therapies</w:t>
      </w:r>
      <w:r w:rsidRPr="0011041B" w:rsidDel="0046326A">
        <w:rPr>
          <w:rFonts w:eastAsia="Segoe UI" w:cstheme="minorHAnsi"/>
        </w:rPr>
        <w:t xml:space="preserve"> </w:t>
      </w:r>
    </w:p>
    <w:p w14:paraId="70415091" w14:textId="77777777" w:rsidR="0059315F" w:rsidRPr="0011041B" w:rsidRDefault="0059315F" w:rsidP="002C713B">
      <w:pPr>
        <w:pStyle w:val="ListParagraph"/>
        <w:numPr>
          <w:ilvl w:val="0"/>
          <w:numId w:val="24"/>
        </w:numPr>
        <w:spacing w:before="240" w:after="240" w:line="276" w:lineRule="auto"/>
        <w:jc w:val="both"/>
        <w:rPr>
          <w:rFonts w:eastAsia="Segoe UI" w:cstheme="minorHAnsi"/>
        </w:rPr>
      </w:pPr>
      <w:r w:rsidRPr="0011041B">
        <w:rPr>
          <w:rFonts w:eastAsia="Segoe UI" w:cstheme="minorHAnsi"/>
        </w:rPr>
        <w:lastRenderedPageBreak/>
        <w:t xml:space="preserve">TA677; </w:t>
      </w:r>
      <w:proofErr w:type="spellStart"/>
      <w:r w:rsidRPr="0011041B">
        <w:rPr>
          <w:rFonts w:eastAsia="Segoe UI" w:cstheme="minorHAnsi"/>
        </w:rPr>
        <w:t>Brexucabtagene</w:t>
      </w:r>
      <w:proofErr w:type="spellEnd"/>
      <w:r w:rsidRPr="0011041B">
        <w:rPr>
          <w:rFonts w:eastAsia="Segoe UI" w:cstheme="minorHAnsi"/>
        </w:rPr>
        <w:t xml:space="preserve"> </w:t>
      </w:r>
      <w:proofErr w:type="spellStart"/>
      <w:r w:rsidRPr="0011041B">
        <w:rPr>
          <w:rFonts w:eastAsia="Segoe UI" w:cstheme="minorHAnsi"/>
        </w:rPr>
        <w:t>autoleucel</w:t>
      </w:r>
      <w:proofErr w:type="spellEnd"/>
      <w:r w:rsidRPr="0011041B">
        <w:rPr>
          <w:rFonts w:eastAsia="Segoe UI" w:cstheme="minorHAnsi"/>
        </w:rPr>
        <w:t xml:space="preserve"> for treating relapsed or refractory mantle cell lymphoma</w:t>
      </w:r>
    </w:p>
    <w:p w14:paraId="14BCBC32" w14:textId="0EE8A899" w:rsidR="0059315F" w:rsidRPr="0011041B" w:rsidRDefault="0059315F" w:rsidP="002C713B">
      <w:pPr>
        <w:pStyle w:val="ListParagraph"/>
        <w:numPr>
          <w:ilvl w:val="0"/>
          <w:numId w:val="24"/>
        </w:numPr>
        <w:spacing w:before="240" w:after="240" w:line="276" w:lineRule="auto"/>
        <w:jc w:val="both"/>
        <w:rPr>
          <w:rFonts w:eastAsia="Segoe UI" w:cstheme="minorHAnsi"/>
        </w:rPr>
      </w:pPr>
      <w:r w:rsidRPr="0011041B">
        <w:rPr>
          <w:rFonts w:eastAsia="Segoe UI" w:cstheme="minorHAnsi"/>
        </w:rPr>
        <w:t xml:space="preserve">TA872; </w:t>
      </w:r>
      <w:proofErr w:type="spellStart"/>
      <w:r w:rsidR="00467911">
        <w:rPr>
          <w:rFonts w:eastAsia="Segoe UI" w:cstheme="minorHAnsi"/>
        </w:rPr>
        <w:t>A</w:t>
      </w:r>
      <w:r w:rsidRPr="0011041B">
        <w:rPr>
          <w:rFonts w:eastAsia="Segoe UI" w:cstheme="minorHAnsi"/>
        </w:rPr>
        <w:t>xicabtagene</w:t>
      </w:r>
      <w:proofErr w:type="spellEnd"/>
      <w:r w:rsidRPr="0011041B">
        <w:rPr>
          <w:rFonts w:eastAsia="Segoe UI" w:cstheme="minorHAnsi"/>
        </w:rPr>
        <w:t xml:space="preserve"> </w:t>
      </w:r>
      <w:proofErr w:type="spellStart"/>
      <w:r w:rsidR="00457795">
        <w:t>ciloleucel</w:t>
      </w:r>
      <w:proofErr w:type="spellEnd"/>
      <w:r w:rsidRPr="0011041B">
        <w:rPr>
          <w:rFonts w:eastAsia="Segoe UI" w:cstheme="minorHAnsi"/>
        </w:rPr>
        <w:t xml:space="preserve"> for treating diffuse large B-cell lymphoma and primary mediastinal large B-cell lymphoma after 2 or more systemic therapies</w:t>
      </w:r>
    </w:p>
    <w:p w14:paraId="278C84D6" w14:textId="77777777" w:rsidR="0059315F" w:rsidRPr="0011041B" w:rsidRDefault="0059315F" w:rsidP="002C713B">
      <w:pPr>
        <w:pStyle w:val="ListParagraph"/>
        <w:numPr>
          <w:ilvl w:val="0"/>
          <w:numId w:val="24"/>
        </w:numPr>
        <w:spacing w:before="240" w:after="240" w:line="276" w:lineRule="auto"/>
        <w:jc w:val="both"/>
        <w:rPr>
          <w:rFonts w:eastAsia="Segoe UI" w:cstheme="minorHAnsi"/>
        </w:rPr>
      </w:pPr>
      <w:r w:rsidRPr="0011041B">
        <w:rPr>
          <w:rFonts w:eastAsia="Segoe UI" w:cstheme="minorHAnsi"/>
        </w:rPr>
        <w:t xml:space="preserve">TA893; </w:t>
      </w:r>
      <w:proofErr w:type="spellStart"/>
      <w:r w:rsidRPr="0011041B">
        <w:rPr>
          <w:rFonts w:eastAsia="Segoe UI" w:cstheme="minorHAnsi"/>
        </w:rPr>
        <w:t>Brexucabtagene</w:t>
      </w:r>
      <w:proofErr w:type="spellEnd"/>
      <w:r w:rsidRPr="0011041B">
        <w:rPr>
          <w:rFonts w:eastAsia="Segoe UI" w:cstheme="minorHAnsi"/>
        </w:rPr>
        <w:t xml:space="preserve"> </w:t>
      </w:r>
      <w:proofErr w:type="spellStart"/>
      <w:r w:rsidRPr="0011041B">
        <w:rPr>
          <w:rFonts w:eastAsia="Segoe UI" w:cstheme="minorHAnsi"/>
        </w:rPr>
        <w:t>autoleucel</w:t>
      </w:r>
      <w:proofErr w:type="spellEnd"/>
      <w:r w:rsidRPr="0011041B">
        <w:rPr>
          <w:rFonts w:eastAsia="Segoe UI" w:cstheme="minorHAnsi"/>
        </w:rPr>
        <w:t xml:space="preserve"> for treating relapsed or refractory B-cell acute lymphoblastic leukaemia in people 26 years and over</w:t>
      </w:r>
    </w:p>
    <w:p w14:paraId="54D0C1D5" w14:textId="28FB79EF" w:rsidR="0059315F" w:rsidRPr="0011041B" w:rsidRDefault="0059315F" w:rsidP="002C713B">
      <w:pPr>
        <w:pStyle w:val="ListParagraph"/>
        <w:numPr>
          <w:ilvl w:val="0"/>
          <w:numId w:val="24"/>
        </w:numPr>
        <w:spacing w:before="240" w:after="240" w:line="276" w:lineRule="auto"/>
        <w:jc w:val="both"/>
        <w:rPr>
          <w:rFonts w:eastAsia="Segoe UI" w:cstheme="minorHAnsi"/>
        </w:rPr>
      </w:pPr>
      <w:r w:rsidRPr="0011041B">
        <w:rPr>
          <w:rFonts w:eastAsia="Segoe UI" w:cstheme="minorHAnsi"/>
        </w:rPr>
        <w:t xml:space="preserve">TA895; </w:t>
      </w:r>
      <w:proofErr w:type="spellStart"/>
      <w:r w:rsidRPr="0011041B">
        <w:rPr>
          <w:rFonts w:eastAsia="Segoe UI" w:cstheme="minorHAnsi"/>
        </w:rPr>
        <w:t>Axicabtagene</w:t>
      </w:r>
      <w:proofErr w:type="spellEnd"/>
      <w:r w:rsidRPr="0011041B">
        <w:rPr>
          <w:rFonts w:eastAsia="Segoe UI" w:cstheme="minorHAnsi"/>
        </w:rPr>
        <w:t xml:space="preserve"> </w:t>
      </w:r>
      <w:proofErr w:type="spellStart"/>
      <w:r w:rsidR="00457795">
        <w:t>ciloleucel</w:t>
      </w:r>
      <w:proofErr w:type="spellEnd"/>
      <w:r w:rsidR="00457795">
        <w:t xml:space="preserve"> </w:t>
      </w:r>
      <w:r w:rsidRPr="0011041B">
        <w:rPr>
          <w:rFonts w:eastAsia="Segoe UI" w:cstheme="minorHAnsi"/>
        </w:rPr>
        <w:t>for treating relapsed or refractory diffuse large B-cell lymphoma after first-line chemoimmunotherapy</w:t>
      </w:r>
    </w:p>
    <w:p w14:paraId="67A8FC24" w14:textId="77777777" w:rsidR="0059315F" w:rsidRPr="0011041B" w:rsidRDefault="0059315F" w:rsidP="002C713B">
      <w:pPr>
        <w:pStyle w:val="ListParagraph"/>
        <w:numPr>
          <w:ilvl w:val="0"/>
          <w:numId w:val="24"/>
        </w:numPr>
        <w:spacing w:before="240" w:after="240" w:line="276" w:lineRule="auto"/>
        <w:jc w:val="both"/>
        <w:rPr>
          <w:rFonts w:eastAsia="Segoe UI" w:cstheme="minorHAnsi"/>
        </w:rPr>
      </w:pPr>
      <w:r w:rsidRPr="0011041B">
        <w:rPr>
          <w:rFonts w:eastAsia="Segoe UI" w:cstheme="minorHAnsi"/>
        </w:rPr>
        <w:t xml:space="preserve">TA975; </w:t>
      </w:r>
      <w:proofErr w:type="spellStart"/>
      <w:r w:rsidRPr="0011041B">
        <w:rPr>
          <w:rFonts w:eastAsia="Segoe UI" w:cstheme="minorHAnsi"/>
        </w:rPr>
        <w:t>Tisagenlecleucel</w:t>
      </w:r>
      <w:proofErr w:type="spellEnd"/>
      <w:r w:rsidRPr="0011041B">
        <w:rPr>
          <w:rFonts w:eastAsia="Segoe UI" w:cstheme="minorHAnsi"/>
        </w:rPr>
        <w:t xml:space="preserve"> for treating relapsed or refractory B-cell acute lymphoblastic leukaemia in people 25 years and under</w:t>
      </w:r>
    </w:p>
    <w:p w14:paraId="58DDE345" w14:textId="77777777" w:rsidR="0059315F" w:rsidRPr="0011041B" w:rsidRDefault="0059315F" w:rsidP="002C713B">
      <w:pPr>
        <w:pStyle w:val="ListParagraph"/>
        <w:numPr>
          <w:ilvl w:val="0"/>
          <w:numId w:val="24"/>
        </w:numPr>
        <w:spacing w:before="240" w:after="240" w:line="276" w:lineRule="auto"/>
        <w:jc w:val="both"/>
        <w:rPr>
          <w:rFonts w:eastAsia="Segoe UI" w:cstheme="minorHAnsi"/>
        </w:rPr>
      </w:pPr>
      <w:r w:rsidRPr="0011041B">
        <w:rPr>
          <w:rFonts w:eastAsia="Segoe UI" w:cstheme="minorHAnsi"/>
        </w:rPr>
        <w:t xml:space="preserve">TA1048; </w:t>
      </w:r>
      <w:proofErr w:type="spellStart"/>
      <w:r w:rsidRPr="0011041B">
        <w:rPr>
          <w:rFonts w:eastAsia="Segoe UI" w:cstheme="minorHAnsi"/>
        </w:rPr>
        <w:t>Lisocabtagene</w:t>
      </w:r>
      <w:proofErr w:type="spellEnd"/>
      <w:r w:rsidRPr="0011041B">
        <w:rPr>
          <w:rFonts w:eastAsia="Segoe UI" w:cstheme="minorHAnsi"/>
        </w:rPr>
        <w:t xml:space="preserve"> </w:t>
      </w:r>
      <w:proofErr w:type="spellStart"/>
      <w:r w:rsidRPr="0011041B">
        <w:rPr>
          <w:rFonts w:eastAsia="Segoe UI" w:cstheme="minorHAnsi"/>
        </w:rPr>
        <w:t>maraleucel</w:t>
      </w:r>
      <w:proofErr w:type="spellEnd"/>
      <w:r w:rsidRPr="0011041B">
        <w:rPr>
          <w:rFonts w:eastAsia="Segoe UI" w:cstheme="minorHAnsi"/>
        </w:rPr>
        <w:t xml:space="preserve"> for treating relapsed or refractory large B-cell lymphoma after first-line chemoimmunotherapy when a stem cell transplant is suitable</w:t>
      </w:r>
    </w:p>
    <w:p w14:paraId="7FCD2C30" w14:textId="481AB59D" w:rsidR="00AC758C" w:rsidRDefault="0059315F" w:rsidP="00C018F2">
      <w:pPr>
        <w:spacing w:before="240" w:after="240" w:line="276" w:lineRule="auto"/>
        <w:jc w:val="both"/>
      </w:pPr>
      <w:r w:rsidRPr="0011041B">
        <w:t xml:space="preserve">However, in addition to incorporating the costs of apheresis for all patients who reach that stage, </w:t>
      </w:r>
      <w:r w:rsidR="644AFCF2">
        <w:t xml:space="preserve">in this appraisal </w:t>
      </w:r>
      <w:r w:rsidRPr="0011041B">
        <w:t>the Committee</w:t>
      </w:r>
      <w:r w:rsidR="004275A1">
        <w:t xml:space="preserve"> </w:t>
      </w:r>
      <w:r w:rsidRPr="0011041B">
        <w:t xml:space="preserve">chose to include in the efficacy assessment outcomes from patients who </w:t>
      </w:r>
      <w:r w:rsidR="00941F0D">
        <w:t>were apheresed but</w:t>
      </w:r>
      <w:r w:rsidRPr="0011041B">
        <w:t xml:space="preserve"> not</w:t>
      </w:r>
      <w:r w:rsidR="00941F0D">
        <w:t xml:space="preserve"> infused with</w:t>
      </w:r>
      <w:r w:rsidRPr="0011041B">
        <w:t xml:space="preserve"> </w:t>
      </w:r>
      <w:proofErr w:type="spellStart"/>
      <w:r w:rsidR="005F3B52">
        <w:t>brex</w:t>
      </w:r>
      <w:r w:rsidR="00887870">
        <w:t>u</w:t>
      </w:r>
      <w:proofErr w:type="spellEnd"/>
      <w:r w:rsidR="00887870">
        <w:t>-cel</w:t>
      </w:r>
      <w:r w:rsidRPr="0011041B">
        <w:t xml:space="preserve">. This approach </w:t>
      </w:r>
      <w:r w:rsidR="00934351">
        <w:t xml:space="preserve">is counterintuitive and </w:t>
      </w:r>
      <w:r w:rsidR="00190CF4">
        <w:t>unreasonable</w:t>
      </w:r>
      <w:r w:rsidR="00872141">
        <w:t xml:space="preserve">; it is not credible to measure outcomes for </w:t>
      </w:r>
      <w:proofErr w:type="spellStart"/>
      <w:r w:rsidR="00726FD6">
        <w:t>brexu</w:t>
      </w:r>
      <w:proofErr w:type="spellEnd"/>
      <w:r w:rsidR="00726FD6">
        <w:t xml:space="preserve">-cel using data for patients who did not receive such treatment. </w:t>
      </w:r>
    </w:p>
    <w:p w14:paraId="1ABC449B" w14:textId="6BF5E2DE" w:rsidR="00BB1BA1" w:rsidRDefault="00AC758C" w:rsidP="00C018F2">
      <w:pPr>
        <w:spacing w:before="240" w:after="240" w:line="276" w:lineRule="auto"/>
        <w:jc w:val="both"/>
      </w:pPr>
      <w:r>
        <w:t>This unreasonable approach</w:t>
      </w:r>
      <w:r w:rsidR="0059315F" w:rsidRPr="0011041B">
        <w:t xml:space="preserve"> significantly impacted the ability to demonstrate cost-effectiveness, as patients unable to receive </w:t>
      </w:r>
      <w:proofErr w:type="spellStart"/>
      <w:r w:rsidR="00887870">
        <w:t>brexu</w:t>
      </w:r>
      <w:proofErr w:type="spellEnd"/>
      <w:r w:rsidR="00887870">
        <w:t>-cel</w:t>
      </w:r>
      <w:r w:rsidR="0059315F" w:rsidRPr="0011041B">
        <w:t xml:space="preserve"> typically experience rapid disease progression and mortality within weeks. </w:t>
      </w:r>
      <w:r w:rsidR="00F17004">
        <w:t xml:space="preserve"> </w:t>
      </w:r>
    </w:p>
    <w:p w14:paraId="35BF3747" w14:textId="0A309D12" w:rsidR="00DD3D87" w:rsidRPr="00A36B10" w:rsidRDefault="21970B11" w:rsidP="003E2B69">
      <w:pPr>
        <w:spacing w:before="240" w:after="240" w:line="276" w:lineRule="auto"/>
        <w:jc w:val="both"/>
      </w:pPr>
      <w:r w:rsidRPr="1C5FC9CD">
        <w:t xml:space="preserve">In contrast, the comparator arm (McCullough et al) is a retrospective analysis of patients who were able to </w:t>
      </w:r>
      <w:proofErr w:type="gramStart"/>
      <w:r w:rsidRPr="1C5FC9CD">
        <w:t>initiate  R</w:t>
      </w:r>
      <w:proofErr w:type="gramEnd"/>
      <w:r w:rsidRPr="1C5FC9CD">
        <w:t>-BAC treatment</w:t>
      </w:r>
      <w:r w:rsidR="00680099">
        <w:t xml:space="preserve"> (</w:t>
      </w:r>
      <w:proofErr w:type="spellStart"/>
      <w:r w:rsidR="00680099">
        <w:t>mITT</w:t>
      </w:r>
      <w:proofErr w:type="spellEnd"/>
      <w:r w:rsidR="00680099">
        <w:t xml:space="preserve"> population)</w:t>
      </w:r>
      <w:r w:rsidRPr="1C5FC9CD">
        <w:t>. This does not capture the broader real-world population</w:t>
      </w:r>
      <w:r w:rsidR="00130420">
        <w:t xml:space="preserve"> (ITT population)</w:t>
      </w:r>
      <w:r w:rsidRPr="1C5FC9CD">
        <w:t xml:space="preserve">, where a significant proportion of patients may not be </w:t>
      </w:r>
      <w:proofErr w:type="gramStart"/>
      <w:r w:rsidRPr="1C5FC9CD">
        <w:t xml:space="preserve">eligible </w:t>
      </w:r>
      <w:r w:rsidR="007D7CE1">
        <w:t xml:space="preserve"> to</w:t>
      </w:r>
      <w:proofErr w:type="gramEnd"/>
      <w:r w:rsidR="007D7CE1">
        <w:t xml:space="preserve"> start</w:t>
      </w:r>
      <w:r w:rsidRPr="1C5FC9CD">
        <w:t xml:space="preserve"> treatment. </w:t>
      </w:r>
    </w:p>
    <w:p w14:paraId="6221216E" w14:textId="50DB4F77" w:rsidR="044F2471" w:rsidRPr="0026110C" w:rsidRDefault="00676029" w:rsidP="003E2B69">
      <w:pPr>
        <w:spacing w:before="240" w:after="240" w:line="276" w:lineRule="auto"/>
        <w:jc w:val="both"/>
      </w:pPr>
      <w:r>
        <w:t>During the second Committee Meeting</w:t>
      </w:r>
      <w:r w:rsidR="0049627E">
        <w:t>, c</w:t>
      </w:r>
      <w:r w:rsidR="00DD3D87" w:rsidRPr="00DD3D87">
        <w:t>linical expert opinion support</w:t>
      </w:r>
      <w:r w:rsidR="00DD3D87">
        <w:t>ed</w:t>
      </w:r>
      <w:r w:rsidR="00DD3D87" w:rsidRPr="00DD3D87">
        <w:t xml:space="preserve"> that 20–30% of patients considered for R-BAC would likely not proceed to treatment due to frailty or rapid disease progression.</w:t>
      </w:r>
      <w:r w:rsidR="006040F4">
        <w:t xml:space="preserve"> </w:t>
      </w:r>
      <w:r w:rsidR="004430FE">
        <w:t>The FDG</w:t>
      </w:r>
      <w:r w:rsidR="18F0C28B">
        <w:t xml:space="preserve"> (section 3.9)</w:t>
      </w:r>
      <w:r w:rsidR="004430FE" w:rsidRPr="0026110C">
        <w:t xml:space="preserve"> </w:t>
      </w:r>
      <w:r w:rsidR="00317343" w:rsidRPr="0026110C">
        <w:t>notes that</w:t>
      </w:r>
      <w:r w:rsidR="00600759" w:rsidRPr="0026110C">
        <w:t xml:space="preserve"> </w:t>
      </w:r>
      <w:r w:rsidR="00702362" w:rsidRPr="0026110C">
        <w:t>d</w:t>
      </w:r>
      <w:r w:rsidR="2A81EDE9" w:rsidRPr="0026110C">
        <w:t xml:space="preserve">uring the committee meeting, the clinical experts stated that </w:t>
      </w:r>
      <w:r w:rsidR="009F547E" w:rsidRPr="0026110C">
        <w:t>“</w:t>
      </w:r>
      <w:r w:rsidR="2A81EDE9" w:rsidRPr="0026110C">
        <w:rPr>
          <w:i/>
          <w:iCs/>
        </w:rPr>
        <w:t xml:space="preserve">the same disease characteristics </w:t>
      </w:r>
      <w:r w:rsidR="00E02F8C" w:rsidRPr="0026110C">
        <w:rPr>
          <w:i/>
          <w:iCs/>
        </w:rPr>
        <w:t>that cause</w:t>
      </w:r>
      <w:r w:rsidR="2A81EDE9" w:rsidRPr="0026110C">
        <w:rPr>
          <w:i/>
          <w:iCs/>
        </w:rPr>
        <w:t xml:space="preserve"> rapid progression m</w:t>
      </w:r>
      <w:r w:rsidR="0073635F" w:rsidRPr="0026110C">
        <w:rPr>
          <w:i/>
          <w:iCs/>
        </w:rPr>
        <w:t>ight also prevent</w:t>
      </w:r>
      <w:r w:rsidR="00524756" w:rsidRPr="0026110C">
        <w:rPr>
          <w:i/>
          <w:iCs/>
        </w:rPr>
        <w:t xml:space="preserve"> someone being </w:t>
      </w:r>
      <w:r w:rsidR="2A81EDE9" w:rsidRPr="0026110C">
        <w:rPr>
          <w:i/>
          <w:iCs/>
        </w:rPr>
        <w:t xml:space="preserve">eligible for </w:t>
      </w:r>
      <w:r w:rsidR="7F7E6125" w:rsidRPr="7E529845">
        <w:rPr>
          <w:i/>
          <w:iCs/>
        </w:rPr>
        <w:t>R-BAC</w:t>
      </w:r>
      <w:r w:rsidR="00524756">
        <w:t>”</w:t>
      </w:r>
      <w:r w:rsidR="2A81EDE9">
        <w:t>.</w:t>
      </w:r>
      <w:r w:rsidR="2A81EDE9" w:rsidRPr="0026110C">
        <w:t xml:space="preserve"> The representative from NHS England further confirmed that, in clinical practice, not all patients initially selected to receive R-BAC ultimately receive the treatment, as rapid disease progression can preclude administration.</w:t>
      </w:r>
      <w:r w:rsidR="234C1E8A">
        <w:t xml:space="preserve"> </w:t>
      </w:r>
      <w:r w:rsidR="004A40E9">
        <w:t xml:space="preserve">McCulloch did not consider this </w:t>
      </w:r>
      <w:r w:rsidR="00317C43">
        <w:t>population who are initially selected for R-BA</w:t>
      </w:r>
      <w:r w:rsidR="0018729A">
        <w:t>C but do not receive treatment (i.e. the</w:t>
      </w:r>
      <w:r w:rsidR="004A40E9">
        <w:t xml:space="preserve"> ITT patient population</w:t>
      </w:r>
      <w:r w:rsidR="0018729A">
        <w:t>)</w:t>
      </w:r>
      <w:r w:rsidR="00A96EAF">
        <w:t>,</w:t>
      </w:r>
      <w:r w:rsidR="004A40E9">
        <w:t xml:space="preserve"> only “</w:t>
      </w:r>
      <w:r w:rsidR="004A40E9" w:rsidRPr="000A383A">
        <w:rPr>
          <w:i/>
        </w:rPr>
        <w:t xml:space="preserve">36 patients </w:t>
      </w:r>
      <w:r w:rsidR="004A40E9" w:rsidRPr="000A383A">
        <w:rPr>
          <w:b/>
          <w:i/>
        </w:rPr>
        <w:t>treated</w:t>
      </w:r>
      <w:r w:rsidR="004A40E9" w:rsidRPr="000A383A">
        <w:rPr>
          <w:i/>
        </w:rPr>
        <w:t xml:space="preserve"> with R-BAC... were included in this analysis</w:t>
      </w:r>
      <w:r w:rsidR="004A40E9">
        <w:t>”</w:t>
      </w:r>
      <w:r w:rsidR="004A40E9">
        <w:rPr>
          <w:rStyle w:val="EndnoteReference"/>
        </w:rPr>
        <w:endnoteReference w:id="14"/>
      </w:r>
      <w:r w:rsidR="004A40E9">
        <w:t xml:space="preserve"> (emphasis added)</w:t>
      </w:r>
      <w:r w:rsidR="0058395D">
        <w:t>.</w:t>
      </w:r>
    </w:p>
    <w:p w14:paraId="2BC4710B" w14:textId="1DCF6950" w:rsidR="00DD3D87" w:rsidRDefault="00DD3D87" w:rsidP="00DD3D87">
      <w:pPr>
        <w:spacing w:before="240" w:after="240" w:line="276" w:lineRule="auto"/>
        <w:jc w:val="both"/>
      </w:pPr>
      <w:r w:rsidRPr="00DD3D87">
        <w:t xml:space="preserve">Therefore, using the intention-to-treat (ITT) population from ZUMA-2, which includes patients who never received CAR-T infusion, </w:t>
      </w:r>
      <w:r w:rsidR="00A36B10">
        <w:t xml:space="preserve">does </w:t>
      </w:r>
      <w:r w:rsidRPr="00DD3D87">
        <w:t>not represent a like-for-like comparison with the McCulloch R-BAC cohort, which only includes patients who were treated.</w:t>
      </w:r>
      <w:r w:rsidR="00310C81">
        <w:t xml:space="preserve"> </w:t>
      </w:r>
      <w:r w:rsidR="00E630DA">
        <w:t>U</w:t>
      </w:r>
      <w:r w:rsidR="00A36B10">
        <w:t xml:space="preserve">se of the ITT population introduces bias in the comparative analysis and is </w:t>
      </w:r>
      <w:r w:rsidR="0099348F">
        <w:t>unreasonable</w:t>
      </w:r>
      <w:r w:rsidR="00A36B10">
        <w:t>.</w:t>
      </w:r>
      <w:r w:rsidR="2F5422CE">
        <w:t xml:space="preserve"> </w:t>
      </w:r>
    </w:p>
    <w:p w14:paraId="215F9CAE" w14:textId="734AC691" w:rsidR="00BA5BFD" w:rsidRDefault="511E7851" w:rsidP="008533A0">
      <w:pPr>
        <w:spacing w:before="240" w:after="240" w:line="276" w:lineRule="auto"/>
        <w:jc w:val="both"/>
      </w:pPr>
      <w:r>
        <w:lastRenderedPageBreak/>
        <w:t>Of note, t</w:t>
      </w:r>
      <w:r w:rsidR="2F5422CE">
        <w:t xml:space="preserve">he FDG states </w:t>
      </w:r>
      <w:r w:rsidR="00BA3DB0">
        <w:t xml:space="preserve">at 3.9 </w:t>
      </w:r>
      <w:r w:rsidR="2F5422CE">
        <w:t xml:space="preserve">that </w:t>
      </w:r>
      <w:r w:rsidR="00BA3DB0">
        <w:t>“</w:t>
      </w:r>
      <w:r w:rsidR="00BA3DB0" w:rsidRPr="003E2B69">
        <w:rPr>
          <w:i/>
          <w:iCs/>
        </w:rPr>
        <w:t>The committee asked the clinical experts about the relative fitness of people having leukapheresis and those in the McCulloch et al. (2020) study</w:t>
      </w:r>
      <w:r w:rsidR="00BA3DB0">
        <w:t>”</w:t>
      </w:r>
      <w:r w:rsidR="2F5422CE">
        <w:t xml:space="preserve"> </w:t>
      </w:r>
      <w:r w:rsidR="00056697">
        <w:t>and that “</w:t>
      </w:r>
      <w:r w:rsidR="00056697" w:rsidRPr="003E2B69">
        <w:rPr>
          <w:i/>
          <w:iCs/>
        </w:rPr>
        <w:t xml:space="preserve">The clinical experts explained that the population in that study was broadly the same as the population considered suitable for </w:t>
      </w:r>
      <w:proofErr w:type="spellStart"/>
      <w:r w:rsidR="00056697" w:rsidRPr="003E2B69">
        <w:rPr>
          <w:i/>
          <w:iCs/>
        </w:rPr>
        <w:t>brexucabtagene</w:t>
      </w:r>
      <w:proofErr w:type="spellEnd"/>
      <w:r w:rsidR="00056697" w:rsidRPr="003E2B69">
        <w:rPr>
          <w:i/>
          <w:iCs/>
        </w:rPr>
        <w:t xml:space="preserve"> </w:t>
      </w:r>
      <w:proofErr w:type="spellStart"/>
      <w:r w:rsidR="00056697" w:rsidRPr="003E2B69">
        <w:rPr>
          <w:i/>
          <w:iCs/>
        </w:rPr>
        <w:t>autoleucel</w:t>
      </w:r>
      <w:proofErr w:type="spellEnd"/>
      <w:r w:rsidR="00056697" w:rsidRPr="003E2B69">
        <w:rPr>
          <w:i/>
          <w:iCs/>
        </w:rPr>
        <w:t>. They suggested that if someone is considered fit enough for leukapheresis, this would be a fair point at which to begin a comparison with the population represented in McCulloch et al. (2020). At this point, the time from decision to treat is similar between the 2 treatments. The committee agreed with the clinical experts that the point of leukapheresis was the appropriate point at which to start the comparison with R-BAC</w:t>
      </w:r>
      <w:r w:rsidR="00056697">
        <w:rPr>
          <w:i/>
          <w:iCs/>
        </w:rPr>
        <w:t>”</w:t>
      </w:r>
      <w:r w:rsidR="3302F28F">
        <w:t>.</w:t>
      </w:r>
      <w:r w:rsidR="2F5422CE">
        <w:t xml:space="preserve"> However, </w:t>
      </w:r>
      <w:r w:rsidR="1B855687">
        <w:t>in</w:t>
      </w:r>
      <w:r w:rsidR="33606ED8">
        <w:t xml:space="preserve"> the committee meeting </w:t>
      </w:r>
      <w:r w:rsidR="3DFDEB0E">
        <w:t xml:space="preserve">this was not unanimous and </w:t>
      </w:r>
      <w:r w:rsidR="33606ED8">
        <w:t xml:space="preserve">one of the experts questioned this </w:t>
      </w:r>
      <w:r w:rsidR="4796A84F">
        <w:t xml:space="preserve">hypothesis </w:t>
      </w:r>
      <w:r w:rsidR="33606ED8">
        <w:t>due to the uncertainty of the number of patients who would have been considered for R-BAC</w:t>
      </w:r>
      <w:r w:rsidR="40F237A3">
        <w:t>.</w:t>
      </w:r>
      <w:r w:rsidR="33606ED8">
        <w:t xml:space="preserve"> </w:t>
      </w:r>
      <w:r w:rsidR="62F997D9">
        <w:t>Indeed</w:t>
      </w:r>
      <w:r w:rsidR="4CDDC5B9">
        <w:t>, given</w:t>
      </w:r>
      <w:r w:rsidR="62F997D9">
        <w:t xml:space="preserve"> </w:t>
      </w:r>
      <w:r w:rsidR="65C5C787">
        <w:t xml:space="preserve">the experts also stated that 20-30% of patients selected for R-BAC would likely not proceed to </w:t>
      </w:r>
      <w:r w:rsidR="1F562C94">
        <w:t xml:space="preserve">treatment, </w:t>
      </w:r>
      <w:r w:rsidR="5D21CBD9">
        <w:t>this comparison unfairly favours R-BAC as the compar</w:t>
      </w:r>
      <w:r w:rsidR="00052968">
        <w:t>a</w:t>
      </w:r>
      <w:r w:rsidR="5D21CBD9">
        <w:t>tor arm.</w:t>
      </w:r>
    </w:p>
    <w:p w14:paraId="46F4229A" w14:textId="01ADFDCC" w:rsidR="00E00BBC" w:rsidRDefault="00F22CF1" w:rsidP="00DD3D87">
      <w:pPr>
        <w:spacing w:before="240" w:after="240" w:line="276" w:lineRule="auto"/>
        <w:jc w:val="both"/>
      </w:pPr>
      <w:r w:rsidRPr="003E2B69">
        <w:t xml:space="preserve">The </w:t>
      </w:r>
      <w:r w:rsidR="00620387">
        <w:t>c</w:t>
      </w:r>
      <w:r w:rsidR="003105B5">
        <w:t xml:space="preserve">ommittee’s </w:t>
      </w:r>
      <w:r w:rsidR="00620387">
        <w:t>conclusion that the assessment of the efficacy</w:t>
      </w:r>
      <w:r w:rsidR="000D6B82">
        <w:t xml:space="preserve"> of </w:t>
      </w:r>
      <w:proofErr w:type="spellStart"/>
      <w:r w:rsidR="000D6B82">
        <w:t>brexu</w:t>
      </w:r>
      <w:proofErr w:type="spellEnd"/>
      <w:r w:rsidR="000D6B82">
        <w:t xml:space="preserve">-cel should include the </w:t>
      </w:r>
      <w:r w:rsidR="00262081">
        <w:t>clinical</w:t>
      </w:r>
      <w:r w:rsidR="000D6B82">
        <w:t xml:space="preserve"> outcomes from patients who did not receive the therapy was unreasonable </w:t>
      </w:r>
      <w:r w:rsidR="000A5EAC">
        <w:t xml:space="preserve">in itself because it took into account patients </w:t>
      </w:r>
      <w:r w:rsidR="0062511C">
        <w:t>who had not received treatment</w:t>
      </w:r>
      <w:r w:rsidR="004131A9">
        <w:t>,</w:t>
      </w:r>
      <w:r w:rsidR="0082277F">
        <w:t xml:space="preserve"> was inconsistent with the approach in the comparator arm</w:t>
      </w:r>
      <w:r w:rsidR="002267F2">
        <w:t>,</w:t>
      </w:r>
      <w:r w:rsidR="0082277F">
        <w:t xml:space="preserve"> was based on a</w:t>
      </w:r>
      <w:r w:rsidR="003668AC">
        <w:t xml:space="preserve"> mis</w:t>
      </w:r>
      <w:r w:rsidR="00A41F4C">
        <w:t>interpretation</w:t>
      </w:r>
      <w:r w:rsidR="003668AC">
        <w:t xml:space="preserve"> of the </w:t>
      </w:r>
      <w:r w:rsidR="005641D8">
        <w:t xml:space="preserve">clinical </w:t>
      </w:r>
      <w:r w:rsidR="003668AC">
        <w:t xml:space="preserve">expert </w:t>
      </w:r>
      <w:r w:rsidR="00110654">
        <w:t>opinion</w:t>
      </w:r>
      <w:r w:rsidR="002267F2">
        <w:t xml:space="preserve"> and </w:t>
      </w:r>
      <w:r w:rsidR="00F11CA4">
        <w:t>contradicts the conclusion reached in TA677 and multiple other CAR-T appraisals without sufficient justification</w:t>
      </w:r>
      <w:r w:rsidR="00110654">
        <w:t>.</w:t>
      </w:r>
    </w:p>
    <w:p w14:paraId="506DAE15" w14:textId="090B1DC4" w:rsidR="00BB1BA1" w:rsidRPr="0011041B" w:rsidRDefault="00F66587" w:rsidP="002C713B">
      <w:pPr>
        <w:spacing w:before="240" w:after="240" w:line="276" w:lineRule="auto"/>
        <w:jc w:val="both"/>
        <w:rPr>
          <w:b/>
          <w:bCs/>
          <w:highlight w:val="yellow"/>
        </w:rPr>
      </w:pPr>
      <w:r>
        <w:rPr>
          <w:b/>
          <w:bCs/>
          <w:noProof/>
        </w:rPr>
        <mc:AlternateContent>
          <mc:Choice Requires="wps">
            <w:drawing>
              <wp:inline distT="0" distB="0" distL="0" distR="0" wp14:anchorId="38B702C1" wp14:editId="1EAA9AC5">
                <wp:extent cx="5731510" cy="635"/>
                <wp:effectExtent l="0" t="31750" r="0" b="36830"/>
                <wp:docPr id="894864367" name="Horizontal Lin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0A106E94">
              <v:rect id="Horizontal Line 19" style="width:451.3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w14:anchorId="77699103">
                <o:lock v:ext="edit" rotation="t" verticies="t" text="t" aspectratio="t" shapetype="t"/>
                <w10:anchorlock/>
              </v:rect>
            </w:pict>
          </mc:Fallback>
        </mc:AlternateContent>
      </w:r>
    </w:p>
    <w:p w14:paraId="054D241D" w14:textId="0AEE1DBB" w:rsidR="00BB1BA1" w:rsidRPr="0011041B" w:rsidRDefault="00BB1BA1" w:rsidP="002C713B">
      <w:pPr>
        <w:spacing w:before="240" w:after="240" w:line="276" w:lineRule="auto"/>
        <w:jc w:val="both"/>
        <w:rPr>
          <w:b/>
          <w:bCs/>
          <w:highlight w:val="yellow"/>
        </w:rPr>
      </w:pPr>
      <w:r w:rsidRPr="0011041B">
        <w:rPr>
          <w:b/>
          <w:bCs/>
        </w:rPr>
        <w:t>2.</w:t>
      </w:r>
      <w:r w:rsidR="00316FE6">
        <w:rPr>
          <w:b/>
          <w:bCs/>
        </w:rPr>
        <w:t>2</w:t>
      </w:r>
      <w:r w:rsidRPr="0011041B">
        <w:rPr>
          <w:b/>
          <w:bCs/>
        </w:rPr>
        <w:t xml:space="preserve"> </w:t>
      </w:r>
      <w:r w:rsidR="00734724" w:rsidRPr="003B6386">
        <w:rPr>
          <w:b/>
          <w:bCs/>
          <w:lang w:val="en-IE"/>
        </w:rPr>
        <w:t xml:space="preserve">The Committee’s conclusion that the assessment of the efficacy of </w:t>
      </w:r>
      <w:proofErr w:type="spellStart"/>
      <w:r w:rsidR="00734724" w:rsidRPr="003B6386">
        <w:rPr>
          <w:b/>
          <w:bCs/>
          <w:lang w:val="en-IE"/>
        </w:rPr>
        <w:t>brexu</w:t>
      </w:r>
      <w:proofErr w:type="spellEnd"/>
      <w:r w:rsidR="00734724" w:rsidRPr="003B6386">
        <w:rPr>
          <w:b/>
          <w:bCs/>
          <w:lang w:val="en-IE"/>
        </w:rPr>
        <w:t xml:space="preserve">-cel should use a standardised mortality ratio (SMR) of </w:t>
      </w:r>
      <w:r w:rsidR="00C71A53" w:rsidRPr="003B6386">
        <w:rPr>
          <w:b/>
          <w:bCs/>
          <w:lang w:val="en-IE"/>
        </w:rPr>
        <w:t>3</w:t>
      </w:r>
      <w:r w:rsidR="00734724" w:rsidRPr="003B6386">
        <w:rPr>
          <w:b/>
          <w:bCs/>
          <w:lang w:val="en-IE"/>
        </w:rPr>
        <w:t xml:space="preserve"> was unreasonable based on the evidence presented</w:t>
      </w:r>
      <w:r w:rsidR="00734724" w:rsidRPr="0011041B" w:rsidDel="00734724">
        <w:rPr>
          <w:b/>
          <w:bCs/>
          <w:highlight w:val="yellow"/>
        </w:rPr>
        <w:t xml:space="preserve"> </w:t>
      </w:r>
    </w:p>
    <w:p w14:paraId="31153422" w14:textId="45AB22F6" w:rsidR="00931B1E" w:rsidRDefault="00393219" w:rsidP="002C713B">
      <w:pPr>
        <w:spacing w:before="240" w:after="240" w:line="276" w:lineRule="auto"/>
        <w:jc w:val="both"/>
      </w:pPr>
      <w:r>
        <w:t>The SMR</w:t>
      </w:r>
      <w:r w:rsidRPr="00393219">
        <w:t xml:space="preserve"> is used to compare the mortality (death rate) of a specified population to that expected in the general population. If too high a number is applied, it results in a high amount of negative bias incorporated into the analyses.</w:t>
      </w:r>
      <w:r w:rsidR="00F32BB7">
        <w:t xml:space="preserve"> </w:t>
      </w:r>
    </w:p>
    <w:p w14:paraId="2C9CF38E" w14:textId="10CC09C9" w:rsidR="002C536C" w:rsidRDefault="00F138E5" w:rsidP="003E2B69">
      <w:pPr>
        <w:pStyle w:val="StyleParagraph11pt"/>
        <w:rPr>
          <w:rFonts w:ascii="Proxima Nova" w:hAnsi="Proxima Nova"/>
          <w:u w:val="single"/>
        </w:rPr>
      </w:pPr>
      <w:r w:rsidRPr="6BC75FC0">
        <w:rPr>
          <w:rFonts w:ascii="Proxima Nova" w:hAnsi="Proxima Nova"/>
        </w:rPr>
        <w:t xml:space="preserve">The clinical experts in the committee meeting explained that </w:t>
      </w:r>
      <w:r w:rsidR="007C38F6">
        <w:rPr>
          <w:rFonts w:ascii="Proxima Nova" w:hAnsi="Proxima Nova"/>
        </w:rPr>
        <w:t xml:space="preserve">there was unlikely to be a difference in </w:t>
      </w:r>
      <w:r w:rsidRPr="6BC75FC0">
        <w:rPr>
          <w:rFonts w:ascii="Proxima Nova" w:hAnsi="Proxima Nova"/>
        </w:rPr>
        <w:t xml:space="preserve">the risk of death following </w:t>
      </w:r>
      <w:r w:rsidR="00FA6655">
        <w:rPr>
          <w:rFonts w:ascii="Proxima Nova" w:hAnsi="Proxima Nova"/>
        </w:rPr>
        <w:t xml:space="preserve">treatment with </w:t>
      </w:r>
      <w:r w:rsidRPr="6BC75FC0">
        <w:rPr>
          <w:rFonts w:ascii="Proxima Nova" w:hAnsi="Proxima Nova"/>
        </w:rPr>
        <w:t>CAR</w:t>
      </w:r>
      <w:r w:rsidR="00FA6655">
        <w:rPr>
          <w:rFonts w:ascii="Proxima Nova" w:hAnsi="Proxima Nova"/>
        </w:rPr>
        <w:t>-</w:t>
      </w:r>
      <w:r w:rsidRPr="6BC75FC0">
        <w:rPr>
          <w:rFonts w:ascii="Proxima Nova" w:hAnsi="Proxima Nova"/>
        </w:rPr>
        <w:t xml:space="preserve">T </w:t>
      </w:r>
      <w:r w:rsidR="00FA6655">
        <w:rPr>
          <w:rFonts w:ascii="Proxima Nova" w:hAnsi="Proxima Nova"/>
        </w:rPr>
        <w:t xml:space="preserve">for long-term survivors, irrespective of whether the disease </w:t>
      </w:r>
      <w:r w:rsidR="6F327992" w:rsidRPr="6C1C5B69">
        <w:rPr>
          <w:rFonts w:ascii="Proxima Nova" w:hAnsi="Proxima Nova"/>
        </w:rPr>
        <w:t>w</w:t>
      </w:r>
      <w:r w:rsidR="00FA6655" w:rsidRPr="6C1C5B69">
        <w:rPr>
          <w:rFonts w:ascii="Proxima Nova" w:hAnsi="Proxima Nova"/>
        </w:rPr>
        <w:t>as</w:t>
      </w:r>
      <w:r w:rsidR="00FA6655">
        <w:rPr>
          <w:rFonts w:ascii="Proxima Nova" w:hAnsi="Proxima Nova"/>
        </w:rPr>
        <w:t xml:space="preserve"> MCL or </w:t>
      </w:r>
      <w:r w:rsidR="00E9327E">
        <w:rPr>
          <w:rFonts w:ascii="Proxima Nova" w:hAnsi="Proxima Nova"/>
        </w:rPr>
        <w:t xml:space="preserve">Diffuse Large B-cell Lymphoma (DLBCL). </w:t>
      </w:r>
      <w:r w:rsidR="0085725D" w:rsidRPr="0085725D">
        <w:rPr>
          <w:rFonts w:ascii="Proxima Nova" w:hAnsi="Proxima Nova"/>
        </w:rPr>
        <w:t>This is because</w:t>
      </w:r>
      <w:r w:rsidR="773C10F6" w:rsidRPr="1221CEF4">
        <w:rPr>
          <w:rFonts w:ascii="Proxima Nova" w:hAnsi="Proxima Nova"/>
        </w:rPr>
        <w:t xml:space="preserve"> both</w:t>
      </w:r>
      <w:r w:rsidR="0C10EF92" w:rsidRPr="003E2B69">
        <w:rPr>
          <w:rFonts w:ascii="Proxima Nova" w:eastAsia="Aptos" w:hAnsi="Proxima Nova" w:cs="Aptos"/>
          <w:color w:val="000000" w:themeColor="text1"/>
        </w:rPr>
        <w:t xml:space="preserve"> are adult B</w:t>
      </w:r>
      <w:r w:rsidR="0C10EF92" w:rsidRPr="003E2B69">
        <w:rPr>
          <w:rFonts w:ascii="Cambria Math" w:eastAsia="Aptos" w:hAnsi="Cambria Math" w:cs="Cambria Math"/>
          <w:color w:val="000000" w:themeColor="text1"/>
        </w:rPr>
        <w:t>‑</w:t>
      </w:r>
      <w:r w:rsidR="0C10EF92" w:rsidRPr="003E2B69">
        <w:rPr>
          <w:rFonts w:ascii="Proxima Nova" w:eastAsia="Aptos" w:hAnsi="Proxima Nova" w:cs="Aptos"/>
          <w:color w:val="000000" w:themeColor="text1"/>
        </w:rPr>
        <w:t>cell lymphomas routinely exposed to rituximab</w:t>
      </w:r>
      <w:r w:rsidR="0C10EF92" w:rsidRPr="003E2B69">
        <w:rPr>
          <w:rFonts w:ascii="Cambria Math" w:eastAsia="Aptos" w:hAnsi="Cambria Math" w:cs="Cambria Math"/>
          <w:color w:val="000000" w:themeColor="text1"/>
        </w:rPr>
        <w:t>‑</w:t>
      </w:r>
      <w:r w:rsidR="0C10EF92" w:rsidRPr="003E2B69">
        <w:rPr>
          <w:rFonts w:ascii="Proxima Nova" w:eastAsia="Aptos" w:hAnsi="Proxima Nova" w:cs="Aptos"/>
          <w:color w:val="000000" w:themeColor="text1"/>
        </w:rPr>
        <w:t>anthracycline</w:t>
      </w:r>
      <w:r w:rsidR="0C10EF92" w:rsidRPr="003E2B69">
        <w:rPr>
          <w:rFonts w:ascii="Proxima Nova" w:eastAsia="Aptos" w:hAnsi="Proxima Nova" w:cs="Proxima Nova"/>
          <w:color w:val="000000" w:themeColor="text1"/>
        </w:rPr>
        <w:t>–</w:t>
      </w:r>
      <w:r w:rsidR="0C10EF92" w:rsidRPr="003E2B69">
        <w:rPr>
          <w:rFonts w:ascii="Proxima Nova" w:eastAsia="Aptos" w:hAnsi="Proxima Nova" w:cs="Aptos"/>
          <w:color w:val="000000" w:themeColor="text1"/>
        </w:rPr>
        <w:t>based chemoimmunotherapy, with overlapping cardio</w:t>
      </w:r>
      <w:r w:rsidR="0C10EF92" w:rsidRPr="003E2B69">
        <w:rPr>
          <w:rFonts w:ascii="Cambria Math" w:eastAsia="Aptos" w:hAnsi="Cambria Math" w:cs="Cambria Math"/>
          <w:color w:val="000000" w:themeColor="text1"/>
        </w:rPr>
        <w:t>‑</w:t>
      </w:r>
      <w:r w:rsidR="0C10EF92" w:rsidRPr="003E2B69">
        <w:rPr>
          <w:rFonts w:ascii="Proxima Nova" w:eastAsia="Aptos" w:hAnsi="Proxima Nova" w:cs="Aptos"/>
          <w:color w:val="000000" w:themeColor="text1"/>
        </w:rPr>
        <w:t>metabolic late</w:t>
      </w:r>
      <w:r w:rsidR="0C10EF92" w:rsidRPr="003E2B69">
        <w:rPr>
          <w:rFonts w:ascii="Cambria Math" w:eastAsia="Aptos" w:hAnsi="Cambria Math" w:cs="Cambria Math"/>
          <w:color w:val="000000" w:themeColor="text1"/>
        </w:rPr>
        <w:t>‑</w:t>
      </w:r>
      <w:r w:rsidR="0C10EF92" w:rsidRPr="003E2B69">
        <w:rPr>
          <w:rFonts w:ascii="Proxima Nova" w:eastAsia="Aptos" w:hAnsi="Proxima Nova" w:cs="Aptos"/>
          <w:color w:val="000000" w:themeColor="text1"/>
        </w:rPr>
        <w:t xml:space="preserve">effect risks. </w:t>
      </w:r>
      <w:r w:rsidR="00E9327E" w:rsidRPr="003E2B69">
        <w:rPr>
          <w:rFonts w:ascii="Proxima Nova" w:eastAsia="Aptos" w:hAnsi="Proxima Nova" w:cs="Aptos"/>
          <w:color w:val="000000" w:themeColor="text1"/>
        </w:rPr>
        <w:t xml:space="preserve"> </w:t>
      </w:r>
      <w:r w:rsidR="4BDA795F" w:rsidRPr="18CC4307">
        <w:rPr>
          <w:rFonts w:ascii="Proxima Nova" w:hAnsi="Proxima Nova"/>
        </w:rPr>
        <w:t xml:space="preserve">For reference, </w:t>
      </w:r>
      <w:r w:rsidR="4BDA795F" w:rsidRPr="26B55B5E">
        <w:rPr>
          <w:rFonts w:ascii="Proxima Nova" w:hAnsi="Proxima Nova"/>
        </w:rPr>
        <w:t>t</w:t>
      </w:r>
      <w:r w:rsidR="002C536C" w:rsidRPr="0026110C">
        <w:rPr>
          <w:rFonts w:ascii="Proxima Nova" w:hAnsi="Proxima Nova"/>
        </w:rPr>
        <w:t>he SMR used in the NICE appraisals TA895 and TA872 for DLBCL was 1.09.</w:t>
      </w:r>
      <w:r w:rsidR="002C536C" w:rsidRPr="004B3C38">
        <w:rPr>
          <w:rFonts w:ascii="Proxima Nova" w:hAnsi="Proxima Nova"/>
        </w:rPr>
        <w:t> </w:t>
      </w:r>
      <w:r w:rsidR="002C536C" w:rsidRPr="0026110C">
        <w:rPr>
          <w:rFonts w:ascii="Proxima Nova" w:hAnsi="Proxima Nova"/>
        </w:rPr>
        <w:t xml:space="preserve">This critical point raised </w:t>
      </w:r>
      <w:r w:rsidR="006D3A01">
        <w:rPr>
          <w:rFonts w:ascii="Proxima Nova" w:hAnsi="Proxima Nova"/>
        </w:rPr>
        <w:t>by the clinical experts</w:t>
      </w:r>
      <w:r w:rsidR="002C536C" w:rsidRPr="0026110C">
        <w:rPr>
          <w:rFonts w:ascii="Proxima Nova" w:hAnsi="Proxima Nova"/>
        </w:rPr>
        <w:t xml:space="preserve"> at the second Committee meeting is not reflected in the FDG</w:t>
      </w:r>
      <w:r w:rsidR="00F474C9">
        <w:rPr>
          <w:rFonts w:ascii="Proxima Nova" w:hAnsi="Proxima Nova"/>
        </w:rPr>
        <w:t xml:space="preserve"> and the opinion of the experts appears to have been disregarded</w:t>
      </w:r>
      <w:r w:rsidR="002C536C" w:rsidRPr="0026110C">
        <w:rPr>
          <w:rFonts w:ascii="Proxima Nova" w:hAnsi="Proxima Nova"/>
        </w:rPr>
        <w:t>.</w:t>
      </w:r>
    </w:p>
    <w:p w14:paraId="56BCB82D" w14:textId="7928E89F" w:rsidR="003E3225" w:rsidRDefault="0B2B9ED5" w:rsidP="007F512B">
      <w:pPr>
        <w:spacing w:before="240" w:after="240" w:line="276" w:lineRule="auto"/>
        <w:jc w:val="both"/>
      </w:pPr>
      <w:r w:rsidRPr="007F512B">
        <w:t>Instead</w:t>
      </w:r>
      <w:r w:rsidR="009E4514" w:rsidRPr="007F512B">
        <w:t xml:space="preserve">, the Committee </w:t>
      </w:r>
      <w:r w:rsidR="00A65D54">
        <w:t>adopted</w:t>
      </w:r>
      <w:r w:rsidR="009E4514" w:rsidRPr="007F512B">
        <w:t xml:space="preserve"> an SMR of 3, </w:t>
      </w:r>
      <w:r w:rsidR="005B5692">
        <w:t>taking the value previously accepted i</w:t>
      </w:r>
      <w:r w:rsidR="006001D7">
        <w:t>n</w:t>
      </w:r>
      <w:r w:rsidR="009E4514" w:rsidRPr="007F512B">
        <w:t xml:space="preserve"> appraisal TA893 </w:t>
      </w:r>
      <w:r w:rsidR="006001D7">
        <w:t xml:space="preserve">for </w:t>
      </w:r>
      <w:proofErr w:type="spellStart"/>
      <w:r w:rsidR="006001D7">
        <w:t>brexu</w:t>
      </w:r>
      <w:proofErr w:type="spellEnd"/>
      <w:r w:rsidR="006001D7">
        <w:t>-cel</w:t>
      </w:r>
      <w:r w:rsidR="009E4514" w:rsidRPr="007F512B">
        <w:t xml:space="preserve"> in patients with relapsed refractory acute</w:t>
      </w:r>
      <w:r w:rsidR="009E4514" w:rsidRPr="009E4514">
        <w:t xml:space="preserve"> lymp</w:t>
      </w:r>
      <w:r w:rsidR="00AA359F" w:rsidRPr="002116AA">
        <w:t>h</w:t>
      </w:r>
      <w:r w:rsidR="009E4514" w:rsidRPr="009E4514">
        <w:t xml:space="preserve">oblastic </w:t>
      </w:r>
      <w:r w:rsidR="006D2C4D" w:rsidRPr="009E4514">
        <w:t>leukaemia</w:t>
      </w:r>
      <w:r w:rsidR="009E4514" w:rsidRPr="009E4514">
        <w:t xml:space="preserve"> (ALL). </w:t>
      </w:r>
      <w:r w:rsidR="69D81151" w:rsidRPr="075EABDF">
        <w:t xml:space="preserve">Unlike DLBCL and MCL – which are both B-cell lymphomas with comparable treatment pathways, ALL is </w:t>
      </w:r>
      <w:r w:rsidR="69D81151" w:rsidRPr="5889C622">
        <w:t>an</w:t>
      </w:r>
      <w:r w:rsidR="69D81151" w:rsidRPr="075EABDF">
        <w:t xml:space="preserve"> acute</w:t>
      </w:r>
      <w:r w:rsidR="69D81151" w:rsidRPr="3638D761">
        <w:t xml:space="preserve"> </w:t>
      </w:r>
      <w:r w:rsidR="3804777A" w:rsidRPr="7E529845">
        <w:t>leukaemia</w:t>
      </w:r>
      <w:r w:rsidR="69D81151" w:rsidRPr="7E529845">
        <w:t xml:space="preserve"> with</w:t>
      </w:r>
      <w:r w:rsidR="2D8763A2" w:rsidRPr="7E529845">
        <w:t xml:space="preserve"> a very different treatment pathway involving</w:t>
      </w:r>
      <w:r w:rsidR="69D81151" w:rsidRPr="3638D761">
        <w:t xml:space="preserve"> intensive </w:t>
      </w:r>
      <w:r w:rsidR="69D81151" w:rsidRPr="62B030CD">
        <w:t xml:space="preserve">multi-year </w:t>
      </w:r>
      <w:r w:rsidR="69D81151" w:rsidRPr="58BF1808">
        <w:t xml:space="preserve">chemotherapy, </w:t>
      </w:r>
      <w:r w:rsidR="3639E97E" w:rsidRPr="58BF1808">
        <w:t>high</w:t>
      </w:r>
      <w:r w:rsidR="3639E97E" w:rsidRPr="78D5B3E0">
        <w:t xml:space="preserve"> rates of</w:t>
      </w:r>
      <w:r w:rsidR="3639E97E" w:rsidRPr="451D0E2C">
        <w:t xml:space="preserve"> </w:t>
      </w:r>
      <w:r w:rsidR="3639E97E" w:rsidRPr="2C5CEE40">
        <w:t xml:space="preserve">allogeneic </w:t>
      </w:r>
      <w:r w:rsidR="3639E97E" w:rsidRPr="7882C0BA">
        <w:t xml:space="preserve">transplants and </w:t>
      </w:r>
      <w:r w:rsidR="3639E97E" w:rsidRPr="49B42C97">
        <w:t xml:space="preserve">distinct late </w:t>
      </w:r>
      <w:r w:rsidR="3639E97E" w:rsidRPr="1BF8E539">
        <w:lastRenderedPageBreak/>
        <w:t xml:space="preserve">toxicities </w:t>
      </w:r>
      <w:r w:rsidR="3639E97E" w:rsidRPr="57EA2F44">
        <w:t>(e.g. chronic graft versus host disease</w:t>
      </w:r>
      <w:r w:rsidR="3639E97E" w:rsidRPr="0ED45012">
        <w:t>).</w:t>
      </w:r>
      <w:r w:rsidR="3639E97E" w:rsidRPr="2584D2C6">
        <w:t xml:space="preserve"> </w:t>
      </w:r>
      <w:r w:rsidR="009E4514" w:rsidRPr="009E4514">
        <w:t xml:space="preserve"> The increased risk of death </w:t>
      </w:r>
      <w:r w:rsidR="006B4A6A">
        <w:t>i</w:t>
      </w:r>
      <w:r w:rsidR="009E4514" w:rsidRPr="009E4514">
        <w:t>n this different</w:t>
      </w:r>
      <w:r w:rsidR="009E4514">
        <w:t xml:space="preserve"> </w:t>
      </w:r>
      <w:r w:rsidR="00BD3BC7">
        <w:t>disease</w:t>
      </w:r>
      <w:r w:rsidR="009E4514" w:rsidRPr="009E4514">
        <w:t xml:space="preserve"> is due to </w:t>
      </w:r>
      <w:r w:rsidR="009E4514" w:rsidRPr="338C82DC">
        <w:t>the</w:t>
      </w:r>
      <w:r w:rsidR="6D34E619" w:rsidRPr="338C82DC">
        <w:t>se</w:t>
      </w:r>
      <w:r w:rsidR="009E4514" w:rsidRPr="009E4514">
        <w:t xml:space="preserve"> invasive and intense prior treatments and their associated toxicities used to treat the disease. This is not the case for MCL, where patients have typically </w:t>
      </w:r>
      <w:proofErr w:type="gramStart"/>
      <w:r w:rsidR="009E4514" w:rsidRPr="7E529845">
        <w:t>ha</w:t>
      </w:r>
      <w:r w:rsidR="1195AA13" w:rsidRPr="7E529845">
        <w:t>ve</w:t>
      </w:r>
      <w:proofErr w:type="gramEnd"/>
      <w:r w:rsidR="009E4514" w:rsidRPr="009E4514">
        <w:t xml:space="preserve"> fewer and less intensive prior therapies compared to ALL patients.</w:t>
      </w:r>
      <w:r w:rsidR="00E46437">
        <w:t xml:space="preserve"> It was therefore unreasonable for the Committee to adopt and SMR of 3 on this basis</w:t>
      </w:r>
    </w:p>
    <w:p w14:paraId="3A416E99" w14:textId="55F005C0" w:rsidR="00E92C6D" w:rsidRDefault="00E30546" w:rsidP="003E2B69">
      <w:pPr>
        <w:spacing w:before="240" w:after="240" w:line="276" w:lineRule="auto"/>
        <w:jc w:val="both"/>
      </w:pPr>
      <w:r>
        <w:t>In</w:t>
      </w:r>
      <w:r w:rsidR="00F138E5">
        <w:t xml:space="preserve"> </w:t>
      </w:r>
      <w:r>
        <w:t>t</w:t>
      </w:r>
      <w:r w:rsidR="000E1A9E" w:rsidRPr="278910DF">
        <w:t>he FDG</w:t>
      </w:r>
      <w:r w:rsidR="00DC7918">
        <w:t>, the Committee explains that</w:t>
      </w:r>
      <w:r w:rsidR="00A4535A">
        <w:t xml:space="preserve"> </w:t>
      </w:r>
      <w:r w:rsidR="00F4126E">
        <w:t>“</w:t>
      </w:r>
      <w:r w:rsidR="00F3431F" w:rsidRPr="003E2B69">
        <w:rPr>
          <w:i/>
          <w:iCs/>
        </w:rPr>
        <w:t xml:space="preserve">in </w:t>
      </w:r>
      <w:r w:rsidR="0096418B" w:rsidRPr="003E2B69">
        <w:rPr>
          <w:i/>
          <w:iCs/>
        </w:rPr>
        <w:t>TA677 the calculated SMRs from previous ZUMA-2 data were estimated to be in the range of 2.36 to 4.3</w:t>
      </w:r>
      <w:r w:rsidR="00F4126E">
        <w:t>”</w:t>
      </w:r>
      <w:r w:rsidR="001A0EBC">
        <w:t xml:space="preserve"> to provide additional context for </w:t>
      </w:r>
      <w:r w:rsidR="00F7468C" w:rsidRPr="278910DF">
        <w:t xml:space="preserve">the </w:t>
      </w:r>
      <w:r w:rsidR="001A0EBC">
        <w:t>Committee’s choice</w:t>
      </w:r>
      <w:r w:rsidR="00112B1E">
        <w:t xml:space="preserve"> of </w:t>
      </w:r>
      <w:r w:rsidR="000E1A9E" w:rsidRPr="278910DF">
        <w:t>a</w:t>
      </w:r>
      <w:r w:rsidR="00F7468C" w:rsidRPr="278910DF">
        <w:t xml:space="preserve">n SMR of </w:t>
      </w:r>
      <w:r w:rsidR="00112B1E">
        <w:t>3</w:t>
      </w:r>
      <w:r w:rsidR="00EE7B9A">
        <w:t>. This is incorrect</w:t>
      </w:r>
      <w:r w:rsidR="6BAD4B83">
        <w:t>.</w:t>
      </w:r>
      <w:r w:rsidR="000E1A9E">
        <w:t xml:space="preserve"> </w:t>
      </w:r>
      <w:r w:rsidR="003328FA">
        <w:t xml:space="preserve">The </w:t>
      </w:r>
      <w:r w:rsidR="00FA4682">
        <w:t>SMRs</w:t>
      </w:r>
      <w:r w:rsidR="001C27D1">
        <w:t xml:space="preserve"> in TA677</w:t>
      </w:r>
      <w:r w:rsidR="00FA4682">
        <w:t xml:space="preserve"> </w:t>
      </w:r>
      <w:r w:rsidR="005C40A9">
        <w:t>were</w:t>
      </w:r>
      <w:r w:rsidR="00497523" w:rsidRPr="278910DF">
        <w:t xml:space="preserve"> tak</w:t>
      </w:r>
      <w:r w:rsidR="00865A99" w:rsidRPr="278910DF">
        <w:t>en from a study by Eskelund et al. (2016)</w:t>
      </w:r>
      <w:r w:rsidR="00497523" w:rsidRPr="278910DF">
        <w:t xml:space="preserve"> </w:t>
      </w:r>
      <w:r w:rsidR="00157682" w:rsidRPr="278910DF">
        <w:t xml:space="preserve">of people treated for MCL but who had not had CAR-T treatment. </w:t>
      </w:r>
      <w:r w:rsidR="5D3789FF" w:rsidRPr="278910DF">
        <w:t xml:space="preserve"> </w:t>
      </w:r>
      <w:r w:rsidR="00FA2E46">
        <w:rPr>
          <w:rFonts w:cs="Segoe UI"/>
        </w:rPr>
        <w:t>T</w:t>
      </w:r>
      <w:r w:rsidR="00304C1E" w:rsidRPr="003E2B69">
        <w:rPr>
          <w:rFonts w:cs="Segoe UI"/>
        </w:rPr>
        <w:t xml:space="preserve">he outcomes reported by Eskelund et al. were derived from a cohort of patients who underwent autologous stem cell transplant (ASCT). During </w:t>
      </w:r>
      <w:r w:rsidR="00305BDB">
        <w:rPr>
          <w:rFonts w:cs="Segoe UI"/>
        </w:rPr>
        <w:t>TA677</w:t>
      </w:r>
      <w:r w:rsidR="00304C1E" w:rsidRPr="003E2B69">
        <w:rPr>
          <w:rFonts w:cs="Segoe UI"/>
        </w:rPr>
        <w:t>, the clinical expert noted that ASCT is not considered a curative intervention in mantle cell lymphoma (MCL), and patients are generally anticipated to experience disease relapse</w:t>
      </w:r>
      <w:r w:rsidR="007711F3">
        <w:rPr>
          <w:rFonts w:cs="Segoe UI"/>
        </w:rPr>
        <w:t xml:space="preserve"> </w:t>
      </w:r>
      <w:r w:rsidR="00304C1E" w:rsidRPr="003E2B69">
        <w:rPr>
          <w:rFonts w:cs="Segoe UI"/>
        </w:rPr>
        <w:t>—</w:t>
      </w:r>
      <w:r w:rsidR="007711F3">
        <w:rPr>
          <w:rFonts w:cs="Segoe UI"/>
        </w:rPr>
        <w:t xml:space="preserve"> </w:t>
      </w:r>
      <w:r w:rsidR="00304C1E" w:rsidRPr="003E2B69">
        <w:rPr>
          <w:rFonts w:cs="Segoe UI"/>
        </w:rPr>
        <w:t>an assumption that may not apply in the same manner to CART treatment. Furthermore, the patients included in the Eskelund et al. study had not received ibrutinib, a therapy known to extend survival</w:t>
      </w:r>
      <w:r w:rsidR="008876D3">
        <w:rPr>
          <w:rFonts w:cs="Segoe UI"/>
        </w:rPr>
        <w:t xml:space="preserve"> which was not available at that time</w:t>
      </w:r>
      <w:r w:rsidR="005D6359">
        <w:rPr>
          <w:rFonts w:cs="Segoe UI"/>
        </w:rPr>
        <w:t>, but which is no</w:t>
      </w:r>
      <w:r w:rsidR="00401C4B">
        <w:rPr>
          <w:rFonts w:cs="Segoe UI"/>
        </w:rPr>
        <w:t>w routinely used</w:t>
      </w:r>
      <w:r w:rsidR="00FD6208">
        <w:rPr>
          <w:rFonts w:cs="Segoe UI"/>
        </w:rPr>
        <w:t xml:space="preserve"> </w:t>
      </w:r>
      <w:r w:rsidR="1E08CE40" w:rsidRPr="30067175">
        <w:rPr>
          <w:rFonts w:cs="Segoe UI"/>
        </w:rPr>
        <w:t xml:space="preserve">in the second line </w:t>
      </w:r>
      <w:r w:rsidR="1E08CE40" w:rsidRPr="2C149E58">
        <w:rPr>
          <w:rFonts w:cs="Segoe UI"/>
        </w:rPr>
        <w:t>setting, further extending survival</w:t>
      </w:r>
      <w:r w:rsidR="1E08CE40" w:rsidRPr="669B05BD">
        <w:rPr>
          <w:rFonts w:cs="Segoe UI"/>
        </w:rPr>
        <w:t>.</w:t>
      </w:r>
      <w:r w:rsidR="00FD6208" w:rsidRPr="2C95B08A">
        <w:rPr>
          <w:rFonts w:cs="Segoe UI"/>
        </w:rPr>
        <w:t xml:space="preserve"> </w:t>
      </w:r>
      <w:proofErr w:type="gramStart"/>
      <w:r w:rsidR="00BF17C0">
        <w:rPr>
          <w:rFonts w:cs="Segoe UI"/>
        </w:rPr>
        <w:t>This</w:t>
      </w:r>
      <w:r w:rsidR="00304C1E" w:rsidRPr="003E2B69">
        <w:rPr>
          <w:rFonts w:cs="Segoe UI"/>
        </w:rPr>
        <w:t xml:space="preserve"> further limits</w:t>
      </w:r>
      <w:proofErr w:type="gramEnd"/>
      <w:r w:rsidR="00304C1E" w:rsidRPr="003E2B69">
        <w:rPr>
          <w:rFonts w:cs="Segoe UI"/>
        </w:rPr>
        <w:t xml:space="preserve"> the applicability of these data to the current treatment landscape.</w:t>
      </w:r>
    </w:p>
    <w:p w14:paraId="50608E46" w14:textId="2F6BFE6C" w:rsidR="0016346C" w:rsidRPr="0011041B" w:rsidRDefault="00F8288D" w:rsidP="002C713B">
      <w:pPr>
        <w:pStyle w:val="StyleParagraph11pt"/>
        <w:rPr>
          <w:rFonts w:ascii="Proxima Nova" w:hAnsi="Proxima Nova"/>
        </w:rPr>
      </w:pPr>
      <w:r>
        <w:rPr>
          <w:rFonts w:ascii="Proxima Nova" w:hAnsi="Proxima Nova"/>
        </w:rPr>
        <w:t xml:space="preserve">In summary, </w:t>
      </w:r>
      <w:r w:rsidR="00F73174">
        <w:rPr>
          <w:rFonts w:ascii="Proxima Nova" w:hAnsi="Proxima Nova"/>
        </w:rPr>
        <w:t>it was unreasonable for the Committee to adopt an SMR of 3 based on</w:t>
      </w:r>
      <w:r w:rsidR="00D77787">
        <w:rPr>
          <w:rFonts w:ascii="Proxima Nova" w:hAnsi="Proxima Nova"/>
        </w:rPr>
        <w:t xml:space="preserve"> </w:t>
      </w:r>
      <w:r w:rsidR="00E54078">
        <w:rPr>
          <w:rFonts w:ascii="Proxima Nova" w:hAnsi="Proxima Nova"/>
        </w:rPr>
        <w:t xml:space="preserve">an appraisal of a different disease (ALL) </w:t>
      </w:r>
      <w:r w:rsidR="004716F9">
        <w:rPr>
          <w:rFonts w:ascii="Proxima Nova" w:hAnsi="Proxima Nova"/>
        </w:rPr>
        <w:t>with a different treatment pathway</w:t>
      </w:r>
      <w:r w:rsidR="002628DF">
        <w:rPr>
          <w:rFonts w:ascii="Proxima Nova" w:hAnsi="Proxima Nova"/>
        </w:rPr>
        <w:t xml:space="preserve">, </w:t>
      </w:r>
      <w:r w:rsidR="0016420A">
        <w:rPr>
          <w:rFonts w:ascii="Proxima Nova" w:hAnsi="Proxima Nova"/>
        </w:rPr>
        <w:t xml:space="preserve">to further justify this decision by referring to a clinical paper </w:t>
      </w:r>
      <w:r w:rsidR="001C3171">
        <w:rPr>
          <w:rFonts w:ascii="Proxima Nova" w:hAnsi="Proxima Nova"/>
        </w:rPr>
        <w:t>written ten years ago when</w:t>
      </w:r>
      <w:r w:rsidR="002628DF">
        <w:rPr>
          <w:rFonts w:ascii="Proxima Nova" w:hAnsi="Proxima Nova"/>
        </w:rPr>
        <w:t xml:space="preserve"> the </w:t>
      </w:r>
      <w:r w:rsidR="00162A6A">
        <w:rPr>
          <w:rFonts w:ascii="Proxima Nova" w:hAnsi="Proxima Nova"/>
        </w:rPr>
        <w:t>treatment landscape was markedly different</w:t>
      </w:r>
      <w:r w:rsidR="00DC7C71">
        <w:rPr>
          <w:rFonts w:ascii="Proxima Nova" w:hAnsi="Proxima Nova"/>
        </w:rPr>
        <w:t>, and to ignore expert clinical opinion</w:t>
      </w:r>
      <w:r>
        <w:rPr>
          <w:rFonts w:ascii="Proxima Nova" w:hAnsi="Proxima Nova"/>
        </w:rPr>
        <w:t xml:space="preserve"> </w:t>
      </w:r>
      <w:r w:rsidR="001B6F7B">
        <w:rPr>
          <w:rFonts w:ascii="Proxima Nova" w:hAnsi="Proxima Nova"/>
        </w:rPr>
        <w:t xml:space="preserve">that </w:t>
      </w:r>
      <w:r w:rsidR="00D62893">
        <w:rPr>
          <w:rFonts w:ascii="Proxima Nova" w:hAnsi="Proxima Nova"/>
        </w:rPr>
        <w:t xml:space="preserve">there was unlikely to be a difference </w:t>
      </w:r>
      <w:r w:rsidR="004F4655" w:rsidRPr="007F512B">
        <w:rPr>
          <w:rFonts w:ascii="Proxima Nova" w:hAnsi="Proxima Nova"/>
        </w:rPr>
        <w:t xml:space="preserve">in the risk of death following treatment with CAR-T for long-term survivors, irrespective of whether the disease was MCL or </w:t>
      </w:r>
      <w:r w:rsidR="004F4655">
        <w:rPr>
          <w:rFonts w:ascii="Proxima Nova" w:hAnsi="Proxima Nova"/>
        </w:rPr>
        <w:t>DLBCL.</w:t>
      </w:r>
    </w:p>
    <w:p w14:paraId="2DCB4646" w14:textId="0A81A5A6" w:rsidR="006A796F" w:rsidRDefault="00F66587" w:rsidP="002C713B">
      <w:pPr>
        <w:pStyle w:val="StyleParagraph11pt"/>
        <w:rPr>
          <w:rFonts w:ascii="Proxima Nova" w:hAnsi="Proxima Nova"/>
          <w:b/>
          <w:bCs/>
          <w:noProof/>
          <w14:ligatures w14:val="standardContextual"/>
        </w:rPr>
      </w:pPr>
      <w:r w:rsidRPr="00F66587">
        <w:rPr>
          <w:rFonts w:ascii="Proxima Nova" w:hAnsi="Proxima Nova"/>
          <w:b/>
          <w:bCs/>
          <w:noProof/>
          <w14:ligatures w14:val="standardContextual"/>
        </w:rPr>
        <mc:AlternateContent>
          <mc:Choice Requires="wps">
            <w:drawing>
              <wp:inline distT="0" distB="0" distL="0" distR="0" wp14:anchorId="1AE64E41" wp14:editId="64D795A1">
                <wp:extent cx="5731510" cy="635"/>
                <wp:effectExtent l="0" t="31750" r="0" b="36830"/>
                <wp:docPr id="1306504286" name="Horizontal Lin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E03CF42">
              <v:rect id="Horizontal Line 18" style="width:451.3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w14:anchorId="55BD580A">
                <o:lock v:ext="edit" rotation="t" verticies="t" text="t" aspectratio="t" shapetype="t"/>
                <w10:anchorlock/>
              </v:rect>
            </w:pict>
          </mc:Fallback>
        </mc:AlternateContent>
      </w:r>
    </w:p>
    <w:p w14:paraId="2A105C1E" w14:textId="5D0C525E" w:rsidR="002337D6" w:rsidRPr="002337D6" w:rsidRDefault="002337D6" w:rsidP="002337D6">
      <w:pPr>
        <w:spacing w:before="240" w:after="240" w:line="276" w:lineRule="auto"/>
        <w:jc w:val="both"/>
        <w:rPr>
          <w:b/>
          <w:bCs/>
        </w:rPr>
      </w:pPr>
      <w:r w:rsidRPr="002337D6">
        <w:rPr>
          <w:b/>
          <w:bCs/>
        </w:rPr>
        <w:t>2.</w:t>
      </w:r>
      <w:r w:rsidR="00316FE6">
        <w:rPr>
          <w:b/>
          <w:bCs/>
        </w:rPr>
        <w:t>3</w:t>
      </w:r>
      <w:r w:rsidRPr="002337D6">
        <w:rPr>
          <w:b/>
          <w:bCs/>
        </w:rPr>
        <w:t xml:space="preserve"> NICE’s decision not to assess </w:t>
      </w:r>
      <w:proofErr w:type="spellStart"/>
      <w:r w:rsidRPr="002337D6">
        <w:rPr>
          <w:b/>
          <w:bCs/>
        </w:rPr>
        <w:t>brexu</w:t>
      </w:r>
      <w:proofErr w:type="spellEnd"/>
      <w:r w:rsidRPr="002337D6">
        <w:rPr>
          <w:b/>
          <w:bCs/>
        </w:rPr>
        <w:t xml:space="preserve">-cel under the HST route was unreasonable as it was based on </w:t>
      </w:r>
      <w:r w:rsidR="006816E1">
        <w:rPr>
          <w:b/>
          <w:bCs/>
        </w:rPr>
        <w:t xml:space="preserve">the </w:t>
      </w:r>
      <w:r w:rsidRPr="002337D6">
        <w:rPr>
          <w:b/>
          <w:bCs/>
        </w:rPr>
        <w:t xml:space="preserve">incorrect </w:t>
      </w:r>
      <w:r w:rsidR="006816E1">
        <w:rPr>
          <w:b/>
          <w:bCs/>
        </w:rPr>
        <w:t xml:space="preserve">conclusion </w:t>
      </w:r>
      <w:r w:rsidRPr="002337D6">
        <w:rPr>
          <w:b/>
          <w:bCs/>
        </w:rPr>
        <w:t>that the routing criteria had not changed</w:t>
      </w:r>
    </w:p>
    <w:p w14:paraId="43B74EC1" w14:textId="62B68672" w:rsidR="002337D6" w:rsidRDefault="005060C1" w:rsidP="002C713B">
      <w:pPr>
        <w:pStyle w:val="StyleParagraph11pt"/>
        <w:rPr>
          <w:rFonts w:ascii="Proxima Nova" w:hAnsi="Proxima Nova"/>
        </w:rPr>
      </w:pPr>
      <w:r>
        <w:rPr>
          <w:rFonts w:ascii="Proxima Nova" w:hAnsi="Proxima Nova"/>
        </w:rPr>
        <w:t xml:space="preserve">In the alternative, </w:t>
      </w:r>
      <w:r w:rsidR="6E04965D" w:rsidRPr="7E529845">
        <w:rPr>
          <w:rFonts w:ascii="Proxima Nova" w:hAnsi="Proxima Nova"/>
        </w:rPr>
        <w:t>i</w:t>
      </w:r>
      <w:r w:rsidR="00B33515">
        <w:rPr>
          <w:rFonts w:ascii="Proxima Nova" w:hAnsi="Proxima Nova"/>
        </w:rPr>
        <w:t xml:space="preserve">f the </w:t>
      </w:r>
      <w:r w:rsidR="5068B09C" w:rsidRPr="7E529845">
        <w:rPr>
          <w:rFonts w:ascii="Proxima Nova" w:hAnsi="Proxima Nova"/>
        </w:rPr>
        <w:t xml:space="preserve">Appeal </w:t>
      </w:r>
      <w:r w:rsidR="3BD1A9F4" w:rsidRPr="7E529845">
        <w:rPr>
          <w:rFonts w:ascii="Proxima Nova" w:hAnsi="Proxima Nova"/>
        </w:rPr>
        <w:t>P</w:t>
      </w:r>
      <w:r w:rsidR="00B33515" w:rsidRPr="7E529845">
        <w:rPr>
          <w:rFonts w:ascii="Proxima Nova" w:hAnsi="Proxima Nova"/>
        </w:rPr>
        <w:t>anel</w:t>
      </w:r>
      <w:r w:rsidR="00B33515">
        <w:rPr>
          <w:rFonts w:ascii="Proxima Nova" w:hAnsi="Proxima Nova"/>
        </w:rPr>
        <w:t xml:space="preserve"> does not consider </w:t>
      </w:r>
      <w:r w:rsidR="00BB6E55" w:rsidRPr="00BB6E55">
        <w:rPr>
          <w:rFonts w:ascii="Proxima Nova" w:hAnsi="Proxima Nova"/>
        </w:rPr>
        <w:t>NICE’s decision to follow the STA route for this appraisal</w:t>
      </w:r>
      <w:r w:rsidR="00C24800">
        <w:rPr>
          <w:rFonts w:ascii="Proxima Nova" w:hAnsi="Proxima Nova"/>
        </w:rPr>
        <w:t xml:space="preserve"> </w:t>
      </w:r>
      <w:r w:rsidR="00BB6E55">
        <w:rPr>
          <w:rFonts w:ascii="Proxima Nova" w:hAnsi="Proxima Nova"/>
        </w:rPr>
        <w:t>was unfair</w:t>
      </w:r>
      <w:r w:rsidR="00C24800">
        <w:rPr>
          <w:rFonts w:ascii="Proxima Nova" w:hAnsi="Proxima Nova"/>
        </w:rPr>
        <w:t xml:space="preserve"> (as set out in ground 1(a).2</w:t>
      </w:r>
      <w:r w:rsidR="00C24800" w:rsidRPr="7E529845">
        <w:rPr>
          <w:rFonts w:ascii="Proxima Nova" w:hAnsi="Proxima Nova"/>
        </w:rPr>
        <w:t>)</w:t>
      </w:r>
      <w:r w:rsidR="10FFFF4F" w:rsidRPr="7E529845">
        <w:rPr>
          <w:rFonts w:ascii="Proxima Nova" w:hAnsi="Proxima Nova"/>
        </w:rPr>
        <w:t>)</w:t>
      </w:r>
      <w:r w:rsidR="00BB6E55" w:rsidRPr="7E529845">
        <w:rPr>
          <w:rFonts w:ascii="Proxima Nova" w:hAnsi="Proxima Nova"/>
        </w:rPr>
        <w:t>,</w:t>
      </w:r>
      <w:r w:rsidR="00BB6E55">
        <w:rPr>
          <w:rFonts w:ascii="Proxima Nova" w:hAnsi="Proxima Nova"/>
        </w:rPr>
        <w:t xml:space="preserve"> </w:t>
      </w:r>
      <w:r w:rsidR="00B8500C">
        <w:rPr>
          <w:rFonts w:ascii="Proxima Nova" w:hAnsi="Proxima Nova"/>
        </w:rPr>
        <w:t>it was also unreasonable for NIC</w:t>
      </w:r>
      <w:r w:rsidR="00373E8B">
        <w:rPr>
          <w:rFonts w:ascii="Proxima Nova" w:hAnsi="Proxima Nova"/>
        </w:rPr>
        <w:t>E to conclude that the HST routing criteria had not substantially changed</w:t>
      </w:r>
      <w:r w:rsidR="005C65FE">
        <w:rPr>
          <w:rFonts w:ascii="Proxima Nova" w:hAnsi="Proxima Nova"/>
        </w:rPr>
        <w:t xml:space="preserve"> between TA677 and </w:t>
      </w:r>
      <w:r w:rsidR="00A6343A">
        <w:rPr>
          <w:rFonts w:ascii="Proxima Nova" w:hAnsi="Proxima Nova"/>
        </w:rPr>
        <w:t>ID</w:t>
      </w:r>
      <w:r w:rsidR="0073380B">
        <w:rPr>
          <w:rFonts w:ascii="Proxima Nova" w:hAnsi="Proxima Nova"/>
        </w:rPr>
        <w:t>6325</w:t>
      </w:r>
      <w:r w:rsidR="00366B53">
        <w:rPr>
          <w:rFonts w:ascii="Proxima Nova" w:hAnsi="Proxima Nova"/>
        </w:rPr>
        <w:t xml:space="preserve">. </w:t>
      </w:r>
      <w:r w:rsidR="00BB6E55" w:rsidRPr="00BB6E55">
        <w:rPr>
          <w:rFonts w:ascii="Proxima Nova" w:hAnsi="Proxima Nova"/>
        </w:rPr>
        <w:t xml:space="preserve"> </w:t>
      </w:r>
      <w:r w:rsidR="00366B53">
        <w:rPr>
          <w:rFonts w:ascii="Proxima Nova" w:hAnsi="Proxima Nova"/>
        </w:rPr>
        <w:t>I</w:t>
      </w:r>
      <w:r w:rsidR="001B10FA" w:rsidRPr="57F8C531">
        <w:rPr>
          <w:rFonts w:ascii="Proxima Nova" w:hAnsi="Proxima Nova"/>
        </w:rPr>
        <w:t xml:space="preserve">n December 2024 </w:t>
      </w:r>
      <w:r w:rsidR="00ED17F2">
        <w:rPr>
          <w:rFonts w:ascii="Proxima Nova" w:hAnsi="Proxima Nova"/>
        </w:rPr>
        <w:t xml:space="preserve">NICE </w:t>
      </w:r>
      <w:r w:rsidR="001B10FA" w:rsidRPr="57F8C531">
        <w:rPr>
          <w:rFonts w:ascii="Proxima Nova" w:hAnsi="Proxima Nova"/>
        </w:rPr>
        <w:t>stated that “</w:t>
      </w:r>
      <w:r w:rsidR="001B10FA" w:rsidRPr="57F8C531">
        <w:rPr>
          <w:rFonts w:ascii="Proxima Nova" w:hAnsi="Proxima Nova"/>
          <w:i/>
        </w:rPr>
        <w:t xml:space="preserve">This topic has been selected as a single technology appraisal, as it was for the first evaluation of </w:t>
      </w:r>
      <w:proofErr w:type="spellStart"/>
      <w:r w:rsidR="001B10FA" w:rsidRPr="57F8C531">
        <w:rPr>
          <w:rFonts w:ascii="Proxima Nova" w:hAnsi="Proxima Nova"/>
          <w:i/>
        </w:rPr>
        <w:t>brexucabtagene</w:t>
      </w:r>
      <w:proofErr w:type="spellEnd"/>
      <w:r w:rsidR="001B10FA" w:rsidRPr="57F8C531">
        <w:rPr>
          <w:rFonts w:ascii="Proxima Nova" w:hAnsi="Proxima Nova"/>
          <w:i/>
        </w:rPr>
        <w:t xml:space="preserve"> </w:t>
      </w:r>
      <w:proofErr w:type="spellStart"/>
      <w:r w:rsidR="001B10FA" w:rsidRPr="57F8C531">
        <w:rPr>
          <w:rFonts w:ascii="Proxima Nova" w:hAnsi="Proxima Nova"/>
          <w:i/>
        </w:rPr>
        <w:t>autoleucel</w:t>
      </w:r>
      <w:proofErr w:type="spellEnd"/>
      <w:r w:rsidR="001B10FA" w:rsidRPr="57F8C531">
        <w:rPr>
          <w:rFonts w:ascii="Proxima Nova" w:hAnsi="Proxima Nova"/>
          <w:i/>
        </w:rPr>
        <w:t xml:space="preserve"> (TA677). The HST criteria have not substantially changed and hence it would not be appropriate to route via the HST </w:t>
      </w:r>
      <w:r w:rsidR="001B10FA" w:rsidRPr="57F8C531">
        <w:rPr>
          <w:rFonts w:ascii="Proxima Nova" w:hAnsi="Proxima Nova"/>
        </w:rPr>
        <w:t>process</w:t>
      </w:r>
      <w:r w:rsidR="0032081A" w:rsidRPr="57F8C531">
        <w:rPr>
          <w:rFonts w:ascii="Proxima Nova" w:hAnsi="Proxima Nova"/>
        </w:rPr>
        <w:t>”.</w:t>
      </w:r>
    </w:p>
    <w:p w14:paraId="305B5F4C" w14:textId="0F509D7B" w:rsidR="0032081A" w:rsidRDefault="0032081A" w:rsidP="002C713B">
      <w:pPr>
        <w:pStyle w:val="StyleParagraph11pt"/>
        <w:rPr>
          <w:rFonts w:ascii="Proxima Nova" w:hAnsi="Proxima Nova"/>
        </w:rPr>
      </w:pPr>
      <w:r>
        <w:rPr>
          <w:rFonts w:ascii="Proxima Nova" w:hAnsi="Proxima Nova"/>
        </w:rPr>
        <w:t>Th</w:t>
      </w:r>
      <w:r w:rsidR="00872E40">
        <w:rPr>
          <w:rFonts w:ascii="Proxima Nova" w:hAnsi="Proxima Nova"/>
        </w:rPr>
        <w:t>e</w:t>
      </w:r>
      <w:r>
        <w:rPr>
          <w:rFonts w:ascii="Proxima Nova" w:hAnsi="Proxima Nova"/>
        </w:rPr>
        <w:t xml:space="preserve"> decision </w:t>
      </w:r>
      <w:r w:rsidR="00872E40">
        <w:rPr>
          <w:rFonts w:ascii="Proxima Nova" w:hAnsi="Proxima Nova"/>
        </w:rPr>
        <w:t xml:space="preserve">not to even assess </w:t>
      </w:r>
      <w:proofErr w:type="spellStart"/>
      <w:r w:rsidR="00872E40">
        <w:rPr>
          <w:rFonts w:ascii="Proxima Nova" w:hAnsi="Proxima Nova"/>
        </w:rPr>
        <w:t>brexu</w:t>
      </w:r>
      <w:proofErr w:type="spellEnd"/>
      <w:r w:rsidR="00872E40">
        <w:rPr>
          <w:rFonts w:ascii="Proxima Nova" w:hAnsi="Proxima Nova"/>
        </w:rPr>
        <w:t xml:space="preserve">-cel against the updated criteria </w:t>
      </w:r>
      <w:r>
        <w:rPr>
          <w:rFonts w:ascii="Proxima Nova" w:hAnsi="Proxima Nova"/>
        </w:rPr>
        <w:t xml:space="preserve">was unreasonable as it was based on the flawed conclusion that the HST criteria had not changed substantially in the intervening period. This was clearly incorrect, as </w:t>
      </w:r>
      <w:r w:rsidR="009E284E">
        <w:rPr>
          <w:rFonts w:ascii="Proxima Nova" w:hAnsi="Proxima Nova"/>
        </w:rPr>
        <w:t>set out in ground 1(a).2</w:t>
      </w:r>
      <w:r w:rsidR="00933E9B">
        <w:rPr>
          <w:rFonts w:ascii="Proxima Nova" w:hAnsi="Proxima Nova"/>
        </w:rPr>
        <w:t>.</w:t>
      </w:r>
    </w:p>
    <w:p w14:paraId="1A06E79B" w14:textId="2ABC82AF" w:rsidR="00A81A7E" w:rsidRPr="0011041B" w:rsidRDefault="00F66587" w:rsidP="002C713B">
      <w:pPr>
        <w:pStyle w:val="StyleParagraph11pt"/>
        <w:rPr>
          <w:rFonts w:ascii="Proxima Nova" w:hAnsi="Proxima Nova"/>
        </w:rPr>
      </w:pPr>
      <w:r w:rsidRPr="00F66587">
        <w:rPr>
          <w:rFonts w:ascii="Proxima Nova" w:hAnsi="Proxima Nova"/>
          <w:b/>
          <w:bCs/>
          <w:noProof/>
          <w14:ligatures w14:val="standardContextual"/>
        </w:rPr>
        <mc:AlternateContent>
          <mc:Choice Requires="wps">
            <w:drawing>
              <wp:inline distT="0" distB="0" distL="0" distR="0" wp14:anchorId="6694B3C7" wp14:editId="4C0A32A1">
                <wp:extent cx="5731510" cy="635"/>
                <wp:effectExtent l="0" t="31750" r="0" b="36830"/>
                <wp:docPr id="819758469" name="Horizontal Lin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016317E">
              <v:rect id="Horizontal Line 17" style="width:451.3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w14:anchorId="2403FFA9">
                <o:lock v:ext="edit" rotation="t" verticies="t" text="t" aspectratio="t" shapetype="t"/>
                <w10:anchorlock/>
              </v:rect>
            </w:pict>
          </mc:Fallback>
        </mc:AlternateContent>
      </w:r>
    </w:p>
    <w:p w14:paraId="0A05BF2F" w14:textId="44C5E7DE" w:rsidR="00D13E99" w:rsidRPr="0011041B" w:rsidRDefault="00D13E99" w:rsidP="002C713B">
      <w:pPr>
        <w:pStyle w:val="StyleParagraph11pt"/>
        <w:rPr>
          <w:rFonts w:ascii="Proxima Nova" w:hAnsi="Proxima Nova"/>
          <w:b/>
          <w:bCs/>
        </w:rPr>
      </w:pPr>
      <w:r w:rsidRPr="0011041B">
        <w:rPr>
          <w:rFonts w:ascii="Proxima Nova" w:hAnsi="Proxima Nova"/>
          <w:b/>
          <w:bCs/>
        </w:rPr>
        <w:lastRenderedPageBreak/>
        <w:t>Conclusion</w:t>
      </w:r>
    </w:p>
    <w:p w14:paraId="760BDEBA" w14:textId="6F16E1C7" w:rsidR="005679BA" w:rsidRDefault="005679BA" w:rsidP="005679BA">
      <w:pPr>
        <w:pStyle w:val="StyleParagraph11pt"/>
        <w:rPr>
          <w:rFonts w:ascii="Proxima Nova" w:hAnsi="Proxima Nova"/>
        </w:rPr>
      </w:pPr>
      <w:r w:rsidRPr="46032BC1">
        <w:rPr>
          <w:rFonts w:ascii="Proxima Nova" w:hAnsi="Proxima Nova"/>
        </w:rPr>
        <w:t xml:space="preserve">NICE’s decision not to recommend </w:t>
      </w:r>
      <w:proofErr w:type="spellStart"/>
      <w:r w:rsidRPr="46032BC1">
        <w:rPr>
          <w:rFonts w:ascii="Proxima Nova" w:hAnsi="Proxima Nova"/>
        </w:rPr>
        <w:t>brexu</w:t>
      </w:r>
      <w:proofErr w:type="spellEnd"/>
      <w:r w:rsidRPr="46032BC1">
        <w:rPr>
          <w:rFonts w:ascii="Proxima Nova" w:hAnsi="Proxima Nova"/>
        </w:rPr>
        <w:t>-cel for routine commissioning will deny patients access to an established and effective treatment</w:t>
      </w:r>
      <w:r w:rsidR="002D13A8">
        <w:rPr>
          <w:rFonts w:ascii="Proxima Nova" w:hAnsi="Proxima Nova"/>
        </w:rPr>
        <w:t xml:space="preserve"> which has become the standard of </w:t>
      </w:r>
      <w:proofErr w:type="gramStart"/>
      <w:r w:rsidR="002D13A8">
        <w:rPr>
          <w:rFonts w:ascii="Proxima Nova" w:hAnsi="Proxima Nova"/>
        </w:rPr>
        <w:t>care</w:t>
      </w:r>
      <w:r w:rsidRPr="46032BC1">
        <w:rPr>
          <w:rFonts w:ascii="Proxima Nova" w:hAnsi="Proxima Nova"/>
        </w:rPr>
        <w:t>, and</w:t>
      </w:r>
      <w:proofErr w:type="gramEnd"/>
      <w:r w:rsidRPr="46032BC1">
        <w:rPr>
          <w:rFonts w:ascii="Proxima Nova" w:hAnsi="Proxima Nova"/>
        </w:rPr>
        <w:t xml:space="preserve"> is further evidence that the current system for assessing and approving new medicines in England and Wales is becoming increasingly challenging and unsustainable in supporting patient access to innovative treatments. </w:t>
      </w:r>
      <w:r w:rsidR="003935F3">
        <w:rPr>
          <w:rFonts w:ascii="Proxima Nova" w:hAnsi="Proxima Nova"/>
        </w:rPr>
        <w:t xml:space="preserve">NICE’s decision means that patients in England </w:t>
      </w:r>
      <w:r w:rsidR="00D768D7">
        <w:rPr>
          <w:rFonts w:ascii="Proxima Nova" w:hAnsi="Proxima Nova"/>
        </w:rPr>
        <w:t xml:space="preserve">and Wales </w:t>
      </w:r>
      <w:r w:rsidR="003935F3">
        <w:rPr>
          <w:rFonts w:ascii="Proxima Nova" w:hAnsi="Proxima Nova"/>
        </w:rPr>
        <w:t xml:space="preserve">will be the first to lose access to </w:t>
      </w:r>
      <w:proofErr w:type="spellStart"/>
      <w:r w:rsidR="003935F3">
        <w:rPr>
          <w:rFonts w:ascii="Proxima Nova" w:hAnsi="Proxima Nova"/>
        </w:rPr>
        <w:t>brexu</w:t>
      </w:r>
      <w:proofErr w:type="spellEnd"/>
      <w:r w:rsidR="003935F3">
        <w:rPr>
          <w:rFonts w:ascii="Proxima Nova" w:hAnsi="Proxima Nova"/>
        </w:rPr>
        <w:t>-cel, creating inequit</w:t>
      </w:r>
      <w:r w:rsidR="00D768D7">
        <w:rPr>
          <w:rFonts w:ascii="Proxima Nova" w:hAnsi="Proxima Nova"/>
        </w:rPr>
        <w:t xml:space="preserve">y </w:t>
      </w:r>
      <w:r w:rsidR="008514DC">
        <w:rPr>
          <w:rFonts w:ascii="Proxima Nova" w:hAnsi="Proxima Nova"/>
        </w:rPr>
        <w:t xml:space="preserve">within the UK and </w:t>
      </w:r>
      <w:r w:rsidR="00D768D7">
        <w:rPr>
          <w:rFonts w:ascii="Proxima Nova" w:hAnsi="Proxima Nova"/>
        </w:rPr>
        <w:t>compared to</w:t>
      </w:r>
      <w:r w:rsidR="003935F3">
        <w:rPr>
          <w:rFonts w:ascii="Proxima Nova" w:hAnsi="Proxima Nova"/>
        </w:rPr>
        <w:t xml:space="preserve"> other European countries.</w:t>
      </w:r>
    </w:p>
    <w:p w14:paraId="406C8519" w14:textId="22B637E6" w:rsidR="005679BA" w:rsidRDefault="005679BA" w:rsidP="005679BA">
      <w:pPr>
        <w:pStyle w:val="StyleParagraph11pt"/>
        <w:rPr>
          <w:rStyle w:val="LineNumber"/>
          <w:rFonts w:ascii="Proxima Nova" w:hAnsi="Proxima Nova"/>
        </w:rPr>
      </w:pPr>
      <w:r w:rsidRPr="3445AE64">
        <w:rPr>
          <w:rFonts w:ascii="Proxima Nova" w:hAnsi="Proxima Nova"/>
        </w:rPr>
        <w:t>This negative outcome is driven by changes implemented by NICE - including its revised methodology and significantly increased CAR T tariff - rather than any change in the clinical evidence or patient need</w:t>
      </w:r>
      <w:r w:rsidR="19EC1BE9" w:rsidRPr="7E529845">
        <w:rPr>
          <w:rFonts w:ascii="Proxima Nova" w:hAnsi="Proxima Nova"/>
        </w:rPr>
        <w:t xml:space="preserve"> for </w:t>
      </w:r>
      <w:proofErr w:type="spellStart"/>
      <w:r w:rsidR="19EC1BE9" w:rsidRPr="7E529845">
        <w:rPr>
          <w:rFonts w:ascii="Proxima Nova" w:hAnsi="Proxima Nova"/>
        </w:rPr>
        <w:t>brexu</w:t>
      </w:r>
      <w:proofErr w:type="spellEnd"/>
      <w:r w:rsidR="19EC1BE9" w:rsidRPr="7E529845">
        <w:rPr>
          <w:rFonts w:ascii="Proxima Nova" w:hAnsi="Proxima Nova"/>
        </w:rPr>
        <w:t>-cel</w:t>
      </w:r>
      <w:r w:rsidRPr="7E529845">
        <w:rPr>
          <w:rFonts w:ascii="Proxima Nova" w:hAnsi="Proxima Nova"/>
        </w:rPr>
        <w:t>.</w:t>
      </w:r>
      <w:r w:rsidRPr="3445AE64">
        <w:rPr>
          <w:rFonts w:ascii="Proxima Nova" w:hAnsi="Proxima Nova"/>
        </w:rPr>
        <w:t xml:space="preserve"> </w:t>
      </w:r>
    </w:p>
    <w:p w14:paraId="19842D3E" w14:textId="77777777" w:rsidR="00D13E99" w:rsidRPr="0011041B" w:rsidRDefault="00D13E99" w:rsidP="002C713B">
      <w:pPr>
        <w:pStyle w:val="StyleParagraph11pt"/>
        <w:rPr>
          <w:rFonts w:ascii="Proxima Nova" w:hAnsi="Proxima Nova"/>
        </w:rPr>
      </w:pPr>
      <w:r w:rsidRPr="0011041B">
        <w:rPr>
          <w:rFonts w:ascii="Proxima Nova" w:hAnsi="Proxima Nova"/>
        </w:rPr>
        <w:t>Gilead requests that this appeal should be determined at an oral hearing.</w:t>
      </w:r>
    </w:p>
    <w:p w14:paraId="1F55C0EC" w14:textId="5013067A" w:rsidR="00257334" w:rsidRDefault="00D13E99" w:rsidP="00076DFE">
      <w:pPr>
        <w:pStyle w:val="StyleParagraph11pt"/>
        <w:rPr>
          <w:rFonts w:ascii="Proxima Nova" w:hAnsi="Proxima Nova"/>
        </w:rPr>
      </w:pPr>
      <w:r w:rsidRPr="0011041B">
        <w:rPr>
          <w:rFonts w:ascii="Proxima Nova" w:hAnsi="Proxima Nova"/>
        </w:rPr>
        <w:t xml:space="preserve">As a result of this appeal, the </w:t>
      </w:r>
      <w:r w:rsidR="03DFF6E5" w:rsidRPr="7E529845">
        <w:rPr>
          <w:rFonts w:ascii="Proxima Nova" w:hAnsi="Proxima Nova"/>
        </w:rPr>
        <w:t>A</w:t>
      </w:r>
      <w:r w:rsidRPr="7E529845">
        <w:rPr>
          <w:rFonts w:ascii="Proxima Nova" w:hAnsi="Proxima Nova"/>
        </w:rPr>
        <w:t xml:space="preserve">ppeal </w:t>
      </w:r>
      <w:r w:rsidR="2E683128" w:rsidRPr="7E529845">
        <w:rPr>
          <w:rFonts w:ascii="Proxima Nova" w:hAnsi="Proxima Nova"/>
        </w:rPr>
        <w:t>P</w:t>
      </w:r>
      <w:r w:rsidRPr="0011041B">
        <w:rPr>
          <w:rFonts w:ascii="Proxima Nova" w:hAnsi="Proxima Nova"/>
        </w:rPr>
        <w:t>anel is respectfully requested to return this appraisal for further consideration by the Committee</w:t>
      </w:r>
      <w:r w:rsidR="46818C80" w:rsidRPr="6E38E4DC">
        <w:rPr>
          <w:rFonts w:ascii="Proxima Nova" w:hAnsi="Proxima Nova"/>
        </w:rPr>
        <w:t xml:space="preserve"> </w:t>
      </w:r>
      <w:r w:rsidR="46818C80" w:rsidRPr="74C9A165">
        <w:rPr>
          <w:rFonts w:ascii="Proxima Nova" w:hAnsi="Proxima Nova"/>
        </w:rPr>
        <w:t>with directions to</w:t>
      </w:r>
      <w:r w:rsidR="46818C80" w:rsidRPr="4FE49443">
        <w:rPr>
          <w:rFonts w:ascii="Proxima Nova" w:hAnsi="Proxima Nova"/>
        </w:rPr>
        <w:t xml:space="preserve"> address </w:t>
      </w:r>
      <w:r w:rsidR="46818C80" w:rsidRPr="74C9A165">
        <w:rPr>
          <w:rFonts w:ascii="Proxima Nova" w:hAnsi="Proxima Nova"/>
        </w:rPr>
        <w:t xml:space="preserve">the issues set out in this appeal </w:t>
      </w:r>
      <w:r w:rsidR="46818C80" w:rsidRPr="0350F9E9">
        <w:rPr>
          <w:rFonts w:ascii="Proxima Nova" w:hAnsi="Proxima Nova"/>
        </w:rPr>
        <w:t>letter and specifically</w:t>
      </w:r>
      <w:r w:rsidR="5E309BA5" w:rsidRPr="35C19612">
        <w:rPr>
          <w:rFonts w:ascii="Proxima Nova" w:hAnsi="Proxima Nova"/>
        </w:rPr>
        <w:t xml:space="preserve"> </w:t>
      </w:r>
      <w:r w:rsidR="5E309BA5" w:rsidRPr="17F3B817">
        <w:rPr>
          <w:rFonts w:ascii="Proxima Nova" w:hAnsi="Proxima Nova"/>
        </w:rPr>
        <w:t>to</w:t>
      </w:r>
      <w:r w:rsidRPr="0011041B">
        <w:rPr>
          <w:rFonts w:ascii="Proxima Nova" w:hAnsi="Proxima Nova"/>
        </w:rPr>
        <w:t>:</w:t>
      </w:r>
    </w:p>
    <w:p w14:paraId="6FAC5A1C" w14:textId="1CF81AD8" w:rsidR="538C8556" w:rsidRDefault="538C8556" w:rsidP="486DA043">
      <w:pPr>
        <w:pStyle w:val="StyleParagraph11pt"/>
        <w:numPr>
          <w:ilvl w:val="0"/>
          <w:numId w:val="39"/>
        </w:numPr>
        <w:rPr>
          <w:rFonts w:ascii="Proxima Nova" w:hAnsi="Proxima Nova"/>
        </w:rPr>
      </w:pPr>
      <w:r w:rsidRPr="486DA043">
        <w:rPr>
          <w:rFonts w:ascii="Proxima Nova" w:hAnsi="Proxima Nova"/>
        </w:rPr>
        <w:t xml:space="preserve">On the CAR-T </w:t>
      </w:r>
      <w:r w:rsidR="00255024">
        <w:rPr>
          <w:rFonts w:ascii="Proxima Nova" w:hAnsi="Proxima Nova"/>
        </w:rPr>
        <w:t>T</w:t>
      </w:r>
      <w:r w:rsidRPr="486DA043">
        <w:rPr>
          <w:rFonts w:ascii="Proxima Nova" w:hAnsi="Proxima Nova"/>
        </w:rPr>
        <w:t>ariff:</w:t>
      </w:r>
    </w:p>
    <w:p w14:paraId="77933D18" w14:textId="77777777" w:rsidR="0060560D" w:rsidRDefault="0060560D" w:rsidP="0060560D">
      <w:pPr>
        <w:pStyle w:val="StyleParagraph11pt"/>
        <w:numPr>
          <w:ilvl w:val="1"/>
          <w:numId w:val="39"/>
        </w:numPr>
        <w:rPr>
          <w:rFonts w:ascii="Proxima Nova" w:hAnsi="Proxima Nova"/>
        </w:rPr>
      </w:pPr>
      <w:r>
        <w:rPr>
          <w:rFonts w:ascii="Proxima Nova" w:hAnsi="Proxima Nova"/>
        </w:rPr>
        <w:t xml:space="preserve">Request full details of the CAR-T Tariff from NHSE, including, if necessary, considering with them ways in which this information may be made available to stakeholders </w:t>
      </w:r>
      <w:proofErr w:type="gramStart"/>
      <w:r>
        <w:rPr>
          <w:rFonts w:ascii="Proxima Nova" w:hAnsi="Proxima Nova"/>
        </w:rPr>
        <w:t>in order to</w:t>
      </w:r>
      <w:proofErr w:type="gramEnd"/>
      <w:r>
        <w:rPr>
          <w:rFonts w:ascii="Proxima Nova" w:hAnsi="Proxima Nova"/>
        </w:rPr>
        <w:t xml:space="preserve"> investigate the reliability of the data consistent with the decision of the Court in </w:t>
      </w:r>
      <w:r w:rsidRPr="005012DC">
        <w:rPr>
          <w:rFonts w:ascii="Proxima Nova" w:hAnsi="Proxima Nova"/>
          <w:u w:val="single"/>
        </w:rPr>
        <w:t>Servier</w:t>
      </w:r>
    </w:p>
    <w:p w14:paraId="669BBF39" w14:textId="77777777" w:rsidR="0060560D" w:rsidRDefault="0060560D" w:rsidP="0060560D">
      <w:pPr>
        <w:pStyle w:val="StyleParagraph11pt"/>
        <w:numPr>
          <w:ilvl w:val="1"/>
          <w:numId w:val="39"/>
        </w:numPr>
        <w:rPr>
          <w:rFonts w:ascii="Proxima Nova" w:hAnsi="Proxima Nova"/>
        </w:rPr>
      </w:pPr>
      <w:r>
        <w:rPr>
          <w:rFonts w:ascii="Proxima Nova" w:hAnsi="Proxima Nova"/>
        </w:rPr>
        <w:t>That the CAR-T Tariff figure proposed by NHSE should not be accepted without consultation on the supporting evidence methodology and calculations</w:t>
      </w:r>
    </w:p>
    <w:p w14:paraId="0003D124" w14:textId="79FAB545" w:rsidR="0060560D" w:rsidRDefault="0060560D" w:rsidP="0060560D">
      <w:pPr>
        <w:pStyle w:val="StyleParagraph11pt"/>
        <w:numPr>
          <w:ilvl w:val="1"/>
          <w:numId w:val="39"/>
        </w:numPr>
        <w:rPr>
          <w:rFonts w:ascii="Proxima Nova" w:hAnsi="Proxima Nova"/>
        </w:rPr>
      </w:pPr>
      <w:r>
        <w:rPr>
          <w:rFonts w:ascii="Proxima Nova" w:hAnsi="Proxima Nova"/>
        </w:rPr>
        <w:t xml:space="preserve">To the extent that NHSE declines to disclose full details of the CAR-T Tariff, the Committee should investigate and consider alternative sources of information, including the £41,101 </w:t>
      </w:r>
      <w:r w:rsidRPr="6E5E02CD">
        <w:rPr>
          <w:rFonts w:ascii="Proxima Nova" w:hAnsi="Proxima Nova"/>
        </w:rPr>
        <w:t>figure</w:t>
      </w:r>
      <w:r>
        <w:rPr>
          <w:rFonts w:ascii="Proxima Nova" w:hAnsi="Proxima Nova"/>
        </w:rPr>
        <w:t xml:space="preserve"> used in prior appraisals of CAR-T therapies. </w:t>
      </w:r>
    </w:p>
    <w:p w14:paraId="3DF70D59" w14:textId="6169302C" w:rsidR="00C34A12" w:rsidRDefault="4DA708DC" w:rsidP="00BD658E">
      <w:pPr>
        <w:pStyle w:val="StyleParagraph11pt"/>
        <w:numPr>
          <w:ilvl w:val="0"/>
          <w:numId w:val="39"/>
        </w:numPr>
        <w:rPr>
          <w:rFonts w:ascii="Proxima Nova" w:hAnsi="Proxima Nova"/>
        </w:rPr>
      </w:pPr>
      <w:r w:rsidRPr="1446B30E">
        <w:rPr>
          <w:rFonts w:ascii="Proxima Nova" w:hAnsi="Proxima Nova"/>
        </w:rPr>
        <w:t xml:space="preserve">Assess whether </w:t>
      </w:r>
      <w:proofErr w:type="spellStart"/>
      <w:r w:rsidRPr="1446B30E">
        <w:rPr>
          <w:rFonts w:ascii="Proxima Nova" w:hAnsi="Proxima Nova"/>
        </w:rPr>
        <w:t>brexu</w:t>
      </w:r>
      <w:proofErr w:type="spellEnd"/>
      <w:r w:rsidRPr="1446B30E">
        <w:rPr>
          <w:rFonts w:ascii="Proxima Nova" w:hAnsi="Proxima Nova"/>
        </w:rPr>
        <w:t xml:space="preserve">-cel meets the </w:t>
      </w:r>
      <w:r w:rsidR="000224F5">
        <w:rPr>
          <w:rFonts w:ascii="Proxima Nova" w:hAnsi="Proxima Nova"/>
        </w:rPr>
        <w:t xml:space="preserve">January 2022 </w:t>
      </w:r>
      <w:r w:rsidRPr="1446B30E">
        <w:rPr>
          <w:rFonts w:ascii="Proxima Nova" w:hAnsi="Proxima Nova"/>
        </w:rPr>
        <w:t>criteria for assessment under the HST route, taking account of the significant changes to the HST criteria since 2020</w:t>
      </w:r>
      <w:r w:rsidR="00765AFF">
        <w:rPr>
          <w:rFonts w:ascii="Proxima Nova" w:hAnsi="Proxima Nova"/>
        </w:rPr>
        <w:t xml:space="preserve"> and</w:t>
      </w:r>
      <w:r w:rsidR="00E71906">
        <w:rPr>
          <w:rFonts w:ascii="Proxima Nova" w:hAnsi="Proxima Nova"/>
        </w:rPr>
        <w:t xml:space="preserve"> </w:t>
      </w:r>
      <w:r w:rsidR="00C34A12">
        <w:rPr>
          <w:rFonts w:ascii="Proxima Nova" w:hAnsi="Proxima Nova"/>
        </w:rPr>
        <w:t>apply the</w:t>
      </w:r>
      <w:r w:rsidR="00B54311">
        <w:rPr>
          <w:rFonts w:ascii="Proxima Nova" w:hAnsi="Proxima Nova"/>
        </w:rPr>
        <w:t xml:space="preserve"> corresponding £120k ICER</w:t>
      </w:r>
      <w:r w:rsidR="00765AFF">
        <w:rPr>
          <w:rFonts w:ascii="Proxima Nova" w:hAnsi="Proxima Nova"/>
        </w:rPr>
        <w:t xml:space="preserve"> threshold</w:t>
      </w:r>
      <w:r w:rsidR="688320C0" w:rsidRPr="7E529845">
        <w:rPr>
          <w:rFonts w:ascii="Proxima Nova" w:hAnsi="Proxima Nova"/>
        </w:rPr>
        <w:t>.</w:t>
      </w:r>
    </w:p>
    <w:p w14:paraId="48F19C58" w14:textId="3D7556FE" w:rsidR="00B54311" w:rsidRDefault="6D8ABBB9" w:rsidP="00257334">
      <w:pPr>
        <w:pStyle w:val="StyleParagraph11pt"/>
        <w:numPr>
          <w:ilvl w:val="0"/>
          <w:numId w:val="38"/>
        </w:numPr>
        <w:rPr>
          <w:rFonts w:ascii="Proxima Nova" w:hAnsi="Proxima Nova"/>
        </w:rPr>
      </w:pPr>
      <w:r w:rsidRPr="4E5C4677">
        <w:rPr>
          <w:rFonts w:ascii="Proxima Nova" w:hAnsi="Proxima Nova"/>
        </w:rPr>
        <w:t xml:space="preserve">Apply the severity modifier flexibly, including considering the application of a severity modifier between 1.2 and 1.7, </w:t>
      </w:r>
      <w:proofErr w:type="gramStart"/>
      <w:r w:rsidRPr="4E5C4677">
        <w:rPr>
          <w:rFonts w:ascii="Proxima Nova" w:hAnsi="Proxima Nova"/>
        </w:rPr>
        <w:t>in order to</w:t>
      </w:r>
      <w:proofErr w:type="gramEnd"/>
      <w:r w:rsidRPr="4E5C4677">
        <w:rPr>
          <w:rFonts w:ascii="Proxima Nova" w:hAnsi="Proxima Nova"/>
        </w:rPr>
        <w:t>:</w:t>
      </w:r>
    </w:p>
    <w:p w14:paraId="243CF68F" w14:textId="26454E71" w:rsidR="00B54311" w:rsidRDefault="6D8ABBB9" w:rsidP="00BD658E">
      <w:pPr>
        <w:pStyle w:val="StyleParagraph11pt"/>
        <w:numPr>
          <w:ilvl w:val="1"/>
          <w:numId w:val="38"/>
        </w:numPr>
        <w:rPr>
          <w:rFonts w:ascii="Proxima Nova" w:hAnsi="Proxima Nova"/>
        </w:rPr>
      </w:pPr>
      <w:r w:rsidRPr="4E5C4677">
        <w:rPr>
          <w:rFonts w:ascii="Proxima Nova" w:hAnsi="Proxima Nova"/>
        </w:rPr>
        <w:t>t</w:t>
      </w:r>
      <w:r w:rsidR="00056839" w:rsidRPr="4E5C4677">
        <w:rPr>
          <w:rFonts w:ascii="Proxima Nova" w:hAnsi="Proxima Nova"/>
        </w:rPr>
        <w:t>ake</w:t>
      </w:r>
      <w:r w:rsidR="00C42AAE">
        <w:rPr>
          <w:rFonts w:ascii="Proxima Nova" w:hAnsi="Proxima Nova"/>
        </w:rPr>
        <w:t xml:space="preserve"> account of the </w:t>
      </w:r>
      <w:r w:rsidR="00D80C13">
        <w:rPr>
          <w:rFonts w:ascii="Proxima Nova" w:hAnsi="Proxima Nova"/>
        </w:rPr>
        <w:t xml:space="preserve">potential </w:t>
      </w:r>
      <w:r w:rsidR="00854D9C">
        <w:rPr>
          <w:rFonts w:ascii="Proxima Nova" w:hAnsi="Proxima Nova"/>
        </w:rPr>
        <w:t xml:space="preserve">impact </w:t>
      </w:r>
      <w:r w:rsidR="00056839">
        <w:rPr>
          <w:rFonts w:ascii="Proxima Nova" w:hAnsi="Proxima Nova"/>
        </w:rPr>
        <w:t xml:space="preserve">of NICE’s recommendation </w:t>
      </w:r>
      <w:r w:rsidR="008746FF">
        <w:rPr>
          <w:rFonts w:ascii="Proxima Nova" w:hAnsi="Proxima Nova"/>
        </w:rPr>
        <w:t>on older people</w:t>
      </w:r>
      <w:r w:rsidR="00D13129">
        <w:rPr>
          <w:rFonts w:ascii="Proxima Nova" w:hAnsi="Proxima Nova"/>
        </w:rPr>
        <w:t>,</w:t>
      </w:r>
      <w:r w:rsidR="00F43845">
        <w:rPr>
          <w:rFonts w:ascii="Proxima Nova" w:hAnsi="Proxima Nova"/>
        </w:rPr>
        <w:t xml:space="preserve"> </w:t>
      </w:r>
      <w:r w:rsidR="55DF6B39" w:rsidRPr="4E5C4677">
        <w:rPr>
          <w:rFonts w:ascii="Proxima Nova" w:hAnsi="Proxima Nova"/>
        </w:rPr>
        <w:t>and so not</w:t>
      </w:r>
      <w:r w:rsidR="004D5654" w:rsidRPr="674E7605">
        <w:rPr>
          <w:rFonts w:ascii="Proxima Nova" w:hAnsi="Proxima Nova"/>
        </w:rPr>
        <w:t xml:space="preserve"> </w:t>
      </w:r>
      <w:r w:rsidR="4A76FDD3" w:rsidRPr="037BF01C">
        <w:rPr>
          <w:rFonts w:ascii="Proxima Nova" w:hAnsi="Proxima Nova"/>
        </w:rPr>
        <w:t xml:space="preserve">discriminate against </w:t>
      </w:r>
      <w:r w:rsidR="4A76FDD3" w:rsidRPr="56838FB6">
        <w:rPr>
          <w:rFonts w:ascii="Proxima Nova" w:hAnsi="Proxima Nova"/>
        </w:rPr>
        <w:t xml:space="preserve">the aged </w:t>
      </w:r>
      <w:r w:rsidR="4A76FDD3" w:rsidRPr="715B45BE">
        <w:rPr>
          <w:rFonts w:ascii="Proxima Nova" w:hAnsi="Proxima Nova"/>
        </w:rPr>
        <w:t xml:space="preserve">population or otherwise </w:t>
      </w:r>
      <w:r w:rsidR="004D5654" w:rsidRPr="715B45BE">
        <w:rPr>
          <w:rFonts w:ascii="Proxima Nova" w:hAnsi="Proxima Nova"/>
        </w:rPr>
        <w:t>contravene</w:t>
      </w:r>
      <w:r w:rsidR="004D5654">
        <w:rPr>
          <w:rFonts w:ascii="Proxima Nova" w:hAnsi="Proxima Nova"/>
        </w:rPr>
        <w:t xml:space="preserve"> the Equalities Act 2010</w:t>
      </w:r>
      <w:r w:rsidR="193D3BE7" w:rsidRPr="4E5C4677">
        <w:rPr>
          <w:rFonts w:ascii="Proxima Nova" w:hAnsi="Proxima Nova"/>
        </w:rPr>
        <w:t>; and</w:t>
      </w:r>
    </w:p>
    <w:p w14:paraId="065B0034" w14:textId="3C3B7588" w:rsidR="00B54311" w:rsidRDefault="4DC2B0B6" w:rsidP="4E5C4677">
      <w:pPr>
        <w:pStyle w:val="StyleParagraph11pt"/>
        <w:numPr>
          <w:ilvl w:val="1"/>
          <w:numId w:val="38"/>
        </w:numPr>
        <w:rPr>
          <w:rFonts w:ascii="Proxima Nova" w:hAnsi="Proxima Nova"/>
        </w:rPr>
      </w:pPr>
      <w:r w:rsidRPr="4429E150">
        <w:rPr>
          <w:rFonts w:ascii="Proxima Nova" w:hAnsi="Proxima Nova"/>
        </w:rPr>
        <w:lastRenderedPageBreak/>
        <w:t>Avoid th</w:t>
      </w:r>
      <w:r w:rsidR="00765AFF">
        <w:rPr>
          <w:rFonts w:ascii="Proxima Nova" w:hAnsi="Proxima Nova"/>
        </w:rPr>
        <w:t xml:space="preserve">e </w:t>
      </w:r>
      <w:r w:rsidRPr="4429E150">
        <w:rPr>
          <w:rFonts w:ascii="Proxima Nova" w:hAnsi="Proxima Nova"/>
        </w:rPr>
        <w:t xml:space="preserve">perverse outcome </w:t>
      </w:r>
      <w:r w:rsidRPr="3440342C">
        <w:rPr>
          <w:rFonts w:ascii="Proxima Nova" w:hAnsi="Proxima Nova"/>
        </w:rPr>
        <w:t xml:space="preserve">that a </w:t>
      </w:r>
      <w:r w:rsidR="00765AFF">
        <w:rPr>
          <w:rFonts w:ascii="Proxima Nova" w:hAnsi="Proxima Nova"/>
        </w:rPr>
        <w:t xml:space="preserve">highly </w:t>
      </w:r>
      <w:r w:rsidRPr="3440342C">
        <w:rPr>
          <w:rFonts w:ascii="Proxima Nova" w:hAnsi="Proxima Nova"/>
        </w:rPr>
        <w:t>clinically effective product</w:t>
      </w:r>
      <w:r w:rsidR="00765AFF">
        <w:rPr>
          <w:rFonts w:ascii="Proxima Nova" w:hAnsi="Proxima Nova"/>
        </w:rPr>
        <w:t>, which has become standard of care in this patient population is viewed as not</w:t>
      </w:r>
      <w:r w:rsidRPr="714809C3">
        <w:rPr>
          <w:rFonts w:ascii="Proxima Nova" w:hAnsi="Proxima Nova"/>
        </w:rPr>
        <w:t xml:space="preserve"> cost effective even </w:t>
      </w:r>
      <w:r w:rsidR="005C7A59">
        <w:rPr>
          <w:rFonts w:ascii="Proxima Nova" w:hAnsi="Proxima Nova"/>
        </w:rPr>
        <w:t xml:space="preserve">if supplied </w:t>
      </w:r>
      <w:r w:rsidRPr="714809C3">
        <w:rPr>
          <w:rFonts w:ascii="Proxima Nova" w:hAnsi="Proxima Nova"/>
        </w:rPr>
        <w:t>at zero cost</w:t>
      </w:r>
      <w:r w:rsidR="47A56C4B" w:rsidRPr="7E529845">
        <w:rPr>
          <w:rFonts w:ascii="Proxima Nova" w:hAnsi="Proxima Nova"/>
        </w:rPr>
        <w:t>.</w:t>
      </w:r>
    </w:p>
    <w:p w14:paraId="062F539A" w14:textId="77777777" w:rsidR="0002789A" w:rsidRDefault="0002789A" w:rsidP="0002789A">
      <w:pPr>
        <w:pStyle w:val="StyleParagraph11pt"/>
        <w:numPr>
          <w:ilvl w:val="0"/>
          <w:numId w:val="38"/>
        </w:numPr>
        <w:rPr>
          <w:rFonts w:ascii="Proxima Nova" w:hAnsi="Proxima Nova"/>
        </w:rPr>
      </w:pPr>
      <w:r w:rsidRPr="3912885B">
        <w:rPr>
          <w:rFonts w:ascii="Proxima Nova" w:hAnsi="Proxima Nova"/>
        </w:rPr>
        <w:t>Consult stakeholders on the proportion of patients who drop out between apheresis and infusion, and the appropriate data to evidence this.</w:t>
      </w:r>
    </w:p>
    <w:p w14:paraId="303140EE" w14:textId="7DD65E3B" w:rsidR="00450D52" w:rsidRPr="0011041B" w:rsidRDefault="00DC007C" w:rsidP="00BD658E">
      <w:pPr>
        <w:pStyle w:val="StyleParagraph11pt"/>
        <w:numPr>
          <w:ilvl w:val="0"/>
          <w:numId w:val="38"/>
        </w:numPr>
        <w:rPr>
          <w:rFonts w:ascii="Proxima Nova" w:hAnsi="Proxima Nova"/>
        </w:rPr>
      </w:pPr>
      <w:r>
        <w:rPr>
          <w:rFonts w:ascii="Proxima Nova" w:hAnsi="Proxima Nova"/>
        </w:rPr>
        <w:t xml:space="preserve">Re-assess </w:t>
      </w:r>
      <w:r w:rsidR="00E42A86">
        <w:rPr>
          <w:rFonts w:ascii="Proxima Nova" w:hAnsi="Proxima Nova"/>
        </w:rPr>
        <w:t>the appropriate standardised mortality rate</w:t>
      </w:r>
      <w:r w:rsidR="491F2960" w:rsidRPr="7E529845">
        <w:rPr>
          <w:rFonts w:ascii="Proxima Nova" w:hAnsi="Proxima Nova"/>
        </w:rPr>
        <w:t>.</w:t>
      </w:r>
    </w:p>
    <w:p w14:paraId="498CC580" w14:textId="23E9E7C2" w:rsidR="005B4C75" w:rsidRPr="0011041B" w:rsidRDefault="007A4056" w:rsidP="00BD658E">
      <w:pPr>
        <w:pStyle w:val="StyleParagraph11pt"/>
        <w:numPr>
          <w:ilvl w:val="0"/>
          <w:numId w:val="38"/>
        </w:numPr>
        <w:rPr>
          <w:rFonts w:ascii="Proxima Nova" w:hAnsi="Proxima Nova"/>
        </w:rPr>
      </w:pPr>
      <w:r>
        <w:rPr>
          <w:rFonts w:ascii="Proxima Nova" w:hAnsi="Proxima Nova"/>
        </w:rPr>
        <w:t xml:space="preserve">Revise the appraisal </w:t>
      </w:r>
      <w:r w:rsidR="00A9568B">
        <w:rPr>
          <w:rFonts w:ascii="Proxima Nova" w:hAnsi="Proxima Nova"/>
        </w:rPr>
        <w:t>to ex</w:t>
      </w:r>
      <w:r w:rsidR="006A7112">
        <w:rPr>
          <w:rFonts w:ascii="Proxima Nova" w:hAnsi="Proxima Nova"/>
        </w:rPr>
        <w:t>c</w:t>
      </w:r>
      <w:r w:rsidR="00A9568B">
        <w:rPr>
          <w:rFonts w:ascii="Proxima Nova" w:hAnsi="Proxima Nova"/>
        </w:rPr>
        <w:t xml:space="preserve">lude outcomes from </w:t>
      </w:r>
      <w:r w:rsidR="006A7112">
        <w:rPr>
          <w:rFonts w:ascii="Proxima Nova" w:hAnsi="Proxima Nova"/>
        </w:rPr>
        <w:t>patients</w:t>
      </w:r>
      <w:r w:rsidR="00A9568B">
        <w:rPr>
          <w:rFonts w:ascii="Proxima Nova" w:hAnsi="Proxima Nova"/>
        </w:rPr>
        <w:t xml:space="preserve"> who did not receive therapy</w:t>
      </w:r>
      <w:r w:rsidR="4BB6CED3" w:rsidRPr="7E529845">
        <w:rPr>
          <w:rFonts w:ascii="Proxima Nova" w:hAnsi="Proxima Nova"/>
        </w:rPr>
        <w:t>.</w:t>
      </w:r>
      <w:r w:rsidR="00A9568B">
        <w:rPr>
          <w:rFonts w:ascii="Proxima Nova" w:hAnsi="Proxima Nova"/>
        </w:rPr>
        <w:t xml:space="preserve"> </w:t>
      </w:r>
    </w:p>
    <w:p w14:paraId="14C78366" w14:textId="77777777" w:rsidR="00D13E99" w:rsidRPr="0011041B" w:rsidRDefault="00D13E99" w:rsidP="002C713B">
      <w:pPr>
        <w:pStyle w:val="Paragraph"/>
        <w:jc w:val="both"/>
        <w:rPr>
          <w:rFonts w:ascii="Proxima Nova" w:eastAsia="Arial" w:hAnsi="Proxima Nova" w:cs="Arial"/>
        </w:rPr>
      </w:pPr>
      <w:r w:rsidRPr="0011041B">
        <w:rPr>
          <w:rFonts w:ascii="Proxima Nova" w:eastAsia="Arial" w:hAnsi="Proxima Nova" w:cs="Arial"/>
        </w:rPr>
        <w:t xml:space="preserve">We thank you in advance for considering Gilead’s submissions in this appeal. We are available to answer any questions you may have or provide further clarifications. </w:t>
      </w:r>
    </w:p>
    <w:p w14:paraId="45089255" w14:textId="77777777" w:rsidR="00D13E99" w:rsidRPr="0011041B" w:rsidRDefault="00D13E99" w:rsidP="002C713B">
      <w:pPr>
        <w:pStyle w:val="Paragraph"/>
        <w:jc w:val="both"/>
        <w:rPr>
          <w:rFonts w:ascii="Proxima Nova" w:eastAsia="Arial" w:hAnsi="Proxima Nova" w:cs="Arial"/>
        </w:rPr>
      </w:pPr>
      <w:r w:rsidRPr="0011041B">
        <w:rPr>
          <w:rFonts w:ascii="Proxima Nova" w:eastAsia="Arial" w:hAnsi="Proxima Nova" w:cs="Arial"/>
        </w:rPr>
        <w:t>Yours sincerely,</w:t>
      </w:r>
    </w:p>
    <w:p w14:paraId="74E29C25" w14:textId="28DD8EB2" w:rsidR="00D13E99" w:rsidRPr="00347AB0" w:rsidRDefault="00347AB0" w:rsidP="002C713B">
      <w:pPr>
        <w:pStyle w:val="StyleParagraph11pt"/>
        <w:rPr>
          <w:rFonts w:ascii="Proxima Nova" w:eastAsia="Arial" w:hAnsi="Proxima Nova"/>
          <w:sz w:val="96"/>
          <w:szCs w:val="96"/>
        </w:rPr>
      </w:pPr>
      <w:r w:rsidRPr="00347AB0">
        <w:rPr>
          <w:rFonts w:ascii="Proxima Nova" w:hAnsi="Proxima Nova"/>
          <w:noProof/>
          <w:sz w:val="96"/>
          <w:szCs w:val="96"/>
          <w:highlight w:val="black"/>
        </w:rPr>
        <w:t>XXXXXX</w:t>
      </w:r>
    </w:p>
    <w:p w14:paraId="348D2C68" w14:textId="1E09AB5A" w:rsidR="00D13E99" w:rsidRPr="0011041B" w:rsidRDefault="00D13E99" w:rsidP="002C713B">
      <w:pPr>
        <w:pStyle w:val="Paragraph"/>
        <w:jc w:val="both"/>
        <w:rPr>
          <w:rFonts w:ascii="Proxima Nova" w:eastAsia="Arial" w:hAnsi="Proxima Nova" w:cs="Arial"/>
        </w:rPr>
      </w:pPr>
      <w:r w:rsidRPr="0011041B">
        <w:rPr>
          <w:rFonts w:ascii="Proxima Nova" w:eastAsia="Arial" w:hAnsi="Proxima Nova" w:cs="Arial"/>
        </w:rPr>
        <w:t xml:space="preserve">Gordon Lundie, Executive Director, </w:t>
      </w:r>
      <w:r w:rsidR="00506D6E">
        <w:rPr>
          <w:rFonts w:ascii="Proxima Nova" w:eastAsia="Arial" w:hAnsi="Proxima Nova" w:cs="Arial"/>
        </w:rPr>
        <w:t xml:space="preserve">Market Access, </w:t>
      </w:r>
      <w:r w:rsidRPr="0011041B">
        <w:rPr>
          <w:rFonts w:ascii="Proxima Nova" w:eastAsia="Arial" w:hAnsi="Proxima Nova" w:cs="Arial"/>
        </w:rPr>
        <w:t>Gilead Sciences Ltd</w:t>
      </w:r>
    </w:p>
    <w:p w14:paraId="707B117B" w14:textId="33397752" w:rsidR="00D13E99" w:rsidRPr="0011041B" w:rsidRDefault="00D13E99" w:rsidP="002C713B">
      <w:pPr>
        <w:spacing w:before="240" w:after="240" w:line="276" w:lineRule="auto"/>
        <w:jc w:val="both"/>
        <w:rPr>
          <w:rFonts w:eastAsia="Times New Roman"/>
          <w:lang w:eastAsia="en-GB"/>
        </w:rPr>
      </w:pPr>
      <w:r w:rsidRPr="0011041B">
        <w:br w:type="page"/>
      </w:r>
    </w:p>
    <w:p w14:paraId="55B8E272" w14:textId="4F1AF157" w:rsidR="00866C86" w:rsidRPr="0011041B" w:rsidRDefault="00D13E99" w:rsidP="00834BD2">
      <w:pPr>
        <w:pStyle w:val="StyleParagraph11pt"/>
        <w:rPr>
          <w:rFonts w:ascii="Proxima Nova" w:hAnsi="Proxima Nova"/>
          <w:b/>
        </w:rPr>
      </w:pPr>
      <w:r w:rsidRPr="0011041B">
        <w:rPr>
          <w:rFonts w:ascii="Proxima Nova" w:hAnsi="Proxima Nova"/>
          <w:b/>
          <w:bCs/>
        </w:rPr>
        <w:lastRenderedPageBreak/>
        <w:t>References</w:t>
      </w:r>
    </w:p>
    <w:sectPr w:rsidR="00866C86" w:rsidRPr="0011041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1D3A" w14:textId="77777777" w:rsidR="000B47EF" w:rsidRDefault="000B47EF" w:rsidP="007C314E">
      <w:pPr>
        <w:spacing w:after="0" w:line="240" w:lineRule="auto"/>
      </w:pPr>
      <w:r>
        <w:separator/>
      </w:r>
    </w:p>
  </w:endnote>
  <w:endnote w:type="continuationSeparator" w:id="0">
    <w:p w14:paraId="38D71C89" w14:textId="77777777" w:rsidR="000B47EF" w:rsidRDefault="000B47EF" w:rsidP="007C314E">
      <w:pPr>
        <w:spacing w:after="0" w:line="240" w:lineRule="auto"/>
      </w:pPr>
      <w:r>
        <w:continuationSeparator/>
      </w:r>
    </w:p>
  </w:endnote>
  <w:endnote w:id="1">
    <w:p w14:paraId="424673D6" w14:textId="0D14B081" w:rsidR="007B01C1" w:rsidRDefault="007B01C1">
      <w:pPr>
        <w:pStyle w:val="EndnoteText"/>
      </w:pPr>
      <w:r>
        <w:rPr>
          <w:rStyle w:val="EndnoteReference"/>
        </w:rPr>
        <w:endnoteRef/>
      </w:r>
      <w:r>
        <w:t xml:space="preserve"> </w:t>
      </w:r>
      <w:r w:rsidR="001F0FAE" w:rsidRPr="001F0FAE">
        <w:t>Br J Haematol 2022 Oct;199 (1):40-44. doi 10.1111/bjh.18378.Epub 2022 July 7</w:t>
      </w:r>
    </w:p>
  </w:endnote>
  <w:endnote w:id="2">
    <w:p w14:paraId="237EC141" w14:textId="77777777" w:rsidR="008944CC" w:rsidRDefault="008944CC" w:rsidP="008944CC">
      <w:pPr>
        <w:pStyle w:val="EndnoteText"/>
      </w:pPr>
      <w:r>
        <w:rPr>
          <w:rStyle w:val="EndnoteReference"/>
        </w:rPr>
        <w:endnoteRef/>
      </w:r>
      <w:r>
        <w:t xml:space="preserve"> Wang, 2024, ASH poster 4388 (link: </w:t>
      </w:r>
      <w:hyperlink r:id="rId1" w:history="1">
        <w:r>
          <w:rPr>
            <w:rStyle w:val="Hyperlink"/>
          </w:rPr>
          <w:t>ASH-2024_Wang_ZUMA-2-5-year_Poster_FINAL.pdf</w:t>
        </w:r>
      </w:hyperlink>
    </w:p>
  </w:endnote>
  <w:endnote w:id="3">
    <w:p w14:paraId="1D09F059" w14:textId="2B770D08" w:rsidR="00C408C3" w:rsidRDefault="00C408C3">
      <w:pPr>
        <w:pStyle w:val="EndnoteText"/>
      </w:pPr>
      <w:r>
        <w:rPr>
          <w:rStyle w:val="EndnoteReference"/>
        </w:rPr>
        <w:endnoteRef/>
      </w:r>
      <w:r>
        <w:t xml:space="preserve"> </w:t>
      </w:r>
      <w:r w:rsidR="008C2CB9">
        <w:t xml:space="preserve">1. </w:t>
      </w:r>
      <w:r w:rsidR="008C2CB9" w:rsidRPr="000224C1">
        <w:t>Huguet M, Raimond V, Kaltenbach E, Augusto V, Perrier L. How much does the hospital stay for infusion of anti-CD19 CAR-T cells cost to the French National Health Insurance? Bull Cancer. 2021;108(12):1170-80.</w:t>
      </w:r>
      <w:r w:rsidR="008C2CB9">
        <w:t xml:space="preserve"> 2. </w:t>
      </w:r>
      <w:r w:rsidR="008C2CB9" w:rsidRPr="002B2441">
        <w:t xml:space="preserve">Fowler NH, Dickinson M, Ghosh M, Chen AI, Andreadis C, Tiwari R, et al. Assessment of Healthcare Resource Utilization and Hospitalization Costs in Patients </w:t>
      </w:r>
      <w:r w:rsidR="008C2CB9" w:rsidRPr="002B2441">
        <w:t>With Relapsed or Refractory Follicular Lymphoma Undergoing CAR-T Cell Therapy With Tisagenlecleucel: Results From the ELARA Study. Transplant Cell Ther. 2022.</w:t>
      </w:r>
      <w:r w:rsidR="008C2CB9">
        <w:t xml:space="preserve"> 3. </w:t>
      </w:r>
      <w:r w:rsidR="008C2CB9" w:rsidRPr="00764BA6">
        <w:t>Hoda D, Richards R, Faber EA, Deol A, Hunter BD, Weber E, et al. Process, resource and success factors associated with chimeric antigen receptor T-cell therapy for multiple myeloma. Future oncology (London, England). 2022;18(19):2415-31.</w:t>
      </w:r>
      <w:r w:rsidR="008C2CB9">
        <w:t xml:space="preserve"> 4. </w:t>
      </w:r>
      <w:r w:rsidR="008C2CB9" w:rsidRPr="00895D9D">
        <w:t>Keating SJ, Gu T, Jun MP, McBride A. Health Care Resource Utilization and Total Costs of Care Among Patients with Diffuse Large B Cell Lymphoma Treated with Chimeric Antigen Receptor T Cell Therapy in the United States. Transplant Cell Ther. 2022;28(7):404 e1- e6</w:t>
      </w:r>
      <w:r w:rsidR="008C2CB9">
        <w:t xml:space="preserve">. 5. </w:t>
      </w:r>
      <w:r w:rsidR="008C2CB9" w:rsidRPr="005419C3">
        <w:t>Maziarz RT, Yang H, Liu Q, Wang T, Zhao J, Lim S, et al. Real-world healthcare resource utilization and costs associated with tisagenlecleucel and axicabtagene ciloleucel among patients with diffuse large B-cell lymphoma: an analysis of hospital data in the United States. Leuk Lymphoma. 2022;63(9):2052-62</w:t>
      </w:r>
      <w:r w:rsidR="008C2CB9">
        <w:t xml:space="preserve">. 6. </w:t>
      </w:r>
      <w:r w:rsidR="008C2CB9" w:rsidRPr="00394775">
        <w:t>Ring A, Grob B, Aerts E, Ritter K, Volbracht J, Schär B, et al. Resource utilization for chimeric antigen receptor T cell therapy versus autologous hematopoietic cell transplantation in patients with B cell lymphoma. Annals of hematology. 2022;101(8):1755-67.</w:t>
      </w:r>
      <w:r w:rsidR="008C2CB9">
        <w:t xml:space="preserve"> 7. </w:t>
      </w:r>
      <w:r w:rsidR="008C2CB9" w:rsidRPr="003A5902">
        <w:t>Cui C, Feng C, Rosenthal N, Wade SW, Curry L, Fu C, et al. Hospital Costs and Healthcare Resource Utilization (HRU) for Chimeric Antigen (CAR) T-Cell Therapy and Stem Cell Transplant (SCT) in Patients with Large B-Cell Lymphoma (LBCL) in the United States (US). Blood. 2022;140(Supplement 1):2161-2</w:t>
      </w:r>
    </w:p>
  </w:endnote>
  <w:endnote w:id="4">
    <w:p w14:paraId="05389A74" w14:textId="77777777" w:rsidR="002136F8" w:rsidRDefault="002136F8" w:rsidP="002136F8">
      <w:pPr>
        <w:pStyle w:val="EndnoteText"/>
      </w:pPr>
      <w:r>
        <w:rPr>
          <w:rStyle w:val="EndnoteReference"/>
        </w:rPr>
        <w:endnoteRef/>
      </w:r>
      <w:r>
        <w:t xml:space="preserve"> </w:t>
      </w:r>
      <w:r w:rsidRPr="009726B9">
        <w:t>Boyle S et al. Improved outcomes of large B-cell lymphoma patients treated with CD19 CAR T in the UK over time. Br J Haematol 2024 Feb;204(2):507-513</w:t>
      </w:r>
    </w:p>
  </w:endnote>
  <w:endnote w:id="5">
    <w:p w14:paraId="678A115B" w14:textId="77777777" w:rsidR="002136F8" w:rsidRDefault="002136F8" w:rsidP="002136F8">
      <w:pPr>
        <w:pStyle w:val="EndnoteText"/>
      </w:pPr>
      <w:r>
        <w:rPr>
          <w:rStyle w:val="EndnoteReference"/>
        </w:rPr>
        <w:endnoteRef/>
      </w:r>
      <w:r>
        <w:t xml:space="preserve"> Letter Gilead to NICE, 25</w:t>
      </w:r>
      <w:r w:rsidRPr="00BD658E">
        <w:rPr>
          <w:vertAlign w:val="superscript"/>
        </w:rPr>
        <w:t>th</w:t>
      </w:r>
      <w:r>
        <w:t xml:space="preserve"> October 2022</w:t>
      </w:r>
    </w:p>
  </w:endnote>
  <w:endnote w:id="6">
    <w:p w14:paraId="6144801D" w14:textId="1C96AD71" w:rsidR="003F7042" w:rsidRDefault="003F7042">
      <w:pPr>
        <w:pStyle w:val="EndnoteText"/>
      </w:pPr>
      <w:r>
        <w:rPr>
          <w:rStyle w:val="EndnoteReference"/>
        </w:rPr>
        <w:endnoteRef/>
      </w:r>
      <w:r>
        <w:t xml:space="preserve"> </w:t>
      </w:r>
      <w:r w:rsidRPr="00834BD2">
        <w:rPr>
          <w:rFonts w:eastAsia="Times New Roman"/>
          <w:i/>
          <w:lang w:eastAsia="en-GB"/>
        </w:rPr>
        <w:t>Form 1 - ID6325 Consultation Comments_Gilead comments</w:t>
      </w:r>
    </w:p>
  </w:endnote>
  <w:endnote w:id="7">
    <w:p w14:paraId="6A3C511D" w14:textId="51C682DC" w:rsidR="00524171" w:rsidRDefault="00524171">
      <w:pPr>
        <w:pStyle w:val="EndnoteText"/>
      </w:pPr>
      <w:r>
        <w:rPr>
          <w:rStyle w:val="EndnoteReference"/>
        </w:rPr>
        <w:endnoteRef/>
      </w:r>
      <w:r>
        <w:t xml:space="preserve"> </w:t>
      </w:r>
      <w:r w:rsidR="00E52971">
        <w:t xml:space="preserve">ID6325 NICE response to stakeholder organisation comments on the draft remit and </w:t>
      </w:r>
      <w:r w:rsidR="00860637">
        <w:t xml:space="preserve">draft </w:t>
      </w:r>
      <w:r w:rsidR="00E52971">
        <w:t>scope</w:t>
      </w:r>
    </w:p>
  </w:endnote>
  <w:endnote w:id="8">
    <w:p w14:paraId="608F268E" w14:textId="389227F5" w:rsidR="57F8C531" w:rsidRDefault="57F8C531" w:rsidP="0040318F">
      <w:pPr>
        <w:pStyle w:val="EndnoteText"/>
      </w:pPr>
      <w:r w:rsidRPr="57F8C531">
        <w:rPr>
          <w:rStyle w:val="EndnoteReference"/>
        </w:rPr>
        <w:endnoteRef/>
      </w:r>
      <w:r>
        <w:t xml:space="preserve"> </w:t>
      </w:r>
      <w:r w:rsidRPr="0026110C">
        <w:rPr>
          <w:rFonts w:eastAsia="Arial" w:cs="Arial"/>
          <w:color w:val="0A0A0A"/>
        </w:rPr>
        <w:t xml:space="preserve">Smith, A., Roman, E., Appleton, S., Howell, D., Johnson, R., Burton, C., &amp; Patmore, R. (2018). Impact of novel therapies for mantle cell lymphoma in the </w:t>
      </w:r>
      <w:r w:rsidRPr="0026110C">
        <w:rPr>
          <w:rFonts w:eastAsia="Arial" w:cs="Arial"/>
          <w:color w:val="0A0A0A"/>
        </w:rPr>
        <w:t xml:space="preserve">real world setting: a report from the UK’s Haematological Malignancy Research Network (HMRN). </w:t>
      </w:r>
      <w:r w:rsidRPr="0026110C">
        <w:rPr>
          <w:rFonts w:eastAsia="Arial" w:cs="Arial"/>
          <w:i/>
          <w:iCs/>
          <w:color w:val="0A0A0A"/>
        </w:rPr>
        <w:t>British Journal of Haematology</w:t>
      </w:r>
      <w:r w:rsidRPr="0026110C">
        <w:rPr>
          <w:rFonts w:eastAsia="Arial" w:cs="Arial"/>
          <w:color w:val="0A0A0A"/>
        </w:rPr>
        <w:t xml:space="preserve">, </w:t>
      </w:r>
      <w:r w:rsidRPr="0026110C">
        <w:rPr>
          <w:rFonts w:eastAsia="Arial" w:cs="Arial"/>
          <w:i/>
          <w:iCs/>
          <w:color w:val="0A0A0A"/>
        </w:rPr>
        <w:t>181</w:t>
      </w:r>
      <w:r w:rsidRPr="0026110C">
        <w:rPr>
          <w:rFonts w:eastAsia="Arial" w:cs="Arial"/>
          <w:color w:val="0A0A0A"/>
        </w:rPr>
        <w:t>(2), 215–228</w:t>
      </w:r>
    </w:p>
  </w:endnote>
  <w:endnote w:id="9">
    <w:p w14:paraId="1C627EF4" w14:textId="553AD592" w:rsidR="00D95105" w:rsidRDefault="00D95105">
      <w:pPr>
        <w:pStyle w:val="EndnoteText"/>
      </w:pPr>
      <w:r>
        <w:rPr>
          <w:rStyle w:val="EndnoteReference"/>
        </w:rPr>
        <w:endnoteRef/>
      </w:r>
      <w:r>
        <w:t xml:space="preserve"> </w:t>
      </w:r>
      <w:r w:rsidRPr="00D95105">
        <w:t xml:space="preserve">Office for National Statistics, 2025. Accessed December 2025 </w:t>
      </w:r>
      <w:hyperlink r:id="rId2" w:history="1">
        <w:r w:rsidRPr="00D95105">
          <w:rPr>
            <w:rStyle w:val="Hyperlink"/>
          </w:rPr>
          <w:t>Incidence_reference_table_final.ods</w:t>
        </w:r>
      </w:hyperlink>
    </w:p>
  </w:endnote>
  <w:endnote w:id="10">
    <w:p w14:paraId="64CBED18" w14:textId="71897C04" w:rsidR="009579D3" w:rsidRDefault="009579D3">
      <w:pPr>
        <w:pStyle w:val="EndnoteText"/>
      </w:pPr>
      <w:r>
        <w:rPr>
          <w:rStyle w:val="EndnoteReference"/>
        </w:rPr>
        <w:endnoteRef/>
      </w:r>
      <w:r>
        <w:t xml:space="preserve"> </w:t>
      </w:r>
      <w:r w:rsidRPr="009579D3">
        <w:t xml:space="preserve">Smith A et al. Impact of novel therapies for mantle cell lymphoma in the </w:t>
      </w:r>
      <w:r w:rsidRPr="009579D3">
        <w:t xml:space="preserve">real world setting: a report from the UK's Haematological Malignancy Research Network (HMRN). Br J Haematol. 2018 Mar 13;181(2):215–228. </w:t>
      </w:r>
    </w:p>
  </w:endnote>
  <w:endnote w:id="11">
    <w:p w14:paraId="579F8232" w14:textId="7FD63522" w:rsidR="006C7CEE" w:rsidRDefault="006C7CEE">
      <w:pPr>
        <w:pStyle w:val="EndnoteText"/>
      </w:pPr>
      <w:r>
        <w:rPr>
          <w:rStyle w:val="EndnoteReference"/>
        </w:rPr>
        <w:endnoteRef/>
      </w:r>
      <w:r>
        <w:t xml:space="preserve"> </w:t>
      </w:r>
      <w:r w:rsidRPr="006C7CEE">
        <w:t>Eyre T et al. Diagnosis and management of mantle cell lymphoma: A British Society for Haematology Guideline. Br J Haematol. 2024 Jan;204(1):108-126</w:t>
      </w:r>
    </w:p>
  </w:endnote>
  <w:endnote w:id="12">
    <w:p w14:paraId="53BADB0B" w14:textId="77777777" w:rsidR="009871BE" w:rsidRDefault="009871BE">
      <w:pPr>
        <w:pStyle w:val="EndnoteText"/>
      </w:pPr>
      <w:r>
        <w:rPr>
          <w:rStyle w:val="EndnoteReference"/>
        </w:rPr>
        <w:endnoteRef/>
      </w:r>
      <w:r>
        <w:t xml:space="preserve"> </w:t>
      </w:r>
      <w:hyperlink r:id="rId3" w:history="1">
        <w:r w:rsidRPr="009871BE">
          <w:rPr>
            <w:rStyle w:val="Hyperlink"/>
          </w:rPr>
          <w:t>https://bloodcancer.org.uk/news/blood-cancer-facts/</w:t>
        </w:r>
      </w:hyperlink>
    </w:p>
  </w:endnote>
  <w:endnote w:id="13">
    <w:p w14:paraId="13810C9E" w14:textId="1A87E6F0" w:rsidR="009A0E44" w:rsidRDefault="009A0E44">
      <w:pPr>
        <w:pStyle w:val="EndnoteText"/>
      </w:pPr>
      <w:r>
        <w:rPr>
          <w:rStyle w:val="EndnoteReference"/>
        </w:rPr>
        <w:endnoteRef/>
      </w:r>
      <w:r>
        <w:t xml:space="preserve"> </w:t>
      </w:r>
      <w:r w:rsidR="00A57EDB">
        <w:t>Gilead</w:t>
      </w:r>
      <w:r w:rsidR="004A0341">
        <w:t xml:space="preserve"> Draft Guidance Comments Form, 12 August 2025, </w:t>
      </w:r>
      <w:r w:rsidR="00403D9B">
        <w:t>s.3.9</w:t>
      </w:r>
    </w:p>
  </w:endnote>
  <w:endnote w:id="14">
    <w:p w14:paraId="4EFC21AD" w14:textId="4195FC58" w:rsidR="004A40E9" w:rsidRDefault="004A40E9" w:rsidP="004A40E9">
      <w:pPr>
        <w:pStyle w:val="EndnoteText"/>
      </w:pPr>
      <w:r>
        <w:rPr>
          <w:rStyle w:val="EndnoteReference"/>
        </w:rPr>
        <w:endnoteRef/>
      </w:r>
      <w:r>
        <w:t xml:space="preserve"> </w:t>
      </w:r>
      <w:r w:rsidR="007A1BC8" w:rsidRPr="007A1BC8">
        <w:t xml:space="preserve">McCulloch, R., Visco, C., Eyre, T.A., et al. (2020), Efficacy of R-BAC in relapsed, refractory mantle cell lymphoma post BTK inhibitor therapy. Br J Haematol, 189: 684-688. </w:t>
      </w:r>
      <w:hyperlink r:id="rId4" w:history="1">
        <w:r w:rsidR="007A1BC8" w:rsidRPr="00855988">
          <w:rPr>
            <w:rStyle w:val="Hyperlink"/>
          </w:rPr>
          <w:t>https://doi.org/10.1111/bjh.16416</w:t>
        </w:r>
      </w:hyperlink>
      <w:r w:rsidR="007A1BC8">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w:altName w:val="Tahoma"/>
    <w:panose1 w:val="00000000000000000000"/>
    <w:charset w:val="00"/>
    <w:family w:val="auto"/>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ora">
    <w:charset w:val="00"/>
    <w:family w:val="auto"/>
    <w:pitch w:val="variable"/>
    <w:sig w:usb0="A00002FF" w:usb1="5000204B" w:usb2="00000000" w:usb3="00000000" w:csb0="00000097" w:csb1="00000000"/>
  </w:font>
  <w:font w:name="CIDFont+F2">
    <w:altName w:val="Yu Gothic"/>
    <w:charset w:val="80"/>
    <w:family w:val="auto"/>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C58F" w14:textId="77777777" w:rsidR="007C314E" w:rsidRDefault="007C3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279125"/>
      <w:docPartObj>
        <w:docPartGallery w:val="Page Numbers (Bottom of Page)"/>
        <w:docPartUnique/>
      </w:docPartObj>
    </w:sdtPr>
    <w:sdtEndPr>
      <w:rPr>
        <w:noProof/>
      </w:rPr>
    </w:sdtEndPr>
    <w:sdtContent>
      <w:p w14:paraId="27EEB4DA" w14:textId="0028E0B8" w:rsidR="00C621F7" w:rsidRDefault="00C621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9109C" w14:textId="77777777" w:rsidR="007C314E" w:rsidRDefault="007C3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7D9D" w14:textId="77777777" w:rsidR="007C314E" w:rsidRDefault="007C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2E40" w14:textId="77777777" w:rsidR="000B47EF" w:rsidRDefault="000B47EF" w:rsidP="007C314E">
      <w:pPr>
        <w:spacing w:after="0" w:line="240" w:lineRule="auto"/>
      </w:pPr>
      <w:r>
        <w:separator/>
      </w:r>
    </w:p>
  </w:footnote>
  <w:footnote w:type="continuationSeparator" w:id="0">
    <w:p w14:paraId="3FF91810" w14:textId="77777777" w:rsidR="000B47EF" w:rsidRDefault="000B47EF" w:rsidP="007C3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FB0B" w14:textId="77777777" w:rsidR="007C314E" w:rsidRDefault="007C3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E0CD" w14:textId="7F322B29" w:rsidR="007C314E" w:rsidRDefault="007C314E">
    <w:pPr>
      <w:pStyle w:val="Header"/>
    </w:pPr>
    <w:r>
      <w:rPr>
        <w:noProof/>
      </w:rPr>
      <w:drawing>
        <wp:inline distT="0" distB="0" distL="0" distR="0" wp14:anchorId="7571E75A" wp14:editId="6E2B2C53">
          <wp:extent cx="1822782" cy="54591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grey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35732" cy="579738"/>
                  </a:xfrm>
                  <a:prstGeom prst="rect">
                    <a:avLst/>
                  </a:prstGeom>
                </pic:spPr>
              </pic:pic>
            </a:graphicData>
          </a:graphic>
        </wp:inline>
      </w:drawing>
    </w:r>
  </w:p>
  <w:p w14:paraId="5D7123C2" w14:textId="77777777" w:rsidR="007C314E" w:rsidRDefault="007C3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44DA" w14:textId="77777777" w:rsidR="007C314E" w:rsidRDefault="007C3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DDA"/>
    <w:multiLevelType w:val="hybridMultilevel"/>
    <w:tmpl w:val="1650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345E4"/>
    <w:multiLevelType w:val="hybridMultilevel"/>
    <w:tmpl w:val="20F6E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478A4"/>
    <w:multiLevelType w:val="hybridMultilevel"/>
    <w:tmpl w:val="EE2A482C"/>
    <w:lvl w:ilvl="0" w:tplc="5032E238">
      <w:start w:val="1"/>
      <w:numFmt w:val="decimal"/>
      <w:lvlText w:val="%1."/>
      <w:lvlJc w:val="left"/>
      <w:pPr>
        <w:ind w:left="1020" w:hanging="360"/>
      </w:pPr>
    </w:lvl>
    <w:lvl w:ilvl="1" w:tplc="18DE5A16">
      <w:start w:val="1"/>
      <w:numFmt w:val="decimal"/>
      <w:lvlText w:val="%2."/>
      <w:lvlJc w:val="left"/>
      <w:pPr>
        <w:ind w:left="1020" w:hanging="360"/>
      </w:pPr>
    </w:lvl>
    <w:lvl w:ilvl="2" w:tplc="5D18C252">
      <w:start w:val="1"/>
      <w:numFmt w:val="decimal"/>
      <w:lvlText w:val="%3."/>
      <w:lvlJc w:val="left"/>
      <w:pPr>
        <w:ind w:left="1020" w:hanging="360"/>
      </w:pPr>
    </w:lvl>
    <w:lvl w:ilvl="3" w:tplc="6D9A10B8">
      <w:start w:val="1"/>
      <w:numFmt w:val="decimal"/>
      <w:lvlText w:val="%4."/>
      <w:lvlJc w:val="left"/>
      <w:pPr>
        <w:ind w:left="1020" w:hanging="360"/>
      </w:pPr>
    </w:lvl>
    <w:lvl w:ilvl="4" w:tplc="BED21B5A">
      <w:start w:val="1"/>
      <w:numFmt w:val="decimal"/>
      <w:lvlText w:val="%5."/>
      <w:lvlJc w:val="left"/>
      <w:pPr>
        <w:ind w:left="1020" w:hanging="360"/>
      </w:pPr>
    </w:lvl>
    <w:lvl w:ilvl="5" w:tplc="D2105276">
      <w:start w:val="1"/>
      <w:numFmt w:val="decimal"/>
      <w:lvlText w:val="%6."/>
      <w:lvlJc w:val="left"/>
      <w:pPr>
        <w:ind w:left="1020" w:hanging="360"/>
      </w:pPr>
    </w:lvl>
    <w:lvl w:ilvl="6" w:tplc="CF32402C">
      <w:start w:val="1"/>
      <w:numFmt w:val="decimal"/>
      <w:lvlText w:val="%7."/>
      <w:lvlJc w:val="left"/>
      <w:pPr>
        <w:ind w:left="1020" w:hanging="360"/>
      </w:pPr>
    </w:lvl>
    <w:lvl w:ilvl="7" w:tplc="482C1ADE">
      <w:start w:val="1"/>
      <w:numFmt w:val="decimal"/>
      <w:lvlText w:val="%8."/>
      <w:lvlJc w:val="left"/>
      <w:pPr>
        <w:ind w:left="1020" w:hanging="360"/>
      </w:pPr>
    </w:lvl>
    <w:lvl w:ilvl="8" w:tplc="1D7C69AC">
      <w:start w:val="1"/>
      <w:numFmt w:val="decimal"/>
      <w:lvlText w:val="%9."/>
      <w:lvlJc w:val="left"/>
      <w:pPr>
        <w:ind w:left="1020" w:hanging="360"/>
      </w:pPr>
    </w:lvl>
  </w:abstractNum>
  <w:abstractNum w:abstractNumId="3" w15:restartNumberingAfterBreak="0">
    <w:nsid w:val="106A68BD"/>
    <w:multiLevelType w:val="multilevel"/>
    <w:tmpl w:val="EC58A75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 w15:restartNumberingAfterBreak="0">
    <w:nsid w:val="12D93479"/>
    <w:multiLevelType w:val="hybridMultilevel"/>
    <w:tmpl w:val="9D80BA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8177157"/>
    <w:multiLevelType w:val="multilevel"/>
    <w:tmpl w:val="C642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5357F7"/>
    <w:multiLevelType w:val="multilevel"/>
    <w:tmpl w:val="BA2E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BF67AA"/>
    <w:multiLevelType w:val="hybridMultilevel"/>
    <w:tmpl w:val="5AB8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52C4A"/>
    <w:multiLevelType w:val="multilevel"/>
    <w:tmpl w:val="9EE2AD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3994F94"/>
    <w:multiLevelType w:val="hybridMultilevel"/>
    <w:tmpl w:val="3EBA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803E2"/>
    <w:multiLevelType w:val="multilevel"/>
    <w:tmpl w:val="469A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1E27C0"/>
    <w:multiLevelType w:val="hybridMultilevel"/>
    <w:tmpl w:val="46A0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11E67"/>
    <w:multiLevelType w:val="hybridMultilevel"/>
    <w:tmpl w:val="2164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95735"/>
    <w:multiLevelType w:val="hybridMultilevel"/>
    <w:tmpl w:val="C30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505DA"/>
    <w:multiLevelType w:val="multilevel"/>
    <w:tmpl w:val="526C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580800"/>
    <w:multiLevelType w:val="hybridMultilevel"/>
    <w:tmpl w:val="3A6A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5A3464"/>
    <w:multiLevelType w:val="hybridMultilevel"/>
    <w:tmpl w:val="1F6829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B45AC2"/>
    <w:multiLevelType w:val="multilevel"/>
    <w:tmpl w:val="180C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DF5451"/>
    <w:multiLevelType w:val="multilevel"/>
    <w:tmpl w:val="0210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4A32A0"/>
    <w:multiLevelType w:val="multilevel"/>
    <w:tmpl w:val="DA7E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4F70F2"/>
    <w:multiLevelType w:val="hybridMultilevel"/>
    <w:tmpl w:val="6708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F54653"/>
    <w:multiLevelType w:val="multilevel"/>
    <w:tmpl w:val="5E403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B86C68"/>
    <w:multiLevelType w:val="multilevel"/>
    <w:tmpl w:val="3FEE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391F26"/>
    <w:multiLevelType w:val="multilevel"/>
    <w:tmpl w:val="60C2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5840C8"/>
    <w:multiLevelType w:val="hybridMultilevel"/>
    <w:tmpl w:val="160C1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B20DF"/>
    <w:multiLevelType w:val="hybridMultilevel"/>
    <w:tmpl w:val="829E74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A4B378A"/>
    <w:multiLevelType w:val="multilevel"/>
    <w:tmpl w:val="E604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E83EFE"/>
    <w:multiLevelType w:val="hybridMultilevel"/>
    <w:tmpl w:val="BFF4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0F465F"/>
    <w:multiLevelType w:val="multilevel"/>
    <w:tmpl w:val="E806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D757A7"/>
    <w:multiLevelType w:val="multilevel"/>
    <w:tmpl w:val="EC00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6E6D92"/>
    <w:multiLevelType w:val="hybridMultilevel"/>
    <w:tmpl w:val="FAB44CC4"/>
    <w:lvl w:ilvl="0" w:tplc="5F466138">
      <w:start w:val="3"/>
      <w:numFmt w:val="bullet"/>
      <w:lvlText w:val="-"/>
      <w:lvlJc w:val="left"/>
      <w:pPr>
        <w:ind w:left="413" w:hanging="360"/>
      </w:pPr>
      <w:rPr>
        <w:rFonts w:ascii="Arial" w:eastAsia="Calibri" w:hAnsi="Arial" w:cs="Arial"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31" w15:restartNumberingAfterBreak="0">
    <w:nsid w:val="65F10E46"/>
    <w:multiLevelType w:val="hybridMultilevel"/>
    <w:tmpl w:val="13A64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73337E"/>
    <w:multiLevelType w:val="multilevel"/>
    <w:tmpl w:val="5BC283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C943838"/>
    <w:multiLevelType w:val="hybridMultilevel"/>
    <w:tmpl w:val="E88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B80C17"/>
    <w:multiLevelType w:val="multilevel"/>
    <w:tmpl w:val="F0F8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FF5FDB"/>
    <w:multiLevelType w:val="multilevel"/>
    <w:tmpl w:val="46242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386CBB"/>
    <w:multiLevelType w:val="hybridMultilevel"/>
    <w:tmpl w:val="BD784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1DBFE"/>
    <w:multiLevelType w:val="hybridMultilevel"/>
    <w:tmpl w:val="6EDEC8F8"/>
    <w:lvl w:ilvl="0" w:tplc="7E3C3E6E">
      <w:start w:val="1"/>
      <w:numFmt w:val="bullet"/>
      <w:lvlText w:val=""/>
      <w:lvlJc w:val="left"/>
      <w:pPr>
        <w:ind w:left="1440" w:hanging="360"/>
      </w:pPr>
      <w:rPr>
        <w:rFonts w:ascii="Symbol" w:hAnsi="Symbol" w:hint="default"/>
      </w:rPr>
    </w:lvl>
    <w:lvl w:ilvl="1" w:tplc="85628898">
      <w:start w:val="1"/>
      <w:numFmt w:val="bullet"/>
      <w:lvlText w:val="o"/>
      <w:lvlJc w:val="left"/>
      <w:pPr>
        <w:ind w:left="2160" w:hanging="360"/>
      </w:pPr>
      <w:rPr>
        <w:rFonts w:ascii="Courier New" w:hAnsi="Courier New" w:hint="default"/>
      </w:rPr>
    </w:lvl>
    <w:lvl w:ilvl="2" w:tplc="CC7EBCBA">
      <w:start w:val="1"/>
      <w:numFmt w:val="bullet"/>
      <w:lvlText w:val=""/>
      <w:lvlJc w:val="left"/>
      <w:pPr>
        <w:ind w:left="2880" w:hanging="360"/>
      </w:pPr>
      <w:rPr>
        <w:rFonts w:ascii="Wingdings" w:hAnsi="Wingdings" w:hint="default"/>
      </w:rPr>
    </w:lvl>
    <w:lvl w:ilvl="3" w:tplc="D7D0084E">
      <w:start w:val="1"/>
      <w:numFmt w:val="bullet"/>
      <w:lvlText w:val=""/>
      <w:lvlJc w:val="left"/>
      <w:pPr>
        <w:ind w:left="3600" w:hanging="360"/>
      </w:pPr>
      <w:rPr>
        <w:rFonts w:ascii="Symbol" w:hAnsi="Symbol" w:hint="default"/>
      </w:rPr>
    </w:lvl>
    <w:lvl w:ilvl="4" w:tplc="DF569C40">
      <w:start w:val="1"/>
      <w:numFmt w:val="bullet"/>
      <w:lvlText w:val="o"/>
      <w:lvlJc w:val="left"/>
      <w:pPr>
        <w:ind w:left="4320" w:hanging="360"/>
      </w:pPr>
      <w:rPr>
        <w:rFonts w:ascii="Courier New" w:hAnsi="Courier New" w:hint="default"/>
      </w:rPr>
    </w:lvl>
    <w:lvl w:ilvl="5" w:tplc="E55488C8">
      <w:start w:val="1"/>
      <w:numFmt w:val="bullet"/>
      <w:lvlText w:val=""/>
      <w:lvlJc w:val="left"/>
      <w:pPr>
        <w:ind w:left="5040" w:hanging="360"/>
      </w:pPr>
      <w:rPr>
        <w:rFonts w:ascii="Wingdings" w:hAnsi="Wingdings" w:hint="default"/>
      </w:rPr>
    </w:lvl>
    <w:lvl w:ilvl="6" w:tplc="E38AE9A8">
      <w:start w:val="1"/>
      <w:numFmt w:val="bullet"/>
      <w:lvlText w:val=""/>
      <w:lvlJc w:val="left"/>
      <w:pPr>
        <w:ind w:left="5760" w:hanging="360"/>
      </w:pPr>
      <w:rPr>
        <w:rFonts w:ascii="Symbol" w:hAnsi="Symbol" w:hint="default"/>
      </w:rPr>
    </w:lvl>
    <w:lvl w:ilvl="7" w:tplc="6DEECA66">
      <w:start w:val="1"/>
      <w:numFmt w:val="bullet"/>
      <w:lvlText w:val="o"/>
      <w:lvlJc w:val="left"/>
      <w:pPr>
        <w:ind w:left="6480" w:hanging="360"/>
      </w:pPr>
      <w:rPr>
        <w:rFonts w:ascii="Courier New" w:hAnsi="Courier New" w:hint="default"/>
      </w:rPr>
    </w:lvl>
    <w:lvl w:ilvl="8" w:tplc="5A086944">
      <w:start w:val="1"/>
      <w:numFmt w:val="bullet"/>
      <w:lvlText w:val=""/>
      <w:lvlJc w:val="left"/>
      <w:pPr>
        <w:ind w:left="7200" w:hanging="360"/>
      </w:pPr>
      <w:rPr>
        <w:rFonts w:ascii="Wingdings" w:hAnsi="Wingdings" w:hint="default"/>
      </w:rPr>
    </w:lvl>
  </w:abstractNum>
  <w:abstractNum w:abstractNumId="38" w15:restartNumberingAfterBreak="0">
    <w:nsid w:val="71220403"/>
    <w:multiLevelType w:val="multilevel"/>
    <w:tmpl w:val="486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5DA81C"/>
    <w:multiLevelType w:val="hybridMultilevel"/>
    <w:tmpl w:val="FFFFFFFF"/>
    <w:lvl w:ilvl="0" w:tplc="48020BAE">
      <w:start w:val="1"/>
      <w:numFmt w:val="bullet"/>
      <w:lvlText w:val=""/>
      <w:lvlJc w:val="left"/>
      <w:pPr>
        <w:ind w:left="1080" w:hanging="360"/>
      </w:pPr>
      <w:rPr>
        <w:rFonts w:ascii="Symbol" w:hAnsi="Symbol" w:hint="default"/>
      </w:rPr>
    </w:lvl>
    <w:lvl w:ilvl="1" w:tplc="7B1C41F0">
      <w:start w:val="1"/>
      <w:numFmt w:val="bullet"/>
      <w:lvlText w:val=""/>
      <w:lvlJc w:val="left"/>
      <w:pPr>
        <w:ind w:left="1800" w:hanging="360"/>
      </w:pPr>
      <w:rPr>
        <w:rFonts w:ascii="Symbol" w:hAnsi="Symbol" w:hint="default"/>
      </w:rPr>
    </w:lvl>
    <w:lvl w:ilvl="2" w:tplc="1F2C6118">
      <w:start w:val="1"/>
      <w:numFmt w:val="bullet"/>
      <w:lvlText w:val=""/>
      <w:lvlJc w:val="left"/>
      <w:pPr>
        <w:ind w:left="2520" w:hanging="360"/>
      </w:pPr>
      <w:rPr>
        <w:rFonts w:ascii="Wingdings" w:hAnsi="Wingdings" w:hint="default"/>
      </w:rPr>
    </w:lvl>
    <w:lvl w:ilvl="3" w:tplc="3218259C">
      <w:start w:val="1"/>
      <w:numFmt w:val="bullet"/>
      <w:lvlText w:val=""/>
      <w:lvlJc w:val="left"/>
      <w:pPr>
        <w:ind w:left="3240" w:hanging="360"/>
      </w:pPr>
      <w:rPr>
        <w:rFonts w:ascii="Symbol" w:hAnsi="Symbol" w:hint="default"/>
      </w:rPr>
    </w:lvl>
    <w:lvl w:ilvl="4" w:tplc="210885BA">
      <w:start w:val="1"/>
      <w:numFmt w:val="bullet"/>
      <w:lvlText w:val="o"/>
      <w:lvlJc w:val="left"/>
      <w:pPr>
        <w:ind w:left="3960" w:hanging="360"/>
      </w:pPr>
      <w:rPr>
        <w:rFonts w:ascii="Courier New" w:hAnsi="Courier New" w:hint="default"/>
      </w:rPr>
    </w:lvl>
    <w:lvl w:ilvl="5" w:tplc="AA4A4C6A">
      <w:start w:val="1"/>
      <w:numFmt w:val="bullet"/>
      <w:lvlText w:val=""/>
      <w:lvlJc w:val="left"/>
      <w:pPr>
        <w:ind w:left="4680" w:hanging="360"/>
      </w:pPr>
      <w:rPr>
        <w:rFonts w:ascii="Wingdings" w:hAnsi="Wingdings" w:hint="default"/>
      </w:rPr>
    </w:lvl>
    <w:lvl w:ilvl="6" w:tplc="E3E6750A">
      <w:start w:val="1"/>
      <w:numFmt w:val="bullet"/>
      <w:lvlText w:val=""/>
      <w:lvlJc w:val="left"/>
      <w:pPr>
        <w:ind w:left="5400" w:hanging="360"/>
      </w:pPr>
      <w:rPr>
        <w:rFonts w:ascii="Symbol" w:hAnsi="Symbol" w:hint="default"/>
      </w:rPr>
    </w:lvl>
    <w:lvl w:ilvl="7" w:tplc="81E81CE8">
      <w:start w:val="1"/>
      <w:numFmt w:val="bullet"/>
      <w:lvlText w:val="o"/>
      <w:lvlJc w:val="left"/>
      <w:pPr>
        <w:ind w:left="6120" w:hanging="360"/>
      </w:pPr>
      <w:rPr>
        <w:rFonts w:ascii="Courier New" w:hAnsi="Courier New" w:hint="default"/>
      </w:rPr>
    </w:lvl>
    <w:lvl w:ilvl="8" w:tplc="619AAF30">
      <w:start w:val="1"/>
      <w:numFmt w:val="bullet"/>
      <w:lvlText w:val=""/>
      <w:lvlJc w:val="left"/>
      <w:pPr>
        <w:ind w:left="6840" w:hanging="360"/>
      </w:pPr>
      <w:rPr>
        <w:rFonts w:ascii="Wingdings" w:hAnsi="Wingdings" w:hint="default"/>
      </w:rPr>
    </w:lvl>
  </w:abstractNum>
  <w:abstractNum w:abstractNumId="40" w15:restartNumberingAfterBreak="0">
    <w:nsid w:val="75074FF6"/>
    <w:multiLevelType w:val="multilevel"/>
    <w:tmpl w:val="A8E4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636D05"/>
    <w:multiLevelType w:val="hybridMultilevel"/>
    <w:tmpl w:val="FFFFFFFF"/>
    <w:lvl w:ilvl="0" w:tplc="5E5EAEEA">
      <w:start w:val="1"/>
      <w:numFmt w:val="bullet"/>
      <w:lvlText w:val=""/>
      <w:lvlJc w:val="left"/>
      <w:pPr>
        <w:ind w:left="1080" w:hanging="360"/>
      </w:pPr>
      <w:rPr>
        <w:rFonts w:ascii="Symbol" w:hAnsi="Symbol" w:hint="default"/>
      </w:rPr>
    </w:lvl>
    <w:lvl w:ilvl="1" w:tplc="E26CFA76">
      <w:start w:val="1"/>
      <w:numFmt w:val="bullet"/>
      <w:lvlText w:val=""/>
      <w:lvlJc w:val="left"/>
      <w:pPr>
        <w:ind w:left="1800" w:hanging="360"/>
      </w:pPr>
      <w:rPr>
        <w:rFonts w:ascii="Symbol" w:hAnsi="Symbol" w:hint="default"/>
      </w:rPr>
    </w:lvl>
    <w:lvl w:ilvl="2" w:tplc="47A2984C">
      <w:start w:val="1"/>
      <w:numFmt w:val="bullet"/>
      <w:lvlText w:val=""/>
      <w:lvlJc w:val="left"/>
      <w:pPr>
        <w:ind w:left="2520" w:hanging="360"/>
      </w:pPr>
      <w:rPr>
        <w:rFonts w:ascii="Wingdings" w:hAnsi="Wingdings" w:hint="default"/>
      </w:rPr>
    </w:lvl>
    <w:lvl w:ilvl="3" w:tplc="224C26AA">
      <w:start w:val="1"/>
      <w:numFmt w:val="bullet"/>
      <w:lvlText w:val=""/>
      <w:lvlJc w:val="left"/>
      <w:pPr>
        <w:ind w:left="3240" w:hanging="360"/>
      </w:pPr>
      <w:rPr>
        <w:rFonts w:ascii="Symbol" w:hAnsi="Symbol" w:hint="default"/>
      </w:rPr>
    </w:lvl>
    <w:lvl w:ilvl="4" w:tplc="A060EA72">
      <w:start w:val="1"/>
      <w:numFmt w:val="bullet"/>
      <w:lvlText w:val="o"/>
      <w:lvlJc w:val="left"/>
      <w:pPr>
        <w:ind w:left="3960" w:hanging="360"/>
      </w:pPr>
      <w:rPr>
        <w:rFonts w:ascii="Courier New" w:hAnsi="Courier New" w:hint="default"/>
      </w:rPr>
    </w:lvl>
    <w:lvl w:ilvl="5" w:tplc="BB08D658">
      <w:start w:val="1"/>
      <w:numFmt w:val="bullet"/>
      <w:lvlText w:val=""/>
      <w:lvlJc w:val="left"/>
      <w:pPr>
        <w:ind w:left="4680" w:hanging="360"/>
      </w:pPr>
      <w:rPr>
        <w:rFonts w:ascii="Wingdings" w:hAnsi="Wingdings" w:hint="default"/>
      </w:rPr>
    </w:lvl>
    <w:lvl w:ilvl="6" w:tplc="68A877D2">
      <w:start w:val="1"/>
      <w:numFmt w:val="bullet"/>
      <w:lvlText w:val=""/>
      <w:lvlJc w:val="left"/>
      <w:pPr>
        <w:ind w:left="5400" w:hanging="360"/>
      </w:pPr>
      <w:rPr>
        <w:rFonts w:ascii="Symbol" w:hAnsi="Symbol" w:hint="default"/>
      </w:rPr>
    </w:lvl>
    <w:lvl w:ilvl="7" w:tplc="36223A6E">
      <w:start w:val="1"/>
      <w:numFmt w:val="bullet"/>
      <w:lvlText w:val="o"/>
      <w:lvlJc w:val="left"/>
      <w:pPr>
        <w:ind w:left="6120" w:hanging="360"/>
      </w:pPr>
      <w:rPr>
        <w:rFonts w:ascii="Courier New" w:hAnsi="Courier New" w:hint="default"/>
      </w:rPr>
    </w:lvl>
    <w:lvl w:ilvl="8" w:tplc="ECD8D996">
      <w:start w:val="1"/>
      <w:numFmt w:val="bullet"/>
      <w:lvlText w:val=""/>
      <w:lvlJc w:val="left"/>
      <w:pPr>
        <w:ind w:left="6840" w:hanging="360"/>
      </w:pPr>
      <w:rPr>
        <w:rFonts w:ascii="Wingdings" w:hAnsi="Wingdings" w:hint="default"/>
      </w:rPr>
    </w:lvl>
  </w:abstractNum>
  <w:abstractNum w:abstractNumId="42" w15:restartNumberingAfterBreak="0">
    <w:nsid w:val="799B1184"/>
    <w:multiLevelType w:val="multilevel"/>
    <w:tmpl w:val="4A5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744029"/>
    <w:multiLevelType w:val="hybridMultilevel"/>
    <w:tmpl w:val="FFFFFFFF"/>
    <w:lvl w:ilvl="0" w:tplc="4A48F9B2">
      <w:start w:val="1"/>
      <w:numFmt w:val="bullet"/>
      <w:lvlText w:val=""/>
      <w:lvlJc w:val="left"/>
      <w:pPr>
        <w:ind w:left="720" w:hanging="360"/>
      </w:pPr>
      <w:rPr>
        <w:rFonts w:ascii="Symbol" w:hAnsi="Symbol" w:hint="default"/>
      </w:rPr>
    </w:lvl>
    <w:lvl w:ilvl="1" w:tplc="AF94459C">
      <w:start w:val="1"/>
      <w:numFmt w:val="bullet"/>
      <w:lvlText w:val="o"/>
      <w:lvlJc w:val="left"/>
      <w:pPr>
        <w:ind w:left="1440" w:hanging="360"/>
      </w:pPr>
      <w:rPr>
        <w:rFonts w:ascii="Courier New" w:hAnsi="Courier New" w:hint="default"/>
      </w:rPr>
    </w:lvl>
    <w:lvl w:ilvl="2" w:tplc="0056316A">
      <w:start w:val="1"/>
      <w:numFmt w:val="bullet"/>
      <w:lvlText w:val=""/>
      <w:lvlJc w:val="left"/>
      <w:pPr>
        <w:ind w:left="2160" w:hanging="360"/>
      </w:pPr>
      <w:rPr>
        <w:rFonts w:ascii="Wingdings" w:hAnsi="Wingdings" w:hint="default"/>
      </w:rPr>
    </w:lvl>
    <w:lvl w:ilvl="3" w:tplc="2404F064">
      <w:start w:val="1"/>
      <w:numFmt w:val="bullet"/>
      <w:lvlText w:val=""/>
      <w:lvlJc w:val="left"/>
      <w:pPr>
        <w:ind w:left="2880" w:hanging="360"/>
      </w:pPr>
      <w:rPr>
        <w:rFonts w:ascii="Symbol" w:hAnsi="Symbol" w:hint="default"/>
      </w:rPr>
    </w:lvl>
    <w:lvl w:ilvl="4" w:tplc="D5DA8E08">
      <w:start w:val="1"/>
      <w:numFmt w:val="bullet"/>
      <w:lvlText w:val="o"/>
      <w:lvlJc w:val="left"/>
      <w:pPr>
        <w:ind w:left="3600" w:hanging="360"/>
      </w:pPr>
      <w:rPr>
        <w:rFonts w:ascii="Courier New" w:hAnsi="Courier New" w:hint="default"/>
      </w:rPr>
    </w:lvl>
    <w:lvl w:ilvl="5" w:tplc="65783026">
      <w:start w:val="1"/>
      <w:numFmt w:val="bullet"/>
      <w:lvlText w:val=""/>
      <w:lvlJc w:val="left"/>
      <w:pPr>
        <w:ind w:left="4320" w:hanging="360"/>
      </w:pPr>
      <w:rPr>
        <w:rFonts w:ascii="Wingdings" w:hAnsi="Wingdings" w:hint="default"/>
      </w:rPr>
    </w:lvl>
    <w:lvl w:ilvl="6" w:tplc="79CE5368">
      <w:start w:val="1"/>
      <w:numFmt w:val="bullet"/>
      <w:lvlText w:val=""/>
      <w:lvlJc w:val="left"/>
      <w:pPr>
        <w:ind w:left="5040" w:hanging="360"/>
      </w:pPr>
      <w:rPr>
        <w:rFonts w:ascii="Symbol" w:hAnsi="Symbol" w:hint="default"/>
      </w:rPr>
    </w:lvl>
    <w:lvl w:ilvl="7" w:tplc="222C5B08">
      <w:start w:val="1"/>
      <w:numFmt w:val="bullet"/>
      <w:lvlText w:val="o"/>
      <w:lvlJc w:val="left"/>
      <w:pPr>
        <w:ind w:left="5760" w:hanging="360"/>
      </w:pPr>
      <w:rPr>
        <w:rFonts w:ascii="Courier New" w:hAnsi="Courier New" w:hint="default"/>
      </w:rPr>
    </w:lvl>
    <w:lvl w:ilvl="8" w:tplc="9FAE3CA2">
      <w:start w:val="1"/>
      <w:numFmt w:val="bullet"/>
      <w:lvlText w:val=""/>
      <w:lvlJc w:val="left"/>
      <w:pPr>
        <w:ind w:left="6480" w:hanging="360"/>
      </w:pPr>
      <w:rPr>
        <w:rFonts w:ascii="Wingdings" w:hAnsi="Wingdings" w:hint="default"/>
      </w:rPr>
    </w:lvl>
  </w:abstractNum>
  <w:num w:numId="1" w16cid:durableId="919287247">
    <w:abstractNumId w:val="37"/>
  </w:num>
  <w:num w:numId="2" w16cid:durableId="1652634151">
    <w:abstractNumId w:val="30"/>
  </w:num>
  <w:num w:numId="3" w16cid:durableId="1597518506">
    <w:abstractNumId w:val="25"/>
  </w:num>
  <w:num w:numId="4" w16cid:durableId="695277123">
    <w:abstractNumId w:val="21"/>
  </w:num>
  <w:num w:numId="5" w16cid:durableId="875191609">
    <w:abstractNumId w:val="38"/>
  </w:num>
  <w:num w:numId="6" w16cid:durableId="1438673395">
    <w:abstractNumId w:val="6"/>
  </w:num>
  <w:num w:numId="7" w16cid:durableId="434522540">
    <w:abstractNumId w:val="19"/>
  </w:num>
  <w:num w:numId="8" w16cid:durableId="695664865">
    <w:abstractNumId w:val="34"/>
  </w:num>
  <w:num w:numId="9" w16cid:durableId="1740208872">
    <w:abstractNumId w:val="29"/>
  </w:num>
  <w:num w:numId="10" w16cid:durableId="263271221">
    <w:abstractNumId w:val="5"/>
  </w:num>
  <w:num w:numId="11" w16cid:durableId="726951050">
    <w:abstractNumId w:val="40"/>
  </w:num>
  <w:num w:numId="12" w16cid:durableId="1475681271">
    <w:abstractNumId w:val="28"/>
  </w:num>
  <w:num w:numId="13" w16cid:durableId="660734447">
    <w:abstractNumId w:val="10"/>
  </w:num>
  <w:num w:numId="14" w16cid:durableId="1420831638">
    <w:abstractNumId w:val="42"/>
  </w:num>
  <w:num w:numId="15" w16cid:durableId="602301959">
    <w:abstractNumId w:val="23"/>
  </w:num>
  <w:num w:numId="16" w16cid:durableId="907417513">
    <w:abstractNumId w:val="22"/>
  </w:num>
  <w:num w:numId="17" w16cid:durableId="378165646">
    <w:abstractNumId w:val="3"/>
  </w:num>
  <w:num w:numId="18" w16cid:durableId="419914369">
    <w:abstractNumId w:val="26"/>
  </w:num>
  <w:num w:numId="19" w16cid:durableId="1589076136">
    <w:abstractNumId w:val="8"/>
  </w:num>
  <w:num w:numId="20" w16cid:durableId="2141342520">
    <w:abstractNumId w:val="32"/>
  </w:num>
  <w:num w:numId="21" w16cid:durableId="702483068">
    <w:abstractNumId w:val="14"/>
  </w:num>
  <w:num w:numId="22" w16cid:durableId="169292725">
    <w:abstractNumId w:val="17"/>
  </w:num>
  <w:num w:numId="23" w16cid:durableId="429131810">
    <w:abstractNumId w:val="16"/>
  </w:num>
  <w:num w:numId="24" w16cid:durableId="613635846">
    <w:abstractNumId w:val="24"/>
  </w:num>
  <w:num w:numId="25" w16cid:durableId="1328900655">
    <w:abstractNumId w:val="31"/>
  </w:num>
  <w:num w:numId="26" w16cid:durableId="1638416095">
    <w:abstractNumId w:val="15"/>
  </w:num>
  <w:num w:numId="27" w16cid:durableId="214391045">
    <w:abstractNumId w:val="20"/>
  </w:num>
  <w:num w:numId="28" w16cid:durableId="905532246">
    <w:abstractNumId w:val="18"/>
  </w:num>
  <w:num w:numId="29" w16cid:durableId="1547377672">
    <w:abstractNumId w:val="0"/>
  </w:num>
  <w:num w:numId="30" w16cid:durableId="1468280017">
    <w:abstractNumId w:val="4"/>
  </w:num>
  <w:num w:numId="31" w16cid:durableId="1230770360">
    <w:abstractNumId w:val="7"/>
  </w:num>
  <w:num w:numId="32" w16cid:durableId="1982299437">
    <w:abstractNumId w:val="33"/>
  </w:num>
  <w:num w:numId="33" w16cid:durableId="761102100">
    <w:abstractNumId w:val="2"/>
  </w:num>
  <w:num w:numId="34" w16cid:durableId="607539909">
    <w:abstractNumId w:val="9"/>
  </w:num>
  <w:num w:numId="35" w16cid:durableId="453908805">
    <w:abstractNumId w:val="12"/>
  </w:num>
  <w:num w:numId="36" w16cid:durableId="467284855">
    <w:abstractNumId w:val="11"/>
  </w:num>
  <w:num w:numId="37" w16cid:durableId="76370104">
    <w:abstractNumId w:val="27"/>
  </w:num>
  <w:num w:numId="38" w16cid:durableId="1868059663">
    <w:abstractNumId w:val="1"/>
  </w:num>
  <w:num w:numId="39" w16cid:durableId="1417705329">
    <w:abstractNumId w:val="36"/>
  </w:num>
  <w:num w:numId="40" w16cid:durableId="1899390530">
    <w:abstractNumId w:val="43"/>
  </w:num>
  <w:num w:numId="41" w16cid:durableId="717241297">
    <w:abstractNumId w:val="35"/>
  </w:num>
  <w:num w:numId="42" w16cid:durableId="869759034">
    <w:abstractNumId w:val="13"/>
  </w:num>
  <w:num w:numId="43" w16cid:durableId="1112167940">
    <w:abstractNumId w:val="27"/>
  </w:num>
  <w:num w:numId="44" w16cid:durableId="1356542617">
    <w:abstractNumId w:val="39"/>
  </w:num>
  <w:num w:numId="45" w16cid:durableId="113077978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4E"/>
    <w:rsid w:val="00000275"/>
    <w:rsid w:val="000004CB"/>
    <w:rsid w:val="00000563"/>
    <w:rsid w:val="00000949"/>
    <w:rsid w:val="00000A26"/>
    <w:rsid w:val="000013F2"/>
    <w:rsid w:val="000014C6"/>
    <w:rsid w:val="00001768"/>
    <w:rsid w:val="00001E2D"/>
    <w:rsid w:val="00001E6B"/>
    <w:rsid w:val="00002393"/>
    <w:rsid w:val="000023F0"/>
    <w:rsid w:val="0000240B"/>
    <w:rsid w:val="0000281B"/>
    <w:rsid w:val="0000329A"/>
    <w:rsid w:val="00003423"/>
    <w:rsid w:val="00003433"/>
    <w:rsid w:val="00003759"/>
    <w:rsid w:val="0000397A"/>
    <w:rsid w:val="00003BD8"/>
    <w:rsid w:val="000041A6"/>
    <w:rsid w:val="000041BD"/>
    <w:rsid w:val="00005427"/>
    <w:rsid w:val="00005697"/>
    <w:rsid w:val="00005F89"/>
    <w:rsid w:val="000060FD"/>
    <w:rsid w:val="000061E2"/>
    <w:rsid w:val="000063A3"/>
    <w:rsid w:val="00006607"/>
    <w:rsid w:val="00006670"/>
    <w:rsid w:val="00006C8C"/>
    <w:rsid w:val="000070A6"/>
    <w:rsid w:val="000072D3"/>
    <w:rsid w:val="000073D0"/>
    <w:rsid w:val="000077BA"/>
    <w:rsid w:val="000079B5"/>
    <w:rsid w:val="00007D4C"/>
    <w:rsid w:val="00007DA2"/>
    <w:rsid w:val="00007F0C"/>
    <w:rsid w:val="0001078F"/>
    <w:rsid w:val="00010FB0"/>
    <w:rsid w:val="00010FF1"/>
    <w:rsid w:val="000112BD"/>
    <w:rsid w:val="0001144C"/>
    <w:rsid w:val="000116ED"/>
    <w:rsid w:val="0001175B"/>
    <w:rsid w:val="00011CDC"/>
    <w:rsid w:val="00011F9A"/>
    <w:rsid w:val="0001200E"/>
    <w:rsid w:val="0001214B"/>
    <w:rsid w:val="00012250"/>
    <w:rsid w:val="00012283"/>
    <w:rsid w:val="000123E5"/>
    <w:rsid w:val="0001257F"/>
    <w:rsid w:val="000125DD"/>
    <w:rsid w:val="00012E0D"/>
    <w:rsid w:val="00012F7E"/>
    <w:rsid w:val="00013006"/>
    <w:rsid w:val="00013676"/>
    <w:rsid w:val="00013B08"/>
    <w:rsid w:val="00013E70"/>
    <w:rsid w:val="000144F7"/>
    <w:rsid w:val="0001490B"/>
    <w:rsid w:val="00014963"/>
    <w:rsid w:val="00014A4D"/>
    <w:rsid w:val="00014CAD"/>
    <w:rsid w:val="00014EAC"/>
    <w:rsid w:val="000150CC"/>
    <w:rsid w:val="0001559C"/>
    <w:rsid w:val="000156D3"/>
    <w:rsid w:val="000158FF"/>
    <w:rsid w:val="00015AB3"/>
    <w:rsid w:val="00015E28"/>
    <w:rsid w:val="000162F6"/>
    <w:rsid w:val="0001663F"/>
    <w:rsid w:val="00016851"/>
    <w:rsid w:val="000169D5"/>
    <w:rsid w:val="00016CCA"/>
    <w:rsid w:val="00017092"/>
    <w:rsid w:val="00017405"/>
    <w:rsid w:val="000178C0"/>
    <w:rsid w:val="00017BA2"/>
    <w:rsid w:val="00020BE8"/>
    <w:rsid w:val="00020D2E"/>
    <w:rsid w:val="00020F22"/>
    <w:rsid w:val="00020F45"/>
    <w:rsid w:val="00020F4A"/>
    <w:rsid w:val="00020FB3"/>
    <w:rsid w:val="00020FED"/>
    <w:rsid w:val="00020FFB"/>
    <w:rsid w:val="000218AB"/>
    <w:rsid w:val="00021A0A"/>
    <w:rsid w:val="00021A2D"/>
    <w:rsid w:val="00021E4E"/>
    <w:rsid w:val="00021EBC"/>
    <w:rsid w:val="000224C1"/>
    <w:rsid w:val="000224F5"/>
    <w:rsid w:val="00022525"/>
    <w:rsid w:val="000226EE"/>
    <w:rsid w:val="00022CC1"/>
    <w:rsid w:val="0002313E"/>
    <w:rsid w:val="000231BE"/>
    <w:rsid w:val="00023582"/>
    <w:rsid w:val="0002365E"/>
    <w:rsid w:val="00023967"/>
    <w:rsid w:val="00024056"/>
    <w:rsid w:val="000240AA"/>
    <w:rsid w:val="000242E4"/>
    <w:rsid w:val="0002472D"/>
    <w:rsid w:val="0002485F"/>
    <w:rsid w:val="00024AC6"/>
    <w:rsid w:val="00024CCA"/>
    <w:rsid w:val="00024DA7"/>
    <w:rsid w:val="0002505C"/>
    <w:rsid w:val="00025125"/>
    <w:rsid w:val="00025274"/>
    <w:rsid w:val="000252AE"/>
    <w:rsid w:val="000252E4"/>
    <w:rsid w:val="00025337"/>
    <w:rsid w:val="000259CF"/>
    <w:rsid w:val="00025A9D"/>
    <w:rsid w:val="00026176"/>
    <w:rsid w:val="00026430"/>
    <w:rsid w:val="00026515"/>
    <w:rsid w:val="000266FF"/>
    <w:rsid w:val="00026728"/>
    <w:rsid w:val="00026D20"/>
    <w:rsid w:val="00026D51"/>
    <w:rsid w:val="0002732A"/>
    <w:rsid w:val="0002744B"/>
    <w:rsid w:val="0002789A"/>
    <w:rsid w:val="00027957"/>
    <w:rsid w:val="00027B5C"/>
    <w:rsid w:val="00030207"/>
    <w:rsid w:val="0003024C"/>
    <w:rsid w:val="000303A3"/>
    <w:rsid w:val="000306DC"/>
    <w:rsid w:val="000306DD"/>
    <w:rsid w:val="00030B3D"/>
    <w:rsid w:val="00030E4C"/>
    <w:rsid w:val="00030FE0"/>
    <w:rsid w:val="0003104C"/>
    <w:rsid w:val="000317A7"/>
    <w:rsid w:val="00031893"/>
    <w:rsid w:val="0003189B"/>
    <w:rsid w:val="0003211A"/>
    <w:rsid w:val="00032735"/>
    <w:rsid w:val="000329A6"/>
    <w:rsid w:val="00032A96"/>
    <w:rsid w:val="00032E32"/>
    <w:rsid w:val="00032F59"/>
    <w:rsid w:val="00033085"/>
    <w:rsid w:val="0003320D"/>
    <w:rsid w:val="000335EE"/>
    <w:rsid w:val="000338D9"/>
    <w:rsid w:val="00033BA9"/>
    <w:rsid w:val="00033BB8"/>
    <w:rsid w:val="0003420F"/>
    <w:rsid w:val="000344F1"/>
    <w:rsid w:val="00034733"/>
    <w:rsid w:val="00034A28"/>
    <w:rsid w:val="00034ED3"/>
    <w:rsid w:val="00034FAF"/>
    <w:rsid w:val="0003514D"/>
    <w:rsid w:val="00035413"/>
    <w:rsid w:val="00035519"/>
    <w:rsid w:val="00035709"/>
    <w:rsid w:val="00035999"/>
    <w:rsid w:val="00035AB4"/>
    <w:rsid w:val="00035C6A"/>
    <w:rsid w:val="00035D30"/>
    <w:rsid w:val="00035FAD"/>
    <w:rsid w:val="00036142"/>
    <w:rsid w:val="000363D3"/>
    <w:rsid w:val="00036510"/>
    <w:rsid w:val="000365EA"/>
    <w:rsid w:val="00036AE4"/>
    <w:rsid w:val="00036D8B"/>
    <w:rsid w:val="00036FF9"/>
    <w:rsid w:val="000375F6"/>
    <w:rsid w:val="00037958"/>
    <w:rsid w:val="00040043"/>
    <w:rsid w:val="00040701"/>
    <w:rsid w:val="00040C52"/>
    <w:rsid w:val="00040CBE"/>
    <w:rsid w:val="00041203"/>
    <w:rsid w:val="00041710"/>
    <w:rsid w:val="000420F5"/>
    <w:rsid w:val="00042293"/>
    <w:rsid w:val="0004247D"/>
    <w:rsid w:val="0004284D"/>
    <w:rsid w:val="00043050"/>
    <w:rsid w:val="000435B4"/>
    <w:rsid w:val="000436B8"/>
    <w:rsid w:val="000436C0"/>
    <w:rsid w:val="00043775"/>
    <w:rsid w:val="00043870"/>
    <w:rsid w:val="00043899"/>
    <w:rsid w:val="00043BD8"/>
    <w:rsid w:val="0004443D"/>
    <w:rsid w:val="00044611"/>
    <w:rsid w:val="000449F9"/>
    <w:rsid w:val="00044D21"/>
    <w:rsid w:val="00044FC4"/>
    <w:rsid w:val="00044FF2"/>
    <w:rsid w:val="0004501F"/>
    <w:rsid w:val="000455BC"/>
    <w:rsid w:val="000457CB"/>
    <w:rsid w:val="00045E65"/>
    <w:rsid w:val="00045EB6"/>
    <w:rsid w:val="00045EE4"/>
    <w:rsid w:val="0004614C"/>
    <w:rsid w:val="00046331"/>
    <w:rsid w:val="00046562"/>
    <w:rsid w:val="00046C86"/>
    <w:rsid w:val="00046E87"/>
    <w:rsid w:val="00047121"/>
    <w:rsid w:val="0004730F"/>
    <w:rsid w:val="000475A2"/>
    <w:rsid w:val="0004774F"/>
    <w:rsid w:val="00047B7A"/>
    <w:rsid w:val="0005002D"/>
    <w:rsid w:val="000501BC"/>
    <w:rsid w:val="000502A9"/>
    <w:rsid w:val="0005038A"/>
    <w:rsid w:val="00050989"/>
    <w:rsid w:val="00050CB4"/>
    <w:rsid w:val="0005120E"/>
    <w:rsid w:val="000512E1"/>
    <w:rsid w:val="00051A2B"/>
    <w:rsid w:val="00051BF7"/>
    <w:rsid w:val="00051D9E"/>
    <w:rsid w:val="00052081"/>
    <w:rsid w:val="00052657"/>
    <w:rsid w:val="000527CD"/>
    <w:rsid w:val="00052968"/>
    <w:rsid w:val="00052A68"/>
    <w:rsid w:val="00052BA7"/>
    <w:rsid w:val="000530F1"/>
    <w:rsid w:val="00053BDB"/>
    <w:rsid w:val="00053DD9"/>
    <w:rsid w:val="00054038"/>
    <w:rsid w:val="0005404F"/>
    <w:rsid w:val="000540DC"/>
    <w:rsid w:val="000541AE"/>
    <w:rsid w:val="0005432F"/>
    <w:rsid w:val="00054373"/>
    <w:rsid w:val="000545A1"/>
    <w:rsid w:val="00054881"/>
    <w:rsid w:val="0005498B"/>
    <w:rsid w:val="00055398"/>
    <w:rsid w:val="000554AF"/>
    <w:rsid w:val="00056046"/>
    <w:rsid w:val="00056697"/>
    <w:rsid w:val="000566AF"/>
    <w:rsid w:val="00056755"/>
    <w:rsid w:val="00056839"/>
    <w:rsid w:val="00056A43"/>
    <w:rsid w:val="00056B05"/>
    <w:rsid w:val="00056C67"/>
    <w:rsid w:val="00056E20"/>
    <w:rsid w:val="00057017"/>
    <w:rsid w:val="00057503"/>
    <w:rsid w:val="0006023D"/>
    <w:rsid w:val="000604CC"/>
    <w:rsid w:val="000604EB"/>
    <w:rsid w:val="00060E23"/>
    <w:rsid w:val="00060FC4"/>
    <w:rsid w:val="00061B2F"/>
    <w:rsid w:val="00061E54"/>
    <w:rsid w:val="0006224F"/>
    <w:rsid w:val="0006226E"/>
    <w:rsid w:val="00063479"/>
    <w:rsid w:val="0006397A"/>
    <w:rsid w:val="00063CA1"/>
    <w:rsid w:val="00064012"/>
    <w:rsid w:val="000640B2"/>
    <w:rsid w:val="000641C4"/>
    <w:rsid w:val="0006425A"/>
    <w:rsid w:val="00064312"/>
    <w:rsid w:val="0006462A"/>
    <w:rsid w:val="000646FB"/>
    <w:rsid w:val="0006488C"/>
    <w:rsid w:val="00064D08"/>
    <w:rsid w:val="000656A5"/>
    <w:rsid w:val="00066095"/>
    <w:rsid w:val="0006627A"/>
    <w:rsid w:val="000662D9"/>
    <w:rsid w:val="0006653D"/>
    <w:rsid w:val="0006686C"/>
    <w:rsid w:val="00066BC8"/>
    <w:rsid w:val="00066BDC"/>
    <w:rsid w:val="00066C97"/>
    <w:rsid w:val="00066D6F"/>
    <w:rsid w:val="00067020"/>
    <w:rsid w:val="000671CD"/>
    <w:rsid w:val="0006723A"/>
    <w:rsid w:val="000675B5"/>
    <w:rsid w:val="00067B8E"/>
    <w:rsid w:val="00067E3C"/>
    <w:rsid w:val="00070035"/>
    <w:rsid w:val="0007062A"/>
    <w:rsid w:val="00070CCE"/>
    <w:rsid w:val="00071AFF"/>
    <w:rsid w:val="00071D45"/>
    <w:rsid w:val="000720F1"/>
    <w:rsid w:val="000727BF"/>
    <w:rsid w:val="00072B95"/>
    <w:rsid w:val="00072C26"/>
    <w:rsid w:val="000731C7"/>
    <w:rsid w:val="00073204"/>
    <w:rsid w:val="00073346"/>
    <w:rsid w:val="0007370F"/>
    <w:rsid w:val="00074585"/>
    <w:rsid w:val="00074601"/>
    <w:rsid w:val="00074946"/>
    <w:rsid w:val="00074B2E"/>
    <w:rsid w:val="00074C29"/>
    <w:rsid w:val="00074DB6"/>
    <w:rsid w:val="0007500C"/>
    <w:rsid w:val="0007506B"/>
    <w:rsid w:val="0007571E"/>
    <w:rsid w:val="000758E4"/>
    <w:rsid w:val="0007645D"/>
    <w:rsid w:val="00076917"/>
    <w:rsid w:val="000769D6"/>
    <w:rsid w:val="00076CEE"/>
    <w:rsid w:val="00076D92"/>
    <w:rsid w:val="00076DBC"/>
    <w:rsid w:val="00076DFE"/>
    <w:rsid w:val="0007738E"/>
    <w:rsid w:val="00077528"/>
    <w:rsid w:val="0007752D"/>
    <w:rsid w:val="000775EE"/>
    <w:rsid w:val="000777C1"/>
    <w:rsid w:val="000778B9"/>
    <w:rsid w:val="000778E9"/>
    <w:rsid w:val="000779A8"/>
    <w:rsid w:val="00077EFB"/>
    <w:rsid w:val="000802AD"/>
    <w:rsid w:val="000806DA"/>
    <w:rsid w:val="00080800"/>
    <w:rsid w:val="00080879"/>
    <w:rsid w:val="00080B98"/>
    <w:rsid w:val="00080EA2"/>
    <w:rsid w:val="00080ED6"/>
    <w:rsid w:val="00080EFE"/>
    <w:rsid w:val="00081703"/>
    <w:rsid w:val="00081769"/>
    <w:rsid w:val="00081AAB"/>
    <w:rsid w:val="00081B11"/>
    <w:rsid w:val="00081D0B"/>
    <w:rsid w:val="00082017"/>
    <w:rsid w:val="0008225C"/>
    <w:rsid w:val="0008266C"/>
    <w:rsid w:val="00082A5C"/>
    <w:rsid w:val="00082D62"/>
    <w:rsid w:val="00082DCA"/>
    <w:rsid w:val="00082F57"/>
    <w:rsid w:val="000830F5"/>
    <w:rsid w:val="00083119"/>
    <w:rsid w:val="000831E5"/>
    <w:rsid w:val="000839B8"/>
    <w:rsid w:val="00083C6D"/>
    <w:rsid w:val="00083F71"/>
    <w:rsid w:val="0008405D"/>
    <w:rsid w:val="0008419E"/>
    <w:rsid w:val="00084269"/>
    <w:rsid w:val="000843ED"/>
    <w:rsid w:val="00084891"/>
    <w:rsid w:val="00084943"/>
    <w:rsid w:val="0008498C"/>
    <w:rsid w:val="00084AC1"/>
    <w:rsid w:val="00084F3E"/>
    <w:rsid w:val="000853B4"/>
    <w:rsid w:val="000854F7"/>
    <w:rsid w:val="00085AB9"/>
    <w:rsid w:val="00085D32"/>
    <w:rsid w:val="00086390"/>
    <w:rsid w:val="0008640B"/>
    <w:rsid w:val="000864EE"/>
    <w:rsid w:val="000865C0"/>
    <w:rsid w:val="00086E7E"/>
    <w:rsid w:val="00087051"/>
    <w:rsid w:val="00087394"/>
    <w:rsid w:val="000873FF"/>
    <w:rsid w:val="000874F2"/>
    <w:rsid w:val="00087645"/>
    <w:rsid w:val="00087896"/>
    <w:rsid w:val="00087B48"/>
    <w:rsid w:val="00087B77"/>
    <w:rsid w:val="00087C07"/>
    <w:rsid w:val="00087DE8"/>
    <w:rsid w:val="00090126"/>
    <w:rsid w:val="0009017E"/>
    <w:rsid w:val="00090857"/>
    <w:rsid w:val="00090A0D"/>
    <w:rsid w:val="00090C15"/>
    <w:rsid w:val="00090DFE"/>
    <w:rsid w:val="00090F5F"/>
    <w:rsid w:val="00091090"/>
    <w:rsid w:val="00091A57"/>
    <w:rsid w:val="00091E84"/>
    <w:rsid w:val="00091E91"/>
    <w:rsid w:val="000923DC"/>
    <w:rsid w:val="000926E9"/>
    <w:rsid w:val="00093953"/>
    <w:rsid w:val="00094334"/>
    <w:rsid w:val="0009479D"/>
    <w:rsid w:val="000947B7"/>
    <w:rsid w:val="00094AE0"/>
    <w:rsid w:val="00094E8B"/>
    <w:rsid w:val="00095090"/>
    <w:rsid w:val="00095233"/>
    <w:rsid w:val="00095265"/>
    <w:rsid w:val="000953A7"/>
    <w:rsid w:val="000959B2"/>
    <w:rsid w:val="00095BBE"/>
    <w:rsid w:val="0009627F"/>
    <w:rsid w:val="000963B4"/>
    <w:rsid w:val="000967C8"/>
    <w:rsid w:val="000969F9"/>
    <w:rsid w:val="00096BCC"/>
    <w:rsid w:val="0009728E"/>
    <w:rsid w:val="00097560"/>
    <w:rsid w:val="00097575"/>
    <w:rsid w:val="000976B4"/>
    <w:rsid w:val="000977A4"/>
    <w:rsid w:val="00097D2B"/>
    <w:rsid w:val="00097D96"/>
    <w:rsid w:val="00097DC8"/>
    <w:rsid w:val="000A06EB"/>
    <w:rsid w:val="000A08A8"/>
    <w:rsid w:val="000A0BDE"/>
    <w:rsid w:val="000A1021"/>
    <w:rsid w:val="000A1215"/>
    <w:rsid w:val="000A15C5"/>
    <w:rsid w:val="000A165E"/>
    <w:rsid w:val="000A1AE9"/>
    <w:rsid w:val="000A1C87"/>
    <w:rsid w:val="000A1DF4"/>
    <w:rsid w:val="000A2016"/>
    <w:rsid w:val="000A23AC"/>
    <w:rsid w:val="000A2700"/>
    <w:rsid w:val="000A2894"/>
    <w:rsid w:val="000A28C3"/>
    <w:rsid w:val="000A2C2D"/>
    <w:rsid w:val="000A2D49"/>
    <w:rsid w:val="000A2EC1"/>
    <w:rsid w:val="000A2F72"/>
    <w:rsid w:val="000A3819"/>
    <w:rsid w:val="000A384E"/>
    <w:rsid w:val="000A38F6"/>
    <w:rsid w:val="000A3E3B"/>
    <w:rsid w:val="000A4129"/>
    <w:rsid w:val="000A4701"/>
    <w:rsid w:val="000A47E2"/>
    <w:rsid w:val="000A4A17"/>
    <w:rsid w:val="000A4D33"/>
    <w:rsid w:val="000A4F4F"/>
    <w:rsid w:val="000A5006"/>
    <w:rsid w:val="000A5388"/>
    <w:rsid w:val="000A5772"/>
    <w:rsid w:val="000A593F"/>
    <w:rsid w:val="000A5EAC"/>
    <w:rsid w:val="000A6249"/>
    <w:rsid w:val="000A64FE"/>
    <w:rsid w:val="000A673E"/>
    <w:rsid w:val="000A690A"/>
    <w:rsid w:val="000A70FF"/>
    <w:rsid w:val="000A72CF"/>
    <w:rsid w:val="000A7501"/>
    <w:rsid w:val="000A7908"/>
    <w:rsid w:val="000A7A15"/>
    <w:rsid w:val="000A7D68"/>
    <w:rsid w:val="000B014D"/>
    <w:rsid w:val="000B0251"/>
    <w:rsid w:val="000B02E2"/>
    <w:rsid w:val="000B0329"/>
    <w:rsid w:val="000B037B"/>
    <w:rsid w:val="000B07A5"/>
    <w:rsid w:val="000B0B27"/>
    <w:rsid w:val="000B1252"/>
    <w:rsid w:val="000B1645"/>
    <w:rsid w:val="000B1658"/>
    <w:rsid w:val="000B1981"/>
    <w:rsid w:val="000B1A83"/>
    <w:rsid w:val="000B1E8D"/>
    <w:rsid w:val="000B22BB"/>
    <w:rsid w:val="000B253F"/>
    <w:rsid w:val="000B27BE"/>
    <w:rsid w:val="000B287D"/>
    <w:rsid w:val="000B2C07"/>
    <w:rsid w:val="000B2CBE"/>
    <w:rsid w:val="000B2DAB"/>
    <w:rsid w:val="000B2F41"/>
    <w:rsid w:val="000B33CE"/>
    <w:rsid w:val="000B3594"/>
    <w:rsid w:val="000B3809"/>
    <w:rsid w:val="000B3C31"/>
    <w:rsid w:val="000B3DD3"/>
    <w:rsid w:val="000B47E5"/>
    <w:rsid w:val="000B47EF"/>
    <w:rsid w:val="000B4825"/>
    <w:rsid w:val="000B48A2"/>
    <w:rsid w:val="000B4F4D"/>
    <w:rsid w:val="000B5448"/>
    <w:rsid w:val="000B56AA"/>
    <w:rsid w:val="000B58B3"/>
    <w:rsid w:val="000B5D84"/>
    <w:rsid w:val="000B66D3"/>
    <w:rsid w:val="000B66DB"/>
    <w:rsid w:val="000B68EC"/>
    <w:rsid w:val="000B6F19"/>
    <w:rsid w:val="000B7512"/>
    <w:rsid w:val="000B7903"/>
    <w:rsid w:val="000B7BD9"/>
    <w:rsid w:val="000B7BF1"/>
    <w:rsid w:val="000B7D2C"/>
    <w:rsid w:val="000B7DAF"/>
    <w:rsid w:val="000C0222"/>
    <w:rsid w:val="000C0F7F"/>
    <w:rsid w:val="000C1C75"/>
    <w:rsid w:val="000C215F"/>
    <w:rsid w:val="000C2304"/>
    <w:rsid w:val="000C2871"/>
    <w:rsid w:val="000C29C8"/>
    <w:rsid w:val="000C2A2D"/>
    <w:rsid w:val="000C3075"/>
    <w:rsid w:val="000C325F"/>
    <w:rsid w:val="000C328C"/>
    <w:rsid w:val="000C32F6"/>
    <w:rsid w:val="000C38F4"/>
    <w:rsid w:val="000C39CD"/>
    <w:rsid w:val="000C3B66"/>
    <w:rsid w:val="000C3D58"/>
    <w:rsid w:val="000C3F00"/>
    <w:rsid w:val="000C3FF5"/>
    <w:rsid w:val="000C47A6"/>
    <w:rsid w:val="000C4C47"/>
    <w:rsid w:val="000C4FF0"/>
    <w:rsid w:val="000C5194"/>
    <w:rsid w:val="000C55C0"/>
    <w:rsid w:val="000C5620"/>
    <w:rsid w:val="000C58EB"/>
    <w:rsid w:val="000C5EF2"/>
    <w:rsid w:val="000C6255"/>
    <w:rsid w:val="000C6456"/>
    <w:rsid w:val="000C652E"/>
    <w:rsid w:val="000C6926"/>
    <w:rsid w:val="000C6C8B"/>
    <w:rsid w:val="000C6EBE"/>
    <w:rsid w:val="000C6FC2"/>
    <w:rsid w:val="000C70D1"/>
    <w:rsid w:val="000C7549"/>
    <w:rsid w:val="000C7655"/>
    <w:rsid w:val="000C7841"/>
    <w:rsid w:val="000C7BB2"/>
    <w:rsid w:val="000C7CFA"/>
    <w:rsid w:val="000C7D09"/>
    <w:rsid w:val="000D0300"/>
    <w:rsid w:val="000D0407"/>
    <w:rsid w:val="000D0984"/>
    <w:rsid w:val="000D09FD"/>
    <w:rsid w:val="000D0CD9"/>
    <w:rsid w:val="000D0DAD"/>
    <w:rsid w:val="000D10C5"/>
    <w:rsid w:val="000D110F"/>
    <w:rsid w:val="000D1883"/>
    <w:rsid w:val="000D19B3"/>
    <w:rsid w:val="000D1B95"/>
    <w:rsid w:val="000D1BBA"/>
    <w:rsid w:val="000D1D5C"/>
    <w:rsid w:val="000D2150"/>
    <w:rsid w:val="000D283B"/>
    <w:rsid w:val="000D2840"/>
    <w:rsid w:val="000D2B72"/>
    <w:rsid w:val="000D2D70"/>
    <w:rsid w:val="000D3353"/>
    <w:rsid w:val="000D354A"/>
    <w:rsid w:val="000D355B"/>
    <w:rsid w:val="000D371E"/>
    <w:rsid w:val="000D3C8E"/>
    <w:rsid w:val="000D3CDC"/>
    <w:rsid w:val="000D3F3F"/>
    <w:rsid w:val="000D44BA"/>
    <w:rsid w:val="000D46D4"/>
    <w:rsid w:val="000D46FB"/>
    <w:rsid w:val="000D4A6B"/>
    <w:rsid w:val="000D4FBC"/>
    <w:rsid w:val="000D5445"/>
    <w:rsid w:val="000D54CF"/>
    <w:rsid w:val="000D561B"/>
    <w:rsid w:val="000D56C9"/>
    <w:rsid w:val="000D571C"/>
    <w:rsid w:val="000D5D51"/>
    <w:rsid w:val="000D65D9"/>
    <w:rsid w:val="000D6618"/>
    <w:rsid w:val="000D6727"/>
    <w:rsid w:val="000D69E2"/>
    <w:rsid w:val="000D6B82"/>
    <w:rsid w:val="000D7482"/>
    <w:rsid w:val="000D76DE"/>
    <w:rsid w:val="000D7A6B"/>
    <w:rsid w:val="000D7F5E"/>
    <w:rsid w:val="000E037A"/>
    <w:rsid w:val="000E0560"/>
    <w:rsid w:val="000E079B"/>
    <w:rsid w:val="000E09B5"/>
    <w:rsid w:val="000E17A1"/>
    <w:rsid w:val="000E19B8"/>
    <w:rsid w:val="000E19BE"/>
    <w:rsid w:val="000E1A9E"/>
    <w:rsid w:val="000E1AAB"/>
    <w:rsid w:val="000E1B7C"/>
    <w:rsid w:val="000E1CE8"/>
    <w:rsid w:val="000E1DD7"/>
    <w:rsid w:val="000E20F3"/>
    <w:rsid w:val="000E211B"/>
    <w:rsid w:val="000E2426"/>
    <w:rsid w:val="000E2565"/>
    <w:rsid w:val="000E294B"/>
    <w:rsid w:val="000E2C94"/>
    <w:rsid w:val="000E3222"/>
    <w:rsid w:val="000E324F"/>
    <w:rsid w:val="000E327D"/>
    <w:rsid w:val="000E3321"/>
    <w:rsid w:val="000E3653"/>
    <w:rsid w:val="000E3836"/>
    <w:rsid w:val="000E399C"/>
    <w:rsid w:val="000E3A3F"/>
    <w:rsid w:val="000E3D73"/>
    <w:rsid w:val="000E3EF9"/>
    <w:rsid w:val="000E43C3"/>
    <w:rsid w:val="000E469E"/>
    <w:rsid w:val="000E49DF"/>
    <w:rsid w:val="000E4D77"/>
    <w:rsid w:val="000E4F2A"/>
    <w:rsid w:val="000E56C5"/>
    <w:rsid w:val="000E5CB0"/>
    <w:rsid w:val="000E5D17"/>
    <w:rsid w:val="000E5F28"/>
    <w:rsid w:val="000E61D0"/>
    <w:rsid w:val="000E635C"/>
    <w:rsid w:val="000E64E3"/>
    <w:rsid w:val="000E65A3"/>
    <w:rsid w:val="000E6F39"/>
    <w:rsid w:val="000E7952"/>
    <w:rsid w:val="000E79E3"/>
    <w:rsid w:val="000E7C2B"/>
    <w:rsid w:val="000E7E18"/>
    <w:rsid w:val="000E7ED1"/>
    <w:rsid w:val="000F0735"/>
    <w:rsid w:val="000F090A"/>
    <w:rsid w:val="000F0A5A"/>
    <w:rsid w:val="000F12B1"/>
    <w:rsid w:val="000F1461"/>
    <w:rsid w:val="000F1591"/>
    <w:rsid w:val="000F1649"/>
    <w:rsid w:val="000F1BE6"/>
    <w:rsid w:val="000F1E31"/>
    <w:rsid w:val="000F1EB4"/>
    <w:rsid w:val="000F23E0"/>
    <w:rsid w:val="000F24CC"/>
    <w:rsid w:val="000F2565"/>
    <w:rsid w:val="000F2B13"/>
    <w:rsid w:val="000F2E04"/>
    <w:rsid w:val="000F2E0E"/>
    <w:rsid w:val="000F2F52"/>
    <w:rsid w:val="000F30AB"/>
    <w:rsid w:val="000F30B2"/>
    <w:rsid w:val="000F30DE"/>
    <w:rsid w:val="000F35B8"/>
    <w:rsid w:val="000F3666"/>
    <w:rsid w:val="000F3835"/>
    <w:rsid w:val="000F3D51"/>
    <w:rsid w:val="000F4CF3"/>
    <w:rsid w:val="000F4DE6"/>
    <w:rsid w:val="000F5074"/>
    <w:rsid w:val="000F5138"/>
    <w:rsid w:val="000F5310"/>
    <w:rsid w:val="000F589D"/>
    <w:rsid w:val="000F59C7"/>
    <w:rsid w:val="000F5D1D"/>
    <w:rsid w:val="000F65F0"/>
    <w:rsid w:val="000F6AC5"/>
    <w:rsid w:val="000F6B8B"/>
    <w:rsid w:val="000F6BF6"/>
    <w:rsid w:val="000F70B3"/>
    <w:rsid w:val="000F7242"/>
    <w:rsid w:val="000F761E"/>
    <w:rsid w:val="000F7869"/>
    <w:rsid w:val="000F7B08"/>
    <w:rsid w:val="000F7B39"/>
    <w:rsid w:val="000F7C0E"/>
    <w:rsid w:val="000F7C63"/>
    <w:rsid w:val="00100051"/>
    <w:rsid w:val="00100550"/>
    <w:rsid w:val="00100551"/>
    <w:rsid w:val="0010089E"/>
    <w:rsid w:val="00100AD8"/>
    <w:rsid w:val="00100BE8"/>
    <w:rsid w:val="00100F43"/>
    <w:rsid w:val="00101061"/>
    <w:rsid w:val="00101B6A"/>
    <w:rsid w:val="00101D53"/>
    <w:rsid w:val="001023F7"/>
    <w:rsid w:val="00102686"/>
    <w:rsid w:val="001029FE"/>
    <w:rsid w:val="00102A09"/>
    <w:rsid w:val="00103005"/>
    <w:rsid w:val="00103139"/>
    <w:rsid w:val="0010329D"/>
    <w:rsid w:val="00103D3B"/>
    <w:rsid w:val="00103DB8"/>
    <w:rsid w:val="00103FEB"/>
    <w:rsid w:val="00104F67"/>
    <w:rsid w:val="001051F4"/>
    <w:rsid w:val="00105455"/>
    <w:rsid w:val="0010551E"/>
    <w:rsid w:val="00105533"/>
    <w:rsid w:val="00105D98"/>
    <w:rsid w:val="0010610D"/>
    <w:rsid w:val="001062FC"/>
    <w:rsid w:val="0010675F"/>
    <w:rsid w:val="00106B1E"/>
    <w:rsid w:val="00106C80"/>
    <w:rsid w:val="00107334"/>
    <w:rsid w:val="001074B0"/>
    <w:rsid w:val="0011041B"/>
    <w:rsid w:val="00110654"/>
    <w:rsid w:val="001107AE"/>
    <w:rsid w:val="00110C30"/>
    <w:rsid w:val="00110D86"/>
    <w:rsid w:val="00111882"/>
    <w:rsid w:val="00111F10"/>
    <w:rsid w:val="00112477"/>
    <w:rsid w:val="00112695"/>
    <w:rsid w:val="001128D0"/>
    <w:rsid w:val="00112B1E"/>
    <w:rsid w:val="00112B3D"/>
    <w:rsid w:val="00112FF6"/>
    <w:rsid w:val="0011306E"/>
    <w:rsid w:val="00113071"/>
    <w:rsid w:val="00113445"/>
    <w:rsid w:val="001138EA"/>
    <w:rsid w:val="00113AE3"/>
    <w:rsid w:val="00113E79"/>
    <w:rsid w:val="00113F1B"/>
    <w:rsid w:val="00114117"/>
    <w:rsid w:val="001142A8"/>
    <w:rsid w:val="001144C5"/>
    <w:rsid w:val="00114524"/>
    <w:rsid w:val="0011453C"/>
    <w:rsid w:val="00114807"/>
    <w:rsid w:val="00114DDC"/>
    <w:rsid w:val="00114EF6"/>
    <w:rsid w:val="0011515E"/>
    <w:rsid w:val="001154A9"/>
    <w:rsid w:val="0011572F"/>
    <w:rsid w:val="00115736"/>
    <w:rsid w:val="00115B79"/>
    <w:rsid w:val="00115D63"/>
    <w:rsid w:val="00115FD0"/>
    <w:rsid w:val="001160F9"/>
    <w:rsid w:val="0011621F"/>
    <w:rsid w:val="00116282"/>
    <w:rsid w:val="0011640E"/>
    <w:rsid w:val="001167A2"/>
    <w:rsid w:val="001167E6"/>
    <w:rsid w:val="00116C8B"/>
    <w:rsid w:val="00116CAC"/>
    <w:rsid w:val="00116DBE"/>
    <w:rsid w:val="00116E2B"/>
    <w:rsid w:val="00116F68"/>
    <w:rsid w:val="0011728B"/>
    <w:rsid w:val="001173CA"/>
    <w:rsid w:val="001178EC"/>
    <w:rsid w:val="00117E31"/>
    <w:rsid w:val="00120069"/>
    <w:rsid w:val="001204E7"/>
    <w:rsid w:val="00120719"/>
    <w:rsid w:val="00120BEB"/>
    <w:rsid w:val="00120F31"/>
    <w:rsid w:val="00121161"/>
    <w:rsid w:val="0012157B"/>
    <w:rsid w:val="0012168C"/>
    <w:rsid w:val="001216B8"/>
    <w:rsid w:val="00121A4E"/>
    <w:rsid w:val="00121B41"/>
    <w:rsid w:val="0012207D"/>
    <w:rsid w:val="0012241A"/>
    <w:rsid w:val="0012283C"/>
    <w:rsid w:val="00122BD9"/>
    <w:rsid w:val="00122E6B"/>
    <w:rsid w:val="00123296"/>
    <w:rsid w:val="001232B4"/>
    <w:rsid w:val="001232C5"/>
    <w:rsid w:val="00123403"/>
    <w:rsid w:val="0012360D"/>
    <w:rsid w:val="0012372B"/>
    <w:rsid w:val="00123A28"/>
    <w:rsid w:val="00123E63"/>
    <w:rsid w:val="00123F4F"/>
    <w:rsid w:val="00124423"/>
    <w:rsid w:val="00124888"/>
    <w:rsid w:val="00124A4A"/>
    <w:rsid w:val="00124EA0"/>
    <w:rsid w:val="00125143"/>
    <w:rsid w:val="00125620"/>
    <w:rsid w:val="0012571D"/>
    <w:rsid w:val="00125898"/>
    <w:rsid w:val="0012612C"/>
    <w:rsid w:val="001264BF"/>
    <w:rsid w:val="001264FF"/>
    <w:rsid w:val="00126B6E"/>
    <w:rsid w:val="00127170"/>
    <w:rsid w:val="0012732E"/>
    <w:rsid w:val="00127677"/>
    <w:rsid w:val="001276DA"/>
    <w:rsid w:val="00127B27"/>
    <w:rsid w:val="00127BE7"/>
    <w:rsid w:val="00127CB4"/>
    <w:rsid w:val="00127ECA"/>
    <w:rsid w:val="0013039D"/>
    <w:rsid w:val="00130420"/>
    <w:rsid w:val="00130483"/>
    <w:rsid w:val="00130512"/>
    <w:rsid w:val="00130A65"/>
    <w:rsid w:val="0013121D"/>
    <w:rsid w:val="001313BD"/>
    <w:rsid w:val="00131511"/>
    <w:rsid w:val="00131711"/>
    <w:rsid w:val="001317B3"/>
    <w:rsid w:val="00131975"/>
    <w:rsid w:val="00132332"/>
    <w:rsid w:val="001323C4"/>
    <w:rsid w:val="001327A2"/>
    <w:rsid w:val="001329ED"/>
    <w:rsid w:val="00132B4D"/>
    <w:rsid w:val="001330E5"/>
    <w:rsid w:val="00133AC6"/>
    <w:rsid w:val="00133BC0"/>
    <w:rsid w:val="00133DE9"/>
    <w:rsid w:val="00133F13"/>
    <w:rsid w:val="00134211"/>
    <w:rsid w:val="001342A1"/>
    <w:rsid w:val="00134683"/>
    <w:rsid w:val="001346F7"/>
    <w:rsid w:val="00134779"/>
    <w:rsid w:val="00134D7D"/>
    <w:rsid w:val="00134E67"/>
    <w:rsid w:val="00135417"/>
    <w:rsid w:val="001354F7"/>
    <w:rsid w:val="001359D6"/>
    <w:rsid w:val="0013620D"/>
    <w:rsid w:val="001362B8"/>
    <w:rsid w:val="00136850"/>
    <w:rsid w:val="00136953"/>
    <w:rsid w:val="00136C82"/>
    <w:rsid w:val="00136E80"/>
    <w:rsid w:val="00136FD6"/>
    <w:rsid w:val="0013754E"/>
    <w:rsid w:val="00137DFF"/>
    <w:rsid w:val="0014025B"/>
    <w:rsid w:val="00140282"/>
    <w:rsid w:val="0014029F"/>
    <w:rsid w:val="00140A80"/>
    <w:rsid w:val="00140DE1"/>
    <w:rsid w:val="001410FF"/>
    <w:rsid w:val="0014144C"/>
    <w:rsid w:val="00141614"/>
    <w:rsid w:val="001417BA"/>
    <w:rsid w:val="00141A4B"/>
    <w:rsid w:val="00141A9A"/>
    <w:rsid w:val="00141C83"/>
    <w:rsid w:val="00141CC4"/>
    <w:rsid w:val="00141F56"/>
    <w:rsid w:val="00142097"/>
    <w:rsid w:val="001420F2"/>
    <w:rsid w:val="0014210A"/>
    <w:rsid w:val="00142D67"/>
    <w:rsid w:val="00142D70"/>
    <w:rsid w:val="001432A6"/>
    <w:rsid w:val="0014359E"/>
    <w:rsid w:val="00143B2E"/>
    <w:rsid w:val="00143F01"/>
    <w:rsid w:val="00144104"/>
    <w:rsid w:val="00144602"/>
    <w:rsid w:val="00144633"/>
    <w:rsid w:val="00144784"/>
    <w:rsid w:val="00144A1B"/>
    <w:rsid w:val="001450EB"/>
    <w:rsid w:val="00145173"/>
    <w:rsid w:val="00145552"/>
    <w:rsid w:val="00145579"/>
    <w:rsid w:val="00145F07"/>
    <w:rsid w:val="00146831"/>
    <w:rsid w:val="0014716C"/>
    <w:rsid w:val="0014752A"/>
    <w:rsid w:val="001476B6"/>
    <w:rsid w:val="00147704"/>
    <w:rsid w:val="00147BD3"/>
    <w:rsid w:val="00147BDA"/>
    <w:rsid w:val="00147D6D"/>
    <w:rsid w:val="001503FC"/>
    <w:rsid w:val="001504DA"/>
    <w:rsid w:val="001505CA"/>
    <w:rsid w:val="00150651"/>
    <w:rsid w:val="00150AA1"/>
    <w:rsid w:val="00150D6D"/>
    <w:rsid w:val="00150ED8"/>
    <w:rsid w:val="00150F21"/>
    <w:rsid w:val="00151081"/>
    <w:rsid w:val="00151516"/>
    <w:rsid w:val="0015155A"/>
    <w:rsid w:val="00151C19"/>
    <w:rsid w:val="00151C80"/>
    <w:rsid w:val="00151E44"/>
    <w:rsid w:val="00152069"/>
    <w:rsid w:val="001524F5"/>
    <w:rsid w:val="0015256A"/>
    <w:rsid w:val="001525FE"/>
    <w:rsid w:val="001528D2"/>
    <w:rsid w:val="00152B63"/>
    <w:rsid w:val="00152BE9"/>
    <w:rsid w:val="001531DD"/>
    <w:rsid w:val="00153A60"/>
    <w:rsid w:val="00153A92"/>
    <w:rsid w:val="00153CB4"/>
    <w:rsid w:val="00153D3C"/>
    <w:rsid w:val="00153ED5"/>
    <w:rsid w:val="00153F26"/>
    <w:rsid w:val="001541C3"/>
    <w:rsid w:val="001543D6"/>
    <w:rsid w:val="00154513"/>
    <w:rsid w:val="00154564"/>
    <w:rsid w:val="001549B4"/>
    <w:rsid w:val="0015539E"/>
    <w:rsid w:val="001557A1"/>
    <w:rsid w:val="00155CC7"/>
    <w:rsid w:val="0015610C"/>
    <w:rsid w:val="001561F0"/>
    <w:rsid w:val="001562BD"/>
    <w:rsid w:val="001565B9"/>
    <w:rsid w:val="0015665B"/>
    <w:rsid w:val="00156CFB"/>
    <w:rsid w:val="00157495"/>
    <w:rsid w:val="00157504"/>
    <w:rsid w:val="00157682"/>
    <w:rsid w:val="0015769C"/>
    <w:rsid w:val="0015783B"/>
    <w:rsid w:val="00157A2E"/>
    <w:rsid w:val="0016012B"/>
    <w:rsid w:val="001601BA"/>
    <w:rsid w:val="001604B1"/>
    <w:rsid w:val="001606FC"/>
    <w:rsid w:val="001607C4"/>
    <w:rsid w:val="001607ED"/>
    <w:rsid w:val="00160824"/>
    <w:rsid w:val="00160B0E"/>
    <w:rsid w:val="00160C4A"/>
    <w:rsid w:val="00160FEA"/>
    <w:rsid w:val="001610C4"/>
    <w:rsid w:val="001616AF"/>
    <w:rsid w:val="00161768"/>
    <w:rsid w:val="00161CC4"/>
    <w:rsid w:val="00161F65"/>
    <w:rsid w:val="0016203C"/>
    <w:rsid w:val="00162198"/>
    <w:rsid w:val="00162648"/>
    <w:rsid w:val="00162829"/>
    <w:rsid w:val="00162A5A"/>
    <w:rsid w:val="00162A6A"/>
    <w:rsid w:val="00162E0D"/>
    <w:rsid w:val="00162FAF"/>
    <w:rsid w:val="00163095"/>
    <w:rsid w:val="0016345F"/>
    <w:rsid w:val="0016346C"/>
    <w:rsid w:val="001634A9"/>
    <w:rsid w:val="001638C2"/>
    <w:rsid w:val="00163921"/>
    <w:rsid w:val="00163A84"/>
    <w:rsid w:val="00163AB1"/>
    <w:rsid w:val="00163B55"/>
    <w:rsid w:val="00163E9B"/>
    <w:rsid w:val="00163ED8"/>
    <w:rsid w:val="0016420A"/>
    <w:rsid w:val="00164333"/>
    <w:rsid w:val="0016473C"/>
    <w:rsid w:val="001649DE"/>
    <w:rsid w:val="00164A90"/>
    <w:rsid w:val="00164C7F"/>
    <w:rsid w:val="00164CC6"/>
    <w:rsid w:val="00164F24"/>
    <w:rsid w:val="00164F5C"/>
    <w:rsid w:val="00165071"/>
    <w:rsid w:val="00165318"/>
    <w:rsid w:val="00165490"/>
    <w:rsid w:val="00165751"/>
    <w:rsid w:val="00165AF1"/>
    <w:rsid w:val="00165B52"/>
    <w:rsid w:val="00165C06"/>
    <w:rsid w:val="00165C80"/>
    <w:rsid w:val="00165DF5"/>
    <w:rsid w:val="00166235"/>
    <w:rsid w:val="001663BD"/>
    <w:rsid w:val="0016642F"/>
    <w:rsid w:val="0016677C"/>
    <w:rsid w:val="001669E7"/>
    <w:rsid w:val="00166A1E"/>
    <w:rsid w:val="00166B2E"/>
    <w:rsid w:val="00166B35"/>
    <w:rsid w:val="00166C49"/>
    <w:rsid w:val="00166D89"/>
    <w:rsid w:val="00166F7A"/>
    <w:rsid w:val="001670F1"/>
    <w:rsid w:val="00167983"/>
    <w:rsid w:val="00167AFF"/>
    <w:rsid w:val="00167BBB"/>
    <w:rsid w:val="00167EC7"/>
    <w:rsid w:val="0017023A"/>
    <w:rsid w:val="001703D7"/>
    <w:rsid w:val="0017069C"/>
    <w:rsid w:val="00170A00"/>
    <w:rsid w:val="00170BE7"/>
    <w:rsid w:val="00170DC8"/>
    <w:rsid w:val="001710D0"/>
    <w:rsid w:val="001712C9"/>
    <w:rsid w:val="00171578"/>
    <w:rsid w:val="001715B1"/>
    <w:rsid w:val="00171992"/>
    <w:rsid w:val="00171C65"/>
    <w:rsid w:val="00171D9D"/>
    <w:rsid w:val="00171F36"/>
    <w:rsid w:val="00172578"/>
    <w:rsid w:val="0017275A"/>
    <w:rsid w:val="001727A3"/>
    <w:rsid w:val="001727F8"/>
    <w:rsid w:val="001730B1"/>
    <w:rsid w:val="00173367"/>
    <w:rsid w:val="00173736"/>
    <w:rsid w:val="00173760"/>
    <w:rsid w:val="0017429A"/>
    <w:rsid w:val="00174497"/>
    <w:rsid w:val="001747D8"/>
    <w:rsid w:val="001749A1"/>
    <w:rsid w:val="00174B92"/>
    <w:rsid w:val="00174F39"/>
    <w:rsid w:val="00174FE5"/>
    <w:rsid w:val="001753B5"/>
    <w:rsid w:val="00175A93"/>
    <w:rsid w:val="00175B71"/>
    <w:rsid w:val="0017606E"/>
    <w:rsid w:val="00176D20"/>
    <w:rsid w:val="00176DA9"/>
    <w:rsid w:val="00176E31"/>
    <w:rsid w:val="00176F3E"/>
    <w:rsid w:val="00176FAA"/>
    <w:rsid w:val="00177066"/>
    <w:rsid w:val="00177093"/>
    <w:rsid w:val="001771D0"/>
    <w:rsid w:val="00177232"/>
    <w:rsid w:val="001774C7"/>
    <w:rsid w:val="00177504"/>
    <w:rsid w:val="00177719"/>
    <w:rsid w:val="00177994"/>
    <w:rsid w:val="00177DBD"/>
    <w:rsid w:val="00177EC3"/>
    <w:rsid w:val="00177F79"/>
    <w:rsid w:val="00177FC5"/>
    <w:rsid w:val="00180177"/>
    <w:rsid w:val="0018046E"/>
    <w:rsid w:val="0018071C"/>
    <w:rsid w:val="00180AE7"/>
    <w:rsid w:val="00180CCB"/>
    <w:rsid w:val="0018148A"/>
    <w:rsid w:val="001815B5"/>
    <w:rsid w:val="001815CD"/>
    <w:rsid w:val="00181A82"/>
    <w:rsid w:val="00181B71"/>
    <w:rsid w:val="00181C93"/>
    <w:rsid w:val="00181D75"/>
    <w:rsid w:val="00181E1A"/>
    <w:rsid w:val="00181F07"/>
    <w:rsid w:val="00181F0C"/>
    <w:rsid w:val="00181FA0"/>
    <w:rsid w:val="00182273"/>
    <w:rsid w:val="0018238D"/>
    <w:rsid w:val="00183433"/>
    <w:rsid w:val="001838F8"/>
    <w:rsid w:val="00183F40"/>
    <w:rsid w:val="00184254"/>
    <w:rsid w:val="00184443"/>
    <w:rsid w:val="00184FFD"/>
    <w:rsid w:val="001851D5"/>
    <w:rsid w:val="001853A8"/>
    <w:rsid w:val="0018562C"/>
    <w:rsid w:val="0018587A"/>
    <w:rsid w:val="00185A06"/>
    <w:rsid w:val="00185EAD"/>
    <w:rsid w:val="00185FC6"/>
    <w:rsid w:val="00186100"/>
    <w:rsid w:val="00186B7E"/>
    <w:rsid w:val="00186E9E"/>
    <w:rsid w:val="00186F28"/>
    <w:rsid w:val="001870FA"/>
    <w:rsid w:val="0018729A"/>
    <w:rsid w:val="001874D2"/>
    <w:rsid w:val="001877BE"/>
    <w:rsid w:val="00187ABF"/>
    <w:rsid w:val="00187AC6"/>
    <w:rsid w:val="0018FA08"/>
    <w:rsid w:val="001907A2"/>
    <w:rsid w:val="00190CF4"/>
    <w:rsid w:val="00190E13"/>
    <w:rsid w:val="00191212"/>
    <w:rsid w:val="001912EF"/>
    <w:rsid w:val="00191578"/>
    <w:rsid w:val="00191B27"/>
    <w:rsid w:val="00191CB5"/>
    <w:rsid w:val="001923C1"/>
    <w:rsid w:val="001923E6"/>
    <w:rsid w:val="0019240D"/>
    <w:rsid w:val="0019254D"/>
    <w:rsid w:val="001925DD"/>
    <w:rsid w:val="0019280C"/>
    <w:rsid w:val="00192CC3"/>
    <w:rsid w:val="00192D15"/>
    <w:rsid w:val="00192D90"/>
    <w:rsid w:val="00193377"/>
    <w:rsid w:val="00193922"/>
    <w:rsid w:val="00193B38"/>
    <w:rsid w:val="00193C28"/>
    <w:rsid w:val="0019405C"/>
    <w:rsid w:val="001941A0"/>
    <w:rsid w:val="001946F5"/>
    <w:rsid w:val="00195005"/>
    <w:rsid w:val="001950AD"/>
    <w:rsid w:val="001955C6"/>
    <w:rsid w:val="00195B89"/>
    <w:rsid w:val="00195DF9"/>
    <w:rsid w:val="001960F2"/>
    <w:rsid w:val="00196819"/>
    <w:rsid w:val="0019683B"/>
    <w:rsid w:val="0019691B"/>
    <w:rsid w:val="00196AC9"/>
    <w:rsid w:val="00196B98"/>
    <w:rsid w:val="00196D57"/>
    <w:rsid w:val="00196D9A"/>
    <w:rsid w:val="00196E5D"/>
    <w:rsid w:val="001973F0"/>
    <w:rsid w:val="00197528"/>
    <w:rsid w:val="00197CEC"/>
    <w:rsid w:val="00197D7E"/>
    <w:rsid w:val="001A0112"/>
    <w:rsid w:val="001A0125"/>
    <w:rsid w:val="001A0650"/>
    <w:rsid w:val="001A0868"/>
    <w:rsid w:val="001A0A2B"/>
    <w:rsid w:val="001A0BEA"/>
    <w:rsid w:val="001A0D66"/>
    <w:rsid w:val="001A0EB9"/>
    <w:rsid w:val="001A0EBC"/>
    <w:rsid w:val="001A0F8F"/>
    <w:rsid w:val="001A129D"/>
    <w:rsid w:val="001A1583"/>
    <w:rsid w:val="001A1737"/>
    <w:rsid w:val="001A179A"/>
    <w:rsid w:val="001A1BBF"/>
    <w:rsid w:val="001A1C65"/>
    <w:rsid w:val="001A24E4"/>
    <w:rsid w:val="001A29B1"/>
    <w:rsid w:val="001A2B69"/>
    <w:rsid w:val="001A2BAC"/>
    <w:rsid w:val="001A3178"/>
    <w:rsid w:val="001A32B2"/>
    <w:rsid w:val="001A35A9"/>
    <w:rsid w:val="001A36F3"/>
    <w:rsid w:val="001A374B"/>
    <w:rsid w:val="001A3853"/>
    <w:rsid w:val="001A3B57"/>
    <w:rsid w:val="001A3BF6"/>
    <w:rsid w:val="001A3C74"/>
    <w:rsid w:val="001A3C7B"/>
    <w:rsid w:val="001A3EDE"/>
    <w:rsid w:val="001A3FD4"/>
    <w:rsid w:val="001A44EC"/>
    <w:rsid w:val="001A4885"/>
    <w:rsid w:val="001A4AC5"/>
    <w:rsid w:val="001A4BC4"/>
    <w:rsid w:val="001A4E5C"/>
    <w:rsid w:val="001A4FF9"/>
    <w:rsid w:val="001A523E"/>
    <w:rsid w:val="001A5300"/>
    <w:rsid w:val="001A5DF9"/>
    <w:rsid w:val="001A620B"/>
    <w:rsid w:val="001A6342"/>
    <w:rsid w:val="001A6ED1"/>
    <w:rsid w:val="001A7009"/>
    <w:rsid w:val="001A715F"/>
    <w:rsid w:val="001A745F"/>
    <w:rsid w:val="001A7667"/>
    <w:rsid w:val="001A7A0E"/>
    <w:rsid w:val="001A7CDB"/>
    <w:rsid w:val="001B046B"/>
    <w:rsid w:val="001B0A57"/>
    <w:rsid w:val="001B0A8B"/>
    <w:rsid w:val="001B0AEE"/>
    <w:rsid w:val="001B0D3F"/>
    <w:rsid w:val="001B0DB5"/>
    <w:rsid w:val="001B0EE0"/>
    <w:rsid w:val="001B10FA"/>
    <w:rsid w:val="001B1152"/>
    <w:rsid w:val="001B1C68"/>
    <w:rsid w:val="001B1C6F"/>
    <w:rsid w:val="001B1F9B"/>
    <w:rsid w:val="001B2016"/>
    <w:rsid w:val="001B21DD"/>
    <w:rsid w:val="001B232D"/>
    <w:rsid w:val="001B2947"/>
    <w:rsid w:val="001B297B"/>
    <w:rsid w:val="001B2B89"/>
    <w:rsid w:val="001B2B8A"/>
    <w:rsid w:val="001B2CFA"/>
    <w:rsid w:val="001B2E1E"/>
    <w:rsid w:val="001B2E9A"/>
    <w:rsid w:val="001B2F70"/>
    <w:rsid w:val="001B3895"/>
    <w:rsid w:val="001B39F2"/>
    <w:rsid w:val="001B41CB"/>
    <w:rsid w:val="001B4E91"/>
    <w:rsid w:val="001B4F22"/>
    <w:rsid w:val="001B513F"/>
    <w:rsid w:val="001B55F6"/>
    <w:rsid w:val="001B5602"/>
    <w:rsid w:val="001B5812"/>
    <w:rsid w:val="001B5A34"/>
    <w:rsid w:val="001B5AD2"/>
    <w:rsid w:val="001B5EA4"/>
    <w:rsid w:val="001B631D"/>
    <w:rsid w:val="001B64F1"/>
    <w:rsid w:val="001B6838"/>
    <w:rsid w:val="001B6F7B"/>
    <w:rsid w:val="001B723D"/>
    <w:rsid w:val="001B724F"/>
    <w:rsid w:val="001B7682"/>
    <w:rsid w:val="001B7C4E"/>
    <w:rsid w:val="001B7FBC"/>
    <w:rsid w:val="001C01B3"/>
    <w:rsid w:val="001C0C00"/>
    <w:rsid w:val="001C0D08"/>
    <w:rsid w:val="001C102F"/>
    <w:rsid w:val="001C12A0"/>
    <w:rsid w:val="001C1696"/>
    <w:rsid w:val="001C1FF9"/>
    <w:rsid w:val="001C2788"/>
    <w:rsid w:val="001C27D1"/>
    <w:rsid w:val="001C2CC4"/>
    <w:rsid w:val="001C309E"/>
    <w:rsid w:val="001C3171"/>
    <w:rsid w:val="001C442A"/>
    <w:rsid w:val="001C442C"/>
    <w:rsid w:val="001C4DDF"/>
    <w:rsid w:val="001C4EC4"/>
    <w:rsid w:val="001C5051"/>
    <w:rsid w:val="001C51CE"/>
    <w:rsid w:val="001C538C"/>
    <w:rsid w:val="001C57D4"/>
    <w:rsid w:val="001C588A"/>
    <w:rsid w:val="001C5981"/>
    <w:rsid w:val="001C5996"/>
    <w:rsid w:val="001C5AD0"/>
    <w:rsid w:val="001C5B3E"/>
    <w:rsid w:val="001C5CD5"/>
    <w:rsid w:val="001C5DBD"/>
    <w:rsid w:val="001C5E8F"/>
    <w:rsid w:val="001C62D9"/>
    <w:rsid w:val="001C662A"/>
    <w:rsid w:val="001C6B73"/>
    <w:rsid w:val="001C6E8D"/>
    <w:rsid w:val="001C6F18"/>
    <w:rsid w:val="001C7145"/>
    <w:rsid w:val="001C741D"/>
    <w:rsid w:val="001C7A4B"/>
    <w:rsid w:val="001C7E6C"/>
    <w:rsid w:val="001CC930"/>
    <w:rsid w:val="001D0468"/>
    <w:rsid w:val="001D0586"/>
    <w:rsid w:val="001D0ABE"/>
    <w:rsid w:val="001D0BE2"/>
    <w:rsid w:val="001D12F2"/>
    <w:rsid w:val="001D143F"/>
    <w:rsid w:val="001D15C4"/>
    <w:rsid w:val="001D176D"/>
    <w:rsid w:val="001D17CC"/>
    <w:rsid w:val="001D17DB"/>
    <w:rsid w:val="001D180E"/>
    <w:rsid w:val="001D184B"/>
    <w:rsid w:val="001D1905"/>
    <w:rsid w:val="001D1AEF"/>
    <w:rsid w:val="001D1B48"/>
    <w:rsid w:val="001D1C83"/>
    <w:rsid w:val="001D1D29"/>
    <w:rsid w:val="001D2296"/>
    <w:rsid w:val="001D277F"/>
    <w:rsid w:val="001D2C41"/>
    <w:rsid w:val="001D3361"/>
    <w:rsid w:val="001D3633"/>
    <w:rsid w:val="001D3A64"/>
    <w:rsid w:val="001D3B4B"/>
    <w:rsid w:val="001D3C88"/>
    <w:rsid w:val="001D4422"/>
    <w:rsid w:val="001D452E"/>
    <w:rsid w:val="001D4B7C"/>
    <w:rsid w:val="001D4B8E"/>
    <w:rsid w:val="001D4E98"/>
    <w:rsid w:val="001D52B4"/>
    <w:rsid w:val="001D5666"/>
    <w:rsid w:val="001D5AAD"/>
    <w:rsid w:val="001D5AC2"/>
    <w:rsid w:val="001D5C6E"/>
    <w:rsid w:val="001D5F42"/>
    <w:rsid w:val="001D5FCA"/>
    <w:rsid w:val="001D647F"/>
    <w:rsid w:val="001D66C1"/>
    <w:rsid w:val="001D6AC5"/>
    <w:rsid w:val="001D6C5D"/>
    <w:rsid w:val="001D7346"/>
    <w:rsid w:val="001D76AD"/>
    <w:rsid w:val="001D77AF"/>
    <w:rsid w:val="001E045A"/>
    <w:rsid w:val="001E0AA9"/>
    <w:rsid w:val="001E1055"/>
    <w:rsid w:val="001E13F5"/>
    <w:rsid w:val="001E1467"/>
    <w:rsid w:val="001E178F"/>
    <w:rsid w:val="001E189F"/>
    <w:rsid w:val="001E2603"/>
    <w:rsid w:val="001E2671"/>
    <w:rsid w:val="001E26F7"/>
    <w:rsid w:val="001E2EA9"/>
    <w:rsid w:val="001E2EDF"/>
    <w:rsid w:val="001E30BD"/>
    <w:rsid w:val="001E31EB"/>
    <w:rsid w:val="001E3397"/>
    <w:rsid w:val="001E388E"/>
    <w:rsid w:val="001E38BE"/>
    <w:rsid w:val="001E3901"/>
    <w:rsid w:val="001E3C85"/>
    <w:rsid w:val="001E3D52"/>
    <w:rsid w:val="001E423C"/>
    <w:rsid w:val="001E4240"/>
    <w:rsid w:val="001E431F"/>
    <w:rsid w:val="001E4823"/>
    <w:rsid w:val="001E4A23"/>
    <w:rsid w:val="001E4A34"/>
    <w:rsid w:val="001E5113"/>
    <w:rsid w:val="001E51C8"/>
    <w:rsid w:val="001E533A"/>
    <w:rsid w:val="001E5356"/>
    <w:rsid w:val="001E57C9"/>
    <w:rsid w:val="001E5F02"/>
    <w:rsid w:val="001E6285"/>
    <w:rsid w:val="001E68D3"/>
    <w:rsid w:val="001E69B3"/>
    <w:rsid w:val="001E707A"/>
    <w:rsid w:val="001E7552"/>
    <w:rsid w:val="001E7983"/>
    <w:rsid w:val="001E79E4"/>
    <w:rsid w:val="001E7A2B"/>
    <w:rsid w:val="001E7AA6"/>
    <w:rsid w:val="001E7C55"/>
    <w:rsid w:val="001E7DA2"/>
    <w:rsid w:val="001F0067"/>
    <w:rsid w:val="001F02BC"/>
    <w:rsid w:val="001F05BE"/>
    <w:rsid w:val="001F08C0"/>
    <w:rsid w:val="001F0AA9"/>
    <w:rsid w:val="001F0BA4"/>
    <w:rsid w:val="001F0D40"/>
    <w:rsid w:val="001F0FAE"/>
    <w:rsid w:val="001F14ED"/>
    <w:rsid w:val="001F17B4"/>
    <w:rsid w:val="001F18A0"/>
    <w:rsid w:val="001F1D04"/>
    <w:rsid w:val="001F1FE5"/>
    <w:rsid w:val="001F2651"/>
    <w:rsid w:val="001F2752"/>
    <w:rsid w:val="001F2890"/>
    <w:rsid w:val="001F2F40"/>
    <w:rsid w:val="001F30BB"/>
    <w:rsid w:val="001F3473"/>
    <w:rsid w:val="001F36BC"/>
    <w:rsid w:val="001F3B84"/>
    <w:rsid w:val="001F3D85"/>
    <w:rsid w:val="001F402B"/>
    <w:rsid w:val="001F40A7"/>
    <w:rsid w:val="001F4165"/>
    <w:rsid w:val="001F4760"/>
    <w:rsid w:val="001F47E8"/>
    <w:rsid w:val="001F4954"/>
    <w:rsid w:val="001F49EB"/>
    <w:rsid w:val="001F4B66"/>
    <w:rsid w:val="001F4C71"/>
    <w:rsid w:val="001F52BC"/>
    <w:rsid w:val="001F54B6"/>
    <w:rsid w:val="001F5710"/>
    <w:rsid w:val="001F603D"/>
    <w:rsid w:val="001F62F3"/>
    <w:rsid w:val="001F6E67"/>
    <w:rsid w:val="001F7609"/>
    <w:rsid w:val="001F7C1E"/>
    <w:rsid w:val="001F7DBB"/>
    <w:rsid w:val="001F7FA3"/>
    <w:rsid w:val="002005A7"/>
    <w:rsid w:val="0020085B"/>
    <w:rsid w:val="00200CA3"/>
    <w:rsid w:val="00201982"/>
    <w:rsid w:val="002029DB"/>
    <w:rsid w:val="00202A51"/>
    <w:rsid w:val="00202A89"/>
    <w:rsid w:val="00202FBC"/>
    <w:rsid w:val="002038BC"/>
    <w:rsid w:val="00203AC6"/>
    <w:rsid w:val="00203B15"/>
    <w:rsid w:val="00203B7A"/>
    <w:rsid w:val="00203BD0"/>
    <w:rsid w:val="00203DFA"/>
    <w:rsid w:val="00203EB4"/>
    <w:rsid w:val="0020447C"/>
    <w:rsid w:val="0020465B"/>
    <w:rsid w:val="002046D3"/>
    <w:rsid w:val="00204F36"/>
    <w:rsid w:val="002054D9"/>
    <w:rsid w:val="00205592"/>
    <w:rsid w:val="002057CE"/>
    <w:rsid w:val="0020596B"/>
    <w:rsid w:val="00205DE6"/>
    <w:rsid w:val="002061A2"/>
    <w:rsid w:val="002061A9"/>
    <w:rsid w:val="00206249"/>
    <w:rsid w:val="00206315"/>
    <w:rsid w:val="002067A0"/>
    <w:rsid w:val="002067CE"/>
    <w:rsid w:val="00206883"/>
    <w:rsid w:val="002069B6"/>
    <w:rsid w:val="002069DD"/>
    <w:rsid w:val="002073BE"/>
    <w:rsid w:val="00207474"/>
    <w:rsid w:val="002075CD"/>
    <w:rsid w:val="00207758"/>
    <w:rsid w:val="0020785F"/>
    <w:rsid w:val="00207861"/>
    <w:rsid w:val="00207CCC"/>
    <w:rsid w:val="00207F10"/>
    <w:rsid w:val="00207F7D"/>
    <w:rsid w:val="0020D098"/>
    <w:rsid w:val="0021037D"/>
    <w:rsid w:val="0021038F"/>
    <w:rsid w:val="002105E1"/>
    <w:rsid w:val="0021063B"/>
    <w:rsid w:val="0021072A"/>
    <w:rsid w:val="0021091E"/>
    <w:rsid w:val="0021099E"/>
    <w:rsid w:val="00210D30"/>
    <w:rsid w:val="00210D74"/>
    <w:rsid w:val="00210D7E"/>
    <w:rsid w:val="00210DF3"/>
    <w:rsid w:val="00211034"/>
    <w:rsid w:val="002116AA"/>
    <w:rsid w:val="00211EE8"/>
    <w:rsid w:val="00212016"/>
    <w:rsid w:val="0021220F"/>
    <w:rsid w:val="002125FB"/>
    <w:rsid w:val="00212920"/>
    <w:rsid w:val="00213309"/>
    <w:rsid w:val="002134BE"/>
    <w:rsid w:val="002135FB"/>
    <w:rsid w:val="002136AB"/>
    <w:rsid w:val="002136F8"/>
    <w:rsid w:val="002139FC"/>
    <w:rsid w:val="00213FB7"/>
    <w:rsid w:val="0021411A"/>
    <w:rsid w:val="002141A5"/>
    <w:rsid w:val="002145C6"/>
    <w:rsid w:val="00214CD4"/>
    <w:rsid w:val="00214FE7"/>
    <w:rsid w:val="00215169"/>
    <w:rsid w:val="00215273"/>
    <w:rsid w:val="002155B7"/>
    <w:rsid w:val="00215A68"/>
    <w:rsid w:val="00215A69"/>
    <w:rsid w:val="00215CC9"/>
    <w:rsid w:val="00215F37"/>
    <w:rsid w:val="0021611F"/>
    <w:rsid w:val="00216205"/>
    <w:rsid w:val="002165D2"/>
    <w:rsid w:val="002168E2"/>
    <w:rsid w:val="00216B15"/>
    <w:rsid w:val="00216BF7"/>
    <w:rsid w:val="00216F3D"/>
    <w:rsid w:val="002170C4"/>
    <w:rsid w:val="002174F7"/>
    <w:rsid w:val="002176AF"/>
    <w:rsid w:val="00217A73"/>
    <w:rsid w:val="00217E17"/>
    <w:rsid w:val="00220452"/>
    <w:rsid w:val="0022071A"/>
    <w:rsid w:val="00220774"/>
    <w:rsid w:val="002207B8"/>
    <w:rsid w:val="00220F32"/>
    <w:rsid w:val="0022118B"/>
    <w:rsid w:val="002218DA"/>
    <w:rsid w:val="00221E6B"/>
    <w:rsid w:val="002220AB"/>
    <w:rsid w:val="002221BA"/>
    <w:rsid w:val="00222255"/>
    <w:rsid w:val="0022266C"/>
    <w:rsid w:val="00222682"/>
    <w:rsid w:val="00222780"/>
    <w:rsid w:val="00222A16"/>
    <w:rsid w:val="00222BC7"/>
    <w:rsid w:val="00222C2F"/>
    <w:rsid w:val="00222CD3"/>
    <w:rsid w:val="00222F0E"/>
    <w:rsid w:val="002230A8"/>
    <w:rsid w:val="002231F8"/>
    <w:rsid w:val="0022320E"/>
    <w:rsid w:val="00223443"/>
    <w:rsid w:val="0022353B"/>
    <w:rsid w:val="00223829"/>
    <w:rsid w:val="00223A5C"/>
    <w:rsid w:val="00223BA1"/>
    <w:rsid w:val="002243AE"/>
    <w:rsid w:val="00224A42"/>
    <w:rsid w:val="00224EFE"/>
    <w:rsid w:val="0022532B"/>
    <w:rsid w:val="00225434"/>
    <w:rsid w:val="0022596F"/>
    <w:rsid w:val="00225B05"/>
    <w:rsid w:val="00225D2F"/>
    <w:rsid w:val="0022602A"/>
    <w:rsid w:val="002260F5"/>
    <w:rsid w:val="0022623C"/>
    <w:rsid w:val="0022664E"/>
    <w:rsid w:val="002266F7"/>
    <w:rsid w:val="002267F2"/>
    <w:rsid w:val="00226AEC"/>
    <w:rsid w:val="00226B14"/>
    <w:rsid w:val="00226BB2"/>
    <w:rsid w:val="00226DB5"/>
    <w:rsid w:val="0022706B"/>
    <w:rsid w:val="00227103"/>
    <w:rsid w:val="002272AD"/>
    <w:rsid w:val="002272DB"/>
    <w:rsid w:val="00227675"/>
    <w:rsid w:val="00227836"/>
    <w:rsid w:val="00227A04"/>
    <w:rsid w:val="00227C70"/>
    <w:rsid w:val="00230153"/>
    <w:rsid w:val="002305F7"/>
    <w:rsid w:val="00230FDF"/>
    <w:rsid w:val="00231072"/>
    <w:rsid w:val="002311B7"/>
    <w:rsid w:val="0023182E"/>
    <w:rsid w:val="00231F62"/>
    <w:rsid w:val="002320A8"/>
    <w:rsid w:val="002320B8"/>
    <w:rsid w:val="0023267D"/>
    <w:rsid w:val="0023293D"/>
    <w:rsid w:val="00232F5E"/>
    <w:rsid w:val="00232F6E"/>
    <w:rsid w:val="002330C5"/>
    <w:rsid w:val="00233181"/>
    <w:rsid w:val="00233243"/>
    <w:rsid w:val="002332B2"/>
    <w:rsid w:val="00233676"/>
    <w:rsid w:val="002337D6"/>
    <w:rsid w:val="00233870"/>
    <w:rsid w:val="00233BA6"/>
    <w:rsid w:val="00233FBC"/>
    <w:rsid w:val="00234133"/>
    <w:rsid w:val="0023484F"/>
    <w:rsid w:val="00234C3A"/>
    <w:rsid w:val="0023528C"/>
    <w:rsid w:val="00235440"/>
    <w:rsid w:val="00235658"/>
    <w:rsid w:val="00235678"/>
    <w:rsid w:val="0023599F"/>
    <w:rsid w:val="00235BA0"/>
    <w:rsid w:val="002363AE"/>
    <w:rsid w:val="002363DD"/>
    <w:rsid w:val="002368DC"/>
    <w:rsid w:val="00236E38"/>
    <w:rsid w:val="00237BB3"/>
    <w:rsid w:val="00240A2B"/>
    <w:rsid w:val="00240FF3"/>
    <w:rsid w:val="0024103D"/>
    <w:rsid w:val="0024117C"/>
    <w:rsid w:val="00241190"/>
    <w:rsid w:val="0024152A"/>
    <w:rsid w:val="00241618"/>
    <w:rsid w:val="00241C66"/>
    <w:rsid w:val="00241F7C"/>
    <w:rsid w:val="00242125"/>
    <w:rsid w:val="0024227B"/>
    <w:rsid w:val="0024240C"/>
    <w:rsid w:val="00242559"/>
    <w:rsid w:val="002425EF"/>
    <w:rsid w:val="00242906"/>
    <w:rsid w:val="00243406"/>
    <w:rsid w:val="0024361C"/>
    <w:rsid w:val="002439B5"/>
    <w:rsid w:val="00243F5D"/>
    <w:rsid w:val="0024414B"/>
    <w:rsid w:val="002442CE"/>
    <w:rsid w:val="002442DE"/>
    <w:rsid w:val="00244736"/>
    <w:rsid w:val="00244B9F"/>
    <w:rsid w:val="00244CE4"/>
    <w:rsid w:val="00244CF9"/>
    <w:rsid w:val="002450B7"/>
    <w:rsid w:val="00245164"/>
    <w:rsid w:val="0024549E"/>
    <w:rsid w:val="00245AE0"/>
    <w:rsid w:val="00245B2C"/>
    <w:rsid w:val="00245E8B"/>
    <w:rsid w:val="00246201"/>
    <w:rsid w:val="00246321"/>
    <w:rsid w:val="002469D9"/>
    <w:rsid w:val="00246E08"/>
    <w:rsid w:val="00246F41"/>
    <w:rsid w:val="002474B3"/>
    <w:rsid w:val="00247B6F"/>
    <w:rsid w:val="00250409"/>
    <w:rsid w:val="0025048D"/>
    <w:rsid w:val="002506B1"/>
    <w:rsid w:val="00250828"/>
    <w:rsid w:val="0025128A"/>
    <w:rsid w:val="00251393"/>
    <w:rsid w:val="002514F0"/>
    <w:rsid w:val="00251506"/>
    <w:rsid w:val="00251CB7"/>
    <w:rsid w:val="00251CDF"/>
    <w:rsid w:val="0025227E"/>
    <w:rsid w:val="002528FA"/>
    <w:rsid w:val="00252E9A"/>
    <w:rsid w:val="00252F61"/>
    <w:rsid w:val="00253316"/>
    <w:rsid w:val="0025335D"/>
    <w:rsid w:val="0025375E"/>
    <w:rsid w:val="0025389A"/>
    <w:rsid w:val="00253A0E"/>
    <w:rsid w:val="00253B90"/>
    <w:rsid w:val="00253D80"/>
    <w:rsid w:val="002541FE"/>
    <w:rsid w:val="0025429E"/>
    <w:rsid w:val="002542C2"/>
    <w:rsid w:val="00254F18"/>
    <w:rsid w:val="00255024"/>
    <w:rsid w:val="002551CB"/>
    <w:rsid w:val="00255E32"/>
    <w:rsid w:val="00255E49"/>
    <w:rsid w:val="00255E55"/>
    <w:rsid w:val="0025627E"/>
    <w:rsid w:val="0025641A"/>
    <w:rsid w:val="00256930"/>
    <w:rsid w:val="00256C3D"/>
    <w:rsid w:val="00256CD1"/>
    <w:rsid w:val="00256CF3"/>
    <w:rsid w:val="00256D42"/>
    <w:rsid w:val="00256E05"/>
    <w:rsid w:val="00257334"/>
    <w:rsid w:val="002575F5"/>
    <w:rsid w:val="002578A3"/>
    <w:rsid w:val="00257AD4"/>
    <w:rsid w:val="00260389"/>
    <w:rsid w:val="00260A16"/>
    <w:rsid w:val="00260C90"/>
    <w:rsid w:val="0026110C"/>
    <w:rsid w:val="002615FA"/>
    <w:rsid w:val="00261992"/>
    <w:rsid w:val="00261ACE"/>
    <w:rsid w:val="00261CE9"/>
    <w:rsid w:val="00262040"/>
    <w:rsid w:val="00262081"/>
    <w:rsid w:val="002620D3"/>
    <w:rsid w:val="002622E9"/>
    <w:rsid w:val="00262872"/>
    <w:rsid w:val="002628DF"/>
    <w:rsid w:val="00263549"/>
    <w:rsid w:val="0026378F"/>
    <w:rsid w:val="00263F6E"/>
    <w:rsid w:val="00264150"/>
    <w:rsid w:val="0026440F"/>
    <w:rsid w:val="00264498"/>
    <w:rsid w:val="0026469D"/>
    <w:rsid w:val="00264923"/>
    <w:rsid w:val="00264D6E"/>
    <w:rsid w:val="00264FCF"/>
    <w:rsid w:val="0026533F"/>
    <w:rsid w:val="0026549F"/>
    <w:rsid w:val="002657B8"/>
    <w:rsid w:val="00265C2E"/>
    <w:rsid w:val="00265E58"/>
    <w:rsid w:val="00266240"/>
    <w:rsid w:val="0026632D"/>
    <w:rsid w:val="00266966"/>
    <w:rsid w:val="00266B26"/>
    <w:rsid w:val="0026721C"/>
    <w:rsid w:val="00267311"/>
    <w:rsid w:val="00267AA9"/>
    <w:rsid w:val="00267E6F"/>
    <w:rsid w:val="00267E72"/>
    <w:rsid w:val="00267EF7"/>
    <w:rsid w:val="002701BA"/>
    <w:rsid w:val="00270324"/>
    <w:rsid w:val="0027045E"/>
    <w:rsid w:val="002705C9"/>
    <w:rsid w:val="00270863"/>
    <w:rsid w:val="00270876"/>
    <w:rsid w:val="00270B5F"/>
    <w:rsid w:val="00271502"/>
    <w:rsid w:val="002717E4"/>
    <w:rsid w:val="00271816"/>
    <w:rsid w:val="002718EB"/>
    <w:rsid w:val="00271AB2"/>
    <w:rsid w:val="002720D6"/>
    <w:rsid w:val="00272206"/>
    <w:rsid w:val="002725D3"/>
    <w:rsid w:val="00272619"/>
    <w:rsid w:val="002728EF"/>
    <w:rsid w:val="00272A21"/>
    <w:rsid w:val="00272AA4"/>
    <w:rsid w:val="00272C34"/>
    <w:rsid w:val="00272CB3"/>
    <w:rsid w:val="00272D2E"/>
    <w:rsid w:val="00272E94"/>
    <w:rsid w:val="0027323D"/>
    <w:rsid w:val="002732A6"/>
    <w:rsid w:val="002735CF"/>
    <w:rsid w:val="00273646"/>
    <w:rsid w:val="0027404A"/>
    <w:rsid w:val="00274356"/>
    <w:rsid w:val="00275233"/>
    <w:rsid w:val="0027527D"/>
    <w:rsid w:val="00275464"/>
    <w:rsid w:val="00275661"/>
    <w:rsid w:val="00275861"/>
    <w:rsid w:val="00275F25"/>
    <w:rsid w:val="00276C37"/>
    <w:rsid w:val="00277149"/>
    <w:rsid w:val="0027790D"/>
    <w:rsid w:val="002779B6"/>
    <w:rsid w:val="00277AFF"/>
    <w:rsid w:val="00277F2E"/>
    <w:rsid w:val="0028019F"/>
    <w:rsid w:val="00280216"/>
    <w:rsid w:val="00280598"/>
    <w:rsid w:val="002805EA"/>
    <w:rsid w:val="00280726"/>
    <w:rsid w:val="00280C12"/>
    <w:rsid w:val="00280CA3"/>
    <w:rsid w:val="00280CB9"/>
    <w:rsid w:val="0028123F"/>
    <w:rsid w:val="002813D8"/>
    <w:rsid w:val="00281793"/>
    <w:rsid w:val="002817F7"/>
    <w:rsid w:val="002819D5"/>
    <w:rsid w:val="00281B08"/>
    <w:rsid w:val="00281C83"/>
    <w:rsid w:val="00281E4D"/>
    <w:rsid w:val="0028241F"/>
    <w:rsid w:val="0028281E"/>
    <w:rsid w:val="00282C90"/>
    <w:rsid w:val="00282CBE"/>
    <w:rsid w:val="00282F33"/>
    <w:rsid w:val="00283230"/>
    <w:rsid w:val="00283281"/>
    <w:rsid w:val="00283421"/>
    <w:rsid w:val="002834F8"/>
    <w:rsid w:val="0028370D"/>
    <w:rsid w:val="0028378F"/>
    <w:rsid w:val="00283A83"/>
    <w:rsid w:val="00283B9C"/>
    <w:rsid w:val="00283C82"/>
    <w:rsid w:val="002842A1"/>
    <w:rsid w:val="00284555"/>
    <w:rsid w:val="002845DB"/>
    <w:rsid w:val="002846C5"/>
    <w:rsid w:val="00284A93"/>
    <w:rsid w:val="00284C8E"/>
    <w:rsid w:val="00284D7C"/>
    <w:rsid w:val="00284ECF"/>
    <w:rsid w:val="002850AC"/>
    <w:rsid w:val="002854DB"/>
    <w:rsid w:val="00285AE4"/>
    <w:rsid w:val="00285F87"/>
    <w:rsid w:val="00285FAD"/>
    <w:rsid w:val="0028600D"/>
    <w:rsid w:val="00286383"/>
    <w:rsid w:val="00286662"/>
    <w:rsid w:val="00286D31"/>
    <w:rsid w:val="002873C9"/>
    <w:rsid w:val="0028763D"/>
    <w:rsid w:val="002876C8"/>
    <w:rsid w:val="00287825"/>
    <w:rsid w:val="00287A17"/>
    <w:rsid w:val="00287B56"/>
    <w:rsid w:val="00287BEC"/>
    <w:rsid w:val="00287ECE"/>
    <w:rsid w:val="0029001A"/>
    <w:rsid w:val="002904A3"/>
    <w:rsid w:val="002905A1"/>
    <w:rsid w:val="002905D4"/>
    <w:rsid w:val="002908F3"/>
    <w:rsid w:val="00290B92"/>
    <w:rsid w:val="00290C87"/>
    <w:rsid w:val="00290D60"/>
    <w:rsid w:val="002918E0"/>
    <w:rsid w:val="002919E7"/>
    <w:rsid w:val="00291BB5"/>
    <w:rsid w:val="00291D89"/>
    <w:rsid w:val="00291DBA"/>
    <w:rsid w:val="00291F38"/>
    <w:rsid w:val="00292414"/>
    <w:rsid w:val="00292474"/>
    <w:rsid w:val="002927FF"/>
    <w:rsid w:val="002929E7"/>
    <w:rsid w:val="00292A8A"/>
    <w:rsid w:val="00292AA9"/>
    <w:rsid w:val="00292D44"/>
    <w:rsid w:val="00292D6E"/>
    <w:rsid w:val="002931C0"/>
    <w:rsid w:val="00293441"/>
    <w:rsid w:val="002935F5"/>
    <w:rsid w:val="00293681"/>
    <w:rsid w:val="00293760"/>
    <w:rsid w:val="0029380C"/>
    <w:rsid w:val="0029393B"/>
    <w:rsid w:val="002941DD"/>
    <w:rsid w:val="00294204"/>
    <w:rsid w:val="0029432B"/>
    <w:rsid w:val="0029456B"/>
    <w:rsid w:val="00294701"/>
    <w:rsid w:val="00294B33"/>
    <w:rsid w:val="00294B95"/>
    <w:rsid w:val="00294FD8"/>
    <w:rsid w:val="002959E1"/>
    <w:rsid w:val="00295B6B"/>
    <w:rsid w:val="002962D2"/>
    <w:rsid w:val="002964AC"/>
    <w:rsid w:val="002967D9"/>
    <w:rsid w:val="00296CCE"/>
    <w:rsid w:val="00297160"/>
    <w:rsid w:val="002975BF"/>
    <w:rsid w:val="00297620"/>
    <w:rsid w:val="0029BC39"/>
    <w:rsid w:val="002A0035"/>
    <w:rsid w:val="002A041C"/>
    <w:rsid w:val="002A043E"/>
    <w:rsid w:val="002A0563"/>
    <w:rsid w:val="002A0DA4"/>
    <w:rsid w:val="002A0DE3"/>
    <w:rsid w:val="002A0FB7"/>
    <w:rsid w:val="002A1558"/>
    <w:rsid w:val="002A16E8"/>
    <w:rsid w:val="002A1744"/>
    <w:rsid w:val="002A1912"/>
    <w:rsid w:val="002A1D9E"/>
    <w:rsid w:val="002A1F08"/>
    <w:rsid w:val="002A24A0"/>
    <w:rsid w:val="002A26DD"/>
    <w:rsid w:val="002A2787"/>
    <w:rsid w:val="002A279E"/>
    <w:rsid w:val="002A299D"/>
    <w:rsid w:val="002A29EB"/>
    <w:rsid w:val="002A2E1E"/>
    <w:rsid w:val="002A2EC9"/>
    <w:rsid w:val="002A33DC"/>
    <w:rsid w:val="002A33E4"/>
    <w:rsid w:val="002A3967"/>
    <w:rsid w:val="002A3ADD"/>
    <w:rsid w:val="002A3B14"/>
    <w:rsid w:val="002A3BB1"/>
    <w:rsid w:val="002A4294"/>
    <w:rsid w:val="002A4BB8"/>
    <w:rsid w:val="002A4BD4"/>
    <w:rsid w:val="002A4C0E"/>
    <w:rsid w:val="002A54DC"/>
    <w:rsid w:val="002A5504"/>
    <w:rsid w:val="002A5567"/>
    <w:rsid w:val="002A5605"/>
    <w:rsid w:val="002A56F9"/>
    <w:rsid w:val="002A5F8C"/>
    <w:rsid w:val="002A626C"/>
    <w:rsid w:val="002A6273"/>
    <w:rsid w:val="002A6A2A"/>
    <w:rsid w:val="002A6F3D"/>
    <w:rsid w:val="002A7044"/>
    <w:rsid w:val="002A745C"/>
    <w:rsid w:val="002A7684"/>
    <w:rsid w:val="002A76EC"/>
    <w:rsid w:val="002A77CB"/>
    <w:rsid w:val="002A77E0"/>
    <w:rsid w:val="002A7842"/>
    <w:rsid w:val="002A787D"/>
    <w:rsid w:val="002A7B14"/>
    <w:rsid w:val="002A7B86"/>
    <w:rsid w:val="002A7C75"/>
    <w:rsid w:val="002B0074"/>
    <w:rsid w:val="002B04C3"/>
    <w:rsid w:val="002B08CA"/>
    <w:rsid w:val="002B0A5E"/>
    <w:rsid w:val="002B0EA8"/>
    <w:rsid w:val="002B143A"/>
    <w:rsid w:val="002B15AA"/>
    <w:rsid w:val="002B15C5"/>
    <w:rsid w:val="002B1BD1"/>
    <w:rsid w:val="002B2441"/>
    <w:rsid w:val="002B2FF2"/>
    <w:rsid w:val="002B35BF"/>
    <w:rsid w:val="002B36EA"/>
    <w:rsid w:val="002B3B36"/>
    <w:rsid w:val="002B3B97"/>
    <w:rsid w:val="002B41C3"/>
    <w:rsid w:val="002B46A5"/>
    <w:rsid w:val="002B4741"/>
    <w:rsid w:val="002B499D"/>
    <w:rsid w:val="002B4C64"/>
    <w:rsid w:val="002B4E6E"/>
    <w:rsid w:val="002B5263"/>
    <w:rsid w:val="002B5344"/>
    <w:rsid w:val="002B55EC"/>
    <w:rsid w:val="002B57F1"/>
    <w:rsid w:val="002B5991"/>
    <w:rsid w:val="002B6331"/>
    <w:rsid w:val="002B65BF"/>
    <w:rsid w:val="002B67E5"/>
    <w:rsid w:val="002B68E7"/>
    <w:rsid w:val="002B6908"/>
    <w:rsid w:val="002B6B52"/>
    <w:rsid w:val="002B6C1A"/>
    <w:rsid w:val="002B6D5B"/>
    <w:rsid w:val="002B734D"/>
    <w:rsid w:val="002B73B5"/>
    <w:rsid w:val="002B760E"/>
    <w:rsid w:val="002C00EF"/>
    <w:rsid w:val="002C04B0"/>
    <w:rsid w:val="002C054B"/>
    <w:rsid w:val="002C0BC6"/>
    <w:rsid w:val="002C0F03"/>
    <w:rsid w:val="002C1226"/>
    <w:rsid w:val="002C170F"/>
    <w:rsid w:val="002C18D3"/>
    <w:rsid w:val="002C1E4F"/>
    <w:rsid w:val="002C1FF5"/>
    <w:rsid w:val="002C20C1"/>
    <w:rsid w:val="002C223E"/>
    <w:rsid w:val="002C224F"/>
    <w:rsid w:val="002C26CC"/>
    <w:rsid w:val="002C2753"/>
    <w:rsid w:val="002C2866"/>
    <w:rsid w:val="002C2A86"/>
    <w:rsid w:val="002C2A94"/>
    <w:rsid w:val="002C2DD1"/>
    <w:rsid w:val="002C35BC"/>
    <w:rsid w:val="002C3614"/>
    <w:rsid w:val="002C3733"/>
    <w:rsid w:val="002C38BD"/>
    <w:rsid w:val="002C397F"/>
    <w:rsid w:val="002C3991"/>
    <w:rsid w:val="002C3D7F"/>
    <w:rsid w:val="002C3DE5"/>
    <w:rsid w:val="002C3F8D"/>
    <w:rsid w:val="002C3FA4"/>
    <w:rsid w:val="002C40DD"/>
    <w:rsid w:val="002C46D3"/>
    <w:rsid w:val="002C46E0"/>
    <w:rsid w:val="002C4850"/>
    <w:rsid w:val="002C4903"/>
    <w:rsid w:val="002C536C"/>
    <w:rsid w:val="002C5649"/>
    <w:rsid w:val="002C5678"/>
    <w:rsid w:val="002C603D"/>
    <w:rsid w:val="002C66D6"/>
    <w:rsid w:val="002C6B44"/>
    <w:rsid w:val="002C6D68"/>
    <w:rsid w:val="002C6DA9"/>
    <w:rsid w:val="002C6E64"/>
    <w:rsid w:val="002C713B"/>
    <w:rsid w:val="002C7373"/>
    <w:rsid w:val="002C7386"/>
    <w:rsid w:val="002C752E"/>
    <w:rsid w:val="002C7593"/>
    <w:rsid w:val="002C76FE"/>
    <w:rsid w:val="002C7D19"/>
    <w:rsid w:val="002C7E7A"/>
    <w:rsid w:val="002D001E"/>
    <w:rsid w:val="002D0487"/>
    <w:rsid w:val="002D09F8"/>
    <w:rsid w:val="002D0C35"/>
    <w:rsid w:val="002D0EC7"/>
    <w:rsid w:val="002D1089"/>
    <w:rsid w:val="002D1137"/>
    <w:rsid w:val="002D13A8"/>
    <w:rsid w:val="002D1418"/>
    <w:rsid w:val="002D15CD"/>
    <w:rsid w:val="002D190C"/>
    <w:rsid w:val="002D1A29"/>
    <w:rsid w:val="002D1ACC"/>
    <w:rsid w:val="002D1B5D"/>
    <w:rsid w:val="002D1C06"/>
    <w:rsid w:val="002D1C54"/>
    <w:rsid w:val="002D1D2D"/>
    <w:rsid w:val="002D210A"/>
    <w:rsid w:val="002D2194"/>
    <w:rsid w:val="002D23D2"/>
    <w:rsid w:val="002D2792"/>
    <w:rsid w:val="002D2B1F"/>
    <w:rsid w:val="002D30DA"/>
    <w:rsid w:val="002D336E"/>
    <w:rsid w:val="002D33E3"/>
    <w:rsid w:val="002D3850"/>
    <w:rsid w:val="002D389C"/>
    <w:rsid w:val="002D3992"/>
    <w:rsid w:val="002D39BE"/>
    <w:rsid w:val="002D3AC5"/>
    <w:rsid w:val="002D3F19"/>
    <w:rsid w:val="002D434B"/>
    <w:rsid w:val="002D45BB"/>
    <w:rsid w:val="002D4679"/>
    <w:rsid w:val="002D4947"/>
    <w:rsid w:val="002D4E0A"/>
    <w:rsid w:val="002D4EDE"/>
    <w:rsid w:val="002D4FE8"/>
    <w:rsid w:val="002D5737"/>
    <w:rsid w:val="002D5940"/>
    <w:rsid w:val="002D5A81"/>
    <w:rsid w:val="002D5B60"/>
    <w:rsid w:val="002D5BCF"/>
    <w:rsid w:val="002D5BEB"/>
    <w:rsid w:val="002D5C0D"/>
    <w:rsid w:val="002D5D92"/>
    <w:rsid w:val="002D5E2C"/>
    <w:rsid w:val="002D622A"/>
    <w:rsid w:val="002D69D6"/>
    <w:rsid w:val="002D6A49"/>
    <w:rsid w:val="002D6AEB"/>
    <w:rsid w:val="002D6EA4"/>
    <w:rsid w:val="002D7066"/>
    <w:rsid w:val="002D75AF"/>
    <w:rsid w:val="002D75D4"/>
    <w:rsid w:val="002D7628"/>
    <w:rsid w:val="002D7667"/>
    <w:rsid w:val="002D772D"/>
    <w:rsid w:val="002D7772"/>
    <w:rsid w:val="002D780B"/>
    <w:rsid w:val="002D7A70"/>
    <w:rsid w:val="002D7FA0"/>
    <w:rsid w:val="002E0005"/>
    <w:rsid w:val="002E00BA"/>
    <w:rsid w:val="002E0565"/>
    <w:rsid w:val="002E0580"/>
    <w:rsid w:val="002E05AC"/>
    <w:rsid w:val="002E06A4"/>
    <w:rsid w:val="002E1178"/>
    <w:rsid w:val="002E119F"/>
    <w:rsid w:val="002E1639"/>
    <w:rsid w:val="002E1A6B"/>
    <w:rsid w:val="002E1C58"/>
    <w:rsid w:val="002E1CFA"/>
    <w:rsid w:val="002E2509"/>
    <w:rsid w:val="002E29F6"/>
    <w:rsid w:val="002E2ABC"/>
    <w:rsid w:val="002E34EF"/>
    <w:rsid w:val="002E386D"/>
    <w:rsid w:val="002E3CA0"/>
    <w:rsid w:val="002E4310"/>
    <w:rsid w:val="002E468B"/>
    <w:rsid w:val="002E482F"/>
    <w:rsid w:val="002E4F6B"/>
    <w:rsid w:val="002E51AE"/>
    <w:rsid w:val="002E5896"/>
    <w:rsid w:val="002E58D8"/>
    <w:rsid w:val="002E5B23"/>
    <w:rsid w:val="002E5F14"/>
    <w:rsid w:val="002E609C"/>
    <w:rsid w:val="002E610D"/>
    <w:rsid w:val="002E6728"/>
    <w:rsid w:val="002E693B"/>
    <w:rsid w:val="002E6B6F"/>
    <w:rsid w:val="002E6E07"/>
    <w:rsid w:val="002E7340"/>
    <w:rsid w:val="002E738C"/>
    <w:rsid w:val="002E73D0"/>
    <w:rsid w:val="002E74C9"/>
    <w:rsid w:val="002E7B43"/>
    <w:rsid w:val="002E7D24"/>
    <w:rsid w:val="002E7F0A"/>
    <w:rsid w:val="002E7F70"/>
    <w:rsid w:val="002F0070"/>
    <w:rsid w:val="002F00D4"/>
    <w:rsid w:val="002F0585"/>
    <w:rsid w:val="002F06B1"/>
    <w:rsid w:val="002F06BC"/>
    <w:rsid w:val="002F072C"/>
    <w:rsid w:val="002F074C"/>
    <w:rsid w:val="002F074D"/>
    <w:rsid w:val="002F0A35"/>
    <w:rsid w:val="002F0F42"/>
    <w:rsid w:val="002F0FA7"/>
    <w:rsid w:val="002F10A2"/>
    <w:rsid w:val="002F1209"/>
    <w:rsid w:val="002F1576"/>
    <w:rsid w:val="002F17C0"/>
    <w:rsid w:val="002F1819"/>
    <w:rsid w:val="002F1A0C"/>
    <w:rsid w:val="002F2466"/>
    <w:rsid w:val="002F2A82"/>
    <w:rsid w:val="002F2B89"/>
    <w:rsid w:val="002F2D56"/>
    <w:rsid w:val="002F35D9"/>
    <w:rsid w:val="002F366E"/>
    <w:rsid w:val="002F3AF3"/>
    <w:rsid w:val="002F3E17"/>
    <w:rsid w:val="002F3F62"/>
    <w:rsid w:val="002F4806"/>
    <w:rsid w:val="002F49C3"/>
    <w:rsid w:val="002F52CF"/>
    <w:rsid w:val="002F5341"/>
    <w:rsid w:val="002F58EC"/>
    <w:rsid w:val="002F5A44"/>
    <w:rsid w:val="002F5CC5"/>
    <w:rsid w:val="002F5D1F"/>
    <w:rsid w:val="002F5E06"/>
    <w:rsid w:val="002F61A9"/>
    <w:rsid w:val="002F642B"/>
    <w:rsid w:val="002F6815"/>
    <w:rsid w:val="002F6B2A"/>
    <w:rsid w:val="002F6B69"/>
    <w:rsid w:val="002F6B74"/>
    <w:rsid w:val="002F6F9E"/>
    <w:rsid w:val="002F744A"/>
    <w:rsid w:val="002F7469"/>
    <w:rsid w:val="002F7902"/>
    <w:rsid w:val="002F7D55"/>
    <w:rsid w:val="002F7E2E"/>
    <w:rsid w:val="00300099"/>
    <w:rsid w:val="00300209"/>
    <w:rsid w:val="003007BB"/>
    <w:rsid w:val="00300827"/>
    <w:rsid w:val="00300A22"/>
    <w:rsid w:val="00300AEF"/>
    <w:rsid w:val="00300C8B"/>
    <w:rsid w:val="00300EFB"/>
    <w:rsid w:val="003010AB"/>
    <w:rsid w:val="003012A4"/>
    <w:rsid w:val="0030136B"/>
    <w:rsid w:val="00301562"/>
    <w:rsid w:val="0030159E"/>
    <w:rsid w:val="00301D15"/>
    <w:rsid w:val="00301EB0"/>
    <w:rsid w:val="003027EF"/>
    <w:rsid w:val="0030298B"/>
    <w:rsid w:val="00302DFA"/>
    <w:rsid w:val="00302E90"/>
    <w:rsid w:val="00302F89"/>
    <w:rsid w:val="00303078"/>
    <w:rsid w:val="00303A2F"/>
    <w:rsid w:val="00303D2D"/>
    <w:rsid w:val="00303D5D"/>
    <w:rsid w:val="00303F3E"/>
    <w:rsid w:val="003041D9"/>
    <w:rsid w:val="00304B15"/>
    <w:rsid w:val="00304C1E"/>
    <w:rsid w:val="00304F3D"/>
    <w:rsid w:val="00305269"/>
    <w:rsid w:val="0030566E"/>
    <w:rsid w:val="00305BDB"/>
    <w:rsid w:val="00305E35"/>
    <w:rsid w:val="003060A1"/>
    <w:rsid w:val="00306233"/>
    <w:rsid w:val="003062A0"/>
    <w:rsid w:val="00306568"/>
    <w:rsid w:val="00306865"/>
    <w:rsid w:val="00306DCA"/>
    <w:rsid w:val="003078A5"/>
    <w:rsid w:val="00307AC5"/>
    <w:rsid w:val="00307B28"/>
    <w:rsid w:val="00307E32"/>
    <w:rsid w:val="0031042E"/>
    <w:rsid w:val="003105B5"/>
    <w:rsid w:val="003106D1"/>
    <w:rsid w:val="00310ACA"/>
    <w:rsid w:val="00310C81"/>
    <w:rsid w:val="00310D38"/>
    <w:rsid w:val="00311014"/>
    <w:rsid w:val="00311039"/>
    <w:rsid w:val="003113D8"/>
    <w:rsid w:val="0031141D"/>
    <w:rsid w:val="0031142F"/>
    <w:rsid w:val="00311700"/>
    <w:rsid w:val="00311D19"/>
    <w:rsid w:val="00311D90"/>
    <w:rsid w:val="003120EC"/>
    <w:rsid w:val="003121CD"/>
    <w:rsid w:val="003129A6"/>
    <w:rsid w:val="00312ED9"/>
    <w:rsid w:val="00312F95"/>
    <w:rsid w:val="00312F9F"/>
    <w:rsid w:val="003131E1"/>
    <w:rsid w:val="0031349D"/>
    <w:rsid w:val="00313575"/>
    <w:rsid w:val="0031377F"/>
    <w:rsid w:val="003137CF"/>
    <w:rsid w:val="00313B56"/>
    <w:rsid w:val="00313C00"/>
    <w:rsid w:val="00313CE5"/>
    <w:rsid w:val="00313E60"/>
    <w:rsid w:val="00313FCB"/>
    <w:rsid w:val="00314A39"/>
    <w:rsid w:val="00314ABC"/>
    <w:rsid w:val="00314D70"/>
    <w:rsid w:val="00314FEA"/>
    <w:rsid w:val="003151B7"/>
    <w:rsid w:val="003153F7"/>
    <w:rsid w:val="003155AC"/>
    <w:rsid w:val="003158C3"/>
    <w:rsid w:val="0031627F"/>
    <w:rsid w:val="003169AC"/>
    <w:rsid w:val="003169E7"/>
    <w:rsid w:val="00316BA0"/>
    <w:rsid w:val="00316BB0"/>
    <w:rsid w:val="00316F7A"/>
    <w:rsid w:val="00316FE6"/>
    <w:rsid w:val="003171A3"/>
    <w:rsid w:val="00317343"/>
    <w:rsid w:val="0031768A"/>
    <w:rsid w:val="0031771E"/>
    <w:rsid w:val="00317862"/>
    <w:rsid w:val="00317C43"/>
    <w:rsid w:val="00317E81"/>
    <w:rsid w:val="00317F0A"/>
    <w:rsid w:val="003200B5"/>
    <w:rsid w:val="0032081A"/>
    <w:rsid w:val="00320F09"/>
    <w:rsid w:val="00321337"/>
    <w:rsid w:val="0032146B"/>
    <w:rsid w:val="003214B1"/>
    <w:rsid w:val="00321B8C"/>
    <w:rsid w:val="00321F05"/>
    <w:rsid w:val="0032215B"/>
    <w:rsid w:val="003225B5"/>
    <w:rsid w:val="00323052"/>
    <w:rsid w:val="0032332D"/>
    <w:rsid w:val="00323468"/>
    <w:rsid w:val="00323B27"/>
    <w:rsid w:val="00323FCE"/>
    <w:rsid w:val="003240EB"/>
    <w:rsid w:val="003241A5"/>
    <w:rsid w:val="00324347"/>
    <w:rsid w:val="003244E8"/>
    <w:rsid w:val="003245C1"/>
    <w:rsid w:val="0032465B"/>
    <w:rsid w:val="003246CC"/>
    <w:rsid w:val="003247D0"/>
    <w:rsid w:val="00324A6D"/>
    <w:rsid w:val="00324FB6"/>
    <w:rsid w:val="00325035"/>
    <w:rsid w:val="003251FC"/>
    <w:rsid w:val="003256CF"/>
    <w:rsid w:val="00325AFA"/>
    <w:rsid w:val="00325BD9"/>
    <w:rsid w:val="00325DDE"/>
    <w:rsid w:val="00326109"/>
    <w:rsid w:val="003264E9"/>
    <w:rsid w:val="003267B2"/>
    <w:rsid w:val="00326F75"/>
    <w:rsid w:val="00327105"/>
    <w:rsid w:val="003272D0"/>
    <w:rsid w:val="00327356"/>
    <w:rsid w:val="00327521"/>
    <w:rsid w:val="00327583"/>
    <w:rsid w:val="00330166"/>
    <w:rsid w:val="003304E6"/>
    <w:rsid w:val="00330501"/>
    <w:rsid w:val="00330583"/>
    <w:rsid w:val="0033069E"/>
    <w:rsid w:val="00330775"/>
    <w:rsid w:val="00330DA2"/>
    <w:rsid w:val="00331198"/>
    <w:rsid w:val="00331266"/>
    <w:rsid w:val="00331C58"/>
    <w:rsid w:val="003322C5"/>
    <w:rsid w:val="00332722"/>
    <w:rsid w:val="003328FA"/>
    <w:rsid w:val="00332A33"/>
    <w:rsid w:val="00332EFB"/>
    <w:rsid w:val="00333000"/>
    <w:rsid w:val="003336FC"/>
    <w:rsid w:val="00333B87"/>
    <w:rsid w:val="00333BE4"/>
    <w:rsid w:val="003342E0"/>
    <w:rsid w:val="0033433C"/>
    <w:rsid w:val="00334B2C"/>
    <w:rsid w:val="00334C28"/>
    <w:rsid w:val="00334CF0"/>
    <w:rsid w:val="00334F93"/>
    <w:rsid w:val="00335000"/>
    <w:rsid w:val="0033536B"/>
    <w:rsid w:val="00335729"/>
    <w:rsid w:val="00335A85"/>
    <w:rsid w:val="00336074"/>
    <w:rsid w:val="00336321"/>
    <w:rsid w:val="0033667B"/>
    <w:rsid w:val="00336A7C"/>
    <w:rsid w:val="00336B3F"/>
    <w:rsid w:val="00336F2A"/>
    <w:rsid w:val="00337024"/>
    <w:rsid w:val="00337025"/>
    <w:rsid w:val="00337196"/>
    <w:rsid w:val="003371C7"/>
    <w:rsid w:val="003371F7"/>
    <w:rsid w:val="00337399"/>
    <w:rsid w:val="00337EA4"/>
    <w:rsid w:val="00340279"/>
    <w:rsid w:val="00340365"/>
    <w:rsid w:val="003405F5"/>
    <w:rsid w:val="00340A13"/>
    <w:rsid w:val="00340A95"/>
    <w:rsid w:val="00340C18"/>
    <w:rsid w:val="00340E0B"/>
    <w:rsid w:val="0034110D"/>
    <w:rsid w:val="003412C1"/>
    <w:rsid w:val="003415B5"/>
    <w:rsid w:val="0034179D"/>
    <w:rsid w:val="003419E2"/>
    <w:rsid w:val="00341AEC"/>
    <w:rsid w:val="00341B45"/>
    <w:rsid w:val="00341B55"/>
    <w:rsid w:val="00342122"/>
    <w:rsid w:val="00342265"/>
    <w:rsid w:val="003423C5"/>
    <w:rsid w:val="00342505"/>
    <w:rsid w:val="003428BE"/>
    <w:rsid w:val="00342E75"/>
    <w:rsid w:val="00343183"/>
    <w:rsid w:val="003432FD"/>
    <w:rsid w:val="003433C5"/>
    <w:rsid w:val="00343562"/>
    <w:rsid w:val="0034358C"/>
    <w:rsid w:val="00343BAD"/>
    <w:rsid w:val="00343CAF"/>
    <w:rsid w:val="003440E5"/>
    <w:rsid w:val="003440E8"/>
    <w:rsid w:val="00344358"/>
    <w:rsid w:val="00344409"/>
    <w:rsid w:val="003445C0"/>
    <w:rsid w:val="003448D7"/>
    <w:rsid w:val="00344B6D"/>
    <w:rsid w:val="00344CF6"/>
    <w:rsid w:val="00344E08"/>
    <w:rsid w:val="00344E52"/>
    <w:rsid w:val="00344FB5"/>
    <w:rsid w:val="003451D6"/>
    <w:rsid w:val="003457DB"/>
    <w:rsid w:val="0034587A"/>
    <w:rsid w:val="0034588D"/>
    <w:rsid w:val="00345ED5"/>
    <w:rsid w:val="00345F2A"/>
    <w:rsid w:val="00345F59"/>
    <w:rsid w:val="00345F7A"/>
    <w:rsid w:val="003460A4"/>
    <w:rsid w:val="003460F3"/>
    <w:rsid w:val="003461A3"/>
    <w:rsid w:val="003461F5"/>
    <w:rsid w:val="0034666D"/>
    <w:rsid w:val="00346A90"/>
    <w:rsid w:val="00346C37"/>
    <w:rsid w:val="00346E0D"/>
    <w:rsid w:val="00347AB0"/>
    <w:rsid w:val="00347BE2"/>
    <w:rsid w:val="00347C6D"/>
    <w:rsid w:val="003500C7"/>
    <w:rsid w:val="003502EB"/>
    <w:rsid w:val="0035041C"/>
    <w:rsid w:val="003504E8"/>
    <w:rsid w:val="00350B97"/>
    <w:rsid w:val="00351222"/>
    <w:rsid w:val="0035134D"/>
    <w:rsid w:val="00351977"/>
    <w:rsid w:val="00351C1F"/>
    <w:rsid w:val="0035233C"/>
    <w:rsid w:val="00352343"/>
    <w:rsid w:val="0035242D"/>
    <w:rsid w:val="003524AA"/>
    <w:rsid w:val="003525CA"/>
    <w:rsid w:val="00352884"/>
    <w:rsid w:val="00352926"/>
    <w:rsid w:val="00352A04"/>
    <w:rsid w:val="00352BD0"/>
    <w:rsid w:val="00352F36"/>
    <w:rsid w:val="00353999"/>
    <w:rsid w:val="00353C7D"/>
    <w:rsid w:val="00353CCA"/>
    <w:rsid w:val="00353CDA"/>
    <w:rsid w:val="00353E2A"/>
    <w:rsid w:val="00353E3C"/>
    <w:rsid w:val="00353E4A"/>
    <w:rsid w:val="00353FC3"/>
    <w:rsid w:val="00354A9A"/>
    <w:rsid w:val="00354C98"/>
    <w:rsid w:val="00354CA7"/>
    <w:rsid w:val="00354EC9"/>
    <w:rsid w:val="00354F60"/>
    <w:rsid w:val="00355029"/>
    <w:rsid w:val="003554AB"/>
    <w:rsid w:val="00355CBB"/>
    <w:rsid w:val="003560AA"/>
    <w:rsid w:val="003560C9"/>
    <w:rsid w:val="00356348"/>
    <w:rsid w:val="003563AE"/>
    <w:rsid w:val="003565AD"/>
    <w:rsid w:val="00356C14"/>
    <w:rsid w:val="00356CDD"/>
    <w:rsid w:val="0035701C"/>
    <w:rsid w:val="003572EC"/>
    <w:rsid w:val="0035752B"/>
    <w:rsid w:val="00357934"/>
    <w:rsid w:val="00357972"/>
    <w:rsid w:val="00357B6A"/>
    <w:rsid w:val="00357B7F"/>
    <w:rsid w:val="00357E41"/>
    <w:rsid w:val="00357F20"/>
    <w:rsid w:val="0036002E"/>
    <w:rsid w:val="00360210"/>
    <w:rsid w:val="003606FC"/>
    <w:rsid w:val="00360814"/>
    <w:rsid w:val="003609C3"/>
    <w:rsid w:val="00360B62"/>
    <w:rsid w:val="00360D84"/>
    <w:rsid w:val="00360EAE"/>
    <w:rsid w:val="00360F50"/>
    <w:rsid w:val="003613CA"/>
    <w:rsid w:val="00361652"/>
    <w:rsid w:val="00361687"/>
    <w:rsid w:val="003618EB"/>
    <w:rsid w:val="00361994"/>
    <w:rsid w:val="00361C1B"/>
    <w:rsid w:val="00361F62"/>
    <w:rsid w:val="00362090"/>
    <w:rsid w:val="00362588"/>
    <w:rsid w:val="00362E71"/>
    <w:rsid w:val="0036315B"/>
    <w:rsid w:val="0036390D"/>
    <w:rsid w:val="00363C8E"/>
    <w:rsid w:val="00363CC7"/>
    <w:rsid w:val="00363D42"/>
    <w:rsid w:val="00363D5B"/>
    <w:rsid w:val="0036412B"/>
    <w:rsid w:val="00364221"/>
    <w:rsid w:val="003644C6"/>
    <w:rsid w:val="00364605"/>
    <w:rsid w:val="00364814"/>
    <w:rsid w:val="00364A8E"/>
    <w:rsid w:val="003650AF"/>
    <w:rsid w:val="00365938"/>
    <w:rsid w:val="00365AD5"/>
    <w:rsid w:val="00365F6D"/>
    <w:rsid w:val="00366229"/>
    <w:rsid w:val="003663A3"/>
    <w:rsid w:val="003668AC"/>
    <w:rsid w:val="00366B53"/>
    <w:rsid w:val="00366EDA"/>
    <w:rsid w:val="00367230"/>
    <w:rsid w:val="00367503"/>
    <w:rsid w:val="003675ED"/>
    <w:rsid w:val="00367719"/>
    <w:rsid w:val="00367FB8"/>
    <w:rsid w:val="00370815"/>
    <w:rsid w:val="00370E3C"/>
    <w:rsid w:val="00371140"/>
    <w:rsid w:val="003717AF"/>
    <w:rsid w:val="0037185C"/>
    <w:rsid w:val="0037197D"/>
    <w:rsid w:val="00371AEE"/>
    <w:rsid w:val="00371BF1"/>
    <w:rsid w:val="00371FFF"/>
    <w:rsid w:val="003720E7"/>
    <w:rsid w:val="00372281"/>
    <w:rsid w:val="00372641"/>
    <w:rsid w:val="003726D6"/>
    <w:rsid w:val="00372B1D"/>
    <w:rsid w:val="0037320D"/>
    <w:rsid w:val="00373BD5"/>
    <w:rsid w:val="00373C24"/>
    <w:rsid w:val="00373D1A"/>
    <w:rsid w:val="00373E8B"/>
    <w:rsid w:val="00374717"/>
    <w:rsid w:val="00374A79"/>
    <w:rsid w:val="00374BFD"/>
    <w:rsid w:val="00375177"/>
    <w:rsid w:val="003753A4"/>
    <w:rsid w:val="0037571C"/>
    <w:rsid w:val="00375957"/>
    <w:rsid w:val="00375AB2"/>
    <w:rsid w:val="00375ACA"/>
    <w:rsid w:val="00375CCD"/>
    <w:rsid w:val="00375CDF"/>
    <w:rsid w:val="00375FCC"/>
    <w:rsid w:val="0037636B"/>
    <w:rsid w:val="00376881"/>
    <w:rsid w:val="00376EBE"/>
    <w:rsid w:val="00376FF1"/>
    <w:rsid w:val="003775B3"/>
    <w:rsid w:val="00377A4A"/>
    <w:rsid w:val="00377CE4"/>
    <w:rsid w:val="00377CFC"/>
    <w:rsid w:val="00377E1D"/>
    <w:rsid w:val="00377FAA"/>
    <w:rsid w:val="0038004F"/>
    <w:rsid w:val="00380222"/>
    <w:rsid w:val="00380478"/>
    <w:rsid w:val="003804FD"/>
    <w:rsid w:val="0038053E"/>
    <w:rsid w:val="0038056E"/>
    <w:rsid w:val="003806D7"/>
    <w:rsid w:val="003806F6"/>
    <w:rsid w:val="003813DD"/>
    <w:rsid w:val="0038153C"/>
    <w:rsid w:val="00381685"/>
    <w:rsid w:val="0038191B"/>
    <w:rsid w:val="00381E2D"/>
    <w:rsid w:val="00381EE3"/>
    <w:rsid w:val="00382138"/>
    <w:rsid w:val="003822BE"/>
    <w:rsid w:val="00382673"/>
    <w:rsid w:val="003828AD"/>
    <w:rsid w:val="00382AB2"/>
    <w:rsid w:val="00382F66"/>
    <w:rsid w:val="00383057"/>
    <w:rsid w:val="00383095"/>
    <w:rsid w:val="00383394"/>
    <w:rsid w:val="003833DF"/>
    <w:rsid w:val="0038380C"/>
    <w:rsid w:val="00383C06"/>
    <w:rsid w:val="00383D4A"/>
    <w:rsid w:val="00383EE4"/>
    <w:rsid w:val="003840B6"/>
    <w:rsid w:val="003842DA"/>
    <w:rsid w:val="003844C1"/>
    <w:rsid w:val="003848E2"/>
    <w:rsid w:val="0038494B"/>
    <w:rsid w:val="003849D9"/>
    <w:rsid w:val="00384AAA"/>
    <w:rsid w:val="00384B9F"/>
    <w:rsid w:val="00384DC0"/>
    <w:rsid w:val="00384E59"/>
    <w:rsid w:val="00384F44"/>
    <w:rsid w:val="0038516B"/>
    <w:rsid w:val="0038539C"/>
    <w:rsid w:val="003856FB"/>
    <w:rsid w:val="0038570A"/>
    <w:rsid w:val="003858AE"/>
    <w:rsid w:val="0038597B"/>
    <w:rsid w:val="00385D0E"/>
    <w:rsid w:val="00385E03"/>
    <w:rsid w:val="00386017"/>
    <w:rsid w:val="0038622B"/>
    <w:rsid w:val="0038629C"/>
    <w:rsid w:val="00386A41"/>
    <w:rsid w:val="00386E80"/>
    <w:rsid w:val="003872C5"/>
    <w:rsid w:val="00387BA4"/>
    <w:rsid w:val="00387D7E"/>
    <w:rsid w:val="00390063"/>
    <w:rsid w:val="00390140"/>
    <w:rsid w:val="003905E3"/>
    <w:rsid w:val="00390DA0"/>
    <w:rsid w:val="0039107B"/>
    <w:rsid w:val="003914E8"/>
    <w:rsid w:val="00391A16"/>
    <w:rsid w:val="00391C91"/>
    <w:rsid w:val="00391D3A"/>
    <w:rsid w:val="00391EE0"/>
    <w:rsid w:val="00391EEA"/>
    <w:rsid w:val="00392044"/>
    <w:rsid w:val="003920D7"/>
    <w:rsid w:val="003927E6"/>
    <w:rsid w:val="00392851"/>
    <w:rsid w:val="00392EA1"/>
    <w:rsid w:val="00392EE1"/>
    <w:rsid w:val="00393219"/>
    <w:rsid w:val="003935F3"/>
    <w:rsid w:val="00393948"/>
    <w:rsid w:val="00393E47"/>
    <w:rsid w:val="00394018"/>
    <w:rsid w:val="003946F6"/>
    <w:rsid w:val="00394775"/>
    <w:rsid w:val="00394819"/>
    <w:rsid w:val="00394BC2"/>
    <w:rsid w:val="00394E75"/>
    <w:rsid w:val="00394E89"/>
    <w:rsid w:val="003951F3"/>
    <w:rsid w:val="003956B9"/>
    <w:rsid w:val="00395A68"/>
    <w:rsid w:val="00395CF9"/>
    <w:rsid w:val="00395DFA"/>
    <w:rsid w:val="0039676D"/>
    <w:rsid w:val="00396971"/>
    <w:rsid w:val="00396DCB"/>
    <w:rsid w:val="00397412"/>
    <w:rsid w:val="00397A2A"/>
    <w:rsid w:val="00397C8D"/>
    <w:rsid w:val="003A0439"/>
    <w:rsid w:val="003A0536"/>
    <w:rsid w:val="003A096D"/>
    <w:rsid w:val="003A1023"/>
    <w:rsid w:val="003A10C9"/>
    <w:rsid w:val="003A11B1"/>
    <w:rsid w:val="003A11FF"/>
    <w:rsid w:val="003A139C"/>
    <w:rsid w:val="003A13A4"/>
    <w:rsid w:val="003A1B2C"/>
    <w:rsid w:val="003A1BC3"/>
    <w:rsid w:val="003A1CA3"/>
    <w:rsid w:val="003A1F45"/>
    <w:rsid w:val="003A1F4A"/>
    <w:rsid w:val="003A20EF"/>
    <w:rsid w:val="003A222E"/>
    <w:rsid w:val="003A24F9"/>
    <w:rsid w:val="003A298E"/>
    <w:rsid w:val="003A2D79"/>
    <w:rsid w:val="003A2ED4"/>
    <w:rsid w:val="003A2FE4"/>
    <w:rsid w:val="003A303B"/>
    <w:rsid w:val="003A3219"/>
    <w:rsid w:val="003A3A38"/>
    <w:rsid w:val="003A3BE6"/>
    <w:rsid w:val="003A3E2F"/>
    <w:rsid w:val="003A406B"/>
    <w:rsid w:val="003A43B0"/>
    <w:rsid w:val="003A45A1"/>
    <w:rsid w:val="003A4712"/>
    <w:rsid w:val="003A490B"/>
    <w:rsid w:val="003A4AE0"/>
    <w:rsid w:val="003A4D06"/>
    <w:rsid w:val="003A4D0C"/>
    <w:rsid w:val="003A4D17"/>
    <w:rsid w:val="003A5330"/>
    <w:rsid w:val="003A5902"/>
    <w:rsid w:val="003A5AA0"/>
    <w:rsid w:val="003A5BA6"/>
    <w:rsid w:val="003A5D94"/>
    <w:rsid w:val="003A5E39"/>
    <w:rsid w:val="003A5FA5"/>
    <w:rsid w:val="003A6318"/>
    <w:rsid w:val="003A6705"/>
    <w:rsid w:val="003A6B28"/>
    <w:rsid w:val="003A74F9"/>
    <w:rsid w:val="003A7606"/>
    <w:rsid w:val="003A7773"/>
    <w:rsid w:val="003A7ED5"/>
    <w:rsid w:val="003B0206"/>
    <w:rsid w:val="003B026E"/>
    <w:rsid w:val="003B03AD"/>
    <w:rsid w:val="003B041D"/>
    <w:rsid w:val="003B04A2"/>
    <w:rsid w:val="003B04CC"/>
    <w:rsid w:val="003B04EA"/>
    <w:rsid w:val="003B0BAD"/>
    <w:rsid w:val="003B1103"/>
    <w:rsid w:val="003B114B"/>
    <w:rsid w:val="003B11B1"/>
    <w:rsid w:val="003B1396"/>
    <w:rsid w:val="003B13CA"/>
    <w:rsid w:val="003B13FD"/>
    <w:rsid w:val="003B1500"/>
    <w:rsid w:val="003B1D87"/>
    <w:rsid w:val="003B1EC8"/>
    <w:rsid w:val="003B1F9A"/>
    <w:rsid w:val="003B2489"/>
    <w:rsid w:val="003B2588"/>
    <w:rsid w:val="003B26A9"/>
    <w:rsid w:val="003B283C"/>
    <w:rsid w:val="003B29E6"/>
    <w:rsid w:val="003B2A9C"/>
    <w:rsid w:val="003B2B25"/>
    <w:rsid w:val="003B2BDB"/>
    <w:rsid w:val="003B2C68"/>
    <w:rsid w:val="003B2EEC"/>
    <w:rsid w:val="003B30C6"/>
    <w:rsid w:val="003B32A8"/>
    <w:rsid w:val="003B3320"/>
    <w:rsid w:val="003B34F2"/>
    <w:rsid w:val="003B3631"/>
    <w:rsid w:val="003B37A4"/>
    <w:rsid w:val="003B3831"/>
    <w:rsid w:val="003B3D98"/>
    <w:rsid w:val="003B3E89"/>
    <w:rsid w:val="003B40E0"/>
    <w:rsid w:val="003B4394"/>
    <w:rsid w:val="003B446B"/>
    <w:rsid w:val="003B4575"/>
    <w:rsid w:val="003B4C12"/>
    <w:rsid w:val="003B4C36"/>
    <w:rsid w:val="003B4C89"/>
    <w:rsid w:val="003B4DC7"/>
    <w:rsid w:val="003B4FA0"/>
    <w:rsid w:val="003B50C2"/>
    <w:rsid w:val="003B58D3"/>
    <w:rsid w:val="003B5E59"/>
    <w:rsid w:val="003B6386"/>
    <w:rsid w:val="003B662B"/>
    <w:rsid w:val="003B6782"/>
    <w:rsid w:val="003B678F"/>
    <w:rsid w:val="003B6881"/>
    <w:rsid w:val="003B6A5D"/>
    <w:rsid w:val="003B6F5D"/>
    <w:rsid w:val="003B6F72"/>
    <w:rsid w:val="003B72FE"/>
    <w:rsid w:val="003B7349"/>
    <w:rsid w:val="003B7734"/>
    <w:rsid w:val="003B77A4"/>
    <w:rsid w:val="003B7A50"/>
    <w:rsid w:val="003B7D62"/>
    <w:rsid w:val="003B7F1B"/>
    <w:rsid w:val="003C0305"/>
    <w:rsid w:val="003C03D3"/>
    <w:rsid w:val="003C0ADA"/>
    <w:rsid w:val="003C0E98"/>
    <w:rsid w:val="003C0FE2"/>
    <w:rsid w:val="003C11AD"/>
    <w:rsid w:val="003C15D0"/>
    <w:rsid w:val="003C16A7"/>
    <w:rsid w:val="003C1ACB"/>
    <w:rsid w:val="003C1D08"/>
    <w:rsid w:val="003C1F4B"/>
    <w:rsid w:val="003C1FC9"/>
    <w:rsid w:val="003C21A9"/>
    <w:rsid w:val="003C2323"/>
    <w:rsid w:val="003C2617"/>
    <w:rsid w:val="003C2947"/>
    <w:rsid w:val="003C2999"/>
    <w:rsid w:val="003C2F99"/>
    <w:rsid w:val="003C324A"/>
    <w:rsid w:val="003C3428"/>
    <w:rsid w:val="003C34E0"/>
    <w:rsid w:val="003C380E"/>
    <w:rsid w:val="003C3B87"/>
    <w:rsid w:val="003C42F6"/>
    <w:rsid w:val="003C4317"/>
    <w:rsid w:val="003C4603"/>
    <w:rsid w:val="003C4686"/>
    <w:rsid w:val="003C4732"/>
    <w:rsid w:val="003C55ED"/>
    <w:rsid w:val="003C57EA"/>
    <w:rsid w:val="003C59BF"/>
    <w:rsid w:val="003C5DEB"/>
    <w:rsid w:val="003C6011"/>
    <w:rsid w:val="003C64C8"/>
    <w:rsid w:val="003C64E8"/>
    <w:rsid w:val="003C6665"/>
    <w:rsid w:val="003C66C4"/>
    <w:rsid w:val="003C689C"/>
    <w:rsid w:val="003C6AC0"/>
    <w:rsid w:val="003C7096"/>
    <w:rsid w:val="003C729E"/>
    <w:rsid w:val="003C7519"/>
    <w:rsid w:val="003C7AAA"/>
    <w:rsid w:val="003C7B5D"/>
    <w:rsid w:val="003C7EEC"/>
    <w:rsid w:val="003D007B"/>
    <w:rsid w:val="003D0117"/>
    <w:rsid w:val="003D08F2"/>
    <w:rsid w:val="003D0932"/>
    <w:rsid w:val="003D0965"/>
    <w:rsid w:val="003D0BE4"/>
    <w:rsid w:val="003D0E66"/>
    <w:rsid w:val="003D103E"/>
    <w:rsid w:val="003D1170"/>
    <w:rsid w:val="003D1396"/>
    <w:rsid w:val="003D15A2"/>
    <w:rsid w:val="003D1E06"/>
    <w:rsid w:val="003D23E1"/>
    <w:rsid w:val="003D2C77"/>
    <w:rsid w:val="003D2DB9"/>
    <w:rsid w:val="003D2F2E"/>
    <w:rsid w:val="003D31EA"/>
    <w:rsid w:val="003D35C4"/>
    <w:rsid w:val="003D3909"/>
    <w:rsid w:val="003D3ABE"/>
    <w:rsid w:val="003D3D93"/>
    <w:rsid w:val="003D3EF3"/>
    <w:rsid w:val="003D44C2"/>
    <w:rsid w:val="003D4528"/>
    <w:rsid w:val="003D469C"/>
    <w:rsid w:val="003D483A"/>
    <w:rsid w:val="003D4990"/>
    <w:rsid w:val="003D4A74"/>
    <w:rsid w:val="003D52AD"/>
    <w:rsid w:val="003D5340"/>
    <w:rsid w:val="003D56A1"/>
    <w:rsid w:val="003D57EC"/>
    <w:rsid w:val="003D5879"/>
    <w:rsid w:val="003D5929"/>
    <w:rsid w:val="003D5F89"/>
    <w:rsid w:val="003D61CC"/>
    <w:rsid w:val="003D63A0"/>
    <w:rsid w:val="003D63D0"/>
    <w:rsid w:val="003D6819"/>
    <w:rsid w:val="003D6C94"/>
    <w:rsid w:val="003D6D9C"/>
    <w:rsid w:val="003D70B7"/>
    <w:rsid w:val="003D7545"/>
    <w:rsid w:val="003D7C9A"/>
    <w:rsid w:val="003D7DF0"/>
    <w:rsid w:val="003D7EC3"/>
    <w:rsid w:val="003D7EC5"/>
    <w:rsid w:val="003E020D"/>
    <w:rsid w:val="003E0331"/>
    <w:rsid w:val="003E0426"/>
    <w:rsid w:val="003E0689"/>
    <w:rsid w:val="003E092A"/>
    <w:rsid w:val="003E09E9"/>
    <w:rsid w:val="003E0A71"/>
    <w:rsid w:val="003E0C79"/>
    <w:rsid w:val="003E0E77"/>
    <w:rsid w:val="003E0FCA"/>
    <w:rsid w:val="003E11C1"/>
    <w:rsid w:val="003E151A"/>
    <w:rsid w:val="003E1667"/>
    <w:rsid w:val="003E176F"/>
    <w:rsid w:val="003E17A1"/>
    <w:rsid w:val="003E199D"/>
    <w:rsid w:val="003E1A86"/>
    <w:rsid w:val="003E1D3B"/>
    <w:rsid w:val="003E1D7F"/>
    <w:rsid w:val="003E25FA"/>
    <w:rsid w:val="003E2B69"/>
    <w:rsid w:val="003E2D72"/>
    <w:rsid w:val="003E2F10"/>
    <w:rsid w:val="003E3225"/>
    <w:rsid w:val="003E3399"/>
    <w:rsid w:val="003E33E4"/>
    <w:rsid w:val="003E35AD"/>
    <w:rsid w:val="003E39A3"/>
    <w:rsid w:val="003E3A94"/>
    <w:rsid w:val="003E3ACE"/>
    <w:rsid w:val="003E4060"/>
    <w:rsid w:val="003E488B"/>
    <w:rsid w:val="003E495C"/>
    <w:rsid w:val="003E49EB"/>
    <w:rsid w:val="003E4C9A"/>
    <w:rsid w:val="003E50F9"/>
    <w:rsid w:val="003E5191"/>
    <w:rsid w:val="003E54E2"/>
    <w:rsid w:val="003E577C"/>
    <w:rsid w:val="003E5897"/>
    <w:rsid w:val="003E5B5F"/>
    <w:rsid w:val="003E5BD3"/>
    <w:rsid w:val="003E5BF0"/>
    <w:rsid w:val="003E5C07"/>
    <w:rsid w:val="003E5F63"/>
    <w:rsid w:val="003E6042"/>
    <w:rsid w:val="003E63EA"/>
    <w:rsid w:val="003E6495"/>
    <w:rsid w:val="003E6895"/>
    <w:rsid w:val="003E6C27"/>
    <w:rsid w:val="003E7053"/>
    <w:rsid w:val="003E7156"/>
    <w:rsid w:val="003E75DC"/>
    <w:rsid w:val="003E7C14"/>
    <w:rsid w:val="003F017D"/>
    <w:rsid w:val="003F0C36"/>
    <w:rsid w:val="003F101B"/>
    <w:rsid w:val="003F10F7"/>
    <w:rsid w:val="003F12EA"/>
    <w:rsid w:val="003F13E3"/>
    <w:rsid w:val="003F1443"/>
    <w:rsid w:val="003F160D"/>
    <w:rsid w:val="003F1628"/>
    <w:rsid w:val="003F181C"/>
    <w:rsid w:val="003F1858"/>
    <w:rsid w:val="003F1F6E"/>
    <w:rsid w:val="003F2703"/>
    <w:rsid w:val="003F2AE1"/>
    <w:rsid w:val="003F2EA8"/>
    <w:rsid w:val="003F2F5A"/>
    <w:rsid w:val="003F30B7"/>
    <w:rsid w:val="003F3593"/>
    <w:rsid w:val="003F3B8F"/>
    <w:rsid w:val="003F3D77"/>
    <w:rsid w:val="003F3F4E"/>
    <w:rsid w:val="003F4052"/>
    <w:rsid w:val="003F44DE"/>
    <w:rsid w:val="003F48C0"/>
    <w:rsid w:val="003F4934"/>
    <w:rsid w:val="003F4C6E"/>
    <w:rsid w:val="003F4C83"/>
    <w:rsid w:val="003F4D96"/>
    <w:rsid w:val="003F4E0F"/>
    <w:rsid w:val="003F57DD"/>
    <w:rsid w:val="003F5A83"/>
    <w:rsid w:val="003F5D4A"/>
    <w:rsid w:val="003F6145"/>
    <w:rsid w:val="003F64D6"/>
    <w:rsid w:val="003F6990"/>
    <w:rsid w:val="003F6D2C"/>
    <w:rsid w:val="003F6F68"/>
    <w:rsid w:val="003F7042"/>
    <w:rsid w:val="003F7413"/>
    <w:rsid w:val="003F7601"/>
    <w:rsid w:val="003F7622"/>
    <w:rsid w:val="003F7841"/>
    <w:rsid w:val="003F79C9"/>
    <w:rsid w:val="003F7C2C"/>
    <w:rsid w:val="003F7C99"/>
    <w:rsid w:val="003F7FB5"/>
    <w:rsid w:val="003FF6EF"/>
    <w:rsid w:val="00400107"/>
    <w:rsid w:val="004003EE"/>
    <w:rsid w:val="00400455"/>
    <w:rsid w:val="00400671"/>
    <w:rsid w:val="00400CD2"/>
    <w:rsid w:val="00400EED"/>
    <w:rsid w:val="00401BE4"/>
    <w:rsid w:val="00401C4B"/>
    <w:rsid w:val="00401F1B"/>
    <w:rsid w:val="004025C4"/>
    <w:rsid w:val="00402897"/>
    <w:rsid w:val="00402D22"/>
    <w:rsid w:val="0040318F"/>
    <w:rsid w:val="00403249"/>
    <w:rsid w:val="004033A4"/>
    <w:rsid w:val="00403A4F"/>
    <w:rsid w:val="00403AC9"/>
    <w:rsid w:val="00403CAC"/>
    <w:rsid w:val="00403D9B"/>
    <w:rsid w:val="00403DB9"/>
    <w:rsid w:val="00403EF9"/>
    <w:rsid w:val="00404219"/>
    <w:rsid w:val="0040453A"/>
    <w:rsid w:val="004047FA"/>
    <w:rsid w:val="00404ACB"/>
    <w:rsid w:val="00404BDD"/>
    <w:rsid w:val="00404C35"/>
    <w:rsid w:val="00404E43"/>
    <w:rsid w:val="00404E96"/>
    <w:rsid w:val="00404EB0"/>
    <w:rsid w:val="004050B8"/>
    <w:rsid w:val="004051B0"/>
    <w:rsid w:val="00405273"/>
    <w:rsid w:val="0040530B"/>
    <w:rsid w:val="00405AAA"/>
    <w:rsid w:val="00406093"/>
    <w:rsid w:val="004060B9"/>
    <w:rsid w:val="00406109"/>
    <w:rsid w:val="00406564"/>
    <w:rsid w:val="0040657D"/>
    <w:rsid w:val="00406729"/>
    <w:rsid w:val="004068CE"/>
    <w:rsid w:val="004069B8"/>
    <w:rsid w:val="00407291"/>
    <w:rsid w:val="00407459"/>
    <w:rsid w:val="0040776F"/>
    <w:rsid w:val="004079DB"/>
    <w:rsid w:val="00407E3D"/>
    <w:rsid w:val="0041026A"/>
    <w:rsid w:val="004103D8"/>
    <w:rsid w:val="0041050C"/>
    <w:rsid w:val="004107B4"/>
    <w:rsid w:val="00410811"/>
    <w:rsid w:val="00410BAF"/>
    <w:rsid w:val="00410BE0"/>
    <w:rsid w:val="00410E3F"/>
    <w:rsid w:val="00411812"/>
    <w:rsid w:val="00411CE2"/>
    <w:rsid w:val="00411F9F"/>
    <w:rsid w:val="00411FCC"/>
    <w:rsid w:val="00411FEE"/>
    <w:rsid w:val="00412998"/>
    <w:rsid w:val="00412A7B"/>
    <w:rsid w:val="00412CF1"/>
    <w:rsid w:val="00412D7F"/>
    <w:rsid w:val="00412D8D"/>
    <w:rsid w:val="00413070"/>
    <w:rsid w:val="004131A9"/>
    <w:rsid w:val="00413586"/>
    <w:rsid w:val="004136A4"/>
    <w:rsid w:val="00413D43"/>
    <w:rsid w:val="0041403A"/>
    <w:rsid w:val="00414271"/>
    <w:rsid w:val="00414700"/>
    <w:rsid w:val="004148E4"/>
    <w:rsid w:val="00414B9D"/>
    <w:rsid w:val="00414E1D"/>
    <w:rsid w:val="00415445"/>
    <w:rsid w:val="00415851"/>
    <w:rsid w:val="00415F8F"/>
    <w:rsid w:val="00415FC8"/>
    <w:rsid w:val="00416034"/>
    <w:rsid w:val="0041606D"/>
    <w:rsid w:val="004164DC"/>
    <w:rsid w:val="004165FA"/>
    <w:rsid w:val="00416CF0"/>
    <w:rsid w:val="00416EB3"/>
    <w:rsid w:val="004172E9"/>
    <w:rsid w:val="00417BE9"/>
    <w:rsid w:val="00417D25"/>
    <w:rsid w:val="00417DF6"/>
    <w:rsid w:val="00417F43"/>
    <w:rsid w:val="004203E9"/>
    <w:rsid w:val="004205AF"/>
    <w:rsid w:val="0042072D"/>
    <w:rsid w:val="00420CC1"/>
    <w:rsid w:val="00420D5A"/>
    <w:rsid w:val="00420E7E"/>
    <w:rsid w:val="0042126B"/>
    <w:rsid w:val="004214A8"/>
    <w:rsid w:val="0042170B"/>
    <w:rsid w:val="0042171E"/>
    <w:rsid w:val="00421AD6"/>
    <w:rsid w:val="00421BCE"/>
    <w:rsid w:val="00421CC8"/>
    <w:rsid w:val="00421FE7"/>
    <w:rsid w:val="0042204B"/>
    <w:rsid w:val="004221FC"/>
    <w:rsid w:val="00422468"/>
    <w:rsid w:val="00422CBF"/>
    <w:rsid w:val="00422D43"/>
    <w:rsid w:val="00422DF2"/>
    <w:rsid w:val="00422FC3"/>
    <w:rsid w:val="00422FF0"/>
    <w:rsid w:val="00423276"/>
    <w:rsid w:val="004232D6"/>
    <w:rsid w:val="004234D6"/>
    <w:rsid w:val="004239D0"/>
    <w:rsid w:val="00423A8F"/>
    <w:rsid w:val="00423FCB"/>
    <w:rsid w:val="004246B8"/>
    <w:rsid w:val="004247F8"/>
    <w:rsid w:val="004249BF"/>
    <w:rsid w:val="004249CC"/>
    <w:rsid w:val="00424AA9"/>
    <w:rsid w:val="00424AC2"/>
    <w:rsid w:val="00425222"/>
    <w:rsid w:val="004256F4"/>
    <w:rsid w:val="00425784"/>
    <w:rsid w:val="004257DE"/>
    <w:rsid w:val="00425FAE"/>
    <w:rsid w:val="00426039"/>
    <w:rsid w:val="004268C2"/>
    <w:rsid w:val="004268E3"/>
    <w:rsid w:val="004269E9"/>
    <w:rsid w:val="00426AD5"/>
    <w:rsid w:val="00426FCE"/>
    <w:rsid w:val="00427044"/>
    <w:rsid w:val="0042721A"/>
    <w:rsid w:val="004274BF"/>
    <w:rsid w:val="004275A1"/>
    <w:rsid w:val="00427970"/>
    <w:rsid w:val="00427AC6"/>
    <w:rsid w:val="00430596"/>
    <w:rsid w:val="00430AAB"/>
    <w:rsid w:val="00430BEA"/>
    <w:rsid w:val="00430BF3"/>
    <w:rsid w:val="00430C50"/>
    <w:rsid w:val="00430D20"/>
    <w:rsid w:val="00430D89"/>
    <w:rsid w:val="00430E78"/>
    <w:rsid w:val="0043152D"/>
    <w:rsid w:val="00431596"/>
    <w:rsid w:val="004315AE"/>
    <w:rsid w:val="004315BF"/>
    <w:rsid w:val="00431F88"/>
    <w:rsid w:val="004320C6"/>
    <w:rsid w:val="004326F1"/>
    <w:rsid w:val="004328D7"/>
    <w:rsid w:val="00432A07"/>
    <w:rsid w:val="00432D01"/>
    <w:rsid w:val="00432E75"/>
    <w:rsid w:val="00432F7B"/>
    <w:rsid w:val="00432FB0"/>
    <w:rsid w:val="00433116"/>
    <w:rsid w:val="004337C8"/>
    <w:rsid w:val="00433C09"/>
    <w:rsid w:val="00433D91"/>
    <w:rsid w:val="00434055"/>
    <w:rsid w:val="00434158"/>
    <w:rsid w:val="0043438B"/>
    <w:rsid w:val="004347A7"/>
    <w:rsid w:val="00434A5F"/>
    <w:rsid w:val="00434A8A"/>
    <w:rsid w:val="00434A98"/>
    <w:rsid w:val="00434B0F"/>
    <w:rsid w:val="00434BB8"/>
    <w:rsid w:val="00434CA2"/>
    <w:rsid w:val="00434E6D"/>
    <w:rsid w:val="00435216"/>
    <w:rsid w:val="004354B8"/>
    <w:rsid w:val="004357C4"/>
    <w:rsid w:val="00435A94"/>
    <w:rsid w:val="00435C2D"/>
    <w:rsid w:val="00435DBC"/>
    <w:rsid w:val="00435E74"/>
    <w:rsid w:val="00435EBD"/>
    <w:rsid w:val="0043627C"/>
    <w:rsid w:val="0043692C"/>
    <w:rsid w:val="00436957"/>
    <w:rsid w:val="00437177"/>
    <w:rsid w:val="004373E1"/>
    <w:rsid w:val="00437FD8"/>
    <w:rsid w:val="00437FEE"/>
    <w:rsid w:val="0044007B"/>
    <w:rsid w:val="00440196"/>
    <w:rsid w:val="00440AA2"/>
    <w:rsid w:val="00440E59"/>
    <w:rsid w:val="004416A3"/>
    <w:rsid w:val="004416E1"/>
    <w:rsid w:val="0044176A"/>
    <w:rsid w:val="004418A4"/>
    <w:rsid w:val="004419AE"/>
    <w:rsid w:val="0044211C"/>
    <w:rsid w:val="00442750"/>
    <w:rsid w:val="004427A9"/>
    <w:rsid w:val="004429DB"/>
    <w:rsid w:val="00442F20"/>
    <w:rsid w:val="00443074"/>
    <w:rsid w:val="004430F9"/>
    <w:rsid w:val="004430FE"/>
    <w:rsid w:val="00443291"/>
    <w:rsid w:val="00443382"/>
    <w:rsid w:val="0044393F"/>
    <w:rsid w:val="00443A03"/>
    <w:rsid w:val="00443D40"/>
    <w:rsid w:val="004440AF"/>
    <w:rsid w:val="00444244"/>
    <w:rsid w:val="004446D4"/>
    <w:rsid w:val="00444BC2"/>
    <w:rsid w:val="004452E6"/>
    <w:rsid w:val="0044536C"/>
    <w:rsid w:val="0044542E"/>
    <w:rsid w:val="00445C71"/>
    <w:rsid w:val="00445E49"/>
    <w:rsid w:val="00445E5E"/>
    <w:rsid w:val="00445F7E"/>
    <w:rsid w:val="0044610B"/>
    <w:rsid w:val="0044628F"/>
    <w:rsid w:val="00446351"/>
    <w:rsid w:val="00446477"/>
    <w:rsid w:val="004464A7"/>
    <w:rsid w:val="004464C9"/>
    <w:rsid w:val="00446671"/>
    <w:rsid w:val="00446B61"/>
    <w:rsid w:val="00447119"/>
    <w:rsid w:val="00447443"/>
    <w:rsid w:val="0044772A"/>
    <w:rsid w:val="0044774F"/>
    <w:rsid w:val="0044790E"/>
    <w:rsid w:val="00447D30"/>
    <w:rsid w:val="00447F27"/>
    <w:rsid w:val="004503DE"/>
    <w:rsid w:val="00450809"/>
    <w:rsid w:val="00450D52"/>
    <w:rsid w:val="00450E45"/>
    <w:rsid w:val="0045144F"/>
    <w:rsid w:val="0045155A"/>
    <w:rsid w:val="004518B5"/>
    <w:rsid w:val="00451C0B"/>
    <w:rsid w:val="00451D05"/>
    <w:rsid w:val="00451F53"/>
    <w:rsid w:val="00452268"/>
    <w:rsid w:val="004527A9"/>
    <w:rsid w:val="00452E7A"/>
    <w:rsid w:val="00452FF7"/>
    <w:rsid w:val="004540BE"/>
    <w:rsid w:val="004541C0"/>
    <w:rsid w:val="00454A52"/>
    <w:rsid w:val="00454E96"/>
    <w:rsid w:val="00454F8A"/>
    <w:rsid w:val="00454FA6"/>
    <w:rsid w:val="0045540E"/>
    <w:rsid w:val="004554A9"/>
    <w:rsid w:val="00455669"/>
    <w:rsid w:val="0045573B"/>
    <w:rsid w:val="00455D90"/>
    <w:rsid w:val="00456055"/>
    <w:rsid w:val="004561A2"/>
    <w:rsid w:val="004564E5"/>
    <w:rsid w:val="0045663A"/>
    <w:rsid w:val="0045670B"/>
    <w:rsid w:val="00456D1E"/>
    <w:rsid w:val="004572DF"/>
    <w:rsid w:val="004574C0"/>
    <w:rsid w:val="0045760C"/>
    <w:rsid w:val="00457636"/>
    <w:rsid w:val="00457795"/>
    <w:rsid w:val="00457AD6"/>
    <w:rsid w:val="004601C3"/>
    <w:rsid w:val="0046039E"/>
    <w:rsid w:val="00460E75"/>
    <w:rsid w:val="00461411"/>
    <w:rsid w:val="00461586"/>
    <w:rsid w:val="00461DA5"/>
    <w:rsid w:val="00461FA3"/>
    <w:rsid w:val="0046238F"/>
    <w:rsid w:val="00462A4C"/>
    <w:rsid w:val="00462F84"/>
    <w:rsid w:val="0046308E"/>
    <w:rsid w:val="0046312A"/>
    <w:rsid w:val="004635E0"/>
    <w:rsid w:val="0046398D"/>
    <w:rsid w:val="00463A3D"/>
    <w:rsid w:val="00463ADB"/>
    <w:rsid w:val="00463D2F"/>
    <w:rsid w:val="00463F2C"/>
    <w:rsid w:val="00463FED"/>
    <w:rsid w:val="0046419C"/>
    <w:rsid w:val="00464766"/>
    <w:rsid w:val="00464AAA"/>
    <w:rsid w:val="004656E4"/>
    <w:rsid w:val="00466001"/>
    <w:rsid w:val="00466134"/>
    <w:rsid w:val="00466170"/>
    <w:rsid w:val="0046626F"/>
    <w:rsid w:val="004662F0"/>
    <w:rsid w:val="004669D1"/>
    <w:rsid w:val="00466C54"/>
    <w:rsid w:val="00466E27"/>
    <w:rsid w:val="00466EA5"/>
    <w:rsid w:val="0046734D"/>
    <w:rsid w:val="004673FC"/>
    <w:rsid w:val="004674D0"/>
    <w:rsid w:val="0046751E"/>
    <w:rsid w:val="0046757A"/>
    <w:rsid w:val="00467698"/>
    <w:rsid w:val="00467857"/>
    <w:rsid w:val="00467911"/>
    <w:rsid w:val="00467A0A"/>
    <w:rsid w:val="00467C60"/>
    <w:rsid w:val="00467E6A"/>
    <w:rsid w:val="00467E8E"/>
    <w:rsid w:val="0047054F"/>
    <w:rsid w:val="004705BC"/>
    <w:rsid w:val="004706EB"/>
    <w:rsid w:val="00470ACD"/>
    <w:rsid w:val="00470B64"/>
    <w:rsid w:val="004712BB"/>
    <w:rsid w:val="00471376"/>
    <w:rsid w:val="0047138B"/>
    <w:rsid w:val="004713CF"/>
    <w:rsid w:val="00471471"/>
    <w:rsid w:val="004716F9"/>
    <w:rsid w:val="00471A31"/>
    <w:rsid w:val="00471BD2"/>
    <w:rsid w:val="00471D4E"/>
    <w:rsid w:val="00471DAE"/>
    <w:rsid w:val="00471F54"/>
    <w:rsid w:val="00471FCE"/>
    <w:rsid w:val="00471FFC"/>
    <w:rsid w:val="00472438"/>
    <w:rsid w:val="00472531"/>
    <w:rsid w:val="00472A27"/>
    <w:rsid w:val="00473007"/>
    <w:rsid w:val="00473591"/>
    <w:rsid w:val="004735A8"/>
    <w:rsid w:val="004735E3"/>
    <w:rsid w:val="00473BBD"/>
    <w:rsid w:val="00473E76"/>
    <w:rsid w:val="00473F0B"/>
    <w:rsid w:val="00473F87"/>
    <w:rsid w:val="00474265"/>
    <w:rsid w:val="004742AE"/>
    <w:rsid w:val="0047451E"/>
    <w:rsid w:val="00474566"/>
    <w:rsid w:val="00474BA9"/>
    <w:rsid w:val="00474C6E"/>
    <w:rsid w:val="00474C9C"/>
    <w:rsid w:val="00474CC6"/>
    <w:rsid w:val="00474E4B"/>
    <w:rsid w:val="004753C4"/>
    <w:rsid w:val="00475562"/>
    <w:rsid w:val="00475690"/>
    <w:rsid w:val="00475743"/>
    <w:rsid w:val="00475760"/>
    <w:rsid w:val="00475938"/>
    <w:rsid w:val="00475EDD"/>
    <w:rsid w:val="00476289"/>
    <w:rsid w:val="00476A13"/>
    <w:rsid w:val="0047700E"/>
    <w:rsid w:val="004776B5"/>
    <w:rsid w:val="004777A6"/>
    <w:rsid w:val="00477977"/>
    <w:rsid w:val="0047799C"/>
    <w:rsid w:val="00477BEB"/>
    <w:rsid w:val="00477D98"/>
    <w:rsid w:val="00480CF0"/>
    <w:rsid w:val="00480D19"/>
    <w:rsid w:val="00480E8E"/>
    <w:rsid w:val="00480EC2"/>
    <w:rsid w:val="004812B6"/>
    <w:rsid w:val="004812C7"/>
    <w:rsid w:val="0048140C"/>
    <w:rsid w:val="00481868"/>
    <w:rsid w:val="00481A9B"/>
    <w:rsid w:val="00481AF5"/>
    <w:rsid w:val="00481B69"/>
    <w:rsid w:val="00481F23"/>
    <w:rsid w:val="00482188"/>
    <w:rsid w:val="0048239F"/>
    <w:rsid w:val="00482600"/>
    <w:rsid w:val="00482C17"/>
    <w:rsid w:val="00482C6D"/>
    <w:rsid w:val="00482E12"/>
    <w:rsid w:val="00482F77"/>
    <w:rsid w:val="004830CD"/>
    <w:rsid w:val="004839CC"/>
    <w:rsid w:val="004839E7"/>
    <w:rsid w:val="00483B4B"/>
    <w:rsid w:val="00483EB2"/>
    <w:rsid w:val="00483ED8"/>
    <w:rsid w:val="00484218"/>
    <w:rsid w:val="0048478B"/>
    <w:rsid w:val="00484ADE"/>
    <w:rsid w:val="00484D8B"/>
    <w:rsid w:val="004850FB"/>
    <w:rsid w:val="0048548D"/>
    <w:rsid w:val="00485D6C"/>
    <w:rsid w:val="00485E98"/>
    <w:rsid w:val="00486170"/>
    <w:rsid w:val="0048626F"/>
    <w:rsid w:val="0048631C"/>
    <w:rsid w:val="004863E5"/>
    <w:rsid w:val="004865FE"/>
    <w:rsid w:val="004867C0"/>
    <w:rsid w:val="004867F8"/>
    <w:rsid w:val="004874EC"/>
    <w:rsid w:val="00487883"/>
    <w:rsid w:val="00487A8C"/>
    <w:rsid w:val="00487CB4"/>
    <w:rsid w:val="00487E7B"/>
    <w:rsid w:val="00490078"/>
    <w:rsid w:val="00490173"/>
    <w:rsid w:val="00490227"/>
    <w:rsid w:val="004903C0"/>
    <w:rsid w:val="004905C4"/>
    <w:rsid w:val="00490E30"/>
    <w:rsid w:val="00490F56"/>
    <w:rsid w:val="00491307"/>
    <w:rsid w:val="0049143A"/>
    <w:rsid w:val="004917C0"/>
    <w:rsid w:val="00491D84"/>
    <w:rsid w:val="004922A7"/>
    <w:rsid w:val="00492529"/>
    <w:rsid w:val="00492728"/>
    <w:rsid w:val="004929EC"/>
    <w:rsid w:val="00492A19"/>
    <w:rsid w:val="00492A29"/>
    <w:rsid w:val="00492CF8"/>
    <w:rsid w:val="00492D24"/>
    <w:rsid w:val="004932CA"/>
    <w:rsid w:val="00493ADF"/>
    <w:rsid w:val="004947D0"/>
    <w:rsid w:val="00494A14"/>
    <w:rsid w:val="004950DA"/>
    <w:rsid w:val="00495A0E"/>
    <w:rsid w:val="00495A69"/>
    <w:rsid w:val="00495CA9"/>
    <w:rsid w:val="0049627E"/>
    <w:rsid w:val="00496853"/>
    <w:rsid w:val="00496961"/>
    <w:rsid w:val="00496BE7"/>
    <w:rsid w:val="00496D09"/>
    <w:rsid w:val="00496D54"/>
    <w:rsid w:val="00497523"/>
    <w:rsid w:val="00497720"/>
    <w:rsid w:val="0049795A"/>
    <w:rsid w:val="00497F2A"/>
    <w:rsid w:val="004A0322"/>
    <w:rsid w:val="004A0341"/>
    <w:rsid w:val="004A03C1"/>
    <w:rsid w:val="004A0586"/>
    <w:rsid w:val="004A0769"/>
    <w:rsid w:val="004A0A4C"/>
    <w:rsid w:val="004A127B"/>
    <w:rsid w:val="004A14CA"/>
    <w:rsid w:val="004A1BA2"/>
    <w:rsid w:val="004A229B"/>
    <w:rsid w:val="004A26AE"/>
    <w:rsid w:val="004A290E"/>
    <w:rsid w:val="004A2A40"/>
    <w:rsid w:val="004A2AB1"/>
    <w:rsid w:val="004A2B50"/>
    <w:rsid w:val="004A2F54"/>
    <w:rsid w:val="004A36B4"/>
    <w:rsid w:val="004A370D"/>
    <w:rsid w:val="004A3D74"/>
    <w:rsid w:val="004A3E9A"/>
    <w:rsid w:val="004A40E9"/>
    <w:rsid w:val="004A433B"/>
    <w:rsid w:val="004A43B4"/>
    <w:rsid w:val="004A46AC"/>
    <w:rsid w:val="004A471A"/>
    <w:rsid w:val="004A519A"/>
    <w:rsid w:val="004A553B"/>
    <w:rsid w:val="004A5815"/>
    <w:rsid w:val="004A5993"/>
    <w:rsid w:val="004A5A81"/>
    <w:rsid w:val="004A5E6C"/>
    <w:rsid w:val="004A5EBD"/>
    <w:rsid w:val="004A609B"/>
    <w:rsid w:val="004A65E0"/>
    <w:rsid w:val="004A66A2"/>
    <w:rsid w:val="004A6A93"/>
    <w:rsid w:val="004A6F15"/>
    <w:rsid w:val="004A74B9"/>
    <w:rsid w:val="004A77F9"/>
    <w:rsid w:val="004A799B"/>
    <w:rsid w:val="004A7A04"/>
    <w:rsid w:val="004A7AF5"/>
    <w:rsid w:val="004A7D0B"/>
    <w:rsid w:val="004B0156"/>
    <w:rsid w:val="004B0237"/>
    <w:rsid w:val="004B032C"/>
    <w:rsid w:val="004B05A6"/>
    <w:rsid w:val="004B0624"/>
    <w:rsid w:val="004B092E"/>
    <w:rsid w:val="004B0946"/>
    <w:rsid w:val="004B0FFB"/>
    <w:rsid w:val="004B13E3"/>
    <w:rsid w:val="004B1A29"/>
    <w:rsid w:val="004B1D2D"/>
    <w:rsid w:val="004B1ED2"/>
    <w:rsid w:val="004B2227"/>
    <w:rsid w:val="004B25C5"/>
    <w:rsid w:val="004B2655"/>
    <w:rsid w:val="004B29F9"/>
    <w:rsid w:val="004B2FFC"/>
    <w:rsid w:val="004B3307"/>
    <w:rsid w:val="004B38D6"/>
    <w:rsid w:val="004B3BD8"/>
    <w:rsid w:val="004B3C38"/>
    <w:rsid w:val="004B4077"/>
    <w:rsid w:val="004B4A29"/>
    <w:rsid w:val="004B4A95"/>
    <w:rsid w:val="004B4BED"/>
    <w:rsid w:val="004B4BFC"/>
    <w:rsid w:val="004B4C5B"/>
    <w:rsid w:val="004B4D82"/>
    <w:rsid w:val="004B4FEE"/>
    <w:rsid w:val="004B52A8"/>
    <w:rsid w:val="004B55D5"/>
    <w:rsid w:val="004B57F6"/>
    <w:rsid w:val="004B5B44"/>
    <w:rsid w:val="004B5C5D"/>
    <w:rsid w:val="004B5D8E"/>
    <w:rsid w:val="004B60B9"/>
    <w:rsid w:val="004B6732"/>
    <w:rsid w:val="004B6771"/>
    <w:rsid w:val="004B6925"/>
    <w:rsid w:val="004B6F4A"/>
    <w:rsid w:val="004B726D"/>
    <w:rsid w:val="004B74C0"/>
    <w:rsid w:val="004B7898"/>
    <w:rsid w:val="004B7BC0"/>
    <w:rsid w:val="004C0064"/>
    <w:rsid w:val="004C0349"/>
    <w:rsid w:val="004C066A"/>
    <w:rsid w:val="004C08E3"/>
    <w:rsid w:val="004C0966"/>
    <w:rsid w:val="004C09FF"/>
    <w:rsid w:val="004C0AF5"/>
    <w:rsid w:val="004C16D1"/>
    <w:rsid w:val="004C1B9B"/>
    <w:rsid w:val="004C1FFE"/>
    <w:rsid w:val="004C250A"/>
    <w:rsid w:val="004C2911"/>
    <w:rsid w:val="004C2B0D"/>
    <w:rsid w:val="004C2D36"/>
    <w:rsid w:val="004C3017"/>
    <w:rsid w:val="004C307E"/>
    <w:rsid w:val="004C32D7"/>
    <w:rsid w:val="004C3774"/>
    <w:rsid w:val="004C37F0"/>
    <w:rsid w:val="004C3C4C"/>
    <w:rsid w:val="004C3DC7"/>
    <w:rsid w:val="004C4144"/>
    <w:rsid w:val="004C420E"/>
    <w:rsid w:val="004C42C5"/>
    <w:rsid w:val="004C42E3"/>
    <w:rsid w:val="004C439D"/>
    <w:rsid w:val="004C4435"/>
    <w:rsid w:val="004C49F7"/>
    <w:rsid w:val="004C4B02"/>
    <w:rsid w:val="004C4D89"/>
    <w:rsid w:val="004C4EBC"/>
    <w:rsid w:val="004C53F8"/>
    <w:rsid w:val="004C5AD5"/>
    <w:rsid w:val="004C615E"/>
    <w:rsid w:val="004C6290"/>
    <w:rsid w:val="004C6AEA"/>
    <w:rsid w:val="004C6D8A"/>
    <w:rsid w:val="004C6F3E"/>
    <w:rsid w:val="004C7421"/>
    <w:rsid w:val="004C7515"/>
    <w:rsid w:val="004C7D21"/>
    <w:rsid w:val="004C7E38"/>
    <w:rsid w:val="004C7E79"/>
    <w:rsid w:val="004D0233"/>
    <w:rsid w:val="004D0816"/>
    <w:rsid w:val="004D09C5"/>
    <w:rsid w:val="004D127E"/>
    <w:rsid w:val="004D1619"/>
    <w:rsid w:val="004D1997"/>
    <w:rsid w:val="004D200D"/>
    <w:rsid w:val="004D202E"/>
    <w:rsid w:val="004D228A"/>
    <w:rsid w:val="004D2298"/>
    <w:rsid w:val="004D2475"/>
    <w:rsid w:val="004D2481"/>
    <w:rsid w:val="004D2A39"/>
    <w:rsid w:val="004D2A66"/>
    <w:rsid w:val="004D2B55"/>
    <w:rsid w:val="004D341A"/>
    <w:rsid w:val="004D34A6"/>
    <w:rsid w:val="004D34F5"/>
    <w:rsid w:val="004D3692"/>
    <w:rsid w:val="004D388C"/>
    <w:rsid w:val="004D3931"/>
    <w:rsid w:val="004D3D88"/>
    <w:rsid w:val="004D4153"/>
    <w:rsid w:val="004D4861"/>
    <w:rsid w:val="004D4923"/>
    <w:rsid w:val="004D55FF"/>
    <w:rsid w:val="004D5654"/>
    <w:rsid w:val="004D5757"/>
    <w:rsid w:val="004D5907"/>
    <w:rsid w:val="004D5AB0"/>
    <w:rsid w:val="004D615F"/>
    <w:rsid w:val="004D66B2"/>
    <w:rsid w:val="004D6826"/>
    <w:rsid w:val="004D71AD"/>
    <w:rsid w:val="004D76A3"/>
    <w:rsid w:val="004D7DFC"/>
    <w:rsid w:val="004D7FAC"/>
    <w:rsid w:val="004E03AE"/>
    <w:rsid w:val="004E03EA"/>
    <w:rsid w:val="004E06F7"/>
    <w:rsid w:val="004E0A6A"/>
    <w:rsid w:val="004E124B"/>
    <w:rsid w:val="004E1278"/>
    <w:rsid w:val="004E1599"/>
    <w:rsid w:val="004E16E2"/>
    <w:rsid w:val="004E1741"/>
    <w:rsid w:val="004E1C39"/>
    <w:rsid w:val="004E1F17"/>
    <w:rsid w:val="004E2137"/>
    <w:rsid w:val="004E240A"/>
    <w:rsid w:val="004E245D"/>
    <w:rsid w:val="004E2488"/>
    <w:rsid w:val="004E2986"/>
    <w:rsid w:val="004E2D0A"/>
    <w:rsid w:val="004E2DA8"/>
    <w:rsid w:val="004E2F08"/>
    <w:rsid w:val="004E30BA"/>
    <w:rsid w:val="004E36CE"/>
    <w:rsid w:val="004E3737"/>
    <w:rsid w:val="004E389F"/>
    <w:rsid w:val="004E40E3"/>
    <w:rsid w:val="004E4CBC"/>
    <w:rsid w:val="004E5229"/>
    <w:rsid w:val="004E53C6"/>
    <w:rsid w:val="004E53D3"/>
    <w:rsid w:val="004E5A14"/>
    <w:rsid w:val="004E5A4F"/>
    <w:rsid w:val="004E5ADA"/>
    <w:rsid w:val="004E5BDF"/>
    <w:rsid w:val="004E5F9D"/>
    <w:rsid w:val="004E5FF9"/>
    <w:rsid w:val="004E649D"/>
    <w:rsid w:val="004E670F"/>
    <w:rsid w:val="004E6D05"/>
    <w:rsid w:val="004E6DB0"/>
    <w:rsid w:val="004E7212"/>
    <w:rsid w:val="004E72F5"/>
    <w:rsid w:val="004E7554"/>
    <w:rsid w:val="004E7738"/>
    <w:rsid w:val="004E7930"/>
    <w:rsid w:val="004F0308"/>
    <w:rsid w:val="004F0602"/>
    <w:rsid w:val="004F0D60"/>
    <w:rsid w:val="004F0E72"/>
    <w:rsid w:val="004F1228"/>
    <w:rsid w:val="004F1360"/>
    <w:rsid w:val="004F140A"/>
    <w:rsid w:val="004F15CE"/>
    <w:rsid w:val="004F1745"/>
    <w:rsid w:val="004F19AB"/>
    <w:rsid w:val="004F1B2E"/>
    <w:rsid w:val="004F1D0E"/>
    <w:rsid w:val="004F1D90"/>
    <w:rsid w:val="004F2012"/>
    <w:rsid w:val="004F2040"/>
    <w:rsid w:val="004F2BE9"/>
    <w:rsid w:val="004F2C6B"/>
    <w:rsid w:val="004F2D29"/>
    <w:rsid w:val="004F3024"/>
    <w:rsid w:val="004F308B"/>
    <w:rsid w:val="004F3106"/>
    <w:rsid w:val="004F3164"/>
    <w:rsid w:val="004F3328"/>
    <w:rsid w:val="004F38C5"/>
    <w:rsid w:val="004F3A35"/>
    <w:rsid w:val="004F3A90"/>
    <w:rsid w:val="004F3F24"/>
    <w:rsid w:val="004F443A"/>
    <w:rsid w:val="004F451B"/>
    <w:rsid w:val="004F45FE"/>
    <w:rsid w:val="004F4655"/>
    <w:rsid w:val="004F4A26"/>
    <w:rsid w:val="004F51D9"/>
    <w:rsid w:val="004F53B2"/>
    <w:rsid w:val="004F57B3"/>
    <w:rsid w:val="004F59CE"/>
    <w:rsid w:val="004F59CF"/>
    <w:rsid w:val="004F5B25"/>
    <w:rsid w:val="004F5BCE"/>
    <w:rsid w:val="004F60D6"/>
    <w:rsid w:val="004F6139"/>
    <w:rsid w:val="004F624B"/>
    <w:rsid w:val="004F6404"/>
    <w:rsid w:val="004F6AAE"/>
    <w:rsid w:val="004F6CA6"/>
    <w:rsid w:val="004F7117"/>
    <w:rsid w:val="004F7176"/>
    <w:rsid w:val="004F7216"/>
    <w:rsid w:val="004F7676"/>
    <w:rsid w:val="004F7B79"/>
    <w:rsid w:val="004F7C7A"/>
    <w:rsid w:val="004F7CAA"/>
    <w:rsid w:val="004F7E03"/>
    <w:rsid w:val="005000D3"/>
    <w:rsid w:val="0050030A"/>
    <w:rsid w:val="005005B1"/>
    <w:rsid w:val="0050070A"/>
    <w:rsid w:val="005009F5"/>
    <w:rsid w:val="00500C2A"/>
    <w:rsid w:val="00500DA0"/>
    <w:rsid w:val="00500ED3"/>
    <w:rsid w:val="00501114"/>
    <w:rsid w:val="0050117D"/>
    <w:rsid w:val="005011C4"/>
    <w:rsid w:val="00501623"/>
    <w:rsid w:val="005016D6"/>
    <w:rsid w:val="00501951"/>
    <w:rsid w:val="00501E7E"/>
    <w:rsid w:val="00502662"/>
    <w:rsid w:val="0050276D"/>
    <w:rsid w:val="00502807"/>
    <w:rsid w:val="00502EAE"/>
    <w:rsid w:val="00502F62"/>
    <w:rsid w:val="005032CA"/>
    <w:rsid w:val="005035BB"/>
    <w:rsid w:val="00503ACB"/>
    <w:rsid w:val="00503BF9"/>
    <w:rsid w:val="00504126"/>
    <w:rsid w:val="00504257"/>
    <w:rsid w:val="005049B2"/>
    <w:rsid w:val="00504E52"/>
    <w:rsid w:val="00505027"/>
    <w:rsid w:val="00505108"/>
    <w:rsid w:val="00505136"/>
    <w:rsid w:val="0050523E"/>
    <w:rsid w:val="00505609"/>
    <w:rsid w:val="00505693"/>
    <w:rsid w:val="005058E4"/>
    <w:rsid w:val="00505974"/>
    <w:rsid w:val="00505C30"/>
    <w:rsid w:val="00505E5F"/>
    <w:rsid w:val="00506079"/>
    <w:rsid w:val="005060C1"/>
    <w:rsid w:val="0050610B"/>
    <w:rsid w:val="005062ED"/>
    <w:rsid w:val="00506574"/>
    <w:rsid w:val="00506A7B"/>
    <w:rsid w:val="00506A82"/>
    <w:rsid w:val="00506AF1"/>
    <w:rsid w:val="00506D6E"/>
    <w:rsid w:val="00506E03"/>
    <w:rsid w:val="0050711E"/>
    <w:rsid w:val="005071C2"/>
    <w:rsid w:val="005072A8"/>
    <w:rsid w:val="00507543"/>
    <w:rsid w:val="00507A36"/>
    <w:rsid w:val="00507B40"/>
    <w:rsid w:val="00507FB5"/>
    <w:rsid w:val="005101A6"/>
    <w:rsid w:val="0051056E"/>
    <w:rsid w:val="00510A5B"/>
    <w:rsid w:val="00510F1A"/>
    <w:rsid w:val="00511518"/>
    <w:rsid w:val="00511CBD"/>
    <w:rsid w:val="00511E62"/>
    <w:rsid w:val="0051223E"/>
    <w:rsid w:val="0051258E"/>
    <w:rsid w:val="00512928"/>
    <w:rsid w:val="00512C15"/>
    <w:rsid w:val="00512CDE"/>
    <w:rsid w:val="0051328C"/>
    <w:rsid w:val="00513E95"/>
    <w:rsid w:val="00514574"/>
    <w:rsid w:val="005147EF"/>
    <w:rsid w:val="00515127"/>
    <w:rsid w:val="005151B6"/>
    <w:rsid w:val="005154C1"/>
    <w:rsid w:val="00515591"/>
    <w:rsid w:val="0051565D"/>
    <w:rsid w:val="0051574C"/>
    <w:rsid w:val="00516350"/>
    <w:rsid w:val="005169A2"/>
    <w:rsid w:val="00516B5F"/>
    <w:rsid w:val="00516FBC"/>
    <w:rsid w:val="00516FD6"/>
    <w:rsid w:val="00517324"/>
    <w:rsid w:val="005173ED"/>
    <w:rsid w:val="005174B0"/>
    <w:rsid w:val="005176BD"/>
    <w:rsid w:val="005177BD"/>
    <w:rsid w:val="00517E33"/>
    <w:rsid w:val="005200B7"/>
    <w:rsid w:val="00520A63"/>
    <w:rsid w:val="00521233"/>
    <w:rsid w:val="0052162C"/>
    <w:rsid w:val="00521F52"/>
    <w:rsid w:val="00522037"/>
    <w:rsid w:val="005220DA"/>
    <w:rsid w:val="00522567"/>
    <w:rsid w:val="00522833"/>
    <w:rsid w:val="00522915"/>
    <w:rsid w:val="00522AC1"/>
    <w:rsid w:val="00522BB6"/>
    <w:rsid w:val="00522C69"/>
    <w:rsid w:val="00522CD8"/>
    <w:rsid w:val="00522E1A"/>
    <w:rsid w:val="00523106"/>
    <w:rsid w:val="005234CC"/>
    <w:rsid w:val="0052374B"/>
    <w:rsid w:val="00523928"/>
    <w:rsid w:val="005239BA"/>
    <w:rsid w:val="00523A37"/>
    <w:rsid w:val="00523BDA"/>
    <w:rsid w:val="00524171"/>
    <w:rsid w:val="00524320"/>
    <w:rsid w:val="00524756"/>
    <w:rsid w:val="00524809"/>
    <w:rsid w:val="005248EA"/>
    <w:rsid w:val="00524E6A"/>
    <w:rsid w:val="005256F5"/>
    <w:rsid w:val="0052575B"/>
    <w:rsid w:val="0052599B"/>
    <w:rsid w:val="005259E3"/>
    <w:rsid w:val="00525E54"/>
    <w:rsid w:val="00525F18"/>
    <w:rsid w:val="005260CB"/>
    <w:rsid w:val="00526460"/>
    <w:rsid w:val="00526690"/>
    <w:rsid w:val="00526837"/>
    <w:rsid w:val="005268FC"/>
    <w:rsid w:val="00527CB7"/>
    <w:rsid w:val="00527E89"/>
    <w:rsid w:val="00530351"/>
    <w:rsid w:val="005304C2"/>
    <w:rsid w:val="00530B23"/>
    <w:rsid w:val="00530DD4"/>
    <w:rsid w:val="00530E46"/>
    <w:rsid w:val="00530FD1"/>
    <w:rsid w:val="00530FD8"/>
    <w:rsid w:val="00531107"/>
    <w:rsid w:val="005319FA"/>
    <w:rsid w:val="00531A9E"/>
    <w:rsid w:val="00531EE7"/>
    <w:rsid w:val="00532475"/>
    <w:rsid w:val="0053267F"/>
    <w:rsid w:val="005326C9"/>
    <w:rsid w:val="00532B71"/>
    <w:rsid w:val="00532B83"/>
    <w:rsid w:val="005330B9"/>
    <w:rsid w:val="005331E8"/>
    <w:rsid w:val="005332F4"/>
    <w:rsid w:val="00533500"/>
    <w:rsid w:val="0053370C"/>
    <w:rsid w:val="00533822"/>
    <w:rsid w:val="0053383A"/>
    <w:rsid w:val="00533A1E"/>
    <w:rsid w:val="00533C63"/>
    <w:rsid w:val="00533C6A"/>
    <w:rsid w:val="00533F12"/>
    <w:rsid w:val="00534077"/>
    <w:rsid w:val="00534507"/>
    <w:rsid w:val="005347F2"/>
    <w:rsid w:val="0053490B"/>
    <w:rsid w:val="00534B2F"/>
    <w:rsid w:val="00534D0F"/>
    <w:rsid w:val="00534E8B"/>
    <w:rsid w:val="0053526F"/>
    <w:rsid w:val="005353E1"/>
    <w:rsid w:val="00535B9B"/>
    <w:rsid w:val="00535CE9"/>
    <w:rsid w:val="00535EEB"/>
    <w:rsid w:val="00535F03"/>
    <w:rsid w:val="005361C2"/>
    <w:rsid w:val="00536340"/>
    <w:rsid w:val="00536545"/>
    <w:rsid w:val="005367D4"/>
    <w:rsid w:val="00536C77"/>
    <w:rsid w:val="00536E23"/>
    <w:rsid w:val="00537077"/>
    <w:rsid w:val="00540803"/>
    <w:rsid w:val="00540898"/>
    <w:rsid w:val="00540AE7"/>
    <w:rsid w:val="00540BAB"/>
    <w:rsid w:val="00540FD1"/>
    <w:rsid w:val="005413AC"/>
    <w:rsid w:val="005419C3"/>
    <w:rsid w:val="00541E55"/>
    <w:rsid w:val="0054211A"/>
    <w:rsid w:val="0054214C"/>
    <w:rsid w:val="005421B8"/>
    <w:rsid w:val="00542381"/>
    <w:rsid w:val="00542488"/>
    <w:rsid w:val="00542683"/>
    <w:rsid w:val="00542833"/>
    <w:rsid w:val="005428F2"/>
    <w:rsid w:val="005429B2"/>
    <w:rsid w:val="00542C20"/>
    <w:rsid w:val="00542DAA"/>
    <w:rsid w:val="00543039"/>
    <w:rsid w:val="0054378C"/>
    <w:rsid w:val="00543B21"/>
    <w:rsid w:val="005448C0"/>
    <w:rsid w:val="00544B45"/>
    <w:rsid w:val="00544C85"/>
    <w:rsid w:val="00544DCE"/>
    <w:rsid w:val="005450AD"/>
    <w:rsid w:val="005451A0"/>
    <w:rsid w:val="005451EA"/>
    <w:rsid w:val="0054555E"/>
    <w:rsid w:val="0054567C"/>
    <w:rsid w:val="0054583D"/>
    <w:rsid w:val="0054594A"/>
    <w:rsid w:val="005460D7"/>
    <w:rsid w:val="00546297"/>
    <w:rsid w:val="005464D3"/>
    <w:rsid w:val="00546546"/>
    <w:rsid w:val="00546787"/>
    <w:rsid w:val="00546983"/>
    <w:rsid w:val="00546A02"/>
    <w:rsid w:val="00546A8D"/>
    <w:rsid w:val="005471E5"/>
    <w:rsid w:val="005472C1"/>
    <w:rsid w:val="005473FC"/>
    <w:rsid w:val="00547852"/>
    <w:rsid w:val="00547A17"/>
    <w:rsid w:val="00547A3F"/>
    <w:rsid w:val="00547E97"/>
    <w:rsid w:val="00547ECE"/>
    <w:rsid w:val="0055011E"/>
    <w:rsid w:val="005506C0"/>
    <w:rsid w:val="00550C6C"/>
    <w:rsid w:val="00550C92"/>
    <w:rsid w:val="00550E07"/>
    <w:rsid w:val="00550ED7"/>
    <w:rsid w:val="00551180"/>
    <w:rsid w:val="005511D7"/>
    <w:rsid w:val="0055122C"/>
    <w:rsid w:val="005514EE"/>
    <w:rsid w:val="005518BA"/>
    <w:rsid w:val="00551AE6"/>
    <w:rsid w:val="00551C60"/>
    <w:rsid w:val="00551E97"/>
    <w:rsid w:val="00552222"/>
    <w:rsid w:val="00552331"/>
    <w:rsid w:val="00552796"/>
    <w:rsid w:val="00552A65"/>
    <w:rsid w:val="00552BFE"/>
    <w:rsid w:val="0055333E"/>
    <w:rsid w:val="00553736"/>
    <w:rsid w:val="00553795"/>
    <w:rsid w:val="005537AF"/>
    <w:rsid w:val="005538C0"/>
    <w:rsid w:val="00553A91"/>
    <w:rsid w:val="005542B5"/>
    <w:rsid w:val="005542C7"/>
    <w:rsid w:val="00554936"/>
    <w:rsid w:val="0055493E"/>
    <w:rsid w:val="00554B3B"/>
    <w:rsid w:val="00554BE1"/>
    <w:rsid w:val="00554D36"/>
    <w:rsid w:val="00554DB6"/>
    <w:rsid w:val="00554F9A"/>
    <w:rsid w:val="0055517A"/>
    <w:rsid w:val="00555D03"/>
    <w:rsid w:val="00555F00"/>
    <w:rsid w:val="00556276"/>
    <w:rsid w:val="00556880"/>
    <w:rsid w:val="00556B0F"/>
    <w:rsid w:val="00556CF9"/>
    <w:rsid w:val="00556D88"/>
    <w:rsid w:val="00556E71"/>
    <w:rsid w:val="00556EE6"/>
    <w:rsid w:val="00557572"/>
    <w:rsid w:val="00557654"/>
    <w:rsid w:val="00557B36"/>
    <w:rsid w:val="00557B62"/>
    <w:rsid w:val="00557E41"/>
    <w:rsid w:val="0056021A"/>
    <w:rsid w:val="00560671"/>
    <w:rsid w:val="0056078B"/>
    <w:rsid w:val="00560996"/>
    <w:rsid w:val="00560D09"/>
    <w:rsid w:val="00561BE3"/>
    <w:rsid w:val="00561EBF"/>
    <w:rsid w:val="005622DA"/>
    <w:rsid w:val="005628C0"/>
    <w:rsid w:val="005630BE"/>
    <w:rsid w:val="00563309"/>
    <w:rsid w:val="00563824"/>
    <w:rsid w:val="005639B0"/>
    <w:rsid w:val="00563C04"/>
    <w:rsid w:val="00563D42"/>
    <w:rsid w:val="00564024"/>
    <w:rsid w:val="00564057"/>
    <w:rsid w:val="005641D8"/>
    <w:rsid w:val="0056441F"/>
    <w:rsid w:val="00564DAD"/>
    <w:rsid w:val="00564DD1"/>
    <w:rsid w:val="00565127"/>
    <w:rsid w:val="005653A8"/>
    <w:rsid w:val="005653EE"/>
    <w:rsid w:val="005656F7"/>
    <w:rsid w:val="00565727"/>
    <w:rsid w:val="00565BAE"/>
    <w:rsid w:val="00565E1D"/>
    <w:rsid w:val="00565F0D"/>
    <w:rsid w:val="00566058"/>
    <w:rsid w:val="00566625"/>
    <w:rsid w:val="00566BFE"/>
    <w:rsid w:val="005672FD"/>
    <w:rsid w:val="005674E6"/>
    <w:rsid w:val="00567545"/>
    <w:rsid w:val="005677B6"/>
    <w:rsid w:val="005679BA"/>
    <w:rsid w:val="00567B5B"/>
    <w:rsid w:val="00567F97"/>
    <w:rsid w:val="005701A7"/>
    <w:rsid w:val="00570363"/>
    <w:rsid w:val="005707CC"/>
    <w:rsid w:val="005707E1"/>
    <w:rsid w:val="005707E6"/>
    <w:rsid w:val="00570899"/>
    <w:rsid w:val="00570911"/>
    <w:rsid w:val="00570BB6"/>
    <w:rsid w:val="00570F5C"/>
    <w:rsid w:val="00571076"/>
    <w:rsid w:val="00571635"/>
    <w:rsid w:val="00572283"/>
    <w:rsid w:val="00572A2A"/>
    <w:rsid w:val="00572B4A"/>
    <w:rsid w:val="00572EEE"/>
    <w:rsid w:val="00573191"/>
    <w:rsid w:val="005731D3"/>
    <w:rsid w:val="0057321E"/>
    <w:rsid w:val="005732C2"/>
    <w:rsid w:val="00573349"/>
    <w:rsid w:val="00573479"/>
    <w:rsid w:val="00573498"/>
    <w:rsid w:val="00573B90"/>
    <w:rsid w:val="00573E94"/>
    <w:rsid w:val="00574025"/>
    <w:rsid w:val="00574135"/>
    <w:rsid w:val="00574155"/>
    <w:rsid w:val="00574421"/>
    <w:rsid w:val="005748C4"/>
    <w:rsid w:val="00574A93"/>
    <w:rsid w:val="00574E1C"/>
    <w:rsid w:val="00574E92"/>
    <w:rsid w:val="00575041"/>
    <w:rsid w:val="005753B9"/>
    <w:rsid w:val="00575611"/>
    <w:rsid w:val="00575C80"/>
    <w:rsid w:val="0057650A"/>
    <w:rsid w:val="00576532"/>
    <w:rsid w:val="00576F09"/>
    <w:rsid w:val="00577068"/>
    <w:rsid w:val="005770A4"/>
    <w:rsid w:val="005771E5"/>
    <w:rsid w:val="0057722A"/>
    <w:rsid w:val="005773CE"/>
    <w:rsid w:val="00577759"/>
    <w:rsid w:val="00580026"/>
    <w:rsid w:val="0058012E"/>
    <w:rsid w:val="0058054A"/>
    <w:rsid w:val="005808A6"/>
    <w:rsid w:val="005811E8"/>
    <w:rsid w:val="0058136C"/>
    <w:rsid w:val="005819F7"/>
    <w:rsid w:val="00581A17"/>
    <w:rsid w:val="00581C37"/>
    <w:rsid w:val="00581DE1"/>
    <w:rsid w:val="0058222A"/>
    <w:rsid w:val="005823F0"/>
    <w:rsid w:val="005827A2"/>
    <w:rsid w:val="005827B0"/>
    <w:rsid w:val="005828E8"/>
    <w:rsid w:val="00582D7D"/>
    <w:rsid w:val="00583693"/>
    <w:rsid w:val="0058395D"/>
    <w:rsid w:val="005839F0"/>
    <w:rsid w:val="00583AF6"/>
    <w:rsid w:val="00583B31"/>
    <w:rsid w:val="00583BF8"/>
    <w:rsid w:val="00583DA5"/>
    <w:rsid w:val="00584298"/>
    <w:rsid w:val="005843C7"/>
    <w:rsid w:val="00584A53"/>
    <w:rsid w:val="00584AA7"/>
    <w:rsid w:val="00584FC1"/>
    <w:rsid w:val="005850E5"/>
    <w:rsid w:val="00585259"/>
    <w:rsid w:val="005858F1"/>
    <w:rsid w:val="0058592A"/>
    <w:rsid w:val="00585951"/>
    <w:rsid w:val="00585A50"/>
    <w:rsid w:val="00585B0F"/>
    <w:rsid w:val="0058618F"/>
    <w:rsid w:val="0058658F"/>
    <w:rsid w:val="00586B55"/>
    <w:rsid w:val="00586B7C"/>
    <w:rsid w:val="00586F8F"/>
    <w:rsid w:val="005873A6"/>
    <w:rsid w:val="0058764D"/>
    <w:rsid w:val="00587ADB"/>
    <w:rsid w:val="00587CE4"/>
    <w:rsid w:val="00587E4D"/>
    <w:rsid w:val="00590296"/>
    <w:rsid w:val="00590454"/>
    <w:rsid w:val="0059095F"/>
    <w:rsid w:val="00590CBD"/>
    <w:rsid w:val="00591374"/>
    <w:rsid w:val="005914F7"/>
    <w:rsid w:val="00591B21"/>
    <w:rsid w:val="00591CB9"/>
    <w:rsid w:val="00592982"/>
    <w:rsid w:val="00592B71"/>
    <w:rsid w:val="00592BA9"/>
    <w:rsid w:val="00592C63"/>
    <w:rsid w:val="0059315F"/>
    <w:rsid w:val="00593180"/>
    <w:rsid w:val="005931A2"/>
    <w:rsid w:val="005932AD"/>
    <w:rsid w:val="0059382E"/>
    <w:rsid w:val="00593B27"/>
    <w:rsid w:val="00593C29"/>
    <w:rsid w:val="00593F93"/>
    <w:rsid w:val="005942D7"/>
    <w:rsid w:val="005946E2"/>
    <w:rsid w:val="00594DB3"/>
    <w:rsid w:val="00594EE8"/>
    <w:rsid w:val="00595187"/>
    <w:rsid w:val="005951A7"/>
    <w:rsid w:val="005952BC"/>
    <w:rsid w:val="00595953"/>
    <w:rsid w:val="00595AFE"/>
    <w:rsid w:val="00595B12"/>
    <w:rsid w:val="00595F48"/>
    <w:rsid w:val="005960AE"/>
    <w:rsid w:val="005966B6"/>
    <w:rsid w:val="0059687F"/>
    <w:rsid w:val="00596FA5"/>
    <w:rsid w:val="0059719E"/>
    <w:rsid w:val="005973D9"/>
    <w:rsid w:val="0059740F"/>
    <w:rsid w:val="00597502"/>
    <w:rsid w:val="005975B1"/>
    <w:rsid w:val="005975DC"/>
    <w:rsid w:val="00597D2E"/>
    <w:rsid w:val="00597F97"/>
    <w:rsid w:val="005A0304"/>
    <w:rsid w:val="005A0433"/>
    <w:rsid w:val="005A0481"/>
    <w:rsid w:val="005A04A6"/>
    <w:rsid w:val="005A0887"/>
    <w:rsid w:val="005A09F3"/>
    <w:rsid w:val="005A107E"/>
    <w:rsid w:val="005A1132"/>
    <w:rsid w:val="005A1142"/>
    <w:rsid w:val="005A12F2"/>
    <w:rsid w:val="005A13CB"/>
    <w:rsid w:val="005A1E16"/>
    <w:rsid w:val="005A1E7C"/>
    <w:rsid w:val="005A211A"/>
    <w:rsid w:val="005A22DB"/>
    <w:rsid w:val="005A231B"/>
    <w:rsid w:val="005A23B9"/>
    <w:rsid w:val="005A23FF"/>
    <w:rsid w:val="005A2C32"/>
    <w:rsid w:val="005A2DB3"/>
    <w:rsid w:val="005A2F6B"/>
    <w:rsid w:val="005A2FF4"/>
    <w:rsid w:val="005A3112"/>
    <w:rsid w:val="005A322B"/>
    <w:rsid w:val="005A3474"/>
    <w:rsid w:val="005A36C4"/>
    <w:rsid w:val="005A383C"/>
    <w:rsid w:val="005A3AD2"/>
    <w:rsid w:val="005A3BDD"/>
    <w:rsid w:val="005A4534"/>
    <w:rsid w:val="005A4833"/>
    <w:rsid w:val="005A4C25"/>
    <w:rsid w:val="005A4F56"/>
    <w:rsid w:val="005A5431"/>
    <w:rsid w:val="005A561B"/>
    <w:rsid w:val="005A585F"/>
    <w:rsid w:val="005A5C5E"/>
    <w:rsid w:val="005A5D64"/>
    <w:rsid w:val="005A5E64"/>
    <w:rsid w:val="005A633E"/>
    <w:rsid w:val="005A65C3"/>
    <w:rsid w:val="005A68DD"/>
    <w:rsid w:val="005A69D2"/>
    <w:rsid w:val="005A6A3A"/>
    <w:rsid w:val="005A6C44"/>
    <w:rsid w:val="005A7061"/>
    <w:rsid w:val="005A740B"/>
    <w:rsid w:val="005A755A"/>
    <w:rsid w:val="005A75C5"/>
    <w:rsid w:val="005A76D2"/>
    <w:rsid w:val="005A7710"/>
    <w:rsid w:val="005A7AEE"/>
    <w:rsid w:val="005A7B3C"/>
    <w:rsid w:val="005A7E6B"/>
    <w:rsid w:val="005B0478"/>
    <w:rsid w:val="005B051F"/>
    <w:rsid w:val="005B081E"/>
    <w:rsid w:val="005B086E"/>
    <w:rsid w:val="005B08DB"/>
    <w:rsid w:val="005B0D46"/>
    <w:rsid w:val="005B10CA"/>
    <w:rsid w:val="005B1139"/>
    <w:rsid w:val="005B167B"/>
    <w:rsid w:val="005B1845"/>
    <w:rsid w:val="005B1875"/>
    <w:rsid w:val="005B1907"/>
    <w:rsid w:val="005B19A5"/>
    <w:rsid w:val="005B1D68"/>
    <w:rsid w:val="005B1D74"/>
    <w:rsid w:val="005B21E3"/>
    <w:rsid w:val="005B2303"/>
    <w:rsid w:val="005B240E"/>
    <w:rsid w:val="005B24CD"/>
    <w:rsid w:val="005B2536"/>
    <w:rsid w:val="005B25E7"/>
    <w:rsid w:val="005B2C6D"/>
    <w:rsid w:val="005B2CF3"/>
    <w:rsid w:val="005B2E84"/>
    <w:rsid w:val="005B32D4"/>
    <w:rsid w:val="005B3339"/>
    <w:rsid w:val="005B33E7"/>
    <w:rsid w:val="005B3548"/>
    <w:rsid w:val="005B377D"/>
    <w:rsid w:val="005B38F4"/>
    <w:rsid w:val="005B3971"/>
    <w:rsid w:val="005B3973"/>
    <w:rsid w:val="005B39EC"/>
    <w:rsid w:val="005B3ACA"/>
    <w:rsid w:val="005B44B9"/>
    <w:rsid w:val="005B472A"/>
    <w:rsid w:val="005B473A"/>
    <w:rsid w:val="005B4A16"/>
    <w:rsid w:val="005B4C75"/>
    <w:rsid w:val="005B4DFF"/>
    <w:rsid w:val="005B5641"/>
    <w:rsid w:val="005B5692"/>
    <w:rsid w:val="005B5A7B"/>
    <w:rsid w:val="005B5B74"/>
    <w:rsid w:val="005B5D63"/>
    <w:rsid w:val="005B6868"/>
    <w:rsid w:val="005B69F2"/>
    <w:rsid w:val="005B6F00"/>
    <w:rsid w:val="005B6F1A"/>
    <w:rsid w:val="005B70BD"/>
    <w:rsid w:val="005B721F"/>
    <w:rsid w:val="005B73A3"/>
    <w:rsid w:val="005B756A"/>
    <w:rsid w:val="005B7A4F"/>
    <w:rsid w:val="005B7D28"/>
    <w:rsid w:val="005C00A9"/>
    <w:rsid w:val="005C01BD"/>
    <w:rsid w:val="005C0267"/>
    <w:rsid w:val="005C0279"/>
    <w:rsid w:val="005C0A8E"/>
    <w:rsid w:val="005C11C0"/>
    <w:rsid w:val="005C1403"/>
    <w:rsid w:val="005C15B4"/>
    <w:rsid w:val="005C1BF4"/>
    <w:rsid w:val="005C2171"/>
    <w:rsid w:val="005C25E9"/>
    <w:rsid w:val="005C276E"/>
    <w:rsid w:val="005C29B2"/>
    <w:rsid w:val="005C2DE3"/>
    <w:rsid w:val="005C2FC6"/>
    <w:rsid w:val="005C317F"/>
    <w:rsid w:val="005C337A"/>
    <w:rsid w:val="005C3723"/>
    <w:rsid w:val="005C3841"/>
    <w:rsid w:val="005C389C"/>
    <w:rsid w:val="005C3961"/>
    <w:rsid w:val="005C3A7C"/>
    <w:rsid w:val="005C3DAC"/>
    <w:rsid w:val="005C3E34"/>
    <w:rsid w:val="005C3F07"/>
    <w:rsid w:val="005C3F70"/>
    <w:rsid w:val="005C40A9"/>
    <w:rsid w:val="005C4539"/>
    <w:rsid w:val="005C4769"/>
    <w:rsid w:val="005C47A0"/>
    <w:rsid w:val="005C48C9"/>
    <w:rsid w:val="005C48F7"/>
    <w:rsid w:val="005C4923"/>
    <w:rsid w:val="005C4BF7"/>
    <w:rsid w:val="005C4C75"/>
    <w:rsid w:val="005C4D9A"/>
    <w:rsid w:val="005C503E"/>
    <w:rsid w:val="005C506C"/>
    <w:rsid w:val="005C50C8"/>
    <w:rsid w:val="005C5394"/>
    <w:rsid w:val="005C54EE"/>
    <w:rsid w:val="005C55BB"/>
    <w:rsid w:val="005C56BD"/>
    <w:rsid w:val="005C5B06"/>
    <w:rsid w:val="005C5F0D"/>
    <w:rsid w:val="005C5FE1"/>
    <w:rsid w:val="005C628F"/>
    <w:rsid w:val="005C6324"/>
    <w:rsid w:val="005C632C"/>
    <w:rsid w:val="005C65FE"/>
    <w:rsid w:val="005C66F2"/>
    <w:rsid w:val="005C6831"/>
    <w:rsid w:val="005C684F"/>
    <w:rsid w:val="005C6CB6"/>
    <w:rsid w:val="005C6E46"/>
    <w:rsid w:val="005C7255"/>
    <w:rsid w:val="005C7581"/>
    <w:rsid w:val="005C774D"/>
    <w:rsid w:val="005C7A59"/>
    <w:rsid w:val="005D0940"/>
    <w:rsid w:val="005D0969"/>
    <w:rsid w:val="005D0C24"/>
    <w:rsid w:val="005D0DD2"/>
    <w:rsid w:val="005D102F"/>
    <w:rsid w:val="005D12B6"/>
    <w:rsid w:val="005D15EE"/>
    <w:rsid w:val="005D1735"/>
    <w:rsid w:val="005D1797"/>
    <w:rsid w:val="005D18EA"/>
    <w:rsid w:val="005D1A6E"/>
    <w:rsid w:val="005D1F1F"/>
    <w:rsid w:val="005D25AC"/>
    <w:rsid w:val="005D2AEF"/>
    <w:rsid w:val="005D2DE0"/>
    <w:rsid w:val="005D2FC4"/>
    <w:rsid w:val="005D31AA"/>
    <w:rsid w:val="005D3D35"/>
    <w:rsid w:val="005D3D9A"/>
    <w:rsid w:val="005D3FF1"/>
    <w:rsid w:val="005D4229"/>
    <w:rsid w:val="005D4630"/>
    <w:rsid w:val="005D469C"/>
    <w:rsid w:val="005D4753"/>
    <w:rsid w:val="005D512A"/>
    <w:rsid w:val="005D542A"/>
    <w:rsid w:val="005D5A01"/>
    <w:rsid w:val="005D5E9B"/>
    <w:rsid w:val="005D6053"/>
    <w:rsid w:val="005D6359"/>
    <w:rsid w:val="005D6502"/>
    <w:rsid w:val="005D6AD7"/>
    <w:rsid w:val="005D6E57"/>
    <w:rsid w:val="005D739E"/>
    <w:rsid w:val="005D74CF"/>
    <w:rsid w:val="005D7728"/>
    <w:rsid w:val="005D7927"/>
    <w:rsid w:val="005D7972"/>
    <w:rsid w:val="005E0097"/>
    <w:rsid w:val="005E0199"/>
    <w:rsid w:val="005E0507"/>
    <w:rsid w:val="005E0570"/>
    <w:rsid w:val="005E0E6A"/>
    <w:rsid w:val="005E10AD"/>
    <w:rsid w:val="005E1BC3"/>
    <w:rsid w:val="005E2104"/>
    <w:rsid w:val="005E211F"/>
    <w:rsid w:val="005E213A"/>
    <w:rsid w:val="005E2303"/>
    <w:rsid w:val="005E23F2"/>
    <w:rsid w:val="005E2412"/>
    <w:rsid w:val="005E24BD"/>
    <w:rsid w:val="005E2F8E"/>
    <w:rsid w:val="005E2FCC"/>
    <w:rsid w:val="005E308B"/>
    <w:rsid w:val="005E3202"/>
    <w:rsid w:val="005E3439"/>
    <w:rsid w:val="005E3444"/>
    <w:rsid w:val="005E34A0"/>
    <w:rsid w:val="005E366F"/>
    <w:rsid w:val="005E4196"/>
    <w:rsid w:val="005E42D8"/>
    <w:rsid w:val="005E4389"/>
    <w:rsid w:val="005E44FD"/>
    <w:rsid w:val="005E4575"/>
    <w:rsid w:val="005E4A27"/>
    <w:rsid w:val="005E4D42"/>
    <w:rsid w:val="005E4E43"/>
    <w:rsid w:val="005E5780"/>
    <w:rsid w:val="005E5826"/>
    <w:rsid w:val="005E5C6C"/>
    <w:rsid w:val="005E5D79"/>
    <w:rsid w:val="005E5D7E"/>
    <w:rsid w:val="005E68F9"/>
    <w:rsid w:val="005E7024"/>
    <w:rsid w:val="005E70B2"/>
    <w:rsid w:val="005E76AB"/>
    <w:rsid w:val="005E76EB"/>
    <w:rsid w:val="005E7853"/>
    <w:rsid w:val="005E7BFB"/>
    <w:rsid w:val="005E7D1E"/>
    <w:rsid w:val="005E7DFD"/>
    <w:rsid w:val="005E7FA5"/>
    <w:rsid w:val="005F01C8"/>
    <w:rsid w:val="005F034D"/>
    <w:rsid w:val="005F06EA"/>
    <w:rsid w:val="005F0824"/>
    <w:rsid w:val="005F0E50"/>
    <w:rsid w:val="005F1085"/>
    <w:rsid w:val="005F1400"/>
    <w:rsid w:val="005F1687"/>
    <w:rsid w:val="005F182D"/>
    <w:rsid w:val="005F1C11"/>
    <w:rsid w:val="005F203E"/>
    <w:rsid w:val="005F21B7"/>
    <w:rsid w:val="005F223F"/>
    <w:rsid w:val="005F2556"/>
    <w:rsid w:val="005F260C"/>
    <w:rsid w:val="005F2798"/>
    <w:rsid w:val="005F298F"/>
    <w:rsid w:val="005F2B75"/>
    <w:rsid w:val="005F2BBC"/>
    <w:rsid w:val="005F2E73"/>
    <w:rsid w:val="005F30A1"/>
    <w:rsid w:val="005F359D"/>
    <w:rsid w:val="005F3A0E"/>
    <w:rsid w:val="005F3B52"/>
    <w:rsid w:val="005F3D01"/>
    <w:rsid w:val="005F3F13"/>
    <w:rsid w:val="005F410C"/>
    <w:rsid w:val="005F4133"/>
    <w:rsid w:val="005F493B"/>
    <w:rsid w:val="005F4D11"/>
    <w:rsid w:val="005F4E6B"/>
    <w:rsid w:val="005F524E"/>
    <w:rsid w:val="005F5835"/>
    <w:rsid w:val="005F5B3A"/>
    <w:rsid w:val="005F5CD1"/>
    <w:rsid w:val="005F5D4A"/>
    <w:rsid w:val="005F5FE7"/>
    <w:rsid w:val="005F61D0"/>
    <w:rsid w:val="005F61EB"/>
    <w:rsid w:val="005F6309"/>
    <w:rsid w:val="005F686E"/>
    <w:rsid w:val="005F68C9"/>
    <w:rsid w:val="005F6CC3"/>
    <w:rsid w:val="005F74F9"/>
    <w:rsid w:val="005F754D"/>
    <w:rsid w:val="005F7814"/>
    <w:rsid w:val="005F7932"/>
    <w:rsid w:val="006001D7"/>
    <w:rsid w:val="00600340"/>
    <w:rsid w:val="006003C8"/>
    <w:rsid w:val="006004EE"/>
    <w:rsid w:val="00600759"/>
    <w:rsid w:val="0060075D"/>
    <w:rsid w:val="006007D7"/>
    <w:rsid w:val="00600808"/>
    <w:rsid w:val="00600DCF"/>
    <w:rsid w:val="00600E00"/>
    <w:rsid w:val="006012ED"/>
    <w:rsid w:val="00601755"/>
    <w:rsid w:val="0060188A"/>
    <w:rsid w:val="00601D2C"/>
    <w:rsid w:val="00601D56"/>
    <w:rsid w:val="00601D90"/>
    <w:rsid w:val="006021FA"/>
    <w:rsid w:val="00602317"/>
    <w:rsid w:val="006026FE"/>
    <w:rsid w:val="0060345F"/>
    <w:rsid w:val="006035FD"/>
    <w:rsid w:val="00603E16"/>
    <w:rsid w:val="00603E20"/>
    <w:rsid w:val="00603E9C"/>
    <w:rsid w:val="006040F4"/>
    <w:rsid w:val="0060448B"/>
    <w:rsid w:val="006044E5"/>
    <w:rsid w:val="006045B9"/>
    <w:rsid w:val="00604627"/>
    <w:rsid w:val="006046AE"/>
    <w:rsid w:val="00604969"/>
    <w:rsid w:val="006049E2"/>
    <w:rsid w:val="00604B14"/>
    <w:rsid w:val="00605360"/>
    <w:rsid w:val="006053BB"/>
    <w:rsid w:val="006053C8"/>
    <w:rsid w:val="0060560D"/>
    <w:rsid w:val="00605620"/>
    <w:rsid w:val="006056B3"/>
    <w:rsid w:val="00605955"/>
    <w:rsid w:val="006059B3"/>
    <w:rsid w:val="00605A55"/>
    <w:rsid w:val="00605C8F"/>
    <w:rsid w:val="0060602C"/>
    <w:rsid w:val="00606048"/>
    <w:rsid w:val="0060637A"/>
    <w:rsid w:val="00606591"/>
    <w:rsid w:val="0060667B"/>
    <w:rsid w:val="00610081"/>
    <w:rsid w:val="006100D1"/>
    <w:rsid w:val="006104E6"/>
    <w:rsid w:val="0061067E"/>
    <w:rsid w:val="006109FA"/>
    <w:rsid w:val="00610A48"/>
    <w:rsid w:val="00610B0F"/>
    <w:rsid w:val="00610D51"/>
    <w:rsid w:val="006114CA"/>
    <w:rsid w:val="00611578"/>
    <w:rsid w:val="0061184F"/>
    <w:rsid w:val="00611A34"/>
    <w:rsid w:val="00611B77"/>
    <w:rsid w:val="00611CCB"/>
    <w:rsid w:val="00611F91"/>
    <w:rsid w:val="006124FC"/>
    <w:rsid w:val="006126CE"/>
    <w:rsid w:val="00612825"/>
    <w:rsid w:val="00612849"/>
    <w:rsid w:val="006130F3"/>
    <w:rsid w:val="00613138"/>
    <w:rsid w:val="006138F7"/>
    <w:rsid w:val="0061398F"/>
    <w:rsid w:val="006141C7"/>
    <w:rsid w:val="00614211"/>
    <w:rsid w:val="00614274"/>
    <w:rsid w:val="0061427D"/>
    <w:rsid w:val="00614460"/>
    <w:rsid w:val="00614DFA"/>
    <w:rsid w:val="0061513C"/>
    <w:rsid w:val="006152DA"/>
    <w:rsid w:val="00615480"/>
    <w:rsid w:val="006155F0"/>
    <w:rsid w:val="00615660"/>
    <w:rsid w:val="006157D2"/>
    <w:rsid w:val="00615C29"/>
    <w:rsid w:val="0061625B"/>
    <w:rsid w:val="006164D0"/>
    <w:rsid w:val="00616727"/>
    <w:rsid w:val="00616C6A"/>
    <w:rsid w:val="00616D57"/>
    <w:rsid w:val="0061764A"/>
    <w:rsid w:val="00617CB1"/>
    <w:rsid w:val="0062005B"/>
    <w:rsid w:val="006201D6"/>
    <w:rsid w:val="00620387"/>
    <w:rsid w:val="00620B91"/>
    <w:rsid w:val="006217D2"/>
    <w:rsid w:val="00621B89"/>
    <w:rsid w:val="00621E58"/>
    <w:rsid w:val="00621F53"/>
    <w:rsid w:val="00621F87"/>
    <w:rsid w:val="00622158"/>
    <w:rsid w:val="00622612"/>
    <w:rsid w:val="00622AA5"/>
    <w:rsid w:val="00622ABA"/>
    <w:rsid w:val="00622B4B"/>
    <w:rsid w:val="00622B61"/>
    <w:rsid w:val="006230BC"/>
    <w:rsid w:val="006234EE"/>
    <w:rsid w:val="00623810"/>
    <w:rsid w:val="00623998"/>
    <w:rsid w:val="00623A0E"/>
    <w:rsid w:val="0062416F"/>
    <w:rsid w:val="00624196"/>
    <w:rsid w:val="0062423A"/>
    <w:rsid w:val="006247FC"/>
    <w:rsid w:val="00624AA4"/>
    <w:rsid w:val="00624ABD"/>
    <w:rsid w:val="00624F41"/>
    <w:rsid w:val="0062511C"/>
    <w:rsid w:val="0062529B"/>
    <w:rsid w:val="00625766"/>
    <w:rsid w:val="006257DB"/>
    <w:rsid w:val="006260A9"/>
    <w:rsid w:val="0062649F"/>
    <w:rsid w:val="006265C6"/>
    <w:rsid w:val="00626641"/>
    <w:rsid w:val="006268D1"/>
    <w:rsid w:val="00627180"/>
    <w:rsid w:val="0062721E"/>
    <w:rsid w:val="0062730D"/>
    <w:rsid w:val="0062741C"/>
    <w:rsid w:val="0062749B"/>
    <w:rsid w:val="00627500"/>
    <w:rsid w:val="006275CC"/>
    <w:rsid w:val="006277E4"/>
    <w:rsid w:val="0062781E"/>
    <w:rsid w:val="00627D42"/>
    <w:rsid w:val="00627F4F"/>
    <w:rsid w:val="00630152"/>
    <w:rsid w:val="006301B0"/>
    <w:rsid w:val="00630562"/>
    <w:rsid w:val="006306D7"/>
    <w:rsid w:val="00630836"/>
    <w:rsid w:val="00630A2A"/>
    <w:rsid w:val="00630BD9"/>
    <w:rsid w:val="00630F0E"/>
    <w:rsid w:val="006310F1"/>
    <w:rsid w:val="0063150C"/>
    <w:rsid w:val="006316DE"/>
    <w:rsid w:val="006319D3"/>
    <w:rsid w:val="00631C53"/>
    <w:rsid w:val="00631C71"/>
    <w:rsid w:val="00631CF8"/>
    <w:rsid w:val="00631FBF"/>
    <w:rsid w:val="00632031"/>
    <w:rsid w:val="00632166"/>
    <w:rsid w:val="00632A2A"/>
    <w:rsid w:val="00632BB4"/>
    <w:rsid w:val="00632EB8"/>
    <w:rsid w:val="006334FC"/>
    <w:rsid w:val="00633536"/>
    <w:rsid w:val="00633637"/>
    <w:rsid w:val="00633720"/>
    <w:rsid w:val="0063375A"/>
    <w:rsid w:val="00633968"/>
    <w:rsid w:val="00633B78"/>
    <w:rsid w:val="00633C01"/>
    <w:rsid w:val="00633FED"/>
    <w:rsid w:val="00634199"/>
    <w:rsid w:val="00634AD7"/>
    <w:rsid w:val="006350A5"/>
    <w:rsid w:val="00635772"/>
    <w:rsid w:val="006363B5"/>
    <w:rsid w:val="00636735"/>
    <w:rsid w:val="0063691F"/>
    <w:rsid w:val="0063748A"/>
    <w:rsid w:val="00637A13"/>
    <w:rsid w:val="00637A2F"/>
    <w:rsid w:val="00637ACB"/>
    <w:rsid w:val="00637D47"/>
    <w:rsid w:val="006405DF"/>
    <w:rsid w:val="006408DB"/>
    <w:rsid w:val="00640928"/>
    <w:rsid w:val="006410F9"/>
    <w:rsid w:val="0064167A"/>
    <w:rsid w:val="006416E2"/>
    <w:rsid w:val="00641BD8"/>
    <w:rsid w:val="00641CE5"/>
    <w:rsid w:val="00641EAC"/>
    <w:rsid w:val="0064234A"/>
    <w:rsid w:val="006424E8"/>
    <w:rsid w:val="006426BB"/>
    <w:rsid w:val="006426FF"/>
    <w:rsid w:val="00642A05"/>
    <w:rsid w:val="006433FD"/>
    <w:rsid w:val="00643C9E"/>
    <w:rsid w:val="00643F65"/>
    <w:rsid w:val="00644979"/>
    <w:rsid w:val="006449EB"/>
    <w:rsid w:val="00644AF3"/>
    <w:rsid w:val="00644B49"/>
    <w:rsid w:val="00644BC4"/>
    <w:rsid w:val="006456F6"/>
    <w:rsid w:val="006457F9"/>
    <w:rsid w:val="00645894"/>
    <w:rsid w:val="0064589E"/>
    <w:rsid w:val="0064646A"/>
    <w:rsid w:val="006464EF"/>
    <w:rsid w:val="00646792"/>
    <w:rsid w:val="00646A67"/>
    <w:rsid w:val="00646B40"/>
    <w:rsid w:val="006474DE"/>
    <w:rsid w:val="006477AE"/>
    <w:rsid w:val="00647EE0"/>
    <w:rsid w:val="006502DA"/>
    <w:rsid w:val="00650340"/>
    <w:rsid w:val="006504C0"/>
    <w:rsid w:val="00650950"/>
    <w:rsid w:val="006509C9"/>
    <w:rsid w:val="00650A0E"/>
    <w:rsid w:val="00650B20"/>
    <w:rsid w:val="00650DAB"/>
    <w:rsid w:val="00650F43"/>
    <w:rsid w:val="0065143B"/>
    <w:rsid w:val="006514D2"/>
    <w:rsid w:val="00651870"/>
    <w:rsid w:val="00651B97"/>
    <w:rsid w:val="00652106"/>
    <w:rsid w:val="00652422"/>
    <w:rsid w:val="0065258E"/>
    <w:rsid w:val="006526D7"/>
    <w:rsid w:val="006527F4"/>
    <w:rsid w:val="006528C4"/>
    <w:rsid w:val="00652A50"/>
    <w:rsid w:val="00652E9E"/>
    <w:rsid w:val="006535AA"/>
    <w:rsid w:val="00653642"/>
    <w:rsid w:val="00653834"/>
    <w:rsid w:val="0065387A"/>
    <w:rsid w:val="006538DC"/>
    <w:rsid w:val="00653B6F"/>
    <w:rsid w:val="00653E41"/>
    <w:rsid w:val="00654096"/>
    <w:rsid w:val="006541CA"/>
    <w:rsid w:val="0065488E"/>
    <w:rsid w:val="006548C1"/>
    <w:rsid w:val="00654955"/>
    <w:rsid w:val="006549B0"/>
    <w:rsid w:val="00654A25"/>
    <w:rsid w:val="0065512A"/>
    <w:rsid w:val="006556F9"/>
    <w:rsid w:val="00655AEB"/>
    <w:rsid w:val="00655D5A"/>
    <w:rsid w:val="006563D0"/>
    <w:rsid w:val="00656A78"/>
    <w:rsid w:val="00656B0D"/>
    <w:rsid w:val="00656B13"/>
    <w:rsid w:val="00656B20"/>
    <w:rsid w:val="00656D5F"/>
    <w:rsid w:val="00656F45"/>
    <w:rsid w:val="00657332"/>
    <w:rsid w:val="0065785F"/>
    <w:rsid w:val="00657960"/>
    <w:rsid w:val="00660160"/>
    <w:rsid w:val="00660948"/>
    <w:rsid w:val="00660C44"/>
    <w:rsid w:val="0066112F"/>
    <w:rsid w:val="00661380"/>
    <w:rsid w:val="00661907"/>
    <w:rsid w:val="0066192D"/>
    <w:rsid w:val="00661F49"/>
    <w:rsid w:val="006620AB"/>
    <w:rsid w:val="006621C2"/>
    <w:rsid w:val="00662418"/>
    <w:rsid w:val="006625DD"/>
    <w:rsid w:val="006628F8"/>
    <w:rsid w:val="00662AB0"/>
    <w:rsid w:val="00662AD5"/>
    <w:rsid w:val="00662B5C"/>
    <w:rsid w:val="00662B71"/>
    <w:rsid w:val="00662E7C"/>
    <w:rsid w:val="00662EC7"/>
    <w:rsid w:val="006639A0"/>
    <w:rsid w:val="00663A68"/>
    <w:rsid w:val="00664321"/>
    <w:rsid w:val="006645C2"/>
    <w:rsid w:val="006649E1"/>
    <w:rsid w:val="00665071"/>
    <w:rsid w:val="00665826"/>
    <w:rsid w:val="0066587A"/>
    <w:rsid w:val="00665D15"/>
    <w:rsid w:val="00666045"/>
    <w:rsid w:val="006668F0"/>
    <w:rsid w:val="00666B29"/>
    <w:rsid w:val="00666C4E"/>
    <w:rsid w:val="00666E6D"/>
    <w:rsid w:val="00667098"/>
    <w:rsid w:val="0066720A"/>
    <w:rsid w:val="00667871"/>
    <w:rsid w:val="00670009"/>
    <w:rsid w:val="006701C3"/>
    <w:rsid w:val="00670337"/>
    <w:rsid w:val="006704A0"/>
    <w:rsid w:val="00670608"/>
    <w:rsid w:val="00670705"/>
    <w:rsid w:val="006708D0"/>
    <w:rsid w:val="00670A04"/>
    <w:rsid w:val="00671112"/>
    <w:rsid w:val="006712BD"/>
    <w:rsid w:val="0067144F"/>
    <w:rsid w:val="00671EA0"/>
    <w:rsid w:val="00671EA2"/>
    <w:rsid w:val="00672111"/>
    <w:rsid w:val="006725B4"/>
    <w:rsid w:val="006729F0"/>
    <w:rsid w:val="00672A51"/>
    <w:rsid w:val="00672A9F"/>
    <w:rsid w:val="00672DDE"/>
    <w:rsid w:val="00672E0C"/>
    <w:rsid w:val="0067345F"/>
    <w:rsid w:val="0067352C"/>
    <w:rsid w:val="0067353C"/>
    <w:rsid w:val="006735C8"/>
    <w:rsid w:val="006737BF"/>
    <w:rsid w:val="0067380C"/>
    <w:rsid w:val="00673D1A"/>
    <w:rsid w:val="00673E8A"/>
    <w:rsid w:val="00674435"/>
    <w:rsid w:val="006747A5"/>
    <w:rsid w:val="00674822"/>
    <w:rsid w:val="0067493B"/>
    <w:rsid w:val="0067494A"/>
    <w:rsid w:val="00674A92"/>
    <w:rsid w:val="00674EC8"/>
    <w:rsid w:val="00675BD5"/>
    <w:rsid w:val="00675D01"/>
    <w:rsid w:val="00676029"/>
    <w:rsid w:val="006765D0"/>
    <w:rsid w:val="0067660F"/>
    <w:rsid w:val="00676B9D"/>
    <w:rsid w:val="00676EBB"/>
    <w:rsid w:val="00676F07"/>
    <w:rsid w:val="00677097"/>
    <w:rsid w:val="00677200"/>
    <w:rsid w:val="00677395"/>
    <w:rsid w:val="006776C9"/>
    <w:rsid w:val="00677C32"/>
    <w:rsid w:val="00677CB4"/>
    <w:rsid w:val="00680099"/>
    <w:rsid w:val="00680239"/>
    <w:rsid w:val="00680706"/>
    <w:rsid w:val="00680C4E"/>
    <w:rsid w:val="00680E58"/>
    <w:rsid w:val="006810E3"/>
    <w:rsid w:val="00681415"/>
    <w:rsid w:val="006816E1"/>
    <w:rsid w:val="00681D2A"/>
    <w:rsid w:val="00681D2B"/>
    <w:rsid w:val="00682176"/>
    <w:rsid w:val="006821F3"/>
    <w:rsid w:val="00682416"/>
    <w:rsid w:val="006824EE"/>
    <w:rsid w:val="00682857"/>
    <w:rsid w:val="00682872"/>
    <w:rsid w:val="006829C5"/>
    <w:rsid w:val="00682A22"/>
    <w:rsid w:val="00682AB8"/>
    <w:rsid w:val="00682B2A"/>
    <w:rsid w:val="00683057"/>
    <w:rsid w:val="00683A35"/>
    <w:rsid w:val="00683E06"/>
    <w:rsid w:val="00683F65"/>
    <w:rsid w:val="00684035"/>
    <w:rsid w:val="006841DE"/>
    <w:rsid w:val="00684326"/>
    <w:rsid w:val="00684577"/>
    <w:rsid w:val="0068461A"/>
    <w:rsid w:val="00684670"/>
    <w:rsid w:val="00684B44"/>
    <w:rsid w:val="00684E3B"/>
    <w:rsid w:val="0068521D"/>
    <w:rsid w:val="00685251"/>
    <w:rsid w:val="00685367"/>
    <w:rsid w:val="006853AA"/>
    <w:rsid w:val="00685473"/>
    <w:rsid w:val="0068562A"/>
    <w:rsid w:val="00685798"/>
    <w:rsid w:val="00685A62"/>
    <w:rsid w:val="00685C84"/>
    <w:rsid w:val="00685ECD"/>
    <w:rsid w:val="00685F66"/>
    <w:rsid w:val="00685F8C"/>
    <w:rsid w:val="00685FF6"/>
    <w:rsid w:val="006860CD"/>
    <w:rsid w:val="00686147"/>
    <w:rsid w:val="00686291"/>
    <w:rsid w:val="006867C7"/>
    <w:rsid w:val="0068691E"/>
    <w:rsid w:val="00686B69"/>
    <w:rsid w:val="006870CA"/>
    <w:rsid w:val="006874F7"/>
    <w:rsid w:val="00687689"/>
    <w:rsid w:val="006876CE"/>
    <w:rsid w:val="00687CC5"/>
    <w:rsid w:val="00687F5E"/>
    <w:rsid w:val="00688967"/>
    <w:rsid w:val="006901CF"/>
    <w:rsid w:val="0069026A"/>
    <w:rsid w:val="006902D9"/>
    <w:rsid w:val="00690323"/>
    <w:rsid w:val="00690426"/>
    <w:rsid w:val="006907DE"/>
    <w:rsid w:val="0069091C"/>
    <w:rsid w:val="006909F8"/>
    <w:rsid w:val="00690E2D"/>
    <w:rsid w:val="00690EEB"/>
    <w:rsid w:val="00690F9A"/>
    <w:rsid w:val="006916E7"/>
    <w:rsid w:val="00692150"/>
    <w:rsid w:val="006921BB"/>
    <w:rsid w:val="006924F6"/>
    <w:rsid w:val="00692A83"/>
    <w:rsid w:val="00692B09"/>
    <w:rsid w:val="00693B9C"/>
    <w:rsid w:val="00693DF9"/>
    <w:rsid w:val="00693FC1"/>
    <w:rsid w:val="00693FD9"/>
    <w:rsid w:val="006942DD"/>
    <w:rsid w:val="00694328"/>
    <w:rsid w:val="006946E1"/>
    <w:rsid w:val="006948D1"/>
    <w:rsid w:val="00694EED"/>
    <w:rsid w:val="0069520A"/>
    <w:rsid w:val="0069531D"/>
    <w:rsid w:val="006953EF"/>
    <w:rsid w:val="006957EA"/>
    <w:rsid w:val="0069580F"/>
    <w:rsid w:val="00695BAD"/>
    <w:rsid w:val="00695D28"/>
    <w:rsid w:val="00695F7A"/>
    <w:rsid w:val="006963ED"/>
    <w:rsid w:val="00696684"/>
    <w:rsid w:val="006966BD"/>
    <w:rsid w:val="00696A76"/>
    <w:rsid w:val="00696ACB"/>
    <w:rsid w:val="00697424"/>
    <w:rsid w:val="00697559"/>
    <w:rsid w:val="006975E1"/>
    <w:rsid w:val="0069796F"/>
    <w:rsid w:val="00697A8F"/>
    <w:rsid w:val="00697F66"/>
    <w:rsid w:val="00697F77"/>
    <w:rsid w:val="006A008C"/>
    <w:rsid w:val="006A0603"/>
    <w:rsid w:val="006A0B99"/>
    <w:rsid w:val="006A12A1"/>
    <w:rsid w:val="006A1461"/>
    <w:rsid w:val="006A1C53"/>
    <w:rsid w:val="006A2134"/>
    <w:rsid w:val="006A23CD"/>
    <w:rsid w:val="006A277D"/>
    <w:rsid w:val="006A2C15"/>
    <w:rsid w:val="006A2E76"/>
    <w:rsid w:val="006A3084"/>
    <w:rsid w:val="006A371A"/>
    <w:rsid w:val="006A3773"/>
    <w:rsid w:val="006A39FB"/>
    <w:rsid w:val="006A3B3A"/>
    <w:rsid w:val="006A4091"/>
    <w:rsid w:val="006A40B0"/>
    <w:rsid w:val="006A40B6"/>
    <w:rsid w:val="006A4F92"/>
    <w:rsid w:val="006A5118"/>
    <w:rsid w:val="006A52B7"/>
    <w:rsid w:val="006A5347"/>
    <w:rsid w:val="006A5F41"/>
    <w:rsid w:val="006A69B9"/>
    <w:rsid w:val="006A6BA4"/>
    <w:rsid w:val="006A6E04"/>
    <w:rsid w:val="006A6EE6"/>
    <w:rsid w:val="006A7112"/>
    <w:rsid w:val="006A7370"/>
    <w:rsid w:val="006A77A0"/>
    <w:rsid w:val="006A796F"/>
    <w:rsid w:val="006A7B90"/>
    <w:rsid w:val="006B00AE"/>
    <w:rsid w:val="006B02FA"/>
    <w:rsid w:val="006B03FA"/>
    <w:rsid w:val="006B055E"/>
    <w:rsid w:val="006B0A81"/>
    <w:rsid w:val="006B1146"/>
    <w:rsid w:val="006B1297"/>
    <w:rsid w:val="006B1490"/>
    <w:rsid w:val="006B14B1"/>
    <w:rsid w:val="006B1521"/>
    <w:rsid w:val="006B16D1"/>
    <w:rsid w:val="006B17CF"/>
    <w:rsid w:val="006B1C19"/>
    <w:rsid w:val="006B1DA3"/>
    <w:rsid w:val="006B1F21"/>
    <w:rsid w:val="006B2365"/>
    <w:rsid w:val="006B28BD"/>
    <w:rsid w:val="006B2F47"/>
    <w:rsid w:val="006B3930"/>
    <w:rsid w:val="006B397C"/>
    <w:rsid w:val="006B3E04"/>
    <w:rsid w:val="006B3FB4"/>
    <w:rsid w:val="006B4185"/>
    <w:rsid w:val="006B43FE"/>
    <w:rsid w:val="006B471B"/>
    <w:rsid w:val="006B494B"/>
    <w:rsid w:val="006B4A6A"/>
    <w:rsid w:val="006B4A74"/>
    <w:rsid w:val="006B4B03"/>
    <w:rsid w:val="006B4D3A"/>
    <w:rsid w:val="006B52FE"/>
    <w:rsid w:val="006B5748"/>
    <w:rsid w:val="006B5996"/>
    <w:rsid w:val="006B600E"/>
    <w:rsid w:val="006B6145"/>
    <w:rsid w:val="006B63F7"/>
    <w:rsid w:val="006B67C4"/>
    <w:rsid w:val="006B6D89"/>
    <w:rsid w:val="006B6F70"/>
    <w:rsid w:val="006B723C"/>
    <w:rsid w:val="006B7380"/>
    <w:rsid w:val="006B740F"/>
    <w:rsid w:val="006B75BA"/>
    <w:rsid w:val="006B76C6"/>
    <w:rsid w:val="006B7BF8"/>
    <w:rsid w:val="006B7EF3"/>
    <w:rsid w:val="006B7FDC"/>
    <w:rsid w:val="006C042C"/>
    <w:rsid w:val="006C06E4"/>
    <w:rsid w:val="006C093B"/>
    <w:rsid w:val="006C0C60"/>
    <w:rsid w:val="006C0ED6"/>
    <w:rsid w:val="006C1102"/>
    <w:rsid w:val="006C128A"/>
    <w:rsid w:val="006C13F4"/>
    <w:rsid w:val="006C1708"/>
    <w:rsid w:val="006C1812"/>
    <w:rsid w:val="006C1F2E"/>
    <w:rsid w:val="006C20A7"/>
    <w:rsid w:val="006C236B"/>
    <w:rsid w:val="006C26F7"/>
    <w:rsid w:val="006C2B09"/>
    <w:rsid w:val="006C2B57"/>
    <w:rsid w:val="006C2C37"/>
    <w:rsid w:val="006C2ECA"/>
    <w:rsid w:val="006C2F68"/>
    <w:rsid w:val="006C33CC"/>
    <w:rsid w:val="006C3438"/>
    <w:rsid w:val="006C35E6"/>
    <w:rsid w:val="006C36A9"/>
    <w:rsid w:val="006C3832"/>
    <w:rsid w:val="006C41B6"/>
    <w:rsid w:val="006C4686"/>
    <w:rsid w:val="006C473D"/>
    <w:rsid w:val="006C4783"/>
    <w:rsid w:val="006C49F8"/>
    <w:rsid w:val="006C51E5"/>
    <w:rsid w:val="006C57E0"/>
    <w:rsid w:val="006C5831"/>
    <w:rsid w:val="006C5B2E"/>
    <w:rsid w:val="006C5DE9"/>
    <w:rsid w:val="006C5ED5"/>
    <w:rsid w:val="006C6655"/>
    <w:rsid w:val="006C6FCE"/>
    <w:rsid w:val="006C716F"/>
    <w:rsid w:val="006C71DE"/>
    <w:rsid w:val="006C7222"/>
    <w:rsid w:val="006C733B"/>
    <w:rsid w:val="006C7374"/>
    <w:rsid w:val="006C759E"/>
    <w:rsid w:val="006C7758"/>
    <w:rsid w:val="006C7CEE"/>
    <w:rsid w:val="006D06BD"/>
    <w:rsid w:val="006D08C9"/>
    <w:rsid w:val="006D0DD5"/>
    <w:rsid w:val="006D126E"/>
    <w:rsid w:val="006D12F2"/>
    <w:rsid w:val="006D14CE"/>
    <w:rsid w:val="006D24BA"/>
    <w:rsid w:val="006D24C1"/>
    <w:rsid w:val="006D259C"/>
    <w:rsid w:val="006D2AEB"/>
    <w:rsid w:val="006D2C4D"/>
    <w:rsid w:val="006D2DAA"/>
    <w:rsid w:val="006D2F8A"/>
    <w:rsid w:val="006D3276"/>
    <w:rsid w:val="006D32CE"/>
    <w:rsid w:val="006D3354"/>
    <w:rsid w:val="006D3388"/>
    <w:rsid w:val="006D3716"/>
    <w:rsid w:val="006D374B"/>
    <w:rsid w:val="006D3A01"/>
    <w:rsid w:val="006D4051"/>
    <w:rsid w:val="006D4CF8"/>
    <w:rsid w:val="006D4E00"/>
    <w:rsid w:val="006D5336"/>
    <w:rsid w:val="006D534D"/>
    <w:rsid w:val="006D54D2"/>
    <w:rsid w:val="006D54F7"/>
    <w:rsid w:val="006D5661"/>
    <w:rsid w:val="006D5C09"/>
    <w:rsid w:val="006D5CCF"/>
    <w:rsid w:val="006D5CE0"/>
    <w:rsid w:val="006D5F47"/>
    <w:rsid w:val="006D617E"/>
    <w:rsid w:val="006D6CA2"/>
    <w:rsid w:val="006D6FBE"/>
    <w:rsid w:val="006D7007"/>
    <w:rsid w:val="006D73CF"/>
    <w:rsid w:val="006D7447"/>
    <w:rsid w:val="006D78D6"/>
    <w:rsid w:val="006D796C"/>
    <w:rsid w:val="006D7EB8"/>
    <w:rsid w:val="006E013B"/>
    <w:rsid w:val="006E0268"/>
    <w:rsid w:val="006E0476"/>
    <w:rsid w:val="006E0CBA"/>
    <w:rsid w:val="006E0DD6"/>
    <w:rsid w:val="006E0E3F"/>
    <w:rsid w:val="006E0EDF"/>
    <w:rsid w:val="006E1473"/>
    <w:rsid w:val="006E14CD"/>
    <w:rsid w:val="006E14FC"/>
    <w:rsid w:val="006E1A0F"/>
    <w:rsid w:val="006E1D40"/>
    <w:rsid w:val="006E2E9C"/>
    <w:rsid w:val="006E31BB"/>
    <w:rsid w:val="006E32F0"/>
    <w:rsid w:val="006E3B1B"/>
    <w:rsid w:val="006E3B33"/>
    <w:rsid w:val="006E3D6C"/>
    <w:rsid w:val="006E3F0B"/>
    <w:rsid w:val="006E4090"/>
    <w:rsid w:val="006E41F0"/>
    <w:rsid w:val="006E42B1"/>
    <w:rsid w:val="006E4421"/>
    <w:rsid w:val="006E4533"/>
    <w:rsid w:val="006E47E0"/>
    <w:rsid w:val="006E49CB"/>
    <w:rsid w:val="006E4CC7"/>
    <w:rsid w:val="006E4FB3"/>
    <w:rsid w:val="006E5099"/>
    <w:rsid w:val="006E5119"/>
    <w:rsid w:val="006E5270"/>
    <w:rsid w:val="006E589F"/>
    <w:rsid w:val="006E5D58"/>
    <w:rsid w:val="006E638F"/>
    <w:rsid w:val="006E6679"/>
    <w:rsid w:val="006E677C"/>
    <w:rsid w:val="006E6D24"/>
    <w:rsid w:val="006E6ED0"/>
    <w:rsid w:val="006E70FD"/>
    <w:rsid w:val="006E77F6"/>
    <w:rsid w:val="006E7836"/>
    <w:rsid w:val="006E7E41"/>
    <w:rsid w:val="006F0273"/>
    <w:rsid w:val="006F02BC"/>
    <w:rsid w:val="006F03EF"/>
    <w:rsid w:val="006F05F3"/>
    <w:rsid w:val="006F0D8C"/>
    <w:rsid w:val="006F11BB"/>
    <w:rsid w:val="006F123B"/>
    <w:rsid w:val="006F12C8"/>
    <w:rsid w:val="006F143C"/>
    <w:rsid w:val="006F1672"/>
    <w:rsid w:val="006F1BA2"/>
    <w:rsid w:val="006F1BE7"/>
    <w:rsid w:val="006F1C76"/>
    <w:rsid w:val="006F28FF"/>
    <w:rsid w:val="006F2D11"/>
    <w:rsid w:val="006F3324"/>
    <w:rsid w:val="006F3482"/>
    <w:rsid w:val="006F34C0"/>
    <w:rsid w:val="006F3556"/>
    <w:rsid w:val="006F359C"/>
    <w:rsid w:val="006F3751"/>
    <w:rsid w:val="006F383A"/>
    <w:rsid w:val="006F3844"/>
    <w:rsid w:val="006F39DC"/>
    <w:rsid w:val="006F3CA3"/>
    <w:rsid w:val="006F3E1D"/>
    <w:rsid w:val="006F40E3"/>
    <w:rsid w:val="006F4391"/>
    <w:rsid w:val="006F4652"/>
    <w:rsid w:val="006F498D"/>
    <w:rsid w:val="006F4A34"/>
    <w:rsid w:val="006F4C7C"/>
    <w:rsid w:val="006F4F04"/>
    <w:rsid w:val="006F5291"/>
    <w:rsid w:val="006F58A8"/>
    <w:rsid w:val="006F5D18"/>
    <w:rsid w:val="006F5DCF"/>
    <w:rsid w:val="006F6037"/>
    <w:rsid w:val="006F613B"/>
    <w:rsid w:val="006F622A"/>
    <w:rsid w:val="006F65F2"/>
    <w:rsid w:val="006F6613"/>
    <w:rsid w:val="006F6AAF"/>
    <w:rsid w:val="006F6AEB"/>
    <w:rsid w:val="006F6E23"/>
    <w:rsid w:val="006F706B"/>
    <w:rsid w:val="006F76F4"/>
    <w:rsid w:val="006F7755"/>
    <w:rsid w:val="006F78C2"/>
    <w:rsid w:val="006F7C43"/>
    <w:rsid w:val="006F7DE5"/>
    <w:rsid w:val="007003C9"/>
    <w:rsid w:val="00700600"/>
    <w:rsid w:val="007006AF"/>
    <w:rsid w:val="00700793"/>
    <w:rsid w:val="0070098D"/>
    <w:rsid w:val="007009C4"/>
    <w:rsid w:val="00700A4C"/>
    <w:rsid w:val="00700B05"/>
    <w:rsid w:val="00700D37"/>
    <w:rsid w:val="0070119C"/>
    <w:rsid w:val="007013AA"/>
    <w:rsid w:val="007015CE"/>
    <w:rsid w:val="00701AD9"/>
    <w:rsid w:val="00701B84"/>
    <w:rsid w:val="00701C75"/>
    <w:rsid w:val="00702362"/>
    <w:rsid w:val="00702942"/>
    <w:rsid w:val="0070299D"/>
    <w:rsid w:val="00702C45"/>
    <w:rsid w:val="00702E70"/>
    <w:rsid w:val="00702E8A"/>
    <w:rsid w:val="00703366"/>
    <w:rsid w:val="00703A03"/>
    <w:rsid w:val="00703E23"/>
    <w:rsid w:val="0070423E"/>
    <w:rsid w:val="00704461"/>
    <w:rsid w:val="007045D0"/>
    <w:rsid w:val="0070463D"/>
    <w:rsid w:val="007049B6"/>
    <w:rsid w:val="00704BDD"/>
    <w:rsid w:val="007052FE"/>
    <w:rsid w:val="007056ED"/>
    <w:rsid w:val="007056EF"/>
    <w:rsid w:val="00705AAD"/>
    <w:rsid w:val="00705E4A"/>
    <w:rsid w:val="00705F36"/>
    <w:rsid w:val="007068A8"/>
    <w:rsid w:val="00706A5D"/>
    <w:rsid w:val="00706C15"/>
    <w:rsid w:val="00706CF8"/>
    <w:rsid w:val="00707025"/>
    <w:rsid w:val="007072AC"/>
    <w:rsid w:val="007076C3"/>
    <w:rsid w:val="007077F2"/>
    <w:rsid w:val="00707826"/>
    <w:rsid w:val="00707859"/>
    <w:rsid w:val="00707A42"/>
    <w:rsid w:val="00707DF4"/>
    <w:rsid w:val="00710475"/>
    <w:rsid w:val="00710651"/>
    <w:rsid w:val="00710917"/>
    <w:rsid w:val="00710A47"/>
    <w:rsid w:val="0071139F"/>
    <w:rsid w:val="007116B7"/>
    <w:rsid w:val="007118AA"/>
    <w:rsid w:val="00711946"/>
    <w:rsid w:val="007122C8"/>
    <w:rsid w:val="007128C6"/>
    <w:rsid w:val="00712CB3"/>
    <w:rsid w:val="00712FAF"/>
    <w:rsid w:val="0071343D"/>
    <w:rsid w:val="00713562"/>
    <w:rsid w:val="007136D0"/>
    <w:rsid w:val="0071372A"/>
    <w:rsid w:val="00713795"/>
    <w:rsid w:val="00713917"/>
    <w:rsid w:val="00713ABB"/>
    <w:rsid w:val="00713E4F"/>
    <w:rsid w:val="00713F96"/>
    <w:rsid w:val="00714F45"/>
    <w:rsid w:val="00715263"/>
    <w:rsid w:val="0071607D"/>
    <w:rsid w:val="007162BF"/>
    <w:rsid w:val="00716523"/>
    <w:rsid w:val="00716608"/>
    <w:rsid w:val="007166FB"/>
    <w:rsid w:val="00716902"/>
    <w:rsid w:val="00716C05"/>
    <w:rsid w:val="00716D08"/>
    <w:rsid w:val="00716E26"/>
    <w:rsid w:val="0071747C"/>
    <w:rsid w:val="00717B82"/>
    <w:rsid w:val="00717E1D"/>
    <w:rsid w:val="007200DF"/>
    <w:rsid w:val="007202DB"/>
    <w:rsid w:val="00720319"/>
    <w:rsid w:val="0072085F"/>
    <w:rsid w:val="00720BA8"/>
    <w:rsid w:val="00720F82"/>
    <w:rsid w:val="00721060"/>
    <w:rsid w:val="007211B3"/>
    <w:rsid w:val="007212B1"/>
    <w:rsid w:val="00721311"/>
    <w:rsid w:val="007218A7"/>
    <w:rsid w:val="00721A87"/>
    <w:rsid w:val="00721A9D"/>
    <w:rsid w:val="00721C6D"/>
    <w:rsid w:val="007220AF"/>
    <w:rsid w:val="007220BB"/>
    <w:rsid w:val="0072215F"/>
    <w:rsid w:val="007221E2"/>
    <w:rsid w:val="0072247D"/>
    <w:rsid w:val="00722871"/>
    <w:rsid w:val="00723124"/>
    <w:rsid w:val="007233A5"/>
    <w:rsid w:val="007234F3"/>
    <w:rsid w:val="0072352B"/>
    <w:rsid w:val="00723B62"/>
    <w:rsid w:val="00723B8C"/>
    <w:rsid w:val="00723BEA"/>
    <w:rsid w:val="00723C5B"/>
    <w:rsid w:val="00724309"/>
    <w:rsid w:val="007244A5"/>
    <w:rsid w:val="007247C3"/>
    <w:rsid w:val="00724947"/>
    <w:rsid w:val="00724A33"/>
    <w:rsid w:val="00725080"/>
    <w:rsid w:val="007251C3"/>
    <w:rsid w:val="00725A49"/>
    <w:rsid w:val="00725C2F"/>
    <w:rsid w:val="00725DDB"/>
    <w:rsid w:val="00725E27"/>
    <w:rsid w:val="00725FB3"/>
    <w:rsid w:val="00726A27"/>
    <w:rsid w:val="00726FD6"/>
    <w:rsid w:val="007270A7"/>
    <w:rsid w:val="00727611"/>
    <w:rsid w:val="007279EF"/>
    <w:rsid w:val="00727BB5"/>
    <w:rsid w:val="00727BF2"/>
    <w:rsid w:val="00727C2E"/>
    <w:rsid w:val="00730445"/>
    <w:rsid w:val="00730623"/>
    <w:rsid w:val="00730763"/>
    <w:rsid w:val="00730A90"/>
    <w:rsid w:val="00730CDB"/>
    <w:rsid w:val="00730D3F"/>
    <w:rsid w:val="00730DD6"/>
    <w:rsid w:val="00730EB6"/>
    <w:rsid w:val="007310D5"/>
    <w:rsid w:val="00731307"/>
    <w:rsid w:val="0073170D"/>
    <w:rsid w:val="00731B6C"/>
    <w:rsid w:val="00731FF4"/>
    <w:rsid w:val="0073215B"/>
    <w:rsid w:val="00732382"/>
    <w:rsid w:val="007325CE"/>
    <w:rsid w:val="00732AEA"/>
    <w:rsid w:val="00732F97"/>
    <w:rsid w:val="00733130"/>
    <w:rsid w:val="00733257"/>
    <w:rsid w:val="0073336F"/>
    <w:rsid w:val="0073340E"/>
    <w:rsid w:val="0073363E"/>
    <w:rsid w:val="0073380B"/>
    <w:rsid w:val="00733A59"/>
    <w:rsid w:val="00734213"/>
    <w:rsid w:val="00734724"/>
    <w:rsid w:val="007348F0"/>
    <w:rsid w:val="00734977"/>
    <w:rsid w:val="00734A29"/>
    <w:rsid w:val="00734B28"/>
    <w:rsid w:val="00735656"/>
    <w:rsid w:val="007356AB"/>
    <w:rsid w:val="007358A9"/>
    <w:rsid w:val="0073596A"/>
    <w:rsid w:val="007359B8"/>
    <w:rsid w:val="00735DAD"/>
    <w:rsid w:val="00735E2D"/>
    <w:rsid w:val="00735F1A"/>
    <w:rsid w:val="00735FED"/>
    <w:rsid w:val="0073602D"/>
    <w:rsid w:val="0073635F"/>
    <w:rsid w:val="0073647F"/>
    <w:rsid w:val="007365E4"/>
    <w:rsid w:val="00736877"/>
    <w:rsid w:val="00736BCB"/>
    <w:rsid w:val="00736BE7"/>
    <w:rsid w:val="007374E5"/>
    <w:rsid w:val="007378D1"/>
    <w:rsid w:val="00737C2C"/>
    <w:rsid w:val="00740513"/>
    <w:rsid w:val="00740987"/>
    <w:rsid w:val="00740CE4"/>
    <w:rsid w:val="00740D5F"/>
    <w:rsid w:val="00740D93"/>
    <w:rsid w:val="00740DE5"/>
    <w:rsid w:val="00740F42"/>
    <w:rsid w:val="00740FF7"/>
    <w:rsid w:val="00741219"/>
    <w:rsid w:val="0074142B"/>
    <w:rsid w:val="00741486"/>
    <w:rsid w:val="007414E1"/>
    <w:rsid w:val="00741974"/>
    <w:rsid w:val="00741A7D"/>
    <w:rsid w:val="00741AB3"/>
    <w:rsid w:val="007420D4"/>
    <w:rsid w:val="0074219B"/>
    <w:rsid w:val="007423B9"/>
    <w:rsid w:val="00742479"/>
    <w:rsid w:val="007436D2"/>
    <w:rsid w:val="0074392E"/>
    <w:rsid w:val="00744249"/>
    <w:rsid w:val="00744620"/>
    <w:rsid w:val="007446E0"/>
    <w:rsid w:val="00744960"/>
    <w:rsid w:val="00744A60"/>
    <w:rsid w:val="00744B70"/>
    <w:rsid w:val="00744C5F"/>
    <w:rsid w:val="00744DD9"/>
    <w:rsid w:val="00744E6F"/>
    <w:rsid w:val="007452E9"/>
    <w:rsid w:val="007455E6"/>
    <w:rsid w:val="00745866"/>
    <w:rsid w:val="00745B7F"/>
    <w:rsid w:val="00746088"/>
    <w:rsid w:val="007460BF"/>
    <w:rsid w:val="00746338"/>
    <w:rsid w:val="00746675"/>
    <w:rsid w:val="007466FC"/>
    <w:rsid w:val="0074678B"/>
    <w:rsid w:val="007467BD"/>
    <w:rsid w:val="00746822"/>
    <w:rsid w:val="00746888"/>
    <w:rsid w:val="007469CF"/>
    <w:rsid w:val="00746A82"/>
    <w:rsid w:val="00746C1A"/>
    <w:rsid w:val="007473B9"/>
    <w:rsid w:val="00747436"/>
    <w:rsid w:val="00747488"/>
    <w:rsid w:val="00747BD8"/>
    <w:rsid w:val="0075040B"/>
    <w:rsid w:val="0075074F"/>
    <w:rsid w:val="00750A01"/>
    <w:rsid w:val="00750BE1"/>
    <w:rsid w:val="00750C28"/>
    <w:rsid w:val="00750D66"/>
    <w:rsid w:val="00750E55"/>
    <w:rsid w:val="00750E76"/>
    <w:rsid w:val="00750EB4"/>
    <w:rsid w:val="00751150"/>
    <w:rsid w:val="007512F7"/>
    <w:rsid w:val="00751428"/>
    <w:rsid w:val="007515BA"/>
    <w:rsid w:val="0075183E"/>
    <w:rsid w:val="00751B45"/>
    <w:rsid w:val="00751BE3"/>
    <w:rsid w:val="00751CFC"/>
    <w:rsid w:val="00751D50"/>
    <w:rsid w:val="00751E01"/>
    <w:rsid w:val="00751F35"/>
    <w:rsid w:val="00752407"/>
    <w:rsid w:val="007525A8"/>
    <w:rsid w:val="007525AC"/>
    <w:rsid w:val="0075281F"/>
    <w:rsid w:val="0075289F"/>
    <w:rsid w:val="00752ACE"/>
    <w:rsid w:val="00752DD9"/>
    <w:rsid w:val="00753378"/>
    <w:rsid w:val="007534BF"/>
    <w:rsid w:val="00753D8A"/>
    <w:rsid w:val="00753E8B"/>
    <w:rsid w:val="00753F69"/>
    <w:rsid w:val="0075447F"/>
    <w:rsid w:val="00754522"/>
    <w:rsid w:val="00754746"/>
    <w:rsid w:val="00754849"/>
    <w:rsid w:val="00754B8D"/>
    <w:rsid w:val="007552A5"/>
    <w:rsid w:val="00755739"/>
    <w:rsid w:val="00755AB6"/>
    <w:rsid w:val="00755E68"/>
    <w:rsid w:val="00755EB3"/>
    <w:rsid w:val="007564C2"/>
    <w:rsid w:val="0075651C"/>
    <w:rsid w:val="00756687"/>
    <w:rsid w:val="0075699D"/>
    <w:rsid w:val="00756AD2"/>
    <w:rsid w:val="0075744C"/>
    <w:rsid w:val="0075746A"/>
    <w:rsid w:val="007575BE"/>
    <w:rsid w:val="007575D3"/>
    <w:rsid w:val="00757606"/>
    <w:rsid w:val="0075771D"/>
    <w:rsid w:val="00757DC3"/>
    <w:rsid w:val="00757EF9"/>
    <w:rsid w:val="00757F10"/>
    <w:rsid w:val="007603F1"/>
    <w:rsid w:val="007606FE"/>
    <w:rsid w:val="00760895"/>
    <w:rsid w:val="00760CB4"/>
    <w:rsid w:val="00761035"/>
    <w:rsid w:val="00761790"/>
    <w:rsid w:val="0076198D"/>
    <w:rsid w:val="00761DED"/>
    <w:rsid w:val="00762536"/>
    <w:rsid w:val="007629DF"/>
    <w:rsid w:val="00763097"/>
    <w:rsid w:val="007632EF"/>
    <w:rsid w:val="0076347B"/>
    <w:rsid w:val="00763564"/>
    <w:rsid w:val="007635D2"/>
    <w:rsid w:val="00763E49"/>
    <w:rsid w:val="007644AE"/>
    <w:rsid w:val="00764568"/>
    <w:rsid w:val="00764615"/>
    <w:rsid w:val="00764A38"/>
    <w:rsid w:val="00764B46"/>
    <w:rsid w:val="00764BA6"/>
    <w:rsid w:val="00764C32"/>
    <w:rsid w:val="00764CC9"/>
    <w:rsid w:val="00764FFC"/>
    <w:rsid w:val="00765098"/>
    <w:rsid w:val="00765AF5"/>
    <w:rsid w:val="00765AFF"/>
    <w:rsid w:val="00766007"/>
    <w:rsid w:val="00766097"/>
    <w:rsid w:val="00766155"/>
    <w:rsid w:val="00766301"/>
    <w:rsid w:val="00766346"/>
    <w:rsid w:val="0076694D"/>
    <w:rsid w:val="00767148"/>
    <w:rsid w:val="00767344"/>
    <w:rsid w:val="00767657"/>
    <w:rsid w:val="00767985"/>
    <w:rsid w:val="00767C1C"/>
    <w:rsid w:val="00767D63"/>
    <w:rsid w:val="00770582"/>
    <w:rsid w:val="007706DA"/>
    <w:rsid w:val="00770909"/>
    <w:rsid w:val="0077099F"/>
    <w:rsid w:val="00770DB0"/>
    <w:rsid w:val="00770EA7"/>
    <w:rsid w:val="00770EE3"/>
    <w:rsid w:val="007711F3"/>
    <w:rsid w:val="00771346"/>
    <w:rsid w:val="00771603"/>
    <w:rsid w:val="007717E2"/>
    <w:rsid w:val="007723A2"/>
    <w:rsid w:val="00772543"/>
    <w:rsid w:val="007727F7"/>
    <w:rsid w:val="00772A71"/>
    <w:rsid w:val="00772BE7"/>
    <w:rsid w:val="00772CDD"/>
    <w:rsid w:val="007732A1"/>
    <w:rsid w:val="00773762"/>
    <w:rsid w:val="00773824"/>
    <w:rsid w:val="007739D0"/>
    <w:rsid w:val="00773CA5"/>
    <w:rsid w:val="00773F61"/>
    <w:rsid w:val="00773F95"/>
    <w:rsid w:val="007741F5"/>
    <w:rsid w:val="00774534"/>
    <w:rsid w:val="007746AE"/>
    <w:rsid w:val="007747C3"/>
    <w:rsid w:val="00774BD9"/>
    <w:rsid w:val="00774CC4"/>
    <w:rsid w:val="00774DE1"/>
    <w:rsid w:val="00775344"/>
    <w:rsid w:val="00775394"/>
    <w:rsid w:val="007753B8"/>
    <w:rsid w:val="007753F7"/>
    <w:rsid w:val="0077564B"/>
    <w:rsid w:val="00775ABF"/>
    <w:rsid w:val="00775EF1"/>
    <w:rsid w:val="00776099"/>
    <w:rsid w:val="007763DA"/>
    <w:rsid w:val="00776594"/>
    <w:rsid w:val="00776B31"/>
    <w:rsid w:val="007775E0"/>
    <w:rsid w:val="007777E9"/>
    <w:rsid w:val="00777EE5"/>
    <w:rsid w:val="0078000F"/>
    <w:rsid w:val="00780130"/>
    <w:rsid w:val="00780174"/>
    <w:rsid w:val="00780232"/>
    <w:rsid w:val="0078073F"/>
    <w:rsid w:val="007807B5"/>
    <w:rsid w:val="007807C3"/>
    <w:rsid w:val="00780F77"/>
    <w:rsid w:val="00781279"/>
    <w:rsid w:val="007812CA"/>
    <w:rsid w:val="007817D1"/>
    <w:rsid w:val="0078196C"/>
    <w:rsid w:val="00781AD1"/>
    <w:rsid w:val="00781EA9"/>
    <w:rsid w:val="0078218A"/>
    <w:rsid w:val="00782209"/>
    <w:rsid w:val="007822B1"/>
    <w:rsid w:val="0078244E"/>
    <w:rsid w:val="0078256D"/>
    <w:rsid w:val="007825A3"/>
    <w:rsid w:val="007826D8"/>
    <w:rsid w:val="00782A9B"/>
    <w:rsid w:val="00782AAB"/>
    <w:rsid w:val="00782CEA"/>
    <w:rsid w:val="00782D13"/>
    <w:rsid w:val="00782D8D"/>
    <w:rsid w:val="00782F95"/>
    <w:rsid w:val="0078308D"/>
    <w:rsid w:val="0078387E"/>
    <w:rsid w:val="007839D1"/>
    <w:rsid w:val="00783A04"/>
    <w:rsid w:val="00783B3B"/>
    <w:rsid w:val="00783C55"/>
    <w:rsid w:val="00783EAA"/>
    <w:rsid w:val="00783F32"/>
    <w:rsid w:val="00783FC0"/>
    <w:rsid w:val="00784A94"/>
    <w:rsid w:val="00784F07"/>
    <w:rsid w:val="0078579C"/>
    <w:rsid w:val="00785ACA"/>
    <w:rsid w:val="00785C2D"/>
    <w:rsid w:val="00785C90"/>
    <w:rsid w:val="00785E25"/>
    <w:rsid w:val="00785F3D"/>
    <w:rsid w:val="007860BC"/>
    <w:rsid w:val="00786376"/>
    <w:rsid w:val="00786694"/>
    <w:rsid w:val="00786A3A"/>
    <w:rsid w:val="00786D18"/>
    <w:rsid w:val="007871B9"/>
    <w:rsid w:val="00787F90"/>
    <w:rsid w:val="0079011E"/>
    <w:rsid w:val="007901AF"/>
    <w:rsid w:val="00790468"/>
    <w:rsid w:val="007907B0"/>
    <w:rsid w:val="00790846"/>
    <w:rsid w:val="00790BD8"/>
    <w:rsid w:val="00790CD2"/>
    <w:rsid w:val="007912B9"/>
    <w:rsid w:val="0079154F"/>
    <w:rsid w:val="00791857"/>
    <w:rsid w:val="00791E92"/>
    <w:rsid w:val="00791F65"/>
    <w:rsid w:val="007921F3"/>
    <w:rsid w:val="0079241B"/>
    <w:rsid w:val="00792899"/>
    <w:rsid w:val="00792A9B"/>
    <w:rsid w:val="00792B01"/>
    <w:rsid w:val="00792C21"/>
    <w:rsid w:val="00793018"/>
    <w:rsid w:val="00793E57"/>
    <w:rsid w:val="00793FFF"/>
    <w:rsid w:val="007946ED"/>
    <w:rsid w:val="00794825"/>
    <w:rsid w:val="00794CF3"/>
    <w:rsid w:val="00794D6A"/>
    <w:rsid w:val="00794D87"/>
    <w:rsid w:val="00794DBE"/>
    <w:rsid w:val="00794E50"/>
    <w:rsid w:val="00795981"/>
    <w:rsid w:val="00795E9F"/>
    <w:rsid w:val="007960D2"/>
    <w:rsid w:val="00796393"/>
    <w:rsid w:val="0079653E"/>
    <w:rsid w:val="0079666D"/>
    <w:rsid w:val="007967A6"/>
    <w:rsid w:val="00796899"/>
    <w:rsid w:val="00796DC1"/>
    <w:rsid w:val="00796ECF"/>
    <w:rsid w:val="0079771F"/>
    <w:rsid w:val="0079799C"/>
    <w:rsid w:val="007A00EC"/>
    <w:rsid w:val="007A14B3"/>
    <w:rsid w:val="007A16A2"/>
    <w:rsid w:val="007A171B"/>
    <w:rsid w:val="007A1720"/>
    <w:rsid w:val="007A1B7C"/>
    <w:rsid w:val="007A1BC8"/>
    <w:rsid w:val="007A1CBB"/>
    <w:rsid w:val="007A2174"/>
    <w:rsid w:val="007A23B1"/>
    <w:rsid w:val="007A244B"/>
    <w:rsid w:val="007A2657"/>
    <w:rsid w:val="007A2872"/>
    <w:rsid w:val="007A2B01"/>
    <w:rsid w:val="007A2E0D"/>
    <w:rsid w:val="007A30CA"/>
    <w:rsid w:val="007A3496"/>
    <w:rsid w:val="007A3825"/>
    <w:rsid w:val="007A3B61"/>
    <w:rsid w:val="007A3DE6"/>
    <w:rsid w:val="007A4056"/>
    <w:rsid w:val="007A416C"/>
    <w:rsid w:val="007A447B"/>
    <w:rsid w:val="007A4778"/>
    <w:rsid w:val="007A477F"/>
    <w:rsid w:val="007A4819"/>
    <w:rsid w:val="007A4D20"/>
    <w:rsid w:val="007A4E27"/>
    <w:rsid w:val="007A4E76"/>
    <w:rsid w:val="007A50C8"/>
    <w:rsid w:val="007A5119"/>
    <w:rsid w:val="007A5773"/>
    <w:rsid w:val="007A5BC7"/>
    <w:rsid w:val="007A664C"/>
    <w:rsid w:val="007A671B"/>
    <w:rsid w:val="007A6819"/>
    <w:rsid w:val="007A6C24"/>
    <w:rsid w:val="007A6DA2"/>
    <w:rsid w:val="007A7241"/>
    <w:rsid w:val="007A7252"/>
    <w:rsid w:val="007A75AD"/>
    <w:rsid w:val="007A77CF"/>
    <w:rsid w:val="007A7C04"/>
    <w:rsid w:val="007A7C1C"/>
    <w:rsid w:val="007A7ECC"/>
    <w:rsid w:val="007B01C1"/>
    <w:rsid w:val="007B053C"/>
    <w:rsid w:val="007B08D9"/>
    <w:rsid w:val="007B0D0B"/>
    <w:rsid w:val="007B0D55"/>
    <w:rsid w:val="007B0EA7"/>
    <w:rsid w:val="007B0F72"/>
    <w:rsid w:val="007B1032"/>
    <w:rsid w:val="007B1051"/>
    <w:rsid w:val="007B1167"/>
    <w:rsid w:val="007B1974"/>
    <w:rsid w:val="007B1A80"/>
    <w:rsid w:val="007B2006"/>
    <w:rsid w:val="007B216E"/>
    <w:rsid w:val="007B21A6"/>
    <w:rsid w:val="007B2906"/>
    <w:rsid w:val="007B2C1A"/>
    <w:rsid w:val="007B344A"/>
    <w:rsid w:val="007B3576"/>
    <w:rsid w:val="007B357C"/>
    <w:rsid w:val="007B3881"/>
    <w:rsid w:val="007B3A99"/>
    <w:rsid w:val="007B3CED"/>
    <w:rsid w:val="007B3D4A"/>
    <w:rsid w:val="007B3F0A"/>
    <w:rsid w:val="007B40CD"/>
    <w:rsid w:val="007B43AF"/>
    <w:rsid w:val="007B4452"/>
    <w:rsid w:val="007B4526"/>
    <w:rsid w:val="007B460F"/>
    <w:rsid w:val="007B4B4A"/>
    <w:rsid w:val="007B4E46"/>
    <w:rsid w:val="007B4ECC"/>
    <w:rsid w:val="007B4EEE"/>
    <w:rsid w:val="007B4F84"/>
    <w:rsid w:val="007B508E"/>
    <w:rsid w:val="007B520B"/>
    <w:rsid w:val="007B5B76"/>
    <w:rsid w:val="007B5C8D"/>
    <w:rsid w:val="007B60AB"/>
    <w:rsid w:val="007B61AC"/>
    <w:rsid w:val="007B6362"/>
    <w:rsid w:val="007B64F3"/>
    <w:rsid w:val="007B66D2"/>
    <w:rsid w:val="007B69CC"/>
    <w:rsid w:val="007B6A3B"/>
    <w:rsid w:val="007B6E8A"/>
    <w:rsid w:val="007B6F99"/>
    <w:rsid w:val="007B712A"/>
    <w:rsid w:val="007B7737"/>
    <w:rsid w:val="007B77B0"/>
    <w:rsid w:val="007B7C40"/>
    <w:rsid w:val="007C007F"/>
    <w:rsid w:val="007C01B6"/>
    <w:rsid w:val="007C05D9"/>
    <w:rsid w:val="007C064D"/>
    <w:rsid w:val="007C070E"/>
    <w:rsid w:val="007C0E7D"/>
    <w:rsid w:val="007C0FAF"/>
    <w:rsid w:val="007C11A4"/>
    <w:rsid w:val="007C16D9"/>
    <w:rsid w:val="007C1ABA"/>
    <w:rsid w:val="007C1B4F"/>
    <w:rsid w:val="007C2689"/>
    <w:rsid w:val="007C2973"/>
    <w:rsid w:val="007C2D8B"/>
    <w:rsid w:val="007C2EBD"/>
    <w:rsid w:val="007C314E"/>
    <w:rsid w:val="007C38F6"/>
    <w:rsid w:val="007C4568"/>
    <w:rsid w:val="007C46B9"/>
    <w:rsid w:val="007C476E"/>
    <w:rsid w:val="007C4A42"/>
    <w:rsid w:val="007C5175"/>
    <w:rsid w:val="007C599A"/>
    <w:rsid w:val="007C5A9F"/>
    <w:rsid w:val="007C5E77"/>
    <w:rsid w:val="007C5EB2"/>
    <w:rsid w:val="007C6190"/>
    <w:rsid w:val="007C66F8"/>
    <w:rsid w:val="007C6BFE"/>
    <w:rsid w:val="007C6E5E"/>
    <w:rsid w:val="007C7455"/>
    <w:rsid w:val="007C7771"/>
    <w:rsid w:val="007C78A7"/>
    <w:rsid w:val="007C7937"/>
    <w:rsid w:val="007C7B66"/>
    <w:rsid w:val="007C7C4B"/>
    <w:rsid w:val="007C7EDE"/>
    <w:rsid w:val="007D00B3"/>
    <w:rsid w:val="007D043A"/>
    <w:rsid w:val="007D0441"/>
    <w:rsid w:val="007D0551"/>
    <w:rsid w:val="007D0922"/>
    <w:rsid w:val="007D0A80"/>
    <w:rsid w:val="007D0AE1"/>
    <w:rsid w:val="007D0CFD"/>
    <w:rsid w:val="007D0F55"/>
    <w:rsid w:val="007D1780"/>
    <w:rsid w:val="007D1DE1"/>
    <w:rsid w:val="007D232D"/>
    <w:rsid w:val="007D27EA"/>
    <w:rsid w:val="007D2BD7"/>
    <w:rsid w:val="007D36A8"/>
    <w:rsid w:val="007D3D62"/>
    <w:rsid w:val="007D3D6B"/>
    <w:rsid w:val="007D3DF2"/>
    <w:rsid w:val="007D4040"/>
    <w:rsid w:val="007D40FE"/>
    <w:rsid w:val="007D4619"/>
    <w:rsid w:val="007D49BD"/>
    <w:rsid w:val="007D4AE2"/>
    <w:rsid w:val="007D4E87"/>
    <w:rsid w:val="007D4EC2"/>
    <w:rsid w:val="007D4EC5"/>
    <w:rsid w:val="007D58B4"/>
    <w:rsid w:val="007D59E0"/>
    <w:rsid w:val="007D5D08"/>
    <w:rsid w:val="007D6395"/>
    <w:rsid w:val="007D6450"/>
    <w:rsid w:val="007D658C"/>
    <w:rsid w:val="007D66C8"/>
    <w:rsid w:val="007D68FD"/>
    <w:rsid w:val="007D6DD8"/>
    <w:rsid w:val="007D6E4B"/>
    <w:rsid w:val="007D777D"/>
    <w:rsid w:val="007D7821"/>
    <w:rsid w:val="007D78BA"/>
    <w:rsid w:val="007D79CF"/>
    <w:rsid w:val="007D7CE1"/>
    <w:rsid w:val="007D7FFC"/>
    <w:rsid w:val="007E037C"/>
    <w:rsid w:val="007E0573"/>
    <w:rsid w:val="007E0915"/>
    <w:rsid w:val="007E0947"/>
    <w:rsid w:val="007E0966"/>
    <w:rsid w:val="007E0A2C"/>
    <w:rsid w:val="007E11BF"/>
    <w:rsid w:val="007E1342"/>
    <w:rsid w:val="007E1ADA"/>
    <w:rsid w:val="007E26AE"/>
    <w:rsid w:val="007E2DA8"/>
    <w:rsid w:val="007E2FD0"/>
    <w:rsid w:val="007E34A8"/>
    <w:rsid w:val="007E3B43"/>
    <w:rsid w:val="007E3E41"/>
    <w:rsid w:val="007E3E94"/>
    <w:rsid w:val="007E3EDF"/>
    <w:rsid w:val="007E3F50"/>
    <w:rsid w:val="007E464D"/>
    <w:rsid w:val="007E46BE"/>
    <w:rsid w:val="007E487E"/>
    <w:rsid w:val="007E4B62"/>
    <w:rsid w:val="007E4B80"/>
    <w:rsid w:val="007E4C62"/>
    <w:rsid w:val="007E5313"/>
    <w:rsid w:val="007E64BF"/>
    <w:rsid w:val="007E66A2"/>
    <w:rsid w:val="007E6BFE"/>
    <w:rsid w:val="007E704E"/>
    <w:rsid w:val="007E740F"/>
    <w:rsid w:val="007E741D"/>
    <w:rsid w:val="007E7E91"/>
    <w:rsid w:val="007F0113"/>
    <w:rsid w:val="007F0C49"/>
    <w:rsid w:val="007F101A"/>
    <w:rsid w:val="007F112A"/>
    <w:rsid w:val="007F1219"/>
    <w:rsid w:val="007F14B9"/>
    <w:rsid w:val="007F17CE"/>
    <w:rsid w:val="007F17F1"/>
    <w:rsid w:val="007F183B"/>
    <w:rsid w:val="007F188F"/>
    <w:rsid w:val="007F1942"/>
    <w:rsid w:val="007F1EA2"/>
    <w:rsid w:val="007F1F3A"/>
    <w:rsid w:val="007F21DC"/>
    <w:rsid w:val="007F24FD"/>
    <w:rsid w:val="007F2895"/>
    <w:rsid w:val="007F2DAE"/>
    <w:rsid w:val="007F3298"/>
    <w:rsid w:val="007F34EC"/>
    <w:rsid w:val="007F3760"/>
    <w:rsid w:val="007F4207"/>
    <w:rsid w:val="007F44B4"/>
    <w:rsid w:val="007F4ED8"/>
    <w:rsid w:val="007F5120"/>
    <w:rsid w:val="007F512B"/>
    <w:rsid w:val="007F54EB"/>
    <w:rsid w:val="007F56C1"/>
    <w:rsid w:val="007F5C0C"/>
    <w:rsid w:val="007F5E33"/>
    <w:rsid w:val="007F5EF8"/>
    <w:rsid w:val="007F623B"/>
    <w:rsid w:val="007F6453"/>
    <w:rsid w:val="007F64F1"/>
    <w:rsid w:val="007F655C"/>
    <w:rsid w:val="007F6698"/>
    <w:rsid w:val="007F66EE"/>
    <w:rsid w:val="007F678E"/>
    <w:rsid w:val="007F6846"/>
    <w:rsid w:val="007F6984"/>
    <w:rsid w:val="007F6C50"/>
    <w:rsid w:val="007F714E"/>
    <w:rsid w:val="007F76FE"/>
    <w:rsid w:val="007F7960"/>
    <w:rsid w:val="00800534"/>
    <w:rsid w:val="00800B1C"/>
    <w:rsid w:val="0080106B"/>
    <w:rsid w:val="00801131"/>
    <w:rsid w:val="008014C0"/>
    <w:rsid w:val="00801633"/>
    <w:rsid w:val="0080177B"/>
    <w:rsid w:val="00801EA4"/>
    <w:rsid w:val="008020A3"/>
    <w:rsid w:val="00802330"/>
    <w:rsid w:val="00802770"/>
    <w:rsid w:val="008027C0"/>
    <w:rsid w:val="00802863"/>
    <w:rsid w:val="00802D55"/>
    <w:rsid w:val="00803274"/>
    <w:rsid w:val="0080335A"/>
    <w:rsid w:val="008033E5"/>
    <w:rsid w:val="0080348B"/>
    <w:rsid w:val="00803710"/>
    <w:rsid w:val="00803822"/>
    <w:rsid w:val="0080402B"/>
    <w:rsid w:val="0080449D"/>
    <w:rsid w:val="008044DC"/>
    <w:rsid w:val="008044FC"/>
    <w:rsid w:val="00804A2B"/>
    <w:rsid w:val="00804AD3"/>
    <w:rsid w:val="00804F6D"/>
    <w:rsid w:val="00804FC5"/>
    <w:rsid w:val="0080525B"/>
    <w:rsid w:val="00805898"/>
    <w:rsid w:val="008058AD"/>
    <w:rsid w:val="008058CF"/>
    <w:rsid w:val="00805D6C"/>
    <w:rsid w:val="00805EAF"/>
    <w:rsid w:val="00805EC2"/>
    <w:rsid w:val="00806248"/>
    <w:rsid w:val="008064DB"/>
    <w:rsid w:val="00806764"/>
    <w:rsid w:val="00806811"/>
    <w:rsid w:val="00806CE7"/>
    <w:rsid w:val="00806FAC"/>
    <w:rsid w:val="008070C5"/>
    <w:rsid w:val="00807168"/>
    <w:rsid w:val="008079AB"/>
    <w:rsid w:val="00807A47"/>
    <w:rsid w:val="00807C01"/>
    <w:rsid w:val="008102E0"/>
    <w:rsid w:val="00810783"/>
    <w:rsid w:val="00810784"/>
    <w:rsid w:val="00810822"/>
    <w:rsid w:val="008109A0"/>
    <w:rsid w:val="00810C5B"/>
    <w:rsid w:val="00810F36"/>
    <w:rsid w:val="008110FD"/>
    <w:rsid w:val="008111B5"/>
    <w:rsid w:val="008115C0"/>
    <w:rsid w:val="008117F5"/>
    <w:rsid w:val="00811908"/>
    <w:rsid w:val="00811B15"/>
    <w:rsid w:val="00811E51"/>
    <w:rsid w:val="00811E87"/>
    <w:rsid w:val="00811EB1"/>
    <w:rsid w:val="00811F69"/>
    <w:rsid w:val="008121EE"/>
    <w:rsid w:val="00812EFF"/>
    <w:rsid w:val="00813B52"/>
    <w:rsid w:val="00813B62"/>
    <w:rsid w:val="00813C85"/>
    <w:rsid w:val="00813D1E"/>
    <w:rsid w:val="0081446E"/>
    <w:rsid w:val="00814719"/>
    <w:rsid w:val="008147BB"/>
    <w:rsid w:val="0081484E"/>
    <w:rsid w:val="00814B55"/>
    <w:rsid w:val="00814DE2"/>
    <w:rsid w:val="00814F8D"/>
    <w:rsid w:val="008155D9"/>
    <w:rsid w:val="008155E6"/>
    <w:rsid w:val="00815879"/>
    <w:rsid w:val="00815907"/>
    <w:rsid w:val="00815A79"/>
    <w:rsid w:val="00815C5B"/>
    <w:rsid w:val="00815D08"/>
    <w:rsid w:val="00815D8F"/>
    <w:rsid w:val="00815DEE"/>
    <w:rsid w:val="008162BF"/>
    <w:rsid w:val="0081682E"/>
    <w:rsid w:val="0081684F"/>
    <w:rsid w:val="00816EC0"/>
    <w:rsid w:val="00816FA0"/>
    <w:rsid w:val="0081719D"/>
    <w:rsid w:val="0081764C"/>
    <w:rsid w:val="00817C0C"/>
    <w:rsid w:val="00817EE3"/>
    <w:rsid w:val="0081B2A4"/>
    <w:rsid w:val="0082057B"/>
    <w:rsid w:val="00820FFA"/>
    <w:rsid w:val="008213A4"/>
    <w:rsid w:val="0082198C"/>
    <w:rsid w:val="008219A4"/>
    <w:rsid w:val="008219B5"/>
    <w:rsid w:val="00821D1F"/>
    <w:rsid w:val="00821ECA"/>
    <w:rsid w:val="008220DA"/>
    <w:rsid w:val="00822279"/>
    <w:rsid w:val="00822493"/>
    <w:rsid w:val="0082277F"/>
    <w:rsid w:val="0082294C"/>
    <w:rsid w:val="00822F51"/>
    <w:rsid w:val="008233D4"/>
    <w:rsid w:val="008244D8"/>
    <w:rsid w:val="00824626"/>
    <w:rsid w:val="008247CC"/>
    <w:rsid w:val="00824C11"/>
    <w:rsid w:val="00825100"/>
    <w:rsid w:val="008256D5"/>
    <w:rsid w:val="0082582D"/>
    <w:rsid w:val="00825D8B"/>
    <w:rsid w:val="008260C0"/>
    <w:rsid w:val="0082633F"/>
    <w:rsid w:val="00826495"/>
    <w:rsid w:val="00826813"/>
    <w:rsid w:val="00826D6F"/>
    <w:rsid w:val="00826F03"/>
    <w:rsid w:val="008272CB"/>
    <w:rsid w:val="008272CC"/>
    <w:rsid w:val="00827310"/>
    <w:rsid w:val="00827923"/>
    <w:rsid w:val="00827946"/>
    <w:rsid w:val="00827980"/>
    <w:rsid w:val="00830057"/>
    <w:rsid w:val="008302A0"/>
    <w:rsid w:val="008303FA"/>
    <w:rsid w:val="008304C2"/>
    <w:rsid w:val="0083081B"/>
    <w:rsid w:val="00830C9B"/>
    <w:rsid w:val="00830D55"/>
    <w:rsid w:val="00830DC6"/>
    <w:rsid w:val="00831155"/>
    <w:rsid w:val="0083127F"/>
    <w:rsid w:val="008314A7"/>
    <w:rsid w:val="008314BE"/>
    <w:rsid w:val="008315A9"/>
    <w:rsid w:val="0083168D"/>
    <w:rsid w:val="00831A5B"/>
    <w:rsid w:val="00831B79"/>
    <w:rsid w:val="00831BD2"/>
    <w:rsid w:val="0083223D"/>
    <w:rsid w:val="00832327"/>
    <w:rsid w:val="0083246B"/>
    <w:rsid w:val="0083298C"/>
    <w:rsid w:val="00832B6F"/>
    <w:rsid w:val="008332C1"/>
    <w:rsid w:val="00833413"/>
    <w:rsid w:val="008336E6"/>
    <w:rsid w:val="008337DD"/>
    <w:rsid w:val="00833E4E"/>
    <w:rsid w:val="008341FA"/>
    <w:rsid w:val="00834823"/>
    <w:rsid w:val="00834BD2"/>
    <w:rsid w:val="00834E99"/>
    <w:rsid w:val="00834FCF"/>
    <w:rsid w:val="00835033"/>
    <w:rsid w:val="0083512B"/>
    <w:rsid w:val="00835174"/>
    <w:rsid w:val="00835203"/>
    <w:rsid w:val="008354AC"/>
    <w:rsid w:val="00835B04"/>
    <w:rsid w:val="00835E1B"/>
    <w:rsid w:val="00835EB2"/>
    <w:rsid w:val="00836412"/>
    <w:rsid w:val="0083649C"/>
    <w:rsid w:val="00836890"/>
    <w:rsid w:val="008368EC"/>
    <w:rsid w:val="00836C43"/>
    <w:rsid w:val="00836DFA"/>
    <w:rsid w:val="00836E89"/>
    <w:rsid w:val="00836F9F"/>
    <w:rsid w:val="008376CD"/>
    <w:rsid w:val="008378D1"/>
    <w:rsid w:val="00837AB6"/>
    <w:rsid w:val="00837FE4"/>
    <w:rsid w:val="0084056F"/>
    <w:rsid w:val="00840A3B"/>
    <w:rsid w:val="00840B48"/>
    <w:rsid w:val="00841811"/>
    <w:rsid w:val="0084221E"/>
    <w:rsid w:val="008425A4"/>
    <w:rsid w:val="00842786"/>
    <w:rsid w:val="00842B79"/>
    <w:rsid w:val="00842BF9"/>
    <w:rsid w:val="00842E33"/>
    <w:rsid w:val="00842F5C"/>
    <w:rsid w:val="00843198"/>
    <w:rsid w:val="00843304"/>
    <w:rsid w:val="0084396A"/>
    <w:rsid w:val="00844169"/>
    <w:rsid w:val="0084451F"/>
    <w:rsid w:val="00844B76"/>
    <w:rsid w:val="00844B9A"/>
    <w:rsid w:val="00844C0B"/>
    <w:rsid w:val="00844D12"/>
    <w:rsid w:val="008450E3"/>
    <w:rsid w:val="0084544D"/>
    <w:rsid w:val="00845719"/>
    <w:rsid w:val="008457A8"/>
    <w:rsid w:val="00845F48"/>
    <w:rsid w:val="00846051"/>
    <w:rsid w:val="00846234"/>
    <w:rsid w:val="00846896"/>
    <w:rsid w:val="00846A6F"/>
    <w:rsid w:val="00846ABA"/>
    <w:rsid w:val="00846C78"/>
    <w:rsid w:val="00847023"/>
    <w:rsid w:val="00847249"/>
    <w:rsid w:val="0084735F"/>
    <w:rsid w:val="00847360"/>
    <w:rsid w:val="00847525"/>
    <w:rsid w:val="00847562"/>
    <w:rsid w:val="00847A20"/>
    <w:rsid w:val="0085021A"/>
    <w:rsid w:val="008504CD"/>
    <w:rsid w:val="00850836"/>
    <w:rsid w:val="00850838"/>
    <w:rsid w:val="00850BC4"/>
    <w:rsid w:val="00850D45"/>
    <w:rsid w:val="00850D5D"/>
    <w:rsid w:val="00850E61"/>
    <w:rsid w:val="0085100C"/>
    <w:rsid w:val="00851186"/>
    <w:rsid w:val="008511C5"/>
    <w:rsid w:val="00851491"/>
    <w:rsid w:val="008514DC"/>
    <w:rsid w:val="008518E3"/>
    <w:rsid w:val="00851960"/>
    <w:rsid w:val="00851CFA"/>
    <w:rsid w:val="00851F05"/>
    <w:rsid w:val="00852270"/>
    <w:rsid w:val="0085233D"/>
    <w:rsid w:val="00852588"/>
    <w:rsid w:val="0085262B"/>
    <w:rsid w:val="0085278B"/>
    <w:rsid w:val="008529EB"/>
    <w:rsid w:val="00852B2E"/>
    <w:rsid w:val="00852CA3"/>
    <w:rsid w:val="00852F2E"/>
    <w:rsid w:val="008533A0"/>
    <w:rsid w:val="00853648"/>
    <w:rsid w:val="0085364E"/>
    <w:rsid w:val="00853A34"/>
    <w:rsid w:val="00853A78"/>
    <w:rsid w:val="00854489"/>
    <w:rsid w:val="00854875"/>
    <w:rsid w:val="00854D27"/>
    <w:rsid w:val="00854D9C"/>
    <w:rsid w:val="00854FBA"/>
    <w:rsid w:val="0085501D"/>
    <w:rsid w:val="00855179"/>
    <w:rsid w:val="00855902"/>
    <w:rsid w:val="00855EF1"/>
    <w:rsid w:val="00856008"/>
    <w:rsid w:val="00856322"/>
    <w:rsid w:val="00856339"/>
    <w:rsid w:val="008564EB"/>
    <w:rsid w:val="00856703"/>
    <w:rsid w:val="00856997"/>
    <w:rsid w:val="00856E40"/>
    <w:rsid w:val="0085725D"/>
    <w:rsid w:val="00857606"/>
    <w:rsid w:val="00857A68"/>
    <w:rsid w:val="00857A70"/>
    <w:rsid w:val="00857BC0"/>
    <w:rsid w:val="00857CD0"/>
    <w:rsid w:val="00857E2B"/>
    <w:rsid w:val="00857E7A"/>
    <w:rsid w:val="00860637"/>
    <w:rsid w:val="0086069A"/>
    <w:rsid w:val="00860E09"/>
    <w:rsid w:val="0086156E"/>
    <w:rsid w:val="0086215D"/>
    <w:rsid w:val="00862523"/>
    <w:rsid w:val="00862AA2"/>
    <w:rsid w:val="00862CA2"/>
    <w:rsid w:val="00862D18"/>
    <w:rsid w:val="008635AA"/>
    <w:rsid w:val="00863B7D"/>
    <w:rsid w:val="00863E65"/>
    <w:rsid w:val="00863F6F"/>
    <w:rsid w:val="00864097"/>
    <w:rsid w:val="00864169"/>
    <w:rsid w:val="0086458F"/>
    <w:rsid w:val="00864719"/>
    <w:rsid w:val="008649AE"/>
    <w:rsid w:val="008649C2"/>
    <w:rsid w:val="00864BDD"/>
    <w:rsid w:val="00864BF1"/>
    <w:rsid w:val="00864C08"/>
    <w:rsid w:val="00864EE5"/>
    <w:rsid w:val="00865691"/>
    <w:rsid w:val="00865A99"/>
    <w:rsid w:val="00866079"/>
    <w:rsid w:val="00866287"/>
    <w:rsid w:val="008664E4"/>
    <w:rsid w:val="008666D2"/>
    <w:rsid w:val="00866752"/>
    <w:rsid w:val="008668F9"/>
    <w:rsid w:val="00866C86"/>
    <w:rsid w:val="008672E2"/>
    <w:rsid w:val="0086733C"/>
    <w:rsid w:val="00867480"/>
    <w:rsid w:val="008674BB"/>
    <w:rsid w:val="008676D4"/>
    <w:rsid w:val="008676EC"/>
    <w:rsid w:val="008676F8"/>
    <w:rsid w:val="0086772A"/>
    <w:rsid w:val="0086781C"/>
    <w:rsid w:val="00867BEB"/>
    <w:rsid w:val="00867CAE"/>
    <w:rsid w:val="00867E70"/>
    <w:rsid w:val="00870182"/>
    <w:rsid w:val="008704C4"/>
    <w:rsid w:val="00870B3C"/>
    <w:rsid w:val="00871079"/>
    <w:rsid w:val="0087181C"/>
    <w:rsid w:val="00871B3D"/>
    <w:rsid w:val="00872141"/>
    <w:rsid w:val="008721DB"/>
    <w:rsid w:val="008722AC"/>
    <w:rsid w:val="008724F6"/>
    <w:rsid w:val="008727F6"/>
    <w:rsid w:val="00872907"/>
    <w:rsid w:val="00872BFD"/>
    <w:rsid w:val="00872E40"/>
    <w:rsid w:val="00873074"/>
    <w:rsid w:val="0087316E"/>
    <w:rsid w:val="008732E4"/>
    <w:rsid w:val="008733D7"/>
    <w:rsid w:val="008733E7"/>
    <w:rsid w:val="00873B0B"/>
    <w:rsid w:val="00874112"/>
    <w:rsid w:val="00874188"/>
    <w:rsid w:val="008746A2"/>
    <w:rsid w:val="008746FF"/>
    <w:rsid w:val="008748DE"/>
    <w:rsid w:val="008754CF"/>
    <w:rsid w:val="008758D6"/>
    <w:rsid w:val="00875B96"/>
    <w:rsid w:val="00876448"/>
    <w:rsid w:val="008766BF"/>
    <w:rsid w:val="00876A5E"/>
    <w:rsid w:val="0087736D"/>
    <w:rsid w:val="008775E6"/>
    <w:rsid w:val="008776FE"/>
    <w:rsid w:val="00877792"/>
    <w:rsid w:val="00877823"/>
    <w:rsid w:val="00877879"/>
    <w:rsid w:val="008801CE"/>
    <w:rsid w:val="00880847"/>
    <w:rsid w:val="00880A3E"/>
    <w:rsid w:val="00880BA2"/>
    <w:rsid w:val="00880EBB"/>
    <w:rsid w:val="0088124A"/>
    <w:rsid w:val="00881254"/>
    <w:rsid w:val="008813C1"/>
    <w:rsid w:val="00881579"/>
    <w:rsid w:val="00881612"/>
    <w:rsid w:val="00881A1B"/>
    <w:rsid w:val="00881A55"/>
    <w:rsid w:val="00881B29"/>
    <w:rsid w:val="00881ECF"/>
    <w:rsid w:val="00882260"/>
    <w:rsid w:val="008827D8"/>
    <w:rsid w:val="008829DA"/>
    <w:rsid w:val="00882BFF"/>
    <w:rsid w:val="00882D10"/>
    <w:rsid w:val="00882F7C"/>
    <w:rsid w:val="0088321F"/>
    <w:rsid w:val="008836DF"/>
    <w:rsid w:val="008836EC"/>
    <w:rsid w:val="00884095"/>
    <w:rsid w:val="008840D7"/>
    <w:rsid w:val="0088436D"/>
    <w:rsid w:val="008843DB"/>
    <w:rsid w:val="008843F0"/>
    <w:rsid w:val="00884985"/>
    <w:rsid w:val="00884A6F"/>
    <w:rsid w:val="00884AAB"/>
    <w:rsid w:val="00884ACC"/>
    <w:rsid w:val="00884AD0"/>
    <w:rsid w:val="00884C83"/>
    <w:rsid w:val="00884D53"/>
    <w:rsid w:val="00884F4C"/>
    <w:rsid w:val="00885270"/>
    <w:rsid w:val="008853F7"/>
    <w:rsid w:val="00885604"/>
    <w:rsid w:val="008857D9"/>
    <w:rsid w:val="0088604D"/>
    <w:rsid w:val="008861AC"/>
    <w:rsid w:val="00886FE6"/>
    <w:rsid w:val="00887139"/>
    <w:rsid w:val="008876D3"/>
    <w:rsid w:val="00887870"/>
    <w:rsid w:val="0088787C"/>
    <w:rsid w:val="008879E3"/>
    <w:rsid w:val="00890405"/>
    <w:rsid w:val="00890488"/>
    <w:rsid w:val="00890602"/>
    <w:rsid w:val="00890740"/>
    <w:rsid w:val="008907AD"/>
    <w:rsid w:val="0089090A"/>
    <w:rsid w:val="00890CE4"/>
    <w:rsid w:val="00890D7C"/>
    <w:rsid w:val="00891510"/>
    <w:rsid w:val="008915F5"/>
    <w:rsid w:val="00891CC9"/>
    <w:rsid w:val="00892042"/>
    <w:rsid w:val="00892580"/>
    <w:rsid w:val="00892845"/>
    <w:rsid w:val="00892B5F"/>
    <w:rsid w:val="00892FEF"/>
    <w:rsid w:val="0089350E"/>
    <w:rsid w:val="00893917"/>
    <w:rsid w:val="00893D49"/>
    <w:rsid w:val="008940B7"/>
    <w:rsid w:val="00894264"/>
    <w:rsid w:val="008944CC"/>
    <w:rsid w:val="008945C6"/>
    <w:rsid w:val="00894601"/>
    <w:rsid w:val="008949A9"/>
    <w:rsid w:val="00894DF6"/>
    <w:rsid w:val="00895002"/>
    <w:rsid w:val="00895176"/>
    <w:rsid w:val="008951D7"/>
    <w:rsid w:val="008956F1"/>
    <w:rsid w:val="0089572A"/>
    <w:rsid w:val="0089584B"/>
    <w:rsid w:val="008958EB"/>
    <w:rsid w:val="00895A98"/>
    <w:rsid w:val="00895AF0"/>
    <w:rsid w:val="00895B3C"/>
    <w:rsid w:val="00895C9E"/>
    <w:rsid w:val="00895D9D"/>
    <w:rsid w:val="00896092"/>
    <w:rsid w:val="008962FD"/>
    <w:rsid w:val="0089657E"/>
    <w:rsid w:val="00896D86"/>
    <w:rsid w:val="00896E8F"/>
    <w:rsid w:val="00896EA1"/>
    <w:rsid w:val="00897139"/>
    <w:rsid w:val="00897438"/>
    <w:rsid w:val="00897B01"/>
    <w:rsid w:val="00897B97"/>
    <w:rsid w:val="00897C1B"/>
    <w:rsid w:val="00897D99"/>
    <w:rsid w:val="00897DEA"/>
    <w:rsid w:val="008A0246"/>
    <w:rsid w:val="008A061E"/>
    <w:rsid w:val="008A13F2"/>
    <w:rsid w:val="008A18CA"/>
    <w:rsid w:val="008A1913"/>
    <w:rsid w:val="008A1B2B"/>
    <w:rsid w:val="008A1B85"/>
    <w:rsid w:val="008A1C9E"/>
    <w:rsid w:val="008A1D5A"/>
    <w:rsid w:val="008A1FF0"/>
    <w:rsid w:val="008A2386"/>
    <w:rsid w:val="008A25C0"/>
    <w:rsid w:val="008A279D"/>
    <w:rsid w:val="008A2B53"/>
    <w:rsid w:val="008A2B63"/>
    <w:rsid w:val="008A2B89"/>
    <w:rsid w:val="008A2F40"/>
    <w:rsid w:val="008A3006"/>
    <w:rsid w:val="008A3265"/>
    <w:rsid w:val="008A3270"/>
    <w:rsid w:val="008A33B6"/>
    <w:rsid w:val="008A33F8"/>
    <w:rsid w:val="008A344A"/>
    <w:rsid w:val="008A381D"/>
    <w:rsid w:val="008A38E2"/>
    <w:rsid w:val="008A3CC7"/>
    <w:rsid w:val="008A3D3B"/>
    <w:rsid w:val="008A3EDC"/>
    <w:rsid w:val="008A476A"/>
    <w:rsid w:val="008A4AD9"/>
    <w:rsid w:val="008A4D8A"/>
    <w:rsid w:val="008A4D8D"/>
    <w:rsid w:val="008A4DBF"/>
    <w:rsid w:val="008A4E93"/>
    <w:rsid w:val="008A55D5"/>
    <w:rsid w:val="008A5773"/>
    <w:rsid w:val="008A59C2"/>
    <w:rsid w:val="008A5A0A"/>
    <w:rsid w:val="008A5B27"/>
    <w:rsid w:val="008A6338"/>
    <w:rsid w:val="008A664B"/>
    <w:rsid w:val="008A67FB"/>
    <w:rsid w:val="008A6C6D"/>
    <w:rsid w:val="008A72FE"/>
    <w:rsid w:val="008A7331"/>
    <w:rsid w:val="008A7421"/>
    <w:rsid w:val="008A7929"/>
    <w:rsid w:val="008A7FC6"/>
    <w:rsid w:val="008B0300"/>
    <w:rsid w:val="008B06E9"/>
    <w:rsid w:val="008B06EB"/>
    <w:rsid w:val="008B0BBD"/>
    <w:rsid w:val="008B14CE"/>
    <w:rsid w:val="008B15EB"/>
    <w:rsid w:val="008B16FF"/>
    <w:rsid w:val="008B1783"/>
    <w:rsid w:val="008B1988"/>
    <w:rsid w:val="008B1B04"/>
    <w:rsid w:val="008B1CBC"/>
    <w:rsid w:val="008B1D98"/>
    <w:rsid w:val="008B1DA0"/>
    <w:rsid w:val="008B2267"/>
    <w:rsid w:val="008B22D8"/>
    <w:rsid w:val="008B2304"/>
    <w:rsid w:val="008B2408"/>
    <w:rsid w:val="008B2D5B"/>
    <w:rsid w:val="008B3011"/>
    <w:rsid w:val="008B3D8E"/>
    <w:rsid w:val="008B414C"/>
    <w:rsid w:val="008B4A5D"/>
    <w:rsid w:val="008B50A1"/>
    <w:rsid w:val="008B516A"/>
    <w:rsid w:val="008B5879"/>
    <w:rsid w:val="008B5913"/>
    <w:rsid w:val="008B59AA"/>
    <w:rsid w:val="008B5D0E"/>
    <w:rsid w:val="008B5ECF"/>
    <w:rsid w:val="008B6228"/>
    <w:rsid w:val="008B66DB"/>
    <w:rsid w:val="008B677D"/>
    <w:rsid w:val="008B6E2D"/>
    <w:rsid w:val="008B6F83"/>
    <w:rsid w:val="008B73D0"/>
    <w:rsid w:val="008B7459"/>
    <w:rsid w:val="008B75DC"/>
    <w:rsid w:val="008B7A70"/>
    <w:rsid w:val="008B7BDF"/>
    <w:rsid w:val="008B7E77"/>
    <w:rsid w:val="008C0AE3"/>
    <w:rsid w:val="008C0BE1"/>
    <w:rsid w:val="008C0DA1"/>
    <w:rsid w:val="008C126E"/>
    <w:rsid w:val="008C1431"/>
    <w:rsid w:val="008C1641"/>
    <w:rsid w:val="008C16CF"/>
    <w:rsid w:val="008C1823"/>
    <w:rsid w:val="008C19F4"/>
    <w:rsid w:val="008C1C81"/>
    <w:rsid w:val="008C2317"/>
    <w:rsid w:val="008C2433"/>
    <w:rsid w:val="008C24B6"/>
    <w:rsid w:val="008C251D"/>
    <w:rsid w:val="008C29C7"/>
    <w:rsid w:val="008C2C19"/>
    <w:rsid w:val="008C2CB9"/>
    <w:rsid w:val="008C2E37"/>
    <w:rsid w:val="008C3421"/>
    <w:rsid w:val="008C36D7"/>
    <w:rsid w:val="008C389F"/>
    <w:rsid w:val="008C403C"/>
    <w:rsid w:val="008C4705"/>
    <w:rsid w:val="008C472A"/>
    <w:rsid w:val="008C4756"/>
    <w:rsid w:val="008C49F0"/>
    <w:rsid w:val="008C4FBA"/>
    <w:rsid w:val="008C51AE"/>
    <w:rsid w:val="008C5382"/>
    <w:rsid w:val="008C5AD8"/>
    <w:rsid w:val="008C5D65"/>
    <w:rsid w:val="008C616E"/>
    <w:rsid w:val="008C655C"/>
    <w:rsid w:val="008C66CE"/>
    <w:rsid w:val="008C6786"/>
    <w:rsid w:val="008C6AEF"/>
    <w:rsid w:val="008C72EC"/>
    <w:rsid w:val="008C7E82"/>
    <w:rsid w:val="008D0034"/>
    <w:rsid w:val="008D0302"/>
    <w:rsid w:val="008D05B6"/>
    <w:rsid w:val="008D0C1D"/>
    <w:rsid w:val="008D0C39"/>
    <w:rsid w:val="008D0C4D"/>
    <w:rsid w:val="008D1176"/>
    <w:rsid w:val="008D182D"/>
    <w:rsid w:val="008D1A65"/>
    <w:rsid w:val="008D1CAE"/>
    <w:rsid w:val="008D1EA1"/>
    <w:rsid w:val="008D1FD7"/>
    <w:rsid w:val="008D227A"/>
    <w:rsid w:val="008D2AB5"/>
    <w:rsid w:val="008D2CF9"/>
    <w:rsid w:val="008D2EA8"/>
    <w:rsid w:val="008D3B0D"/>
    <w:rsid w:val="008D416D"/>
    <w:rsid w:val="008D45AC"/>
    <w:rsid w:val="008D4616"/>
    <w:rsid w:val="008D4AB8"/>
    <w:rsid w:val="008D4F13"/>
    <w:rsid w:val="008D51B0"/>
    <w:rsid w:val="008D637E"/>
    <w:rsid w:val="008D6421"/>
    <w:rsid w:val="008D6684"/>
    <w:rsid w:val="008D6697"/>
    <w:rsid w:val="008D6828"/>
    <w:rsid w:val="008D772D"/>
    <w:rsid w:val="008D7E8E"/>
    <w:rsid w:val="008E0158"/>
    <w:rsid w:val="008E0278"/>
    <w:rsid w:val="008E0EB5"/>
    <w:rsid w:val="008E1534"/>
    <w:rsid w:val="008E1899"/>
    <w:rsid w:val="008E1E05"/>
    <w:rsid w:val="008E2521"/>
    <w:rsid w:val="008E26F6"/>
    <w:rsid w:val="008E2795"/>
    <w:rsid w:val="008E2C4B"/>
    <w:rsid w:val="008E3052"/>
    <w:rsid w:val="008E31AD"/>
    <w:rsid w:val="008E31C5"/>
    <w:rsid w:val="008E3398"/>
    <w:rsid w:val="008E33E2"/>
    <w:rsid w:val="008E3484"/>
    <w:rsid w:val="008E36F1"/>
    <w:rsid w:val="008E3BFC"/>
    <w:rsid w:val="008E3C17"/>
    <w:rsid w:val="008E3E9A"/>
    <w:rsid w:val="008E3F77"/>
    <w:rsid w:val="008E4118"/>
    <w:rsid w:val="008E42C7"/>
    <w:rsid w:val="008E4639"/>
    <w:rsid w:val="008E5487"/>
    <w:rsid w:val="008E5599"/>
    <w:rsid w:val="008E565E"/>
    <w:rsid w:val="008E5733"/>
    <w:rsid w:val="008E57E7"/>
    <w:rsid w:val="008E591D"/>
    <w:rsid w:val="008E5BA6"/>
    <w:rsid w:val="008E5E38"/>
    <w:rsid w:val="008E5E42"/>
    <w:rsid w:val="008E61AE"/>
    <w:rsid w:val="008E6220"/>
    <w:rsid w:val="008E6393"/>
    <w:rsid w:val="008E6456"/>
    <w:rsid w:val="008E6567"/>
    <w:rsid w:val="008E6756"/>
    <w:rsid w:val="008E6A24"/>
    <w:rsid w:val="008E6AFD"/>
    <w:rsid w:val="008E6F71"/>
    <w:rsid w:val="008E711A"/>
    <w:rsid w:val="008E71B3"/>
    <w:rsid w:val="008E74BB"/>
    <w:rsid w:val="008E7AE0"/>
    <w:rsid w:val="008E7F86"/>
    <w:rsid w:val="008F023E"/>
    <w:rsid w:val="008F0BF1"/>
    <w:rsid w:val="008F149A"/>
    <w:rsid w:val="008F1BBA"/>
    <w:rsid w:val="008F1C6A"/>
    <w:rsid w:val="008F210B"/>
    <w:rsid w:val="008F230B"/>
    <w:rsid w:val="008F2515"/>
    <w:rsid w:val="008F2685"/>
    <w:rsid w:val="008F2931"/>
    <w:rsid w:val="008F299D"/>
    <w:rsid w:val="008F2E80"/>
    <w:rsid w:val="008F31A9"/>
    <w:rsid w:val="008F38AC"/>
    <w:rsid w:val="008F3C68"/>
    <w:rsid w:val="008F3E89"/>
    <w:rsid w:val="008F4226"/>
    <w:rsid w:val="008F4454"/>
    <w:rsid w:val="008F4585"/>
    <w:rsid w:val="008F46E9"/>
    <w:rsid w:val="008F49A4"/>
    <w:rsid w:val="008F5034"/>
    <w:rsid w:val="008F504D"/>
    <w:rsid w:val="008F53B6"/>
    <w:rsid w:val="008F57D7"/>
    <w:rsid w:val="008F5925"/>
    <w:rsid w:val="008F592A"/>
    <w:rsid w:val="008F5B39"/>
    <w:rsid w:val="008F5C8D"/>
    <w:rsid w:val="008F5DB8"/>
    <w:rsid w:val="008F61E7"/>
    <w:rsid w:val="008F62E6"/>
    <w:rsid w:val="008F671D"/>
    <w:rsid w:val="008F675F"/>
    <w:rsid w:val="008F68DC"/>
    <w:rsid w:val="008F6906"/>
    <w:rsid w:val="008F6B2D"/>
    <w:rsid w:val="008F6B60"/>
    <w:rsid w:val="008F711F"/>
    <w:rsid w:val="008F74ED"/>
    <w:rsid w:val="008F762D"/>
    <w:rsid w:val="008F7731"/>
    <w:rsid w:val="008F7A07"/>
    <w:rsid w:val="008F7C91"/>
    <w:rsid w:val="009000FA"/>
    <w:rsid w:val="009005D3"/>
    <w:rsid w:val="00900674"/>
    <w:rsid w:val="0090081C"/>
    <w:rsid w:val="00900FAE"/>
    <w:rsid w:val="0090120A"/>
    <w:rsid w:val="00901804"/>
    <w:rsid w:val="00901B0B"/>
    <w:rsid w:val="0090284E"/>
    <w:rsid w:val="00902B06"/>
    <w:rsid w:val="00902FF6"/>
    <w:rsid w:val="0090362E"/>
    <w:rsid w:val="00903641"/>
    <w:rsid w:val="00903B49"/>
    <w:rsid w:val="00903CCC"/>
    <w:rsid w:val="00903DA5"/>
    <w:rsid w:val="00904187"/>
    <w:rsid w:val="009042A0"/>
    <w:rsid w:val="009046DD"/>
    <w:rsid w:val="0090477E"/>
    <w:rsid w:val="0090481C"/>
    <w:rsid w:val="00904EBB"/>
    <w:rsid w:val="00904F6A"/>
    <w:rsid w:val="00904F91"/>
    <w:rsid w:val="00905155"/>
    <w:rsid w:val="009052D6"/>
    <w:rsid w:val="00905FCA"/>
    <w:rsid w:val="00905FF4"/>
    <w:rsid w:val="009063A2"/>
    <w:rsid w:val="009064F8"/>
    <w:rsid w:val="009065AB"/>
    <w:rsid w:val="009065D5"/>
    <w:rsid w:val="00906865"/>
    <w:rsid w:val="00906979"/>
    <w:rsid w:val="00906E58"/>
    <w:rsid w:val="009072C9"/>
    <w:rsid w:val="0090791F"/>
    <w:rsid w:val="00907F13"/>
    <w:rsid w:val="00907F7A"/>
    <w:rsid w:val="009100C5"/>
    <w:rsid w:val="009101EF"/>
    <w:rsid w:val="009102D9"/>
    <w:rsid w:val="0091074E"/>
    <w:rsid w:val="009109E0"/>
    <w:rsid w:val="00910AB7"/>
    <w:rsid w:val="00910D0E"/>
    <w:rsid w:val="00911199"/>
    <w:rsid w:val="0091127E"/>
    <w:rsid w:val="009113F2"/>
    <w:rsid w:val="0091260D"/>
    <w:rsid w:val="0091339F"/>
    <w:rsid w:val="00913B91"/>
    <w:rsid w:val="0091446A"/>
    <w:rsid w:val="00914531"/>
    <w:rsid w:val="009146CA"/>
    <w:rsid w:val="009146D6"/>
    <w:rsid w:val="009146DA"/>
    <w:rsid w:val="0091486E"/>
    <w:rsid w:val="00915387"/>
    <w:rsid w:val="00915757"/>
    <w:rsid w:val="00915A41"/>
    <w:rsid w:val="00915A81"/>
    <w:rsid w:val="00915E5C"/>
    <w:rsid w:val="00915F8F"/>
    <w:rsid w:val="009164A4"/>
    <w:rsid w:val="00917831"/>
    <w:rsid w:val="00917DFE"/>
    <w:rsid w:val="009204D7"/>
    <w:rsid w:val="009204E1"/>
    <w:rsid w:val="009206A3"/>
    <w:rsid w:val="00920A0C"/>
    <w:rsid w:val="00920E2E"/>
    <w:rsid w:val="00920FE5"/>
    <w:rsid w:val="009215CD"/>
    <w:rsid w:val="00921FA6"/>
    <w:rsid w:val="0092208C"/>
    <w:rsid w:val="00922110"/>
    <w:rsid w:val="00922383"/>
    <w:rsid w:val="00922768"/>
    <w:rsid w:val="00922A89"/>
    <w:rsid w:val="00922A93"/>
    <w:rsid w:val="00923CAA"/>
    <w:rsid w:val="00923CD8"/>
    <w:rsid w:val="00923DE3"/>
    <w:rsid w:val="00923F7A"/>
    <w:rsid w:val="009240AB"/>
    <w:rsid w:val="0092416E"/>
    <w:rsid w:val="00924184"/>
    <w:rsid w:val="009241A2"/>
    <w:rsid w:val="00924281"/>
    <w:rsid w:val="009244EF"/>
    <w:rsid w:val="00924FAE"/>
    <w:rsid w:val="00925037"/>
    <w:rsid w:val="00925271"/>
    <w:rsid w:val="0092593A"/>
    <w:rsid w:val="009259ED"/>
    <w:rsid w:val="00925B8F"/>
    <w:rsid w:val="009260BE"/>
    <w:rsid w:val="00926930"/>
    <w:rsid w:val="00926CF8"/>
    <w:rsid w:val="00927151"/>
    <w:rsid w:val="00927455"/>
    <w:rsid w:val="00927638"/>
    <w:rsid w:val="00927904"/>
    <w:rsid w:val="00927EA5"/>
    <w:rsid w:val="009302F3"/>
    <w:rsid w:val="0093043E"/>
    <w:rsid w:val="0093044E"/>
    <w:rsid w:val="00930684"/>
    <w:rsid w:val="0093090D"/>
    <w:rsid w:val="00930CFB"/>
    <w:rsid w:val="00930DDF"/>
    <w:rsid w:val="00930F57"/>
    <w:rsid w:val="00931037"/>
    <w:rsid w:val="00931067"/>
    <w:rsid w:val="0093106B"/>
    <w:rsid w:val="009314E0"/>
    <w:rsid w:val="00931948"/>
    <w:rsid w:val="00931B1E"/>
    <w:rsid w:val="00931B64"/>
    <w:rsid w:val="00931D5A"/>
    <w:rsid w:val="00931FC8"/>
    <w:rsid w:val="00932088"/>
    <w:rsid w:val="00932A70"/>
    <w:rsid w:val="00932C2A"/>
    <w:rsid w:val="00932E70"/>
    <w:rsid w:val="009331AB"/>
    <w:rsid w:val="00933383"/>
    <w:rsid w:val="00933781"/>
    <w:rsid w:val="00933A35"/>
    <w:rsid w:val="00933AA1"/>
    <w:rsid w:val="00933E9B"/>
    <w:rsid w:val="00934351"/>
    <w:rsid w:val="0093450F"/>
    <w:rsid w:val="00934987"/>
    <w:rsid w:val="0093504D"/>
    <w:rsid w:val="0093583D"/>
    <w:rsid w:val="00935B1D"/>
    <w:rsid w:val="00935BE7"/>
    <w:rsid w:val="00935BF2"/>
    <w:rsid w:val="00935E3A"/>
    <w:rsid w:val="0093601C"/>
    <w:rsid w:val="009363CD"/>
    <w:rsid w:val="0093646A"/>
    <w:rsid w:val="00936F7D"/>
    <w:rsid w:val="009370AA"/>
    <w:rsid w:val="009379CE"/>
    <w:rsid w:val="00937A4B"/>
    <w:rsid w:val="00937BCF"/>
    <w:rsid w:val="00937EC4"/>
    <w:rsid w:val="009400F5"/>
    <w:rsid w:val="00940386"/>
    <w:rsid w:val="009405CD"/>
    <w:rsid w:val="00941095"/>
    <w:rsid w:val="00941432"/>
    <w:rsid w:val="0094146D"/>
    <w:rsid w:val="009416C6"/>
    <w:rsid w:val="0094185B"/>
    <w:rsid w:val="009419C3"/>
    <w:rsid w:val="00941CAA"/>
    <w:rsid w:val="00941F0D"/>
    <w:rsid w:val="00942342"/>
    <w:rsid w:val="0094237C"/>
    <w:rsid w:val="009424C0"/>
    <w:rsid w:val="009425A2"/>
    <w:rsid w:val="009427F7"/>
    <w:rsid w:val="00942BB3"/>
    <w:rsid w:val="00942CEC"/>
    <w:rsid w:val="00942DAD"/>
    <w:rsid w:val="009430B3"/>
    <w:rsid w:val="00943425"/>
    <w:rsid w:val="0094343E"/>
    <w:rsid w:val="009434B2"/>
    <w:rsid w:val="009437E1"/>
    <w:rsid w:val="00943B11"/>
    <w:rsid w:val="00943FC2"/>
    <w:rsid w:val="00944632"/>
    <w:rsid w:val="009447A3"/>
    <w:rsid w:val="009449E7"/>
    <w:rsid w:val="00944A85"/>
    <w:rsid w:val="00944AC4"/>
    <w:rsid w:val="00944DB4"/>
    <w:rsid w:val="009450A2"/>
    <w:rsid w:val="009450C0"/>
    <w:rsid w:val="0094529D"/>
    <w:rsid w:val="00945D85"/>
    <w:rsid w:val="00945F34"/>
    <w:rsid w:val="009463C0"/>
    <w:rsid w:val="00946893"/>
    <w:rsid w:val="00946D78"/>
    <w:rsid w:val="0094769E"/>
    <w:rsid w:val="00947744"/>
    <w:rsid w:val="009501CA"/>
    <w:rsid w:val="0095021B"/>
    <w:rsid w:val="0095087C"/>
    <w:rsid w:val="00950C2D"/>
    <w:rsid w:val="00950DDA"/>
    <w:rsid w:val="00951113"/>
    <w:rsid w:val="00951324"/>
    <w:rsid w:val="0095176B"/>
    <w:rsid w:val="009518E5"/>
    <w:rsid w:val="00951F29"/>
    <w:rsid w:val="009523AF"/>
    <w:rsid w:val="0095245A"/>
    <w:rsid w:val="0095251D"/>
    <w:rsid w:val="009527D5"/>
    <w:rsid w:val="00952815"/>
    <w:rsid w:val="00952D43"/>
    <w:rsid w:val="00952F8D"/>
    <w:rsid w:val="00953343"/>
    <w:rsid w:val="00953A64"/>
    <w:rsid w:val="00953C15"/>
    <w:rsid w:val="00953C3A"/>
    <w:rsid w:val="00953E1A"/>
    <w:rsid w:val="00953F95"/>
    <w:rsid w:val="0095426F"/>
    <w:rsid w:val="009545AC"/>
    <w:rsid w:val="0095463F"/>
    <w:rsid w:val="00954AE7"/>
    <w:rsid w:val="00954CD2"/>
    <w:rsid w:val="00954D4A"/>
    <w:rsid w:val="00954F8F"/>
    <w:rsid w:val="009552C7"/>
    <w:rsid w:val="00955CAF"/>
    <w:rsid w:val="00955DA7"/>
    <w:rsid w:val="0095608F"/>
    <w:rsid w:val="0095616E"/>
    <w:rsid w:val="00956342"/>
    <w:rsid w:val="00956438"/>
    <w:rsid w:val="009564E6"/>
    <w:rsid w:val="009567A8"/>
    <w:rsid w:val="00956D09"/>
    <w:rsid w:val="00956DA4"/>
    <w:rsid w:val="00957329"/>
    <w:rsid w:val="009575CF"/>
    <w:rsid w:val="00957831"/>
    <w:rsid w:val="009579D3"/>
    <w:rsid w:val="009579F0"/>
    <w:rsid w:val="00957A2D"/>
    <w:rsid w:val="00957B28"/>
    <w:rsid w:val="00957BA1"/>
    <w:rsid w:val="00957EDE"/>
    <w:rsid w:val="00960528"/>
    <w:rsid w:val="009606AD"/>
    <w:rsid w:val="0096076C"/>
    <w:rsid w:val="00960A5A"/>
    <w:rsid w:val="00960F8E"/>
    <w:rsid w:val="009610A1"/>
    <w:rsid w:val="00961496"/>
    <w:rsid w:val="0096191F"/>
    <w:rsid w:val="00961A5A"/>
    <w:rsid w:val="00961D38"/>
    <w:rsid w:val="009624EB"/>
    <w:rsid w:val="00963055"/>
    <w:rsid w:val="00963197"/>
    <w:rsid w:val="0096322D"/>
    <w:rsid w:val="009633C6"/>
    <w:rsid w:val="00963990"/>
    <w:rsid w:val="00963FF4"/>
    <w:rsid w:val="00964090"/>
    <w:rsid w:val="009640F4"/>
    <w:rsid w:val="0096418B"/>
    <w:rsid w:val="009642C8"/>
    <w:rsid w:val="0096446B"/>
    <w:rsid w:val="009646EF"/>
    <w:rsid w:val="00965089"/>
    <w:rsid w:val="0096551C"/>
    <w:rsid w:val="009656DA"/>
    <w:rsid w:val="009658E4"/>
    <w:rsid w:val="00965955"/>
    <w:rsid w:val="00965CF1"/>
    <w:rsid w:val="00965CF4"/>
    <w:rsid w:val="00966709"/>
    <w:rsid w:val="0096672C"/>
    <w:rsid w:val="00966848"/>
    <w:rsid w:val="009668CE"/>
    <w:rsid w:val="00966AC8"/>
    <w:rsid w:val="00966F10"/>
    <w:rsid w:val="0096709C"/>
    <w:rsid w:val="0096718A"/>
    <w:rsid w:val="009676E1"/>
    <w:rsid w:val="00967770"/>
    <w:rsid w:val="00967976"/>
    <w:rsid w:val="00967AD2"/>
    <w:rsid w:val="00967F87"/>
    <w:rsid w:val="009706A2"/>
    <w:rsid w:val="00970A0E"/>
    <w:rsid w:val="00970F73"/>
    <w:rsid w:val="009711EF"/>
    <w:rsid w:val="0097122C"/>
    <w:rsid w:val="00971906"/>
    <w:rsid w:val="00971A13"/>
    <w:rsid w:val="00971D80"/>
    <w:rsid w:val="0097206E"/>
    <w:rsid w:val="0097211E"/>
    <w:rsid w:val="009726A6"/>
    <w:rsid w:val="009726B9"/>
    <w:rsid w:val="0097277B"/>
    <w:rsid w:val="00972BA8"/>
    <w:rsid w:val="00972F86"/>
    <w:rsid w:val="009732D3"/>
    <w:rsid w:val="00973601"/>
    <w:rsid w:val="00973A56"/>
    <w:rsid w:val="00973CCB"/>
    <w:rsid w:val="00973F50"/>
    <w:rsid w:val="009740AF"/>
    <w:rsid w:val="0097443F"/>
    <w:rsid w:val="009744B7"/>
    <w:rsid w:val="00974678"/>
    <w:rsid w:val="0097481C"/>
    <w:rsid w:val="00974AFB"/>
    <w:rsid w:val="00974B6E"/>
    <w:rsid w:val="00974CE3"/>
    <w:rsid w:val="0097510A"/>
    <w:rsid w:val="00975301"/>
    <w:rsid w:val="0097576F"/>
    <w:rsid w:val="009759A2"/>
    <w:rsid w:val="00975E14"/>
    <w:rsid w:val="00975ED8"/>
    <w:rsid w:val="00975F7C"/>
    <w:rsid w:val="009763AE"/>
    <w:rsid w:val="009765B8"/>
    <w:rsid w:val="00976641"/>
    <w:rsid w:val="009768D7"/>
    <w:rsid w:val="00976B1C"/>
    <w:rsid w:val="009778DB"/>
    <w:rsid w:val="009778FB"/>
    <w:rsid w:val="009800BC"/>
    <w:rsid w:val="00980440"/>
    <w:rsid w:val="00980FAD"/>
    <w:rsid w:val="0098104C"/>
    <w:rsid w:val="00981065"/>
    <w:rsid w:val="0098108D"/>
    <w:rsid w:val="009812C5"/>
    <w:rsid w:val="009815BB"/>
    <w:rsid w:val="00981858"/>
    <w:rsid w:val="00981874"/>
    <w:rsid w:val="00981932"/>
    <w:rsid w:val="00981DA9"/>
    <w:rsid w:val="00981E3D"/>
    <w:rsid w:val="00982012"/>
    <w:rsid w:val="00982177"/>
    <w:rsid w:val="009824E4"/>
    <w:rsid w:val="009826CC"/>
    <w:rsid w:val="00982E3A"/>
    <w:rsid w:val="00982ECD"/>
    <w:rsid w:val="00983737"/>
    <w:rsid w:val="00983766"/>
    <w:rsid w:val="0098389D"/>
    <w:rsid w:val="009839B4"/>
    <w:rsid w:val="00984264"/>
    <w:rsid w:val="009842F3"/>
    <w:rsid w:val="009845DB"/>
    <w:rsid w:val="0098463D"/>
    <w:rsid w:val="0098477D"/>
    <w:rsid w:val="00984C34"/>
    <w:rsid w:val="0098515E"/>
    <w:rsid w:val="009851CE"/>
    <w:rsid w:val="009854AD"/>
    <w:rsid w:val="00985D16"/>
    <w:rsid w:val="00985E0F"/>
    <w:rsid w:val="009868AE"/>
    <w:rsid w:val="00986959"/>
    <w:rsid w:val="00986BC7"/>
    <w:rsid w:val="00986F03"/>
    <w:rsid w:val="00986FB0"/>
    <w:rsid w:val="009871BE"/>
    <w:rsid w:val="009871CB"/>
    <w:rsid w:val="0098742E"/>
    <w:rsid w:val="0099019E"/>
    <w:rsid w:val="00990527"/>
    <w:rsid w:val="00990BD8"/>
    <w:rsid w:val="00990EA8"/>
    <w:rsid w:val="00991427"/>
    <w:rsid w:val="00991605"/>
    <w:rsid w:val="009918BA"/>
    <w:rsid w:val="0099195A"/>
    <w:rsid w:val="00991AB4"/>
    <w:rsid w:val="00991C95"/>
    <w:rsid w:val="00991E68"/>
    <w:rsid w:val="009921E1"/>
    <w:rsid w:val="009922DF"/>
    <w:rsid w:val="00992424"/>
    <w:rsid w:val="00992516"/>
    <w:rsid w:val="00992D07"/>
    <w:rsid w:val="0099341A"/>
    <w:rsid w:val="0099348F"/>
    <w:rsid w:val="00993634"/>
    <w:rsid w:val="00993988"/>
    <w:rsid w:val="0099398D"/>
    <w:rsid w:val="00993A0A"/>
    <w:rsid w:val="00993C0B"/>
    <w:rsid w:val="00993DDD"/>
    <w:rsid w:val="00994150"/>
    <w:rsid w:val="00994242"/>
    <w:rsid w:val="009942CB"/>
    <w:rsid w:val="00994788"/>
    <w:rsid w:val="00994A80"/>
    <w:rsid w:val="00994CAC"/>
    <w:rsid w:val="00994EBA"/>
    <w:rsid w:val="00994FA9"/>
    <w:rsid w:val="0099527E"/>
    <w:rsid w:val="00995485"/>
    <w:rsid w:val="0099558F"/>
    <w:rsid w:val="00995CF2"/>
    <w:rsid w:val="00995DA9"/>
    <w:rsid w:val="00996302"/>
    <w:rsid w:val="009964A9"/>
    <w:rsid w:val="009967DC"/>
    <w:rsid w:val="00996873"/>
    <w:rsid w:val="00996AE0"/>
    <w:rsid w:val="00996BF5"/>
    <w:rsid w:val="00996D7A"/>
    <w:rsid w:val="009973BD"/>
    <w:rsid w:val="00997507"/>
    <w:rsid w:val="00997768"/>
    <w:rsid w:val="00997E3F"/>
    <w:rsid w:val="00997FB6"/>
    <w:rsid w:val="009A02AE"/>
    <w:rsid w:val="009A0648"/>
    <w:rsid w:val="009A06FB"/>
    <w:rsid w:val="009A087B"/>
    <w:rsid w:val="009A0B66"/>
    <w:rsid w:val="009A0E44"/>
    <w:rsid w:val="009A0F56"/>
    <w:rsid w:val="009A0FD1"/>
    <w:rsid w:val="009A120A"/>
    <w:rsid w:val="009A217D"/>
    <w:rsid w:val="009A25F4"/>
    <w:rsid w:val="009A2650"/>
    <w:rsid w:val="009A27B0"/>
    <w:rsid w:val="009A28E7"/>
    <w:rsid w:val="009A298E"/>
    <w:rsid w:val="009A2DA6"/>
    <w:rsid w:val="009A32E7"/>
    <w:rsid w:val="009A331A"/>
    <w:rsid w:val="009A35A6"/>
    <w:rsid w:val="009A3EB3"/>
    <w:rsid w:val="009A433E"/>
    <w:rsid w:val="009A448A"/>
    <w:rsid w:val="009A457C"/>
    <w:rsid w:val="009A45ED"/>
    <w:rsid w:val="009A481F"/>
    <w:rsid w:val="009A5475"/>
    <w:rsid w:val="009A58AB"/>
    <w:rsid w:val="009A5C71"/>
    <w:rsid w:val="009A5E99"/>
    <w:rsid w:val="009A6063"/>
    <w:rsid w:val="009A64A4"/>
    <w:rsid w:val="009A669C"/>
    <w:rsid w:val="009A66B7"/>
    <w:rsid w:val="009A76AC"/>
    <w:rsid w:val="009A77A0"/>
    <w:rsid w:val="009A77E9"/>
    <w:rsid w:val="009A7814"/>
    <w:rsid w:val="009A7997"/>
    <w:rsid w:val="009A7C8D"/>
    <w:rsid w:val="009B0000"/>
    <w:rsid w:val="009B0A68"/>
    <w:rsid w:val="009B0B67"/>
    <w:rsid w:val="009B0CC1"/>
    <w:rsid w:val="009B1459"/>
    <w:rsid w:val="009B1506"/>
    <w:rsid w:val="009B1656"/>
    <w:rsid w:val="009B1740"/>
    <w:rsid w:val="009B1778"/>
    <w:rsid w:val="009B1C16"/>
    <w:rsid w:val="009B2353"/>
    <w:rsid w:val="009B24EE"/>
    <w:rsid w:val="009B2636"/>
    <w:rsid w:val="009B28C2"/>
    <w:rsid w:val="009B2946"/>
    <w:rsid w:val="009B29CD"/>
    <w:rsid w:val="009B2CE7"/>
    <w:rsid w:val="009B2D2F"/>
    <w:rsid w:val="009B2EC7"/>
    <w:rsid w:val="009B2EE0"/>
    <w:rsid w:val="009B3585"/>
    <w:rsid w:val="009B35EC"/>
    <w:rsid w:val="009B36AD"/>
    <w:rsid w:val="009B391E"/>
    <w:rsid w:val="009B3A91"/>
    <w:rsid w:val="009B3E6B"/>
    <w:rsid w:val="009B3EE6"/>
    <w:rsid w:val="009B3FEC"/>
    <w:rsid w:val="009B4108"/>
    <w:rsid w:val="009B4452"/>
    <w:rsid w:val="009B4BA6"/>
    <w:rsid w:val="009B5036"/>
    <w:rsid w:val="009B56EC"/>
    <w:rsid w:val="009B5DD0"/>
    <w:rsid w:val="009B6276"/>
    <w:rsid w:val="009B6438"/>
    <w:rsid w:val="009B6603"/>
    <w:rsid w:val="009B6BF4"/>
    <w:rsid w:val="009B7313"/>
    <w:rsid w:val="009B79DF"/>
    <w:rsid w:val="009B7A6E"/>
    <w:rsid w:val="009B7E39"/>
    <w:rsid w:val="009B7E74"/>
    <w:rsid w:val="009C0041"/>
    <w:rsid w:val="009C0237"/>
    <w:rsid w:val="009C0366"/>
    <w:rsid w:val="009C072E"/>
    <w:rsid w:val="009C0E61"/>
    <w:rsid w:val="009C0FB4"/>
    <w:rsid w:val="009C116D"/>
    <w:rsid w:val="009C1416"/>
    <w:rsid w:val="009C163D"/>
    <w:rsid w:val="009C1A58"/>
    <w:rsid w:val="009C1AE5"/>
    <w:rsid w:val="009C1C2D"/>
    <w:rsid w:val="009C1F78"/>
    <w:rsid w:val="009C2867"/>
    <w:rsid w:val="009C29AD"/>
    <w:rsid w:val="009C2A16"/>
    <w:rsid w:val="009C2BFB"/>
    <w:rsid w:val="009C2CA7"/>
    <w:rsid w:val="009C2F0A"/>
    <w:rsid w:val="009C2F48"/>
    <w:rsid w:val="009C3299"/>
    <w:rsid w:val="009C377A"/>
    <w:rsid w:val="009C38BE"/>
    <w:rsid w:val="009C3A4E"/>
    <w:rsid w:val="009C3F22"/>
    <w:rsid w:val="009C41C2"/>
    <w:rsid w:val="009C4366"/>
    <w:rsid w:val="009C49ED"/>
    <w:rsid w:val="009C4C1B"/>
    <w:rsid w:val="009C5B36"/>
    <w:rsid w:val="009C5DA1"/>
    <w:rsid w:val="009C603C"/>
    <w:rsid w:val="009C608F"/>
    <w:rsid w:val="009C6135"/>
    <w:rsid w:val="009C639B"/>
    <w:rsid w:val="009C659E"/>
    <w:rsid w:val="009C6673"/>
    <w:rsid w:val="009C67B9"/>
    <w:rsid w:val="009C6B02"/>
    <w:rsid w:val="009C7194"/>
    <w:rsid w:val="009C77AB"/>
    <w:rsid w:val="009C79D2"/>
    <w:rsid w:val="009C7A2F"/>
    <w:rsid w:val="009C7BCD"/>
    <w:rsid w:val="009C7ED5"/>
    <w:rsid w:val="009C7F89"/>
    <w:rsid w:val="009D05EE"/>
    <w:rsid w:val="009D071F"/>
    <w:rsid w:val="009D0860"/>
    <w:rsid w:val="009D08DA"/>
    <w:rsid w:val="009D0D09"/>
    <w:rsid w:val="009D0DAC"/>
    <w:rsid w:val="009D10C7"/>
    <w:rsid w:val="009D1221"/>
    <w:rsid w:val="009D13E6"/>
    <w:rsid w:val="009D1505"/>
    <w:rsid w:val="009D165B"/>
    <w:rsid w:val="009D1B42"/>
    <w:rsid w:val="009D281C"/>
    <w:rsid w:val="009D286E"/>
    <w:rsid w:val="009D2B54"/>
    <w:rsid w:val="009D2B5D"/>
    <w:rsid w:val="009D3955"/>
    <w:rsid w:val="009D39DC"/>
    <w:rsid w:val="009D3AB0"/>
    <w:rsid w:val="009D3B23"/>
    <w:rsid w:val="009D3E89"/>
    <w:rsid w:val="009D4076"/>
    <w:rsid w:val="009D48B5"/>
    <w:rsid w:val="009D4DC3"/>
    <w:rsid w:val="009D520E"/>
    <w:rsid w:val="009D526C"/>
    <w:rsid w:val="009D53B1"/>
    <w:rsid w:val="009D54DF"/>
    <w:rsid w:val="009D551B"/>
    <w:rsid w:val="009D5642"/>
    <w:rsid w:val="009D5A96"/>
    <w:rsid w:val="009D5D3A"/>
    <w:rsid w:val="009D6002"/>
    <w:rsid w:val="009D61B1"/>
    <w:rsid w:val="009D6269"/>
    <w:rsid w:val="009D6DB2"/>
    <w:rsid w:val="009D6E8C"/>
    <w:rsid w:val="009D6EA7"/>
    <w:rsid w:val="009D6F63"/>
    <w:rsid w:val="009D7028"/>
    <w:rsid w:val="009D707E"/>
    <w:rsid w:val="009D71BD"/>
    <w:rsid w:val="009D71E8"/>
    <w:rsid w:val="009D7525"/>
    <w:rsid w:val="009D7848"/>
    <w:rsid w:val="009D79E4"/>
    <w:rsid w:val="009D7D4A"/>
    <w:rsid w:val="009D7E1D"/>
    <w:rsid w:val="009D7E92"/>
    <w:rsid w:val="009E047B"/>
    <w:rsid w:val="009E0554"/>
    <w:rsid w:val="009E055A"/>
    <w:rsid w:val="009E0CA6"/>
    <w:rsid w:val="009E0CE4"/>
    <w:rsid w:val="009E158A"/>
    <w:rsid w:val="009E172B"/>
    <w:rsid w:val="009E187F"/>
    <w:rsid w:val="009E1B4B"/>
    <w:rsid w:val="009E1BC2"/>
    <w:rsid w:val="009E21FF"/>
    <w:rsid w:val="009E2411"/>
    <w:rsid w:val="009E284E"/>
    <w:rsid w:val="009E2937"/>
    <w:rsid w:val="009E2C45"/>
    <w:rsid w:val="009E2D5B"/>
    <w:rsid w:val="009E31A2"/>
    <w:rsid w:val="009E34A2"/>
    <w:rsid w:val="009E34C8"/>
    <w:rsid w:val="009E3756"/>
    <w:rsid w:val="009E39DD"/>
    <w:rsid w:val="009E3AC8"/>
    <w:rsid w:val="009E3BD1"/>
    <w:rsid w:val="009E4289"/>
    <w:rsid w:val="009E42E7"/>
    <w:rsid w:val="009E446A"/>
    <w:rsid w:val="009E4514"/>
    <w:rsid w:val="009E47FF"/>
    <w:rsid w:val="009E4812"/>
    <w:rsid w:val="009E525C"/>
    <w:rsid w:val="009E53AB"/>
    <w:rsid w:val="009E556D"/>
    <w:rsid w:val="009E55A3"/>
    <w:rsid w:val="009E5706"/>
    <w:rsid w:val="009E594A"/>
    <w:rsid w:val="009E5A41"/>
    <w:rsid w:val="009E5B84"/>
    <w:rsid w:val="009E5C6F"/>
    <w:rsid w:val="009E5E39"/>
    <w:rsid w:val="009E5ECE"/>
    <w:rsid w:val="009E5FF0"/>
    <w:rsid w:val="009E6555"/>
    <w:rsid w:val="009E666C"/>
    <w:rsid w:val="009E6CBB"/>
    <w:rsid w:val="009E7167"/>
    <w:rsid w:val="009E745A"/>
    <w:rsid w:val="009E7507"/>
    <w:rsid w:val="009E7682"/>
    <w:rsid w:val="009E77EC"/>
    <w:rsid w:val="009F0397"/>
    <w:rsid w:val="009F040D"/>
    <w:rsid w:val="009F0E07"/>
    <w:rsid w:val="009F0E7D"/>
    <w:rsid w:val="009F0EF4"/>
    <w:rsid w:val="009F11B3"/>
    <w:rsid w:val="009F12A1"/>
    <w:rsid w:val="009F14E8"/>
    <w:rsid w:val="009F1AE9"/>
    <w:rsid w:val="009F1BC1"/>
    <w:rsid w:val="009F1D65"/>
    <w:rsid w:val="009F1EB0"/>
    <w:rsid w:val="009F2AF3"/>
    <w:rsid w:val="009F2B2D"/>
    <w:rsid w:val="009F2FC9"/>
    <w:rsid w:val="009F2FD0"/>
    <w:rsid w:val="009F3323"/>
    <w:rsid w:val="009F3891"/>
    <w:rsid w:val="009F39D9"/>
    <w:rsid w:val="009F3AB1"/>
    <w:rsid w:val="009F3B19"/>
    <w:rsid w:val="009F3B2B"/>
    <w:rsid w:val="009F3B49"/>
    <w:rsid w:val="009F3C4A"/>
    <w:rsid w:val="009F4394"/>
    <w:rsid w:val="009F4868"/>
    <w:rsid w:val="009F497F"/>
    <w:rsid w:val="009F4AE1"/>
    <w:rsid w:val="009F5344"/>
    <w:rsid w:val="009F547E"/>
    <w:rsid w:val="009F5593"/>
    <w:rsid w:val="009F57E4"/>
    <w:rsid w:val="009F58DF"/>
    <w:rsid w:val="009F6114"/>
    <w:rsid w:val="009F65A6"/>
    <w:rsid w:val="009F65F6"/>
    <w:rsid w:val="009F6E61"/>
    <w:rsid w:val="009F6FDC"/>
    <w:rsid w:val="009F7623"/>
    <w:rsid w:val="009F7997"/>
    <w:rsid w:val="009F79A3"/>
    <w:rsid w:val="009F7B85"/>
    <w:rsid w:val="00A0008A"/>
    <w:rsid w:val="00A00593"/>
    <w:rsid w:val="00A007EE"/>
    <w:rsid w:val="00A0090B"/>
    <w:rsid w:val="00A0091A"/>
    <w:rsid w:val="00A00F31"/>
    <w:rsid w:val="00A011C5"/>
    <w:rsid w:val="00A012B5"/>
    <w:rsid w:val="00A0130E"/>
    <w:rsid w:val="00A0170D"/>
    <w:rsid w:val="00A01797"/>
    <w:rsid w:val="00A01CEF"/>
    <w:rsid w:val="00A01DF6"/>
    <w:rsid w:val="00A025F0"/>
    <w:rsid w:val="00A02625"/>
    <w:rsid w:val="00A02729"/>
    <w:rsid w:val="00A027D4"/>
    <w:rsid w:val="00A02990"/>
    <w:rsid w:val="00A03324"/>
    <w:rsid w:val="00A033CC"/>
    <w:rsid w:val="00A03856"/>
    <w:rsid w:val="00A03BD3"/>
    <w:rsid w:val="00A03C28"/>
    <w:rsid w:val="00A0468D"/>
    <w:rsid w:val="00A04A14"/>
    <w:rsid w:val="00A04AF2"/>
    <w:rsid w:val="00A04BC2"/>
    <w:rsid w:val="00A04E87"/>
    <w:rsid w:val="00A04FFC"/>
    <w:rsid w:val="00A05439"/>
    <w:rsid w:val="00A056DD"/>
    <w:rsid w:val="00A05DEC"/>
    <w:rsid w:val="00A05F14"/>
    <w:rsid w:val="00A05F17"/>
    <w:rsid w:val="00A06172"/>
    <w:rsid w:val="00A063AF"/>
    <w:rsid w:val="00A064A0"/>
    <w:rsid w:val="00A06518"/>
    <w:rsid w:val="00A06740"/>
    <w:rsid w:val="00A06AE8"/>
    <w:rsid w:val="00A07023"/>
    <w:rsid w:val="00A07154"/>
    <w:rsid w:val="00A07415"/>
    <w:rsid w:val="00A0797D"/>
    <w:rsid w:val="00A07AA7"/>
    <w:rsid w:val="00A07B02"/>
    <w:rsid w:val="00A07D81"/>
    <w:rsid w:val="00A07DEC"/>
    <w:rsid w:val="00A10A51"/>
    <w:rsid w:val="00A10ACA"/>
    <w:rsid w:val="00A10BB7"/>
    <w:rsid w:val="00A10C84"/>
    <w:rsid w:val="00A10DAD"/>
    <w:rsid w:val="00A11952"/>
    <w:rsid w:val="00A119A2"/>
    <w:rsid w:val="00A11BCD"/>
    <w:rsid w:val="00A11C25"/>
    <w:rsid w:val="00A120B4"/>
    <w:rsid w:val="00A12A1D"/>
    <w:rsid w:val="00A12B49"/>
    <w:rsid w:val="00A12E98"/>
    <w:rsid w:val="00A13637"/>
    <w:rsid w:val="00A13FE9"/>
    <w:rsid w:val="00A142BB"/>
    <w:rsid w:val="00A14312"/>
    <w:rsid w:val="00A1477A"/>
    <w:rsid w:val="00A14A5E"/>
    <w:rsid w:val="00A14BEE"/>
    <w:rsid w:val="00A14C09"/>
    <w:rsid w:val="00A14C61"/>
    <w:rsid w:val="00A14CCA"/>
    <w:rsid w:val="00A14F47"/>
    <w:rsid w:val="00A15AA1"/>
    <w:rsid w:val="00A16144"/>
    <w:rsid w:val="00A16266"/>
    <w:rsid w:val="00A162C2"/>
    <w:rsid w:val="00A163C1"/>
    <w:rsid w:val="00A16486"/>
    <w:rsid w:val="00A16AE5"/>
    <w:rsid w:val="00A16FC9"/>
    <w:rsid w:val="00A17402"/>
    <w:rsid w:val="00A179F0"/>
    <w:rsid w:val="00A17A23"/>
    <w:rsid w:val="00A17B7B"/>
    <w:rsid w:val="00A17CA3"/>
    <w:rsid w:val="00A201D7"/>
    <w:rsid w:val="00A2086B"/>
    <w:rsid w:val="00A20CC9"/>
    <w:rsid w:val="00A20E15"/>
    <w:rsid w:val="00A20F0E"/>
    <w:rsid w:val="00A210B7"/>
    <w:rsid w:val="00A2139A"/>
    <w:rsid w:val="00A214A5"/>
    <w:rsid w:val="00A21867"/>
    <w:rsid w:val="00A2192E"/>
    <w:rsid w:val="00A21F75"/>
    <w:rsid w:val="00A22398"/>
    <w:rsid w:val="00A225CD"/>
    <w:rsid w:val="00A22A9F"/>
    <w:rsid w:val="00A232F7"/>
    <w:rsid w:val="00A235BF"/>
    <w:rsid w:val="00A24549"/>
    <w:rsid w:val="00A24773"/>
    <w:rsid w:val="00A24842"/>
    <w:rsid w:val="00A25228"/>
    <w:rsid w:val="00A25348"/>
    <w:rsid w:val="00A25467"/>
    <w:rsid w:val="00A257AF"/>
    <w:rsid w:val="00A25AE1"/>
    <w:rsid w:val="00A25B39"/>
    <w:rsid w:val="00A261D3"/>
    <w:rsid w:val="00A261E8"/>
    <w:rsid w:val="00A2666B"/>
    <w:rsid w:val="00A26A67"/>
    <w:rsid w:val="00A26AD5"/>
    <w:rsid w:val="00A26CA2"/>
    <w:rsid w:val="00A26DC6"/>
    <w:rsid w:val="00A26FAC"/>
    <w:rsid w:val="00A271D9"/>
    <w:rsid w:val="00A27895"/>
    <w:rsid w:val="00A30132"/>
    <w:rsid w:val="00A3055C"/>
    <w:rsid w:val="00A309D2"/>
    <w:rsid w:val="00A30A91"/>
    <w:rsid w:val="00A310D7"/>
    <w:rsid w:val="00A311CA"/>
    <w:rsid w:val="00A3136E"/>
    <w:rsid w:val="00A3152E"/>
    <w:rsid w:val="00A315AB"/>
    <w:rsid w:val="00A31601"/>
    <w:rsid w:val="00A31A61"/>
    <w:rsid w:val="00A31CA4"/>
    <w:rsid w:val="00A31F90"/>
    <w:rsid w:val="00A3280E"/>
    <w:rsid w:val="00A32AD5"/>
    <w:rsid w:val="00A32C84"/>
    <w:rsid w:val="00A32C93"/>
    <w:rsid w:val="00A32E5D"/>
    <w:rsid w:val="00A3300F"/>
    <w:rsid w:val="00A33018"/>
    <w:rsid w:val="00A332A9"/>
    <w:rsid w:val="00A332F0"/>
    <w:rsid w:val="00A33450"/>
    <w:rsid w:val="00A33B6F"/>
    <w:rsid w:val="00A33BE8"/>
    <w:rsid w:val="00A33E81"/>
    <w:rsid w:val="00A34053"/>
    <w:rsid w:val="00A342A7"/>
    <w:rsid w:val="00A342F3"/>
    <w:rsid w:val="00A343A0"/>
    <w:rsid w:val="00A34BBE"/>
    <w:rsid w:val="00A34ED4"/>
    <w:rsid w:val="00A35051"/>
    <w:rsid w:val="00A35128"/>
    <w:rsid w:val="00A3550E"/>
    <w:rsid w:val="00A3570C"/>
    <w:rsid w:val="00A35A35"/>
    <w:rsid w:val="00A35AAA"/>
    <w:rsid w:val="00A35E01"/>
    <w:rsid w:val="00A36191"/>
    <w:rsid w:val="00A361CC"/>
    <w:rsid w:val="00A3645D"/>
    <w:rsid w:val="00A3678C"/>
    <w:rsid w:val="00A369BC"/>
    <w:rsid w:val="00A36B10"/>
    <w:rsid w:val="00A36CDF"/>
    <w:rsid w:val="00A36D17"/>
    <w:rsid w:val="00A36DF8"/>
    <w:rsid w:val="00A37250"/>
    <w:rsid w:val="00A37368"/>
    <w:rsid w:val="00A37BFA"/>
    <w:rsid w:val="00A37C6A"/>
    <w:rsid w:val="00A37CCB"/>
    <w:rsid w:val="00A37FC1"/>
    <w:rsid w:val="00A4005F"/>
    <w:rsid w:val="00A4008D"/>
    <w:rsid w:val="00A402EE"/>
    <w:rsid w:val="00A40786"/>
    <w:rsid w:val="00A4109C"/>
    <w:rsid w:val="00A410C0"/>
    <w:rsid w:val="00A41B41"/>
    <w:rsid w:val="00A41F4C"/>
    <w:rsid w:val="00A42046"/>
    <w:rsid w:val="00A421B4"/>
    <w:rsid w:val="00A42206"/>
    <w:rsid w:val="00A4259F"/>
    <w:rsid w:val="00A425E2"/>
    <w:rsid w:val="00A42A0D"/>
    <w:rsid w:val="00A42AF8"/>
    <w:rsid w:val="00A42C45"/>
    <w:rsid w:val="00A4307B"/>
    <w:rsid w:val="00A4365E"/>
    <w:rsid w:val="00A436EE"/>
    <w:rsid w:val="00A43B3F"/>
    <w:rsid w:val="00A43F04"/>
    <w:rsid w:val="00A441C6"/>
    <w:rsid w:val="00A443F8"/>
    <w:rsid w:val="00A44534"/>
    <w:rsid w:val="00A44B94"/>
    <w:rsid w:val="00A44D1E"/>
    <w:rsid w:val="00A451FA"/>
    <w:rsid w:val="00A4535A"/>
    <w:rsid w:val="00A45598"/>
    <w:rsid w:val="00A4568B"/>
    <w:rsid w:val="00A457B2"/>
    <w:rsid w:val="00A467CC"/>
    <w:rsid w:val="00A4691C"/>
    <w:rsid w:val="00A46CAE"/>
    <w:rsid w:val="00A46EDF"/>
    <w:rsid w:val="00A471A5"/>
    <w:rsid w:val="00A4741B"/>
    <w:rsid w:val="00A475EC"/>
    <w:rsid w:val="00A476A7"/>
    <w:rsid w:val="00A47E6B"/>
    <w:rsid w:val="00A47F90"/>
    <w:rsid w:val="00A5039B"/>
    <w:rsid w:val="00A503C0"/>
    <w:rsid w:val="00A50474"/>
    <w:rsid w:val="00A508D6"/>
    <w:rsid w:val="00A50BF0"/>
    <w:rsid w:val="00A50D46"/>
    <w:rsid w:val="00A51056"/>
    <w:rsid w:val="00A510B7"/>
    <w:rsid w:val="00A51498"/>
    <w:rsid w:val="00A51599"/>
    <w:rsid w:val="00A516EA"/>
    <w:rsid w:val="00A518DF"/>
    <w:rsid w:val="00A51C78"/>
    <w:rsid w:val="00A51FE1"/>
    <w:rsid w:val="00A52007"/>
    <w:rsid w:val="00A520A7"/>
    <w:rsid w:val="00A528DC"/>
    <w:rsid w:val="00A52CC4"/>
    <w:rsid w:val="00A52FFC"/>
    <w:rsid w:val="00A53291"/>
    <w:rsid w:val="00A536F9"/>
    <w:rsid w:val="00A539A5"/>
    <w:rsid w:val="00A53D9F"/>
    <w:rsid w:val="00A543C4"/>
    <w:rsid w:val="00A54447"/>
    <w:rsid w:val="00A5453A"/>
    <w:rsid w:val="00A5483A"/>
    <w:rsid w:val="00A54895"/>
    <w:rsid w:val="00A54FCB"/>
    <w:rsid w:val="00A553DF"/>
    <w:rsid w:val="00A554AD"/>
    <w:rsid w:val="00A55528"/>
    <w:rsid w:val="00A55C18"/>
    <w:rsid w:val="00A55F1A"/>
    <w:rsid w:val="00A56129"/>
    <w:rsid w:val="00A56479"/>
    <w:rsid w:val="00A56779"/>
    <w:rsid w:val="00A569A8"/>
    <w:rsid w:val="00A56BB7"/>
    <w:rsid w:val="00A56FF4"/>
    <w:rsid w:val="00A571D1"/>
    <w:rsid w:val="00A57300"/>
    <w:rsid w:val="00A57400"/>
    <w:rsid w:val="00A57539"/>
    <w:rsid w:val="00A57639"/>
    <w:rsid w:val="00A57EA6"/>
    <w:rsid w:val="00A57EDB"/>
    <w:rsid w:val="00A57FEF"/>
    <w:rsid w:val="00A605B5"/>
    <w:rsid w:val="00A60D3A"/>
    <w:rsid w:val="00A60E91"/>
    <w:rsid w:val="00A615A6"/>
    <w:rsid w:val="00A61907"/>
    <w:rsid w:val="00A61AD2"/>
    <w:rsid w:val="00A61D5F"/>
    <w:rsid w:val="00A61D95"/>
    <w:rsid w:val="00A61DFE"/>
    <w:rsid w:val="00A61EFD"/>
    <w:rsid w:val="00A61F32"/>
    <w:rsid w:val="00A62077"/>
    <w:rsid w:val="00A620A5"/>
    <w:rsid w:val="00A62497"/>
    <w:rsid w:val="00A6255C"/>
    <w:rsid w:val="00A625B8"/>
    <w:rsid w:val="00A62616"/>
    <w:rsid w:val="00A62648"/>
    <w:rsid w:val="00A62819"/>
    <w:rsid w:val="00A62C41"/>
    <w:rsid w:val="00A62F5D"/>
    <w:rsid w:val="00A62FE5"/>
    <w:rsid w:val="00A6301B"/>
    <w:rsid w:val="00A632F7"/>
    <w:rsid w:val="00A6343A"/>
    <w:rsid w:val="00A637BA"/>
    <w:rsid w:val="00A63C25"/>
    <w:rsid w:val="00A63D33"/>
    <w:rsid w:val="00A642E7"/>
    <w:rsid w:val="00A64681"/>
    <w:rsid w:val="00A64D00"/>
    <w:rsid w:val="00A64DCD"/>
    <w:rsid w:val="00A653F8"/>
    <w:rsid w:val="00A656EA"/>
    <w:rsid w:val="00A65B3E"/>
    <w:rsid w:val="00A65C8B"/>
    <w:rsid w:val="00A65D54"/>
    <w:rsid w:val="00A65E75"/>
    <w:rsid w:val="00A661AE"/>
    <w:rsid w:val="00A6677C"/>
    <w:rsid w:val="00A66B49"/>
    <w:rsid w:val="00A675B2"/>
    <w:rsid w:val="00A67831"/>
    <w:rsid w:val="00A67A45"/>
    <w:rsid w:val="00A67D3A"/>
    <w:rsid w:val="00A67F9E"/>
    <w:rsid w:val="00A70340"/>
    <w:rsid w:val="00A7035C"/>
    <w:rsid w:val="00A70443"/>
    <w:rsid w:val="00A707C5"/>
    <w:rsid w:val="00A709E4"/>
    <w:rsid w:val="00A70A53"/>
    <w:rsid w:val="00A70C4E"/>
    <w:rsid w:val="00A70DC5"/>
    <w:rsid w:val="00A70DCF"/>
    <w:rsid w:val="00A71128"/>
    <w:rsid w:val="00A7132C"/>
    <w:rsid w:val="00A714FF"/>
    <w:rsid w:val="00A71C7E"/>
    <w:rsid w:val="00A71CA4"/>
    <w:rsid w:val="00A71CAE"/>
    <w:rsid w:val="00A71DC5"/>
    <w:rsid w:val="00A71DD8"/>
    <w:rsid w:val="00A72679"/>
    <w:rsid w:val="00A729AE"/>
    <w:rsid w:val="00A72DAC"/>
    <w:rsid w:val="00A72EAA"/>
    <w:rsid w:val="00A73446"/>
    <w:rsid w:val="00A73448"/>
    <w:rsid w:val="00A7345E"/>
    <w:rsid w:val="00A73584"/>
    <w:rsid w:val="00A73604"/>
    <w:rsid w:val="00A737CD"/>
    <w:rsid w:val="00A7380A"/>
    <w:rsid w:val="00A73BC1"/>
    <w:rsid w:val="00A73ECC"/>
    <w:rsid w:val="00A73F19"/>
    <w:rsid w:val="00A740F6"/>
    <w:rsid w:val="00A744C5"/>
    <w:rsid w:val="00A74F46"/>
    <w:rsid w:val="00A75480"/>
    <w:rsid w:val="00A75545"/>
    <w:rsid w:val="00A7557D"/>
    <w:rsid w:val="00A75981"/>
    <w:rsid w:val="00A75A27"/>
    <w:rsid w:val="00A75DB6"/>
    <w:rsid w:val="00A75FE8"/>
    <w:rsid w:val="00A7605B"/>
    <w:rsid w:val="00A7669A"/>
    <w:rsid w:val="00A76723"/>
    <w:rsid w:val="00A76B67"/>
    <w:rsid w:val="00A76C37"/>
    <w:rsid w:val="00A76CF6"/>
    <w:rsid w:val="00A76E0A"/>
    <w:rsid w:val="00A76F09"/>
    <w:rsid w:val="00A77AA4"/>
    <w:rsid w:val="00A77BA2"/>
    <w:rsid w:val="00A77D3B"/>
    <w:rsid w:val="00A806A6"/>
    <w:rsid w:val="00A80A84"/>
    <w:rsid w:val="00A80ACF"/>
    <w:rsid w:val="00A80C72"/>
    <w:rsid w:val="00A80D6C"/>
    <w:rsid w:val="00A80E43"/>
    <w:rsid w:val="00A811A9"/>
    <w:rsid w:val="00A811E8"/>
    <w:rsid w:val="00A81214"/>
    <w:rsid w:val="00A81A7E"/>
    <w:rsid w:val="00A81D9E"/>
    <w:rsid w:val="00A81F7D"/>
    <w:rsid w:val="00A82021"/>
    <w:rsid w:val="00A82109"/>
    <w:rsid w:val="00A82A66"/>
    <w:rsid w:val="00A82C64"/>
    <w:rsid w:val="00A82F89"/>
    <w:rsid w:val="00A830C9"/>
    <w:rsid w:val="00A832D6"/>
    <w:rsid w:val="00A83304"/>
    <w:rsid w:val="00A838CA"/>
    <w:rsid w:val="00A83B55"/>
    <w:rsid w:val="00A83E2A"/>
    <w:rsid w:val="00A845FC"/>
    <w:rsid w:val="00A84A72"/>
    <w:rsid w:val="00A84BA4"/>
    <w:rsid w:val="00A8517F"/>
    <w:rsid w:val="00A8523D"/>
    <w:rsid w:val="00A85A59"/>
    <w:rsid w:val="00A85CFA"/>
    <w:rsid w:val="00A8652A"/>
    <w:rsid w:val="00A86776"/>
    <w:rsid w:val="00A8688F"/>
    <w:rsid w:val="00A86950"/>
    <w:rsid w:val="00A87076"/>
    <w:rsid w:val="00A8763D"/>
    <w:rsid w:val="00A87D37"/>
    <w:rsid w:val="00A87F70"/>
    <w:rsid w:val="00A90549"/>
    <w:rsid w:val="00A9059D"/>
    <w:rsid w:val="00A9068D"/>
    <w:rsid w:val="00A90818"/>
    <w:rsid w:val="00A90A3A"/>
    <w:rsid w:val="00A90DF8"/>
    <w:rsid w:val="00A90E75"/>
    <w:rsid w:val="00A91501"/>
    <w:rsid w:val="00A91515"/>
    <w:rsid w:val="00A91707"/>
    <w:rsid w:val="00A91757"/>
    <w:rsid w:val="00A91802"/>
    <w:rsid w:val="00A91EA3"/>
    <w:rsid w:val="00A91F1F"/>
    <w:rsid w:val="00A91F26"/>
    <w:rsid w:val="00A9229D"/>
    <w:rsid w:val="00A926D9"/>
    <w:rsid w:val="00A92710"/>
    <w:rsid w:val="00A92B90"/>
    <w:rsid w:val="00A92BD0"/>
    <w:rsid w:val="00A92E8C"/>
    <w:rsid w:val="00A93035"/>
    <w:rsid w:val="00A9321B"/>
    <w:rsid w:val="00A93695"/>
    <w:rsid w:val="00A93C6A"/>
    <w:rsid w:val="00A943A6"/>
    <w:rsid w:val="00A943F3"/>
    <w:rsid w:val="00A94D95"/>
    <w:rsid w:val="00A951CF"/>
    <w:rsid w:val="00A9568B"/>
    <w:rsid w:val="00A95F24"/>
    <w:rsid w:val="00A9601F"/>
    <w:rsid w:val="00A9607D"/>
    <w:rsid w:val="00A960F2"/>
    <w:rsid w:val="00A963FA"/>
    <w:rsid w:val="00A96657"/>
    <w:rsid w:val="00A9667E"/>
    <w:rsid w:val="00A969DD"/>
    <w:rsid w:val="00A96A75"/>
    <w:rsid w:val="00A96EA9"/>
    <w:rsid w:val="00A96EAF"/>
    <w:rsid w:val="00A97375"/>
    <w:rsid w:val="00A97C87"/>
    <w:rsid w:val="00A97F3D"/>
    <w:rsid w:val="00AA029C"/>
    <w:rsid w:val="00AA045F"/>
    <w:rsid w:val="00AA067F"/>
    <w:rsid w:val="00AA075E"/>
    <w:rsid w:val="00AA0763"/>
    <w:rsid w:val="00AA0852"/>
    <w:rsid w:val="00AA0F64"/>
    <w:rsid w:val="00AA1D0E"/>
    <w:rsid w:val="00AA207D"/>
    <w:rsid w:val="00AA213C"/>
    <w:rsid w:val="00AA223B"/>
    <w:rsid w:val="00AA2288"/>
    <w:rsid w:val="00AA246A"/>
    <w:rsid w:val="00AA24E5"/>
    <w:rsid w:val="00AA27CD"/>
    <w:rsid w:val="00AA282A"/>
    <w:rsid w:val="00AA289C"/>
    <w:rsid w:val="00AA2913"/>
    <w:rsid w:val="00AA341C"/>
    <w:rsid w:val="00AA343C"/>
    <w:rsid w:val="00AA3461"/>
    <w:rsid w:val="00AA359F"/>
    <w:rsid w:val="00AA35AB"/>
    <w:rsid w:val="00AA35CB"/>
    <w:rsid w:val="00AA39FD"/>
    <w:rsid w:val="00AA3B08"/>
    <w:rsid w:val="00AA3B81"/>
    <w:rsid w:val="00AA3D8B"/>
    <w:rsid w:val="00AA3E86"/>
    <w:rsid w:val="00AA3F5B"/>
    <w:rsid w:val="00AA3FB6"/>
    <w:rsid w:val="00AA438E"/>
    <w:rsid w:val="00AA442D"/>
    <w:rsid w:val="00AA4A63"/>
    <w:rsid w:val="00AA51FA"/>
    <w:rsid w:val="00AA527D"/>
    <w:rsid w:val="00AA543B"/>
    <w:rsid w:val="00AA576D"/>
    <w:rsid w:val="00AA592F"/>
    <w:rsid w:val="00AA5CA0"/>
    <w:rsid w:val="00AA5E37"/>
    <w:rsid w:val="00AA5ED3"/>
    <w:rsid w:val="00AA64A6"/>
    <w:rsid w:val="00AA6806"/>
    <w:rsid w:val="00AA6CBC"/>
    <w:rsid w:val="00AA6E13"/>
    <w:rsid w:val="00AA7011"/>
    <w:rsid w:val="00AA769A"/>
    <w:rsid w:val="00AA7733"/>
    <w:rsid w:val="00AA79C5"/>
    <w:rsid w:val="00AA7D5B"/>
    <w:rsid w:val="00AB06F1"/>
    <w:rsid w:val="00AB0965"/>
    <w:rsid w:val="00AB09E7"/>
    <w:rsid w:val="00AB0EB3"/>
    <w:rsid w:val="00AB13D3"/>
    <w:rsid w:val="00AB171B"/>
    <w:rsid w:val="00AB17A7"/>
    <w:rsid w:val="00AB1EE2"/>
    <w:rsid w:val="00AB202B"/>
    <w:rsid w:val="00AB2446"/>
    <w:rsid w:val="00AB25E8"/>
    <w:rsid w:val="00AB275C"/>
    <w:rsid w:val="00AB2776"/>
    <w:rsid w:val="00AB28D3"/>
    <w:rsid w:val="00AB2919"/>
    <w:rsid w:val="00AB2D39"/>
    <w:rsid w:val="00AB2EA4"/>
    <w:rsid w:val="00AB3305"/>
    <w:rsid w:val="00AB3313"/>
    <w:rsid w:val="00AB398D"/>
    <w:rsid w:val="00AB3AF3"/>
    <w:rsid w:val="00AB3D0D"/>
    <w:rsid w:val="00AB3DED"/>
    <w:rsid w:val="00AB3FAD"/>
    <w:rsid w:val="00AB41D0"/>
    <w:rsid w:val="00AB449D"/>
    <w:rsid w:val="00AB4664"/>
    <w:rsid w:val="00AB4780"/>
    <w:rsid w:val="00AB48AA"/>
    <w:rsid w:val="00AB4C71"/>
    <w:rsid w:val="00AB4C94"/>
    <w:rsid w:val="00AB4E89"/>
    <w:rsid w:val="00AB5A18"/>
    <w:rsid w:val="00AB5C7D"/>
    <w:rsid w:val="00AB603B"/>
    <w:rsid w:val="00AB6145"/>
    <w:rsid w:val="00AB65EE"/>
    <w:rsid w:val="00AB6726"/>
    <w:rsid w:val="00AB698E"/>
    <w:rsid w:val="00AB6ADB"/>
    <w:rsid w:val="00AB6B1F"/>
    <w:rsid w:val="00AB6D0A"/>
    <w:rsid w:val="00AB6DAF"/>
    <w:rsid w:val="00AB72FA"/>
    <w:rsid w:val="00AB768E"/>
    <w:rsid w:val="00AC10AE"/>
    <w:rsid w:val="00AC1167"/>
    <w:rsid w:val="00AC1296"/>
    <w:rsid w:val="00AC14A5"/>
    <w:rsid w:val="00AC18A6"/>
    <w:rsid w:val="00AC1A6E"/>
    <w:rsid w:val="00AC259E"/>
    <w:rsid w:val="00AC2923"/>
    <w:rsid w:val="00AC2945"/>
    <w:rsid w:val="00AC2A05"/>
    <w:rsid w:val="00AC2F5C"/>
    <w:rsid w:val="00AC2FE1"/>
    <w:rsid w:val="00AC3090"/>
    <w:rsid w:val="00AC30E4"/>
    <w:rsid w:val="00AC3225"/>
    <w:rsid w:val="00AC36C6"/>
    <w:rsid w:val="00AC37BE"/>
    <w:rsid w:val="00AC3C3C"/>
    <w:rsid w:val="00AC3DCF"/>
    <w:rsid w:val="00AC4012"/>
    <w:rsid w:val="00AC415A"/>
    <w:rsid w:val="00AC4244"/>
    <w:rsid w:val="00AC42DE"/>
    <w:rsid w:val="00AC4485"/>
    <w:rsid w:val="00AC44DD"/>
    <w:rsid w:val="00AC466A"/>
    <w:rsid w:val="00AC4FE4"/>
    <w:rsid w:val="00AC5117"/>
    <w:rsid w:val="00AC5404"/>
    <w:rsid w:val="00AC54F3"/>
    <w:rsid w:val="00AC597D"/>
    <w:rsid w:val="00AC5B59"/>
    <w:rsid w:val="00AC5F86"/>
    <w:rsid w:val="00AC6189"/>
    <w:rsid w:val="00AC61BC"/>
    <w:rsid w:val="00AC62B4"/>
    <w:rsid w:val="00AC6313"/>
    <w:rsid w:val="00AC6830"/>
    <w:rsid w:val="00AC6914"/>
    <w:rsid w:val="00AC758C"/>
    <w:rsid w:val="00AC764D"/>
    <w:rsid w:val="00AC773D"/>
    <w:rsid w:val="00AC7AAB"/>
    <w:rsid w:val="00AC7B53"/>
    <w:rsid w:val="00AC7D92"/>
    <w:rsid w:val="00AC7E5B"/>
    <w:rsid w:val="00AD0136"/>
    <w:rsid w:val="00AD05D3"/>
    <w:rsid w:val="00AD05ED"/>
    <w:rsid w:val="00AD0E73"/>
    <w:rsid w:val="00AD0FBD"/>
    <w:rsid w:val="00AD1452"/>
    <w:rsid w:val="00AD1848"/>
    <w:rsid w:val="00AD1877"/>
    <w:rsid w:val="00AD1882"/>
    <w:rsid w:val="00AD1BF2"/>
    <w:rsid w:val="00AD1DC3"/>
    <w:rsid w:val="00AD223F"/>
    <w:rsid w:val="00AD22CF"/>
    <w:rsid w:val="00AD25C8"/>
    <w:rsid w:val="00AD2969"/>
    <w:rsid w:val="00AD2995"/>
    <w:rsid w:val="00AD2BF6"/>
    <w:rsid w:val="00AD2C3F"/>
    <w:rsid w:val="00AD2CF6"/>
    <w:rsid w:val="00AD2E0D"/>
    <w:rsid w:val="00AD2EA0"/>
    <w:rsid w:val="00AD30EF"/>
    <w:rsid w:val="00AD3132"/>
    <w:rsid w:val="00AD3356"/>
    <w:rsid w:val="00AD3510"/>
    <w:rsid w:val="00AD3629"/>
    <w:rsid w:val="00AD377D"/>
    <w:rsid w:val="00AD3825"/>
    <w:rsid w:val="00AD3907"/>
    <w:rsid w:val="00AD39AB"/>
    <w:rsid w:val="00AD39D9"/>
    <w:rsid w:val="00AD3B23"/>
    <w:rsid w:val="00AD3B49"/>
    <w:rsid w:val="00AD3DB5"/>
    <w:rsid w:val="00AD426A"/>
    <w:rsid w:val="00AD427F"/>
    <w:rsid w:val="00AD42E0"/>
    <w:rsid w:val="00AD47F9"/>
    <w:rsid w:val="00AD4A90"/>
    <w:rsid w:val="00AD4E52"/>
    <w:rsid w:val="00AD4F5E"/>
    <w:rsid w:val="00AD4FC5"/>
    <w:rsid w:val="00AD503F"/>
    <w:rsid w:val="00AD5927"/>
    <w:rsid w:val="00AD62E1"/>
    <w:rsid w:val="00AD65C2"/>
    <w:rsid w:val="00AD6646"/>
    <w:rsid w:val="00AD7132"/>
    <w:rsid w:val="00AD71C7"/>
    <w:rsid w:val="00AD7913"/>
    <w:rsid w:val="00AD7C62"/>
    <w:rsid w:val="00AD7D6C"/>
    <w:rsid w:val="00AD7EC8"/>
    <w:rsid w:val="00AE033D"/>
    <w:rsid w:val="00AE07C4"/>
    <w:rsid w:val="00AE09D1"/>
    <w:rsid w:val="00AE0A8C"/>
    <w:rsid w:val="00AE0F5D"/>
    <w:rsid w:val="00AE155A"/>
    <w:rsid w:val="00AE1860"/>
    <w:rsid w:val="00AE1C3C"/>
    <w:rsid w:val="00AE1E37"/>
    <w:rsid w:val="00AE2149"/>
    <w:rsid w:val="00AE2240"/>
    <w:rsid w:val="00AE23B5"/>
    <w:rsid w:val="00AE24AD"/>
    <w:rsid w:val="00AE2966"/>
    <w:rsid w:val="00AE2C5E"/>
    <w:rsid w:val="00AE3163"/>
    <w:rsid w:val="00AE35FB"/>
    <w:rsid w:val="00AE39FF"/>
    <w:rsid w:val="00AE43AB"/>
    <w:rsid w:val="00AE4468"/>
    <w:rsid w:val="00AE4633"/>
    <w:rsid w:val="00AE4A8C"/>
    <w:rsid w:val="00AE4B9C"/>
    <w:rsid w:val="00AE51AA"/>
    <w:rsid w:val="00AE5865"/>
    <w:rsid w:val="00AE5885"/>
    <w:rsid w:val="00AE58CA"/>
    <w:rsid w:val="00AE5BBE"/>
    <w:rsid w:val="00AE5C90"/>
    <w:rsid w:val="00AE5CF7"/>
    <w:rsid w:val="00AE6029"/>
    <w:rsid w:val="00AE6033"/>
    <w:rsid w:val="00AE63B7"/>
    <w:rsid w:val="00AE63FF"/>
    <w:rsid w:val="00AE6648"/>
    <w:rsid w:val="00AE6761"/>
    <w:rsid w:val="00AE6E21"/>
    <w:rsid w:val="00AE6F6C"/>
    <w:rsid w:val="00AE6FBC"/>
    <w:rsid w:val="00AE728B"/>
    <w:rsid w:val="00AE730D"/>
    <w:rsid w:val="00AE76B2"/>
    <w:rsid w:val="00AE7980"/>
    <w:rsid w:val="00AF0073"/>
    <w:rsid w:val="00AF0189"/>
    <w:rsid w:val="00AF0196"/>
    <w:rsid w:val="00AF01B6"/>
    <w:rsid w:val="00AF1034"/>
    <w:rsid w:val="00AF1938"/>
    <w:rsid w:val="00AF1A0C"/>
    <w:rsid w:val="00AF1CE0"/>
    <w:rsid w:val="00AF1EB2"/>
    <w:rsid w:val="00AF2205"/>
    <w:rsid w:val="00AF2899"/>
    <w:rsid w:val="00AF28B6"/>
    <w:rsid w:val="00AF2B38"/>
    <w:rsid w:val="00AF2B5D"/>
    <w:rsid w:val="00AF2F38"/>
    <w:rsid w:val="00AF2FF0"/>
    <w:rsid w:val="00AF30F4"/>
    <w:rsid w:val="00AF313A"/>
    <w:rsid w:val="00AF3473"/>
    <w:rsid w:val="00AF3549"/>
    <w:rsid w:val="00AF3584"/>
    <w:rsid w:val="00AF38DA"/>
    <w:rsid w:val="00AF3ACA"/>
    <w:rsid w:val="00AF3B4D"/>
    <w:rsid w:val="00AF3FEF"/>
    <w:rsid w:val="00AF4954"/>
    <w:rsid w:val="00AF49F5"/>
    <w:rsid w:val="00AF4D8A"/>
    <w:rsid w:val="00AF4FD6"/>
    <w:rsid w:val="00AF508E"/>
    <w:rsid w:val="00AF5407"/>
    <w:rsid w:val="00AF5487"/>
    <w:rsid w:val="00AF613E"/>
    <w:rsid w:val="00AF6519"/>
    <w:rsid w:val="00AF6540"/>
    <w:rsid w:val="00AF69BB"/>
    <w:rsid w:val="00AF6D0F"/>
    <w:rsid w:val="00AF6EDB"/>
    <w:rsid w:val="00AF7249"/>
    <w:rsid w:val="00AF72F2"/>
    <w:rsid w:val="00AF79FA"/>
    <w:rsid w:val="00AF7A3F"/>
    <w:rsid w:val="00AF7CD7"/>
    <w:rsid w:val="00B00836"/>
    <w:rsid w:val="00B00E00"/>
    <w:rsid w:val="00B0154B"/>
    <w:rsid w:val="00B0195C"/>
    <w:rsid w:val="00B01EB9"/>
    <w:rsid w:val="00B02059"/>
    <w:rsid w:val="00B024FD"/>
    <w:rsid w:val="00B02654"/>
    <w:rsid w:val="00B0280F"/>
    <w:rsid w:val="00B02AA7"/>
    <w:rsid w:val="00B02C9E"/>
    <w:rsid w:val="00B02CDC"/>
    <w:rsid w:val="00B02E65"/>
    <w:rsid w:val="00B0336F"/>
    <w:rsid w:val="00B034AB"/>
    <w:rsid w:val="00B0367C"/>
    <w:rsid w:val="00B03786"/>
    <w:rsid w:val="00B038E6"/>
    <w:rsid w:val="00B043CF"/>
    <w:rsid w:val="00B049CD"/>
    <w:rsid w:val="00B04B52"/>
    <w:rsid w:val="00B04FF2"/>
    <w:rsid w:val="00B05086"/>
    <w:rsid w:val="00B05269"/>
    <w:rsid w:val="00B056A6"/>
    <w:rsid w:val="00B057BD"/>
    <w:rsid w:val="00B058BB"/>
    <w:rsid w:val="00B059EB"/>
    <w:rsid w:val="00B05AED"/>
    <w:rsid w:val="00B05D06"/>
    <w:rsid w:val="00B05D49"/>
    <w:rsid w:val="00B064BF"/>
    <w:rsid w:val="00B06618"/>
    <w:rsid w:val="00B06740"/>
    <w:rsid w:val="00B06762"/>
    <w:rsid w:val="00B06817"/>
    <w:rsid w:val="00B0728F"/>
    <w:rsid w:val="00B07618"/>
    <w:rsid w:val="00B07C0F"/>
    <w:rsid w:val="00B07C84"/>
    <w:rsid w:val="00B10BCB"/>
    <w:rsid w:val="00B10FAC"/>
    <w:rsid w:val="00B110F3"/>
    <w:rsid w:val="00B11251"/>
    <w:rsid w:val="00B1161B"/>
    <w:rsid w:val="00B116A8"/>
    <w:rsid w:val="00B11A51"/>
    <w:rsid w:val="00B11AA4"/>
    <w:rsid w:val="00B11B44"/>
    <w:rsid w:val="00B123F9"/>
    <w:rsid w:val="00B129CD"/>
    <w:rsid w:val="00B12B64"/>
    <w:rsid w:val="00B1367D"/>
    <w:rsid w:val="00B13998"/>
    <w:rsid w:val="00B13D51"/>
    <w:rsid w:val="00B13D53"/>
    <w:rsid w:val="00B13D65"/>
    <w:rsid w:val="00B140FD"/>
    <w:rsid w:val="00B1429B"/>
    <w:rsid w:val="00B14D57"/>
    <w:rsid w:val="00B14F4C"/>
    <w:rsid w:val="00B150D4"/>
    <w:rsid w:val="00B1589F"/>
    <w:rsid w:val="00B15A69"/>
    <w:rsid w:val="00B15E7F"/>
    <w:rsid w:val="00B161F4"/>
    <w:rsid w:val="00B166B2"/>
    <w:rsid w:val="00B16C81"/>
    <w:rsid w:val="00B17422"/>
    <w:rsid w:val="00B1744C"/>
    <w:rsid w:val="00B1758B"/>
    <w:rsid w:val="00B176AA"/>
    <w:rsid w:val="00B17DCE"/>
    <w:rsid w:val="00B20070"/>
    <w:rsid w:val="00B203D5"/>
    <w:rsid w:val="00B2042E"/>
    <w:rsid w:val="00B20824"/>
    <w:rsid w:val="00B20839"/>
    <w:rsid w:val="00B21119"/>
    <w:rsid w:val="00B214D4"/>
    <w:rsid w:val="00B21CCC"/>
    <w:rsid w:val="00B220BE"/>
    <w:rsid w:val="00B221CA"/>
    <w:rsid w:val="00B22626"/>
    <w:rsid w:val="00B22760"/>
    <w:rsid w:val="00B22787"/>
    <w:rsid w:val="00B22C84"/>
    <w:rsid w:val="00B232CA"/>
    <w:rsid w:val="00B2354C"/>
    <w:rsid w:val="00B23859"/>
    <w:rsid w:val="00B23A79"/>
    <w:rsid w:val="00B23AF4"/>
    <w:rsid w:val="00B24032"/>
    <w:rsid w:val="00B2416E"/>
    <w:rsid w:val="00B246E6"/>
    <w:rsid w:val="00B25290"/>
    <w:rsid w:val="00B25438"/>
    <w:rsid w:val="00B2593F"/>
    <w:rsid w:val="00B25B31"/>
    <w:rsid w:val="00B25C4C"/>
    <w:rsid w:val="00B25F8C"/>
    <w:rsid w:val="00B260CA"/>
    <w:rsid w:val="00B26A16"/>
    <w:rsid w:val="00B26B7D"/>
    <w:rsid w:val="00B26F55"/>
    <w:rsid w:val="00B26F71"/>
    <w:rsid w:val="00B26FEF"/>
    <w:rsid w:val="00B27347"/>
    <w:rsid w:val="00B27396"/>
    <w:rsid w:val="00B27472"/>
    <w:rsid w:val="00B27CF5"/>
    <w:rsid w:val="00B301FC"/>
    <w:rsid w:val="00B302D1"/>
    <w:rsid w:val="00B3084D"/>
    <w:rsid w:val="00B308CC"/>
    <w:rsid w:val="00B30A30"/>
    <w:rsid w:val="00B30E49"/>
    <w:rsid w:val="00B31083"/>
    <w:rsid w:val="00B311AE"/>
    <w:rsid w:val="00B311B1"/>
    <w:rsid w:val="00B316E3"/>
    <w:rsid w:val="00B31842"/>
    <w:rsid w:val="00B3185B"/>
    <w:rsid w:val="00B31CDE"/>
    <w:rsid w:val="00B31F86"/>
    <w:rsid w:val="00B3214E"/>
    <w:rsid w:val="00B3238C"/>
    <w:rsid w:val="00B32479"/>
    <w:rsid w:val="00B3250A"/>
    <w:rsid w:val="00B3279D"/>
    <w:rsid w:val="00B327F3"/>
    <w:rsid w:val="00B32FCE"/>
    <w:rsid w:val="00B3317C"/>
    <w:rsid w:val="00B33515"/>
    <w:rsid w:val="00B33821"/>
    <w:rsid w:val="00B33A39"/>
    <w:rsid w:val="00B33EBD"/>
    <w:rsid w:val="00B344D3"/>
    <w:rsid w:val="00B345B9"/>
    <w:rsid w:val="00B345C6"/>
    <w:rsid w:val="00B34894"/>
    <w:rsid w:val="00B348F6"/>
    <w:rsid w:val="00B34B26"/>
    <w:rsid w:val="00B34DA2"/>
    <w:rsid w:val="00B34DCE"/>
    <w:rsid w:val="00B35072"/>
    <w:rsid w:val="00B351F9"/>
    <w:rsid w:val="00B355F6"/>
    <w:rsid w:val="00B357FC"/>
    <w:rsid w:val="00B359C6"/>
    <w:rsid w:val="00B36396"/>
    <w:rsid w:val="00B363F7"/>
    <w:rsid w:val="00B36649"/>
    <w:rsid w:val="00B369AD"/>
    <w:rsid w:val="00B36A12"/>
    <w:rsid w:val="00B36DEF"/>
    <w:rsid w:val="00B3723A"/>
    <w:rsid w:val="00B372DB"/>
    <w:rsid w:val="00B37FCE"/>
    <w:rsid w:val="00B4003D"/>
    <w:rsid w:val="00B407F1"/>
    <w:rsid w:val="00B40FC5"/>
    <w:rsid w:val="00B40FC6"/>
    <w:rsid w:val="00B41082"/>
    <w:rsid w:val="00B4108B"/>
    <w:rsid w:val="00B41159"/>
    <w:rsid w:val="00B41297"/>
    <w:rsid w:val="00B41881"/>
    <w:rsid w:val="00B41950"/>
    <w:rsid w:val="00B419EF"/>
    <w:rsid w:val="00B41E09"/>
    <w:rsid w:val="00B41EF9"/>
    <w:rsid w:val="00B42518"/>
    <w:rsid w:val="00B42617"/>
    <w:rsid w:val="00B426C6"/>
    <w:rsid w:val="00B4276D"/>
    <w:rsid w:val="00B428E6"/>
    <w:rsid w:val="00B42BC2"/>
    <w:rsid w:val="00B42D73"/>
    <w:rsid w:val="00B42F34"/>
    <w:rsid w:val="00B43137"/>
    <w:rsid w:val="00B43245"/>
    <w:rsid w:val="00B43684"/>
    <w:rsid w:val="00B43985"/>
    <w:rsid w:val="00B43A18"/>
    <w:rsid w:val="00B443E6"/>
    <w:rsid w:val="00B4449C"/>
    <w:rsid w:val="00B44504"/>
    <w:rsid w:val="00B44551"/>
    <w:rsid w:val="00B445B3"/>
    <w:rsid w:val="00B447B7"/>
    <w:rsid w:val="00B448EE"/>
    <w:rsid w:val="00B44A10"/>
    <w:rsid w:val="00B44C13"/>
    <w:rsid w:val="00B44C8C"/>
    <w:rsid w:val="00B44EF9"/>
    <w:rsid w:val="00B4507E"/>
    <w:rsid w:val="00B456FB"/>
    <w:rsid w:val="00B45808"/>
    <w:rsid w:val="00B45BB5"/>
    <w:rsid w:val="00B4642C"/>
    <w:rsid w:val="00B4667A"/>
    <w:rsid w:val="00B467ED"/>
    <w:rsid w:val="00B46B79"/>
    <w:rsid w:val="00B46C92"/>
    <w:rsid w:val="00B47096"/>
    <w:rsid w:val="00B47115"/>
    <w:rsid w:val="00B4729B"/>
    <w:rsid w:val="00B472D2"/>
    <w:rsid w:val="00B47499"/>
    <w:rsid w:val="00B475C3"/>
    <w:rsid w:val="00B47696"/>
    <w:rsid w:val="00B4773E"/>
    <w:rsid w:val="00B47818"/>
    <w:rsid w:val="00B47974"/>
    <w:rsid w:val="00B50396"/>
    <w:rsid w:val="00B5066A"/>
    <w:rsid w:val="00B50798"/>
    <w:rsid w:val="00B50A07"/>
    <w:rsid w:val="00B50FA5"/>
    <w:rsid w:val="00B5143C"/>
    <w:rsid w:val="00B519E1"/>
    <w:rsid w:val="00B51B43"/>
    <w:rsid w:val="00B51C25"/>
    <w:rsid w:val="00B51C83"/>
    <w:rsid w:val="00B51CD2"/>
    <w:rsid w:val="00B51FCA"/>
    <w:rsid w:val="00B5239E"/>
    <w:rsid w:val="00B52769"/>
    <w:rsid w:val="00B527F1"/>
    <w:rsid w:val="00B52ABC"/>
    <w:rsid w:val="00B52D8B"/>
    <w:rsid w:val="00B52FD4"/>
    <w:rsid w:val="00B53375"/>
    <w:rsid w:val="00B533BD"/>
    <w:rsid w:val="00B5380B"/>
    <w:rsid w:val="00B53A1F"/>
    <w:rsid w:val="00B53BF7"/>
    <w:rsid w:val="00B53C59"/>
    <w:rsid w:val="00B53D42"/>
    <w:rsid w:val="00B54311"/>
    <w:rsid w:val="00B54BAC"/>
    <w:rsid w:val="00B5507B"/>
    <w:rsid w:val="00B55AF5"/>
    <w:rsid w:val="00B55B7F"/>
    <w:rsid w:val="00B56451"/>
    <w:rsid w:val="00B56710"/>
    <w:rsid w:val="00B56D5C"/>
    <w:rsid w:val="00B56F8D"/>
    <w:rsid w:val="00B575FA"/>
    <w:rsid w:val="00B5774B"/>
    <w:rsid w:val="00B577BD"/>
    <w:rsid w:val="00B57DFA"/>
    <w:rsid w:val="00B60378"/>
    <w:rsid w:val="00B60886"/>
    <w:rsid w:val="00B60B68"/>
    <w:rsid w:val="00B60EC9"/>
    <w:rsid w:val="00B60F26"/>
    <w:rsid w:val="00B611C9"/>
    <w:rsid w:val="00B61325"/>
    <w:rsid w:val="00B61C6F"/>
    <w:rsid w:val="00B62235"/>
    <w:rsid w:val="00B62389"/>
    <w:rsid w:val="00B62662"/>
    <w:rsid w:val="00B62B54"/>
    <w:rsid w:val="00B63215"/>
    <w:rsid w:val="00B6348E"/>
    <w:rsid w:val="00B634C0"/>
    <w:rsid w:val="00B63513"/>
    <w:rsid w:val="00B635F1"/>
    <w:rsid w:val="00B63A06"/>
    <w:rsid w:val="00B63A32"/>
    <w:rsid w:val="00B63EEF"/>
    <w:rsid w:val="00B6421B"/>
    <w:rsid w:val="00B64273"/>
    <w:rsid w:val="00B6456A"/>
    <w:rsid w:val="00B64653"/>
    <w:rsid w:val="00B648DD"/>
    <w:rsid w:val="00B65117"/>
    <w:rsid w:val="00B651B6"/>
    <w:rsid w:val="00B652F1"/>
    <w:rsid w:val="00B65A27"/>
    <w:rsid w:val="00B65BA3"/>
    <w:rsid w:val="00B66176"/>
    <w:rsid w:val="00B6626B"/>
    <w:rsid w:val="00B6632B"/>
    <w:rsid w:val="00B66337"/>
    <w:rsid w:val="00B66671"/>
    <w:rsid w:val="00B66C18"/>
    <w:rsid w:val="00B66D96"/>
    <w:rsid w:val="00B66FD1"/>
    <w:rsid w:val="00B67059"/>
    <w:rsid w:val="00B672C5"/>
    <w:rsid w:val="00B67A43"/>
    <w:rsid w:val="00B67AFA"/>
    <w:rsid w:val="00B67CC9"/>
    <w:rsid w:val="00B70159"/>
    <w:rsid w:val="00B705B6"/>
    <w:rsid w:val="00B706FC"/>
    <w:rsid w:val="00B70DEF"/>
    <w:rsid w:val="00B71253"/>
    <w:rsid w:val="00B71702"/>
    <w:rsid w:val="00B71CB7"/>
    <w:rsid w:val="00B71CC3"/>
    <w:rsid w:val="00B71D42"/>
    <w:rsid w:val="00B71F16"/>
    <w:rsid w:val="00B722CF"/>
    <w:rsid w:val="00B72370"/>
    <w:rsid w:val="00B726F0"/>
    <w:rsid w:val="00B72963"/>
    <w:rsid w:val="00B72B7E"/>
    <w:rsid w:val="00B731F4"/>
    <w:rsid w:val="00B735B0"/>
    <w:rsid w:val="00B7360D"/>
    <w:rsid w:val="00B73644"/>
    <w:rsid w:val="00B736CD"/>
    <w:rsid w:val="00B73A3C"/>
    <w:rsid w:val="00B73B77"/>
    <w:rsid w:val="00B741D3"/>
    <w:rsid w:val="00B744A7"/>
    <w:rsid w:val="00B746A2"/>
    <w:rsid w:val="00B74880"/>
    <w:rsid w:val="00B75399"/>
    <w:rsid w:val="00B7539A"/>
    <w:rsid w:val="00B754D8"/>
    <w:rsid w:val="00B76518"/>
    <w:rsid w:val="00B76A33"/>
    <w:rsid w:val="00B76A74"/>
    <w:rsid w:val="00B76AEB"/>
    <w:rsid w:val="00B76B1B"/>
    <w:rsid w:val="00B76B24"/>
    <w:rsid w:val="00B76D5F"/>
    <w:rsid w:val="00B76E16"/>
    <w:rsid w:val="00B76EAF"/>
    <w:rsid w:val="00B770C3"/>
    <w:rsid w:val="00B77273"/>
    <w:rsid w:val="00B77374"/>
    <w:rsid w:val="00B773B6"/>
    <w:rsid w:val="00B7756C"/>
    <w:rsid w:val="00B77989"/>
    <w:rsid w:val="00B77991"/>
    <w:rsid w:val="00B779DA"/>
    <w:rsid w:val="00B77A12"/>
    <w:rsid w:val="00B77CBE"/>
    <w:rsid w:val="00B77CEF"/>
    <w:rsid w:val="00B77DDC"/>
    <w:rsid w:val="00B77EE4"/>
    <w:rsid w:val="00B80025"/>
    <w:rsid w:val="00B80049"/>
    <w:rsid w:val="00B80591"/>
    <w:rsid w:val="00B808E0"/>
    <w:rsid w:val="00B80B83"/>
    <w:rsid w:val="00B80DBB"/>
    <w:rsid w:val="00B81389"/>
    <w:rsid w:val="00B81468"/>
    <w:rsid w:val="00B814F6"/>
    <w:rsid w:val="00B81B77"/>
    <w:rsid w:val="00B81CBD"/>
    <w:rsid w:val="00B82029"/>
    <w:rsid w:val="00B82BD3"/>
    <w:rsid w:val="00B82DA8"/>
    <w:rsid w:val="00B82E35"/>
    <w:rsid w:val="00B82F2B"/>
    <w:rsid w:val="00B831B9"/>
    <w:rsid w:val="00B831C8"/>
    <w:rsid w:val="00B8357D"/>
    <w:rsid w:val="00B83AD5"/>
    <w:rsid w:val="00B83B4F"/>
    <w:rsid w:val="00B83D2C"/>
    <w:rsid w:val="00B83DAC"/>
    <w:rsid w:val="00B83E8B"/>
    <w:rsid w:val="00B84018"/>
    <w:rsid w:val="00B84032"/>
    <w:rsid w:val="00B84199"/>
    <w:rsid w:val="00B843B2"/>
    <w:rsid w:val="00B845D1"/>
    <w:rsid w:val="00B84815"/>
    <w:rsid w:val="00B84855"/>
    <w:rsid w:val="00B84AAA"/>
    <w:rsid w:val="00B84C80"/>
    <w:rsid w:val="00B8500C"/>
    <w:rsid w:val="00B85285"/>
    <w:rsid w:val="00B85999"/>
    <w:rsid w:val="00B85F7F"/>
    <w:rsid w:val="00B85F9D"/>
    <w:rsid w:val="00B868B3"/>
    <w:rsid w:val="00B8698B"/>
    <w:rsid w:val="00B86B78"/>
    <w:rsid w:val="00B873A1"/>
    <w:rsid w:val="00B8787B"/>
    <w:rsid w:val="00B879B6"/>
    <w:rsid w:val="00B87B17"/>
    <w:rsid w:val="00B902D5"/>
    <w:rsid w:val="00B9039C"/>
    <w:rsid w:val="00B904BD"/>
    <w:rsid w:val="00B9050E"/>
    <w:rsid w:val="00B906D9"/>
    <w:rsid w:val="00B90A90"/>
    <w:rsid w:val="00B90A96"/>
    <w:rsid w:val="00B90C64"/>
    <w:rsid w:val="00B9142E"/>
    <w:rsid w:val="00B915C1"/>
    <w:rsid w:val="00B91944"/>
    <w:rsid w:val="00B91AC4"/>
    <w:rsid w:val="00B91B1D"/>
    <w:rsid w:val="00B91C31"/>
    <w:rsid w:val="00B91CA9"/>
    <w:rsid w:val="00B92525"/>
    <w:rsid w:val="00B92679"/>
    <w:rsid w:val="00B92989"/>
    <w:rsid w:val="00B92DE6"/>
    <w:rsid w:val="00B93185"/>
    <w:rsid w:val="00B93A20"/>
    <w:rsid w:val="00B93B23"/>
    <w:rsid w:val="00B93BEB"/>
    <w:rsid w:val="00B93CB3"/>
    <w:rsid w:val="00B94008"/>
    <w:rsid w:val="00B941EB"/>
    <w:rsid w:val="00B942B8"/>
    <w:rsid w:val="00B944CF"/>
    <w:rsid w:val="00B94509"/>
    <w:rsid w:val="00B94759"/>
    <w:rsid w:val="00B94A42"/>
    <w:rsid w:val="00B94ADC"/>
    <w:rsid w:val="00B94C19"/>
    <w:rsid w:val="00B94CDB"/>
    <w:rsid w:val="00B954E8"/>
    <w:rsid w:val="00B956FB"/>
    <w:rsid w:val="00B95A52"/>
    <w:rsid w:val="00B95CD4"/>
    <w:rsid w:val="00B9637B"/>
    <w:rsid w:val="00B96706"/>
    <w:rsid w:val="00B96E0C"/>
    <w:rsid w:val="00B96F85"/>
    <w:rsid w:val="00B972F7"/>
    <w:rsid w:val="00B976C7"/>
    <w:rsid w:val="00B978E0"/>
    <w:rsid w:val="00B97B51"/>
    <w:rsid w:val="00B97C94"/>
    <w:rsid w:val="00B97FFD"/>
    <w:rsid w:val="00BA06BC"/>
    <w:rsid w:val="00BA0D43"/>
    <w:rsid w:val="00BA0F65"/>
    <w:rsid w:val="00BA1054"/>
    <w:rsid w:val="00BA1697"/>
    <w:rsid w:val="00BA194C"/>
    <w:rsid w:val="00BA1A43"/>
    <w:rsid w:val="00BA1A4F"/>
    <w:rsid w:val="00BA20EE"/>
    <w:rsid w:val="00BA23FE"/>
    <w:rsid w:val="00BA25AD"/>
    <w:rsid w:val="00BA2722"/>
    <w:rsid w:val="00BA28AB"/>
    <w:rsid w:val="00BA2900"/>
    <w:rsid w:val="00BA2BCE"/>
    <w:rsid w:val="00BA2C1A"/>
    <w:rsid w:val="00BA2D7A"/>
    <w:rsid w:val="00BA2FB6"/>
    <w:rsid w:val="00BA304E"/>
    <w:rsid w:val="00BA3999"/>
    <w:rsid w:val="00BA3B9F"/>
    <w:rsid w:val="00BA3DB0"/>
    <w:rsid w:val="00BA41D4"/>
    <w:rsid w:val="00BA42D4"/>
    <w:rsid w:val="00BA47A5"/>
    <w:rsid w:val="00BA4BEB"/>
    <w:rsid w:val="00BA4C80"/>
    <w:rsid w:val="00BA4DEC"/>
    <w:rsid w:val="00BA4EFE"/>
    <w:rsid w:val="00BA505B"/>
    <w:rsid w:val="00BA5321"/>
    <w:rsid w:val="00BA56D3"/>
    <w:rsid w:val="00BA59A0"/>
    <w:rsid w:val="00BA5B05"/>
    <w:rsid w:val="00BA5BFD"/>
    <w:rsid w:val="00BA5E82"/>
    <w:rsid w:val="00BA5FDA"/>
    <w:rsid w:val="00BA626C"/>
    <w:rsid w:val="00BA6315"/>
    <w:rsid w:val="00BA6788"/>
    <w:rsid w:val="00BA6CCB"/>
    <w:rsid w:val="00BA6DDF"/>
    <w:rsid w:val="00BA7588"/>
    <w:rsid w:val="00BA7CF6"/>
    <w:rsid w:val="00BA7E64"/>
    <w:rsid w:val="00BA7E82"/>
    <w:rsid w:val="00BA7E89"/>
    <w:rsid w:val="00BA7F7A"/>
    <w:rsid w:val="00BB001E"/>
    <w:rsid w:val="00BB0D83"/>
    <w:rsid w:val="00BB1192"/>
    <w:rsid w:val="00BB14AB"/>
    <w:rsid w:val="00BB14D3"/>
    <w:rsid w:val="00BB1BA1"/>
    <w:rsid w:val="00BB1D93"/>
    <w:rsid w:val="00BB2428"/>
    <w:rsid w:val="00BB2479"/>
    <w:rsid w:val="00BB28E1"/>
    <w:rsid w:val="00BB2941"/>
    <w:rsid w:val="00BB2C6C"/>
    <w:rsid w:val="00BB30C7"/>
    <w:rsid w:val="00BB310D"/>
    <w:rsid w:val="00BB3F58"/>
    <w:rsid w:val="00BB4194"/>
    <w:rsid w:val="00BB4899"/>
    <w:rsid w:val="00BB4942"/>
    <w:rsid w:val="00BB4A27"/>
    <w:rsid w:val="00BB4DD3"/>
    <w:rsid w:val="00BB4E2C"/>
    <w:rsid w:val="00BB4F15"/>
    <w:rsid w:val="00BB53D9"/>
    <w:rsid w:val="00BB58BF"/>
    <w:rsid w:val="00BB5A89"/>
    <w:rsid w:val="00BB6043"/>
    <w:rsid w:val="00BB6309"/>
    <w:rsid w:val="00BB6B35"/>
    <w:rsid w:val="00BB6E55"/>
    <w:rsid w:val="00BB703E"/>
    <w:rsid w:val="00BB7B3A"/>
    <w:rsid w:val="00BB7F7D"/>
    <w:rsid w:val="00BC0353"/>
    <w:rsid w:val="00BC05A3"/>
    <w:rsid w:val="00BC0FB0"/>
    <w:rsid w:val="00BC1264"/>
    <w:rsid w:val="00BC1D7F"/>
    <w:rsid w:val="00BC1F8F"/>
    <w:rsid w:val="00BC26D1"/>
    <w:rsid w:val="00BC27D2"/>
    <w:rsid w:val="00BC2AF5"/>
    <w:rsid w:val="00BC2C4D"/>
    <w:rsid w:val="00BC316F"/>
    <w:rsid w:val="00BC31E5"/>
    <w:rsid w:val="00BC34CC"/>
    <w:rsid w:val="00BC362D"/>
    <w:rsid w:val="00BC37AF"/>
    <w:rsid w:val="00BC3807"/>
    <w:rsid w:val="00BC3BA5"/>
    <w:rsid w:val="00BC3DCC"/>
    <w:rsid w:val="00BC3F9A"/>
    <w:rsid w:val="00BC4289"/>
    <w:rsid w:val="00BC42BE"/>
    <w:rsid w:val="00BC4405"/>
    <w:rsid w:val="00BC4410"/>
    <w:rsid w:val="00BC44D6"/>
    <w:rsid w:val="00BC468C"/>
    <w:rsid w:val="00BC47AC"/>
    <w:rsid w:val="00BC4E2D"/>
    <w:rsid w:val="00BC5096"/>
    <w:rsid w:val="00BC549E"/>
    <w:rsid w:val="00BC54E7"/>
    <w:rsid w:val="00BC5BF8"/>
    <w:rsid w:val="00BC5D3C"/>
    <w:rsid w:val="00BC60FE"/>
    <w:rsid w:val="00BC62BE"/>
    <w:rsid w:val="00BC66E8"/>
    <w:rsid w:val="00BC6B2B"/>
    <w:rsid w:val="00BC6CC9"/>
    <w:rsid w:val="00BC6CF9"/>
    <w:rsid w:val="00BC6E68"/>
    <w:rsid w:val="00BC6E8B"/>
    <w:rsid w:val="00BC70B0"/>
    <w:rsid w:val="00BC70BC"/>
    <w:rsid w:val="00BC7698"/>
    <w:rsid w:val="00BC7809"/>
    <w:rsid w:val="00BC7A04"/>
    <w:rsid w:val="00BD0108"/>
    <w:rsid w:val="00BD0233"/>
    <w:rsid w:val="00BD02F9"/>
    <w:rsid w:val="00BD03D5"/>
    <w:rsid w:val="00BD03DC"/>
    <w:rsid w:val="00BD04D1"/>
    <w:rsid w:val="00BD05B6"/>
    <w:rsid w:val="00BD05EC"/>
    <w:rsid w:val="00BD0B6A"/>
    <w:rsid w:val="00BD0F60"/>
    <w:rsid w:val="00BD1205"/>
    <w:rsid w:val="00BD125D"/>
    <w:rsid w:val="00BD15A9"/>
    <w:rsid w:val="00BD1B4B"/>
    <w:rsid w:val="00BD1BD9"/>
    <w:rsid w:val="00BD1CB5"/>
    <w:rsid w:val="00BD1D3D"/>
    <w:rsid w:val="00BD1DCE"/>
    <w:rsid w:val="00BD1F19"/>
    <w:rsid w:val="00BD20FF"/>
    <w:rsid w:val="00BD2168"/>
    <w:rsid w:val="00BD23D4"/>
    <w:rsid w:val="00BD24F2"/>
    <w:rsid w:val="00BD257A"/>
    <w:rsid w:val="00BD2A63"/>
    <w:rsid w:val="00BD2AE6"/>
    <w:rsid w:val="00BD2D07"/>
    <w:rsid w:val="00BD2E32"/>
    <w:rsid w:val="00BD2F80"/>
    <w:rsid w:val="00BD3151"/>
    <w:rsid w:val="00BD3167"/>
    <w:rsid w:val="00BD3426"/>
    <w:rsid w:val="00BD348C"/>
    <w:rsid w:val="00BD3BC7"/>
    <w:rsid w:val="00BD3DC1"/>
    <w:rsid w:val="00BD3EED"/>
    <w:rsid w:val="00BD42BB"/>
    <w:rsid w:val="00BD4377"/>
    <w:rsid w:val="00BD4576"/>
    <w:rsid w:val="00BD464C"/>
    <w:rsid w:val="00BD46A1"/>
    <w:rsid w:val="00BD5253"/>
    <w:rsid w:val="00BD525C"/>
    <w:rsid w:val="00BD547B"/>
    <w:rsid w:val="00BD54BF"/>
    <w:rsid w:val="00BD60CC"/>
    <w:rsid w:val="00BD61FA"/>
    <w:rsid w:val="00BD622D"/>
    <w:rsid w:val="00BD64BA"/>
    <w:rsid w:val="00BD658E"/>
    <w:rsid w:val="00BD6708"/>
    <w:rsid w:val="00BD695E"/>
    <w:rsid w:val="00BD70EA"/>
    <w:rsid w:val="00BD74DC"/>
    <w:rsid w:val="00BD7583"/>
    <w:rsid w:val="00BD7A07"/>
    <w:rsid w:val="00BD7FCE"/>
    <w:rsid w:val="00BE04DB"/>
    <w:rsid w:val="00BE0589"/>
    <w:rsid w:val="00BE05F8"/>
    <w:rsid w:val="00BE08E4"/>
    <w:rsid w:val="00BE0A11"/>
    <w:rsid w:val="00BE0BAD"/>
    <w:rsid w:val="00BE0DB1"/>
    <w:rsid w:val="00BE0F19"/>
    <w:rsid w:val="00BE1240"/>
    <w:rsid w:val="00BE1A3E"/>
    <w:rsid w:val="00BE1A40"/>
    <w:rsid w:val="00BE1B7F"/>
    <w:rsid w:val="00BE1D70"/>
    <w:rsid w:val="00BE1EEC"/>
    <w:rsid w:val="00BE20FD"/>
    <w:rsid w:val="00BE25DD"/>
    <w:rsid w:val="00BE2773"/>
    <w:rsid w:val="00BE2970"/>
    <w:rsid w:val="00BE2B04"/>
    <w:rsid w:val="00BE2E42"/>
    <w:rsid w:val="00BE308F"/>
    <w:rsid w:val="00BE330A"/>
    <w:rsid w:val="00BE3617"/>
    <w:rsid w:val="00BE38B6"/>
    <w:rsid w:val="00BE39B7"/>
    <w:rsid w:val="00BE4303"/>
    <w:rsid w:val="00BE447C"/>
    <w:rsid w:val="00BE4802"/>
    <w:rsid w:val="00BE5847"/>
    <w:rsid w:val="00BE58C2"/>
    <w:rsid w:val="00BE591E"/>
    <w:rsid w:val="00BE5A22"/>
    <w:rsid w:val="00BE5AE2"/>
    <w:rsid w:val="00BE5B9E"/>
    <w:rsid w:val="00BE613E"/>
    <w:rsid w:val="00BE6169"/>
    <w:rsid w:val="00BE63F9"/>
    <w:rsid w:val="00BE64BC"/>
    <w:rsid w:val="00BE661B"/>
    <w:rsid w:val="00BE6C9E"/>
    <w:rsid w:val="00BE6E60"/>
    <w:rsid w:val="00BE732C"/>
    <w:rsid w:val="00BE7467"/>
    <w:rsid w:val="00BE78BA"/>
    <w:rsid w:val="00BE7958"/>
    <w:rsid w:val="00BE7B1D"/>
    <w:rsid w:val="00BE7BFB"/>
    <w:rsid w:val="00BE7C03"/>
    <w:rsid w:val="00BE7D45"/>
    <w:rsid w:val="00BE7DFC"/>
    <w:rsid w:val="00BF01E8"/>
    <w:rsid w:val="00BF02F6"/>
    <w:rsid w:val="00BF0302"/>
    <w:rsid w:val="00BF08FC"/>
    <w:rsid w:val="00BF091A"/>
    <w:rsid w:val="00BF1712"/>
    <w:rsid w:val="00BF17C0"/>
    <w:rsid w:val="00BF191B"/>
    <w:rsid w:val="00BF1F7E"/>
    <w:rsid w:val="00BF2603"/>
    <w:rsid w:val="00BF2FD4"/>
    <w:rsid w:val="00BF2FDE"/>
    <w:rsid w:val="00BF301E"/>
    <w:rsid w:val="00BF33C4"/>
    <w:rsid w:val="00BF3520"/>
    <w:rsid w:val="00BF3A1D"/>
    <w:rsid w:val="00BF3B4F"/>
    <w:rsid w:val="00BF3E4B"/>
    <w:rsid w:val="00BF42C3"/>
    <w:rsid w:val="00BF4415"/>
    <w:rsid w:val="00BF4543"/>
    <w:rsid w:val="00BF46E9"/>
    <w:rsid w:val="00BF49EE"/>
    <w:rsid w:val="00BF4B41"/>
    <w:rsid w:val="00BF50BE"/>
    <w:rsid w:val="00BF58DA"/>
    <w:rsid w:val="00BF5A0E"/>
    <w:rsid w:val="00BF65FA"/>
    <w:rsid w:val="00BF6781"/>
    <w:rsid w:val="00BF67E8"/>
    <w:rsid w:val="00BF6984"/>
    <w:rsid w:val="00BF6A12"/>
    <w:rsid w:val="00BF6D21"/>
    <w:rsid w:val="00BF6E8B"/>
    <w:rsid w:val="00BF6EDD"/>
    <w:rsid w:val="00BF7116"/>
    <w:rsid w:val="00BF7146"/>
    <w:rsid w:val="00BF72B4"/>
    <w:rsid w:val="00BF72D3"/>
    <w:rsid w:val="00BF745F"/>
    <w:rsid w:val="00BF77FA"/>
    <w:rsid w:val="00BF7A13"/>
    <w:rsid w:val="00BF7B53"/>
    <w:rsid w:val="00BF7FD4"/>
    <w:rsid w:val="00C003CA"/>
    <w:rsid w:val="00C009E2"/>
    <w:rsid w:val="00C00A4C"/>
    <w:rsid w:val="00C00C3C"/>
    <w:rsid w:val="00C00C59"/>
    <w:rsid w:val="00C01268"/>
    <w:rsid w:val="00C01315"/>
    <w:rsid w:val="00C01336"/>
    <w:rsid w:val="00C018F2"/>
    <w:rsid w:val="00C01C42"/>
    <w:rsid w:val="00C02235"/>
    <w:rsid w:val="00C02299"/>
    <w:rsid w:val="00C023C7"/>
    <w:rsid w:val="00C02417"/>
    <w:rsid w:val="00C026F5"/>
    <w:rsid w:val="00C0278E"/>
    <w:rsid w:val="00C027B5"/>
    <w:rsid w:val="00C02AD1"/>
    <w:rsid w:val="00C02E54"/>
    <w:rsid w:val="00C02ED5"/>
    <w:rsid w:val="00C02FD1"/>
    <w:rsid w:val="00C03536"/>
    <w:rsid w:val="00C03902"/>
    <w:rsid w:val="00C04183"/>
    <w:rsid w:val="00C042B6"/>
    <w:rsid w:val="00C0435C"/>
    <w:rsid w:val="00C044D3"/>
    <w:rsid w:val="00C0452E"/>
    <w:rsid w:val="00C04F74"/>
    <w:rsid w:val="00C050AA"/>
    <w:rsid w:val="00C05945"/>
    <w:rsid w:val="00C05BD2"/>
    <w:rsid w:val="00C05D7E"/>
    <w:rsid w:val="00C06077"/>
    <w:rsid w:val="00C06494"/>
    <w:rsid w:val="00C065D4"/>
    <w:rsid w:val="00C06772"/>
    <w:rsid w:val="00C069E5"/>
    <w:rsid w:val="00C06F92"/>
    <w:rsid w:val="00C06F98"/>
    <w:rsid w:val="00C06FD7"/>
    <w:rsid w:val="00C07199"/>
    <w:rsid w:val="00C071A3"/>
    <w:rsid w:val="00C07247"/>
    <w:rsid w:val="00C0725F"/>
    <w:rsid w:val="00C073E9"/>
    <w:rsid w:val="00C103DD"/>
    <w:rsid w:val="00C10793"/>
    <w:rsid w:val="00C10A21"/>
    <w:rsid w:val="00C10BA2"/>
    <w:rsid w:val="00C11445"/>
    <w:rsid w:val="00C11613"/>
    <w:rsid w:val="00C116D5"/>
    <w:rsid w:val="00C123D5"/>
    <w:rsid w:val="00C124CD"/>
    <w:rsid w:val="00C1296A"/>
    <w:rsid w:val="00C12C3B"/>
    <w:rsid w:val="00C143E8"/>
    <w:rsid w:val="00C145F2"/>
    <w:rsid w:val="00C147A9"/>
    <w:rsid w:val="00C14A4E"/>
    <w:rsid w:val="00C150A7"/>
    <w:rsid w:val="00C15459"/>
    <w:rsid w:val="00C1588A"/>
    <w:rsid w:val="00C158F3"/>
    <w:rsid w:val="00C1631B"/>
    <w:rsid w:val="00C16357"/>
    <w:rsid w:val="00C16531"/>
    <w:rsid w:val="00C16A80"/>
    <w:rsid w:val="00C16ABC"/>
    <w:rsid w:val="00C16EA9"/>
    <w:rsid w:val="00C16F2F"/>
    <w:rsid w:val="00C17357"/>
    <w:rsid w:val="00C17CAD"/>
    <w:rsid w:val="00C17F72"/>
    <w:rsid w:val="00C17F7F"/>
    <w:rsid w:val="00C2005A"/>
    <w:rsid w:val="00C2054B"/>
    <w:rsid w:val="00C20AB5"/>
    <w:rsid w:val="00C20BD7"/>
    <w:rsid w:val="00C212D6"/>
    <w:rsid w:val="00C2164D"/>
    <w:rsid w:val="00C219F4"/>
    <w:rsid w:val="00C21A2A"/>
    <w:rsid w:val="00C21CE0"/>
    <w:rsid w:val="00C21E1B"/>
    <w:rsid w:val="00C222F3"/>
    <w:rsid w:val="00C22329"/>
    <w:rsid w:val="00C226B9"/>
    <w:rsid w:val="00C227F2"/>
    <w:rsid w:val="00C22825"/>
    <w:rsid w:val="00C2284E"/>
    <w:rsid w:val="00C22AFE"/>
    <w:rsid w:val="00C23132"/>
    <w:rsid w:val="00C23286"/>
    <w:rsid w:val="00C2397C"/>
    <w:rsid w:val="00C23A8F"/>
    <w:rsid w:val="00C23A94"/>
    <w:rsid w:val="00C23AA9"/>
    <w:rsid w:val="00C23BEE"/>
    <w:rsid w:val="00C23EDD"/>
    <w:rsid w:val="00C24096"/>
    <w:rsid w:val="00C240F4"/>
    <w:rsid w:val="00C243FF"/>
    <w:rsid w:val="00C24800"/>
    <w:rsid w:val="00C2494D"/>
    <w:rsid w:val="00C25006"/>
    <w:rsid w:val="00C25233"/>
    <w:rsid w:val="00C25492"/>
    <w:rsid w:val="00C2556D"/>
    <w:rsid w:val="00C256DB"/>
    <w:rsid w:val="00C257EA"/>
    <w:rsid w:val="00C25B0D"/>
    <w:rsid w:val="00C25C0B"/>
    <w:rsid w:val="00C25CAE"/>
    <w:rsid w:val="00C261C1"/>
    <w:rsid w:val="00C269DC"/>
    <w:rsid w:val="00C26E8F"/>
    <w:rsid w:val="00C27564"/>
    <w:rsid w:val="00C27A64"/>
    <w:rsid w:val="00C27C7A"/>
    <w:rsid w:val="00C27E18"/>
    <w:rsid w:val="00C30082"/>
    <w:rsid w:val="00C302D0"/>
    <w:rsid w:val="00C30349"/>
    <w:rsid w:val="00C30389"/>
    <w:rsid w:val="00C304F3"/>
    <w:rsid w:val="00C30733"/>
    <w:rsid w:val="00C30A15"/>
    <w:rsid w:val="00C30D6A"/>
    <w:rsid w:val="00C30E6C"/>
    <w:rsid w:val="00C3118D"/>
    <w:rsid w:val="00C31232"/>
    <w:rsid w:val="00C3146D"/>
    <w:rsid w:val="00C3155D"/>
    <w:rsid w:val="00C3156F"/>
    <w:rsid w:val="00C31B12"/>
    <w:rsid w:val="00C31D06"/>
    <w:rsid w:val="00C3231C"/>
    <w:rsid w:val="00C32426"/>
    <w:rsid w:val="00C32466"/>
    <w:rsid w:val="00C326A4"/>
    <w:rsid w:val="00C32775"/>
    <w:rsid w:val="00C327E3"/>
    <w:rsid w:val="00C3286F"/>
    <w:rsid w:val="00C328F6"/>
    <w:rsid w:val="00C331C0"/>
    <w:rsid w:val="00C33239"/>
    <w:rsid w:val="00C3355D"/>
    <w:rsid w:val="00C335A8"/>
    <w:rsid w:val="00C33793"/>
    <w:rsid w:val="00C33F4E"/>
    <w:rsid w:val="00C34292"/>
    <w:rsid w:val="00C34A12"/>
    <w:rsid w:val="00C34C93"/>
    <w:rsid w:val="00C34FA0"/>
    <w:rsid w:val="00C3517C"/>
    <w:rsid w:val="00C3521D"/>
    <w:rsid w:val="00C359BB"/>
    <w:rsid w:val="00C35A6F"/>
    <w:rsid w:val="00C35CB6"/>
    <w:rsid w:val="00C35E3E"/>
    <w:rsid w:val="00C361BD"/>
    <w:rsid w:val="00C368AF"/>
    <w:rsid w:val="00C36D1F"/>
    <w:rsid w:val="00C36D27"/>
    <w:rsid w:val="00C37311"/>
    <w:rsid w:val="00C374FB"/>
    <w:rsid w:val="00C3765D"/>
    <w:rsid w:val="00C377DD"/>
    <w:rsid w:val="00C37AD9"/>
    <w:rsid w:val="00C40085"/>
    <w:rsid w:val="00C40226"/>
    <w:rsid w:val="00C402A8"/>
    <w:rsid w:val="00C40692"/>
    <w:rsid w:val="00C408C3"/>
    <w:rsid w:val="00C40C17"/>
    <w:rsid w:val="00C40C40"/>
    <w:rsid w:val="00C40EF5"/>
    <w:rsid w:val="00C4131D"/>
    <w:rsid w:val="00C417FA"/>
    <w:rsid w:val="00C419E5"/>
    <w:rsid w:val="00C41DAC"/>
    <w:rsid w:val="00C41DD4"/>
    <w:rsid w:val="00C42512"/>
    <w:rsid w:val="00C429FB"/>
    <w:rsid w:val="00C42AAE"/>
    <w:rsid w:val="00C42C0F"/>
    <w:rsid w:val="00C43048"/>
    <w:rsid w:val="00C4367C"/>
    <w:rsid w:val="00C4368E"/>
    <w:rsid w:val="00C43970"/>
    <w:rsid w:val="00C43A15"/>
    <w:rsid w:val="00C4425B"/>
    <w:rsid w:val="00C44359"/>
    <w:rsid w:val="00C445FE"/>
    <w:rsid w:val="00C449A8"/>
    <w:rsid w:val="00C44FD0"/>
    <w:rsid w:val="00C4502D"/>
    <w:rsid w:val="00C45276"/>
    <w:rsid w:val="00C453D3"/>
    <w:rsid w:val="00C46036"/>
    <w:rsid w:val="00C46490"/>
    <w:rsid w:val="00C46916"/>
    <w:rsid w:val="00C46D1C"/>
    <w:rsid w:val="00C46EB1"/>
    <w:rsid w:val="00C470C2"/>
    <w:rsid w:val="00C4718A"/>
    <w:rsid w:val="00C472A6"/>
    <w:rsid w:val="00C47440"/>
    <w:rsid w:val="00C4761A"/>
    <w:rsid w:val="00C47D07"/>
    <w:rsid w:val="00C47DEA"/>
    <w:rsid w:val="00C50084"/>
    <w:rsid w:val="00C501D2"/>
    <w:rsid w:val="00C50288"/>
    <w:rsid w:val="00C5050E"/>
    <w:rsid w:val="00C50588"/>
    <w:rsid w:val="00C50589"/>
    <w:rsid w:val="00C50B3B"/>
    <w:rsid w:val="00C50B98"/>
    <w:rsid w:val="00C50C12"/>
    <w:rsid w:val="00C50DDE"/>
    <w:rsid w:val="00C50EF4"/>
    <w:rsid w:val="00C5144A"/>
    <w:rsid w:val="00C51954"/>
    <w:rsid w:val="00C521B9"/>
    <w:rsid w:val="00C521CB"/>
    <w:rsid w:val="00C52519"/>
    <w:rsid w:val="00C527E7"/>
    <w:rsid w:val="00C5280E"/>
    <w:rsid w:val="00C528EA"/>
    <w:rsid w:val="00C52A01"/>
    <w:rsid w:val="00C530E2"/>
    <w:rsid w:val="00C53253"/>
    <w:rsid w:val="00C533BA"/>
    <w:rsid w:val="00C53578"/>
    <w:rsid w:val="00C53A07"/>
    <w:rsid w:val="00C543D9"/>
    <w:rsid w:val="00C5460A"/>
    <w:rsid w:val="00C5488C"/>
    <w:rsid w:val="00C5494E"/>
    <w:rsid w:val="00C54A20"/>
    <w:rsid w:val="00C54A93"/>
    <w:rsid w:val="00C54BB3"/>
    <w:rsid w:val="00C5525C"/>
    <w:rsid w:val="00C55545"/>
    <w:rsid w:val="00C5673C"/>
    <w:rsid w:val="00C56988"/>
    <w:rsid w:val="00C56B15"/>
    <w:rsid w:val="00C56CA6"/>
    <w:rsid w:val="00C56F4A"/>
    <w:rsid w:val="00C56FE3"/>
    <w:rsid w:val="00C572B3"/>
    <w:rsid w:val="00C57C33"/>
    <w:rsid w:val="00C57FB6"/>
    <w:rsid w:val="00C600E5"/>
    <w:rsid w:val="00C602AE"/>
    <w:rsid w:val="00C6049B"/>
    <w:rsid w:val="00C60618"/>
    <w:rsid w:val="00C616D4"/>
    <w:rsid w:val="00C61757"/>
    <w:rsid w:val="00C61968"/>
    <w:rsid w:val="00C61B66"/>
    <w:rsid w:val="00C61C06"/>
    <w:rsid w:val="00C61CAD"/>
    <w:rsid w:val="00C61DB4"/>
    <w:rsid w:val="00C621F7"/>
    <w:rsid w:val="00C622B8"/>
    <w:rsid w:val="00C6244B"/>
    <w:rsid w:val="00C6248E"/>
    <w:rsid w:val="00C6281F"/>
    <w:rsid w:val="00C62A99"/>
    <w:rsid w:val="00C630C1"/>
    <w:rsid w:val="00C6360F"/>
    <w:rsid w:val="00C63959"/>
    <w:rsid w:val="00C639F1"/>
    <w:rsid w:val="00C63C24"/>
    <w:rsid w:val="00C63C48"/>
    <w:rsid w:val="00C63EB7"/>
    <w:rsid w:val="00C63F68"/>
    <w:rsid w:val="00C64025"/>
    <w:rsid w:val="00C64109"/>
    <w:rsid w:val="00C6484A"/>
    <w:rsid w:val="00C649EA"/>
    <w:rsid w:val="00C64A99"/>
    <w:rsid w:val="00C64CBF"/>
    <w:rsid w:val="00C64EC9"/>
    <w:rsid w:val="00C64F81"/>
    <w:rsid w:val="00C652B3"/>
    <w:rsid w:val="00C65368"/>
    <w:rsid w:val="00C6551F"/>
    <w:rsid w:val="00C655B5"/>
    <w:rsid w:val="00C65871"/>
    <w:rsid w:val="00C65914"/>
    <w:rsid w:val="00C659DB"/>
    <w:rsid w:val="00C661CB"/>
    <w:rsid w:val="00C6653C"/>
    <w:rsid w:val="00C66B5E"/>
    <w:rsid w:val="00C66CB2"/>
    <w:rsid w:val="00C66ED4"/>
    <w:rsid w:val="00C66F4C"/>
    <w:rsid w:val="00C66F9B"/>
    <w:rsid w:val="00C670F2"/>
    <w:rsid w:val="00C67190"/>
    <w:rsid w:val="00C6776C"/>
    <w:rsid w:val="00C677EA"/>
    <w:rsid w:val="00C6780A"/>
    <w:rsid w:val="00C67945"/>
    <w:rsid w:val="00C67D54"/>
    <w:rsid w:val="00C67E77"/>
    <w:rsid w:val="00C67F81"/>
    <w:rsid w:val="00C7010A"/>
    <w:rsid w:val="00C701E9"/>
    <w:rsid w:val="00C705F1"/>
    <w:rsid w:val="00C70813"/>
    <w:rsid w:val="00C708E8"/>
    <w:rsid w:val="00C70C4D"/>
    <w:rsid w:val="00C7151C"/>
    <w:rsid w:val="00C716FD"/>
    <w:rsid w:val="00C71751"/>
    <w:rsid w:val="00C71A53"/>
    <w:rsid w:val="00C71C8A"/>
    <w:rsid w:val="00C71D8F"/>
    <w:rsid w:val="00C720BD"/>
    <w:rsid w:val="00C72222"/>
    <w:rsid w:val="00C72835"/>
    <w:rsid w:val="00C73024"/>
    <w:rsid w:val="00C73109"/>
    <w:rsid w:val="00C7334B"/>
    <w:rsid w:val="00C73650"/>
    <w:rsid w:val="00C737B0"/>
    <w:rsid w:val="00C73BC0"/>
    <w:rsid w:val="00C73CFB"/>
    <w:rsid w:val="00C74295"/>
    <w:rsid w:val="00C743B2"/>
    <w:rsid w:val="00C746B9"/>
    <w:rsid w:val="00C748B9"/>
    <w:rsid w:val="00C748BE"/>
    <w:rsid w:val="00C7494D"/>
    <w:rsid w:val="00C7495F"/>
    <w:rsid w:val="00C749ED"/>
    <w:rsid w:val="00C74C46"/>
    <w:rsid w:val="00C74D27"/>
    <w:rsid w:val="00C74DC0"/>
    <w:rsid w:val="00C74EF1"/>
    <w:rsid w:val="00C75627"/>
    <w:rsid w:val="00C756FF"/>
    <w:rsid w:val="00C75FF0"/>
    <w:rsid w:val="00C76878"/>
    <w:rsid w:val="00C76B19"/>
    <w:rsid w:val="00C76E01"/>
    <w:rsid w:val="00C76F8A"/>
    <w:rsid w:val="00C7719F"/>
    <w:rsid w:val="00C77808"/>
    <w:rsid w:val="00C77C9B"/>
    <w:rsid w:val="00C77D55"/>
    <w:rsid w:val="00C77D65"/>
    <w:rsid w:val="00C77EB9"/>
    <w:rsid w:val="00C77F8F"/>
    <w:rsid w:val="00C80BB9"/>
    <w:rsid w:val="00C812F9"/>
    <w:rsid w:val="00C8136B"/>
    <w:rsid w:val="00C81409"/>
    <w:rsid w:val="00C8161A"/>
    <w:rsid w:val="00C81ECD"/>
    <w:rsid w:val="00C8211E"/>
    <w:rsid w:val="00C82571"/>
    <w:rsid w:val="00C8272F"/>
    <w:rsid w:val="00C827EC"/>
    <w:rsid w:val="00C82BB3"/>
    <w:rsid w:val="00C82BCB"/>
    <w:rsid w:val="00C830AA"/>
    <w:rsid w:val="00C83106"/>
    <w:rsid w:val="00C83182"/>
    <w:rsid w:val="00C832F1"/>
    <w:rsid w:val="00C832F3"/>
    <w:rsid w:val="00C8385A"/>
    <w:rsid w:val="00C83BAB"/>
    <w:rsid w:val="00C83BB3"/>
    <w:rsid w:val="00C83CF3"/>
    <w:rsid w:val="00C8402A"/>
    <w:rsid w:val="00C84192"/>
    <w:rsid w:val="00C846AA"/>
    <w:rsid w:val="00C84B10"/>
    <w:rsid w:val="00C84C4B"/>
    <w:rsid w:val="00C84ED7"/>
    <w:rsid w:val="00C8585F"/>
    <w:rsid w:val="00C85C45"/>
    <w:rsid w:val="00C865E7"/>
    <w:rsid w:val="00C8691B"/>
    <w:rsid w:val="00C86DF4"/>
    <w:rsid w:val="00C870A6"/>
    <w:rsid w:val="00C872F4"/>
    <w:rsid w:val="00C8733F"/>
    <w:rsid w:val="00C873C3"/>
    <w:rsid w:val="00C87568"/>
    <w:rsid w:val="00C87E16"/>
    <w:rsid w:val="00C87FDA"/>
    <w:rsid w:val="00C90260"/>
    <w:rsid w:val="00C903AC"/>
    <w:rsid w:val="00C90825"/>
    <w:rsid w:val="00C90F58"/>
    <w:rsid w:val="00C914D7"/>
    <w:rsid w:val="00C91854"/>
    <w:rsid w:val="00C91F46"/>
    <w:rsid w:val="00C92209"/>
    <w:rsid w:val="00C925FB"/>
    <w:rsid w:val="00C92CB2"/>
    <w:rsid w:val="00C9310A"/>
    <w:rsid w:val="00C931CF"/>
    <w:rsid w:val="00C93261"/>
    <w:rsid w:val="00C932CB"/>
    <w:rsid w:val="00C93552"/>
    <w:rsid w:val="00C935E0"/>
    <w:rsid w:val="00C93BC3"/>
    <w:rsid w:val="00C94754"/>
    <w:rsid w:val="00C94874"/>
    <w:rsid w:val="00C94B0F"/>
    <w:rsid w:val="00C94B21"/>
    <w:rsid w:val="00C94C15"/>
    <w:rsid w:val="00C94C48"/>
    <w:rsid w:val="00C94D34"/>
    <w:rsid w:val="00C952E3"/>
    <w:rsid w:val="00C957A8"/>
    <w:rsid w:val="00C9587A"/>
    <w:rsid w:val="00C95885"/>
    <w:rsid w:val="00C96675"/>
    <w:rsid w:val="00C96870"/>
    <w:rsid w:val="00C969E7"/>
    <w:rsid w:val="00C96D49"/>
    <w:rsid w:val="00C96E68"/>
    <w:rsid w:val="00C96F00"/>
    <w:rsid w:val="00C96FC3"/>
    <w:rsid w:val="00C97053"/>
    <w:rsid w:val="00C97056"/>
    <w:rsid w:val="00C97349"/>
    <w:rsid w:val="00C97521"/>
    <w:rsid w:val="00CA04D5"/>
    <w:rsid w:val="00CA0520"/>
    <w:rsid w:val="00CA0C31"/>
    <w:rsid w:val="00CA0F58"/>
    <w:rsid w:val="00CA1A76"/>
    <w:rsid w:val="00CA1C2B"/>
    <w:rsid w:val="00CA1E70"/>
    <w:rsid w:val="00CA23D6"/>
    <w:rsid w:val="00CA2945"/>
    <w:rsid w:val="00CA2A6D"/>
    <w:rsid w:val="00CA2CC2"/>
    <w:rsid w:val="00CA30EB"/>
    <w:rsid w:val="00CA3407"/>
    <w:rsid w:val="00CA3429"/>
    <w:rsid w:val="00CA35D4"/>
    <w:rsid w:val="00CA381C"/>
    <w:rsid w:val="00CA3828"/>
    <w:rsid w:val="00CA3A99"/>
    <w:rsid w:val="00CA3B84"/>
    <w:rsid w:val="00CA3C48"/>
    <w:rsid w:val="00CA45EB"/>
    <w:rsid w:val="00CA4AC6"/>
    <w:rsid w:val="00CA4CC6"/>
    <w:rsid w:val="00CA4E1F"/>
    <w:rsid w:val="00CA4E65"/>
    <w:rsid w:val="00CA52A9"/>
    <w:rsid w:val="00CA5465"/>
    <w:rsid w:val="00CA5530"/>
    <w:rsid w:val="00CA557D"/>
    <w:rsid w:val="00CA58AF"/>
    <w:rsid w:val="00CA5B22"/>
    <w:rsid w:val="00CA5E19"/>
    <w:rsid w:val="00CA6336"/>
    <w:rsid w:val="00CA636C"/>
    <w:rsid w:val="00CA64B8"/>
    <w:rsid w:val="00CA6894"/>
    <w:rsid w:val="00CA6D16"/>
    <w:rsid w:val="00CA6FB3"/>
    <w:rsid w:val="00CA75C2"/>
    <w:rsid w:val="00CA76A3"/>
    <w:rsid w:val="00CA784C"/>
    <w:rsid w:val="00CB001C"/>
    <w:rsid w:val="00CB0264"/>
    <w:rsid w:val="00CB06CB"/>
    <w:rsid w:val="00CB084C"/>
    <w:rsid w:val="00CB0F9A"/>
    <w:rsid w:val="00CB1165"/>
    <w:rsid w:val="00CB19E5"/>
    <w:rsid w:val="00CB1B21"/>
    <w:rsid w:val="00CB1D6A"/>
    <w:rsid w:val="00CB1DAF"/>
    <w:rsid w:val="00CB1E4E"/>
    <w:rsid w:val="00CB1F5F"/>
    <w:rsid w:val="00CB2056"/>
    <w:rsid w:val="00CB219A"/>
    <w:rsid w:val="00CB245F"/>
    <w:rsid w:val="00CB24DF"/>
    <w:rsid w:val="00CB25F0"/>
    <w:rsid w:val="00CB29F4"/>
    <w:rsid w:val="00CB2C0B"/>
    <w:rsid w:val="00CB2D9C"/>
    <w:rsid w:val="00CB2DFB"/>
    <w:rsid w:val="00CB2EBD"/>
    <w:rsid w:val="00CB2FF3"/>
    <w:rsid w:val="00CB3AE2"/>
    <w:rsid w:val="00CB3DD5"/>
    <w:rsid w:val="00CB4CB5"/>
    <w:rsid w:val="00CB4E16"/>
    <w:rsid w:val="00CB507D"/>
    <w:rsid w:val="00CB53DB"/>
    <w:rsid w:val="00CB5611"/>
    <w:rsid w:val="00CB581B"/>
    <w:rsid w:val="00CB594F"/>
    <w:rsid w:val="00CB5AED"/>
    <w:rsid w:val="00CB67C4"/>
    <w:rsid w:val="00CB68EB"/>
    <w:rsid w:val="00CB6942"/>
    <w:rsid w:val="00CB6B56"/>
    <w:rsid w:val="00CB6FF9"/>
    <w:rsid w:val="00CB7702"/>
    <w:rsid w:val="00CB7831"/>
    <w:rsid w:val="00CB7A3B"/>
    <w:rsid w:val="00CB7EE3"/>
    <w:rsid w:val="00CB7F21"/>
    <w:rsid w:val="00CC0644"/>
    <w:rsid w:val="00CC0869"/>
    <w:rsid w:val="00CC0B03"/>
    <w:rsid w:val="00CC0EAA"/>
    <w:rsid w:val="00CC10F8"/>
    <w:rsid w:val="00CC1181"/>
    <w:rsid w:val="00CC1193"/>
    <w:rsid w:val="00CC1231"/>
    <w:rsid w:val="00CC1433"/>
    <w:rsid w:val="00CC1484"/>
    <w:rsid w:val="00CC1528"/>
    <w:rsid w:val="00CC1740"/>
    <w:rsid w:val="00CC1C44"/>
    <w:rsid w:val="00CC2209"/>
    <w:rsid w:val="00CC258A"/>
    <w:rsid w:val="00CC26F5"/>
    <w:rsid w:val="00CC28A4"/>
    <w:rsid w:val="00CC2902"/>
    <w:rsid w:val="00CC2951"/>
    <w:rsid w:val="00CC2DC9"/>
    <w:rsid w:val="00CC3076"/>
    <w:rsid w:val="00CC34F9"/>
    <w:rsid w:val="00CC3655"/>
    <w:rsid w:val="00CC382C"/>
    <w:rsid w:val="00CC3B04"/>
    <w:rsid w:val="00CC3BF6"/>
    <w:rsid w:val="00CC3CEC"/>
    <w:rsid w:val="00CC3D33"/>
    <w:rsid w:val="00CC41B3"/>
    <w:rsid w:val="00CC4565"/>
    <w:rsid w:val="00CC4AA4"/>
    <w:rsid w:val="00CC4B27"/>
    <w:rsid w:val="00CC4C77"/>
    <w:rsid w:val="00CC4D4F"/>
    <w:rsid w:val="00CC4D77"/>
    <w:rsid w:val="00CC4DC1"/>
    <w:rsid w:val="00CC50C1"/>
    <w:rsid w:val="00CC544A"/>
    <w:rsid w:val="00CC5455"/>
    <w:rsid w:val="00CC55D1"/>
    <w:rsid w:val="00CC5A9D"/>
    <w:rsid w:val="00CC6442"/>
    <w:rsid w:val="00CC6C2F"/>
    <w:rsid w:val="00CC73F8"/>
    <w:rsid w:val="00CC7771"/>
    <w:rsid w:val="00CC7B0B"/>
    <w:rsid w:val="00CD01CC"/>
    <w:rsid w:val="00CD07AF"/>
    <w:rsid w:val="00CD0D9B"/>
    <w:rsid w:val="00CD0EF5"/>
    <w:rsid w:val="00CD1105"/>
    <w:rsid w:val="00CD14BC"/>
    <w:rsid w:val="00CD187C"/>
    <w:rsid w:val="00CD1BA8"/>
    <w:rsid w:val="00CD1EDD"/>
    <w:rsid w:val="00CD20DC"/>
    <w:rsid w:val="00CD2301"/>
    <w:rsid w:val="00CD2391"/>
    <w:rsid w:val="00CD242E"/>
    <w:rsid w:val="00CD264E"/>
    <w:rsid w:val="00CD2765"/>
    <w:rsid w:val="00CD2FE4"/>
    <w:rsid w:val="00CD30CD"/>
    <w:rsid w:val="00CD30FE"/>
    <w:rsid w:val="00CD342C"/>
    <w:rsid w:val="00CD3567"/>
    <w:rsid w:val="00CD3CD3"/>
    <w:rsid w:val="00CD478C"/>
    <w:rsid w:val="00CD4D17"/>
    <w:rsid w:val="00CD4FE4"/>
    <w:rsid w:val="00CD5152"/>
    <w:rsid w:val="00CD5161"/>
    <w:rsid w:val="00CD5550"/>
    <w:rsid w:val="00CD5C88"/>
    <w:rsid w:val="00CD5FF0"/>
    <w:rsid w:val="00CD60E3"/>
    <w:rsid w:val="00CD61B6"/>
    <w:rsid w:val="00CD624F"/>
    <w:rsid w:val="00CD62DC"/>
    <w:rsid w:val="00CD62FF"/>
    <w:rsid w:val="00CD639A"/>
    <w:rsid w:val="00CD63B2"/>
    <w:rsid w:val="00CD65D6"/>
    <w:rsid w:val="00CD68C5"/>
    <w:rsid w:val="00CD72C1"/>
    <w:rsid w:val="00CD7394"/>
    <w:rsid w:val="00CD74E0"/>
    <w:rsid w:val="00CD7841"/>
    <w:rsid w:val="00CD7C25"/>
    <w:rsid w:val="00CD7EB4"/>
    <w:rsid w:val="00CD7F7C"/>
    <w:rsid w:val="00CD7FE3"/>
    <w:rsid w:val="00CE0354"/>
    <w:rsid w:val="00CE0658"/>
    <w:rsid w:val="00CE06E7"/>
    <w:rsid w:val="00CE0A37"/>
    <w:rsid w:val="00CE0B8C"/>
    <w:rsid w:val="00CE112F"/>
    <w:rsid w:val="00CE12D2"/>
    <w:rsid w:val="00CE1BEB"/>
    <w:rsid w:val="00CE1D5C"/>
    <w:rsid w:val="00CE1DE7"/>
    <w:rsid w:val="00CE2453"/>
    <w:rsid w:val="00CE2ABF"/>
    <w:rsid w:val="00CE2DD2"/>
    <w:rsid w:val="00CE30BC"/>
    <w:rsid w:val="00CE30DC"/>
    <w:rsid w:val="00CE3103"/>
    <w:rsid w:val="00CE313F"/>
    <w:rsid w:val="00CE3155"/>
    <w:rsid w:val="00CE3B3D"/>
    <w:rsid w:val="00CE3CEE"/>
    <w:rsid w:val="00CE3D45"/>
    <w:rsid w:val="00CE3D58"/>
    <w:rsid w:val="00CE3ECA"/>
    <w:rsid w:val="00CE4092"/>
    <w:rsid w:val="00CE4382"/>
    <w:rsid w:val="00CE4566"/>
    <w:rsid w:val="00CE4998"/>
    <w:rsid w:val="00CE4A97"/>
    <w:rsid w:val="00CE5519"/>
    <w:rsid w:val="00CE564B"/>
    <w:rsid w:val="00CE57ED"/>
    <w:rsid w:val="00CE5A02"/>
    <w:rsid w:val="00CE5A2B"/>
    <w:rsid w:val="00CE5B9C"/>
    <w:rsid w:val="00CE5DF5"/>
    <w:rsid w:val="00CE5F06"/>
    <w:rsid w:val="00CE5F11"/>
    <w:rsid w:val="00CE601C"/>
    <w:rsid w:val="00CE642B"/>
    <w:rsid w:val="00CE661F"/>
    <w:rsid w:val="00CE6772"/>
    <w:rsid w:val="00CE6970"/>
    <w:rsid w:val="00CE6CCB"/>
    <w:rsid w:val="00CE700A"/>
    <w:rsid w:val="00CE72EB"/>
    <w:rsid w:val="00CE74C1"/>
    <w:rsid w:val="00CE78E9"/>
    <w:rsid w:val="00CE7998"/>
    <w:rsid w:val="00CE7D3F"/>
    <w:rsid w:val="00CE7E1C"/>
    <w:rsid w:val="00CF02AA"/>
    <w:rsid w:val="00CF065C"/>
    <w:rsid w:val="00CF08AA"/>
    <w:rsid w:val="00CF097E"/>
    <w:rsid w:val="00CF0BFD"/>
    <w:rsid w:val="00CF0CC3"/>
    <w:rsid w:val="00CF0CEF"/>
    <w:rsid w:val="00CF1385"/>
    <w:rsid w:val="00CF14BD"/>
    <w:rsid w:val="00CF156C"/>
    <w:rsid w:val="00CF1BB2"/>
    <w:rsid w:val="00CF1C0A"/>
    <w:rsid w:val="00CF1DB2"/>
    <w:rsid w:val="00CF25EF"/>
    <w:rsid w:val="00CF2A52"/>
    <w:rsid w:val="00CF2AB8"/>
    <w:rsid w:val="00CF355B"/>
    <w:rsid w:val="00CF35B0"/>
    <w:rsid w:val="00CF35CF"/>
    <w:rsid w:val="00CF35DB"/>
    <w:rsid w:val="00CF3FFA"/>
    <w:rsid w:val="00CF4437"/>
    <w:rsid w:val="00CF45FB"/>
    <w:rsid w:val="00CF4618"/>
    <w:rsid w:val="00CF47DB"/>
    <w:rsid w:val="00CF48EC"/>
    <w:rsid w:val="00CF4970"/>
    <w:rsid w:val="00CF4B66"/>
    <w:rsid w:val="00CF5094"/>
    <w:rsid w:val="00CF5256"/>
    <w:rsid w:val="00CF5426"/>
    <w:rsid w:val="00CF5456"/>
    <w:rsid w:val="00CF55EF"/>
    <w:rsid w:val="00CF5AFA"/>
    <w:rsid w:val="00CF61C7"/>
    <w:rsid w:val="00CF627C"/>
    <w:rsid w:val="00CF629B"/>
    <w:rsid w:val="00CF68A4"/>
    <w:rsid w:val="00CF6AE9"/>
    <w:rsid w:val="00CF6E47"/>
    <w:rsid w:val="00CF6E8E"/>
    <w:rsid w:val="00CF6FB0"/>
    <w:rsid w:val="00CF701D"/>
    <w:rsid w:val="00CF718F"/>
    <w:rsid w:val="00CF7A59"/>
    <w:rsid w:val="00D009F9"/>
    <w:rsid w:val="00D01071"/>
    <w:rsid w:val="00D01143"/>
    <w:rsid w:val="00D01486"/>
    <w:rsid w:val="00D01529"/>
    <w:rsid w:val="00D015A9"/>
    <w:rsid w:val="00D017A6"/>
    <w:rsid w:val="00D01B31"/>
    <w:rsid w:val="00D01BC3"/>
    <w:rsid w:val="00D01D77"/>
    <w:rsid w:val="00D022B7"/>
    <w:rsid w:val="00D02A30"/>
    <w:rsid w:val="00D02DC1"/>
    <w:rsid w:val="00D03399"/>
    <w:rsid w:val="00D036D9"/>
    <w:rsid w:val="00D03D68"/>
    <w:rsid w:val="00D03F95"/>
    <w:rsid w:val="00D04325"/>
    <w:rsid w:val="00D044A7"/>
    <w:rsid w:val="00D045D6"/>
    <w:rsid w:val="00D04782"/>
    <w:rsid w:val="00D04A5B"/>
    <w:rsid w:val="00D052DB"/>
    <w:rsid w:val="00D05D28"/>
    <w:rsid w:val="00D05D5C"/>
    <w:rsid w:val="00D05D85"/>
    <w:rsid w:val="00D05E97"/>
    <w:rsid w:val="00D060DF"/>
    <w:rsid w:val="00D066CB"/>
    <w:rsid w:val="00D068BC"/>
    <w:rsid w:val="00D0695C"/>
    <w:rsid w:val="00D06D22"/>
    <w:rsid w:val="00D072AF"/>
    <w:rsid w:val="00D076B3"/>
    <w:rsid w:val="00D07922"/>
    <w:rsid w:val="00D07C31"/>
    <w:rsid w:val="00D07E8C"/>
    <w:rsid w:val="00D07FDD"/>
    <w:rsid w:val="00D10130"/>
    <w:rsid w:val="00D116D3"/>
    <w:rsid w:val="00D11802"/>
    <w:rsid w:val="00D11E87"/>
    <w:rsid w:val="00D11F1D"/>
    <w:rsid w:val="00D1232C"/>
    <w:rsid w:val="00D123B7"/>
    <w:rsid w:val="00D1287F"/>
    <w:rsid w:val="00D12968"/>
    <w:rsid w:val="00D12D6B"/>
    <w:rsid w:val="00D12DA8"/>
    <w:rsid w:val="00D12E1D"/>
    <w:rsid w:val="00D13053"/>
    <w:rsid w:val="00D13129"/>
    <w:rsid w:val="00D13AC9"/>
    <w:rsid w:val="00D13D5E"/>
    <w:rsid w:val="00D13E99"/>
    <w:rsid w:val="00D13EEC"/>
    <w:rsid w:val="00D14155"/>
    <w:rsid w:val="00D14263"/>
    <w:rsid w:val="00D143F2"/>
    <w:rsid w:val="00D145F8"/>
    <w:rsid w:val="00D14D57"/>
    <w:rsid w:val="00D14E2F"/>
    <w:rsid w:val="00D14FC8"/>
    <w:rsid w:val="00D15DB0"/>
    <w:rsid w:val="00D160D6"/>
    <w:rsid w:val="00D162D9"/>
    <w:rsid w:val="00D16349"/>
    <w:rsid w:val="00D16601"/>
    <w:rsid w:val="00D167DC"/>
    <w:rsid w:val="00D16B37"/>
    <w:rsid w:val="00D16E3B"/>
    <w:rsid w:val="00D17735"/>
    <w:rsid w:val="00D17BF5"/>
    <w:rsid w:val="00D20168"/>
    <w:rsid w:val="00D208A4"/>
    <w:rsid w:val="00D20A20"/>
    <w:rsid w:val="00D210B8"/>
    <w:rsid w:val="00D21478"/>
    <w:rsid w:val="00D215DB"/>
    <w:rsid w:val="00D216E6"/>
    <w:rsid w:val="00D21878"/>
    <w:rsid w:val="00D21A9E"/>
    <w:rsid w:val="00D21C02"/>
    <w:rsid w:val="00D21DC0"/>
    <w:rsid w:val="00D21E66"/>
    <w:rsid w:val="00D21E9F"/>
    <w:rsid w:val="00D22482"/>
    <w:rsid w:val="00D22525"/>
    <w:rsid w:val="00D22706"/>
    <w:rsid w:val="00D2285D"/>
    <w:rsid w:val="00D22961"/>
    <w:rsid w:val="00D22BDE"/>
    <w:rsid w:val="00D22CF6"/>
    <w:rsid w:val="00D22FC2"/>
    <w:rsid w:val="00D231F1"/>
    <w:rsid w:val="00D23904"/>
    <w:rsid w:val="00D23A10"/>
    <w:rsid w:val="00D23E47"/>
    <w:rsid w:val="00D240B3"/>
    <w:rsid w:val="00D24578"/>
    <w:rsid w:val="00D2470D"/>
    <w:rsid w:val="00D2475D"/>
    <w:rsid w:val="00D24991"/>
    <w:rsid w:val="00D24A33"/>
    <w:rsid w:val="00D24EA3"/>
    <w:rsid w:val="00D25139"/>
    <w:rsid w:val="00D25B52"/>
    <w:rsid w:val="00D25F78"/>
    <w:rsid w:val="00D25F86"/>
    <w:rsid w:val="00D26167"/>
    <w:rsid w:val="00D262B9"/>
    <w:rsid w:val="00D264DA"/>
    <w:rsid w:val="00D26A50"/>
    <w:rsid w:val="00D26AB8"/>
    <w:rsid w:val="00D26ECA"/>
    <w:rsid w:val="00D272BE"/>
    <w:rsid w:val="00D27481"/>
    <w:rsid w:val="00D277DE"/>
    <w:rsid w:val="00D27954"/>
    <w:rsid w:val="00D27D44"/>
    <w:rsid w:val="00D27DD4"/>
    <w:rsid w:val="00D30271"/>
    <w:rsid w:val="00D30A44"/>
    <w:rsid w:val="00D30EB9"/>
    <w:rsid w:val="00D31159"/>
    <w:rsid w:val="00D314AF"/>
    <w:rsid w:val="00D317B5"/>
    <w:rsid w:val="00D31DA5"/>
    <w:rsid w:val="00D320F1"/>
    <w:rsid w:val="00D3230E"/>
    <w:rsid w:val="00D3260E"/>
    <w:rsid w:val="00D32683"/>
    <w:rsid w:val="00D326CF"/>
    <w:rsid w:val="00D32868"/>
    <w:rsid w:val="00D32C35"/>
    <w:rsid w:val="00D32C81"/>
    <w:rsid w:val="00D32D42"/>
    <w:rsid w:val="00D32D49"/>
    <w:rsid w:val="00D32EAD"/>
    <w:rsid w:val="00D330D8"/>
    <w:rsid w:val="00D33120"/>
    <w:rsid w:val="00D332EA"/>
    <w:rsid w:val="00D338FF"/>
    <w:rsid w:val="00D33C85"/>
    <w:rsid w:val="00D3439E"/>
    <w:rsid w:val="00D3461D"/>
    <w:rsid w:val="00D3471E"/>
    <w:rsid w:val="00D3483B"/>
    <w:rsid w:val="00D348DA"/>
    <w:rsid w:val="00D34D16"/>
    <w:rsid w:val="00D34F39"/>
    <w:rsid w:val="00D34FC2"/>
    <w:rsid w:val="00D3510E"/>
    <w:rsid w:val="00D3515F"/>
    <w:rsid w:val="00D35270"/>
    <w:rsid w:val="00D35D15"/>
    <w:rsid w:val="00D35E47"/>
    <w:rsid w:val="00D35EA6"/>
    <w:rsid w:val="00D35FE8"/>
    <w:rsid w:val="00D361E1"/>
    <w:rsid w:val="00D36BF6"/>
    <w:rsid w:val="00D36DA5"/>
    <w:rsid w:val="00D36E10"/>
    <w:rsid w:val="00D37309"/>
    <w:rsid w:val="00D37397"/>
    <w:rsid w:val="00D37D69"/>
    <w:rsid w:val="00D40101"/>
    <w:rsid w:val="00D4033B"/>
    <w:rsid w:val="00D403D5"/>
    <w:rsid w:val="00D4045B"/>
    <w:rsid w:val="00D409B4"/>
    <w:rsid w:val="00D410DE"/>
    <w:rsid w:val="00D411DB"/>
    <w:rsid w:val="00D41C8A"/>
    <w:rsid w:val="00D41E3F"/>
    <w:rsid w:val="00D41F28"/>
    <w:rsid w:val="00D423EA"/>
    <w:rsid w:val="00D4278F"/>
    <w:rsid w:val="00D4335A"/>
    <w:rsid w:val="00D4341D"/>
    <w:rsid w:val="00D4362F"/>
    <w:rsid w:val="00D43644"/>
    <w:rsid w:val="00D43658"/>
    <w:rsid w:val="00D43CFC"/>
    <w:rsid w:val="00D43DD5"/>
    <w:rsid w:val="00D43DD8"/>
    <w:rsid w:val="00D43F0A"/>
    <w:rsid w:val="00D43F82"/>
    <w:rsid w:val="00D43F86"/>
    <w:rsid w:val="00D44055"/>
    <w:rsid w:val="00D440CC"/>
    <w:rsid w:val="00D443F1"/>
    <w:rsid w:val="00D4442C"/>
    <w:rsid w:val="00D4449A"/>
    <w:rsid w:val="00D44AFB"/>
    <w:rsid w:val="00D44E71"/>
    <w:rsid w:val="00D452C3"/>
    <w:rsid w:val="00D455FA"/>
    <w:rsid w:val="00D4570A"/>
    <w:rsid w:val="00D4574C"/>
    <w:rsid w:val="00D457D1"/>
    <w:rsid w:val="00D45832"/>
    <w:rsid w:val="00D45971"/>
    <w:rsid w:val="00D45A17"/>
    <w:rsid w:val="00D45C11"/>
    <w:rsid w:val="00D45C78"/>
    <w:rsid w:val="00D45CCC"/>
    <w:rsid w:val="00D45D08"/>
    <w:rsid w:val="00D45EC9"/>
    <w:rsid w:val="00D4631B"/>
    <w:rsid w:val="00D46491"/>
    <w:rsid w:val="00D466B7"/>
    <w:rsid w:val="00D46A99"/>
    <w:rsid w:val="00D46C0F"/>
    <w:rsid w:val="00D46C68"/>
    <w:rsid w:val="00D46D24"/>
    <w:rsid w:val="00D4761C"/>
    <w:rsid w:val="00D47718"/>
    <w:rsid w:val="00D47A03"/>
    <w:rsid w:val="00D47DD4"/>
    <w:rsid w:val="00D50002"/>
    <w:rsid w:val="00D500A7"/>
    <w:rsid w:val="00D5058E"/>
    <w:rsid w:val="00D505CD"/>
    <w:rsid w:val="00D50B06"/>
    <w:rsid w:val="00D50BB6"/>
    <w:rsid w:val="00D50CCD"/>
    <w:rsid w:val="00D50D12"/>
    <w:rsid w:val="00D50E60"/>
    <w:rsid w:val="00D50FFA"/>
    <w:rsid w:val="00D516D7"/>
    <w:rsid w:val="00D5191B"/>
    <w:rsid w:val="00D51F47"/>
    <w:rsid w:val="00D52040"/>
    <w:rsid w:val="00D52148"/>
    <w:rsid w:val="00D52A21"/>
    <w:rsid w:val="00D53218"/>
    <w:rsid w:val="00D535CF"/>
    <w:rsid w:val="00D53D85"/>
    <w:rsid w:val="00D540F2"/>
    <w:rsid w:val="00D54221"/>
    <w:rsid w:val="00D5472F"/>
    <w:rsid w:val="00D54921"/>
    <w:rsid w:val="00D54CD3"/>
    <w:rsid w:val="00D54DBC"/>
    <w:rsid w:val="00D54DED"/>
    <w:rsid w:val="00D54EDE"/>
    <w:rsid w:val="00D551F3"/>
    <w:rsid w:val="00D55266"/>
    <w:rsid w:val="00D55755"/>
    <w:rsid w:val="00D55884"/>
    <w:rsid w:val="00D5597B"/>
    <w:rsid w:val="00D55BF4"/>
    <w:rsid w:val="00D55D73"/>
    <w:rsid w:val="00D55F43"/>
    <w:rsid w:val="00D55FF2"/>
    <w:rsid w:val="00D564E5"/>
    <w:rsid w:val="00D568B4"/>
    <w:rsid w:val="00D56D1A"/>
    <w:rsid w:val="00D571AF"/>
    <w:rsid w:val="00D572AA"/>
    <w:rsid w:val="00D57516"/>
    <w:rsid w:val="00D577F5"/>
    <w:rsid w:val="00D57954"/>
    <w:rsid w:val="00D601DB"/>
    <w:rsid w:val="00D60202"/>
    <w:rsid w:val="00D602FF"/>
    <w:rsid w:val="00D605D2"/>
    <w:rsid w:val="00D60940"/>
    <w:rsid w:val="00D60BCC"/>
    <w:rsid w:val="00D60F8F"/>
    <w:rsid w:val="00D60FDB"/>
    <w:rsid w:val="00D61253"/>
    <w:rsid w:val="00D612E7"/>
    <w:rsid w:val="00D61349"/>
    <w:rsid w:val="00D61519"/>
    <w:rsid w:val="00D615D6"/>
    <w:rsid w:val="00D62050"/>
    <w:rsid w:val="00D6214B"/>
    <w:rsid w:val="00D62893"/>
    <w:rsid w:val="00D62A09"/>
    <w:rsid w:val="00D630C1"/>
    <w:rsid w:val="00D63129"/>
    <w:rsid w:val="00D63156"/>
    <w:rsid w:val="00D63A36"/>
    <w:rsid w:val="00D64232"/>
    <w:rsid w:val="00D6427F"/>
    <w:rsid w:val="00D6445F"/>
    <w:rsid w:val="00D646F7"/>
    <w:rsid w:val="00D646FD"/>
    <w:rsid w:val="00D647DF"/>
    <w:rsid w:val="00D64EFF"/>
    <w:rsid w:val="00D6508D"/>
    <w:rsid w:val="00D6520E"/>
    <w:rsid w:val="00D656B4"/>
    <w:rsid w:val="00D65F1C"/>
    <w:rsid w:val="00D66307"/>
    <w:rsid w:val="00D6638A"/>
    <w:rsid w:val="00D66892"/>
    <w:rsid w:val="00D668BC"/>
    <w:rsid w:val="00D67760"/>
    <w:rsid w:val="00D678B6"/>
    <w:rsid w:val="00D679D8"/>
    <w:rsid w:val="00D67F05"/>
    <w:rsid w:val="00D70130"/>
    <w:rsid w:val="00D7023C"/>
    <w:rsid w:val="00D704DE"/>
    <w:rsid w:val="00D70A29"/>
    <w:rsid w:val="00D70DE7"/>
    <w:rsid w:val="00D71C89"/>
    <w:rsid w:val="00D71F6A"/>
    <w:rsid w:val="00D72331"/>
    <w:rsid w:val="00D725F6"/>
    <w:rsid w:val="00D7269F"/>
    <w:rsid w:val="00D72837"/>
    <w:rsid w:val="00D72BEA"/>
    <w:rsid w:val="00D72D58"/>
    <w:rsid w:val="00D732F9"/>
    <w:rsid w:val="00D734AE"/>
    <w:rsid w:val="00D73713"/>
    <w:rsid w:val="00D7374B"/>
    <w:rsid w:val="00D7381C"/>
    <w:rsid w:val="00D73C93"/>
    <w:rsid w:val="00D73F9A"/>
    <w:rsid w:val="00D7428A"/>
    <w:rsid w:val="00D742E8"/>
    <w:rsid w:val="00D7433D"/>
    <w:rsid w:val="00D74DD0"/>
    <w:rsid w:val="00D75012"/>
    <w:rsid w:val="00D75635"/>
    <w:rsid w:val="00D75643"/>
    <w:rsid w:val="00D7569D"/>
    <w:rsid w:val="00D757B9"/>
    <w:rsid w:val="00D759B7"/>
    <w:rsid w:val="00D76173"/>
    <w:rsid w:val="00D76361"/>
    <w:rsid w:val="00D76623"/>
    <w:rsid w:val="00D766B3"/>
    <w:rsid w:val="00D768B9"/>
    <w:rsid w:val="00D768D7"/>
    <w:rsid w:val="00D76974"/>
    <w:rsid w:val="00D76B16"/>
    <w:rsid w:val="00D774CD"/>
    <w:rsid w:val="00D7758A"/>
    <w:rsid w:val="00D775FD"/>
    <w:rsid w:val="00D77759"/>
    <w:rsid w:val="00D77787"/>
    <w:rsid w:val="00D77935"/>
    <w:rsid w:val="00D77AAE"/>
    <w:rsid w:val="00D77DBC"/>
    <w:rsid w:val="00D77DE0"/>
    <w:rsid w:val="00D80393"/>
    <w:rsid w:val="00D80428"/>
    <w:rsid w:val="00D805CB"/>
    <w:rsid w:val="00D80854"/>
    <w:rsid w:val="00D80B2E"/>
    <w:rsid w:val="00D80B63"/>
    <w:rsid w:val="00D80B7E"/>
    <w:rsid w:val="00D80C0B"/>
    <w:rsid w:val="00D80C13"/>
    <w:rsid w:val="00D80D71"/>
    <w:rsid w:val="00D80D96"/>
    <w:rsid w:val="00D8103E"/>
    <w:rsid w:val="00D81BFB"/>
    <w:rsid w:val="00D81C49"/>
    <w:rsid w:val="00D82379"/>
    <w:rsid w:val="00D8253C"/>
    <w:rsid w:val="00D82B64"/>
    <w:rsid w:val="00D82C3B"/>
    <w:rsid w:val="00D83290"/>
    <w:rsid w:val="00D833C4"/>
    <w:rsid w:val="00D83794"/>
    <w:rsid w:val="00D837FD"/>
    <w:rsid w:val="00D83819"/>
    <w:rsid w:val="00D83E91"/>
    <w:rsid w:val="00D84397"/>
    <w:rsid w:val="00D84737"/>
    <w:rsid w:val="00D847E1"/>
    <w:rsid w:val="00D84B6B"/>
    <w:rsid w:val="00D84FE3"/>
    <w:rsid w:val="00D85090"/>
    <w:rsid w:val="00D85131"/>
    <w:rsid w:val="00D8604F"/>
    <w:rsid w:val="00D86096"/>
    <w:rsid w:val="00D86630"/>
    <w:rsid w:val="00D8696C"/>
    <w:rsid w:val="00D8697D"/>
    <w:rsid w:val="00D8732F"/>
    <w:rsid w:val="00D8778B"/>
    <w:rsid w:val="00D87BA4"/>
    <w:rsid w:val="00D87F16"/>
    <w:rsid w:val="00D901CF"/>
    <w:rsid w:val="00D9055A"/>
    <w:rsid w:val="00D90824"/>
    <w:rsid w:val="00D911AE"/>
    <w:rsid w:val="00D91ACB"/>
    <w:rsid w:val="00D92352"/>
    <w:rsid w:val="00D9259C"/>
    <w:rsid w:val="00D928F3"/>
    <w:rsid w:val="00D92A61"/>
    <w:rsid w:val="00D92AF1"/>
    <w:rsid w:val="00D92E92"/>
    <w:rsid w:val="00D92EA1"/>
    <w:rsid w:val="00D9301B"/>
    <w:rsid w:val="00D93259"/>
    <w:rsid w:val="00D9348A"/>
    <w:rsid w:val="00D936EC"/>
    <w:rsid w:val="00D9399A"/>
    <w:rsid w:val="00D93B5A"/>
    <w:rsid w:val="00D93C0C"/>
    <w:rsid w:val="00D93C4A"/>
    <w:rsid w:val="00D93F8E"/>
    <w:rsid w:val="00D9413D"/>
    <w:rsid w:val="00D94221"/>
    <w:rsid w:val="00D94492"/>
    <w:rsid w:val="00D944C7"/>
    <w:rsid w:val="00D94726"/>
    <w:rsid w:val="00D94730"/>
    <w:rsid w:val="00D94FD7"/>
    <w:rsid w:val="00D94FDC"/>
    <w:rsid w:val="00D95036"/>
    <w:rsid w:val="00D95105"/>
    <w:rsid w:val="00D9533B"/>
    <w:rsid w:val="00D953FF"/>
    <w:rsid w:val="00D954EA"/>
    <w:rsid w:val="00D95650"/>
    <w:rsid w:val="00D95D03"/>
    <w:rsid w:val="00D95D67"/>
    <w:rsid w:val="00D961CB"/>
    <w:rsid w:val="00D96D90"/>
    <w:rsid w:val="00D97864"/>
    <w:rsid w:val="00D9799E"/>
    <w:rsid w:val="00D97A96"/>
    <w:rsid w:val="00DA04E0"/>
    <w:rsid w:val="00DA04F2"/>
    <w:rsid w:val="00DA04F3"/>
    <w:rsid w:val="00DA06D9"/>
    <w:rsid w:val="00DA0A21"/>
    <w:rsid w:val="00DA0E7F"/>
    <w:rsid w:val="00DA1645"/>
    <w:rsid w:val="00DA197A"/>
    <w:rsid w:val="00DA1B94"/>
    <w:rsid w:val="00DA1CEF"/>
    <w:rsid w:val="00DA1DA2"/>
    <w:rsid w:val="00DA1DDC"/>
    <w:rsid w:val="00DA1F01"/>
    <w:rsid w:val="00DA2248"/>
    <w:rsid w:val="00DA2B9E"/>
    <w:rsid w:val="00DA2E94"/>
    <w:rsid w:val="00DA33DA"/>
    <w:rsid w:val="00DA355B"/>
    <w:rsid w:val="00DA3634"/>
    <w:rsid w:val="00DA3861"/>
    <w:rsid w:val="00DA3945"/>
    <w:rsid w:val="00DA3A66"/>
    <w:rsid w:val="00DA3C86"/>
    <w:rsid w:val="00DA3E27"/>
    <w:rsid w:val="00DA414D"/>
    <w:rsid w:val="00DA499D"/>
    <w:rsid w:val="00DA4DA3"/>
    <w:rsid w:val="00DA54D6"/>
    <w:rsid w:val="00DA5AA4"/>
    <w:rsid w:val="00DA5AC1"/>
    <w:rsid w:val="00DA6004"/>
    <w:rsid w:val="00DA60AC"/>
    <w:rsid w:val="00DA6190"/>
    <w:rsid w:val="00DA6342"/>
    <w:rsid w:val="00DA6458"/>
    <w:rsid w:val="00DA6482"/>
    <w:rsid w:val="00DA6850"/>
    <w:rsid w:val="00DA6908"/>
    <w:rsid w:val="00DA6A9F"/>
    <w:rsid w:val="00DA6B87"/>
    <w:rsid w:val="00DA6BA6"/>
    <w:rsid w:val="00DA70A8"/>
    <w:rsid w:val="00DA70FD"/>
    <w:rsid w:val="00DA779F"/>
    <w:rsid w:val="00DB011B"/>
    <w:rsid w:val="00DB040F"/>
    <w:rsid w:val="00DB05D7"/>
    <w:rsid w:val="00DB1C0B"/>
    <w:rsid w:val="00DB226C"/>
    <w:rsid w:val="00DB23DD"/>
    <w:rsid w:val="00DB255D"/>
    <w:rsid w:val="00DB2652"/>
    <w:rsid w:val="00DB2735"/>
    <w:rsid w:val="00DB27A4"/>
    <w:rsid w:val="00DB29DA"/>
    <w:rsid w:val="00DB2D9F"/>
    <w:rsid w:val="00DB2E86"/>
    <w:rsid w:val="00DB2FEF"/>
    <w:rsid w:val="00DB3168"/>
    <w:rsid w:val="00DB32D0"/>
    <w:rsid w:val="00DB3769"/>
    <w:rsid w:val="00DB3830"/>
    <w:rsid w:val="00DB39AC"/>
    <w:rsid w:val="00DB39B6"/>
    <w:rsid w:val="00DB3AE2"/>
    <w:rsid w:val="00DB3C7B"/>
    <w:rsid w:val="00DB3E2B"/>
    <w:rsid w:val="00DB3FCE"/>
    <w:rsid w:val="00DB40ED"/>
    <w:rsid w:val="00DB416B"/>
    <w:rsid w:val="00DB43C3"/>
    <w:rsid w:val="00DB48A8"/>
    <w:rsid w:val="00DB573C"/>
    <w:rsid w:val="00DB5812"/>
    <w:rsid w:val="00DB5A58"/>
    <w:rsid w:val="00DB637B"/>
    <w:rsid w:val="00DB659A"/>
    <w:rsid w:val="00DB681B"/>
    <w:rsid w:val="00DB6A2F"/>
    <w:rsid w:val="00DB6AC7"/>
    <w:rsid w:val="00DB73A8"/>
    <w:rsid w:val="00DB7BCF"/>
    <w:rsid w:val="00DB7F84"/>
    <w:rsid w:val="00DC007C"/>
    <w:rsid w:val="00DC00A2"/>
    <w:rsid w:val="00DC00D1"/>
    <w:rsid w:val="00DC03FD"/>
    <w:rsid w:val="00DC061A"/>
    <w:rsid w:val="00DC06C9"/>
    <w:rsid w:val="00DC07AA"/>
    <w:rsid w:val="00DC0906"/>
    <w:rsid w:val="00DC093D"/>
    <w:rsid w:val="00DC0963"/>
    <w:rsid w:val="00DC0A4B"/>
    <w:rsid w:val="00DC0BFF"/>
    <w:rsid w:val="00DC104D"/>
    <w:rsid w:val="00DC1134"/>
    <w:rsid w:val="00DC118A"/>
    <w:rsid w:val="00DC120B"/>
    <w:rsid w:val="00DC13F9"/>
    <w:rsid w:val="00DC15A1"/>
    <w:rsid w:val="00DC1D42"/>
    <w:rsid w:val="00DC23B7"/>
    <w:rsid w:val="00DC2570"/>
    <w:rsid w:val="00DC2687"/>
    <w:rsid w:val="00DC2956"/>
    <w:rsid w:val="00DC2B48"/>
    <w:rsid w:val="00DC2D90"/>
    <w:rsid w:val="00DC2F1D"/>
    <w:rsid w:val="00DC329C"/>
    <w:rsid w:val="00DC3419"/>
    <w:rsid w:val="00DC3496"/>
    <w:rsid w:val="00DC36B0"/>
    <w:rsid w:val="00DC3875"/>
    <w:rsid w:val="00DC390C"/>
    <w:rsid w:val="00DC3A25"/>
    <w:rsid w:val="00DC3D1B"/>
    <w:rsid w:val="00DC3FF2"/>
    <w:rsid w:val="00DC413B"/>
    <w:rsid w:val="00DC41D8"/>
    <w:rsid w:val="00DC4234"/>
    <w:rsid w:val="00DC428B"/>
    <w:rsid w:val="00DC4302"/>
    <w:rsid w:val="00DC4824"/>
    <w:rsid w:val="00DC48EF"/>
    <w:rsid w:val="00DC4BED"/>
    <w:rsid w:val="00DC4F4A"/>
    <w:rsid w:val="00DC51D6"/>
    <w:rsid w:val="00DC5297"/>
    <w:rsid w:val="00DC53E8"/>
    <w:rsid w:val="00DC566D"/>
    <w:rsid w:val="00DC58FB"/>
    <w:rsid w:val="00DC5C45"/>
    <w:rsid w:val="00DC5E67"/>
    <w:rsid w:val="00DC6FB6"/>
    <w:rsid w:val="00DC7918"/>
    <w:rsid w:val="00DC7B69"/>
    <w:rsid w:val="00DC7C71"/>
    <w:rsid w:val="00DD0369"/>
    <w:rsid w:val="00DD04E7"/>
    <w:rsid w:val="00DD0513"/>
    <w:rsid w:val="00DD0571"/>
    <w:rsid w:val="00DD06A3"/>
    <w:rsid w:val="00DD0D1D"/>
    <w:rsid w:val="00DD105A"/>
    <w:rsid w:val="00DD12B2"/>
    <w:rsid w:val="00DD1702"/>
    <w:rsid w:val="00DD1A5A"/>
    <w:rsid w:val="00DD1C31"/>
    <w:rsid w:val="00DD1C93"/>
    <w:rsid w:val="00DD1DDE"/>
    <w:rsid w:val="00DD2175"/>
    <w:rsid w:val="00DD2DD7"/>
    <w:rsid w:val="00DD36D0"/>
    <w:rsid w:val="00DD3860"/>
    <w:rsid w:val="00DD39D5"/>
    <w:rsid w:val="00DD3D87"/>
    <w:rsid w:val="00DD4324"/>
    <w:rsid w:val="00DD45A1"/>
    <w:rsid w:val="00DD4719"/>
    <w:rsid w:val="00DD48E8"/>
    <w:rsid w:val="00DD49C7"/>
    <w:rsid w:val="00DD4A7C"/>
    <w:rsid w:val="00DD4B40"/>
    <w:rsid w:val="00DD4BBA"/>
    <w:rsid w:val="00DD4D65"/>
    <w:rsid w:val="00DD4D7F"/>
    <w:rsid w:val="00DD50ED"/>
    <w:rsid w:val="00DD55C7"/>
    <w:rsid w:val="00DD55F2"/>
    <w:rsid w:val="00DD5605"/>
    <w:rsid w:val="00DD588F"/>
    <w:rsid w:val="00DD59A8"/>
    <w:rsid w:val="00DD5E8F"/>
    <w:rsid w:val="00DD62BF"/>
    <w:rsid w:val="00DD6650"/>
    <w:rsid w:val="00DD6CA9"/>
    <w:rsid w:val="00DD6CE9"/>
    <w:rsid w:val="00DD6E71"/>
    <w:rsid w:val="00DD7088"/>
    <w:rsid w:val="00DD7165"/>
    <w:rsid w:val="00DD722F"/>
    <w:rsid w:val="00DD7235"/>
    <w:rsid w:val="00DD7559"/>
    <w:rsid w:val="00DD75C6"/>
    <w:rsid w:val="00DD76D9"/>
    <w:rsid w:val="00DD77A9"/>
    <w:rsid w:val="00DD78EC"/>
    <w:rsid w:val="00DD799E"/>
    <w:rsid w:val="00DD7AB6"/>
    <w:rsid w:val="00DD7AD1"/>
    <w:rsid w:val="00DD7C23"/>
    <w:rsid w:val="00DD7C9B"/>
    <w:rsid w:val="00DD7C9E"/>
    <w:rsid w:val="00DD7D46"/>
    <w:rsid w:val="00DD7E6E"/>
    <w:rsid w:val="00DE0159"/>
    <w:rsid w:val="00DE044F"/>
    <w:rsid w:val="00DE0493"/>
    <w:rsid w:val="00DE04F3"/>
    <w:rsid w:val="00DE0526"/>
    <w:rsid w:val="00DE0756"/>
    <w:rsid w:val="00DE0B78"/>
    <w:rsid w:val="00DE0C4C"/>
    <w:rsid w:val="00DE13CB"/>
    <w:rsid w:val="00DE18A4"/>
    <w:rsid w:val="00DE19AF"/>
    <w:rsid w:val="00DE19DC"/>
    <w:rsid w:val="00DE1A7A"/>
    <w:rsid w:val="00DE1B69"/>
    <w:rsid w:val="00DE2113"/>
    <w:rsid w:val="00DE22F8"/>
    <w:rsid w:val="00DE24C6"/>
    <w:rsid w:val="00DE25D5"/>
    <w:rsid w:val="00DE2970"/>
    <w:rsid w:val="00DE2AD9"/>
    <w:rsid w:val="00DE2B33"/>
    <w:rsid w:val="00DE2BC4"/>
    <w:rsid w:val="00DE3F85"/>
    <w:rsid w:val="00DE425A"/>
    <w:rsid w:val="00DE45E0"/>
    <w:rsid w:val="00DE47C9"/>
    <w:rsid w:val="00DE4828"/>
    <w:rsid w:val="00DE4BB5"/>
    <w:rsid w:val="00DE4DF6"/>
    <w:rsid w:val="00DE5132"/>
    <w:rsid w:val="00DE5355"/>
    <w:rsid w:val="00DE53AD"/>
    <w:rsid w:val="00DE556A"/>
    <w:rsid w:val="00DE6142"/>
    <w:rsid w:val="00DE6185"/>
    <w:rsid w:val="00DE6AAC"/>
    <w:rsid w:val="00DE6DDB"/>
    <w:rsid w:val="00DE6E05"/>
    <w:rsid w:val="00DE7092"/>
    <w:rsid w:val="00DE7455"/>
    <w:rsid w:val="00DE75BE"/>
    <w:rsid w:val="00DE779D"/>
    <w:rsid w:val="00DE7C76"/>
    <w:rsid w:val="00DF0410"/>
    <w:rsid w:val="00DF084E"/>
    <w:rsid w:val="00DF0B9C"/>
    <w:rsid w:val="00DF14D3"/>
    <w:rsid w:val="00DF1B31"/>
    <w:rsid w:val="00DF1E88"/>
    <w:rsid w:val="00DF222B"/>
    <w:rsid w:val="00DF2294"/>
    <w:rsid w:val="00DF2AFA"/>
    <w:rsid w:val="00DF311F"/>
    <w:rsid w:val="00DF3344"/>
    <w:rsid w:val="00DF33D6"/>
    <w:rsid w:val="00DF3D51"/>
    <w:rsid w:val="00DF3DF9"/>
    <w:rsid w:val="00DF4057"/>
    <w:rsid w:val="00DF40C9"/>
    <w:rsid w:val="00DF45B1"/>
    <w:rsid w:val="00DF4696"/>
    <w:rsid w:val="00DF48A1"/>
    <w:rsid w:val="00DF4A2D"/>
    <w:rsid w:val="00DF4BD9"/>
    <w:rsid w:val="00DF4C62"/>
    <w:rsid w:val="00DF4CFD"/>
    <w:rsid w:val="00DF5145"/>
    <w:rsid w:val="00DF5198"/>
    <w:rsid w:val="00DF542E"/>
    <w:rsid w:val="00DF5530"/>
    <w:rsid w:val="00DF5588"/>
    <w:rsid w:val="00DF5F45"/>
    <w:rsid w:val="00DF6071"/>
    <w:rsid w:val="00DF65A1"/>
    <w:rsid w:val="00DF6F06"/>
    <w:rsid w:val="00DF706F"/>
    <w:rsid w:val="00DF7489"/>
    <w:rsid w:val="00DF77F3"/>
    <w:rsid w:val="00DF7DD3"/>
    <w:rsid w:val="00DF7F6F"/>
    <w:rsid w:val="00E0022A"/>
    <w:rsid w:val="00E005AA"/>
    <w:rsid w:val="00E00A4F"/>
    <w:rsid w:val="00E00BBC"/>
    <w:rsid w:val="00E00C6B"/>
    <w:rsid w:val="00E00EF0"/>
    <w:rsid w:val="00E01227"/>
    <w:rsid w:val="00E01AEA"/>
    <w:rsid w:val="00E02049"/>
    <w:rsid w:val="00E0218E"/>
    <w:rsid w:val="00E02209"/>
    <w:rsid w:val="00E02411"/>
    <w:rsid w:val="00E026C7"/>
    <w:rsid w:val="00E0294B"/>
    <w:rsid w:val="00E02CF0"/>
    <w:rsid w:val="00E02DF0"/>
    <w:rsid w:val="00E02F8C"/>
    <w:rsid w:val="00E03155"/>
    <w:rsid w:val="00E033DF"/>
    <w:rsid w:val="00E039D1"/>
    <w:rsid w:val="00E03C63"/>
    <w:rsid w:val="00E03D85"/>
    <w:rsid w:val="00E03F49"/>
    <w:rsid w:val="00E03FC2"/>
    <w:rsid w:val="00E04196"/>
    <w:rsid w:val="00E0470B"/>
    <w:rsid w:val="00E04B86"/>
    <w:rsid w:val="00E04CB3"/>
    <w:rsid w:val="00E0567E"/>
    <w:rsid w:val="00E0581E"/>
    <w:rsid w:val="00E05976"/>
    <w:rsid w:val="00E061AF"/>
    <w:rsid w:val="00E06667"/>
    <w:rsid w:val="00E067C6"/>
    <w:rsid w:val="00E068DE"/>
    <w:rsid w:val="00E06B8F"/>
    <w:rsid w:val="00E076BB"/>
    <w:rsid w:val="00E077E9"/>
    <w:rsid w:val="00E07EAE"/>
    <w:rsid w:val="00E106E2"/>
    <w:rsid w:val="00E10DB0"/>
    <w:rsid w:val="00E11019"/>
    <w:rsid w:val="00E1112A"/>
    <w:rsid w:val="00E111BD"/>
    <w:rsid w:val="00E11341"/>
    <w:rsid w:val="00E11AF0"/>
    <w:rsid w:val="00E11BA7"/>
    <w:rsid w:val="00E11BED"/>
    <w:rsid w:val="00E11F44"/>
    <w:rsid w:val="00E11FAB"/>
    <w:rsid w:val="00E122F9"/>
    <w:rsid w:val="00E12598"/>
    <w:rsid w:val="00E12798"/>
    <w:rsid w:val="00E12C35"/>
    <w:rsid w:val="00E12C60"/>
    <w:rsid w:val="00E12C9A"/>
    <w:rsid w:val="00E1302F"/>
    <w:rsid w:val="00E13103"/>
    <w:rsid w:val="00E137F8"/>
    <w:rsid w:val="00E1395D"/>
    <w:rsid w:val="00E139E9"/>
    <w:rsid w:val="00E13B1D"/>
    <w:rsid w:val="00E13BE4"/>
    <w:rsid w:val="00E13C76"/>
    <w:rsid w:val="00E14452"/>
    <w:rsid w:val="00E1494F"/>
    <w:rsid w:val="00E15110"/>
    <w:rsid w:val="00E15205"/>
    <w:rsid w:val="00E155D1"/>
    <w:rsid w:val="00E155E9"/>
    <w:rsid w:val="00E15805"/>
    <w:rsid w:val="00E15ADA"/>
    <w:rsid w:val="00E15C4A"/>
    <w:rsid w:val="00E15CEA"/>
    <w:rsid w:val="00E15D11"/>
    <w:rsid w:val="00E165E4"/>
    <w:rsid w:val="00E169B6"/>
    <w:rsid w:val="00E16DB0"/>
    <w:rsid w:val="00E16DE4"/>
    <w:rsid w:val="00E16E73"/>
    <w:rsid w:val="00E174A7"/>
    <w:rsid w:val="00E175D7"/>
    <w:rsid w:val="00E17864"/>
    <w:rsid w:val="00E17B07"/>
    <w:rsid w:val="00E20458"/>
    <w:rsid w:val="00E2099E"/>
    <w:rsid w:val="00E20ACB"/>
    <w:rsid w:val="00E21C91"/>
    <w:rsid w:val="00E21D1E"/>
    <w:rsid w:val="00E21E99"/>
    <w:rsid w:val="00E21F84"/>
    <w:rsid w:val="00E22173"/>
    <w:rsid w:val="00E224B8"/>
    <w:rsid w:val="00E22709"/>
    <w:rsid w:val="00E22C52"/>
    <w:rsid w:val="00E22DB6"/>
    <w:rsid w:val="00E22F53"/>
    <w:rsid w:val="00E22F96"/>
    <w:rsid w:val="00E23A41"/>
    <w:rsid w:val="00E23B64"/>
    <w:rsid w:val="00E23C2E"/>
    <w:rsid w:val="00E23F59"/>
    <w:rsid w:val="00E247BB"/>
    <w:rsid w:val="00E24FF3"/>
    <w:rsid w:val="00E250F5"/>
    <w:rsid w:val="00E251D7"/>
    <w:rsid w:val="00E257E7"/>
    <w:rsid w:val="00E2599D"/>
    <w:rsid w:val="00E25A25"/>
    <w:rsid w:val="00E25E69"/>
    <w:rsid w:val="00E2600A"/>
    <w:rsid w:val="00E263BD"/>
    <w:rsid w:val="00E26650"/>
    <w:rsid w:val="00E2690B"/>
    <w:rsid w:val="00E274C7"/>
    <w:rsid w:val="00E274D1"/>
    <w:rsid w:val="00E278D6"/>
    <w:rsid w:val="00E27B86"/>
    <w:rsid w:val="00E27EC3"/>
    <w:rsid w:val="00E30065"/>
    <w:rsid w:val="00E3024C"/>
    <w:rsid w:val="00E3043E"/>
    <w:rsid w:val="00E304C3"/>
    <w:rsid w:val="00E30546"/>
    <w:rsid w:val="00E305CD"/>
    <w:rsid w:val="00E30644"/>
    <w:rsid w:val="00E30725"/>
    <w:rsid w:val="00E30726"/>
    <w:rsid w:val="00E3073F"/>
    <w:rsid w:val="00E307AB"/>
    <w:rsid w:val="00E31D72"/>
    <w:rsid w:val="00E31DAE"/>
    <w:rsid w:val="00E31EDF"/>
    <w:rsid w:val="00E32208"/>
    <w:rsid w:val="00E3228B"/>
    <w:rsid w:val="00E3238F"/>
    <w:rsid w:val="00E32513"/>
    <w:rsid w:val="00E32686"/>
    <w:rsid w:val="00E327F6"/>
    <w:rsid w:val="00E32870"/>
    <w:rsid w:val="00E32B8A"/>
    <w:rsid w:val="00E32BCA"/>
    <w:rsid w:val="00E32E62"/>
    <w:rsid w:val="00E32FD6"/>
    <w:rsid w:val="00E33333"/>
    <w:rsid w:val="00E33DB6"/>
    <w:rsid w:val="00E341E3"/>
    <w:rsid w:val="00E34438"/>
    <w:rsid w:val="00E3466F"/>
    <w:rsid w:val="00E347AC"/>
    <w:rsid w:val="00E34BF0"/>
    <w:rsid w:val="00E34C85"/>
    <w:rsid w:val="00E34E11"/>
    <w:rsid w:val="00E3538D"/>
    <w:rsid w:val="00E359B0"/>
    <w:rsid w:val="00E35AC0"/>
    <w:rsid w:val="00E35DB0"/>
    <w:rsid w:val="00E361F3"/>
    <w:rsid w:val="00E36356"/>
    <w:rsid w:val="00E36360"/>
    <w:rsid w:val="00E36D2C"/>
    <w:rsid w:val="00E36F9E"/>
    <w:rsid w:val="00E3771C"/>
    <w:rsid w:val="00E3780C"/>
    <w:rsid w:val="00E37CED"/>
    <w:rsid w:val="00E402CD"/>
    <w:rsid w:val="00E406F5"/>
    <w:rsid w:val="00E40AA8"/>
    <w:rsid w:val="00E40BBB"/>
    <w:rsid w:val="00E40BFE"/>
    <w:rsid w:val="00E40CF3"/>
    <w:rsid w:val="00E40E08"/>
    <w:rsid w:val="00E41237"/>
    <w:rsid w:val="00E41258"/>
    <w:rsid w:val="00E413EE"/>
    <w:rsid w:val="00E41600"/>
    <w:rsid w:val="00E417B2"/>
    <w:rsid w:val="00E41BAA"/>
    <w:rsid w:val="00E41C47"/>
    <w:rsid w:val="00E41E88"/>
    <w:rsid w:val="00E421EE"/>
    <w:rsid w:val="00E42507"/>
    <w:rsid w:val="00E42767"/>
    <w:rsid w:val="00E42798"/>
    <w:rsid w:val="00E427C3"/>
    <w:rsid w:val="00E42A86"/>
    <w:rsid w:val="00E42CDE"/>
    <w:rsid w:val="00E42E97"/>
    <w:rsid w:val="00E432F8"/>
    <w:rsid w:val="00E43334"/>
    <w:rsid w:val="00E43A75"/>
    <w:rsid w:val="00E43D60"/>
    <w:rsid w:val="00E43FF6"/>
    <w:rsid w:val="00E44000"/>
    <w:rsid w:val="00E44413"/>
    <w:rsid w:val="00E44876"/>
    <w:rsid w:val="00E44AEA"/>
    <w:rsid w:val="00E44CB0"/>
    <w:rsid w:val="00E44F30"/>
    <w:rsid w:val="00E45302"/>
    <w:rsid w:val="00E457C3"/>
    <w:rsid w:val="00E458BB"/>
    <w:rsid w:val="00E45AA3"/>
    <w:rsid w:val="00E45FAF"/>
    <w:rsid w:val="00E46437"/>
    <w:rsid w:val="00E46455"/>
    <w:rsid w:val="00E4649A"/>
    <w:rsid w:val="00E46DA3"/>
    <w:rsid w:val="00E479EF"/>
    <w:rsid w:val="00E47F0A"/>
    <w:rsid w:val="00E47F57"/>
    <w:rsid w:val="00E505EB"/>
    <w:rsid w:val="00E5060C"/>
    <w:rsid w:val="00E50727"/>
    <w:rsid w:val="00E508EF"/>
    <w:rsid w:val="00E50D83"/>
    <w:rsid w:val="00E51434"/>
    <w:rsid w:val="00E5161A"/>
    <w:rsid w:val="00E51759"/>
    <w:rsid w:val="00E51B04"/>
    <w:rsid w:val="00E51B0A"/>
    <w:rsid w:val="00E51F91"/>
    <w:rsid w:val="00E521DF"/>
    <w:rsid w:val="00E52526"/>
    <w:rsid w:val="00E5263A"/>
    <w:rsid w:val="00E5282E"/>
    <w:rsid w:val="00E52905"/>
    <w:rsid w:val="00E52971"/>
    <w:rsid w:val="00E52ADD"/>
    <w:rsid w:val="00E52B24"/>
    <w:rsid w:val="00E52C8B"/>
    <w:rsid w:val="00E52EBC"/>
    <w:rsid w:val="00E53050"/>
    <w:rsid w:val="00E53358"/>
    <w:rsid w:val="00E53383"/>
    <w:rsid w:val="00E53393"/>
    <w:rsid w:val="00E53856"/>
    <w:rsid w:val="00E53C2B"/>
    <w:rsid w:val="00E53EA6"/>
    <w:rsid w:val="00E54003"/>
    <w:rsid w:val="00E54078"/>
    <w:rsid w:val="00E542B2"/>
    <w:rsid w:val="00E5440C"/>
    <w:rsid w:val="00E54413"/>
    <w:rsid w:val="00E54734"/>
    <w:rsid w:val="00E54AC6"/>
    <w:rsid w:val="00E54B04"/>
    <w:rsid w:val="00E54F3C"/>
    <w:rsid w:val="00E5537F"/>
    <w:rsid w:val="00E556DE"/>
    <w:rsid w:val="00E557E0"/>
    <w:rsid w:val="00E55C75"/>
    <w:rsid w:val="00E55C8A"/>
    <w:rsid w:val="00E55E73"/>
    <w:rsid w:val="00E55FE8"/>
    <w:rsid w:val="00E56321"/>
    <w:rsid w:val="00E5657E"/>
    <w:rsid w:val="00E565AF"/>
    <w:rsid w:val="00E5665D"/>
    <w:rsid w:val="00E56A83"/>
    <w:rsid w:val="00E573BD"/>
    <w:rsid w:val="00E574C0"/>
    <w:rsid w:val="00E57878"/>
    <w:rsid w:val="00E602B8"/>
    <w:rsid w:val="00E60D4A"/>
    <w:rsid w:val="00E610F3"/>
    <w:rsid w:val="00E619AC"/>
    <w:rsid w:val="00E62540"/>
    <w:rsid w:val="00E62A4C"/>
    <w:rsid w:val="00E62BD6"/>
    <w:rsid w:val="00E62CF7"/>
    <w:rsid w:val="00E630DA"/>
    <w:rsid w:val="00E63226"/>
    <w:rsid w:val="00E63286"/>
    <w:rsid w:val="00E636A1"/>
    <w:rsid w:val="00E63C24"/>
    <w:rsid w:val="00E63D2A"/>
    <w:rsid w:val="00E644B3"/>
    <w:rsid w:val="00E64874"/>
    <w:rsid w:val="00E64BC7"/>
    <w:rsid w:val="00E64C78"/>
    <w:rsid w:val="00E64D59"/>
    <w:rsid w:val="00E6514E"/>
    <w:rsid w:val="00E653B0"/>
    <w:rsid w:val="00E653B3"/>
    <w:rsid w:val="00E65496"/>
    <w:rsid w:val="00E65B91"/>
    <w:rsid w:val="00E65F81"/>
    <w:rsid w:val="00E66220"/>
    <w:rsid w:val="00E662BA"/>
    <w:rsid w:val="00E665B0"/>
    <w:rsid w:val="00E66697"/>
    <w:rsid w:val="00E668C1"/>
    <w:rsid w:val="00E671AF"/>
    <w:rsid w:val="00E6731A"/>
    <w:rsid w:val="00E6742F"/>
    <w:rsid w:val="00E67566"/>
    <w:rsid w:val="00E679D9"/>
    <w:rsid w:val="00E679F3"/>
    <w:rsid w:val="00E67A7C"/>
    <w:rsid w:val="00E67B1F"/>
    <w:rsid w:val="00E67C55"/>
    <w:rsid w:val="00E67CFD"/>
    <w:rsid w:val="00E67E5D"/>
    <w:rsid w:val="00E67FF0"/>
    <w:rsid w:val="00E70008"/>
    <w:rsid w:val="00E70088"/>
    <w:rsid w:val="00E701F1"/>
    <w:rsid w:val="00E70589"/>
    <w:rsid w:val="00E707F5"/>
    <w:rsid w:val="00E708A7"/>
    <w:rsid w:val="00E708AA"/>
    <w:rsid w:val="00E70E0B"/>
    <w:rsid w:val="00E7110C"/>
    <w:rsid w:val="00E7141F"/>
    <w:rsid w:val="00E71515"/>
    <w:rsid w:val="00E716E2"/>
    <w:rsid w:val="00E71885"/>
    <w:rsid w:val="00E71906"/>
    <w:rsid w:val="00E7194E"/>
    <w:rsid w:val="00E71BA1"/>
    <w:rsid w:val="00E721CD"/>
    <w:rsid w:val="00E723C4"/>
    <w:rsid w:val="00E72624"/>
    <w:rsid w:val="00E7263D"/>
    <w:rsid w:val="00E72877"/>
    <w:rsid w:val="00E7288D"/>
    <w:rsid w:val="00E72D47"/>
    <w:rsid w:val="00E730DB"/>
    <w:rsid w:val="00E73546"/>
    <w:rsid w:val="00E7364B"/>
    <w:rsid w:val="00E7376A"/>
    <w:rsid w:val="00E737F0"/>
    <w:rsid w:val="00E73BE0"/>
    <w:rsid w:val="00E73C1B"/>
    <w:rsid w:val="00E73C3D"/>
    <w:rsid w:val="00E73CB2"/>
    <w:rsid w:val="00E73E49"/>
    <w:rsid w:val="00E74076"/>
    <w:rsid w:val="00E740F0"/>
    <w:rsid w:val="00E7410C"/>
    <w:rsid w:val="00E7424C"/>
    <w:rsid w:val="00E74432"/>
    <w:rsid w:val="00E74627"/>
    <w:rsid w:val="00E7479B"/>
    <w:rsid w:val="00E747F9"/>
    <w:rsid w:val="00E748E7"/>
    <w:rsid w:val="00E74BC8"/>
    <w:rsid w:val="00E74F0A"/>
    <w:rsid w:val="00E7518B"/>
    <w:rsid w:val="00E75273"/>
    <w:rsid w:val="00E755C7"/>
    <w:rsid w:val="00E7594F"/>
    <w:rsid w:val="00E75ECA"/>
    <w:rsid w:val="00E75EE5"/>
    <w:rsid w:val="00E75F5A"/>
    <w:rsid w:val="00E76058"/>
    <w:rsid w:val="00E7630C"/>
    <w:rsid w:val="00E76808"/>
    <w:rsid w:val="00E76A0B"/>
    <w:rsid w:val="00E76ABB"/>
    <w:rsid w:val="00E76DC1"/>
    <w:rsid w:val="00E76FDB"/>
    <w:rsid w:val="00E77361"/>
    <w:rsid w:val="00E77560"/>
    <w:rsid w:val="00E77BE9"/>
    <w:rsid w:val="00E802C7"/>
    <w:rsid w:val="00E802DB"/>
    <w:rsid w:val="00E803B2"/>
    <w:rsid w:val="00E806FC"/>
    <w:rsid w:val="00E807FA"/>
    <w:rsid w:val="00E80824"/>
    <w:rsid w:val="00E80D41"/>
    <w:rsid w:val="00E8123E"/>
    <w:rsid w:val="00E81380"/>
    <w:rsid w:val="00E8144F"/>
    <w:rsid w:val="00E815EB"/>
    <w:rsid w:val="00E817B2"/>
    <w:rsid w:val="00E824E6"/>
    <w:rsid w:val="00E826FD"/>
    <w:rsid w:val="00E827F6"/>
    <w:rsid w:val="00E8296E"/>
    <w:rsid w:val="00E82A3C"/>
    <w:rsid w:val="00E82AA6"/>
    <w:rsid w:val="00E82E89"/>
    <w:rsid w:val="00E831F9"/>
    <w:rsid w:val="00E834CD"/>
    <w:rsid w:val="00E837E8"/>
    <w:rsid w:val="00E838E4"/>
    <w:rsid w:val="00E83C7D"/>
    <w:rsid w:val="00E83FB4"/>
    <w:rsid w:val="00E83FBE"/>
    <w:rsid w:val="00E8421A"/>
    <w:rsid w:val="00E84BC8"/>
    <w:rsid w:val="00E850DE"/>
    <w:rsid w:val="00E85303"/>
    <w:rsid w:val="00E85457"/>
    <w:rsid w:val="00E855E2"/>
    <w:rsid w:val="00E8593A"/>
    <w:rsid w:val="00E85A03"/>
    <w:rsid w:val="00E85AFC"/>
    <w:rsid w:val="00E85BAB"/>
    <w:rsid w:val="00E85C9C"/>
    <w:rsid w:val="00E860F7"/>
    <w:rsid w:val="00E86662"/>
    <w:rsid w:val="00E866DA"/>
    <w:rsid w:val="00E86780"/>
    <w:rsid w:val="00E869E9"/>
    <w:rsid w:val="00E86B3A"/>
    <w:rsid w:val="00E86E11"/>
    <w:rsid w:val="00E86FBF"/>
    <w:rsid w:val="00E87476"/>
    <w:rsid w:val="00E874D7"/>
    <w:rsid w:val="00E87883"/>
    <w:rsid w:val="00E87AD8"/>
    <w:rsid w:val="00E87B46"/>
    <w:rsid w:val="00E87B57"/>
    <w:rsid w:val="00E87D67"/>
    <w:rsid w:val="00E9024F"/>
    <w:rsid w:val="00E90299"/>
    <w:rsid w:val="00E9059C"/>
    <w:rsid w:val="00E9062A"/>
    <w:rsid w:val="00E90730"/>
    <w:rsid w:val="00E90749"/>
    <w:rsid w:val="00E90DEF"/>
    <w:rsid w:val="00E90ED1"/>
    <w:rsid w:val="00E9106E"/>
    <w:rsid w:val="00E911A9"/>
    <w:rsid w:val="00E91688"/>
    <w:rsid w:val="00E9184D"/>
    <w:rsid w:val="00E91983"/>
    <w:rsid w:val="00E91CC2"/>
    <w:rsid w:val="00E91EE2"/>
    <w:rsid w:val="00E91F93"/>
    <w:rsid w:val="00E921CC"/>
    <w:rsid w:val="00E9224F"/>
    <w:rsid w:val="00E927D5"/>
    <w:rsid w:val="00E928BF"/>
    <w:rsid w:val="00E92AAA"/>
    <w:rsid w:val="00E92C6D"/>
    <w:rsid w:val="00E92F3A"/>
    <w:rsid w:val="00E9327E"/>
    <w:rsid w:val="00E936FE"/>
    <w:rsid w:val="00E9376D"/>
    <w:rsid w:val="00E938C3"/>
    <w:rsid w:val="00E93A71"/>
    <w:rsid w:val="00E94166"/>
    <w:rsid w:val="00E94442"/>
    <w:rsid w:val="00E9473F"/>
    <w:rsid w:val="00E94878"/>
    <w:rsid w:val="00E94921"/>
    <w:rsid w:val="00E9498C"/>
    <w:rsid w:val="00E94FAD"/>
    <w:rsid w:val="00E950F0"/>
    <w:rsid w:val="00E95159"/>
    <w:rsid w:val="00E95393"/>
    <w:rsid w:val="00E95809"/>
    <w:rsid w:val="00E9588E"/>
    <w:rsid w:val="00E95943"/>
    <w:rsid w:val="00E962EF"/>
    <w:rsid w:val="00E96402"/>
    <w:rsid w:val="00E96950"/>
    <w:rsid w:val="00E96CEF"/>
    <w:rsid w:val="00E970FA"/>
    <w:rsid w:val="00E97202"/>
    <w:rsid w:val="00E97292"/>
    <w:rsid w:val="00E974E8"/>
    <w:rsid w:val="00E97A80"/>
    <w:rsid w:val="00E97D79"/>
    <w:rsid w:val="00EA0320"/>
    <w:rsid w:val="00EA0451"/>
    <w:rsid w:val="00EA0533"/>
    <w:rsid w:val="00EA07E1"/>
    <w:rsid w:val="00EA0B42"/>
    <w:rsid w:val="00EA0D26"/>
    <w:rsid w:val="00EA0FE4"/>
    <w:rsid w:val="00EA13F8"/>
    <w:rsid w:val="00EA14D4"/>
    <w:rsid w:val="00EA1BF9"/>
    <w:rsid w:val="00EA1E1B"/>
    <w:rsid w:val="00EA1E88"/>
    <w:rsid w:val="00EA2005"/>
    <w:rsid w:val="00EA2166"/>
    <w:rsid w:val="00EA229D"/>
    <w:rsid w:val="00EA23CB"/>
    <w:rsid w:val="00EA2606"/>
    <w:rsid w:val="00EA2B78"/>
    <w:rsid w:val="00EA3374"/>
    <w:rsid w:val="00EA345A"/>
    <w:rsid w:val="00EA34AD"/>
    <w:rsid w:val="00EA37B9"/>
    <w:rsid w:val="00EA3811"/>
    <w:rsid w:val="00EA3DD9"/>
    <w:rsid w:val="00EA4130"/>
    <w:rsid w:val="00EA4358"/>
    <w:rsid w:val="00EA4E94"/>
    <w:rsid w:val="00EA502E"/>
    <w:rsid w:val="00EA5617"/>
    <w:rsid w:val="00EA56CB"/>
    <w:rsid w:val="00EA571F"/>
    <w:rsid w:val="00EA583D"/>
    <w:rsid w:val="00EA589B"/>
    <w:rsid w:val="00EA59D4"/>
    <w:rsid w:val="00EA5CD5"/>
    <w:rsid w:val="00EA5D29"/>
    <w:rsid w:val="00EA5DA7"/>
    <w:rsid w:val="00EA61B4"/>
    <w:rsid w:val="00EA6533"/>
    <w:rsid w:val="00EA684D"/>
    <w:rsid w:val="00EA698D"/>
    <w:rsid w:val="00EA69FE"/>
    <w:rsid w:val="00EA6A00"/>
    <w:rsid w:val="00EA6B12"/>
    <w:rsid w:val="00EA6B7A"/>
    <w:rsid w:val="00EA6D3B"/>
    <w:rsid w:val="00EA714A"/>
    <w:rsid w:val="00EA7169"/>
    <w:rsid w:val="00EA7542"/>
    <w:rsid w:val="00EA76F4"/>
    <w:rsid w:val="00EA7819"/>
    <w:rsid w:val="00EA7B73"/>
    <w:rsid w:val="00EA7B79"/>
    <w:rsid w:val="00EA7BE0"/>
    <w:rsid w:val="00EB0221"/>
    <w:rsid w:val="00EB0613"/>
    <w:rsid w:val="00EB0855"/>
    <w:rsid w:val="00EB096B"/>
    <w:rsid w:val="00EB1017"/>
    <w:rsid w:val="00EB1265"/>
    <w:rsid w:val="00EB135B"/>
    <w:rsid w:val="00EB194C"/>
    <w:rsid w:val="00EB19A9"/>
    <w:rsid w:val="00EB1B4A"/>
    <w:rsid w:val="00EB1C07"/>
    <w:rsid w:val="00EB1F1F"/>
    <w:rsid w:val="00EB1F5C"/>
    <w:rsid w:val="00EB21E2"/>
    <w:rsid w:val="00EB2712"/>
    <w:rsid w:val="00EB27E1"/>
    <w:rsid w:val="00EB2D1F"/>
    <w:rsid w:val="00EB30E4"/>
    <w:rsid w:val="00EB31B7"/>
    <w:rsid w:val="00EB3565"/>
    <w:rsid w:val="00EB3648"/>
    <w:rsid w:val="00EB397D"/>
    <w:rsid w:val="00EB42C3"/>
    <w:rsid w:val="00EB4314"/>
    <w:rsid w:val="00EB479E"/>
    <w:rsid w:val="00EB4FB9"/>
    <w:rsid w:val="00EB508A"/>
    <w:rsid w:val="00EB53B5"/>
    <w:rsid w:val="00EB5438"/>
    <w:rsid w:val="00EB5587"/>
    <w:rsid w:val="00EB5922"/>
    <w:rsid w:val="00EB5D6D"/>
    <w:rsid w:val="00EB5FEC"/>
    <w:rsid w:val="00EB6278"/>
    <w:rsid w:val="00EB62D4"/>
    <w:rsid w:val="00EB64C3"/>
    <w:rsid w:val="00EB654C"/>
    <w:rsid w:val="00EB6B03"/>
    <w:rsid w:val="00EB6F9C"/>
    <w:rsid w:val="00EB7148"/>
    <w:rsid w:val="00EB7356"/>
    <w:rsid w:val="00EB759C"/>
    <w:rsid w:val="00EB79B7"/>
    <w:rsid w:val="00EB79F8"/>
    <w:rsid w:val="00EB7ABC"/>
    <w:rsid w:val="00EB7ABF"/>
    <w:rsid w:val="00EB7E62"/>
    <w:rsid w:val="00EC0611"/>
    <w:rsid w:val="00EC06D5"/>
    <w:rsid w:val="00EC09F1"/>
    <w:rsid w:val="00EC0BB3"/>
    <w:rsid w:val="00EC0CCB"/>
    <w:rsid w:val="00EC11F8"/>
    <w:rsid w:val="00EC128E"/>
    <w:rsid w:val="00EC12C2"/>
    <w:rsid w:val="00EC1756"/>
    <w:rsid w:val="00EC17B5"/>
    <w:rsid w:val="00EC19AB"/>
    <w:rsid w:val="00EC1B96"/>
    <w:rsid w:val="00EC1BEC"/>
    <w:rsid w:val="00EC2453"/>
    <w:rsid w:val="00EC2899"/>
    <w:rsid w:val="00EC2E70"/>
    <w:rsid w:val="00EC2EF6"/>
    <w:rsid w:val="00EC3079"/>
    <w:rsid w:val="00EC30FD"/>
    <w:rsid w:val="00EC31CD"/>
    <w:rsid w:val="00EC3206"/>
    <w:rsid w:val="00EC3379"/>
    <w:rsid w:val="00EC3675"/>
    <w:rsid w:val="00EC3974"/>
    <w:rsid w:val="00EC3A90"/>
    <w:rsid w:val="00EC4096"/>
    <w:rsid w:val="00EC40F6"/>
    <w:rsid w:val="00EC4307"/>
    <w:rsid w:val="00EC4A97"/>
    <w:rsid w:val="00EC4BA7"/>
    <w:rsid w:val="00EC4BC3"/>
    <w:rsid w:val="00EC4F39"/>
    <w:rsid w:val="00EC5635"/>
    <w:rsid w:val="00EC5D94"/>
    <w:rsid w:val="00EC67AE"/>
    <w:rsid w:val="00EC6BAE"/>
    <w:rsid w:val="00EC6D1C"/>
    <w:rsid w:val="00EC700C"/>
    <w:rsid w:val="00EC76B9"/>
    <w:rsid w:val="00EC7AE0"/>
    <w:rsid w:val="00EC7C14"/>
    <w:rsid w:val="00EC7F93"/>
    <w:rsid w:val="00ED00E9"/>
    <w:rsid w:val="00ED06D3"/>
    <w:rsid w:val="00ED0794"/>
    <w:rsid w:val="00ED08B0"/>
    <w:rsid w:val="00ED098C"/>
    <w:rsid w:val="00ED0B7D"/>
    <w:rsid w:val="00ED14F1"/>
    <w:rsid w:val="00ED15A8"/>
    <w:rsid w:val="00ED17F2"/>
    <w:rsid w:val="00ED1DE1"/>
    <w:rsid w:val="00ED2019"/>
    <w:rsid w:val="00ED2274"/>
    <w:rsid w:val="00ED2937"/>
    <w:rsid w:val="00ED2B39"/>
    <w:rsid w:val="00ED2C9D"/>
    <w:rsid w:val="00ED2CFD"/>
    <w:rsid w:val="00ED2F84"/>
    <w:rsid w:val="00ED358F"/>
    <w:rsid w:val="00ED376F"/>
    <w:rsid w:val="00ED3AA1"/>
    <w:rsid w:val="00ED3C40"/>
    <w:rsid w:val="00ED3FED"/>
    <w:rsid w:val="00ED412D"/>
    <w:rsid w:val="00ED4184"/>
    <w:rsid w:val="00ED41B5"/>
    <w:rsid w:val="00ED41D2"/>
    <w:rsid w:val="00ED4501"/>
    <w:rsid w:val="00ED4505"/>
    <w:rsid w:val="00ED4898"/>
    <w:rsid w:val="00ED497F"/>
    <w:rsid w:val="00ED4E48"/>
    <w:rsid w:val="00ED5483"/>
    <w:rsid w:val="00ED55AF"/>
    <w:rsid w:val="00ED578E"/>
    <w:rsid w:val="00ED58D4"/>
    <w:rsid w:val="00ED5A64"/>
    <w:rsid w:val="00ED5F87"/>
    <w:rsid w:val="00ED62CA"/>
    <w:rsid w:val="00ED696D"/>
    <w:rsid w:val="00ED6A0F"/>
    <w:rsid w:val="00ED6A9E"/>
    <w:rsid w:val="00ED6EDE"/>
    <w:rsid w:val="00ED7277"/>
    <w:rsid w:val="00ED771C"/>
    <w:rsid w:val="00ED7D9A"/>
    <w:rsid w:val="00ED7DDB"/>
    <w:rsid w:val="00ED7E69"/>
    <w:rsid w:val="00EDF2D6"/>
    <w:rsid w:val="00EE051E"/>
    <w:rsid w:val="00EE05E2"/>
    <w:rsid w:val="00EE0857"/>
    <w:rsid w:val="00EE091B"/>
    <w:rsid w:val="00EE0C0D"/>
    <w:rsid w:val="00EE109B"/>
    <w:rsid w:val="00EE1191"/>
    <w:rsid w:val="00EE1364"/>
    <w:rsid w:val="00EE13FB"/>
    <w:rsid w:val="00EE1607"/>
    <w:rsid w:val="00EE1BB3"/>
    <w:rsid w:val="00EE1F3D"/>
    <w:rsid w:val="00EE23F6"/>
    <w:rsid w:val="00EE25A5"/>
    <w:rsid w:val="00EE29D9"/>
    <w:rsid w:val="00EE2AF0"/>
    <w:rsid w:val="00EE33B1"/>
    <w:rsid w:val="00EE37A5"/>
    <w:rsid w:val="00EE3860"/>
    <w:rsid w:val="00EE3DA0"/>
    <w:rsid w:val="00EE40E3"/>
    <w:rsid w:val="00EE442A"/>
    <w:rsid w:val="00EE4650"/>
    <w:rsid w:val="00EE47FA"/>
    <w:rsid w:val="00EE498A"/>
    <w:rsid w:val="00EE4D98"/>
    <w:rsid w:val="00EE4E8C"/>
    <w:rsid w:val="00EE5132"/>
    <w:rsid w:val="00EE5E19"/>
    <w:rsid w:val="00EE5FB2"/>
    <w:rsid w:val="00EE60FC"/>
    <w:rsid w:val="00EE6132"/>
    <w:rsid w:val="00EE6C23"/>
    <w:rsid w:val="00EE701C"/>
    <w:rsid w:val="00EE7674"/>
    <w:rsid w:val="00EE779B"/>
    <w:rsid w:val="00EE7A83"/>
    <w:rsid w:val="00EE7B9A"/>
    <w:rsid w:val="00EF0593"/>
    <w:rsid w:val="00EF0B74"/>
    <w:rsid w:val="00EF0E98"/>
    <w:rsid w:val="00EF0EE9"/>
    <w:rsid w:val="00EF104E"/>
    <w:rsid w:val="00EF11F9"/>
    <w:rsid w:val="00EF1204"/>
    <w:rsid w:val="00EF122D"/>
    <w:rsid w:val="00EF128A"/>
    <w:rsid w:val="00EF1D97"/>
    <w:rsid w:val="00EF1EA3"/>
    <w:rsid w:val="00EF20EE"/>
    <w:rsid w:val="00EF2997"/>
    <w:rsid w:val="00EF2D15"/>
    <w:rsid w:val="00EF37A9"/>
    <w:rsid w:val="00EF3840"/>
    <w:rsid w:val="00EF3984"/>
    <w:rsid w:val="00EF3A73"/>
    <w:rsid w:val="00EF3B7C"/>
    <w:rsid w:val="00EF413E"/>
    <w:rsid w:val="00EF4151"/>
    <w:rsid w:val="00EF41A3"/>
    <w:rsid w:val="00EF42F3"/>
    <w:rsid w:val="00EF4AA3"/>
    <w:rsid w:val="00EF4F05"/>
    <w:rsid w:val="00EF5345"/>
    <w:rsid w:val="00EF5905"/>
    <w:rsid w:val="00EF5E1D"/>
    <w:rsid w:val="00EF5E48"/>
    <w:rsid w:val="00EF5E78"/>
    <w:rsid w:val="00EF6163"/>
    <w:rsid w:val="00EF65D8"/>
    <w:rsid w:val="00EF665C"/>
    <w:rsid w:val="00EF6A6F"/>
    <w:rsid w:val="00EF7084"/>
    <w:rsid w:val="00EF718C"/>
    <w:rsid w:val="00EF7475"/>
    <w:rsid w:val="00EF76E6"/>
    <w:rsid w:val="00EF7933"/>
    <w:rsid w:val="00EF7EC6"/>
    <w:rsid w:val="00F0009A"/>
    <w:rsid w:val="00F00695"/>
    <w:rsid w:val="00F008A5"/>
    <w:rsid w:val="00F009B3"/>
    <w:rsid w:val="00F011C1"/>
    <w:rsid w:val="00F013AA"/>
    <w:rsid w:val="00F0165C"/>
    <w:rsid w:val="00F016D5"/>
    <w:rsid w:val="00F018A3"/>
    <w:rsid w:val="00F01A40"/>
    <w:rsid w:val="00F01B9D"/>
    <w:rsid w:val="00F01ED1"/>
    <w:rsid w:val="00F02005"/>
    <w:rsid w:val="00F0247A"/>
    <w:rsid w:val="00F02591"/>
    <w:rsid w:val="00F0264D"/>
    <w:rsid w:val="00F0284A"/>
    <w:rsid w:val="00F02F77"/>
    <w:rsid w:val="00F03347"/>
    <w:rsid w:val="00F033F9"/>
    <w:rsid w:val="00F03486"/>
    <w:rsid w:val="00F03604"/>
    <w:rsid w:val="00F036C9"/>
    <w:rsid w:val="00F039D9"/>
    <w:rsid w:val="00F03CB2"/>
    <w:rsid w:val="00F04A59"/>
    <w:rsid w:val="00F04B3F"/>
    <w:rsid w:val="00F04D3A"/>
    <w:rsid w:val="00F04EBD"/>
    <w:rsid w:val="00F05508"/>
    <w:rsid w:val="00F057CF"/>
    <w:rsid w:val="00F059E4"/>
    <w:rsid w:val="00F05B34"/>
    <w:rsid w:val="00F0650D"/>
    <w:rsid w:val="00F06555"/>
    <w:rsid w:val="00F067CC"/>
    <w:rsid w:val="00F06BF0"/>
    <w:rsid w:val="00F06CC9"/>
    <w:rsid w:val="00F06E67"/>
    <w:rsid w:val="00F07104"/>
    <w:rsid w:val="00F07653"/>
    <w:rsid w:val="00F07B57"/>
    <w:rsid w:val="00F07BFD"/>
    <w:rsid w:val="00F07E85"/>
    <w:rsid w:val="00F07EC3"/>
    <w:rsid w:val="00F10278"/>
    <w:rsid w:val="00F1029C"/>
    <w:rsid w:val="00F103A5"/>
    <w:rsid w:val="00F1060A"/>
    <w:rsid w:val="00F1069C"/>
    <w:rsid w:val="00F1075B"/>
    <w:rsid w:val="00F10EC7"/>
    <w:rsid w:val="00F1107E"/>
    <w:rsid w:val="00F11B95"/>
    <w:rsid w:val="00F11BEF"/>
    <w:rsid w:val="00F11CA4"/>
    <w:rsid w:val="00F11F98"/>
    <w:rsid w:val="00F121C5"/>
    <w:rsid w:val="00F12609"/>
    <w:rsid w:val="00F12C16"/>
    <w:rsid w:val="00F133F3"/>
    <w:rsid w:val="00F134E6"/>
    <w:rsid w:val="00F138E5"/>
    <w:rsid w:val="00F13C72"/>
    <w:rsid w:val="00F13C73"/>
    <w:rsid w:val="00F13D2B"/>
    <w:rsid w:val="00F1441A"/>
    <w:rsid w:val="00F14923"/>
    <w:rsid w:val="00F149C0"/>
    <w:rsid w:val="00F14CB6"/>
    <w:rsid w:val="00F14CED"/>
    <w:rsid w:val="00F14F0B"/>
    <w:rsid w:val="00F15489"/>
    <w:rsid w:val="00F15890"/>
    <w:rsid w:val="00F15933"/>
    <w:rsid w:val="00F15AC4"/>
    <w:rsid w:val="00F15C03"/>
    <w:rsid w:val="00F163D3"/>
    <w:rsid w:val="00F16715"/>
    <w:rsid w:val="00F16CFA"/>
    <w:rsid w:val="00F16EDD"/>
    <w:rsid w:val="00F17004"/>
    <w:rsid w:val="00F172C9"/>
    <w:rsid w:val="00F17ADC"/>
    <w:rsid w:val="00F17E8A"/>
    <w:rsid w:val="00F17EFE"/>
    <w:rsid w:val="00F200DB"/>
    <w:rsid w:val="00F203D7"/>
    <w:rsid w:val="00F20752"/>
    <w:rsid w:val="00F209FE"/>
    <w:rsid w:val="00F20A53"/>
    <w:rsid w:val="00F20BDB"/>
    <w:rsid w:val="00F20D7D"/>
    <w:rsid w:val="00F21075"/>
    <w:rsid w:val="00F212E0"/>
    <w:rsid w:val="00F213F6"/>
    <w:rsid w:val="00F216E7"/>
    <w:rsid w:val="00F218DE"/>
    <w:rsid w:val="00F21A6B"/>
    <w:rsid w:val="00F21AF9"/>
    <w:rsid w:val="00F21F05"/>
    <w:rsid w:val="00F220BF"/>
    <w:rsid w:val="00F222C7"/>
    <w:rsid w:val="00F22763"/>
    <w:rsid w:val="00F22922"/>
    <w:rsid w:val="00F22CF1"/>
    <w:rsid w:val="00F23202"/>
    <w:rsid w:val="00F239C7"/>
    <w:rsid w:val="00F23A09"/>
    <w:rsid w:val="00F23C9C"/>
    <w:rsid w:val="00F23EAB"/>
    <w:rsid w:val="00F23FA0"/>
    <w:rsid w:val="00F242C4"/>
    <w:rsid w:val="00F242D2"/>
    <w:rsid w:val="00F2430D"/>
    <w:rsid w:val="00F24443"/>
    <w:rsid w:val="00F24759"/>
    <w:rsid w:val="00F247AB"/>
    <w:rsid w:val="00F248D2"/>
    <w:rsid w:val="00F249ED"/>
    <w:rsid w:val="00F24AC1"/>
    <w:rsid w:val="00F24B2A"/>
    <w:rsid w:val="00F2517E"/>
    <w:rsid w:val="00F2525A"/>
    <w:rsid w:val="00F2575C"/>
    <w:rsid w:val="00F259A5"/>
    <w:rsid w:val="00F259FE"/>
    <w:rsid w:val="00F260F7"/>
    <w:rsid w:val="00F26211"/>
    <w:rsid w:val="00F26872"/>
    <w:rsid w:val="00F26EAD"/>
    <w:rsid w:val="00F26FEA"/>
    <w:rsid w:val="00F27035"/>
    <w:rsid w:val="00F27124"/>
    <w:rsid w:val="00F27A09"/>
    <w:rsid w:val="00F27CA9"/>
    <w:rsid w:val="00F27CB7"/>
    <w:rsid w:val="00F27CD5"/>
    <w:rsid w:val="00F27ED0"/>
    <w:rsid w:val="00F27F16"/>
    <w:rsid w:val="00F3054C"/>
    <w:rsid w:val="00F312A6"/>
    <w:rsid w:val="00F31419"/>
    <w:rsid w:val="00F31552"/>
    <w:rsid w:val="00F31E17"/>
    <w:rsid w:val="00F31EC5"/>
    <w:rsid w:val="00F31F4E"/>
    <w:rsid w:val="00F32598"/>
    <w:rsid w:val="00F32942"/>
    <w:rsid w:val="00F32A3E"/>
    <w:rsid w:val="00F32A89"/>
    <w:rsid w:val="00F32BB7"/>
    <w:rsid w:val="00F33041"/>
    <w:rsid w:val="00F331D2"/>
    <w:rsid w:val="00F332CA"/>
    <w:rsid w:val="00F33D76"/>
    <w:rsid w:val="00F33DE7"/>
    <w:rsid w:val="00F340D4"/>
    <w:rsid w:val="00F3411D"/>
    <w:rsid w:val="00F341B7"/>
    <w:rsid w:val="00F3431F"/>
    <w:rsid w:val="00F3438B"/>
    <w:rsid w:val="00F34BA8"/>
    <w:rsid w:val="00F34DDA"/>
    <w:rsid w:val="00F34E68"/>
    <w:rsid w:val="00F3509D"/>
    <w:rsid w:val="00F35154"/>
    <w:rsid w:val="00F35297"/>
    <w:rsid w:val="00F35538"/>
    <w:rsid w:val="00F35765"/>
    <w:rsid w:val="00F35789"/>
    <w:rsid w:val="00F35C84"/>
    <w:rsid w:val="00F3602B"/>
    <w:rsid w:val="00F36113"/>
    <w:rsid w:val="00F3624E"/>
    <w:rsid w:val="00F363EE"/>
    <w:rsid w:val="00F364A8"/>
    <w:rsid w:val="00F367F2"/>
    <w:rsid w:val="00F36821"/>
    <w:rsid w:val="00F36D58"/>
    <w:rsid w:val="00F36EB6"/>
    <w:rsid w:val="00F37145"/>
    <w:rsid w:val="00F37379"/>
    <w:rsid w:val="00F37CE1"/>
    <w:rsid w:val="00F40194"/>
    <w:rsid w:val="00F401A3"/>
    <w:rsid w:val="00F40316"/>
    <w:rsid w:val="00F403B1"/>
    <w:rsid w:val="00F408DD"/>
    <w:rsid w:val="00F40C01"/>
    <w:rsid w:val="00F40EDB"/>
    <w:rsid w:val="00F4126E"/>
    <w:rsid w:val="00F413D7"/>
    <w:rsid w:val="00F413E6"/>
    <w:rsid w:val="00F415B6"/>
    <w:rsid w:val="00F4196C"/>
    <w:rsid w:val="00F41AA3"/>
    <w:rsid w:val="00F41D84"/>
    <w:rsid w:val="00F420E9"/>
    <w:rsid w:val="00F4212B"/>
    <w:rsid w:val="00F421F6"/>
    <w:rsid w:val="00F423CA"/>
    <w:rsid w:val="00F42A35"/>
    <w:rsid w:val="00F42B7D"/>
    <w:rsid w:val="00F42BA1"/>
    <w:rsid w:val="00F43154"/>
    <w:rsid w:val="00F43371"/>
    <w:rsid w:val="00F43533"/>
    <w:rsid w:val="00F43845"/>
    <w:rsid w:val="00F43A93"/>
    <w:rsid w:val="00F43C0B"/>
    <w:rsid w:val="00F43D53"/>
    <w:rsid w:val="00F446EB"/>
    <w:rsid w:val="00F44BAD"/>
    <w:rsid w:val="00F44CB1"/>
    <w:rsid w:val="00F44E4B"/>
    <w:rsid w:val="00F44E7C"/>
    <w:rsid w:val="00F44E9D"/>
    <w:rsid w:val="00F44EFC"/>
    <w:rsid w:val="00F44FC3"/>
    <w:rsid w:val="00F44FF2"/>
    <w:rsid w:val="00F45153"/>
    <w:rsid w:val="00F4518D"/>
    <w:rsid w:val="00F452BE"/>
    <w:rsid w:val="00F45590"/>
    <w:rsid w:val="00F45C74"/>
    <w:rsid w:val="00F4627F"/>
    <w:rsid w:val="00F462CD"/>
    <w:rsid w:val="00F46422"/>
    <w:rsid w:val="00F46520"/>
    <w:rsid w:val="00F46814"/>
    <w:rsid w:val="00F46CD5"/>
    <w:rsid w:val="00F46E2D"/>
    <w:rsid w:val="00F47369"/>
    <w:rsid w:val="00F473D0"/>
    <w:rsid w:val="00F47428"/>
    <w:rsid w:val="00F474C9"/>
    <w:rsid w:val="00F4756B"/>
    <w:rsid w:val="00F475CF"/>
    <w:rsid w:val="00F47909"/>
    <w:rsid w:val="00F47C30"/>
    <w:rsid w:val="00F47E02"/>
    <w:rsid w:val="00F5042A"/>
    <w:rsid w:val="00F50907"/>
    <w:rsid w:val="00F50AD1"/>
    <w:rsid w:val="00F50CE7"/>
    <w:rsid w:val="00F50F00"/>
    <w:rsid w:val="00F511C8"/>
    <w:rsid w:val="00F51842"/>
    <w:rsid w:val="00F51AC5"/>
    <w:rsid w:val="00F51BEA"/>
    <w:rsid w:val="00F51CA4"/>
    <w:rsid w:val="00F51F78"/>
    <w:rsid w:val="00F51F89"/>
    <w:rsid w:val="00F52225"/>
    <w:rsid w:val="00F5237F"/>
    <w:rsid w:val="00F52546"/>
    <w:rsid w:val="00F52723"/>
    <w:rsid w:val="00F53031"/>
    <w:rsid w:val="00F530B4"/>
    <w:rsid w:val="00F53101"/>
    <w:rsid w:val="00F534A3"/>
    <w:rsid w:val="00F536DB"/>
    <w:rsid w:val="00F536E1"/>
    <w:rsid w:val="00F53A82"/>
    <w:rsid w:val="00F53D8B"/>
    <w:rsid w:val="00F54011"/>
    <w:rsid w:val="00F5416D"/>
    <w:rsid w:val="00F54237"/>
    <w:rsid w:val="00F542E6"/>
    <w:rsid w:val="00F54525"/>
    <w:rsid w:val="00F54532"/>
    <w:rsid w:val="00F5474D"/>
    <w:rsid w:val="00F547F4"/>
    <w:rsid w:val="00F54AA0"/>
    <w:rsid w:val="00F5527F"/>
    <w:rsid w:val="00F55C7E"/>
    <w:rsid w:val="00F55EA7"/>
    <w:rsid w:val="00F55ECE"/>
    <w:rsid w:val="00F56802"/>
    <w:rsid w:val="00F5683D"/>
    <w:rsid w:val="00F568A2"/>
    <w:rsid w:val="00F56A9B"/>
    <w:rsid w:val="00F56B1A"/>
    <w:rsid w:val="00F56B38"/>
    <w:rsid w:val="00F56B6A"/>
    <w:rsid w:val="00F56CC2"/>
    <w:rsid w:val="00F57320"/>
    <w:rsid w:val="00F5735D"/>
    <w:rsid w:val="00F57366"/>
    <w:rsid w:val="00F57585"/>
    <w:rsid w:val="00F57A4D"/>
    <w:rsid w:val="00F57A6C"/>
    <w:rsid w:val="00F57B0F"/>
    <w:rsid w:val="00F57F0E"/>
    <w:rsid w:val="00F6022D"/>
    <w:rsid w:val="00F60385"/>
    <w:rsid w:val="00F606B4"/>
    <w:rsid w:val="00F60CD5"/>
    <w:rsid w:val="00F60CF4"/>
    <w:rsid w:val="00F60FA7"/>
    <w:rsid w:val="00F6115B"/>
    <w:rsid w:val="00F6121B"/>
    <w:rsid w:val="00F61303"/>
    <w:rsid w:val="00F618AB"/>
    <w:rsid w:val="00F619AE"/>
    <w:rsid w:val="00F61A43"/>
    <w:rsid w:val="00F61B1E"/>
    <w:rsid w:val="00F61C11"/>
    <w:rsid w:val="00F623C7"/>
    <w:rsid w:val="00F62405"/>
    <w:rsid w:val="00F624B8"/>
    <w:rsid w:val="00F6275C"/>
    <w:rsid w:val="00F62824"/>
    <w:rsid w:val="00F62946"/>
    <w:rsid w:val="00F62A21"/>
    <w:rsid w:val="00F62B66"/>
    <w:rsid w:val="00F63143"/>
    <w:rsid w:val="00F63902"/>
    <w:rsid w:val="00F63917"/>
    <w:rsid w:val="00F63B62"/>
    <w:rsid w:val="00F63C16"/>
    <w:rsid w:val="00F63C7A"/>
    <w:rsid w:val="00F63E6B"/>
    <w:rsid w:val="00F63F2D"/>
    <w:rsid w:val="00F63FDE"/>
    <w:rsid w:val="00F645AE"/>
    <w:rsid w:val="00F646BD"/>
    <w:rsid w:val="00F64BED"/>
    <w:rsid w:val="00F64EDF"/>
    <w:rsid w:val="00F6565A"/>
    <w:rsid w:val="00F65671"/>
    <w:rsid w:val="00F65946"/>
    <w:rsid w:val="00F65DEB"/>
    <w:rsid w:val="00F65FA8"/>
    <w:rsid w:val="00F66157"/>
    <w:rsid w:val="00F6617D"/>
    <w:rsid w:val="00F66587"/>
    <w:rsid w:val="00F66598"/>
    <w:rsid w:val="00F665E2"/>
    <w:rsid w:val="00F6693C"/>
    <w:rsid w:val="00F66CBA"/>
    <w:rsid w:val="00F67061"/>
    <w:rsid w:val="00F672F6"/>
    <w:rsid w:val="00F6746D"/>
    <w:rsid w:val="00F67A8D"/>
    <w:rsid w:val="00F67A9D"/>
    <w:rsid w:val="00F684C2"/>
    <w:rsid w:val="00F70161"/>
    <w:rsid w:val="00F707D9"/>
    <w:rsid w:val="00F709A6"/>
    <w:rsid w:val="00F70A7D"/>
    <w:rsid w:val="00F710DC"/>
    <w:rsid w:val="00F711A1"/>
    <w:rsid w:val="00F7176D"/>
    <w:rsid w:val="00F71860"/>
    <w:rsid w:val="00F71BFD"/>
    <w:rsid w:val="00F71C93"/>
    <w:rsid w:val="00F71E15"/>
    <w:rsid w:val="00F71E32"/>
    <w:rsid w:val="00F72453"/>
    <w:rsid w:val="00F724AD"/>
    <w:rsid w:val="00F7255A"/>
    <w:rsid w:val="00F72652"/>
    <w:rsid w:val="00F72C60"/>
    <w:rsid w:val="00F72C7D"/>
    <w:rsid w:val="00F72FA7"/>
    <w:rsid w:val="00F72FC4"/>
    <w:rsid w:val="00F7315B"/>
    <w:rsid w:val="00F73174"/>
    <w:rsid w:val="00F7345D"/>
    <w:rsid w:val="00F73B97"/>
    <w:rsid w:val="00F73BF7"/>
    <w:rsid w:val="00F741B4"/>
    <w:rsid w:val="00F741DA"/>
    <w:rsid w:val="00F7444E"/>
    <w:rsid w:val="00F7468C"/>
    <w:rsid w:val="00F74905"/>
    <w:rsid w:val="00F74A9F"/>
    <w:rsid w:val="00F74BD1"/>
    <w:rsid w:val="00F74D04"/>
    <w:rsid w:val="00F7557C"/>
    <w:rsid w:val="00F7574F"/>
    <w:rsid w:val="00F75F47"/>
    <w:rsid w:val="00F7642E"/>
    <w:rsid w:val="00F76565"/>
    <w:rsid w:val="00F76665"/>
    <w:rsid w:val="00F76A6B"/>
    <w:rsid w:val="00F76A8F"/>
    <w:rsid w:val="00F76EA5"/>
    <w:rsid w:val="00F80807"/>
    <w:rsid w:val="00F80EF7"/>
    <w:rsid w:val="00F811CD"/>
    <w:rsid w:val="00F81694"/>
    <w:rsid w:val="00F816E5"/>
    <w:rsid w:val="00F81A5E"/>
    <w:rsid w:val="00F81AD8"/>
    <w:rsid w:val="00F81D1E"/>
    <w:rsid w:val="00F81DA9"/>
    <w:rsid w:val="00F81FE2"/>
    <w:rsid w:val="00F8288D"/>
    <w:rsid w:val="00F8291C"/>
    <w:rsid w:val="00F82AA1"/>
    <w:rsid w:val="00F82D96"/>
    <w:rsid w:val="00F82E6B"/>
    <w:rsid w:val="00F831F7"/>
    <w:rsid w:val="00F832A9"/>
    <w:rsid w:val="00F835A4"/>
    <w:rsid w:val="00F835B1"/>
    <w:rsid w:val="00F83B8E"/>
    <w:rsid w:val="00F83CAB"/>
    <w:rsid w:val="00F845D2"/>
    <w:rsid w:val="00F845DD"/>
    <w:rsid w:val="00F847C0"/>
    <w:rsid w:val="00F84C10"/>
    <w:rsid w:val="00F855FD"/>
    <w:rsid w:val="00F85850"/>
    <w:rsid w:val="00F85EA7"/>
    <w:rsid w:val="00F86127"/>
    <w:rsid w:val="00F8618F"/>
    <w:rsid w:val="00F864C4"/>
    <w:rsid w:val="00F86A22"/>
    <w:rsid w:val="00F86FA9"/>
    <w:rsid w:val="00F879EC"/>
    <w:rsid w:val="00F87FBE"/>
    <w:rsid w:val="00F903EC"/>
    <w:rsid w:val="00F9042D"/>
    <w:rsid w:val="00F9053F"/>
    <w:rsid w:val="00F9057E"/>
    <w:rsid w:val="00F9066B"/>
    <w:rsid w:val="00F91175"/>
    <w:rsid w:val="00F912C4"/>
    <w:rsid w:val="00F9166A"/>
    <w:rsid w:val="00F917C3"/>
    <w:rsid w:val="00F91AD7"/>
    <w:rsid w:val="00F91DC2"/>
    <w:rsid w:val="00F9213C"/>
    <w:rsid w:val="00F9213D"/>
    <w:rsid w:val="00F9227F"/>
    <w:rsid w:val="00F926A9"/>
    <w:rsid w:val="00F929FD"/>
    <w:rsid w:val="00F92AF8"/>
    <w:rsid w:val="00F92C8C"/>
    <w:rsid w:val="00F9317D"/>
    <w:rsid w:val="00F9334F"/>
    <w:rsid w:val="00F93B92"/>
    <w:rsid w:val="00F93F66"/>
    <w:rsid w:val="00F940A6"/>
    <w:rsid w:val="00F94813"/>
    <w:rsid w:val="00F94A62"/>
    <w:rsid w:val="00F94DF8"/>
    <w:rsid w:val="00F95844"/>
    <w:rsid w:val="00F95915"/>
    <w:rsid w:val="00F9593B"/>
    <w:rsid w:val="00F959B4"/>
    <w:rsid w:val="00F96152"/>
    <w:rsid w:val="00F96383"/>
    <w:rsid w:val="00F963B6"/>
    <w:rsid w:val="00F96458"/>
    <w:rsid w:val="00F96667"/>
    <w:rsid w:val="00F967C3"/>
    <w:rsid w:val="00F9688E"/>
    <w:rsid w:val="00F968EE"/>
    <w:rsid w:val="00F96D6F"/>
    <w:rsid w:val="00F97422"/>
    <w:rsid w:val="00F974B5"/>
    <w:rsid w:val="00F97534"/>
    <w:rsid w:val="00F97D18"/>
    <w:rsid w:val="00FA038E"/>
    <w:rsid w:val="00FA0771"/>
    <w:rsid w:val="00FA0DB5"/>
    <w:rsid w:val="00FA0E50"/>
    <w:rsid w:val="00FA0F79"/>
    <w:rsid w:val="00FA11AC"/>
    <w:rsid w:val="00FA121B"/>
    <w:rsid w:val="00FA1270"/>
    <w:rsid w:val="00FA1298"/>
    <w:rsid w:val="00FA136C"/>
    <w:rsid w:val="00FA1827"/>
    <w:rsid w:val="00FA1DBF"/>
    <w:rsid w:val="00FA1E94"/>
    <w:rsid w:val="00FA20E5"/>
    <w:rsid w:val="00FA2208"/>
    <w:rsid w:val="00FA2386"/>
    <w:rsid w:val="00FA2616"/>
    <w:rsid w:val="00FA2A03"/>
    <w:rsid w:val="00FA2E46"/>
    <w:rsid w:val="00FA2E8F"/>
    <w:rsid w:val="00FA3649"/>
    <w:rsid w:val="00FA36C7"/>
    <w:rsid w:val="00FA3A3A"/>
    <w:rsid w:val="00FA3AE5"/>
    <w:rsid w:val="00FA3AFE"/>
    <w:rsid w:val="00FA3B50"/>
    <w:rsid w:val="00FA3BA3"/>
    <w:rsid w:val="00FA3BDA"/>
    <w:rsid w:val="00FA3F8A"/>
    <w:rsid w:val="00FA4682"/>
    <w:rsid w:val="00FA4D4A"/>
    <w:rsid w:val="00FA4EC0"/>
    <w:rsid w:val="00FA4FD9"/>
    <w:rsid w:val="00FA500E"/>
    <w:rsid w:val="00FA54A6"/>
    <w:rsid w:val="00FA56B5"/>
    <w:rsid w:val="00FA58F8"/>
    <w:rsid w:val="00FA5A07"/>
    <w:rsid w:val="00FA5E47"/>
    <w:rsid w:val="00FA631E"/>
    <w:rsid w:val="00FA65A1"/>
    <w:rsid w:val="00FA65B3"/>
    <w:rsid w:val="00FA6655"/>
    <w:rsid w:val="00FA689C"/>
    <w:rsid w:val="00FA69BA"/>
    <w:rsid w:val="00FA69CB"/>
    <w:rsid w:val="00FA7665"/>
    <w:rsid w:val="00FA76AB"/>
    <w:rsid w:val="00FA7A57"/>
    <w:rsid w:val="00FA7B46"/>
    <w:rsid w:val="00FA7BF5"/>
    <w:rsid w:val="00FB01B2"/>
    <w:rsid w:val="00FB0590"/>
    <w:rsid w:val="00FB089B"/>
    <w:rsid w:val="00FB0EC5"/>
    <w:rsid w:val="00FB1269"/>
    <w:rsid w:val="00FB1571"/>
    <w:rsid w:val="00FB1D52"/>
    <w:rsid w:val="00FB1E0E"/>
    <w:rsid w:val="00FB228C"/>
    <w:rsid w:val="00FB273D"/>
    <w:rsid w:val="00FB275D"/>
    <w:rsid w:val="00FB2805"/>
    <w:rsid w:val="00FB2D8F"/>
    <w:rsid w:val="00FB300C"/>
    <w:rsid w:val="00FB30F3"/>
    <w:rsid w:val="00FB3603"/>
    <w:rsid w:val="00FB363D"/>
    <w:rsid w:val="00FB3663"/>
    <w:rsid w:val="00FB4078"/>
    <w:rsid w:val="00FB41B2"/>
    <w:rsid w:val="00FB4596"/>
    <w:rsid w:val="00FB45DA"/>
    <w:rsid w:val="00FB4875"/>
    <w:rsid w:val="00FB4CD3"/>
    <w:rsid w:val="00FB5760"/>
    <w:rsid w:val="00FB5BA5"/>
    <w:rsid w:val="00FB5E63"/>
    <w:rsid w:val="00FB5E79"/>
    <w:rsid w:val="00FB6240"/>
    <w:rsid w:val="00FB6288"/>
    <w:rsid w:val="00FB629B"/>
    <w:rsid w:val="00FB63AB"/>
    <w:rsid w:val="00FB641E"/>
    <w:rsid w:val="00FB6784"/>
    <w:rsid w:val="00FB688B"/>
    <w:rsid w:val="00FB6B3D"/>
    <w:rsid w:val="00FB6C1D"/>
    <w:rsid w:val="00FB6C52"/>
    <w:rsid w:val="00FB73C2"/>
    <w:rsid w:val="00FB7622"/>
    <w:rsid w:val="00FB7852"/>
    <w:rsid w:val="00FB7A07"/>
    <w:rsid w:val="00FB7B0B"/>
    <w:rsid w:val="00FB7D1A"/>
    <w:rsid w:val="00FB7D68"/>
    <w:rsid w:val="00FB7E05"/>
    <w:rsid w:val="00FB7ED2"/>
    <w:rsid w:val="00FB7F7E"/>
    <w:rsid w:val="00FC0401"/>
    <w:rsid w:val="00FC04FC"/>
    <w:rsid w:val="00FC052C"/>
    <w:rsid w:val="00FC06FF"/>
    <w:rsid w:val="00FC0AD9"/>
    <w:rsid w:val="00FC106A"/>
    <w:rsid w:val="00FC1190"/>
    <w:rsid w:val="00FC1598"/>
    <w:rsid w:val="00FC19B2"/>
    <w:rsid w:val="00FC1C1C"/>
    <w:rsid w:val="00FC1FEB"/>
    <w:rsid w:val="00FC22E5"/>
    <w:rsid w:val="00FC25D5"/>
    <w:rsid w:val="00FC25F8"/>
    <w:rsid w:val="00FC27BC"/>
    <w:rsid w:val="00FC27D6"/>
    <w:rsid w:val="00FC2C0C"/>
    <w:rsid w:val="00FC2CFC"/>
    <w:rsid w:val="00FC3015"/>
    <w:rsid w:val="00FC3233"/>
    <w:rsid w:val="00FC33F7"/>
    <w:rsid w:val="00FC3A3C"/>
    <w:rsid w:val="00FC3BAB"/>
    <w:rsid w:val="00FC3DB9"/>
    <w:rsid w:val="00FC404F"/>
    <w:rsid w:val="00FC413E"/>
    <w:rsid w:val="00FC4283"/>
    <w:rsid w:val="00FC43ED"/>
    <w:rsid w:val="00FC4833"/>
    <w:rsid w:val="00FC49F0"/>
    <w:rsid w:val="00FC5008"/>
    <w:rsid w:val="00FC57D5"/>
    <w:rsid w:val="00FC5AE6"/>
    <w:rsid w:val="00FC5C0A"/>
    <w:rsid w:val="00FC5C84"/>
    <w:rsid w:val="00FC61F0"/>
    <w:rsid w:val="00FC6BCA"/>
    <w:rsid w:val="00FC6CE3"/>
    <w:rsid w:val="00FC70CA"/>
    <w:rsid w:val="00FC7192"/>
    <w:rsid w:val="00FC71FC"/>
    <w:rsid w:val="00FC73C1"/>
    <w:rsid w:val="00FC7565"/>
    <w:rsid w:val="00FC797D"/>
    <w:rsid w:val="00FC7DA5"/>
    <w:rsid w:val="00FC7E7B"/>
    <w:rsid w:val="00FD02D0"/>
    <w:rsid w:val="00FD02DB"/>
    <w:rsid w:val="00FD047D"/>
    <w:rsid w:val="00FD0578"/>
    <w:rsid w:val="00FD0835"/>
    <w:rsid w:val="00FD09F0"/>
    <w:rsid w:val="00FD0BFA"/>
    <w:rsid w:val="00FD0D2E"/>
    <w:rsid w:val="00FD1509"/>
    <w:rsid w:val="00FD15DA"/>
    <w:rsid w:val="00FD1A38"/>
    <w:rsid w:val="00FD1E81"/>
    <w:rsid w:val="00FD1E8E"/>
    <w:rsid w:val="00FD1FB9"/>
    <w:rsid w:val="00FD2362"/>
    <w:rsid w:val="00FD24D6"/>
    <w:rsid w:val="00FD291C"/>
    <w:rsid w:val="00FD3105"/>
    <w:rsid w:val="00FD32FD"/>
    <w:rsid w:val="00FD35CB"/>
    <w:rsid w:val="00FD3EB8"/>
    <w:rsid w:val="00FD41FE"/>
    <w:rsid w:val="00FD44BC"/>
    <w:rsid w:val="00FD44F5"/>
    <w:rsid w:val="00FD4854"/>
    <w:rsid w:val="00FD4872"/>
    <w:rsid w:val="00FD4B41"/>
    <w:rsid w:val="00FD50C5"/>
    <w:rsid w:val="00FD521D"/>
    <w:rsid w:val="00FD565C"/>
    <w:rsid w:val="00FD5D08"/>
    <w:rsid w:val="00FD5D0D"/>
    <w:rsid w:val="00FD6208"/>
    <w:rsid w:val="00FD621A"/>
    <w:rsid w:val="00FD6263"/>
    <w:rsid w:val="00FD645D"/>
    <w:rsid w:val="00FD6626"/>
    <w:rsid w:val="00FD6889"/>
    <w:rsid w:val="00FD6B0D"/>
    <w:rsid w:val="00FD6C16"/>
    <w:rsid w:val="00FD6C61"/>
    <w:rsid w:val="00FD6FDC"/>
    <w:rsid w:val="00FD7163"/>
    <w:rsid w:val="00FD7E37"/>
    <w:rsid w:val="00FE0332"/>
    <w:rsid w:val="00FE03C9"/>
    <w:rsid w:val="00FE0715"/>
    <w:rsid w:val="00FE074A"/>
    <w:rsid w:val="00FE0998"/>
    <w:rsid w:val="00FE0EBA"/>
    <w:rsid w:val="00FE1885"/>
    <w:rsid w:val="00FE1C11"/>
    <w:rsid w:val="00FE22B6"/>
    <w:rsid w:val="00FE250D"/>
    <w:rsid w:val="00FE257C"/>
    <w:rsid w:val="00FE2A71"/>
    <w:rsid w:val="00FE361D"/>
    <w:rsid w:val="00FE3C94"/>
    <w:rsid w:val="00FE3D9E"/>
    <w:rsid w:val="00FE4078"/>
    <w:rsid w:val="00FE42D3"/>
    <w:rsid w:val="00FE4370"/>
    <w:rsid w:val="00FE47E1"/>
    <w:rsid w:val="00FE47F0"/>
    <w:rsid w:val="00FE498B"/>
    <w:rsid w:val="00FE4D99"/>
    <w:rsid w:val="00FE4E04"/>
    <w:rsid w:val="00FE5538"/>
    <w:rsid w:val="00FE596E"/>
    <w:rsid w:val="00FE59C5"/>
    <w:rsid w:val="00FE5A69"/>
    <w:rsid w:val="00FE5E5D"/>
    <w:rsid w:val="00FE5EF6"/>
    <w:rsid w:val="00FE5EFC"/>
    <w:rsid w:val="00FE603B"/>
    <w:rsid w:val="00FE635E"/>
    <w:rsid w:val="00FE6736"/>
    <w:rsid w:val="00FE6B1A"/>
    <w:rsid w:val="00FE6E8F"/>
    <w:rsid w:val="00FE70F1"/>
    <w:rsid w:val="00FE72D8"/>
    <w:rsid w:val="00FE7779"/>
    <w:rsid w:val="00FE7FF1"/>
    <w:rsid w:val="00FF0393"/>
    <w:rsid w:val="00FF06C2"/>
    <w:rsid w:val="00FF0914"/>
    <w:rsid w:val="00FF0B37"/>
    <w:rsid w:val="00FF0DF1"/>
    <w:rsid w:val="00FF0E0A"/>
    <w:rsid w:val="00FF0E53"/>
    <w:rsid w:val="00FF1153"/>
    <w:rsid w:val="00FF1249"/>
    <w:rsid w:val="00FF132C"/>
    <w:rsid w:val="00FF150D"/>
    <w:rsid w:val="00FF15A1"/>
    <w:rsid w:val="00FF18EA"/>
    <w:rsid w:val="00FF1B8D"/>
    <w:rsid w:val="00FF1C1F"/>
    <w:rsid w:val="00FF1C20"/>
    <w:rsid w:val="00FF2239"/>
    <w:rsid w:val="00FF278D"/>
    <w:rsid w:val="00FF2B56"/>
    <w:rsid w:val="00FF30CD"/>
    <w:rsid w:val="00FF380C"/>
    <w:rsid w:val="00FF3AD8"/>
    <w:rsid w:val="00FF3B98"/>
    <w:rsid w:val="00FF3CC5"/>
    <w:rsid w:val="00FF3CCE"/>
    <w:rsid w:val="00FF41F3"/>
    <w:rsid w:val="00FF43B2"/>
    <w:rsid w:val="00FF4460"/>
    <w:rsid w:val="00FF4748"/>
    <w:rsid w:val="00FF4AF8"/>
    <w:rsid w:val="00FF4B0B"/>
    <w:rsid w:val="00FF4D09"/>
    <w:rsid w:val="00FF5163"/>
    <w:rsid w:val="00FF5359"/>
    <w:rsid w:val="00FF55E0"/>
    <w:rsid w:val="00FF5BDF"/>
    <w:rsid w:val="00FF5FDD"/>
    <w:rsid w:val="00FF601A"/>
    <w:rsid w:val="00FF618D"/>
    <w:rsid w:val="00FF61E7"/>
    <w:rsid w:val="00FF6D76"/>
    <w:rsid w:val="00FF742D"/>
    <w:rsid w:val="00FF7A8A"/>
    <w:rsid w:val="00FF7DBD"/>
    <w:rsid w:val="00FF7DC9"/>
    <w:rsid w:val="00FF7EEC"/>
    <w:rsid w:val="01083A8C"/>
    <w:rsid w:val="0128934F"/>
    <w:rsid w:val="013C4584"/>
    <w:rsid w:val="017735E7"/>
    <w:rsid w:val="018664BE"/>
    <w:rsid w:val="018D3190"/>
    <w:rsid w:val="01966691"/>
    <w:rsid w:val="01BA065E"/>
    <w:rsid w:val="01BA3322"/>
    <w:rsid w:val="01CC26EF"/>
    <w:rsid w:val="01D92E14"/>
    <w:rsid w:val="02245CF6"/>
    <w:rsid w:val="02268674"/>
    <w:rsid w:val="022FC9FD"/>
    <w:rsid w:val="0234ADF7"/>
    <w:rsid w:val="0254E8EE"/>
    <w:rsid w:val="0257BB05"/>
    <w:rsid w:val="02702B73"/>
    <w:rsid w:val="027CACB0"/>
    <w:rsid w:val="02803AC9"/>
    <w:rsid w:val="028D09F6"/>
    <w:rsid w:val="02A4305F"/>
    <w:rsid w:val="02A6B158"/>
    <w:rsid w:val="02C5A6BF"/>
    <w:rsid w:val="02CA58DC"/>
    <w:rsid w:val="02D9712A"/>
    <w:rsid w:val="02DA9DD2"/>
    <w:rsid w:val="02EB4BBB"/>
    <w:rsid w:val="02EF6572"/>
    <w:rsid w:val="02F230AE"/>
    <w:rsid w:val="02F54366"/>
    <w:rsid w:val="032A6216"/>
    <w:rsid w:val="032FE05E"/>
    <w:rsid w:val="0334223F"/>
    <w:rsid w:val="0338B110"/>
    <w:rsid w:val="0341034C"/>
    <w:rsid w:val="03416F22"/>
    <w:rsid w:val="0350F9E9"/>
    <w:rsid w:val="0352D11F"/>
    <w:rsid w:val="0352EFFB"/>
    <w:rsid w:val="0356D449"/>
    <w:rsid w:val="0364CEBA"/>
    <w:rsid w:val="0378703D"/>
    <w:rsid w:val="037BF01C"/>
    <w:rsid w:val="03B0880F"/>
    <w:rsid w:val="03C048C1"/>
    <w:rsid w:val="03C549C2"/>
    <w:rsid w:val="03DD2D62"/>
    <w:rsid w:val="03DFF6E5"/>
    <w:rsid w:val="03E744CD"/>
    <w:rsid w:val="040A5669"/>
    <w:rsid w:val="040CC8EC"/>
    <w:rsid w:val="040CDAC5"/>
    <w:rsid w:val="04259963"/>
    <w:rsid w:val="0432ADA7"/>
    <w:rsid w:val="043F6708"/>
    <w:rsid w:val="04462086"/>
    <w:rsid w:val="044F2471"/>
    <w:rsid w:val="0458AEF2"/>
    <w:rsid w:val="0458B1D0"/>
    <w:rsid w:val="04675D0B"/>
    <w:rsid w:val="0477B939"/>
    <w:rsid w:val="04791D06"/>
    <w:rsid w:val="04823391"/>
    <w:rsid w:val="0491043D"/>
    <w:rsid w:val="04B16A9B"/>
    <w:rsid w:val="04B700FD"/>
    <w:rsid w:val="04BBF7C9"/>
    <w:rsid w:val="04BE840E"/>
    <w:rsid w:val="04CC384C"/>
    <w:rsid w:val="04D1ACF6"/>
    <w:rsid w:val="04D9FA33"/>
    <w:rsid w:val="04E22C23"/>
    <w:rsid w:val="050BB62E"/>
    <w:rsid w:val="05185C16"/>
    <w:rsid w:val="053D428B"/>
    <w:rsid w:val="05739B9B"/>
    <w:rsid w:val="057BAC8E"/>
    <w:rsid w:val="0585137E"/>
    <w:rsid w:val="058E8118"/>
    <w:rsid w:val="058F67A4"/>
    <w:rsid w:val="05917527"/>
    <w:rsid w:val="05AEC7C9"/>
    <w:rsid w:val="05E24BDC"/>
    <w:rsid w:val="05F274D4"/>
    <w:rsid w:val="0600EDBD"/>
    <w:rsid w:val="06010EBC"/>
    <w:rsid w:val="06102C13"/>
    <w:rsid w:val="06240253"/>
    <w:rsid w:val="06288FC6"/>
    <w:rsid w:val="062D5E74"/>
    <w:rsid w:val="063AAF28"/>
    <w:rsid w:val="064F8FD3"/>
    <w:rsid w:val="0669482B"/>
    <w:rsid w:val="066C5AE5"/>
    <w:rsid w:val="066E076F"/>
    <w:rsid w:val="06A0024D"/>
    <w:rsid w:val="06AB5E60"/>
    <w:rsid w:val="06BA73E1"/>
    <w:rsid w:val="06D4627D"/>
    <w:rsid w:val="06D68111"/>
    <w:rsid w:val="06E4EFC7"/>
    <w:rsid w:val="06E6BA9B"/>
    <w:rsid w:val="06EDCAE8"/>
    <w:rsid w:val="0701B23E"/>
    <w:rsid w:val="0704B2E8"/>
    <w:rsid w:val="0714FEDC"/>
    <w:rsid w:val="0734C4B7"/>
    <w:rsid w:val="0737ADB2"/>
    <w:rsid w:val="07398272"/>
    <w:rsid w:val="07466D24"/>
    <w:rsid w:val="074938A8"/>
    <w:rsid w:val="074A26F2"/>
    <w:rsid w:val="074B0381"/>
    <w:rsid w:val="0751412F"/>
    <w:rsid w:val="075EABDF"/>
    <w:rsid w:val="0783EFDA"/>
    <w:rsid w:val="07873480"/>
    <w:rsid w:val="07AF8B57"/>
    <w:rsid w:val="07BA262C"/>
    <w:rsid w:val="07CB643C"/>
    <w:rsid w:val="07D3062C"/>
    <w:rsid w:val="07D351D5"/>
    <w:rsid w:val="07D76C22"/>
    <w:rsid w:val="07DF9285"/>
    <w:rsid w:val="07E4FB63"/>
    <w:rsid w:val="07E641F4"/>
    <w:rsid w:val="07ED1217"/>
    <w:rsid w:val="08069F24"/>
    <w:rsid w:val="0810F3C0"/>
    <w:rsid w:val="08480833"/>
    <w:rsid w:val="0850B094"/>
    <w:rsid w:val="0854B035"/>
    <w:rsid w:val="085FCA05"/>
    <w:rsid w:val="0861B0F4"/>
    <w:rsid w:val="0868BF2B"/>
    <w:rsid w:val="088D3C2F"/>
    <w:rsid w:val="08A061C0"/>
    <w:rsid w:val="08AC304C"/>
    <w:rsid w:val="08B6D828"/>
    <w:rsid w:val="08D1A1C4"/>
    <w:rsid w:val="08FB7031"/>
    <w:rsid w:val="0911A7F0"/>
    <w:rsid w:val="09201165"/>
    <w:rsid w:val="0920949D"/>
    <w:rsid w:val="092881B5"/>
    <w:rsid w:val="0936161B"/>
    <w:rsid w:val="095670CE"/>
    <w:rsid w:val="09671FA9"/>
    <w:rsid w:val="098546C0"/>
    <w:rsid w:val="098ECED0"/>
    <w:rsid w:val="0999E8DE"/>
    <w:rsid w:val="09B19E89"/>
    <w:rsid w:val="09B609D8"/>
    <w:rsid w:val="09C5F69E"/>
    <w:rsid w:val="09C5FEB4"/>
    <w:rsid w:val="0A03DB40"/>
    <w:rsid w:val="0A06D5CF"/>
    <w:rsid w:val="0A140848"/>
    <w:rsid w:val="0A18670E"/>
    <w:rsid w:val="0A203859"/>
    <w:rsid w:val="0A237260"/>
    <w:rsid w:val="0A2C36B8"/>
    <w:rsid w:val="0A3E8319"/>
    <w:rsid w:val="0A3F1AE1"/>
    <w:rsid w:val="0A559685"/>
    <w:rsid w:val="0A5F0B2D"/>
    <w:rsid w:val="0A679EAF"/>
    <w:rsid w:val="0A693D67"/>
    <w:rsid w:val="0AA3AAE3"/>
    <w:rsid w:val="0AADAB99"/>
    <w:rsid w:val="0AB7608D"/>
    <w:rsid w:val="0ABA50E2"/>
    <w:rsid w:val="0AC29AE5"/>
    <w:rsid w:val="0ADCDB89"/>
    <w:rsid w:val="0AE3561A"/>
    <w:rsid w:val="0AEA0A60"/>
    <w:rsid w:val="0B2B9ED5"/>
    <w:rsid w:val="0B46AF08"/>
    <w:rsid w:val="0B5E53C1"/>
    <w:rsid w:val="0B6ED48E"/>
    <w:rsid w:val="0B71AF40"/>
    <w:rsid w:val="0B747533"/>
    <w:rsid w:val="0B85B65F"/>
    <w:rsid w:val="0B8AA34A"/>
    <w:rsid w:val="0B8DE70F"/>
    <w:rsid w:val="0B8E9FFB"/>
    <w:rsid w:val="0B93FA6C"/>
    <w:rsid w:val="0BA07DC6"/>
    <w:rsid w:val="0BAA73AB"/>
    <w:rsid w:val="0BAA7B7C"/>
    <w:rsid w:val="0BAB2408"/>
    <w:rsid w:val="0BB50C35"/>
    <w:rsid w:val="0BBB4591"/>
    <w:rsid w:val="0BBF63AD"/>
    <w:rsid w:val="0BBFFEE7"/>
    <w:rsid w:val="0BC102A9"/>
    <w:rsid w:val="0BDAD283"/>
    <w:rsid w:val="0BFC8C1F"/>
    <w:rsid w:val="0C02FC18"/>
    <w:rsid w:val="0C055BA1"/>
    <w:rsid w:val="0C0BA681"/>
    <w:rsid w:val="0C10EF92"/>
    <w:rsid w:val="0C280136"/>
    <w:rsid w:val="0C28E21A"/>
    <w:rsid w:val="0C2959D6"/>
    <w:rsid w:val="0C401FC7"/>
    <w:rsid w:val="0C41FBB0"/>
    <w:rsid w:val="0C5B9032"/>
    <w:rsid w:val="0C6CE648"/>
    <w:rsid w:val="0C6DFDA5"/>
    <w:rsid w:val="0C75E7C1"/>
    <w:rsid w:val="0C832967"/>
    <w:rsid w:val="0C8A3A74"/>
    <w:rsid w:val="0C93F465"/>
    <w:rsid w:val="0C9BDAA3"/>
    <w:rsid w:val="0C9F6A6B"/>
    <w:rsid w:val="0CAE2331"/>
    <w:rsid w:val="0CB3FCBC"/>
    <w:rsid w:val="0CE40BC0"/>
    <w:rsid w:val="0CE83004"/>
    <w:rsid w:val="0CFC6487"/>
    <w:rsid w:val="0D03DBD8"/>
    <w:rsid w:val="0D0D26EF"/>
    <w:rsid w:val="0D2F14AD"/>
    <w:rsid w:val="0D3AC932"/>
    <w:rsid w:val="0D3DCDD2"/>
    <w:rsid w:val="0D4A6DBD"/>
    <w:rsid w:val="0D4D9327"/>
    <w:rsid w:val="0D62F60F"/>
    <w:rsid w:val="0D6ED4C3"/>
    <w:rsid w:val="0D81E732"/>
    <w:rsid w:val="0D83FC07"/>
    <w:rsid w:val="0D8643FA"/>
    <w:rsid w:val="0D881EC7"/>
    <w:rsid w:val="0D902841"/>
    <w:rsid w:val="0D99F9A9"/>
    <w:rsid w:val="0DB993ED"/>
    <w:rsid w:val="0DD9A916"/>
    <w:rsid w:val="0DF0A99D"/>
    <w:rsid w:val="0E2557DD"/>
    <w:rsid w:val="0E31B238"/>
    <w:rsid w:val="0E3300D9"/>
    <w:rsid w:val="0E4B1C27"/>
    <w:rsid w:val="0E667FE0"/>
    <w:rsid w:val="0EAF84E6"/>
    <w:rsid w:val="0ECB2DDF"/>
    <w:rsid w:val="0ED0D6D2"/>
    <w:rsid w:val="0ED45012"/>
    <w:rsid w:val="0ED91D5E"/>
    <w:rsid w:val="0EE00D18"/>
    <w:rsid w:val="0F059527"/>
    <w:rsid w:val="0F0A1ABC"/>
    <w:rsid w:val="0F0F3A8E"/>
    <w:rsid w:val="0F1489A6"/>
    <w:rsid w:val="0F19FAAE"/>
    <w:rsid w:val="0F3760B3"/>
    <w:rsid w:val="0F3DA355"/>
    <w:rsid w:val="0F5C5E2F"/>
    <w:rsid w:val="0F6C4D9C"/>
    <w:rsid w:val="0F7DEAF4"/>
    <w:rsid w:val="0F812DD6"/>
    <w:rsid w:val="0F82FDA1"/>
    <w:rsid w:val="0F8BDE3A"/>
    <w:rsid w:val="0F9D0908"/>
    <w:rsid w:val="0F9F961A"/>
    <w:rsid w:val="0FA07679"/>
    <w:rsid w:val="0FC4E404"/>
    <w:rsid w:val="0FD3CA2C"/>
    <w:rsid w:val="0FF220BC"/>
    <w:rsid w:val="0FF6261C"/>
    <w:rsid w:val="0FF82E09"/>
    <w:rsid w:val="10060EDE"/>
    <w:rsid w:val="1009CDC5"/>
    <w:rsid w:val="101A564D"/>
    <w:rsid w:val="1023B17B"/>
    <w:rsid w:val="1042E672"/>
    <w:rsid w:val="106DD40E"/>
    <w:rsid w:val="10738CA3"/>
    <w:rsid w:val="10847DDE"/>
    <w:rsid w:val="1085C334"/>
    <w:rsid w:val="10A10805"/>
    <w:rsid w:val="10A26CE4"/>
    <w:rsid w:val="10A8C6AA"/>
    <w:rsid w:val="10B97D08"/>
    <w:rsid w:val="10D81B66"/>
    <w:rsid w:val="10E62010"/>
    <w:rsid w:val="10E84763"/>
    <w:rsid w:val="10FFFF4F"/>
    <w:rsid w:val="11014515"/>
    <w:rsid w:val="11027634"/>
    <w:rsid w:val="110FE783"/>
    <w:rsid w:val="11105AC9"/>
    <w:rsid w:val="111D034E"/>
    <w:rsid w:val="111D5D37"/>
    <w:rsid w:val="1129A976"/>
    <w:rsid w:val="1135363C"/>
    <w:rsid w:val="1138868B"/>
    <w:rsid w:val="1147B203"/>
    <w:rsid w:val="1152E49A"/>
    <w:rsid w:val="1185849C"/>
    <w:rsid w:val="118D7B31"/>
    <w:rsid w:val="1195AA13"/>
    <w:rsid w:val="119E92AE"/>
    <w:rsid w:val="11A0BFF3"/>
    <w:rsid w:val="11A3BF76"/>
    <w:rsid w:val="11C17835"/>
    <w:rsid w:val="11C659FA"/>
    <w:rsid w:val="11D9BFFD"/>
    <w:rsid w:val="11E6404A"/>
    <w:rsid w:val="11EA0953"/>
    <w:rsid w:val="11F19ACA"/>
    <w:rsid w:val="1220CB5F"/>
    <w:rsid w:val="1220F1DF"/>
    <w:rsid w:val="1221CEF4"/>
    <w:rsid w:val="1227975B"/>
    <w:rsid w:val="1246EFEE"/>
    <w:rsid w:val="12499684"/>
    <w:rsid w:val="124DE87C"/>
    <w:rsid w:val="12583964"/>
    <w:rsid w:val="125B2E9A"/>
    <w:rsid w:val="125EDF78"/>
    <w:rsid w:val="127E6BAB"/>
    <w:rsid w:val="128D0AE9"/>
    <w:rsid w:val="12A38632"/>
    <w:rsid w:val="12AC1D16"/>
    <w:rsid w:val="12AEAE37"/>
    <w:rsid w:val="12AFD233"/>
    <w:rsid w:val="12C5B24E"/>
    <w:rsid w:val="12D7644A"/>
    <w:rsid w:val="12DFBA7A"/>
    <w:rsid w:val="12E8BE7F"/>
    <w:rsid w:val="12E939E8"/>
    <w:rsid w:val="12ECADEE"/>
    <w:rsid w:val="1306598F"/>
    <w:rsid w:val="133E8C2D"/>
    <w:rsid w:val="137A8139"/>
    <w:rsid w:val="137D69BF"/>
    <w:rsid w:val="13846E2E"/>
    <w:rsid w:val="1394C2CC"/>
    <w:rsid w:val="139CEFB5"/>
    <w:rsid w:val="13A2BFF3"/>
    <w:rsid w:val="13D9F51E"/>
    <w:rsid w:val="13DF21A0"/>
    <w:rsid w:val="13F228BA"/>
    <w:rsid w:val="13F2D563"/>
    <w:rsid w:val="13FD525D"/>
    <w:rsid w:val="14044B2E"/>
    <w:rsid w:val="1425CA0E"/>
    <w:rsid w:val="1446B30E"/>
    <w:rsid w:val="1449E87B"/>
    <w:rsid w:val="14504583"/>
    <w:rsid w:val="145EA719"/>
    <w:rsid w:val="1460ABDA"/>
    <w:rsid w:val="1463FDCE"/>
    <w:rsid w:val="148523A9"/>
    <w:rsid w:val="149760FD"/>
    <w:rsid w:val="14988044"/>
    <w:rsid w:val="149D3B61"/>
    <w:rsid w:val="14A6A4E9"/>
    <w:rsid w:val="14C36B66"/>
    <w:rsid w:val="14C60309"/>
    <w:rsid w:val="14D42195"/>
    <w:rsid w:val="14DD2E3B"/>
    <w:rsid w:val="14EB8504"/>
    <w:rsid w:val="14F7BFB9"/>
    <w:rsid w:val="14FE2208"/>
    <w:rsid w:val="1505D352"/>
    <w:rsid w:val="1509243F"/>
    <w:rsid w:val="15297667"/>
    <w:rsid w:val="1536E31B"/>
    <w:rsid w:val="1538128F"/>
    <w:rsid w:val="1554D758"/>
    <w:rsid w:val="1562DFF7"/>
    <w:rsid w:val="1563F72A"/>
    <w:rsid w:val="15841895"/>
    <w:rsid w:val="1591AE93"/>
    <w:rsid w:val="15AB1C0C"/>
    <w:rsid w:val="15C79301"/>
    <w:rsid w:val="15C7B155"/>
    <w:rsid w:val="15D91307"/>
    <w:rsid w:val="160C2B77"/>
    <w:rsid w:val="1625F75A"/>
    <w:rsid w:val="16338CCA"/>
    <w:rsid w:val="163BCD4E"/>
    <w:rsid w:val="16506CCF"/>
    <w:rsid w:val="1652E908"/>
    <w:rsid w:val="16592690"/>
    <w:rsid w:val="165EF8B1"/>
    <w:rsid w:val="166B6645"/>
    <w:rsid w:val="167C418C"/>
    <w:rsid w:val="1694D3AB"/>
    <w:rsid w:val="16BC408D"/>
    <w:rsid w:val="16BEF574"/>
    <w:rsid w:val="16C174BC"/>
    <w:rsid w:val="16C38FAA"/>
    <w:rsid w:val="16D1B40E"/>
    <w:rsid w:val="16DFE047"/>
    <w:rsid w:val="16E0555B"/>
    <w:rsid w:val="16E891A2"/>
    <w:rsid w:val="16E8D614"/>
    <w:rsid w:val="16FA1F0E"/>
    <w:rsid w:val="1715BFD1"/>
    <w:rsid w:val="1721FCC5"/>
    <w:rsid w:val="172B4D1C"/>
    <w:rsid w:val="1734CC03"/>
    <w:rsid w:val="1740D41A"/>
    <w:rsid w:val="1745A8F3"/>
    <w:rsid w:val="174995FD"/>
    <w:rsid w:val="177E5749"/>
    <w:rsid w:val="1785AAC1"/>
    <w:rsid w:val="17879145"/>
    <w:rsid w:val="17BCCC9C"/>
    <w:rsid w:val="17BDD5BB"/>
    <w:rsid w:val="17C8AB7F"/>
    <w:rsid w:val="17C9593B"/>
    <w:rsid w:val="17CE0A14"/>
    <w:rsid w:val="17EA4C85"/>
    <w:rsid w:val="17ECC4C4"/>
    <w:rsid w:val="17F2630A"/>
    <w:rsid w:val="17F3B817"/>
    <w:rsid w:val="17F5EDC3"/>
    <w:rsid w:val="180541CE"/>
    <w:rsid w:val="18064B9B"/>
    <w:rsid w:val="1812ACAA"/>
    <w:rsid w:val="1823792A"/>
    <w:rsid w:val="18588D01"/>
    <w:rsid w:val="185F98CC"/>
    <w:rsid w:val="186B64E7"/>
    <w:rsid w:val="18854015"/>
    <w:rsid w:val="188C08EF"/>
    <w:rsid w:val="18915B2D"/>
    <w:rsid w:val="18A2A6D9"/>
    <w:rsid w:val="18CC4307"/>
    <w:rsid w:val="18D2DE54"/>
    <w:rsid w:val="18D975EC"/>
    <w:rsid w:val="18DC39F4"/>
    <w:rsid w:val="18DDCB79"/>
    <w:rsid w:val="18F0C28B"/>
    <w:rsid w:val="19102C02"/>
    <w:rsid w:val="1914B74B"/>
    <w:rsid w:val="192AA944"/>
    <w:rsid w:val="193A4BAA"/>
    <w:rsid w:val="193D3BE7"/>
    <w:rsid w:val="1946B465"/>
    <w:rsid w:val="1964D0AA"/>
    <w:rsid w:val="19731DB7"/>
    <w:rsid w:val="19AFFF41"/>
    <w:rsid w:val="19BD7EAB"/>
    <w:rsid w:val="19D9A059"/>
    <w:rsid w:val="19E4B631"/>
    <w:rsid w:val="19E7EE49"/>
    <w:rsid w:val="19EC1BE9"/>
    <w:rsid w:val="1A0D43C8"/>
    <w:rsid w:val="1A204831"/>
    <w:rsid w:val="1A25DAD1"/>
    <w:rsid w:val="1A3464B0"/>
    <w:rsid w:val="1A3ED1CB"/>
    <w:rsid w:val="1A5E209E"/>
    <w:rsid w:val="1A631706"/>
    <w:rsid w:val="1A67E380"/>
    <w:rsid w:val="1A76202A"/>
    <w:rsid w:val="1A8A2F85"/>
    <w:rsid w:val="1A913DD0"/>
    <w:rsid w:val="1ABDDF57"/>
    <w:rsid w:val="1AC406BE"/>
    <w:rsid w:val="1AC8AF11"/>
    <w:rsid w:val="1AEDE55B"/>
    <w:rsid w:val="1AF308DD"/>
    <w:rsid w:val="1AF3C334"/>
    <w:rsid w:val="1AFDF57A"/>
    <w:rsid w:val="1AFFB1B2"/>
    <w:rsid w:val="1B057E2C"/>
    <w:rsid w:val="1B0EE44C"/>
    <w:rsid w:val="1B1E7BB6"/>
    <w:rsid w:val="1B21E78B"/>
    <w:rsid w:val="1B29F176"/>
    <w:rsid w:val="1B3521F1"/>
    <w:rsid w:val="1B458FB4"/>
    <w:rsid w:val="1B5A4C66"/>
    <w:rsid w:val="1B5EC0E3"/>
    <w:rsid w:val="1B68709B"/>
    <w:rsid w:val="1B719933"/>
    <w:rsid w:val="1B723A4A"/>
    <w:rsid w:val="1B7C24C3"/>
    <w:rsid w:val="1B7F0D00"/>
    <w:rsid w:val="1B855687"/>
    <w:rsid w:val="1B94259D"/>
    <w:rsid w:val="1B95DB11"/>
    <w:rsid w:val="1BA34717"/>
    <w:rsid w:val="1BA8B5A4"/>
    <w:rsid w:val="1BD8A1D5"/>
    <w:rsid w:val="1BF6B4B9"/>
    <w:rsid w:val="1BF8E539"/>
    <w:rsid w:val="1BFE80D5"/>
    <w:rsid w:val="1C05741F"/>
    <w:rsid w:val="1C0945AE"/>
    <w:rsid w:val="1C09BB98"/>
    <w:rsid w:val="1C0C25B3"/>
    <w:rsid w:val="1C145242"/>
    <w:rsid w:val="1C14C954"/>
    <w:rsid w:val="1C215138"/>
    <w:rsid w:val="1C241C90"/>
    <w:rsid w:val="1C24F33E"/>
    <w:rsid w:val="1C275AA1"/>
    <w:rsid w:val="1C27C211"/>
    <w:rsid w:val="1C3A96B4"/>
    <w:rsid w:val="1C4B37B7"/>
    <w:rsid w:val="1C4DB605"/>
    <w:rsid w:val="1C5FC9CD"/>
    <w:rsid w:val="1C63C236"/>
    <w:rsid w:val="1C679361"/>
    <w:rsid w:val="1C6A1EC3"/>
    <w:rsid w:val="1C769BC4"/>
    <w:rsid w:val="1C77C164"/>
    <w:rsid w:val="1C7D916C"/>
    <w:rsid w:val="1C880DCC"/>
    <w:rsid w:val="1C9EE4F4"/>
    <w:rsid w:val="1CBA5C16"/>
    <w:rsid w:val="1CC5A25C"/>
    <w:rsid w:val="1CCBC5B7"/>
    <w:rsid w:val="1CD377DC"/>
    <w:rsid w:val="1CF85914"/>
    <w:rsid w:val="1CFA0BEB"/>
    <w:rsid w:val="1CFE7652"/>
    <w:rsid w:val="1D0099EB"/>
    <w:rsid w:val="1D10970F"/>
    <w:rsid w:val="1D289DFB"/>
    <w:rsid w:val="1D28A211"/>
    <w:rsid w:val="1D2B133B"/>
    <w:rsid w:val="1D34C4A0"/>
    <w:rsid w:val="1D3CFD10"/>
    <w:rsid w:val="1D43A9FF"/>
    <w:rsid w:val="1D536C41"/>
    <w:rsid w:val="1D615BE9"/>
    <w:rsid w:val="1D6C947B"/>
    <w:rsid w:val="1D6F7AD9"/>
    <w:rsid w:val="1D845706"/>
    <w:rsid w:val="1DB0EAA3"/>
    <w:rsid w:val="1DD760CF"/>
    <w:rsid w:val="1DEEDFAC"/>
    <w:rsid w:val="1DF19E2A"/>
    <w:rsid w:val="1DFC566F"/>
    <w:rsid w:val="1DFE01A7"/>
    <w:rsid w:val="1E05294E"/>
    <w:rsid w:val="1E08CE40"/>
    <w:rsid w:val="1E11FC33"/>
    <w:rsid w:val="1E18C341"/>
    <w:rsid w:val="1E1958A3"/>
    <w:rsid w:val="1E1CCBB0"/>
    <w:rsid w:val="1E1F5D0D"/>
    <w:rsid w:val="1E2B9F60"/>
    <w:rsid w:val="1E3A405E"/>
    <w:rsid w:val="1E4873DD"/>
    <w:rsid w:val="1E542EB8"/>
    <w:rsid w:val="1E59650A"/>
    <w:rsid w:val="1E5DB9E3"/>
    <w:rsid w:val="1E5DF43F"/>
    <w:rsid w:val="1E678303"/>
    <w:rsid w:val="1E7305A8"/>
    <w:rsid w:val="1E780E5A"/>
    <w:rsid w:val="1E84F162"/>
    <w:rsid w:val="1E8ADEEB"/>
    <w:rsid w:val="1E8DCF26"/>
    <w:rsid w:val="1EB5FB9D"/>
    <w:rsid w:val="1EB82D13"/>
    <w:rsid w:val="1EBB7942"/>
    <w:rsid w:val="1EC07B4D"/>
    <w:rsid w:val="1EC45820"/>
    <w:rsid w:val="1ECDF47D"/>
    <w:rsid w:val="1ECF46B8"/>
    <w:rsid w:val="1EDD1303"/>
    <w:rsid w:val="1EDF0B0D"/>
    <w:rsid w:val="1EE3F044"/>
    <w:rsid w:val="1EEF382B"/>
    <w:rsid w:val="1EFAF699"/>
    <w:rsid w:val="1EFBCD76"/>
    <w:rsid w:val="1F00449E"/>
    <w:rsid w:val="1F187402"/>
    <w:rsid w:val="1F22B26E"/>
    <w:rsid w:val="1F2E41A3"/>
    <w:rsid w:val="1F35C3A4"/>
    <w:rsid w:val="1F3CA9F9"/>
    <w:rsid w:val="1F436EC8"/>
    <w:rsid w:val="1F5186A2"/>
    <w:rsid w:val="1F562C94"/>
    <w:rsid w:val="1F759487"/>
    <w:rsid w:val="1F91DD7C"/>
    <w:rsid w:val="1F99D74C"/>
    <w:rsid w:val="1FB43A6D"/>
    <w:rsid w:val="1FB97024"/>
    <w:rsid w:val="1FB97E4A"/>
    <w:rsid w:val="1FC80068"/>
    <w:rsid w:val="1FD94A87"/>
    <w:rsid w:val="1FE0FE71"/>
    <w:rsid w:val="1FEBC2D4"/>
    <w:rsid w:val="1FF88DBA"/>
    <w:rsid w:val="200072E0"/>
    <w:rsid w:val="20101C9E"/>
    <w:rsid w:val="20241AB4"/>
    <w:rsid w:val="202648DD"/>
    <w:rsid w:val="20302E85"/>
    <w:rsid w:val="20343455"/>
    <w:rsid w:val="2059148C"/>
    <w:rsid w:val="205D2355"/>
    <w:rsid w:val="206121C2"/>
    <w:rsid w:val="20636267"/>
    <w:rsid w:val="207081CE"/>
    <w:rsid w:val="20713DE9"/>
    <w:rsid w:val="2078A952"/>
    <w:rsid w:val="2078B0C6"/>
    <w:rsid w:val="20853DF8"/>
    <w:rsid w:val="2097FBC7"/>
    <w:rsid w:val="20AB19AD"/>
    <w:rsid w:val="20B2CEE0"/>
    <w:rsid w:val="20B5B9A9"/>
    <w:rsid w:val="20C4C912"/>
    <w:rsid w:val="20CDBA90"/>
    <w:rsid w:val="20DD27CF"/>
    <w:rsid w:val="2102EF56"/>
    <w:rsid w:val="210954A3"/>
    <w:rsid w:val="21106F7A"/>
    <w:rsid w:val="21137B5D"/>
    <w:rsid w:val="21155B01"/>
    <w:rsid w:val="212D4D33"/>
    <w:rsid w:val="213840D7"/>
    <w:rsid w:val="2177EA55"/>
    <w:rsid w:val="21858F41"/>
    <w:rsid w:val="21970B11"/>
    <w:rsid w:val="21A0AF4A"/>
    <w:rsid w:val="21CA104F"/>
    <w:rsid w:val="21CC4139"/>
    <w:rsid w:val="21E3E55A"/>
    <w:rsid w:val="22136F06"/>
    <w:rsid w:val="222148BE"/>
    <w:rsid w:val="22282CF2"/>
    <w:rsid w:val="222B4E72"/>
    <w:rsid w:val="22325889"/>
    <w:rsid w:val="223BAC31"/>
    <w:rsid w:val="2260B31B"/>
    <w:rsid w:val="22674DA1"/>
    <w:rsid w:val="22760DCC"/>
    <w:rsid w:val="228C4C23"/>
    <w:rsid w:val="2293A6A7"/>
    <w:rsid w:val="229A0425"/>
    <w:rsid w:val="22A71E22"/>
    <w:rsid w:val="22C1842D"/>
    <w:rsid w:val="22C6EABE"/>
    <w:rsid w:val="22C70E7A"/>
    <w:rsid w:val="22E4E7B2"/>
    <w:rsid w:val="22F1C0C3"/>
    <w:rsid w:val="22F3640B"/>
    <w:rsid w:val="22F77D42"/>
    <w:rsid w:val="22F8A34B"/>
    <w:rsid w:val="22F9C16F"/>
    <w:rsid w:val="22FFE78D"/>
    <w:rsid w:val="23073D96"/>
    <w:rsid w:val="2317F4D2"/>
    <w:rsid w:val="23314C7E"/>
    <w:rsid w:val="233FF7A9"/>
    <w:rsid w:val="234B2CA3"/>
    <w:rsid w:val="234C1E8A"/>
    <w:rsid w:val="2365D93E"/>
    <w:rsid w:val="2375DB20"/>
    <w:rsid w:val="237C1A88"/>
    <w:rsid w:val="237D1C31"/>
    <w:rsid w:val="237FF5CA"/>
    <w:rsid w:val="23A3CA5B"/>
    <w:rsid w:val="23A600EE"/>
    <w:rsid w:val="23A925D2"/>
    <w:rsid w:val="23E1DEBC"/>
    <w:rsid w:val="23E481A5"/>
    <w:rsid w:val="2437ABD9"/>
    <w:rsid w:val="24602D16"/>
    <w:rsid w:val="24656C74"/>
    <w:rsid w:val="247063B7"/>
    <w:rsid w:val="2470FA7B"/>
    <w:rsid w:val="2492D4CB"/>
    <w:rsid w:val="2494ED05"/>
    <w:rsid w:val="24B983BD"/>
    <w:rsid w:val="24DE9D28"/>
    <w:rsid w:val="24EDF5DD"/>
    <w:rsid w:val="25058926"/>
    <w:rsid w:val="250BAE22"/>
    <w:rsid w:val="25210C0E"/>
    <w:rsid w:val="25229F20"/>
    <w:rsid w:val="25300B4B"/>
    <w:rsid w:val="2531AFD7"/>
    <w:rsid w:val="25536832"/>
    <w:rsid w:val="2559DA94"/>
    <w:rsid w:val="2579EA72"/>
    <w:rsid w:val="2584D2C6"/>
    <w:rsid w:val="258A7F57"/>
    <w:rsid w:val="258BC91F"/>
    <w:rsid w:val="25AA3F32"/>
    <w:rsid w:val="25BEB46F"/>
    <w:rsid w:val="25C81EB9"/>
    <w:rsid w:val="25D461AF"/>
    <w:rsid w:val="25D52197"/>
    <w:rsid w:val="25D662CC"/>
    <w:rsid w:val="25DBF94F"/>
    <w:rsid w:val="25F363C5"/>
    <w:rsid w:val="2612055D"/>
    <w:rsid w:val="262B0474"/>
    <w:rsid w:val="2638E9CD"/>
    <w:rsid w:val="263F6B67"/>
    <w:rsid w:val="264336B2"/>
    <w:rsid w:val="264AF54F"/>
    <w:rsid w:val="266FE994"/>
    <w:rsid w:val="267CA414"/>
    <w:rsid w:val="26A4CCDD"/>
    <w:rsid w:val="26B113DA"/>
    <w:rsid w:val="26B55B5E"/>
    <w:rsid w:val="26C82577"/>
    <w:rsid w:val="26D54E8E"/>
    <w:rsid w:val="26E0B53F"/>
    <w:rsid w:val="26E19960"/>
    <w:rsid w:val="26EC9326"/>
    <w:rsid w:val="270B7B11"/>
    <w:rsid w:val="2737280C"/>
    <w:rsid w:val="273F7C15"/>
    <w:rsid w:val="2742F5A2"/>
    <w:rsid w:val="2747B2F3"/>
    <w:rsid w:val="274A7718"/>
    <w:rsid w:val="274DCC60"/>
    <w:rsid w:val="275B16D7"/>
    <w:rsid w:val="275BEE45"/>
    <w:rsid w:val="2762B871"/>
    <w:rsid w:val="2762F7D2"/>
    <w:rsid w:val="27667829"/>
    <w:rsid w:val="276BB4A3"/>
    <w:rsid w:val="278910DF"/>
    <w:rsid w:val="27A46A57"/>
    <w:rsid w:val="27A6CAE2"/>
    <w:rsid w:val="27AA7D61"/>
    <w:rsid w:val="27BA6D14"/>
    <w:rsid w:val="27CFBBEB"/>
    <w:rsid w:val="27D747CD"/>
    <w:rsid w:val="27DEA998"/>
    <w:rsid w:val="27E5B581"/>
    <w:rsid w:val="27EDB7A9"/>
    <w:rsid w:val="2815AA20"/>
    <w:rsid w:val="282CF46A"/>
    <w:rsid w:val="283358B1"/>
    <w:rsid w:val="284F6293"/>
    <w:rsid w:val="285D09B7"/>
    <w:rsid w:val="28639158"/>
    <w:rsid w:val="2866A2A3"/>
    <w:rsid w:val="28800F62"/>
    <w:rsid w:val="288967FD"/>
    <w:rsid w:val="28974668"/>
    <w:rsid w:val="289A9C2E"/>
    <w:rsid w:val="28C51732"/>
    <w:rsid w:val="28DC59A5"/>
    <w:rsid w:val="28EB21F0"/>
    <w:rsid w:val="28ED008A"/>
    <w:rsid w:val="28F103A8"/>
    <w:rsid w:val="28F5926D"/>
    <w:rsid w:val="28FA13C1"/>
    <w:rsid w:val="290A9503"/>
    <w:rsid w:val="2910BCB6"/>
    <w:rsid w:val="292BB68B"/>
    <w:rsid w:val="296A09BC"/>
    <w:rsid w:val="29733F57"/>
    <w:rsid w:val="29812228"/>
    <w:rsid w:val="299247A8"/>
    <w:rsid w:val="29A29F51"/>
    <w:rsid w:val="29C00395"/>
    <w:rsid w:val="29C5B392"/>
    <w:rsid w:val="29CC3CFA"/>
    <w:rsid w:val="29D4119D"/>
    <w:rsid w:val="29DCA68B"/>
    <w:rsid w:val="29F8E0FB"/>
    <w:rsid w:val="29FE4AA6"/>
    <w:rsid w:val="2A08625E"/>
    <w:rsid w:val="2A0DA6E8"/>
    <w:rsid w:val="2A0FB94E"/>
    <w:rsid w:val="2A1DFEAE"/>
    <w:rsid w:val="2A2BEC51"/>
    <w:rsid w:val="2A3CE3FE"/>
    <w:rsid w:val="2A3FC8C4"/>
    <w:rsid w:val="2A6304C0"/>
    <w:rsid w:val="2A6F76A7"/>
    <w:rsid w:val="2A74C8F7"/>
    <w:rsid w:val="2A751411"/>
    <w:rsid w:val="2A77806A"/>
    <w:rsid w:val="2A81EDE9"/>
    <w:rsid w:val="2A85F477"/>
    <w:rsid w:val="2A899E3E"/>
    <w:rsid w:val="2A9C922F"/>
    <w:rsid w:val="2AA5F1CE"/>
    <w:rsid w:val="2AA80C12"/>
    <w:rsid w:val="2AB9AB62"/>
    <w:rsid w:val="2AC8CAD3"/>
    <w:rsid w:val="2ACF1E5B"/>
    <w:rsid w:val="2B2878CF"/>
    <w:rsid w:val="2B36D03A"/>
    <w:rsid w:val="2B4B072A"/>
    <w:rsid w:val="2B8671A3"/>
    <w:rsid w:val="2B931E3E"/>
    <w:rsid w:val="2B9706AD"/>
    <w:rsid w:val="2BBBD325"/>
    <w:rsid w:val="2BC014A8"/>
    <w:rsid w:val="2BD72AE2"/>
    <w:rsid w:val="2BE6DE18"/>
    <w:rsid w:val="2C05313F"/>
    <w:rsid w:val="2C10307B"/>
    <w:rsid w:val="2C149E58"/>
    <w:rsid w:val="2C1ED1BF"/>
    <w:rsid w:val="2C21E47B"/>
    <w:rsid w:val="2C34BB82"/>
    <w:rsid w:val="2C4A8792"/>
    <w:rsid w:val="2C5254BE"/>
    <w:rsid w:val="2C5CEE40"/>
    <w:rsid w:val="2C5FBDF7"/>
    <w:rsid w:val="2C796D86"/>
    <w:rsid w:val="2C814EE5"/>
    <w:rsid w:val="2C9246B3"/>
    <w:rsid w:val="2C94C766"/>
    <w:rsid w:val="2C95B08A"/>
    <w:rsid w:val="2C9DEEBE"/>
    <w:rsid w:val="2CA239BA"/>
    <w:rsid w:val="2CA3DD1A"/>
    <w:rsid w:val="2CAB6087"/>
    <w:rsid w:val="2CBD4650"/>
    <w:rsid w:val="2CC432AC"/>
    <w:rsid w:val="2CC82FF0"/>
    <w:rsid w:val="2CDD7BC4"/>
    <w:rsid w:val="2CE66969"/>
    <w:rsid w:val="2CE76874"/>
    <w:rsid w:val="2CEF93D8"/>
    <w:rsid w:val="2CF0E311"/>
    <w:rsid w:val="2CFA6030"/>
    <w:rsid w:val="2D04A473"/>
    <w:rsid w:val="2D07B2A0"/>
    <w:rsid w:val="2D081B2F"/>
    <w:rsid w:val="2D18ABD1"/>
    <w:rsid w:val="2D319B6E"/>
    <w:rsid w:val="2D3AF88A"/>
    <w:rsid w:val="2D3E2250"/>
    <w:rsid w:val="2D42319E"/>
    <w:rsid w:val="2D48AAFD"/>
    <w:rsid w:val="2D575A96"/>
    <w:rsid w:val="2D58F2E8"/>
    <w:rsid w:val="2D5DD761"/>
    <w:rsid w:val="2D6F08EE"/>
    <w:rsid w:val="2D8763A2"/>
    <w:rsid w:val="2D97BB83"/>
    <w:rsid w:val="2D9F704F"/>
    <w:rsid w:val="2DBF6418"/>
    <w:rsid w:val="2DC2DBC1"/>
    <w:rsid w:val="2DC6988D"/>
    <w:rsid w:val="2DCAF1FB"/>
    <w:rsid w:val="2DD7D3B1"/>
    <w:rsid w:val="2DDCABE5"/>
    <w:rsid w:val="2DDD7AE4"/>
    <w:rsid w:val="2DE1B097"/>
    <w:rsid w:val="2DE6786A"/>
    <w:rsid w:val="2DF051CC"/>
    <w:rsid w:val="2DF08B9D"/>
    <w:rsid w:val="2DF21D0F"/>
    <w:rsid w:val="2E064E6F"/>
    <w:rsid w:val="2E209EB2"/>
    <w:rsid w:val="2E440BA1"/>
    <w:rsid w:val="2E5FA242"/>
    <w:rsid w:val="2E653930"/>
    <w:rsid w:val="2E683128"/>
    <w:rsid w:val="2E6E7BE8"/>
    <w:rsid w:val="2E846F97"/>
    <w:rsid w:val="2E90EA75"/>
    <w:rsid w:val="2E9E547E"/>
    <w:rsid w:val="2E9FAC51"/>
    <w:rsid w:val="2EA0260B"/>
    <w:rsid w:val="2EB0ED4C"/>
    <w:rsid w:val="2EB3DEB5"/>
    <w:rsid w:val="2EC0E6E1"/>
    <w:rsid w:val="2EC525AC"/>
    <w:rsid w:val="2EE36F90"/>
    <w:rsid w:val="2EE8A26F"/>
    <w:rsid w:val="2EF8DFAA"/>
    <w:rsid w:val="2F18DA8A"/>
    <w:rsid w:val="2F1A6E16"/>
    <w:rsid w:val="2F224343"/>
    <w:rsid w:val="2F45B4AA"/>
    <w:rsid w:val="2F4C00F5"/>
    <w:rsid w:val="2F4E99D3"/>
    <w:rsid w:val="2F4EAE91"/>
    <w:rsid w:val="2F5422CE"/>
    <w:rsid w:val="2F765EA7"/>
    <w:rsid w:val="2F910334"/>
    <w:rsid w:val="2F91AC41"/>
    <w:rsid w:val="2F95350F"/>
    <w:rsid w:val="2F9E1969"/>
    <w:rsid w:val="2F9FCA72"/>
    <w:rsid w:val="2FA049D7"/>
    <w:rsid w:val="2FDA4E0E"/>
    <w:rsid w:val="2FDDCEE1"/>
    <w:rsid w:val="2FEF0945"/>
    <w:rsid w:val="2FEF3B5F"/>
    <w:rsid w:val="30067175"/>
    <w:rsid w:val="302C21C0"/>
    <w:rsid w:val="304408C7"/>
    <w:rsid w:val="3045E2E1"/>
    <w:rsid w:val="3066CF36"/>
    <w:rsid w:val="306B768C"/>
    <w:rsid w:val="306F9A2E"/>
    <w:rsid w:val="30765A16"/>
    <w:rsid w:val="307C543E"/>
    <w:rsid w:val="308B0853"/>
    <w:rsid w:val="309ED79D"/>
    <w:rsid w:val="30B397EA"/>
    <w:rsid w:val="30C9A37E"/>
    <w:rsid w:val="30DB7728"/>
    <w:rsid w:val="30DED3C0"/>
    <w:rsid w:val="30E8AC7C"/>
    <w:rsid w:val="30F91931"/>
    <w:rsid w:val="31117B4B"/>
    <w:rsid w:val="311FB1D2"/>
    <w:rsid w:val="31399500"/>
    <w:rsid w:val="31432F7A"/>
    <w:rsid w:val="314772CA"/>
    <w:rsid w:val="314DB77C"/>
    <w:rsid w:val="315096D0"/>
    <w:rsid w:val="316CA2A7"/>
    <w:rsid w:val="3184B8C8"/>
    <w:rsid w:val="31AB0BC8"/>
    <w:rsid w:val="31C85AC4"/>
    <w:rsid w:val="31E61534"/>
    <w:rsid w:val="31E7DFBA"/>
    <w:rsid w:val="31EF6370"/>
    <w:rsid w:val="31F7BDD7"/>
    <w:rsid w:val="3208ADB6"/>
    <w:rsid w:val="3229C03F"/>
    <w:rsid w:val="324BB920"/>
    <w:rsid w:val="324E771F"/>
    <w:rsid w:val="3251446F"/>
    <w:rsid w:val="325FFD92"/>
    <w:rsid w:val="3278DD5B"/>
    <w:rsid w:val="32977F8D"/>
    <w:rsid w:val="32A3DF05"/>
    <w:rsid w:val="32A5A25F"/>
    <w:rsid w:val="32ADF4E2"/>
    <w:rsid w:val="32C4BD49"/>
    <w:rsid w:val="32C9078A"/>
    <w:rsid w:val="32C9BC79"/>
    <w:rsid w:val="32CA795C"/>
    <w:rsid w:val="32DC3744"/>
    <w:rsid w:val="32E12363"/>
    <w:rsid w:val="32EEC21B"/>
    <w:rsid w:val="32F4504B"/>
    <w:rsid w:val="32FA8E7B"/>
    <w:rsid w:val="32FB74F2"/>
    <w:rsid w:val="3302F28F"/>
    <w:rsid w:val="331C8C69"/>
    <w:rsid w:val="3320968D"/>
    <w:rsid w:val="33295644"/>
    <w:rsid w:val="333D91A2"/>
    <w:rsid w:val="334834DE"/>
    <w:rsid w:val="33509530"/>
    <w:rsid w:val="335A78EF"/>
    <w:rsid w:val="33606ED8"/>
    <w:rsid w:val="33666E7F"/>
    <w:rsid w:val="33760370"/>
    <w:rsid w:val="338C82DC"/>
    <w:rsid w:val="33BFFB2A"/>
    <w:rsid w:val="33C1C6B1"/>
    <w:rsid w:val="33D6B163"/>
    <w:rsid w:val="33E16932"/>
    <w:rsid w:val="33EBDF13"/>
    <w:rsid w:val="33EFC1C7"/>
    <w:rsid w:val="33F195B1"/>
    <w:rsid w:val="33F9BC9C"/>
    <w:rsid w:val="33FD57A9"/>
    <w:rsid w:val="3415DF7C"/>
    <w:rsid w:val="3416140E"/>
    <w:rsid w:val="341EFE4F"/>
    <w:rsid w:val="34314FAA"/>
    <w:rsid w:val="34397045"/>
    <w:rsid w:val="343983EA"/>
    <w:rsid w:val="343B7C1E"/>
    <w:rsid w:val="3440342C"/>
    <w:rsid w:val="3445AE64"/>
    <w:rsid w:val="344D6EEA"/>
    <w:rsid w:val="34845ED6"/>
    <w:rsid w:val="3491EEE8"/>
    <w:rsid w:val="34A24ABB"/>
    <w:rsid w:val="34A29509"/>
    <w:rsid w:val="34C068BE"/>
    <w:rsid w:val="34C0B354"/>
    <w:rsid w:val="34C4FB05"/>
    <w:rsid w:val="34C60594"/>
    <w:rsid w:val="34F1CC0E"/>
    <w:rsid w:val="34FC46E4"/>
    <w:rsid w:val="3501D1D0"/>
    <w:rsid w:val="350A15F4"/>
    <w:rsid w:val="350F994C"/>
    <w:rsid w:val="351540A5"/>
    <w:rsid w:val="352127DA"/>
    <w:rsid w:val="352DB885"/>
    <w:rsid w:val="3535A46F"/>
    <w:rsid w:val="35535AA6"/>
    <w:rsid w:val="35717A0A"/>
    <w:rsid w:val="3575182E"/>
    <w:rsid w:val="357D5870"/>
    <w:rsid w:val="35853588"/>
    <w:rsid w:val="35887448"/>
    <w:rsid w:val="358BFCC0"/>
    <w:rsid w:val="3595D04C"/>
    <w:rsid w:val="359B02ED"/>
    <w:rsid w:val="35A3C051"/>
    <w:rsid w:val="35BF814C"/>
    <w:rsid w:val="35C19612"/>
    <w:rsid w:val="35C26B85"/>
    <w:rsid w:val="35C91486"/>
    <w:rsid w:val="35E19095"/>
    <w:rsid w:val="35E36E0D"/>
    <w:rsid w:val="35E44586"/>
    <w:rsid w:val="35E977C0"/>
    <w:rsid w:val="35FC99B6"/>
    <w:rsid w:val="360025D1"/>
    <w:rsid w:val="3600948B"/>
    <w:rsid w:val="36027C01"/>
    <w:rsid w:val="36143702"/>
    <w:rsid w:val="3619DF6D"/>
    <w:rsid w:val="3626C70E"/>
    <w:rsid w:val="3638D761"/>
    <w:rsid w:val="3639E97E"/>
    <w:rsid w:val="364441FE"/>
    <w:rsid w:val="366D76BB"/>
    <w:rsid w:val="36843C7F"/>
    <w:rsid w:val="368F93EE"/>
    <w:rsid w:val="36948280"/>
    <w:rsid w:val="3699D5F6"/>
    <w:rsid w:val="369C4074"/>
    <w:rsid w:val="369EDFA3"/>
    <w:rsid w:val="36BB446F"/>
    <w:rsid w:val="36C222AE"/>
    <w:rsid w:val="36EF18EE"/>
    <w:rsid w:val="370580F6"/>
    <w:rsid w:val="370E5DC9"/>
    <w:rsid w:val="37180B14"/>
    <w:rsid w:val="371F96F9"/>
    <w:rsid w:val="3728DB73"/>
    <w:rsid w:val="3737288E"/>
    <w:rsid w:val="3753538D"/>
    <w:rsid w:val="37556CB0"/>
    <w:rsid w:val="3758EAC5"/>
    <w:rsid w:val="3764F270"/>
    <w:rsid w:val="377CE2D8"/>
    <w:rsid w:val="37807B09"/>
    <w:rsid w:val="37847C5A"/>
    <w:rsid w:val="378B5AF8"/>
    <w:rsid w:val="3798FED2"/>
    <w:rsid w:val="3799DA9A"/>
    <w:rsid w:val="37AF60A5"/>
    <w:rsid w:val="37C45860"/>
    <w:rsid w:val="37D3B82D"/>
    <w:rsid w:val="37DE4E34"/>
    <w:rsid w:val="37E27F4D"/>
    <w:rsid w:val="37F5C757"/>
    <w:rsid w:val="37FFDDF7"/>
    <w:rsid w:val="3804777A"/>
    <w:rsid w:val="380EFA39"/>
    <w:rsid w:val="381B51DA"/>
    <w:rsid w:val="383535A4"/>
    <w:rsid w:val="3850BDEF"/>
    <w:rsid w:val="38644A4F"/>
    <w:rsid w:val="386A0DEE"/>
    <w:rsid w:val="38782FEA"/>
    <w:rsid w:val="388004BF"/>
    <w:rsid w:val="3883853A"/>
    <w:rsid w:val="3884D373"/>
    <w:rsid w:val="38932355"/>
    <w:rsid w:val="3896EC22"/>
    <w:rsid w:val="389DA648"/>
    <w:rsid w:val="38A3B673"/>
    <w:rsid w:val="38B03701"/>
    <w:rsid w:val="38B3AF19"/>
    <w:rsid w:val="38CC0E20"/>
    <w:rsid w:val="38F1EE7D"/>
    <w:rsid w:val="3912885B"/>
    <w:rsid w:val="391332CD"/>
    <w:rsid w:val="3938D207"/>
    <w:rsid w:val="393BD105"/>
    <w:rsid w:val="393D150E"/>
    <w:rsid w:val="3948367B"/>
    <w:rsid w:val="39514408"/>
    <w:rsid w:val="3956B7C0"/>
    <w:rsid w:val="39589F1A"/>
    <w:rsid w:val="3964EB93"/>
    <w:rsid w:val="3974FAF9"/>
    <w:rsid w:val="398D0965"/>
    <w:rsid w:val="398F2167"/>
    <w:rsid w:val="3996E6AC"/>
    <w:rsid w:val="39AB3792"/>
    <w:rsid w:val="39B27F1B"/>
    <w:rsid w:val="39D5846E"/>
    <w:rsid w:val="39D84D08"/>
    <w:rsid w:val="39D8A4F5"/>
    <w:rsid w:val="39DF6106"/>
    <w:rsid w:val="39E78BDE"/>
    <w:rsid w:val="3A137D30"/>
    <w:rsid w:val="3A1D0463"/>
    <w:rsid w:val="3A6F1456"/>
    <w:rsid w:val="3A7E3D70"/>
    <w:rsid w:val="3A7F6B6A"/>
    <w:rsid w:val="3A9275C8"/>
    <w:rsid w:val="3A99A666"/>
    <w:rsid w:val="3AA066CC"/>
    <w:rsid w:val="3AA58AEE"/>
    <w:rsid w:val="3ABA5EF2"/>
    <w:rsid w:val="3AC15134"/>
    <w:rsid w:val="3AC7C18F"/>
    <w:rsid w:val="3AE09843"/>
    <w:rsid w:val="3AF79180"/>
    <w:rsid w:val="3B04B67E"/>
    <w:rsid w:val="3B09CD20"/>
    <w:rsid w:val="3B0CF84B"/>
    <w:rsid w:val="3B3E6596"/>
    <w:rsid w:val="3B4AE925"/>
    <w:rsid w:val="3B4E6234"/>
    <w:rsid w:val="3B5AB604"/>
    <w:rsid w:val="3B67912E"/>
    <w:rsid w:val="3B6CCAC7"/>
    <w:rsid w:val="3B6CCBD1"/>
    <w:rsid w:val="3B6FDEAD"/>
    <w:rsid w:val="3B777A32"/>
    <w:rsid w:val="3B892B70"/>
    <w:rsid w:val="3B95D48B"/>
    <w:rsid w:val="3B9F1B83"/>
    <w:rsid w:val="3BA2F130"/>
    <w:rsid w:val="3BA5228D"/>
    <w:rsid w:val="3BB87803"/>
    <w:rsid w:val="3BBEBC62"/>
    <w:rsid w:val="3BD1A9F4"/>
    <w:rsid w:val="3BD74F27"/>
    <w:rsid w:val="3BE16083"/>
    <w:rsid w:val="3BE76B77"/>
    <w:rsid w:val="3BE81A50"/>
    <w:rsid w:val="3BEF333E"/>
    <w:rsid w:val="3C08E6F3"/>
    <w:rsid w:val="3C0E3826"/>
    <w:rsid w:val="3C1D0A67"/>
    <w:rsid w:val="3C21E09B"/>
    <w:rsid w:val="3C232D9F"/>
    <w:rsid w:val="3C374B02"/>
    <w:rsid w:val="3C3D367E"/>
    <w:rsid w:val="3C7515C0"/>
    <w:rsid w:val="3C7971BD"/>
    <w:rsid w:val="3C8FE169"/>
    <w:rsid w:val="3C92548D"/>
    <w:rsid w:val="3C929020"/>
    <w:rsid w:val="3C92A876"/>
    <w:rsid w:val="3CB9E987"/>
    <w:rsid w:val="3CC03F66"/>
    <w:rsid w:val="3CC4C205"/>
    <w:rsid w:val="3CDDC1AC"/>
    <w:rsid w:val="3CE7A846"/>
    <w:rsid w:val="3CEFDBB6"/>
    <w:rsid w:val="3CF08138"/>
    <w:rsid w:val="3CFA9463"/>
    <w:rsid w:val="3CFCD905"/>
    <w:rsid w:val="3D09C269"/>
    <w:rsid w:val="3D0A21E1"/>
    <w:rsid w:val="3D0D2A74"/>
    <w:rsid w:val="3D13EAC7"/>
    <w:rsid w:val="3D356698"/>
    <w:rsid w:val="3D36CD7E"/>
    <w:rsid w:val="3D4DCB33"/>
    <w:rsid w:val="3D50F684"/>
    <w:rsid w:val="3D57EF69"/>
    <w:rsid w:val="3D5E8942"/>
    <w:rsid w:val="3D647881"/>
    <w:rsid w:val="3D660112"/>
    <w:rsid w:val="3D9FC541"/>
    <w:rsid w:val="3DAED6E3"/>
    <w:rsid w:val="3DB25950"/>
    <w:rsid w:val="3DB78857"/>
    <w:rsid w:val="3DB83BD9"/>
    <w:rsid w:val="3DC20C9C"/>
    <w:rsid w:val="3DC62826"/>
    <w:rsid w:val="3DD3F670"/>
    <w:rsid w:val="3DEAFF93"/>
    <w:rsid w:val="3DF0C3D5"/>
    <w:rsid w:val="3DFDEB0E"/>
    <w:rsid w:val="3E0D28FD"/>
    <w:rsid w:val="3E0DAD58"/>
    <w:rsid w:val="3E255542"/>
    <w:rsid w:val="3E2FB24B"/>
    <w:rsid w:val="3E32514B"/>
    <w:rsid w:val="3E35332E"/>
    <w:rsid w:val="3E74D59A"/>
    <w:rsid w:val="3E7937B0"/>
    <w:rsid w:val="3E8B346D"/>
    <w:rsid w:val="3EA4FABF"/>
    <w:rsid w:val="3EC6296D"/>
    <w:rsid w:val="3EF004D4"/>
    <w:rsid w:val="3EF10BF0"/>
    <w:rsid w:val="3EF7990B"/>
    <w:rsid w:val="3EF85915"/>
    <w:rsid w:val="3F155734"/>
    <w:rsid w:val="3F23D476"/>
    <w:rsid w:val="3F3B479A"/>
    <w:rsid w:val="3F5C57E8"/>
    <w:rsid w:val="3F5DED1A"/>
    <w:rsid w:val="3F69952F"/>
    <w:rsid w:val="3F785E94"/>
    <w:rsid w:val="3F8B5470"/>
    <w:rsid w:val="3F9F35E7"/>
    <w:rsid w:val="3FA786C7"/>
    <w:rsid w:val="3FC58B30"/>
    <w:rsid w:val="3FC7DF48"/>
    <w:rsid w:val="3FC83158"/>
    <w:rsid w:val="3FCCE735"/>
    <w:rsid w:val="3FD10E6F"/>
    <w:rsid w:val="3FEAEA46"/>
    <w:rsid w:val="3FEB44FB"/>
    <w:rsid w:val="4002EA9A"/>
    <w:rsid w:val="40053366"/>
    <w:rsid w:val="400D358F"/>
    <w:rsid w:val="4017C748"/>
    <w:rsid w:val="401F82BD"/>
    <w:rsid w:val="402264D2"/>
    <w:rsid w:val="4027FFF9"/>
    <w:rsid w:val="402920B0"/>
    <w:rsid w:val="4044E609"/>
    <w:rsid w:val="40566230"/>
    <w:rsid w:val="4087E316"/>
    <w:rsid w:val="4088F3A2"/>
    <w:rsid w:val="408B6FD9"/>
    <w:rsid w:val="40918497"/>
    <w:rsid w:val="4098F986"/>
    <w:rsid w:val="409C3372"/>
    <w:rsid w:val="40A5CCDB"/>
    <w:rsid w:val="40AEDB37"/>
    <w:rsid w:val="40BA2E77"/>
    <w:rsid w:val="40CF2617"/>
    <w:rsid w:val="40D8A558"/>
    <w:rsid w:val="40EC887B"/>
    <w:rsid w:val="40F237A3"/>
    <w:rsid w:val="40F6F19F"/>
    <w:rsid w:val="41029480"/>
    <w:rsid w:val="4103209D"/>
    <w:rsid w:val="412ED25E"/>
    <w:rsid w:val="4170BA71"/>
    <w:rsid w:val="41765F31"/>
    <w:rsid w:val="41767AC2"/>
    <w:rsid w:val="417E177E"/>
    <w:rsid w:val="418B483D"/>
    <w:rsid w:val="419AB7B0"/>
    <w:rsid w:val="41A8E122"/>
    <w:rsid w:val="41B5AF8E"/>
    <w:rsid w:val="41E136F6"/>
    <w:rsid w:val="4207D8B6"/>
    <w:rsid w:val="4223D8CB"/>
    <w:rsid w:val="422D6744"/>
    <w:rsid w:val="423946BE"/>
    <w:rsid w:val="4259AF91"/>
    <w:rsid w:val="426B4192"/>
    <w:rsid w:val="4297103C"/>
    <w:rsid w:val="429AF6B6"/>
    <w:rsid w:val="42AF612F"/>
    <w:rsid w:val="42C19C4F"/>
    <w:rsid w:val="42DCD4F7"/>
    <w:rsid w:val="42E11AAC"/>
    <w:rsid w:val="42FD0216"/>
    <w:rsid w:val="430D4A55"/>
    <w:rsid w:val="431E4367"/>
    <w:rsid w:val="4329FA72"/>
    <w:rsid w:val="4331B1FC"/>
    <w:rsid w:val="43362110"/>
    <w:rsid w:val="4336C39E"/>
    <w:rsid w:val="434813CC"/>
    <w:rsid w:val="434C8A94"/>
    <w:rsid w:val="4364FEF4"/>
    <w:rsid w:val="437F7587"/>
    <w:rsid w:val="438129F6"/>
    <w:rsid w:val="4382FD5A"/>
    <w:rsid w:val="438E65C0"/>
    <w:rsid w:val="43B14C5E"/>
    <w:rsid w:val="43E084B3"/>
    <w:rsid w:val="43EB5FB8"/>
    <w:rsid w:val="43EBC897"/>
    <w:rsid w:val="4402E0D5"/>
    <w:rsid w:val="442616C4"/>
    <w:rsid w:val="4429E150"/>
    <w:rsid w:val="4432AEE6"/>
    <w:rsid w:val="4444B60B"/>
    <w:rsid w:val="444E8C6C"/>
    <w:rsid w:val="4457DA6B"/>
    <w:rsid w:val="445B49F7"/>
    <w:rsid w:val="44620F00"/>
    <w:rsid w:val="448C187B"/>
    <w:rsid w:val="44A32334"/>
    <w:rsid w:val="44A90825"/>
    <w:rsid w:val="44AA19A9"/>
    <w:rsid w:val="44AC2277"/>
    <w:rsid w:val="44AEFF8B"/>
    <w:rsid w:val="44BE71BF"/>
    <w:rsid w:val="44CFA9A7"/>
    <w:rsid w:val="44DDE071"/>
    <w:rsid w:val="44EE1298"/>
    <w:rsid w:val="451D0E2C"/>
    <w:rsid w:val="45204592"/>
    <w:rsid w:val="45230386"/>
    <w:rsid w:val="452434CE"/>
    <w:rsid w:val="45323B8A"/>
    <w:rsid w:val="4549FE56"/>
    <w:rsid w:val="454C27D5"/>
    <w:rsid w:val="454F1362"/>
    <w:rsid w:val="456DDD80"/>
    <w:rsid w:val="4579C87A"/>
    <w:rsid w:val="458CEF1E"/>
    <w:rsid w:val="45AC1D85"/>
    <w:rsid w:val="45C4D6B9"/>
    <w:rsid w:val="45C62786"/>
    <w:rsid w:val="45DEE811"/>
    <w:rsid w:val="45EB6004"/>
    <w:rsid w:val="45F67A51"/>
    <w:rsid w:val="46032BC1"/>
    <w:rsid w:val="461329F3"/>
    <w:rsid w:val="461A907F"/>
    <w:rsid w:val="4634F28F"/>
    <w:rsid w:val="463BE3A2"/>
    <w:rsid w:val="46567825"/>
    <w:rsid w:val="466FB9E3"/>
    <w:rsid w:val="4674143A"/>
    <w:rsid w:val="46759448"/>
    <w:rsid w:val="467D612D"/>
    <w:rsid w:val="46818C80"/>
    <w:rsid w:val="468FB4F0"/>
    <w:rsid w:val="46B07724"/>
    <w:rsid w:val="46B6D11D"/>
    <w:rsid w:val="46C70318"/>
    <w:rsid w:val="46E7BAFB"/>
    <w:rsid w:val="46E96E36"/>
    <w:rsid w:val="46F912DF"/>
    <w:rsid w:val="47128384"/>
    <w:rsid w:val="471EFEE0"/>
    <w:rsid w:val="4728E256"/>
    <w:rsid w:val="474ED0B4"/>
    <w:rsid w:val="47536908"/>
    <w:rsid w:val="4763EDA0"/>
    <w:rsid w:val="476AA097"/>
    <w:rsid w:val="4777A350"/>
    <w:rsid w:val="47813C86"/>
    <w:rsid w:val="4786A94E"/>
    <w:rsid w:val="4796A84F"/>
    <w:rsid w:val="479E0A43"/>
    <w:rsid w:val="47A56C4B"/>
    <w:rsid w:val="47BC4362"/>
    <w:rsid w:val="47CC3FBC"/>
    <w:rsid w:val="47D9DAFF"/>
    <w:rsid w:val="47E72C1B"/>
    <w:rsid w:val="47F362C8"/>
    <w:rsid w:val="48088190"/>
    <w:rsid w:val="483B94A3"/>
    <w:rsid w:val="48411774"/>
    <w:rsid w:val="4863676C"/>
    <w:rsid w:val="486DA043"/>
    <w:rsid w:val="48757A9A"/>
    <w:rsid w:val="488D9B73"/>
    <w:rsid w:val="4898FEE4"/>
    <w:rsid w:val="489CE0BE"/>
    <w:rsid w:val="48A4C82A"/>
    <w:rsid w:val="48A60CCD"/>
    <w:rsid w:val="48B4BB8B"/>
    <w:rsid w:val="48BD74C3"/>
    <w:rsid w:val="48CCC047"/>
    <w:rsid w:val="48DC1AE9"/>
    <w:rsid w:val="48EA64B2"/>
    <w:rsid w:val="48F8D763"/>
    <w:rsid w:val="49095331"/>
    <w:rsid w:val="491AC4FB"/>
    <w:rsid w:val="491F2960"/>
    <w:rsid w:val="49290DF5"/>
    <w:rsid w:val="492C2E94"/>
    <w:rsid w:val="4955F16E"/>
    <w:rsid w:val="495953D8"/>
    <w:rsid w:val="49933044"/>
    <w:rsid w:val="49A264B4"/>
    <w:rsid w:val="49B42C97"/>
    <w:rsid w:val="49B897F1"/>
    <w:rsid w:val="49BD2E1A"/>
    <w:rsid w:val="49CC7BAB"/>
    <w:rsid w:val="49D15FDB"/>
    <w:rsid w:val="49D3E34A"/>
    <w:rsid w:val="49DDD1A3"/>
    <w:rsid w:val="49ED33EF"/>
    <w:rsid w:val="49F7D0CB"/>
    <w:rsid w:val="49FEF6C8"/>
    <w:rsid w:val="4A02F29E"/>
    <w:rsid w:val="4A277425"/>
    <w:rsid w:val="4A277F90"/>
    <w:rsid w:val="4A2958AA"/>
    <w:rsid w:val="4A31DABE"/>
    <w:rsid w:val="4A4293E1"/>
    <w:rsid w:val="4A4FEF80"/>
    <w:rsid w:val="4A59C3E4"/>
    <w:rsid w:val="4A5C5C5C"/>
    <w:rsid w:val="4A5CC3C2"/>
    <w:rsid w:val="4A6C115B"/>
    <w:rsid w:val="4A76FDD3"/>
    <w:rsid w:val="4A8AF5D2"/>
    <w:rsid w:val="4A9017C2"/>
    <w:rsid w:val="4A99082F"/>
    <w:rsid w:val="4A9A65D3"/>
    <w:rsid w:val="4AA95B7F"/>
    <w:rsid w:val="4AAF5DB9"/>
    <w:rsid w:val="4AB84BE6"/>
    <w:rsid w:val="4ADA9589"/>
    <w:rsid w:val="4ADE3D08"/>
    <w:rsid w:val="4AF1F1D4"/>
    <w:rsid w:val="4B045534"/>
    <w:rsid w:val="4B35404F"/>
    <w:rsid w:val="4B4CF633"/>
    <w:rsid w:val="4B6A7B02"/>
    <w:rsid w:val="4B6FE4ED"/>
    <w:rsid w:val="4B711CD5"/>
    <w:rsid w:val="4B8217B7"/>
    <w:rsid w:val="4B8FA883"/>
    <w:rsid w:val="4B9264D1"/>
    <w:rsid w:val="4BA1620C"/>
    <w:rsid w:val="4BA64848"/>
    <w:rsid w:val="4BB24FD5"/>
    <w:rsid w:val="4BB60A4D"/>
    <w:rsid w:val="4BB6CED3"/>
    <w:rsid w:val="4BDA795F"/>
    <w:rsid w:val="4BEFC07C"/>
    <w:rsid w:val="4BF01C43"/>
    <w:rsid w:val="4BF23716"/>
    <w:rsid w:val="4BF8FB71"/>
    <w:rsid w:val="4C119234"/>
    <w:rsid w:val="4C16B252"/>
    <w:rsid w:val="4C21DBAE"/>
    <w:rsid w:val="4C322813"/>
    <w:rsid w:val="4C33471F"/>
    <w:rsid w:val="4C365774"/>
    <w:rsid w:val="4C38478A"/>
    <w:rsid w:val="4C4D7384"/>
    <w:rsid w:val="4C5685AC"/>
    <w:rsid w:val="4C671824"/>
    <w:rsid w:val="4C765D99"/>
    <w:rsid w:val="4C8464BA"/>
    <w:rsid w:val="4C8D6D94"/>
    <w:rsid w:val="4C8EBF1B"/>
    <w:rsid w:val="4C920873"/>
    <w:rsid w:val="4C9DF1FF"/>
    <w:rsid w:val="4CADCB8C"/>
    <w:rsid w:val="4CBD18B5"/>
    <w:rsid w:val="4CCFD7B6"/>
    <w:rsid w:val="4CD70EC8"/>
    <w:rsid w:val="4CDDC5B9"/>
    <w:rsid w:val="4CE72086"/>
    <w:rsid w:val="4CEAC8D4"/>
    <w:rsid w:val="4D08FB8A"/>
    <w:rsid w:val="4D117505"/>
    <w:rsid w:val="4D2BDEEB"/>
    <w:rsid w:val="4D45F21E"/>
    <w:rsid w:val="4D53E382"/>
    <w:rsid w:val="4D5DC8DF"/>
    <w:rsid w:val="4D6164A2"/>
    <w:rsid w:val="4D6DBBBC"/>
    <w:rsid w:val="4D861A90"/>
    <w:rsid w:val="4D9E5EFB"/>
    <w:rsid w:val="4DA5CA5F"/>
    <w:rsid w:val="4DA708DC"/>
    <w:rsid w:val="4DAE027B"/>
    <w:rsid w:val="4DC2B0B6"/>
    <w:rsid w:val="4DCD1CFC"/>
    <w:rsid w:val="4DD9418C"/>
    <w:rsid w:val="4DE94EFF"/>
    <w:rsid w:val="4DF4DB6A"/>
    <w:rsid w:val="4E06CE42"/>
    <w:rsid w:val="4E0BB38D"/>
    <w:rsid w:val="4E336A8B"/>
    <w:rsid w:val="4E5C4677"/>
    <w:rsid w:val="4E693955"/>
    <w:rsid w:val="4E6FABAB"/>
    <w:rsid w:val="4E7C68AC"/>
    <w:rsid w:val="4E87FD8A"/>
    <w:rsid w:val="4E94816C"/>
    <w:rsid w:val="4EB0EA2E"/>
    <w:rsid w:val="4EB6E162"/>
    <w:rsid w:val="4EC2E0D1"/>
    <w:rsid w:val="4EDF5643"/>
    <w:rsid w:val="4EF3D54E"/>
    <w:rsid w:val="4F1FCDCE"/>
    <w:rsid w:val="4F2D5764"/>
    <w:rsid w:val="4F363B69"/>
    <w:rsid w:val="4F405AA0"/>
    <w:rsid w:val="4F42A3EE"/>
    <w:rsid w:val="4F4D6BA4"/>
    <w:rsid w:val="4F5AB0C7"/>
    <w:rsid w:val="4F68F17D"/>
    <w:rsid w:val="4F75D6D9"/>
    <w:rsid w:val="4F796283"/>
    <w:rsid w:val="4F9BFDA7"/>
    <w:rsid w:val="4FB68B03"/>
    <w:rsid w:val="4FB6CB37"/>
    <w:rsid w:val="4FB97F21"/>
    <w:rsid w:val="4FBCCC58"/>
    <w:rsid w:val="4FE49443"/>
    <w:rsid w:val="4FF06716"/>
    <w:rsid w:val="4FF758B0"/>
    <w:rsid w:val="5005FE6C"/>
    <w:rsid w:val="500BE96E"/>
    <w:rsid w:val="50102DD5"/>
    <w:rsid w:val="50105DD5"/>
    <w:rsid w:val="5022BBA0"/>
    <w:rsid w:val="5027CB4D"/>
    <w:rsid w:val="502AE6E6"/>
    <w:rsid w:val="5031C62D"/>
    <w:rsid w:val="50407971"/>
    <w:rsid w:val="50540947"/>
    <w:rsid w:val="50581648"/>
    <w:rsid w:val="505BDD57"/>
    <w:rsid w:val="50620475"/>
    <w:rsid w:val="50652B31"/>
    <w:rsid w:val="50688165"/>
    <w:rsid w:val="5068B09C"/>
    <w:rsid w:val="506B4446"/>
    <w:rsid w:val="506E9B27"/>
    <w:rsid w:val="507244D3"/>
    <w:rsid w:val="507D5D41"/>
    <w:rsid w:val="5087BBC7"/>
    <w:rsid w:val="508B586A"/>
    <w:rsid w:val="509279D8"/>
    <w:rsid w:val="50A45F9D"/>
    <w:rsid w:val="50B7A115"/>
    <w:rsid w:val="50D43C59"/>
    <w:rsid w:val="50E049DA"/>
    <w:rsid w:val="50E8A500"/>
    <w:rsid w:val="50F4012C"/>
    <w:rsid w:val="50F5646D"/>
    <w:rsid w:val="50F93CAB"/>
    <w:rsid w:val="511E7851"/>
    <w:rsid w:val="51373537"/>
    <w:rsid w:val="5138AFCB"/>
    <w:rsid w:val="51416329"/>
    <w:rsid w:val="51590C65"/>
    <w:rsid w:val="51673585"/>
    <w:rsid w:val="5168CA2A"/>
    <w:rsid w:val="516C722F"/>
    <w:rsid w:val="5173CA30"/>
    <w:rsid w:val="51780805"/>
    <w:rsid w:val="51A4A0BE"/>
    <w:rsid w:val="51BF8D89"/>
    <w:rsid w:val="51CAEE47"/>
    <w:rsid w:val="51DBB20A"/>
    <w:rsid w:val="51DD81F8"/>
    <w:rsid w:val="51E970C0"/>
    <w:rsid w:val="52115E58"/>
    <w:rsid w:val="522E0632"/>
    <w:rsid w:val="524B2C92"/>
    <w:rsid w:val="5252057C"/>
    <w:rsid w:val="52547178"/>
    <w:rsid w:val="525638EF"/>
    <w:rsid w:val="5263101C"/>
    <w:rsid w:val="52736CD6"/>
    <w:rsid w:val="528F6EED"/>
    <w:rsid w:val="528F7626"/>
    <w:rsid w:val="5291BFDC"/>
    <w:rsid w:val="52A35445"/>
    <w:rsid w:val="52A4DDDF"/>
    <w:rsid w:val="52A94CA0"/>
    <w:rsid w:val="52A9AA39"/>
    <w:rsid w:val="52C38BC0"/>
    <w:rsid w:val="52E242ED"/>
    <w:rsid w:val="52E414FE"/>
    <w:rsid w:val="52E6B65B"/>
    <w:rsid w:val="52E96859"/>
    <w:rsid w:val="52F38311"/>
    <w:rsid w:val="52F5B0AD"/>
    <w:rsid w:val="53156848"/>
    <w:rsid w:val="531B5F87"/>
    <w:rsid w:val="53242AC6"/>
    <w:rsid w:val="532A0440"/>
    <w:rsid w:val="532BC889"/>
    <w:rsid w:val="53328DE0"/>
    <w:rsid w:val="533653D8"/>
    <w:rsid w:val="533718B6"/>
    <w:rsid w:val="533F2AD9"/>
    <w:rsid w:val="535082FC"/>
    <w:rsid w:val="536B60C2"/>
    <w:rsid w:val="5371C3E1"/>
    <w:rsid w:val="5379DA12"/>
    <w:rsid w:val="537A69DB"/>
    <w:rsid w:val="5382E93C"/>
    <w:rsid w:val="538C8556"/>
    <w:rsid w:val="53AF411E"/>
    <w:rsid w:val="53AFFE98"/>
    <w:rsid w:val="53C6B515"/>
    <w:rsid w:val="53C8B057"/>
    <w:rsid w:val="53CBEC2D"/>
    <w:rsid w:val="53D1EE3A"/>
    <w:rsid w:val="53D37F94"/>
    <w:rsid w:val="540C90A0"/>
    <w:rsid w:val="542C606A"/>
    <w:rsid w:val="54476234"/>
    <w:rsid w:val="54493799"/>
    <w:rsid w:val="544C1754"/>
    <w:rsid w:val="54512415"/>
    <w:rsid w:val="545A1349"/>
    <w:rsid w:val="545DB665"/>
    <w:rsid w:val="546DE631"/>
    <w:rsid w:val="5478FBAF"/>
    <w:rsid w:val="54861E80"/>
    <w:rsid w:val="548B34B5"/>
    <w:rsid w:val="548C34B3"/>
    <w:rsid w:val="549359E3"/>
    <w:rsid w:val="54AC2F54"/>
    <w:rsid w:val="54B4A4C2"/>
    <w:rsid w:val="54C852B0"/>
    <w:rsid w:val="54CDB4B0"/>
    <w:rsid w:val="54FEF426"/>
    <w:rsid w:val="553BA39D"/>
    <w:rsid w:val="553D6E9A"/>
    <w:rsid w:val="5545D503"/>
    <w:rsid w:val="555957A6"/>
    <w:rsid w:val="558157DA"/>
    <w:rsid w:val="5590FE08"/>
    <w:rsid w:val="5593A712"/>
    <w:rsid w:val="55AF3625"/>
    <w:rsid w:val="55B03C76"/>
    <w:rsid w:val="55CFD4E9"/>
    <w:rsid w:val="55DF6B39"/>
    <w:rsid w:val="55E09518"/>
    <w:rsid w:val="55FE6B00"/>
    <w:rsid w:val="560A0F14"/>
    <w:rsid w:val="560A92F7"/>
    <w:rsid w:val="561240C6"/>
    <w:rsid w:val="5615EAF3"/>
    <w:rsid w:val="5621B3F2"/>
    <w:rsid w:val="56490283"/>
    <w:rsid w:val="56686DE6"/>
    <w:rsid w:val="56827C97"/>
    <w:rsid w:val="56838FB6"/>
    <w:rsid w:val="568A5678"/>
    <w:rsid w:val="56A6AC77"/>
    <w:rsid w:val="56A907C6"/>
    <w:rsid w:val="56A94836"/>
    <w:rsid w:val="56C5BE9E"/>
    <w:rsid w:val="56F2A941"/>
    <w:rsid w:val="56F66878"/>
    <w:rsid w:val="56FD8B6A"/>
    <w:rsid w:val="5707BB0E"/>
    <w:rsid w:val="5714C275"/>
    <w:rsid w:val="5715784D"/>
    <w:rsid w:val="5718306D"/>
    <w:rsid w:val="571AF0A3"/>
    <w:rsid w:val="571BE3AA"/>
    <w:rsid w:val="57218060"/>
    <w:rsid w:val="57229FF7"/>
    <w:rsid w:val="57284888"/>
    <w:rsid w:val="5738C69B"/>
    <w:rsid w:val="5745D108"/>
    <w:rsid w:val="574E0AB0"/>
    <w:rsid w:val="5753BB7F"/>
    <w:rsid w:val="5754B862"/>
    <w:rsid w:val="57554E0C"/>
    <w:rsid w:val="575568F1"/>
    <w:rsid w:val="575D2FCD"/>
    <w:rsid w:val="576530AC"/>
    <w:rsid w:val="57882405"/>
    <w:rsid w:val="57B55795"/>
    <w:rsid w:val="57B86FE6"/>
    <w:rsid w:val="57BBD0E1"/>
    <w:rsid w:val="57BCD263"/>
    <w:rsid w:val="57C2C146"/>
    <w:rsid w:val="57DDEBFD"/>
    <w:rsid w:val="57E53852"/>
    <w:rsid w:val="57EA2F44"/>
    <w:rsid w:val="57F7F465"/>
    <w:rsid w:val="57F8C531"/>
    <w:rsid w:val="581300F4"/>
    <w:rsid w:val="58173304"/>
    <w:rsid w:val="585BAE5A"/>
    <w:rsid w:val="5870A4D5"/>
    <w:rsid w:val="5876C182"/>
    <w:rsid w:val="58848C12"/>
    <w:rsid w:val="5889C622"/>
    <w:rsid w:val="5893ED3B"/>
    <w:rsid w:val="58A39BFC"/>
    <w:rsid w:val="58A8FF03"/>
    <w:rsid w:val="58BF1808"/>
    <w:rsid w:val="58C7D0F6"/>
    <w:rsid w:val="58E740D2"/>
    <w:rsid w:val="58F3461E"/>
    <w:rsid w:val="58F893DD"/>
    <w:rsid w:val="590AF60A"/>
    <w:rsid w:val="591C9CC3"/>
    <w:rsid w:val="591E9B9F"/>
    <w:rsid w:val="59276F7E"/>
    <w:rsid w:val="59659006"/>
    <w:rsid w:val="597F38F9"/>
    <w:rsid w:val="598331E6"/>
    <w:rsid w:val="599EA7D8"/>
    <w:rsid w:val="59B8A993"/>
    <w:rsid w:val="59B9B9C8"/>
    <w:rsid w:val="59E3847A"/>
    <w:rsid w:val="59EBFC55"/>
    <w:rsid w:val="59F522B3"/>
    <w:rsid w:val="5A033621"/>
    <w:rsid w:val="5A10A10C"/>
    <w:rsid w:val="5A3C4E7E"/>
    <w:rsid w:val="5A7141CC"/>
    <w:rsid w:val="5A7373F2"/>
    <w:rsid w:val="5A8AE7AC"/>
    <w:rsid w:val="5A8E0D35"/>
    <w:rsid w:val="5AC330D8"/>
    <w:rsid w:val="5ACEE4CA"/>
    <w:rsid w:val="5AD60F40"/>
    <w:rsid w:val="5AEF8357"/>
    <w:rsid w:val="5AFC3FDC"/>
    <w:rsid w:val="5B118CE3"/>
    <w:rsid w:val="5B1C7CFB"/>
    <w:rsid w:val="5B1F08B5"/>
    <w:rsid w:val="5B229645"/>
    <w:rsid w:val="5B302327"/>
    <w:rsid w:val="5B39363A"/>
    <w:rsid w:val="5B4C4207"/>
    <w:rsid w:val="5B51591D"/>
    <w:rsid w:val="5B824137"/>
    <w:rsid w:val="5B836072"/>
    <w:rsid w:val="5BA551CD"/>
    <w:rsid w:val="5BB3C272"/>
    <w:rsid w:val="5BCD4792"/>
    <w:rsid w:val="5BCFA80D"/>
    <w:rsid w:val="5BDE6F0E"/>
    <w:rsid w:val="5BDF3139"/>
    <w:rsid w:val="5BE926FB"/>
    <w:rsid w:val="5BEEE104"/>
    <w:rsid w:val="5C165932"/>
    <w:rsid w:val="5C1FD2F6"/>
    <w:rsid w:val="5C25AA1E"/>
    <w:rsid w:val="5C27F8B6"/>
    <w:rsid w:val="5C2991EA"/>
    <w:rsid w:val="5C2A0EEC"/>
    <w:rsid w:val="5C2AA0F6"/>
    <w:rsid w:val="5C364F97"/>
    <w:rsid w:val="5C4939E1"/>
    <w:rsid w:val="5C4E9E71"/>
    <w:rsid w:val="5C659676"/>
    <w:rsid w:val="5C820E99"/>
    <w:rsid w:val="5C9B22FC"/>
    <w:rsid w:val="5CB926BC"/>
    <w:rsid w:val="5CC17681"/>
    <w:rsid w:val="5CDCE660"/>
    <w:rsid w:val="5CDEB276"/>
    <w:rsid w:val="5CFC7CF0"/>
    <w:rsid w:val="5CFDA332"/>
    <w:rsid w:val="5D07C530"/>
    <w:rsid w:val="5D158064"/>
    <w:rsid w:val="5D21CBD9"/>
    <w:rsid w:val="5D2DEEA7"/>
    <w:rsid w:val="5D327CF8"/>
    <w:rsid w:val="5D3789FF"/>
    <w:rsid w:val="5D3EFE72"/>
    <w:rsid w:val="5D446448"/>
    <w:rsid w:val="5D57AFF7"/>
    <w:rsid w:val="5D6A7F21"/>
    <w:rsid w:val="5D6EE58E"/>
    <w:rsid w:val="5D7207FA"/>
    <w:rsid w:val="5DB90E7F"/>
    <w:rsid w:val="5DBB3B20"/>
    <w:rsid w:val="5DBE105F"/>
    <w:rsid w:val="5DD681F3"/>
    <w:rsid w:val="5DDA26FF"/>
    <w:rsid w:val="5DE7DCAD"/>
    <w:rsid w:val="5E05BFD7"/>
    <w:rsid w:val="5E0D9AD0"/>
    <w:rsid w:val="5E186BC8"/>
    <w:rsid w:val="5E1BAF15"/>
    <w:rsid w:val="5E2E0B4D"/>
    <w:rsid w:val="5E309BA5"/>
    <w:rsid w:val="5E36FC60"/>
    <w:rsid w:val="5E371D70"/>
    <w:rsid w:val="5E444712"/>
    <w:rsid w:val="5E4FE91F"/>
    <w:rsid w:val="5E557DD8"/>
    <w:rsid w:val="5E5CD7AD"/>
    <w:rsid w:val="5E6D9578"/>
    <w:rsid w:val="5E962E8E"/>
    <w:rsid w:val="5E97D08E"/>
    <w:rsid w:val="5EB2B565"/>
    <w:rsid w:val="5EB7040E"/>
    <w:rsid w:val="5EBB1FCA"/>
    <w:rsid w:val="5EDC019A"/>
    <w:rsid w:val="5EE6FC33"/>
    <w:rsid w:val="5EE8AEFD"/>
    <w:rsid w:val="5EF0D738"/>
    <w:rsid w:val="5EF14E21"/>
    <w:rsid w:val="5EFD202B"/>
    <w:rsid w:val="5F060A34"/>
    <w:rsid w:val="5F0EDB7B"/>
    <w:rsid w:val="5F161005"/>
    <w:rsid w:val="5F16B893"/>
    <w:rsid w:val="5F186969"/>
    <w:rsid w:val="5F1B0501"/>
    <w:rsid w:val="5F23D2FA"/>
    <w:rsid w:val="5F24585E"/>
    <w:rsid w:val="5F33B823"/>
    <w:rsid w:val="5F3E26F7"/>
    <w:rsid w:val="5F43CE5A"/>
    <w:rsid w:val="5F6383DA"/>
    <w:rsid w:val="5F6A7CD3"/>
    <w:rsid w:val="5F7D4CF9"/>
    <w:rsid w:val="5F8064A0"/>
    <w:rsid w:val="5FBE1028"/>
    <w:rsid w:val="5FCE8E49"/>
    <w:rsid w:val="5FD6301F"/>
    <w:rsid w:val="5FED41DE"/>
    <w:rsid w:val="5FFC4EEE"/>
    <w:rsid w:val="600D9CA1"/>
    <w:rsid w:val="6017F28D"/>
    <w:rsid w:val="60181CF0"/>
    <w:rsid w:val="6028E813"/>
    <w:rsid w:val="6048690D"/>
    <w:rsid w:val="60705315"/>
    <w:rsid w:val="607EFC40"/>
    <w:rsid w:val="60867635"/>
    <w:rsid w:val="60990397"/>
    <w:rsid w:val="60A777C3"/>
    <w:rsid w:val="60E3A5DC"/>
    <w:rsid w:val="60EBD6ED"/>
    <w:rsid w:val="60F2E501"/>
    <w:rsid w:val="61220C59"/>
    <w:rsid w:val="612B2299"/>
    <w:rsid w:val="613066CD"/>
    <w:rsid w:val="61498127"/>
    <w:rsid w:val="61542155"/>
    <w:rsid w:val="6169EFF3"/>
    <w:rsid w:val="616B1AB3"/>
    <w:rsid w:val="61907C37"/>
    <w:rsid w:val="6190F4CE"/>
    <w:rsid w:val="6193FAEA"/>
    <w:rsid w:val="61B35351"/>
    <w:rsid w:val="61CBCE6D"/>
    <w:rsid w:val="61E80EF6"/>
    <w:rsid w:val="61F3F7E4"/>
    <w:rsid w:val="61FBFF79"/>
    <w:rsid w:val="61FD6981"/>
    <w:rsid w:val="6208D12D"/>
    <w:rsid w:val="6215D784"/>
    <w:rsid w:val="6217AF7D"/>
    <w:rsid w:val="621EE0A8"/>
    <w:rsid w:val="621FB6AC"/>
    <w:rsid w:val="6220A4E2"/>
    <w:rsid w:val="62240303"/>
    <w:rsid w:val="6233A1C9"/>
    <w:rsid w:val="624C38B9"/>
    <w:rsid w:val="625D8E00"/>
    <w:rsid w:val="6262C39B"/>
    <w:rsid w:val="626C0530"/>
    <w:rsid w:val="62855B3B"/>
    <w:rsid w:val="62878CAA"/>
    <w:rsid w:val="629B8CFA"/>
    <w:rsid w:val="62A5196C"/>
    <w:rsid w:val="62A55EE3"/>
    <w:rsid w:val="62B030CD"/>
    <w:rsid w:val="62B1F820"/>
    <w:rsid w:val="62D43D49"/>
    <w:rsid w:val="62D4878D"/>
    <w:rsid w:val="62F12681"/>
    <w:rsid w:val="62F1C7C8"/>
    <w:rsid w:val="62F997D9"/>
    <w:rsid w:val="62FEE9AF"/>
    <w:rsid w:val="63008E67"/>
    <w:rsid w:val="63133BC7"/>
    <w:rsid w:val="631ED447"/>
    <w:rsid w:val="6320384D"/>
    <w:rsid w:val="632FF806"/>
    <w:rsid w:val="63300A0B"/>
    <w:rsid w:val="6343B1EE"/>
    <w:rsid w:val="63492F54"/>
    <w:rsid w:val="634B2537"/>
    <w:rsid w:val="63512900"/>
    <w:rsid w:val="6352B5B8"/>
    <w:rsid w:val="6358D560"/>
    <w:rsid w:val="635B9874"/>
    <w:rsid w:val="6369B5CB"/>
    <w:rsid w:val="637D2693"/>
    <w:rsid w:val="6391F352"/>
    <w:rsid w:val="639A6828"/>
    <w:rsid w:val="639BFA00"/>
    <w:rsid w:val="639EA8EC"/>
    <w:rsid w:val="639EF551"/>
    <w:rsid w:val="63ADFC99"/>
    <w:rsid w:val="63E45BA6"/>
    <w:rsid w:val="63E4DCFE"/>
    <w:rsid w:val="63E56EE0"/>
    <w:rsid w:val="63E855FB"/>
    <w:rsid w:val="63EE2611"/>
    <w:rsid w:val="63FA4DC8"/>
    <w:rsid w:val="64104C78"/>
    <w:rsid w:val="64211099"/>
    <w:rsid w:val="64355D8A"/>
    <w:rsid w:val="644AFCF2"/>
    <w:rsid w:val="644C5442"/>
    <w:rsid w:val="644DD639"/>
    <w:rsid w:val="6473497C"/>
    <w:rsid w:val="64855792"/>
    <w:rsid w:val="6495FB13"/>
    <w:rsid w:val="649A7B67"/>
    <w:rsid w:val="649E6AAB"/>
    <w:rsid w:val="64ACD937"/>
    <w:rsid w:val="64B68D42"/>
    <w:rsid w:val="64BE5FCB"/>
    <w:rsid w:val="64BF44A9"/>
    <w:rsid w:val="64C63D9E"/>
    <w:rsid w:val="64D9F5CF"/>
    <w:rsid w:val="64E99B56"/>
    <w:rsid w:val="65069F86"/>
    <w:rsid w:val="6515B39A"/>
    <w:rsid w:val="651C20CE"/>
    <w:rsid w:val="6527A6E6"/>
    <w:rsid w:val="652AAB0A"/>
    <w:rsid w:val="652EC2B9"/>
    <w:rsid w:val="65740EAB"/>
    <w:rsid w:val="65746E57"/>
    <w:rsid w:val="6580D731"/>
    <w:rsid w:val="6581877F"/>
    <w:rsid w:val="658A16CE"/>
    <w:rsid w:val="658A6AED"/>
    <w:rsid w:val="658F29B7"/>
    <w:rsid w:val="65C5C787"/>
    <w:rsid w:val="65C7A377"/>
    <w:rsid w:val="65CA325C"/>
    <w:rsid w:val="65E614EA"/>
    <w:rsid w:val="65EBA8E4"/>
    <w:rsid w:val="65EE7724"/>
    <w:rsid w:val="66081013"/>
    <w:rsid w:val="6624C768"/>
    <w:rsid w:val="662FB591"/>
    <w:rsid w:val="664D65CC"/>
    <w:rsid w:val="66514CC0"/>
    <w:rsid w:val="665EC52F"/>
    <w:rsid w:val="66656A2F"/>
    <w:rsid w:val="666FECCB"/>
    <w:rsid w:val="66705948"/>
    <w:rsid w:val="66797293"/>
    <w:rsid w:val="66833ED0"/>
    <w:rsid w:val="669B05BD"/>
    <w:rsid w:val="66A56E73"/>
    <w:rsid w:val="66B1546C"/>
    <w:rsid w:val="66C5A268"/>
    <w:rsid w:val="66DC9D04"/>
    <w:rsid w:val="670271EB"/>
    <w:rsid w:val="6709534E"/>
    <w:rsid w:val="6714DB8A"/>
    <w:rsid w:val="671944C7"/>
    <w:rsid w:val="67220222"/>
    <w:rsid w:val="6727E86E"/>
    <w:rsid w:val="67298225"/>
    <w:rsid w:val="672D87B1"/>
    <w:rsid w:val="674E7605"/>
    <w:rsid w:val="676188F7"/>
    <w:rsid w:val="6778B29C"/>
    <w:rsid w:val="67A0F051"/>
    <w:rsid w:val="67BFDA35"/>
    <w:rsid w:val="67D94685"/>
    <w:rsid w:val="67DDDF3A"/>
    <w:rsid w:val="67E3D39A"/>
    <w:rsid w:val="67FD9EB9"/>
    <w:rsid w:val="6811AE86"/>
    <w:rsid w:val="68144EA1"/>
    <w:rsid w:val="681F8AAB"/>
    <w:rsid w:val="682174F6"/>
    <w:rsid w:val="682AB713"/>
    <w:rsid w:val="684642EE"/>
    <w:rsid w:val="684EB32A"/>
    <w:rsid w:val="686A2E49"/>
    <w:rsid w:val="68726DFE"/>
    <w:rsid w:val="6873F551"/>
    <w:rsid w:val="68745C45"/>
    <w:rsid w:val="6874E684"/>
    <w:rsid w:val="687DB15B"/>
    <w:rsid w:val="688320C0"/>
    <w:rsid w:val="6888E036"/>
    <w:rsid w:val="6898269C"/>
    <w:rsid w:val="68B0F274"/>
    <w:rsid w:val="68C91E4E"/>
    <w:rsid w:val="68C92CB5"/>
    <w:rsid w:val="68EFC230"/>
    <w:rsid w:val="68FE0600"/>
    <w:rsid w:val="690AF3B7"/>
    <w:rsid w:val="690ECA01"/>
    <w:rsid w:val="6916C100"/>
    <w:rsid w:val="691A8E79"/>
    <w:rsid w:val="69246495"/>
    <w:rsid w:val="6930B642"/>
    <w:rsid w:val="693E16E5"/>
    <w:rsid w:val="694E7275"/>
    <w:rsid w:val="6954D474"/>
    <w:rsid w:val="696F9344"/>
    <w:rsid w:val="697F2D06"/>
    <w:rsid w:val="69918FC8"/>
    <w:rsid w:val="699C197D"/>
    <w:rsid w:val="69A553C8"/>
    <w:rsid w:val="69C4CF9A"/>
    <w:rsid w:val="69D6B188"/>
    <w:rsid w:val="69D81151"/>
    <w:rsid w:val="69DBB040"/>
    <w:rsid w:val="69F507DB"/>
    <w:rsid w:val="69F6A01F"/>
    <w:rsid w:val="6A04F438"/>
    <w:rsid w:val="6A0C69E3"/>
    <w:rsid w:val="6A0DB8BD"/>
    <w:rsid w:val="6A413C1C"/>
    <w:rsid w:val="6A487A52"/>
    <w:rsid w:val="6A48E0C1"/>
    <w:rsid w:val="6A4F2A2D"/>
    <w:rsid w:val="6A6FEFBC"/>
    <w:rsid w:val="6A708440"/>
    <w:rsid w:val="6A944B17"/>
    <w:rsid w:val="6A9E07F5"/>
    <w:rsid w:val="6AA7ED47"/>
    <w:rsid w:val="6AB3FAB9"/>
    <w:rsid w:val="6AC7911D"/>
    <w:rsid w:val="6ADAC00C"/>
    <w:rsid w:val="6ADAD731"/>
    <w:rsid w:val="6ADFBF22"/>
    <w:rsid w:val="6AFA6E7B"/>
    <w:rsid w:val="6B0160C9"/>
    <w:rsid w:val="6B080C47"/>
    <w:rsid w:val="6B1CB7DA"/>
    <w:rsid w:val="6B25D897"/>
    <w:rsid w:val="6B376B27"/>
    <w:rsid w:val="6B3789A2"/>
    <w:rsid w:val="6B581F47"/>
    <w:rsid w:val="6B5DDE58"/>
    <w:rsid w:val="6B633094"/>
    <w:rsid w:val="6B70A2A7"/>
    <w:rsid w:val="6B7BB652"/>
    <w:rsid w:val="6BAAEA3B"/>
    <w:rsid w:val="6BAD4B83"/>
    <w:rsid w:val="6BADAF58"/>
    <w:rsid w:val="6BB1572B"/>
    <w:rsid w:val="6BC75FC0"/>
    <w:rsid w:val="6BCD2D54"/>
    <w:rsid w:val="6BED7C26"/>
    <w:rsid w:val="6BEF7ED0"/>
    <w:rsid w:val="6BFE7333"/>
    <w:rsid w:val="6C0B846E"/>
    <w:rsid w:val="6C1C5B69"/>
    <w:rsid w:val="6C21FB37"/>
    <w:rsid w:val="6C22FE3D"/>
    <w:rsid w:val="6C24D538"/>
    <w:rsid w:val="6C34B44D"/>
    <w:rsid w:val="6C3B052C"/>
    <w:rsid w:val="6C42E375"/>
    <w:rsid w:val="6C49219B"/>
    <w:rsid w:val="6C514D2B"/>
    <w:rsid w:val="6C647F41"/>
    <w:rsid w:val="6C6E6517"/>
    <w:rsid w:val="6C78BB69"/>
    <w:rsid w:val="6C7DAD88"/>
    <w:rsid w:val="6C9ADBA4"/>
    <w:rsid w:val="6CA5EB9C"/>
    <w:rsid w:val="6CBDB9F3"/>
    <w:rsid w:val="6CBF3F6F"/>
    <w:rsid w:val="6CE3E502"/>
    <w:rsid w:val="6CE85F6A"/>
    <w:rsid w:val="6CF59DCE"/>
    <w:rsid w:val="6CFACDCD"/>
    <w:rsid w:val="6CFCFD73"/>
    <w:rsid w:val="6CFE2B80"/>
    <w:rsid w:val="6D0348EA"/>
    <w:rsid w:val="6D0AC7DB"/>
    <w:rsid w:val="6D34E619"/>
    <w:rsid w:val="6D58035C"/>
    <w:rsid w:val="6D7DE53C"/>
    <w:rsid w:val="6D8ABBB9"/>
    <w:rsid w:val="6DBF8638"/>
    <w:rsid w:val="6DD8C47A"/>
    <w:rsid w:val="6DEB83AA"/>
    <w:rsid w:val="6DF5D988"/>
    <w:rsid w:val="6E03856B"/>
    <w:rsid w:val="6E04965D"/>
    <w:rsid w:val="6E2553AB"/>
    <w:rsid w:val="6E38E4DC"/>
    <w:rsid w:val="6E4518D6"/>
    <w:rsid w:val="6E5E02CD"/>
    <w:rsid w:val="6E82E117"/>
    <w:rsid w:val="6E83FA86"/>
    <w:rsid w:val="6E8A1118"/>
    <w:rsid w:val="6E98D874"/>
    <w:rsid w:val="6EAE9A08"/>
    <w:rsid w:val="6EC54677"/>
    <w:rsid w:val="6ED6407E"/>
    <w:rsid w:val="6EE7A0BA"/>
    <w:rsid w:val="6EF42EC7"/>
    <w:rsid w:val="6EF52E13"/>
    <w:rsid w:val="6F0AB67F"/>
    <w:rsid w:val="6F1FEF24"/>
    <w:rsid w:val="6F28AAAE"/>
    <w:rsid w:val="6F327992"/>
    <w:rsid w:val="6F3453BF"/>
    <w:rsid w:val="6F3E7499"/>
    <w:rsid w:val="6F4A17D0"/>
    <w:rsid w:val="6F5CABF7"/>
    <w:rsid w:val="6F5F2408"/>
    <w:rsid w:val="6F5F4457"/>
    <w:rsid w:val="6F83A37D"/>
    <w:rsid w:val="6FC40507"/>
    <w:rsid w:val="6FC6828E"/>
    <w:rsid w:val="6FD924F5"/>
    <w:rsid w:val="6FDDCDA0"/>
    <w:rsid w:val="6FE50746"/>
    <w:rsid w:val="6FEA4740"/>
    <w:rsid w:val="6FEACD35"/>
    <w:rsid w:val="6FEB508B"/>
    <w:rsid w:val="6FF7A366"/>
    <w:rsid w:val="7019CFEF"/>
    <w:rsid w:val="704AF2EE"/>
    <w:rsid w:val="7064335A"/>
    <w:rsid w:val="706762AA"/>
    <w:rsid w:val="70811BBE"/>
    <w:rsid w:val="70AA651B"/>
    <w:rsid w:val="70BC4A1E"/>
    <w:rsid w:val="70BD6B0B"/>
    <w:rsid w:val="70C19274"/>
    <w:rsid w:val="70CD3767"/>
    <w:rsid w:val="70D192CE"/>
    <w:rsid w:val="70DE9C66"/>
    <w:rsid w:val="71035588"/>
    <w:rsid w:val="7113E1E8"/>
    <w:rsid w:val="7119CDC0"/>
    <w:rsid w:val="714809C3"/>
    <w:rsid w:val="71520FAF"/>
    <w:rsid w:val="715B45BE"/>
    <w:rsid w:val="71848FA5"/>
    <w:rsid w:val="7187E382"/>
    <w:rsid w:val="718EB4B5"/>
    <w:rsid w:val="71A252DE"/>
    <w:rsid w:val="71C73F8D"/>
    <w:rsid w:val="71C97A07"/>
    <w:rsid w:val="71D05890"/>
    <w:rsid w:val="71E34768"/>
    <w:rsid w:val="71F98DDE"/>
    <w:rsid w:val="7219CB94"/>
    <w:rsid w:val="7229FB51"/>
    <w:rsid w:val="723209DC"/>
    <w:rsid w:val="72334974"/>
    <w:rsid w:val="72336553"/>
    <w:rsid w:val="7256C170"/>
    <w:rsid w:val="7265EA7F"/>
    <w:rsid w:val="727521CA"/>
    <w:rsid w:val="7275CBEB"/>
    <w:rsid w:val="727A95BF"/>
    <w:rsid w:val="7281B99F"/>
    <w:rsid w:val="728671C3"/>
    <w:rsid w:val="7289289B"/>
    <w:rsid w:val="728FC855"/>
    <w:rsid w:val="72921ED3"/>
    <w:rsid w:val="72B45659"/>
    <w:rsid w:val="72BB66A0"/>
    <w:rsid w:val="72BF8B82"/>
    <w:rsid w:val="72C8AC15"/>
    <w:rsid w:val="72ED9CC1"/>
    <w:rsid w:val="72F46429"/>
    <w:rsid w:val="7307AA97"/>
    <w:rsid w:val="731127EE"/>
    <w:rsid w:val="7314D868"/>
    <w:rsid w:val="7317CDA0"/>
    <w:rsid w:val="732E12A7"/>
    <w:rsid w:val="734C7F63"/>
    <w:rsid w:val="734E8F71"/>
    <w:rsid w:val="735EAD27"/>
    <w:rsid w:val="7360DA3F"/>
    <w:rsid w:val="7366A05F"/>
    <w:rsid w:val="7376CCC9"/>
    <w:rsid w:val="73784888"/>
    <w:rsid w:val="738B4540"/>
    <w:rsid w:val="7398603F"/>
    <w:rsid w:val="73A7D46A"/>
    <w:rsid w:val="73BBD161"/>
    <w:rsid w:val="73DED5B8"/>
    <w:rsid w:val="73EDEED2"/>
    <w:rsid w:val="73F43425"/>
    <w:rsid w:val="73FEA7D6"/>
    <w:rsid w:val="740B04BB"/>
    <w:rsid w:val="740F2353"/>
    <w:rsid w:val="743504B2"/>
    <w:rsid w:val="74441A8D"/>
    <w:rsid w:val="7489BE85"/>
    <w:rsid w:val="74B677C3"/>
    <w:rsid w:val="74B77E01"/>
    <w:rsid w:val="74C9A165"/>
    <w:rsid w:val="74D1302B"/>
    <w:rsid w:val="74DB0030"/>
    <w:rsid w:val="74E3D450"/>
    <w:rsid w:val="74EF2D42"/>
    <w:rsid w:val="750B305A"/>
    <w:rsid w:val="750D10CB"/>
    <w:rsid w:val="753E0EF3"/>
    <w:rsid w:val="755BF23F"/>
    <w:rsid w:val="75761F62"/>
    <w:rsid w:val="7576C0B2"/>
    <w:rsid w:val="757F778F"/>
    <w:rsid w:val="758DE389"/>
    <w:rsid w:val="75910881"/>
    <w:rsid w:val="7594AED8"/>
    <w:rsid w:val="7598B7F3"/>
    <w:rsid w:val="75A79429"/>
    <w:rsid w:val="75AC1E68"/>
    <w:rsid w:val="75B8F6E1"/>
    <w:rsid w:val="75D13BA0"/>
    <w:rsid w:val="75F41304"/>
    <w:rsid w:val="75F8DC06"/>
    <w:rsid w:val="760460E2"/>
    <w:rsid w:val="760E877F"/>
    <w:rsid w:val="76331F28"/>
    <w:rsid w:val="7633A8E3"/>
    <w:rsid w:val="7637B3DA"/>
    <w:rsid w:val="76408893"/>
    <w:rsid w:val="76496128"/>
    <w:rsid w:val="7649C939"/>
    <w:rsid w:val="766E0B37"/>
    <w:rsid w:val="76711D20"/>
    <w:rsid w:val="768647CD"/>
    <w:rsid w:val="7698294E"/>
    <w:rsid w:val="769E5965"/>
    <w:rsid w:val="76A17A99"/>
    <w:rsid w:val="76A3B9C4"/>
    <w:rsid w:val="76AF9477"/>
    <w:rsid w:val="76D46F0F"/>
    <w:rsid w:val="76D84312"/>
    <w:rsid w:val="76DA4E3C"/>
    <w:rsid w:val="76DD913C"/>
    <w:rsid w:val="76F23E4A"/>
    <w:rsid w:val="76FBE429"/>
    <w:rsid w:val="76FC16DE"/>
    <w:rsid w:val="770886D5"/>
    <w:rsid w:val="772B597D"/>
    <w:rsid w:val="7734A337"/>
    <w:rsid w:val="773C10F6"/>
    <w:rsid w:val="773FEE66"/>
    <w:rsid w:val="774FE1BF"/>
    <w:rsid w:val="7754F6CC"/>
    <w:rsid w:val="775694BA"/>
    <w:rsid w:val="7759AF16"/>
    <w:rsid w:val="7760ADEE"/>
    <w:rsid w:val="7762CCF5"/>
    <w:rsid w:val="77749E04"/>
    <w:rsid w:val="7776E0BD"/>
    <w:rsid w:val="7783267A"/>
    <w:rsid w:val="7783961E"/>
    <w:rsid w:val="77844875"/>
    <w:rsid w:val="779BDC7F"/>
    <w:rsid w:val="77C5697F"/>
    <w:rsid w:val="77E13004"/>
    <w:rsid w:val="77E664E4"/>
    <w:rsid w:val="780D7EC0"/>
    <w:rsid w:val="7828C885"/>
    <w:rsid w:val="78474396"/>
    <w:rsid w:val="7848A637"/>
    <w:rsid w:val="784AC6D5"/>
    <w:rsid w:val="7882C0BA"/>
    <w:rsid w:val="7895C790"/>
    <w:rsid w:val="789A374B"/>
    <w:rsid w:val="78A6268D"/>
    <w:rsid w:val="78B424F1"/>
    <w:rsid w:val="78C1EFC9"/>
    <w:rsid w:val="78D5B3E0"/>
    <w:rsid w:val="78DCD77C"/>
    <w:rsid w:val="78E6AE7B"/>
    <w:rsid w:val="78FFFA7B"/>
    <w:rsid w:val="791E2AB9"/>
    <w:rsid w:val="7925043F"/>
    <w:rsid w:val="795166B5"/>
    <w:rsid w:val="795F3068"/>
    <w:rsid w:val="796F48A3"/>
    <w:rsid w:val="796F4EFD"/>
    <w:rsid w:val="7971F4C8"/>
    <w:rsid w:val="7997715F"/>
    <w:rsid w:val="79A69DA9"/>
    <w:rsid w:val="79C09528"/>
    <w:rsid w:val="79D797E6"/>
    <w:rsid w:val="79E3DD22"/>
    <w:rsid w:val="79EB8164"/>
    <w:rsid w:val="79EC1A2C"/>
    <w:rsid w:val="79F5247E"/>
    <w:rsid w:val="79F59A3F"/>
    <w:rsid w:val="79F8CE42"/>
    <w:rsid w:val="79FC8424"/>
    <w:rsid w:val="7A0ED183"/>
    <w:rsid w:val="7A1B45D3"/>
    <w:rsid w:val="7A1ED19E"/>
    <w:rsid w:val="7A339702"/>
    <w:rsid w:val="7A40721F"/>
    <w:rsid w:val="7A465C9F"/>
    <w:rsid w:val="7A484DA8"/>
    <w:rsid w:val="7A4C7B13"/>
    <w:rsid w:val="7A59F599"/>
    <w:rsid w:val="7A6B60E9"/>
    <w:rsid w:val="7A6B837C"/>
    <w:rsid w:val="7A79A979"/>
    <w:rsid w:val="7AAF3DDB"/>
    <w:rsid w:val="7AB025B2"/>
    <w:rsid w:val="7AB1137C"/>
    <w:rsid w:val="7AB234FF"/>
    <w:rsid w:val="7AB50822"/>
    <w:rsid w:val="7AF055EA"/>
    <w:rsid w:val="7AF51BA0"/>
    <w:rsid w:val="7AF80352"/>
    <w:rsid w:val="7B09A72E"/>
    <w:rsid w:val="7B3A24B5"/>
    <w:rsid w:val="7B40A730"/>
    <w:rsid w:val="7B50432D"/>
    <w:rsid w:val="7B5EA0BD"/>
    <w:rsid w:val="7B6269B9"/>
    <w:rsid w:val="7B689133"/>
    <w:rsid w:val="7B6C8106"/>
    <w:rsid w:val="7B73231E"/>
    <w:rsid w:val="7B769C14"/>
    <w:rsid w:val="7B803F15"/>
    <w:rsid w:val="7B894C55"/>
    <w:rsid w:val="7B8B0B22"/>
    <w:rsid w:val="7B8F7E22"/>
    <w:rsid w:val="7BB2C29C"/>
    <w:rsid w:val="7BBE726C"/>
    <w:rsid w:val="7BC19D21"/>
    <w:rsid w:val="7BC81DEF"/>
    <w:rsid w:val="7BD9D42E"/>
    <w:rsid w:val="7BE06951"/>
    <w:rsid w:val="7BE28CF3"/>
    <w:rsid w:val="7BF1F48E"/>
    <w:rsid w:val="7BF1FE41"/>
    <w:rsid w:val="7BFA6F14"/>
    <w:rsid w:val="7C0882BA"/>
    <w:rsid w:val="7C141134"/>
    <w:rsid w:val="7C16830F"/>
    <w:rsid w:val="7C20C6AE"/>
    <w:rsid w:val="7C3F27B0"/>
    <w:rsid w:val="7C50F7D9"/>
    <w:rsid w:val="7C546519"/>
    <w:rsid w:val="7C572231"/>
    <w:rsid w:val="7C5D6427"/>
    <w:rsid w:val="7C75A7FB"/>
    <w:rsid w:val="7C9E7EFB"/>
    <w:rsid w:val="7CA26FEB"/>
    <w:rsid w:val="7CA95598"/>
    <w:rsid w:val="7CB15779"/>
    <w:rsid w:val="7CD68225"/>
    <w:rsid w:val="7CDCA177"/>
    <w:rsid w:val="7CE1EC06"/>
    <w:rsid w:val="7CF0960D"/>
    <w:rsid w:val="7CFE8C50"/>
    <w:rsid w:val="7D0E8AFE"/>
    <w:rsid w:val="7D1873CD"/>
    <w:rsid w:val="7D1A3353"/>
    <w:rsid w:val="7D22B2C5"/>
    <w:rsid w:val="7D2832DC"/>
    <w:rsid w:val="7D3A06CF"/>
    <w:rsid w:val="7D4240B8"/>
    <w:rsid w:val="7D5C67E6"/>
    <w:rsid w:val="7D6FF3BB"/>
    <w:rsid w:val="7D7DA43A"/>
    <w:rsid w:val="7D864BFD"/>
    <w:rsid w:val="7D90F72E"/>
    <w:rsid w:val="7D921704"/>
    <w:rsid w:val="7DCBAE04"/>
    <w:rsid w:val="7DD87E6D"/>
    <w:rsid w:val="7DE4DE0A"/>
    <w:rsid w:val="7DE95F88"/>
    <w:rsid w:val="7DF32923"/>
    <w:rsid w:val="7DF3B15B"/>
    <w:rsid w:val="7DF9D83D"/>
    <w:rsid w:val="7DFBD030"/>
    <w:rsid w:val="7DFDAA4F"/>
    <w:rsid w:val="7DFFC5F5"/>
    <w:rsid w:val="7E00424F"/>
    <w:rsid w:val="7E10BF96"/>
    <w:rsid w:val="7E188867"/>
    <w:rsid w:val="7E2A0B92"/>
    <w:rsid w:val="7E3766F3"/>
    <w:rsid w:val="7E3CF2C0"/>
    <w:rsid w:val="7E529845"/>
    <w:rsid w:val="7E570665"/>
    <w:rsid w:val="7E59255B"/>
    <w:rsid w:val="7E656423"/>
    <w:rsid w:val="7E66F9EE"/>
    <w:rsid w:val="7E6F0D31"/>
    <w:rsid w:val="7E754DD9"/>
    <w:rsid w:val="7E7A887E"/>
    <w:rsid w:val="7E7DB0E5"/>
    <w:rsid w:val="7E996F10"/>
    <w:rsid w:val="7EA21DDF"/>
    <w:rsid w:val="7EA3A663"/>
    <w:rsid w:val="7EA63B0F"/>
    <w:rsid w:val="7EB2ADF5"/>
    <w:rsid w:val="7EBC0D65"/>
    <w:rsid w:val="7ECDB531"/>
    <w:rsid w:val="7ECE8996"/>
    <w:rsid w:val="7EDBEFFB"/>
    <w:rsid w:val="7EDEBB7C"/>
    <w:rsid w:val="7EEDBBDD"/>
    <w:rsid w:val="7EEF4C53"/>
    <w:rsid w:val="7EF36EE1"/>
    <w:rsid w:val="7EF68FCE"/>
    <w:rsid w:val="7EF6C55F"/>
    <w:rsid w:val="7EFAB260"/>
    <w:rsid w:val="7F06820D"/>
    <w:rsid w:val="7F0A65F2"/>
    <w:rsid w:val="7F11983E"/>
    <w:rsid w:val="7F22F951"/>
    <w:rsid w:val="7F7E6125"/>
    <w:rsid w:val="7F8F2B27"/>
    <w:rsid w:val="7F978589"/>
    <w:rsid w:val="7F98D870"/>
    <w:rsid w:val="7F9A5AAC"/>
    <w:rsid w:val="7FA85802"/>
    <w:rsid w:val="7FAC34D0"/>
    <w:rsid w:val="7FBC0355"/>
    <w:rsid w:val="7FBD6573"/>
    <w:rsid w:val="7FCA2B9E"/>
    <w:rsid w:val="7FD1B183"/>
    <w:rsid w:val="7FD4C7BD"/>
    <w:rsid w:val="7FE49C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4EF8A"/>
  <w15:chartTrackingRefBased/>
  <w15:docId w15:val="{60B0A0DD-BC2F-47B6-8EEE-1436A40F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Theme="minorHAnsi" w:hAnsi="Proxima Nova" w:cs="Times New Roman"/>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14E"/>
    <w:rPr>
      <w:rFonts w:eastAsiaTheme="majorEastAsia" w:cstheme="majorBidi"/>
      <w:color w:val="272727" w:themeColor="text1" w:themeTint="D8"/>
    </w:rPr>
  </w:style>
  <w:style w:type="paragraph" w:styleId="Title">
    <w:name w:val="Title"/>
    <w:basedOn w:val="Normal"/>
    <w:next w:val="Normal"/>
    <w:link w:val="TitleChar"/>
    <w:uiPriority w:val="10"/>
    <w:qFormat/>
    <w:rsid w:val="007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7C314E"/>
    <w:rPr>
      <w:i/>
      <w:iCs/>
      <w:color w:val="404040" w:themeColor="text1" w:themeTint="BF"/>
    </w:rPr>
  </w:style>
  <w:style w:type="paragraph" w:styleId="ListParagraph">
    <w:name w:val="List Paragraph"/>
    <w:basedOn w:val="Normal"/>
    <w:link w:val="ListParagraphChar"/>
    <w:uiPriority w:val="34"/>
    <w:qFormat/>
    <w:rsid w:val="007C314E"/>
    <w:pPr>
      <w:ind w:left="720"/>
      <w:contextualSpacing/>
    </w:pPr>
  </w:style>
  <w:style w:type="character" w:styleId="IntenseEmphasis">
    <w:name w:val="Intense Emphasis"/>
    <w:basedOn w:val="DefaultParagraphFont"/>
    <w:uiPriority w:val="21"/>
    <w:qFormat/>
    <w:rsid w:val="007C314E"/>
    <w:rPr>
      <w:i/>
      <w:iCs/>
      <w:color w:val="0F4761" w:themeColor="accent1" w:themeShade="BF"/>
    </w:rPr>
  </w:style>
  <w:style w:type="paragraph" w:styleId="IntenseQuote">
    <w:name w:val="Intense Quote"/>
    <w:basedOn w:val="Normal"/>
    <w:next w:val="Normal"/>
    <w:link w:val="IntenseQuoteChar"/>
    <w:uiPriority w:val="30"/>
    <w:qFormat/>
    <w:rsid w:val="007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14E"/>
    <w:rPr>
      <w:i/>
      <w:iCs/>
      <w:color w:val="0F4761" w:themeColor="accent1" w:themeShade="BF"/>
    </w:rPr>
  </w:style>
  <w:style w:type="character" w:styleId="IntenseReference">
    <w:name w:val="Intense Reference"/>
    <w:basedOn w:val="DefaultParagraphFont"/>
    <w:uiPriority w:val="32"/>
    <w:qFormat/>
    <w:rsid w:val="007C314E"/>
    <w:rPr>
      <w:b/>
      <w:bCs/>
      <w:smallCaps/>
      <w:color w:val="0F4761" w:themeColor="accent1" w:themeShade="BF"/>
      <w:spacing w:val="5"/>
    </w:rPr>
  </w:style>
  <w:style w:type="paragraph" w:styleId="Header">
    <w:name w:val="header"/>
    <w:basedOn w:val="Normal"/>
    <w:link w:val="HeaderChar"/>
    <w:uiPriority w:val="99"/>
    <w:unhideWhenUsed/>
    <w:rsid w:val="007C3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14E"/>
  </w:style>
  <w:style w:type="paragraph" w:styleId="Footer">
    <w:name w:val="footer"/>
    <w:basedOn w:val="Normal"/>
    <w:link w:val="FooterChar"/>
    <w:uiPriority w:val="99"/>
    <w:unhideWhenUsed/>
    <w:rsid w:val="007C3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14E"/>
  </w:style>
  <w:style w:type="paragraph" w:customStyle="1" w:styleId="StyleParagraph11pt">
    <w:name w:val="Style Paragraph + 11 pt"/>
    <w:basedOn w:val="Normal"/>
    <w:link w:val="StyleParagraph11ptChar"/>
    <w:rsid w:val="00866C86"/>
    <w:pPr>
      <w:spacing w:before="240" w:after="240" w:line="276" w:lineRule="auto"/>
      <w:jc w:val="both"/>
    </w:pPr>
    <w:rPr>
      <w:rFonts w:ascii="Arial" w:eastAsia="Times New Roman" w:hAnsi="Arial"/>
      <w:lang w:eastAsia="en-GB"/>
    </w:rPr>
  </w:style>
  <w:style w:type="paragraph" w:customStyle="1" w:styleId="StyleHeading211ptNotItalicLinespacingMultiple115li">
    <w:name w:val="Style Heading 2 + 11 pt Not Italic Line spacing:  Multiple 1.15 li"/>
    <w:basedOn w:val="Heading2"/>
    <w:rsid w:val="00866C86"/>
    <w:pPr>
      <w:keepLines w:val="0"/>
      <w:spacing w:before="240" w:after="60" w:line="276" w:lineRule="auto"/>
      <w:jc w:val="both"/>
    </w:pPr>
    <w:rPr>
      <w:rFonts w:ascii="Arial" w:eastAsia="Times New Roman" w:hAnsi="Arial" w:cs="Times New Roman"/>
      <w:b/>
      <w:bCs/>
      <w:color w:val="auto"/>
      <w:sz w:val="22"/>
      <w:szCs w:val="20"/>
      <w:lang w:val="x-none" w:eastAsia="x-none"/>
    </w:rPr>
  </w:style>
  <w:style w:type="character" w:customStyle="1" w:styleId="StyleParagraph11ptChar">
    <w:name w:val="Style Paragraph + 11 pt Char"/>
    <w:basedOn w:val="DefaultParagraphFont"/>
    <w:link w:val="StyleParagraph11pt"/>
    <w:rsid w:val="00866C86"/>
    <w:rPr>
      <w:rFonts w:ascii="Arial" w:eastAsia="Times New Roman" w:hAnsi="Arial" w:cs="Times New Roman"/>
      <w:kern w:val="0"/>
      <w:sz w:val="22"/>
      <w:lang w:eastAsia="en-GB"/>
      <w14:ligatures w14:val="none"/>
    </w:rPr>
  </w:style>
  <w:style w:type="character" w:styleId="LineNumber">
    <w:name w:val="line number"/>
    <w:basedOn w:val="DefaultParagraphFont"/>
    <w:semiHidden/>
    <w:rsid w:val="00866C86"/>
    <w:rPr>
      <w:rFonts w:ascii="Arial" w:hAnsi="Arial"/>
      <w:sz w:val="22"/>
    </w:rPr>
  </w:style>
  <w:style w:type="character" w:styleId="CommentReference">
    <w:name w:val="annotation reference"/>
    <w:basedOn w:val="DefaultParagraphFont"/>
    <w:uiPriority w:val="99"/>
    <w:semiHidden/>
    <w:unhideWhenUsed/>
    <w:rsid w:val="002F10A2"/>
    <w:rPr>
      <w:sz w:val="16"/>
      <w:szCs w:val="16"/>
    </w:rPr>
  </w:style>
  <w:style w:type="paragraph" w:styleId="CommentText">
    <w:name w:val="annotation text"/>
    <w:basedOn w:val="Normal"/>
    <w:link w:val="CommentTextChar"/>
    <w:uiPriority w:val="99"/>
    <w:unhideWhenUsed/>
    <w:rsid w:val="002F10A2"/>
    <w:pPr>
      <w:spacing w:line="240" w:lineRule="auto"/>
    </w:pPr>
    <w:rPr>
      <w:sz w:val="20"/>
      <w:szCs w:val="20"/>
    </w:rPr>
  </w:style>
  <w:style w:type="character" w:customStyle="1" w:styleId="CommentTextChar">
    <w:name w:val="Comment Text Char"/>
    <w:basedOn w:val="DefaultParagraphFont"/>
    <w:link w:val="CommentText"/>
    <w:uiPriority w:val="99"/>
    <w:rsid w:val="002F10A2"/>
    <w:rPr>
      <w:sz w:val="20"/>
      <w:szCs w:val="20"/>
    </w:rPr>
  </w:style>
  <w:style w:type="paragraph" w:styleId="CommentSubject">
    <w:name w:val="annotation subject"/>
    <w:basedOn w:val="CommentText"/>
    <w:next w:val="CommentText"/>
    <w:link w:val="CommentSubjectChar"/>
    <w:uiPriority w:val="99"/>
    <w:semiHidden/>
    <w:unhideWhenUsed/>
    <w:rsid w:val="002F10A2"/>
    <w:rPr>
      <w:b/>
      <w:bCs/>
    </w:rPr>
  </w:style>
  <w:style w:type="character" w:customStyle="1" w:styleId="CommentSubjectChar">
    <w:name w:val="Comment Subject Char"/>
    <w:basedOn w:val="CommentTextChar"/>
    <w:link w:val="CommentSubject"/>
    <w:uiPriority w:val="99"/>
    <w:semiHidden/>
    <w:rsid w:val="002F10A2"/>
    <w:rPr>
      <w:b/>
      <w:bCs/>
      <w:sz w:val="20"/>
      <w:szCs w:val="20"/>
    </w:rPr>
  </w:style>
  <w:style w:type="paragraph" w:customStyle="1" w:styleId="Paragraph">
    <w:name w:val="Paragraph"/>
    <w:basedOn w:val="Normal"/>
    <w:link w:val="ParagraphChar"/>
    <w:uiPriority w:val="4"/>
    <w:qFormat/>
    <w:rsid w:val="00D13E99"/>
    <w:pPr>
      <w:spacing w:before="240" w:after="240" w:line="276" w:lineRule="auto"/>
    </w:pPr>
    <w:rPr>
      <w:rFonts w:ascii="Arial" w:eastAsia="Times New Roman" w:hAnsi="Arial"/>
      <w:lang w:eastAsia="en-GB"/>
    </w:rPr>
  </w:style>
  <w:style w:type="character" w:customStyle="1" w:styleId="ParagraphChar">
    <w:name w:val="Paragraph Char"/>
    <w:basedOn w:val="DefaultParagraphFont"/>
    <w:link w:val="Paragraph"/>
    <w:uiPriority w:val="4"/>
    <w:rsid w:val="00D13E99"/>
    <w:rPr>
      <w:rFonts w:ascii="Arial" w:eastAsia="Times New Roman" w:hAnsi="Arial" w:cs="Times New Roman"/>
      <w:kern w:val="0"/>
      <w:lang w:eastAsia="en-GB"/>
      <w14:ligatures w14:val="none"/>
    </w:rPr>
  </w:style>
  <w:style w:type="paragraph" w:styleId="NormalWeb">
    <w:name w:val="Normal (Web)"/>
    <w:basedOn w:val="Normal"/>
    <w:uiPriority w:val="99"/>
    <w:unhideWhenUsed/>
    <w:rsid w:val="00BB1BA1"/>
    <w:pPr>
      <w:spacing w:before="100" w:beforeAutospacing="1" w:after="100" w:afterAutospacing="1" w:line="240" w:lineRule="auto"/>
    </w:pPr>
    <w:rPr>
      <w:rFonts w:ascii="Times New Roman" w:eastAsia="Times New Roman" w:hAnsi="Times New Roman"/>
      <w:lang w:eastAsia="en-GB"/>
    </w:rPr>
  </w:style>
  <w:style w:type="paragraph" w:styleId="EndnoteText">
    <w:name w:val="endnote text"/>
    <w:basedOn w:val="Normal"/>
    <w:link w:val="EndnoteTextChar"/>
    <w:uiPriority w:val="99"/>
    <w:semiHidden/>
    <w:unhideWhenUsed/>
    <w:rsid w:val="003F70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7042"/>
    <w:rPr>
      <w:sz w:val="20"/>
      <w:szCs w:val="20"/>
    </w:rPr>
  </w:style>
  <w:style w:type="character" w:styleId="EndnoteReference">
    <w:name w:val="endnote reference"/>
    <w:basedOn w:val="DefaultParagraphFont"/>
    <w:uiPriority w:val="99"/>
    <w:semiHidden/>
    <w:unhideWhenUsed/>
    <w:rsid w:val="003F7042"/>
    <w:rPr>
      <w:vertAlign w:val="superscript"/>
    </w:rPr>
  </w:style>
  <w:style w:type="paragraph" w:styleId="BodyText">
    <w:name w:val="Body Text"/>
    <w:basedOn w:val="Normal"/>
    <w:link w:val="BodyTextChar"/>
    <w:qFormat/>
    <w:rsid w:val="001A0A2B"/>
    <w:pPr>
      <w:spacing w:after="240" w:line="240" w:lineRule="auto"/>
      <w:jc w:val="both"/>
    </w:pPr>
    <w:rPr>
      <w:rFonts w:ascii="Times New Roman" w:eastAsia="Times New Roman" w:hAnsi="Times New Roman"/>
    </w:rPr>
  </w:style>
  <w:style w:type="character" w:customStyle="1" w:styleId="BodyTextChar">
    <w:name w:val="Body Text Char"/>
    <w:basedOn w:val="DefaultParagraphFont"/>
    <w:link w:val="BodyText"/>
    <w:rsid w:val="001A0A2B"/>
    <w:rPr>
      <w:rFonts w:ascii="Times New Roman" w:eastAsia="Times New Roman" w:hAnsi="Times New Roman" w:cs="Times New Roman"/>
      <w:kern w:val="0"/>
      <w14:ligatures w14:val="none"/>
    </w:rPr>
  </w:style>
  <w:style w:type="character" w:customStyle="1" w:styleId="outlook-search-highlight">
    <w:name w:val="outlook-search-highlight"/>
    <w:basedOn w:val="DefaultParagraphFont"/>
    <w:rsid w:val="001A0A2B"/>
  </w:style>
  <w:style w:type="character" w:customStyle="1" w:styleId="apple-converted-space">
    <w:name w:val="apple-converted-space"/>
    <w:basedOn w:val="DefaultParagraphFont"/>
    <w:rsid w:val="001A0A2B"/>
  </w:style>
  <w:style w:type="paragraph" w:styleId="FootnoteText">
    <w:name w:val="footnote text"/>
    <w:basedOn w:val="Normal"/>
    <w:link w:val="FootnoteTextChar"/>
    <w:uiPriority w:val="99"/>
    <w:semiHidden/>
    <w:unhideWhenUsed/>
    <w:rsid w:val="00BA41D4"/>
    <w:pPr>
      <w:spacing w:after="0" w:line="240" w:lineRule="auto"/>
    </w:pPr>
    <w:rPr>
      <w:rFonts w:ascii="Verdana" w:hAnsi="Verdana"/>
      <w:color w:val="000000" w:themeColor="text1"/>
      <w:sz w:val="20"/>
      <w:szCs w:val="20"/>
    </w:rPr>
  </w:style>
  <w:style w:type="character" w:customStyle="1" w:styleId="FootnoteTextChar">
    <w:name w:val="Footnote Text Char"/>
    <w:basedOn w:val="DefaultParagraphFont"/>
    <w:link w:val="FootnoteText"/>
    <w:uiPriority w:val="99"/>
    <w:semiHidden/>
    <w:rsid w:val="00BA41D4"/>
    <w:rPr>
      <w:rFonts w:ascii="Verdana" w:hAnsi="Verdana"/>
      <w:color w:val="000000" w:themeColor="text1"/>
      <w:kern w:val="0"/>
      <w:sz w:val="20"/>
      <w:szCs w:val="20"/>
      <w14:ligatures w14:val="none"/>
    </w:rPr>
  </w:style>
  <w:style w:type="character" w:styleId="FootnoteReference">
    <w:name w:val="footnote reference"/>
    <w:basedOn w:val="DefaultParagraphFont"/>
    <w:uiPriority w:val="99"/>
    <w:semiHidden/>
    <w:unhideWhenUsed/>
    <w:rsid w:val="00BA41D4"/>
    <w:rPr>
      <w:vertAlign w:val="superscript"/>
    </w:rPr>
  </w:style>
  <w:style w:type="character" w:customStyle="1" w:styleId="ListParagraphChar">
    <w:name w:val="List Paragraph Char"/>
    <w:basedOn w:val="DefaultParagraphFont"/>
    <w:link w:val="ListParagraph"/>
    <w:uiPriority w:val="34"/>
    <w:rsid w:val="00F51842"/>
  </w:style>
  <w:style w:type="character" w:styleId="Mention">
    <w:name w:val="Mention"/>
    <w:basedOn w:val="DefaultParagraphFont"/>
    <w:uiPriority w:val="99"/>
    <w:unhideWhenUsed/>
    <w:rsid w:val="00F51842"/>
    <w:rPr>
      <w:color w:val="2B579A"/>
      <w:shd w:val="clear" w:color="auto" w:fill="E1DFDD"/>
    </w:rPr>
  </w:style>
  <w:style w:type="character" w:styleId="Hyperlink">
    <w:name w:val="Hyperlink"/>
    <w:basedOn w:val="DefaultParagraphFont"/>
    <w:uiPriority w:val="99"/>
    <w:unhideWhenUsed/>
    <w:rsid w:val="00854FBA"/>
    <w:rPr>
      <w:color w:val="467886" w:themeColor="hyperlink"/>
      <w:u w:val="single"/>
    </w:rPr>
  </w:style>
  <w:style w:type="character" w:styleId="UnresolvedMention">
    <w:name w:val="Unresolved Mention"/>
    <w:basedOn w:val="DefaultParagraphFont"/>
    <w:uiPriority w:val="99"/>
    <w:semiHidden/>
    <w:unhideWhenUsed/>
    <w:rsid w:val="00854FBA"/>
    <w:rPr>
      <w:color w:val="605E5C"/>
      <w:shd w:val="clear" w:color="auto" w:fill="E1DFDD"/>
    </w:rPr>
  </w:style>
  <w:style w:type="paragraph" w:styleId="Revision">
    <w:name w:val="Revision"/>
    <w:hidden/>
    <w:uiPriority w:val="99"/>
    <w:semiHidden/>
    <w:rsid w:val="00854FBA"/>
    <w:pPr>
      <w:spacing w:after="0" w:line="240" w:lineRule="auto"/>
    </w:pPr>
  </w:style>
  <w:style w:type="table" w:styleId="TableGrid">
    <w:name w:val="Table Grid"/>
    <w:basedOn w:val="TableNormal"/>
    <w:uiPriority w:val="39"/>
    <w:rsid w:val="00FB5E7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53AB"/>
    <w:pPr>
      <w:autoSpaceDE w:val="0"/>
      <w:autoSpaceDN w:val="0"/>
      <w:adjustRightInd w:val="0"/>
      <w:spacing w:after="0" w:line="240" w:lineRule="auto"/>
    </w:pPr>
    <w:rPr>
      <w:rFonts w:ascii="Times New Roman" w:hAnsi="Times New Roman"/>
      <w:color w:val="000000"/>
    </w:rPr>
  </w:style>
  <w:style w:type="character" w:styleId="Strong">
    <w:name w:val="Strong"/>
    <w:basedOn w:val="DefaultParagraphFont"/>
    <w:uiPriority w:val="22"/>
    <w:qFormat/>
    <w:rsid w:val="005A56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9674">
      <w:bodyDiv w:val="1"/>
      <w:marLeft w:val="0"/>
      <w:marRight w:val="0"/>
      <w:marTop w:val="0"/>
      <w:marBottom w:val="0"/>
      <w:divBdr>
        <w:top w:val="none" w:sz="0" w:space="0" w:color="auto"/>
        <w:left w:val="none" w:sz="0" w:space="0" w:color="auto"/>
        <w:bottom w:val="none" w:sz="0" w:space="0" w:color="auto"/>
        <w:right w:val="none" w:sz="0" w:space="0" w:color="auto"/>
      </w:divBdr>
    </w:div>
    <w:div w:id="216670257">
      <w:bodyDiv w:val="1"/>
      <w:marLeft w:val="0"/>
      <w:marRight w:val="0"/>
      <w:marTop w:val="0"/>
      <w:marBottom w:val="0"/>
      <w:divBdr>
        <w:top w:val="none" w:sz="0" w:space="0" w:color="auto"/>
        <w:left w:val="none" w:sz="0" w:space="0" w:color="auto"/>
        <w:bottom w:val="none" w:sz="0" w:space="0" w:color="auto"/>
        <w:right w:val="none" w:sz="0" w:space="0" w:color="auto"/>
      </w:divBdr>
    </w:div>
    <w:div w:id="276110859">
      <w:bodyDiv w:val="1"/>
      <w:marLeft w:val="0"/>
      <w:marRight w:val="0"/>
      <w:marTop w:val="0"/>
      <w:marBottom w:val="0"/>
      <w:divBdr>
        <w:top w:val="none" w:sz="0" w:space="0" w:color="auto"/>
        <w:left w:val="none" w:sz="0" w:space="0" w:color="auto"/>
        <w:bottom w:val="none" w:sz="0" w:space="0" w:color="auto"/>
        <w:right w:val="none" w:sz="0" w:space="0" w:color="auto"/>
      </w:divBdr>
    </w:div>
    <w:div w:id="323708550">
      <w:bodyDiv w:val="1"/>
      <w:marLeft w:val="0"/>
      <w:marRight w:val="0"/>
      <w:marTop w:val="0"/>
      <w:marBottom w:val="0"/>
      <w:divBdr>
        <w:top w:val="none" w:sz="0" w:space="0" w:color="auto"/>
        <w:left w:val="none" w:sz="0" w:space="0" w:color="auto"/>
        <w:bottom w:val="none" w:sz="0" w:space="0" w:color="auto"/>
        <w:right w:val="none" w:sz="0" w:space="0" w:color="auto"/>
      </w:divBdr>
    </w:div>
    <w:div w:id="368842886">
      <w:bodyDiv w:val="1"/>
      <w:marLeft w:val="0"/>
      <w:marRight w:val="0"/>
      <w:marTop w:val="0"/>
      <w:marBottom w:val="0"/>
      <w:divBdr>
        <w:top w:val="none" w:sz="0" w:space="0" w:color="auto"/>
        <w:left w:val="none" w:sz="0" w:space="0" w:color="auto"/>
        <w:bottom w:val="none" w:sz="0" w:space="0" w:color="auto"/>
        <w:right w:val="none" w:sz="0" w:space="0" w:color="auto"/>
      </w:divBdr>
    </w:div>
    <w:div w:id="556547478">
      <w:bodyDiv w:val="1"/>
      <w:marLeft w:val="0"/>
      <w:marRight w:val="0"/>
      <w:marTop w:val="0"/>
      <w:marBottom w:val="0"/>
      <w:divBdr>
        <w:top w:val="none" w:sz="0" w:space="0" w:color="auto"/>
        <w:left w:val="none" w:sz="0" w:space="0" w:color="auto"/>
        <w:bottom w:val="none" w:sz="0" w:space="0" w:color="auto"/>
        <w:right w:val="none" w:sz="0" w:space="0" w:color="auto"/>
      </w:divBdr>
    </w:div>
    <w:div w:id="934167797">
      <w:bodyDiv w:val="1"/>
      <w:marLeft w:val="0"/>
      <w:marRight w:val="0"/>
      <w:marTop w:val="0"/>
      <w:marBottom w:val="0"/>
      <w:divBdr>
        <w:top w:val="none" w:sz="0" w:space="0" w:color="auto"/>
        <w:left w:val="none" w:sz="0" w:space="0" w:color="auto"/>
        <w:bottom w:val="none" w:sz="0" w:space="0" w:color="auto"/>
        <w:right w:val="none" w:sz="0" w:space="0" w:color="auto"/>
      </w:divBdr>
    </w:div>
    <w:div w:id="937445710">
      <w:bodyDiv w:val="1"/>
      <w:marLeft w:val="0"/>
      <w:marRight w:val="0"/>
      <w:marTop w:val="0"/>
      <w:marBottom w:val="0"/>
      <w:divBdr>
        <w:top w:val="none" w:sz="0" w:space="0" w:color="auto"/>
        <w:left w:val="none" w:sz="0" w:space="0" w:color="auto"/>
        <w:bottom w:val="none" w:sz="0" w:space="0" w:color="auto"/>
        <w:right w:val="none" w:sz="0" w:space="0" w:color="auto"/>
      </w:divBdr>
    </w:div>
    <w:div w:id="1018847611">
      <w:bodyDiv w:val="1"/>
      <w:marLeft w:val="0"/>
      <w:marRight w:val="0"/>
      <w:marTop w:val="0"/>
      <w:marBottom w:val="0"/>
      <w:divBdr>
        <w:top w:val="none" w:sz="0" w:space="0" w:color="auto"/>
        <w:left w:val="none" w:sz="0" w:space="0" w:color="auto"/>
        <w:bottom w:val="none" w:sz="0" w:space="0" w:color="auto"/>
        <w:right w:val="none" w:sz="0" w:space="0" w:color="auto"/>
      </w:divBdr>
    </w:div>
    <w:div w:id="1034118815">
      <w:bodyDiv w:val="1"/>
      <w:marLeft w:val="0"/>
      <w:marRight w:val="0"/>
      <w:marTop w:val="0"/>
      <w:marBottom w:val="0"/>
      <w:divBdr>
        <w:top w:val="none" w:sz="0" w:space="0" w:color="auto"/>
        <w:left w:val="none" w:sz="0" w:space="0" w:color="auto"/>
        <w:bottom w:val="none" w:sz="0" w:space="0" w:color="auto"/>
        <w:right w:val="none" w:sz="0" w:space="0" w:color="auto"/>
      </w:divBdr>
    </w:div>
    <w:div w:id="1045105191">
      <w:bodyDiv w:val="1"/>
      <w:marLeft w:val="0"/>
      <w:marRight w:val="0"/>
      <w:marTop w:val="0"/>
      <w:marBottom w:val="0"/>
      <w:divBdr>
        <w:top w:val="none" w:sz="0" w:space="0" w:color="auto"/>
        <w:left w:val="none" w:sz="0" w:space="0" w:color="auto"/>
        <w:bottom w:val="none" w:sz="0" w:space="0" w:color="auto"/>
        <w:right w:val="none" w:sz="0" w:space="0" w:color="auto"/>
      </w:divBdr>
    </w:div>
    <w:div w:id="1260988664">
      <w:bodyDiv w:val="1"/>
      <w:marLeft w:val="0"/>
      <w:marRight w:val="0"/>
      <w:marTop w:val="0"/>
      <w:marBottom w:val="0"/>
      <w:divBdr>
        <w:top w:val="none" w:sz="0" w:space="0" w:color="auto"/>
        <w:left w:val="none" w:sz="0" w:space="0" w:color="auto"/>
        <w:bottom w:val="none" w:sz="0" w:space="0" w:color="auto"/>
        <w:right w:val="none" w:sz="0" w:space="0" w:color="auto"/>
      </w:divBdr>
    </w:div>
    <w:div w:id="1314873896">
      <w:bodyDiv w:val="1"/>
      <w:marLeft w:val="0"/>
      <w:marRight w:val="0"/>
      <w:marTop w:val="0"/>
      <w:marBottom w:val="0"/>
      <w:divBdr>
        <w:top w:val="none" w:sz="0" w:space="0" w:color="auto"/>
        <w:left w:val="none" w:sz="0" w:space="0" w:color="auto"/>
        <w:bottom w:val="none" w:sz="0" w:space="0" w:color="auto"/>
        <w:right w:val="none" w:sz="0" w:space="0" w:color="auto"/>
      </w:divBdr>
    </w:div>
    <w:div w:id="1407069445">
      <w:bodyDiv w:val="1"/>
      <w:marLeft w:val="0"/>
      <w:marRight w:val="0"/>
      <w:marTop w:val="0"/>
      <w:marBottom w:val="0"/>
      <w:divBdr>
        <w:top w:val="none" w:sz="0" w:space="0" w:color="auto"/>
        <w:left w:val="none" w:sz="0" w:space="0" w:color="auto"/>
        <w:bottom w:val="none" w:sz="0" w:space="0" w:color="auto"/>
        <w:right w:val="none" w:sz="0" w:space="0" w:color="auto"/>
      </w:divBdr>
    </w:div>
    <w:div w:id="1484159805">
      <w:bodyDiv w:val="1"/>
      <w:marLeft w:val="0"/>
      <w:marRight w:val="0"/>
      <w:marTop w:val="0"/>
      <w:marBottom w:val="0"/>
      <w:divBdr>
        <w:top w:val="none" w:sz="0" w:space="0" w:color="auto"/>
        <w:left w:val="none" w:sz="0" w:space="0" w:color="auto"/>
        <w:bottom w:val="none" w:sz="0" w:space="0" w:color="auto"/>
        <w:right w:val="none" w:sz="0" w:space="0" w:color="auto"/>
      </w:divBdr>
      <w:divsChild>
        <w:div w:id="345059106">
          <w:marLeft w:val="0"/>
          <w:marRight w:val="0"/>
          <w:marTop w:val="0"/>
          <w:marBottom w:val="0"/>
          <w:divBdr>
            <w:top w:val="none" w:sz="0" w:space="0" w:color="auto"/>
            <w:left w:val="none" w:sz="0" w:space="0" w:color="auto"/>
            <w:bottom w:val="none" w:sz="0" w:space="0" w:color="auto"/>
            <w:right w:val="none" w:sz="0" w:space="0" w:color="auto"/>
          </w:divBdr>
          <w:divsChild>
            <w:div w:id="1109351174">
              <w:marLeft w:val="0"/>
              <w:marRight w:val="0"/>
              <w:marTop w:val="0"/>
              <w:marBottom w:val="0"/>
              <w:divBdr>
                <w:top w:val="none" w:sz="0" w:space="0" w:color="auto"/>
                <w:left w:val="none" w:sz="0" w:space="0" w:color="auto"/>
                <w:bottom w:val="none" w:sz="0" w:space="0" w:color="auto"/>
                <w:right w:val="none" w:sz="0" w:space="0" w:color="auto"/>
              </w:divBdr>
            </w:div>
            <w:div w:id="1275944932">
              <w:marLeft w:val="0"/>
              <w:marRight w:val="0"/>
              <w:marTop w:val="0"/>
              <w:marBottom w:val="0"/>
              <w:divBdr>
                <w:top w:val="none" w:sz="0" w:space="0" w:color="auto"/>
                <w:left w:val="none" w:sz="0" w:space="0" w:color="auto"/>
                <w:bottom w:val="none" w:sz="0" w:space="0" w:color="auto"/>
                <w:right w:val="none" w:sz="0" w:space="0" w:color="auto"/>
              </w:divBdr>
            </w:div>
            <w:div w:id="1527404472">
              <w:marLeft w:val="0"/>
              <w:marRight w:val="0"/>
              <w:marTop w:val="0"/>
              <w:marBottom w:val="0"/>
              <w:divBdr>
                <w:top w:val="none" w:sz="0" w:space="0" w:color="auto"/>
                <w:left w:val="none" w:sz="0" w:space="0" w:color="auto"/>
                <w:bottom w:val="none" w:sz="0" w:space="0" w:color="auto"/>
                <w:right w:val="none" w:sz="0" w:space="0" w:color="auto"/>
              </w:divBdr>
            </w:div>
          </w:divsChild>
        </w:div>
        <w:div w:id="781457075">
          <w:marLeft w:val="0"/>
          <w:marRight w:val="0"/>
          <w:marTop w:val="0"/>
          <w:marBottom w:val="0"/>
          <w:divBdr>
            <w:top w:val="none" w:sz="0" w:space="0" w:color="auto"/>
            <w:left w:val="none" w:sz="0" w:space="0" w:color="auto"/>
            <w:bottom w:val="none" w:sz="0" w:space="0" w:color="auto"/>
            <w:right w:val="none" w:sz="0" w:space="0" w:color="auto"/>
          </w:divBdr>
          <w:divsChild>
            <w:div w:id="147210552">
              <w:marLeft w:val="-75"/>
              <w:marRight w:val="0"/>
              <w:marTop w:val="30"/>
              <w:marBottom w:val="30"/>
              <w:divBdr>
                <w:top w:val="none" w:sz="0" w:space="0" w:color="auto"/>
                <w:left w:val="none" w:sz="0" w:space="0" w:color="auto"/>
                <w:bottom w:val="none" w:sz="0" w:space="0" w:color="auto"/>
                <w:right w:val="none" w:sz="0" w:space="0" w:color="auto"/>
              </w:divBdr>
              <w:divsChild>
                <w:div w:id="652611511">
                  <w:marLeft w:val="0"/>
                  <w:marRight w:val="0"/>
                  <w:marTop w:val="0"/>
                  <w:marBottom w:val="0"/>
                  <w:divBdr>
                    <w:top w:val="none" w:sz="0" w:space="0" w:color="auto"/>
                    <w:left w:val="none" w:sz="0" w:space="0" w:color="auto"/>
                    <w:bottom w:val="none" w:sz="0" w:space="0" w:color="auto"/>
                    <w:right w:val="none" w:sz="0" w:space="0" w:color="auto"/>
                  </w:divBdr>
                  <w:divsChild>
                    <w:div w:id="536047068">
                      <w:marLeft w:val="0"/>
                      <w:marRight w:val="0"/>
                      <w:marTop w:val="0"/>
                      <w:marBottom w:val="0"/>
                      <w:divBdr>
                        <w:top w:val="none" w:sz="0" w:space="0" w:color="auto"/>
                        <w:left w:val="none" w:sz="0" w:space="0" w:color="auto"/>
                        <w:bottom w:val="none" w:sz="0" w:space="0" w:color="auto"/>
                        <w:right w:val="none" w:sz="0" w:space="0" w:color="auto"/>
                      </w:divBdr>
                    </w:div>
                  </w:divsChild>
                </w:div>
                <w:div w:id="657345740">
                  <w:marLeft w:val="0"/>
                  <w:marRight w:val="0"/>
                  <w:marTop w:val="0"/>
                  <w:marBottom w:val="0"/>
                  <w:divBdr>
                    <w:top w:val="none" w:sz="0" w:space="0" w:color="auto"/>
                    <w:left w:val="none" w:sz="0" w:space="0" w:color="auto"/>
                    <w:bottom w:val="none" w:sz="0" w:space="0" w:color="auto"/>
                    <w:right w:val="none" w:sz="0" w:space="0" w:color="auto"/>
                  </w:divBdr>
                  <w:divsChild>
                    <w:div w:id="731198309">
                      <w:marLeft w:val="0"/>
                      <w:marRight w:val="0"/>
                      <w:marTop w:val="0"/>
                      <w:marBottom w:val="0"/>
                      <w:divBdr>
                        <w:top w:val="none" w:sz="0" w:space="0" w:color="auto"/>
                        <w:left w:val="none" w:sz="0" w:space="0" w:color="auto"/>
                        <w:bottom w:val="none" w:sz="0" w:space="0" w:color="auto"/>
                        <w:right w:val="none" w:sz="0" w:space="0" w:color="auto"/>
                      </w:divBdr>
                    </w:div>
                    <w:div w:id="1003704882">
                      <w:marLeft w:val="0"/>
                      <w:marRight w:val="0"/>
                      <w:marTop w:val="0"/>
                      <w:marBottom w:val="0"/>
                      <w:divBdr>
                        <w:top w:val="none" w:sz="0" w:space="0" w:color="auto"/>
                        <w:left w:val="none" w:sz="0" w:space="0" w:color="auto"/>
                        <w:bottom w:val="none" w:sz="0" w:space="0" w:color="auto"/>
                        <w:right w:val="none" w:sz="0" w:space="0" w:color="auto"/>
                      </w:divBdr>
                    </w:div>
                    <w:div w:id="1628050344">
                      <w:marLeft w:val="0"/>
                      <w:marRight w:val="0"/>
                      <w:marTop w:val="0"/>
                      <w:marBottom w:val="0"/>
                      <w:divBdr>
                        <w:top w:val="none" w:sz="0" w:space="0" w:color="auto"/>
                        <w:left w:val="none" w:sz="0" w:space="0" w:color="auto"/>
                        <w:bottom w:val="none" w:sz="0" w:space="0" w:color="auto"/>
                        <w:right w:val="none" w:sz="0" w:space="0" w:color="auto"/>
                      </w:divBdr>
                    </w:div>
                  </w:divsChild>
                </w:div>
                <w:div w:id="699164919">
                  <w:marLeft w:val="0"/>
                  <w:marRight w:val="0"/>
                  <w:marTop w:val="0"/>
                  <w:marBottom w:val="0"/>
                  <w:divBdr>
                    <w:top w:val="none" w:sz="0" w:space="0" w:color="auto"/>
                    <w:left w:val="none" w:sz="0" w:space="0" w:color="auto"/>
                    <w:bottom w:val="none" w:sz="0" w:space="0" w:color="auto"/>
                    <w:right w:val="none" w:sz="0" w:space="0" w:color="auto"/>
                  </w:divBdr>
                  <w:divsChild>
                    <w:div w:id="1874266687">
                      <w:marLeft w:val="0"/>
                      <w:marRight w:val="0"/>
                      <w:marTop w:val="0"/>
                      <w:marBottom w:val="0"/>
                      <w:divBdr>
                        <w:top w:val="none" w:sz="0" w:space="0" w:color="auto"/>
                        <w:left w:val="none" w:sz="0" w:space="0" w:color="auto"/>
                        <w:bottom w:val="none" w:sz="0" w:space="0" w:color="auto"/>
                        <w:right w:val="none" w:sz="0" w:space="0" w:color="auto"/>
                      </w:divBdr>
                    </w:div>
                  </w:divsChild>
                </w:div>
                <w:div w:id="826090128">
                  <w:marLeft w:val="0"/>
                  <w:marRight w:val="0"/>
                  <w:marTop w:val="0"/>
                  <w:marBottom w:val="0"/>
                  <w:divBdr>
                    <w:top w:val="none" w:sz="0" w:space="0" w:color="auto"/>
                    <w:left w:val="none" w:sz="0" w:space="0" w:color="auto"/>
                    <w:bottom w:val="none" w:sz="0" w:space="0" w:color="auto"/>
                    <w:right w:val="none" w:sz="0" w:space="0" w:color="auto"/>
                  </w:divBdr>
                  <w:divsChild>
                    <w:div w:id="145324906">
                      <w:marLeft w:val="0"/>
                      <w:marRight w:val="0"/>
                      <w:marTop w:val="0"/>
                      <w:marBottom w:val="0"/>
                      <w:divBdr>
                        <w:top w:val="none" w:sz="0" w:space="0" w:color="auto"/>
                        <w:left w:val="none" w:sz="0" w:space="0" w:color="auto"/>
                        <w:bottom w:val="none" w:sz="0" w:space="0" w:color="auto"/>
                        <w:right w:val="none" w:sz="0" w:space="0" w:color="auto"/>
                      </w:divBdr>
                    </w:div>
                  </w:divsChild>
                </w:div>
                <w:div w:id="849756841">
                  <w:marLeft w:val="0"/>
                  <w:marRight w:val="0"/>
                  <w:marTop w:val="0"/>
                  <w:marBottom w:val="0"/>
                  <w:divBdr>
                    <w:top w:val="none" w:sz="0" w:space="0" w:color="auto"/>
                    <w:left w:val="none" w:sz="0" w:space="0" w:color="auto"/>
                    <w:bottom w:val="none" w:sz="0" w:space="0" w:color="auto"/>
                    <w:right w:val="none" w:sz="0" w:space="0" w:color="auto"/>
                  </w:divBdr>
                  <w:divsChild>
                    <w:div w:id="1976569465">
                      <w:marLeft w:val="0"/>
                      <w:marRight w:val="0"/>
                      <w:marTop w:val="0"/>
                      <w:marBottom w:val="0"/>
                      <w:divBdr>
                        <w:top w:val="none" w:sz="0" w:space="0" w:color="auto"/>
                        <w:left w:val="none" w:sz="0" w:space="0" w:color="auto"/>
                        <w:bottom w:val="none" w:sz="0" w:space="0" w:color="auto"/>
                        <w:right w:val="none" w:sz="0" w:space="0" w:color="auto"/>
                      </w:divBdr>
                    </w:div>
                  </w:divsChild>
                </w:div>
                <w:div w:id="970751213">
                  <w:marLeft w:val="0"/>
                  <w:marRight w:val="0"/>
                  <w:marTop w:val="0"/>
                  <w:marBottom w:val="0"/>
                  <w:divBdr>
                    <w:top w:val="none" w:sz="0" w:space="0" w:color="auto"/>
                    <w:left w:val="none" w:sz="0" w:space="0" w:color="auto"/>
                    <w:bottom w:val="none" w:sz="0" w:space="0" w:color="auto"/>
                    <w:right w:val="none" w:sz="0" w:space="0" w:color="auto"/>
                  </w:divBdr>
                  <w:divsChild>
                    <w:div w:id="482352545">
                      <w:marLeft w:val="0"/>
                      <w:marRight w:val="0"/>
                      <w:marTop w:val="0"/>
                      <w:marBottom w:val="0"/>
                      <w:divBdr>
                        <w:top w:val="none" w:sz="0" w:space="0" w:color="auto"/>
                        <w:left w:val="none" w:sz="0" w:space="0" w:color="auto"/>
                        <w:bottom w:val="none" w:sz="0" w:space="0" w:color="auto"/>
                        <w:right w:val="none" w:sz="0" w:space="0" w:color="auto"/>
                      </w:divBdr>
                    </w:div>
                    <w:div w:id="1392655942">
                      <w:marLeft w:val="0"/>
                      <w:marRight w:val="0"/>
                      <w:marTop w:val="0"/>
                      <w:marBottom w:val="0"/>
                      <w:divBdr>
                        <w:top w:val="none" w:sz="0" w:space="0" w:color="auto"/>
                        <w:left w:val="none" w:sz="0" w:space="0" w:color="auto"/>
                        <w:bottom w:val="none" w:sz="0" w:space="0" w:color="auto"/>
                        <w:right w:val="none" w:sz="0" w:space="0" w:color="auto"/>
                      </w:divBdr>
                    </w:div>
                  </w:divsChild>
                </w:div>
                <w:div w:id="1074938497">
                  <w:marLeft w:val="0"/>
                  <w:marRight w:val="0"/>
                  <w:marTop w:val="0"/>
                  <w:marBottom w:val="0"/>
                  <w:divBdr>
                    <w:top w:val="none" w:sz="0" w:space="0" w:color="auto"/>
                    <w:left w:val="none" w:sz="0" w:space="0" w:color="auto"/>
                    <w:bottom w:val="none" w:sz="0" w:space="0" w:color="auto"/>
                    <w:right w:val="none" w:sz="0" w:space="0" w:color="auto"/>
                  </w:divBdr>
                  <w:divsChild>
                    <w:div w:id="789318768">
                      <w:marLeft w:val="0"/>
                      <w:marRight w:val="0"/>
                      <w:marTop w:val="0"/>
                      <w:marBottom w:val="0"/>
                      <w:divBdr>
                        <w:top w:val="none" w:sz="0" w:space="0" w:color="auto"/>
                        <w:left w:val="none" w:sz="0" w:space="0" w:color="auto"/>
                        <w:bottom w:val="none" w:sz="0" w:space="0" w:color="auto"/>
                        <w:right w:val="none" w:sz="0" w:space="0" w:color="auto"/>
                      </w:divBdr>
                    </w:div>
                  </w:divsChild>
                </w:div>
                <w:div w:id="1870953601">
                  <w:marLeft w:val="0"/>
                  <w:marRight w:val="0"/>
                  <w:marTop w:val="0"/>
                  <w:marBottom w:val="0"/>
                  <w:divBdr>
                    <w:top w:val="none" w:sz="0" w:space="0" w:color="auto"/>
                    <w:left w:val="none" w:sz="0" w:space="0" w:color="auto"/>
                    <w:bottom w:val="none" w:sz="0" w:space="0" w:color="auto"/>
                    <w:right w:val="none" w:sz="0" w:space="0" w:color="auto"/>
                  </w:divBdr>
                  <w:divsChild>
                    <w:div w:id="888305038">
                      <w:marLeft w:val="0"/>
                      <w:marRight w:val="0"/>
                      <w:marTop w:val="0"/>
                      <w:marBottom w:val="0"/>
                      <w:divBdr>
                        <w:top w:val="none" w:sz="0" w:space="0" w:color="auto"/>
                        <w:left w:val="none" w:sz="0" w:space="0" w:color="auto"/>
                        <w:bottom w:val="none" w:sz="0" w:space="0" w:color="auto"/>
                        <w:right w:val="none" w:sz="0" w:space="0" w:color="auto"/>
                      </w:divBdr>
                    </w:div>
                  </w:divsChild>
                </w:div>
                <w:div w:id="2031565663">
                  <w:marLeft w:val="0"/>
                  <w:marRight w:val="0"/>
                  <w:marTop w:val="0"/>
                  <w:marBottom w:val="0"/>
                  <w:divBdr>
                    <w:top w:val="none" w:sz="0" w:space="0" w:color="auto"/>
                    <w:left w:val="none" w:sz="0" w:space="0" w:color="auto"/>
                    <w:bottom w:val="none" w:sz="0" w:space="0" w:color="auto"/>
                    <w:right w:val="none" w:sz="0" w:space="0" w:color="auto"/>
                  </w:divBdr>
                  <w:divsChild>
                    <w:div w:id="2014648995">
                      <w:marLeft w:val="0"/>
                      <w:marRight w:val="0"/>
                      <w:marTop w:val="0"/>
                      <w:marBottom w:val="0"/>
                      <w:divBdr>
                        <w:top w:val="none" w:sz="0" w:space="0" w:color="auto"/>
                        <w:left w:val="none" w:sz="0" w:space="0" w:color="auto"/>
                        <w:bottom w:val="none" w:sz="0" w:space="0" w:color="auto"/>
                        <w:right w:val="none" w:sz="0" w:space="0" w:color="auto"/>
                      </w:divBdr>
                    </w:div>
                  </w:divsChild>
                </w:div>
                <w:div w:id="2069523684">
                  <w:marLeft w:val="0"/>
                  <w:marRight w:val="0"/>
                  <w:marTop w:val="0"/>
                  <w:marBottom w:val="0"/>
                  <w:divBdr>
                    <w:top w:val="none" w:sz="0" w:space="0" w:color="auto"/>
                    <w:left w:val="none" w:sz="0" w:space="0" w:color="auto"/>
                    <w:bottom w:val="none" w:sz="0" w:space="0" w:color="auto"/>
                    <w:right w:val="none" w:sz="0" w:space="0" w:color="auto"/>
                  </w:divBdr>
                  <w:divsChild>
                    <w:div w:id="189874682">
                      <w:marLeft w:val="0"/>
                      <w:marRight w:val="0"/>
                      <w:marTop w:val="0"/>
                      <w:marBottom w:val="0"/>
                      <w:divBdr>
                        <w:top w:val="none" w:sz="0" w:space="0" w:color="auto"/>
                        <w:left w:val="none" w:sz="0" w:space="0" w:color="auto"/>
                        <w:bottom w:val="none" w:sz="0" w:space="0" w:color="auto"/>
                        <w:right w:val="none" w:sz="0" w:space="0" w:color="auto"/>
                      </w:divBdr>
                    </w:div>
                    <w:div w:id="373701385">
                      <w:marLeft w:val="0"/>
                      <w:marRight w:val="0"/>
                      <w:marTop w:val="0"/>
                      <w:marBottom w:val="0"/>
                      <w:divBdr>
                        <w:top w:val="none" w:sz="0" w:space="0" w:color="auto"/>
                        <w:left w:val="none" w:sz="0" w:space="0" w:color="auto"/>
                        <w:bottom w:val="none" w:sz="0" w:space="0" w:color="auto"/>
                        <w:right w:val="none" w:sz="0" w:space="0" w:color="auto"/>
                      </w:divBdr>
                    </w:div>
                    <w:div w:id="662851068">
                      <w:marLeft w:val="0"/>
                      <w:marRight w:val="0"/>
                      <w:marTop w:val="0"/>
                      <w:marBottom w:val="0"/>
                      <w:divBdr>
                        <w:top w:val="none" w:sz="0" w:space="0" w:color="auto"/>
                        <w:left w:val="none" w:sz="0" w:space="0" w:color="auto"/>
                        <w:bottom w:val="none" w:sz="0" w:space="0" w:color="auto"/>
                        <w:right w:val="none" w:sz="0" w:space="0" w:color="auto"/>
                      </w:divBdr>
                    </w:div>
                    <w:div w:id="958494945">
                      <w:marLeft w:val="0"/>
                      <w:marRight w:val="0"/>
                      <w:marTop w:val="0"/>
                      <w:marBottom w:val="0"/>
                      <w:divBdr>
                        <w:top w:val="none" w:sz="0" w:space="0" w:color="auto"/>
                        <w:left w:val="none" w:sz="0" w:space="0" w:color="auto"/>
                        <w:bottom w:val="none" w:sz="0" w:space="0" w:color="auto"/>
                        <w:right w:val="none" w:sz="0" w:space="0" w:color="auto"/>
                      </w:divBdr>
                    </w:div>
                    <w:div w:id="1265766211">
                      <w:marLeft w:val="0"/>
                      <w:marRight w:val="0"/>
                      <w:marTop w:val="0"/>
                      <w:marBottom w:val="0"/>
                      <w:divBdr>
                        <w:top w:val="none" w:sz="0" w:space="0" w:color="auto"/>
                        <w:left w:val="none" w:sz="0" w:space="0" w:color="auto"/>
                        <w:bottom w:val="none" w:sz="0" w:space="0" w:color="auto"/>
                        <w:right w:val="none" w:sz="0" w:space="0" w:color="auto"/>
                      </w:divBdr>
                    </w:div>
                    <w:div w:id="1351100380">
                      <w:marLeft w:val="0"/>
                      <w:marRight w:val="0"/>
                      <w:marTop w:val="0"/>
                      <w:marBottom w:val="0"/>
                      <w:divBdr>
                        <w:top w:val="none" w:sz="0" w:space="0" w:color="auto"/>
                        <w:left w:val="none" w:sz="0" w:space="0" w:color="auto"/>
                        <w:bottom w:val="none" w:sz="0" w:space="0" w:color="auto"/>
                        <w:right w:val="none" w:sz="0" w:space="0" w:color="auto"/>
                      </w:divBdr>
                    </w:div>
                    <w:div w:id="13758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71107">
          <w:marLeft w:val="0"/>
          <w:marRight w:val="0"/>
          <w:marTop w:val="0"/>
          <w:marBottom w:val="0"/>
          <w:divBdr>
            <w:top w:val="none" w:sz="0" w:space="0" w:color="auto"/>
            <w:left w:val="none" w:sz="0" w:space="0" w:color="auto"/>
            <w:bottom w:val="none" w:sz="0" w:space="0" w:color="auto"/>
            <w:right w:val="none" w:sz="0" w:space="0" w:color="auto"/>
          </w:divBdr>
          <w:divsChild>
            <w:div w:id="9188621">
              <w:marLeft w:val="0"/>
              <w:marRight w:val="0"/>
              <w:marTop w:val="0"/>
              <w:marBottom w:val="0"/>
              <w:divBdr>
                <w:top w:val="none" w:sz="0" w:space="0" w:color="auto"/>
                <w:left w:val="none" w:sz="0" w:space="0" w:color="auto"/>
                <w:bottom w:val="none" w:sz="0" w:space="0" w:color="auto"/>
                <w:right w:val="none" w:sz="0" w:space="0" w:color="auto"/>
              </w:divBdr>
            </w:div>
            <w:div w:id="34938135">
              <w:marLeft w:val="0"/>
              <w:marRight w:val="0"/>
              <w:marTop w:val="0"/>
              <w:marBottom w:val="0"/>
              <w:divBdr>
                <w:top w:val="none" w:sz="0" w:space="0" w:color="auto"/>
                <w:left w:val="none" w:sz="0" w:space="0" w:color="auto"/>
                <w:bottom w:val="none" w:sz="0" w:space="0" w:color="auto"/>
                <w:right w:val="none" w:sz="0" w:space="0" w:color="auto"/>
              </w:divBdr>
            </w:div>
            <w:div w:id="135493319">
              <w:marLeft w:val="0"/>
              <w:marRight w:val="0"/>
              <w:marTop w:val="0"/>
              <w:marBottom w:val="0"/>
              <w:divBdr>
                <w:top w:val="none" w:sz="0" w:space="0" w:color="auto"/>
                <w:left w:val="none" w:sz="0" w:space="0" w:color="auto"/>
                <w:bottom w:val="none" w:sz="0" w:space="0" w:color="auto"/>
                <w:right w:val="none" w:sz="0" w:space="0" w:color="auto"/>
              </w:divBdr>
            </w:div>
            <w:div w:id="385572851">
              <w:marLeft w:val="0"/>
              <w:marRight w:val="0"/>
              <w:marTop w:val="0"/>
              <w:marBottom w:val="0"/>
              <w:divBdr>
                <w:top w:val="none" w:sz="0" w:space="0" w:color="auto"/>
                <w:left w:val="none" w:sz="0" w:space="0" w:color="auto"/>
                <w:bottom w:val="none" w:sz="0" w:space="0" w:color="auto"/>
                <w:right w:val="none" w:sz="0" w:space="0" w:color="auto"/>
              </w:divBdr>
            </w:div>
            <w:div w:id="866024074">
              <w:marLeft w:val="0"/>
              <w:marRight w:val="0"/>
              <w:marTop w:val="0"/>
              <w:marBottom w:val="0"/>
              <w:divBdr>
                <w:top w:val="none" w:sz="0" w:space="0" w:color="auto"/>
                <w:left w:val="none" w:sz="0" w:space="0" w:color="auto"/>
                <w:bottom w:val="none" w:sz="0" w:space="0" w:color="auto"/>
                <w:right w:val="none" w:sz="0" w:space="0" w:color="auto"/>
              </w:divBdr>
            </w:div>
            <w:div w:id="882714455">
              <w:marLeft w:val="0"/>
              <w:marRight w:val="0"/>
              <w:marTop w:val="0"/>
              <w:marBottom w:val="0"/>
              <w:divBdr>
                <w:top w:val="none" w:sz="0" w:space="0" w:color="auto"/>
                <w:left w:val="none" w:sz="0" w:space="0" w:color="auto"/>
                <w:bottom w:val="none" w:sz="0" w:space="0" w:color="auto"/>
                <w:right w:val="none" w:sz="0" w:space="0" w:color="auto"/>
              </w:divBdr>
            </w:div>
            <w:div w:id="937057892">
              <w:marLeft w:val="0"/>
              <w:marRight w:val="0"/>
              <w:marTop w:val="0"/>
              <w:marBottom w:val="0"/>
              <w:divBdr>
                <w:top w:val="none" w:sz="0" w:space="0" w:color="auto"/>
                <w:left w:val="none" w:sz="0" w:space="0" w:color="auto"/>
                <w:bottom w:val="none" w:sz="0" w:space="0" w:color="auto"/>
                <w:right w:val="none" w:sz="0" w:space="0" w:color="auto"/>
              </w:divBdr>
            </w:div>
            <w:div w:id="975450374">
              <w:marLeft w:val="0"/>
              <w:marRight w:val="0"/>
              <w:marTop w:val="0"/>
              <w:marBottom w:val="0"/>
              <w:divBdr>
                <w:top w:val="none" w:sz="0" w:space="0" w:color="auto"/>
                <w:left w:val="none" w:sz="0" w:space="0" w:color="auto"/>
                <w:bottom w:val="none" w:sz="0" w:space="0" w:color="auto"/>
                <w:right w:val="none" w:sz="0" w:space="0" w:color="auto"/>
              </w:divBdr>
            </w:div>
            <w:div w:id="1249845716">
              <w:marLeft w:val="0"/>
              <w:marRight w:val="0"/>
              <w:marTop w:val="0"/>
              <w:marBottom w:val="0"/>
              <w:divBdr>
                <w:top w:val="none" w:sz="0" w:space="0" w:color="auto"/>
                <w:left w:val="none" w:sz="0" w:space="0" w:color="auto"/>
                <w:bottom w:val="none" w:sz="0" w:space="0" w:color="auto"/>
                <w:right w:val="none" w:sz="0" w:space="0" w:color="auto"/>
              </w:divBdr>
            </w:div>
            <w:div w:id="1372724495">
              <w:marLeft w:val="0"/>
              <w:marRight w:val="0"/>
              <w:marTop w:val="0"/>
              <w:marBottom w:val="0"/>
              <w:divBdr>
                <w:top w:val="none" w:sz="0" w:space="0" w:color="auto"/>
                <w:left w:val="none" w:sz="0" w:space="0" w:color="auto"/>
                <w:bottom w:val="none" w:sz="0" w:space="0" w:color="auto"/>
                <w:right w:val="none" w:sz="0" w:space="0" w:color="auto"/>
              </w:divBdr>
            </w:div>
            <w:div w:id="1620716781">
              <w:marLeft w:val="0"/>
              <w:marRight w:val="0"/>
              <w:marTop w:val="0"/>
              <w:marBottom w:val="0"/>
              <w:divBdr>
                <w:top w:val="none" w:sz="0" w:space="0" w:color="auto"/>
                <w:left w:val="none" w:sz="0" w:space="0" w:color="auto"/>
                <w:bottom w:val="none" w:sz="0" w:space="0" w:color="auto"/>
                <w:right w:val="none" w:sz="0" w:space="0" w:color="auto"/>
              </w:divBdr>
            </w:div>
            <w:div w:id="1889101195">
              <w:marLeft w:val="0"/>
              <w:marRight w:val="0"/>
              <w:marTop w:val="0"/>
              <w:marBottom w:val="0"/>
              <w:divBdr>
                <w:top w:val="none" w:sz="0" w:space="0" w:color="auto"/>
                <w:left w:val="none" w:sz="0" w:space="0" w:color="auto"/>
                <w:bottom w:val="none" w:sz="0" w:space="0" w:color="auto"/>
                <w:right w:val="none" w:sz="0" w:space="0" w:color="auto"/>
              </w:divBdr>
            </w:div>
            <w:div w:id="2074769320">
              <w:marLeft w:val="0"/>
              <w:marRight w:val="0"/>
              <w:marTop w:val="0"/>
              <w:marBottom w:val="0"/>
              <w:divBdr>
                <w:top w:val="none" w:sz="0" w:space="0" w:color="auto"/>
                <w:left w:val="none" w:sz="0" w:space="0" w:color="auto"/>
                <w:bottom w:val="none" w:sz="0" w:space="0" w:color="auto"/>
                <w:right w:val="none" w:sz="0" w:space="0" w:color="auto"/>
              </w:divBdr>
            </w:div>
          </w:divsChild>
        </w:div>
        <w:div w:id="1913008787">
          <w:marLeft w:val="0"/>
          <w:marRight w:val="0"/>
          <w:marTop w:val="0"/>
          <w:marBottom w:val="0"/>
          <w:divBdr>
            <w:top w:val="none" w:sz="0" w:space="0" w:color="auto"/>
            <w:left w:val="none" w:sz="0" w:space="0" w:color="auto"/>
            <w:bottom w:val="none" w:sz="0" w:space="0" w:color="auto"/>
            <w:right w:val="none" w:sz="0" w:space="0" w:color="auto"/>
          </w:divBdr>
        </w:div>
      </w:divsChild>
    </w:div>
    <w:div w:id="1529761467">
      <w:bodyDiv w:val="1"/>
      <w:marLeft w:val="0"/>
      <w:marRight w:val="0"/>
      <w:marTop w:val="0"/>
      <w:marBottom w:val="0"/>
      <w:divBdr>
        <w:top w:val="none" w:sz="0" w:space="0" w:color="auto"/>
        <w:left w:val="none" w:sz="0" w:space="0" w:color="auto"/>
        <w:bottom w:val="none" w:sz="0" w:space="0" w:color="auto"/>
        <w:right w:val="none" w:sz="0" w:space="0" w:color="auto"/>
      </w:divBdr>
    </w:div>
    <w:div w:id="1616907936">
      <w:bodyDiv w:val="1"/>
      <w:marLeft w:val="0"/>
      <w:marRight w:val="0"/>
      <w:marTop w:val="0"/>
      <w:marBottom w:val="0"/>
      <w:divBdr>
        <w:top w:val="none" w:sz="0" w:space="0" w:color="auto"/>
        <w:left w:val="none" w:sz="0" w:space="0" w:color="auto"/>
        <w:bottom w:val="none" w:sz="0" w:space="0" w:color="auto"/>
        <w:right w:val="none" w:sz="0" w:space="0" w:color="auto"/>
      </w:divBdr>
    </w:div>
    <w:div w:id="1787965758">
      <w:bodyDiv w:val="1"/>
      <w:marLeft w:val="0"/>
      <w:marRight w:val="0"/>
      <w:marTop w:val="0"/>
      <w:marBottom w:val="0"/>
      <w:divBdr>
        <w:top w:val="none" w:sz="0" w:space="0" w:color="auto"/>
        <w:left w:val="none" w:sz="0" w:space="0" w:color="auto"/>
        <w:bottom w:val="none" w:sz="0" w:space="0" w:color="auto"/>
        <w:right w:val="none" w:sz="0" w:space="0" w:color="auto"/>
      </w:divBdr>
      <w:divsChild>
        <w:div w:id="172376591">
          <w:marLeft w:val="0"/>
          <w:marRight w:val="0"/>
          <w:marTop w:val="0"/>
          <w:marBottom w:val="0"/>
          <w:divBdr>
            <w:top w:val="none" w:sz="0" w:space="0" w:color="auto"/>
            <w:left w:val="none" w:sz="0" w:space="0" w:color="auto"/>
            <w:bottom w:val="none" w:sz="0" w:space="0" w:color="auto"/>
            <w:right w:val="none" w:sz="0" w:space="0" w:color="auto"/>
          </w:divBdr>
          <w:divsChild>
            <w:div w:id="494882177">
              <w:marLeft w:val="0"/>
              <w:marRight w:val="0"/>
              <w:marTop w:val="0"/>
              <w:marBottom w:val="0"/>
              <w:divBdr>
                <w:top w:val="none" w:sz="0" w:space="0" w:color="auto"/>
                <w:left w:val="none" w:sz="0" w:space="0" w:color="auto"/>
                <w:bottom w:val="none" w:sz="0" w:space="0" w:color="auto"/>
                <w:right w:val="none" w:sz="0" w:space="0" w:color="auto"/>
              </w:divBdr>
            </w:div>
            <w:div w:id="1540627499">
              <w:marLeft w:val="0"/>
              <w:marRight w:val="0"/>
              <w:marTop w:val="0"/>
              <w:marBottom w:val="0"/>
              <w:divBdr>
                <w:top w:val="none" w:sz="0" w:space="0" w:color="auto"/>
                <w:left w:val="none" w:sz="0" w:space="0" w:color="auto"/>
                <w:bottom w:val="none" w:sz="0" w:space="0" w:color="auto"/>
                <w:right w:val="none" w:sz="0" w:space="0" w:color="auto"/>
              </w:divBdr>
            </w:div>
            <w:div w:id="1993943030">
              <w:marLeft w:val="0"/>
              <w:marRight w:val="0"/>
              <w:marTop w:val="0"/>
              <w:marBottom w:val="0"/>
              <w:divBdr>
                <w:top w:val="none" w:sz="0" w:space="0" w:color="auto"/>
                <w:left w:val="none" w:sz="0" w:space="0" w:color="auto"/>
                <w:bottom w:val="none" w:sz="0" w:space="0" w:color="auto"/>
                <w:right w:val="none" w:sz="0" w:space="0" w:color="auto"/>
              </w:divBdr>
            </w:div>
          </w:divsChild>
        </w:div>
        <w:div w:id="657423941">
          <w:marLeft w:val="0"/>
          <w:marRight w:val="0"/>
          <w:marTop w:val="0"/>
          <w:marBottom w:val="0"/>
          <w:divBdr>
            <w:top w:val="none" w:sz="0" w:space="0" w:color="auto"/>
            <w:left w:val="none" w:sz="0" w:space="0" w:color="auto"/>
            <w:bottom w:val="none" w:sz="0" w:space="0" w:color="auto"/>
            <w:right w:val="none" w:sz="0" w:space="0" w:color="auto"/>
          </w:divBdr>
          <w:divsChild>
            <w:div w:id="614605614">
              <w:marLeft w:val="-75"/>
              <w:marRight w:val="0"/>
              <w:marTop w:val="30"/>
              <w:marBottom w:val="30"/>
              <w:divBdr>
                <w:top w:val="none" w:sz="0" w:space="0" w:color="auto"/>
                <w:left w:val="none" w:sz="0" w:space="0" w:color="auto"/>
                <w:bottom w:val="none" w:sz="0" w:space="0" w:color="auto"/>
                <w:right w:val="none" w:sz="0" w:space="0" w:color="auto"/>
              </w:divBdr>
              <w:divsChild>
                <w:div w:id="310252183">
                  <w:marLeft w:val="0"/>
                  <w:marRight w:val="0"/>
                  <w:marTop w:val="0"/>
                  <w:marBottom w:val="0"/>
                  <w:divBdr>
                    <w:top w:val="none" w:sz="0" w:space="0" w:color="auto"/>
                    <w:left w:val="none" w:sz="0" w:space="0" w:color="auto"/>
                    <w:bottom w:val="none" w:sz="0" w:space="0" w:color="auto"/>
                    <w:right w:val="none" w:sz="0" w:space="0" w:color="auto"/>
                  </w:divBdr>
                  <w:divsChild>
                    <w:div w:id="879783342">
                      <w:marLeft w:val="0"/>
                      <w:marRight w:val="0"/>
                      <w:marTop w:val="0"/>
                      <w:marBottom w:val="0"/>
                      <w:divBdr>
                        <w:top w:val="none" w:sz="0" w:space="0" w:color="auto"/>
                        <w:left w:val="none" w:sz="0" w:space="0" w:color="auto"/>
                        <w:bottom w:val="none" w:sz="0" w:space="0" w:color="auto"/>
                        <w:right w:val="none" w:sz="0" w:space="0" w:color="auto"/>
                      </w:divBdr>
                    </w:div>
                    <w:div w:id="1319924594">
                      <w:marLeft w:val="0"/>
                      <w:marRight w:val="0"/>
                      <w:marTop w:val="0"/>
                      <w:marBottom w:val="0"/>
                      <w:divBdr>
                        <w:top w:val="none" w:sz="0" w:space="0" w:color="auto"/>
                        <w:left w:val="none" w:sz="0" w:space="0" w:color="auto"/>
                        <w:bottom w:val="none" w:sz="0" w:space="0" w:color="auto"/>
                        <w:right w:val="none" w:sz="0" w:space="0" w:color="auto"/>
                      </w:divBdr>
                    </w:div>
                  </w:divsChild>
                </w:div>
                <w:div w:id="399906722">
                  <w:marLeft w:val="0"/>
                  <w:marRight w:val="0"/>
                  <w:marTop w:val="0"/>
                  <w:marBottom w:val="0"/>
                  <w:divBdr>
                    <w:top w:val="none" w:sz="0" w:space="0" w:color="auto"/>
                    <w:left w:val="none" w:sz="0" w:space="0" w:color="auto"/>
                    <w:bottom w:val="none" w:sz="0" w:space="0" w:color="auto"/>
                    <w:right w:val="none" w:sz="0" w:space="0" w:color="auto"/>
                  </w:divBdr>
                  <w:divsChild>
                    <w:div w:id="1060792314">
                      <w:marLeft w:val="0"/>
                      <w:marRight w:val="0"/>
                      <w:marTop w:val="0"/>
                      <w:marBottom w:val="0"/>
                      <w:divBdr>
                        <w:top w:val="none" w:sz="0" w:space="0" w:color="auto"/>
                        <w:left w:val="none" w:sz="0" w:space="0" w:color="auto"/>
                        <w:bottom w:val="none" w:sz="0" w:space="0" w:color="auto"/>
                        <w:right w:val="none" w:sz="0" w:space="0" w:color="auto"/>
                      </w:divBdr>
                    </w:div>
                  </w:divsChild>
                </w:div>
                <w:div w:id="563567944">
                  <w:marLeft w:val="0"/>
                  <w:marRight w:val="0"/>
                  <w:marTop w:val="0"/>
                  <w:marBottom w:val="0"/>
                  <w:divBdr>
                    <w:top w:val="none" w:sz="0" w:space="0" w:color="auto"/>
                    <w:left w:val="none" w:sz="0" w:space="0" w:color="auto"/>
                    <w:bottom w:val="none" w:sz="0" w:space="0" w:color="auto"/>
                    <w:right w:val="none" w:sz="0" w:space="0" w:color="auto"/>
                  </w:divBdr>
                  <w:divsChild>
                    <w:div w:id="606423910">
                      <w:marLeft w:val="0"/>
                      <w:marRight w:val="0"/>
                      <w:marTop w:val="0"/>
                      <w:marBottom w:val="0"/>
                      <w:divBdr>
                        <w:top w:val="none" w:sz="0" w:space="0" w:color="auto"/>
                        <w:left w:val="none" w:sz="0" w:space="0" w:color="auto"/>
                        <w:bottom w:val="none" w:sz="0" w:space="0" w:color="auto"/>
                        <w:right w:val="none" w:sz="0" w:space="0" w:color="auto"/>
                      </w:divBdr>
                    </w:div>
                  </w:divsChild>
                </w:div>
                <w:div w:id="594897591">
                  <w:marLeft w:val="0"/>
                  <w:marRight w:val="0"/>
                  <w:marTop w:val="0"/>
                  <w:marBottom w:val="0"/>
                  <w:divBdr>
                    <w:top w:val="none" w:sz="0" w:space="0" w:color="auto"/>
                    <w:left w:val="none" w:sz="0" w:space="0" w:color="auto"/>
                    <w:bottom w:val="none" w:sz="0" w:space="0" w:color="auto"/>
                    <w:right w:val="none" w:sz="0" w:space="0" w:color="auto"/>
                  </w:divBdr>
                  <w:divsChild>
                    <w:div w:id="406416726">
                      <w:marLeft w:val="0"/>
                      <w:marRight w:val="0"/>
                      <w:marTop w:val="0"/>
                      <w:marBottom w:val="0"/>
                      <w:divBdr>
                        <w:top w:val="none" w:sz="0" w:space="0" w:color="auto"/>
                        <w:left w:val="none" w:sz="0" w:space="0" w:color="auto"/>
                        <w:bottom w:val="none" w:sz="0" w:space="0" w:color="auto"/>
                        <w:right w:val="none" w:sz="0" w:space="0" w:color="auto"/>
                      </w:divBdr>
                    </w:div>
                  </w:divsChild>
                </w:div>
                <w:div w:id="1088963847">
                  <w:marLeft w:val="0"/>
                  <w:marRight w:val="0"/>
                  <w:marTop w:val="0"/>
                  <w:marBottom w:val="0"/>
                  <w:divBdr>
                    <w:top w:val="none" w:sz="0" w:space="0" w:color="auto"/>
                    <w:left w:val="none" w:sz="0" w:space="0" w:color="auto"/>
                    <w:bottom w:val="none" w:sz="0" w:space="0" w:color="auto"/>
                    <w:right w:val="none" w:sz="0" w:space="0" w:color="auto"/>
                  </w:divBdr>
                  <w:divsChild>
                    <w:div w:id="500782107">
                      <w:marLeft w:val="0"/>
                      <w:marRight w:val="0"/>
                      <w:marTop w:val="0"/>
                      <w:marBottom w:val="0"/>
                      <w:divBdr>
                        <w:top w:val="none" w:sz="0" w:space="0" w:color="auto"/>
                        <w:left w:val="none" w:sz="0" w:space="0" w:color="auto"/>
                        <w:bottom w:val="none" w:sz="0" w:space="0" w:color="auto"/>
                        <w:right w:val="none" w:sz="0" w:space="0" w:color="auto"/>
                      </w:divBdr>
                    </w:div>
                  </w:divsChild>
                </w:div>
                <w:div w:id="1252663276">
                  <w:marLeft w:val="0"/>
                  <w:marRight w:val="0"/>
                  <w:marTop w:val="0"/>
                  <w:marBottom w:val="0"/>
                  <w:divBdr>
                    <w:top w:val="none" w:sz="0" w:space="0" w:color="auto"/>
                    <w:left w:val="none" w:sz="0" w:space="0" w:color="auto"/>
                    <w:bottom w:val="none" w:sz="0" w:space="0" w:color="auto"/>
                    <w:right w:val="none" w:sz="0" w:space="0" w:color="auto"/>
                  </w:divBdr>
                  <w:divsChild>
                    <w:div w:id="1741824591">
                      <w:marLeft w:val="0"/>
                      <w:marRight w:val="0"/>
                      <w:marTop w:val="0"/>
                      <w:marBottom w:val="0"/>
                      <w:divBdr>
                        <w:top w:val="none" w:sz="0" w:space="0" w:color="auto"/>
                        <w:left w:val="none" w:sz="0" w:space="0" w:color="auto"/>
                        <w:bottom w:val="none" w:sz="0" w:space="0" w:color="auto"/>
                        <w:right w:val="none" w:sz="0" w:space="0" w:color="auto"/>
                      </w:divBdr>
                    </w:div>
                  </w:divsChild>
                </w:div>
                <w:div w:id="1644122372">
                  <w:marLeft w:val="0"/>
                  <w:marRight w:val="0"/>
                  <w:marTop w:val="0"/>
                  <w:marBottom w:val="0"/>
                  <w:divBdr>
                    <w:top w:val="none" w:sz="0" w:space="0" w:color="auto"/>
                    <w:left w:val="none" w:sz="0" w:space="0" w:color="auto"/>
                    <w:bottom w:val="none" w:sz="0" w:space="0" w:color="auto"/>
                    <w:right w:val="none" w:sz="0" w:space="0" w:color="auto"/>
                  </w:divBdr>
                  <w:divsChild>
                    <w:div w:id="86970048">
                      <w:marLeft w:val="0"/>
                      <w:marRight w:val="0"/>
                      <w:marTop w:val="0"/>
                      <w:marBottom w:val="0"/>
                      <w:divBdr>
                        <w:top w:val="none" w:sz="0" w:space="0" w:color="auto"/>
                        <w:left w:val="none" w:sz="0" w:space="0" w:color="auto"/>
                        <w:bottom w:val="none" w:sz="0" w:space="0" w:color="auto"/>
                        <w:right w:val="none" w:sz="0" w:space="0" w:color="auto"/>
                      </w:divBdr>
                    </w:div>
                  </w:divsChild>
                </w:div>
                <w:div w:id="1713143052">
                  <w:marLeft w:val="0"/>
                  <w:marRight w:val="0"/>
                  <w:marTop w:val="0"/>
                  <w:marBottom w:val="0"/>
                  <w:divBdr>
                    <w:top w:val="none" w:sz="0" w:space="0" w:color="auto"/>
                    <w:left w:val="none" w:sz="0" w:space="0" w:color="auto"/>
                    <w:bottom w:val="none" w:sz="0" w:space="0" w:color="auto"/>
                    <w:right w:val="none" w:sz="0" w:space="0" w:color="auto"/>
                  </w:divBdr>
                  <w:divsChild>
                    <w:div w:id="1203398035">
                      <w:marLeft w:val="0"/>
                      <w:marRight w:val="0"/>
                      <w:marTop w:val="0"/>
                      <w:marBottom w:val="0"/>
                      <w:divBdr>
                        <w:top w:val="none" w:sz="0" w:space="0" w:color="auto"/>
                        <w:left w:val="none" w:sz="0" w:space="0" w:color="auto"/>
                        <w:bottom w:val="none" w:sz="0" w:space="0" w:color="auto"/>
                        <w:right w:val="none" w:sz="0" w:space="0" w:color="auto"/>
                      </w:divBdr>
                    </w:div>
                  </w:divsChild>
                </w:div>
                <w:div w:id="1736581350">
                  <w:marLeft w:val="0"/>
                  <w:marRight w:val="0"/>
                  <w:marTop w:val="0"/>
                  <w:marBottom w:val="0"/>
                  <w:divBdr>
                    <w:top w:val="none" w:sz="0" w:space="0" w:color="auto"/>
                    <w:left w:val="none" w:sz="0" w:space="0" w:color="auto"/>
                    <w:bottom w:val="none" w:sz="0" w:space="0" w:color="auto"/>
                    <w:right w:val="none" w:sz="0" w:space="0" w:color="auto"/>
                  </w:divBdr>
                  <w:divsChild>
                    <w:div w:id="1291353626">
                      <w:marLeft w:val="0"/>
                      <w:marRight w:val="0"/>
                      <w:marTop w:val="0"/>
                      <w:marBottom w:val="0"/>
                      <w:divBdr>
                        <w:top w:val="none" w:sz="0" w:space="0" w:color="auto"/>
                        <w:left w:val="none" w:sz="0" w:space="0" w:color="auto"/>
                        <w:bottom w:val="none" w:sz="0" w:space="0" w:color="auto"/>
                        <w:right w:val="none" w:sz="0" w:space="0" w:color="auto"/>
                      </w:divBdr>
                    </w:div>
                    <w:div w:id="1482111929">
                      <w:marLeft w:val="0"/>
                      <w:marRight w:val="0"/>
                      <w:marTop w:val="0"/>
                      <w:marBottom w:val="0"/>
                      <w:divBdr>
                        <w:top w:val="none" w:sz="0" w:space="0" w:color="auto"/>
                        <w:left w:val="none" w:sz="0" w:space="0" w:color="auto"/>
                        <w:bottom w:val="none" w:sz="0" w:space="0" w:color="auto"/>
                        <w:right w:val="none" w:sz="0" w:space="0" w:color="auto"/>
                      </w:divBdr>
                    </w:div>
                    <w:div w:id="1993408754">
                      <w:marLeft w:val="0"/>
                      <w:marRight w:val="0"/>
                      <w:marTop w:val="0"/>
                      <w:marBottom w:val="0"/>
                      <w:divBdr>
                        <w:top w:val="none" w:sz="0" w:space="0" w:color="auto"/>
                        <w:left w:val="none" w:sz="0" w:space="0" w:color="auto"/>
                        <w:bottom w:val="none" w:sz="0" w:space="0" w:color="auto"/>
                        <w:right w:val="none" w:sz="0" w:space="0" w:color="auto"/>
                      </w:divBdr>
                    </w:div>
                  </w:divsChild>
                </w:div>
                <w:div w:id="1873105192">
                  <w:marLeft w:val="0"/>
                  <w:marRight w:val="0"/>
                  <w:marTop w:val="0"/>
                  <w:marBottom w:val="0"/>
                  <w:divBdr>
                    <w:top w:val="none" w:sz="0" w:space="0" w:color="auto"/>
                    <w:left w:val="none" w:sz="0" w:space="0" w:color="auto"/>
                    <w:bottom w:val="none" w:sz="0" w:space="0" w:color="auto"/>
                    <w:right w:val="none" w:sz="0" w:space="0" w:color="auto"/>
                  </w:divBdr>
                  <w:divsChild>
                    <w:div w:id="710885734">
                      <w:marLeft w:val="0"/>
                      <w:marRight w:val="0"/>
                      <w:marTop w:val="0"/>
                      <w:marBottom w:val="0"/>
                      <w:divBdr>
                        <w:top w:val="none" w:sz="0" w:space="0" w:color="auto"/>
                        <w:left w:val="none" w:sz="0" w:space="0" w:color="auto"/>
                        <w:bottom w:val="none" w:sz="0" w:space="0" w:color="auto"/>
                        <w:right w:val="none" w:sz="0" w:space="0" w:color="auto"/>
                      </w:divBdr>
                    </w:div>
                    <w:div w:id="1165321584">
                      <w:marLeft w:val="0"/>
                      <w:marRight w:val="0"/>
                      <w:marTop w:val="0"/>
                      <w:marBottom w:val="0"/>
                      <w:divBdr>
                        <w:top w:val="none" w:sz="0" w:space="0" w:color="auto"/>
                        <w:left w:val="none" w:sz="0" w:space="0" w:color="auto"/>
                        <w:bottom w:val="none" w:sz="0" w:space="0" w:color="auto"/>
                        <w:right w:val="none" w:sz="0" w:space="0" w:color="auto"/>
                      </w:divBdr>
                    </w:div>
                    <w:div w:id="1349138335">
                      <w:marLeft w:val="0"/>
                      <w:marRight w:val="0"/>
                      <w:marTop w:val="0"/>
                      <w:marBottom w:val="0"/>
                      <w:divBdr>
                        <w:top w:val="none" w:sz="0" w:space="0" w:color="auto"/>
                        <w:left w:val="none" w:sz="0" w:space="0" w:color="auto"/>
                        <w:bottom w:val="none" w:sz="0" w:space="0" w:color="auto"/>
                        <w:right w:val="none" w:sz="0" w:space="0" w:color="auto"/>
                      </w:divBdr>
                    </w:div>
                    <w:div w:id="1475949480">
                      <w:marLeft w:val="0"/>
                      <w:marRight w:val="0"/>
                      <w:marTop w:val="0"/>
                      <w:marBottom w:val="0"/>
                      <w:divBdr>
                        <w:top w:val="none" w:sz="0" w:space="0" w:color="auto"/>
                        <w:left w:val="none" w:sz="0" w:space="0" w:color="auto"/>
                        <w:bottom w:val="none" w:sz="0" w:space="0" w:color="auto"/>
                        <w:right w:val="none" w:sz="0" w:space="0" w:color="auto"/>
                      </w:divBdr>
                    </w:div>
                    <w:div w:id="1538274842">
                      <w:marLeft w:val="0"/>
                      <w:marRight w:val="0"/>
                      <w:marTop w:val="0"/>
                      <w:marBottom w:val="0"/>
                      <w:divBdr>
                        <w:top w:val="none" w:sz="0" w:space="0" w:color="auto"/>
                        <w:left w:val="none" w:sz="0" w:space="0" w:color="auto"/>
                        <w:bottom w:val="none" w:sz="0" w:space="0" w:color="auto"/>
                        <w:right w:val="none" w:sz="0" w:space="0" w:color="auto"/>
                      </w:divBdr>
                    </w:div>
                    <w:div w:id="1667051318">
                      <w:marLeft w:val="0"/>
                      <w:marRight w:val="0"/>
                      <w:marTop w:val="0"/>
                      <w:marBottom w:val="0"/>
                      <w:divBdr>
                        <w:top w:val="none" w:sz="0" w:space="0" w:color="auto"/>
                        <w:left w:val="none" w:sz="0" w:space="0" w:color="auto"/>
                        <w:bottom w:val="none" w:sz="0" w:space="0" w:color="auto"/>
                        <w:right w:val="none" w:sz="0" w:space="0" w:color="auto"/>
                      </w:divBdr>
                    </w:div>
                    <w:div w:id="16807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32753">
          <w:marLeft w:val="0"/>
          <w:marRight w:val="0"/>
          <w:marTop w:val="0"/>
          <w:marBottom w:val="0"/>
          <w:divBdr>
            <w:top w:val="none" w:sz="0" w:space="0" w:color="auto"/>
            <w:left w:val="none" w:sz="0" w:space="0" w:color="auto"/>
            <w:bottom w:val="none" w:sz="0" w:space="0" w:color="auto"/>
            <w:right w:val="none" w:sz="0" w:space="0" w:color="auto"/>
          </w:divBdr>
        </w:div>
        <w:div w:id="1490827794">
          <w:marLeft w:val="0"/>
          <w:marRight w:val="0"/>
          <w:marTop w:val="0"/>
          <w:marBottom w:val="0"/>
          <w:divBdr>
            <w:top w:val="none" w:sz="0" w:space="0" w:color="auto"/>
            <w:left w:val="none" w:sz="0" w:space="0" w:color="auto"/>
            <w:bottom w:val="none" w:sz="0" w:space="0" w:color="auto"/>
            <w:right w:val="none" w:sz="0" w:space="0" w:color="auto"/>
          </w:divBdr>
          <w:divsChild>
            <w:div w:id="321086760">
              <w:marLeft w:val="0"/>
              <w:marRight w:val="0"/>
              <w:marTop w:val="0"/>
              <w:marBottom w:val="0"/>
              <w:divBdr>
                <w:top w:val="none" w:sz="0" w:space="0" w:color="auto"/>
                <w:left w:val="none" w:sz="0" w:space="0" w:color="auto"/>
                <w:bottom w:val="none" w:sz="0" w:space="0" w:color="auto"/>
                <w:right w:val="none" w:sz="0" w:space="0" w:color="auto"/>
              </w:divBdr>
            </w:div>
            <w:div w:id="442001503">
              <w:marLeft w:val="0"/>
              <w:marRight w:val="0"/>
              <w:marTop w:val="0"/>
              <w:marBottom w:val="0"/>
              <w:divBdr>
                <w:top w:val="none" w:sz="0" w:space="0" w:color="auto"/>
                <w:left w:val="none" w:sz="0" w:space="0" w:color="auto"/>
                <w:bottom w:val="none" w:sz="0" w:space="0" w:color="auto"/>
                <w:right w:val="none" w:sz="0" w:space="0" w:color="auto"/>
              </w:divBdr>
            </w:div>
            <w:div w:id="547452702">
              <w:marLeft w:val="0"/>
              <w:marRight w:val="0"/>
              <w:marTop w:val="0"/>
              <w:marBottom w:val="0"/>
              <w:divBdr>
                <w:top w:val="none" w:sz="0" w:space="0" w:color="auto"/>
                <w:left w:val="none" w:sz="0" w:space="0" w:color="auto"/>
                <w:bottom w:val="none" w:sz="0" w:space="0" w:color="auto"/>
                <w:right w:val="none" w:sz="0" w:space="0" w:color="auto"/>
              </w:divBdr>
            </w:div>
            <w:div w:id="719087797">
              <w:marLeft w:val="0"/>
              <w:marRight w:val="0"/>
              <w:marTop w:val="0"/>
              <w:marBottom w:val="0"/>
              <w:divBdr>
                <w:top w:val="none" w:sz="0" w:space="0" w:color="auto"/>
                <w:left w:val="none" w:sz="0" w:space="0" w:color="auto"/>
                <w:bottom w:val="none" w:sz="0" w:space="0" w:color="auto"/>
                <w:right w:val="none" w:sz="0" w:space="0" w:color="auto"/>
              </w:divBdr>
            </w:div>
            <w:div w:id="976107323">
              <w:marLeft w:val="0"/>
              <w:marRight w:val="0"/>
              <w:marTop w:val="0"/>
              <w:marBottom w:val="0"/>
              <w:divBdr>
                <w:top w:val="none" w:sz="0" w:space="0" w:color="auto"/>
                <w:left w:val="none" w:sz="0" w:space="0" w:color="auto"/>
                <w:bottom w:val="none" w:sz="0" w:space="0" w:color="auto"/>
                <w:right w:val="none" w:sz="0" w:space="0" w:color="auto"/>
              </w:divBdr>
            </w:div>
            <w:div w:id="1012531903">
              <w:marLeft w:val="0"/>
              <w:marRight w:val="0"/>
              <w:marTop w:val="0"/>
              <w:marBottom w:val="0"/>
              <w:divBdr>
                <w:top w:val="none" w:sz="0" w:space="0" w:color="auto"/>
                <w:left w:val="none" w:sz="0" w:space="0" w:color="auto"/>
                <w:bottom w:val="none" w:sz="0" w:space="0" w:color="auto"/>
                <w:right w:val="none" w:sz="0" w:space="0" w:color="auto"/>
              </w:divBdr>
            </w:div>
            <w:div w:id="1106924303">
              <w:marLeft w:val="0"/>
              <w:marRight w:val="0"/>
              <w:marTop w:val="0"/>
              <w:marBottom w:val="0"/>
              <w:divBdr>
                <w:top w:val="none" w:sz="0" w:space="0" w:color="auto"/>
                <w:left w:val="none" w:sz="0" w:space="0" w:color="auto"/>
                <w:bottom w:val="none" w:sz="0" w:space="0" w:color="auto"/>
                <w:right w:val="none" w:sz="0" w:space="0" w:color="auto"/>
              </w:divBdr>
            </w:div>
            <w:div w:id="1132674772">
              <w:marLeft w:val="0"/>
              <w:marRight w:val="0"/>
              <w:marTop w:val="0"/>
              <w:marBottom w:val="0"/>
              <w:divBdr>
                <w:top w:val="none" w:sz="0" w:space="0" w:color="auto"/>
                <w:left w:val="none" w:sz="0" w:space="0" w:color="auto"/>
                <w:bottom w:val="none" w:sz="0" w:space="0" w:color="auto"/>
                <w:right w:val="none" w:sz="0" w:space="0" w:color="auto"/>
              </w:divBdr>
            </w:div>
            <w:div w:id="1286232226">
              <w:marLeft w:val="0"/>
              <w:marRight w:val="0"/>
              <w:marTop w:val="0"/>
              <w:marBottom w:val="0"/>
              <w:divBdr>
                <w:top w:val="none" w:sz="0" w:space="0" w:color="auto"/>
                <w:left w:val="none" w:sz="0" w:space="0" w:color="auto"/>
                <w:bottom w:val="none" w:sz="0" w:space="0" w:color="auto"/>
                <w:right w:val="none" w:sz="0" w:space="0" w:color="auto"/>
              </w:divBdr>
            </w:div>
            <w:div w:id="1307314742">
              <w:marLeft w:val="0"/>
              <w:marRight w:val="0"/>
              <w:marTop w:val="0"/>
              <w:marBottom w:val="0"/>
              <w:divBdr>
                <w:top w:val="none" w:sz="0" w:space="0" w:color="auto"/>
                <w:left w:val="none" w:sz="0" w:space="0" w:color="auto"/>
                <w:bottom w:val="none" w:sz="0" w:space="0" w:color="auto"/>
                <w:right w:val="none" w:sz="0" w:space="0" w:color="auto"/>
              </w:divBdr>
            </w:div>
            <w:div w:id="1532109806">
              <w:marLeft w:val="0"/>
              <w:marRight w:val="0"/>
              <w:marTop w:val="0"/>
              <w:marBottom w:val="0"/>
              <w:divBdr>
                <w:top w:val="none" w:sz="0" w:space="0" w:color="auto"/>
                <w:left w:val="none" w:sz="0" w:space="0" w:color="auto"/>
                <w:bottom w:val="none" w:sz="0" w:space="0" w:color="auto"/>
                <w:right w:val="none" w:sz="0" w:space="0" w:color="auto"/>
              </w:divBdr>
            </w:div>
            <w:div w:id="1533374245">
              <w:marLeft w:val="0"/>
              <w:marRight w:val="0"/>
              <w:marTop w:val="0"/>
              <w:marBottom w:val="0"/>
              <w:divBdr>
                <w:top w:val="none" w:sz="0" w:space="0" w:color="auto"/>
                <w:left w:val="none" w:sz="0" w:space="0" w:color="auto"/>
                <w:bottom w:val="none" w:sz="0" w:space="0" w:color="auto"/>
                <w:right w:val="none" w:sz="0" w:space="0" w:color="auto"/>
              </w:divBdr>
            </w:div>
            <w:div w:id="18451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5234">
      <w:bodyDiv w:val="1"/>
      <w:marLeft w:val="0"/>
      <w:marRight w:val="0"/>
      <w:marTop w:val="0"/>
      <w:marBottom w:val="0"/>
      <w:divBdr>
        <w:top w:val="none" w:sz="0" w:space="0" w:color="auto"/>
        <w:left w:val="none" w:sz="0" w:space="0" w:color="auto"/>
        <w:bottom w:val="none" w:sz="0" w:space="0" w:color="auto"/>
        <w:right w:val="none" w:sz="0" w:space="0" w:color="auto"/>
      </w:divBdr>
    </w:div>
    <w:div w:id="1845708354">
      <w:bodyDiv w:val="1"/>
      <w:marLeft w:val="0"/>
      <w:marRight w:val="0"/>
      <w:marTop w:val="0"/>
      <w:marBottom w:val="0"/>
      <w:divBdr>
        <w:top w:val="none" w:sz="0" w:space="0" w:color="auto"/>
        <w:left w:val="none" w:sz="0" w:space="0" w:color="auto"/>
        <w:bottom w:val="none" w:sz="0" w:space="0" w:color="auto"/>
        <w:right w:val="none" w:sz="0" w:space="0" w:color="auto"/>
      </w:divBdr>
    </w:div>
    <w:div w:id="1913351834">
      <w:bodyDiv w:val="1"/>
      <w:marLeft w:val="0"/>
      <w:marRight w:val="0"/>
      <w:marTop w:val="0"/>
      <w:marBottom w:val="0"/>
      <w:divBdr>
        <w:top w:val="none" w:sz="0" w:space="0" w:color="auto"/>
        <w:left w:val="none" w:sz="0" w:space="0" w:color="auto"/>
        <w:bottom w:val="none" w:sz="0" w:space="0" w:color="auto"/>
        <w:right w:val="none" w:sz="0" w:space="0" w:color="auto"/>
      </w:divBdr>
    </w:div>
    <w:div w:id="210444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eals@nice.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bloodcancer.org.uk/news/blood-cancer-facts/" TargetMode="External"/><Relationship Id="rId2" Type="http://schemas.openxmlformats.org/officeDocument/2006/relationships/hyperlink" Target="https://view.officeapps.live.com/op/view.aspx?src=https%3A%2F%2Ffiles.digital.nhs.uk%2FDF%2F6C15F5%2FIncidence_reference_table_final.ods&amp;wdOrigin=BROWSELINK" TargetMode="External"/><Relationship Id="rId1" Type="http://schemas.openxmlformats.org/officeDocument/2006/relationships/hyperlink" Target="https://kitemedinfo.com/wp-content/uploads/2025/03/ASH-2024_Wang_ZUMA-2-5-year_Poster_FINAL.pdf" TargetMode="External"/><Relationship Id="rId4" Type="http://schemas.openxmlformats.org/officeDocument/2006/relationships/hyperlink" Target="https://doi.org/10.1111/bjh.1641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CD55FF2-0059-A74C-9331-3BBE0E7DA7E5}">
    <t:Anchor>
      <t:Comment id="812935207"/>
    </t:Anchor>
    <t:History>
      <t:Event id="{78E5FBC4-A382-2B44-9BBA-C3D8235BFB1F}" time="2026-01-15T17:57:59.909Z">
        <t:Attribution userId="S::chloe.green2@gilead.com::cc2b62bb-258f-4d5a-92d6-68d66767290c" userProvider="AD" userName="Chloe Green"/>
        <t:Anchor>
          <t:Comment id="637055646"/>
        </t:Anchor>
        <t:Create/>
      </t:Event>
      <t:Event id="{1BABB93D-4242-144D-A355-64D62C263BBF}" time="2026-01-15T17:57:59.909Z">
        <t:Attribution userId="S::chloe.green2@gilead.com::cc2b62bb-258f-4d5a-92d6-68d66767290c" userProvider="AD" userName="Chloe Green"/>
        <t:Anchor>
          <t:Comment id="637055646"/>
        </t:Anchor>
        <t:Assign userId="S::katie.thomson@gilead.com::616d18cd-a8aa-4ae2-8894-beb3f66c37fb" userProvider="AD" userName="Katie Thomson"/>
      </t:Event>
      <t:Event id="{34036DA5-DD0B-D64E-BF02-7BDCC911F94E}" time="2026-01-15T17:57:59.909Z">
        <t:Attribution userId="S::chloe.green2@gilead.com::cc2b62bb-258f-4d5a-92d6-68d66767290c" userProvider="AD" userName="Chloe Green"/>
        <t:Anchor>
          <t:Comment id="637055646"/>
        </t:Anchor>
        <t:SetTitle title="@Katie Thomson I have included 'older population' as opposed to 'aged' and included the reference here"/>
      </t:Event>
      <t:Event id="{1FD1F38F-DAE2-46C0-ADB8-706CB3501BD3}" time="2026-01-16T16:39:10.821Z">
        <t:Attribution userId="S::katie.thomson@gilead.com::616d18cd-a8aa-4ae2-8894-beb3f66c37fb" userProvider="AD" userName="Katie Thomson"/>
        <t:Progress percentComplete="100"/>
      </t:Event>
      <t:Event id="{F6A887EB-A037-4A11-B0AA-3628E82D1C31}" time="2026-01-20T10:09:27.841Z">
        <t:Attribution userId="S::katie.thomson@gilead.com::616d18cd-a8aa-4ae2-8894-beb3f66c37fb" userProvider="AD" userName="Katie Thom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9346F-8CB7-4475-A1D2-CBCBFD4D4150}">
  <ds:schemaRefs>
    <ds:schemaRef ds:uri="http://schemas.microsoft.com/sharepoint/v3/contenttype/forms"/>
  </ds:schemaRefs>
</ds:datastoreItem>
</file>

<file path=customXml/itemProps2.xml><?xml version="1.0" encoding="utf-8"?>
<ds:datastoreItem xmlns:ds="http://schemas.openxmlformats.org/officeDocument/2006/customXml" ds:itemID="{B5F3C4B0-04C7-4AEB-BA04-5EB22CEA94CE}">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customXml/itemProps3.xml><?xml version="1.0" encoding="utf-8"?>
<ds:datastoreItem xmlns:ds="http://schemas.openxmlformats.org/officeDocument/2006/customXml" ds:itemID="{3DAC1943-F260-4F22-A242-1889A992FA7D}">
  <ds:schemaRefs>
    <ds:schemaRef ds:uri="http://schemas.openxmlformats.org/officeDocument/2006/bibliography"/>
  </ds:schemaRefs>
</ds:datastoreItem>
</file>

<file path=customXml/itemProps4.xml><?xml version="1.0" encoding="utf-8"?>
<ds:datastoreItem xmlns:ds="http://schemas.openxmlformats.org/officeDocument/2006/customXml" ds:itemID="{A6DEB02E-6727-408E-9ACF-FD8C4F6B8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9894</Words>
  <Characters>53628</Characters>
  <Application>Microsoft Office Word</Application>
  <DocSecurity>0</DocSecurity>
  <Lines>924</Lines>
  <Paragraphs>320</Paragraphs>
  <ScaleCrop>false</ScaleCrop>
  <Company/>
  <LinksUpToDate>false</LinksUpToDate>
  <CharactersWithSpaces>63202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Coville</dc:creator>
  <cp:keywords/>
  <cp:lastModifiedBy>David Coombs</cp:lastModifiedBy>
  <cp:revision>8</cp:revision>
  <dcterms:created xsi:type="dcterms:W3CDTF">2026-02-02T07:54:00Z</dcterms:created>
  <dcterms:modified xsi:type="dcterms:W3CDTF">2026-03-23T16:31:00Z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b8c2fe-f1b8-4cbf-a491-3a5f9f26a4d9_Enabled">
    <vt:lpwstr>true</vt:lpwstr>
  </property>
  <property fmtid="{D5CDD505-2E9C-101B-9397-08002B2CF9AE}" pid="3" name="MSIP_Label_10b8c2fe-f1b8-4cbf-a491-3a5f9f26a4d9_SetDate">
    <vt:lpwstr>2025-11-19T12:58:52Z</vt:lpwstr>
  </property>
  <property fmtid="{D5CDD505-2E9C-101B-9397-08002B2CF9AE}" pid="4" name="MSIP_Label_10b8c2fe-f1b8-4cbf-a491-3a5f9f26a4d9_Method">
    <vt:lpwstr>Privileged</vt:lpwstr>
  </property>
  <property fmtid="{D5CDD505-2E9C-101B-9397-08002B2CF9AE}" pid="5" name="MSIP_Label_10b8c2fe-f1b8-4cbf-a491-3a5f9f26a4d9_Name">
    <vt:lpwstr>Privileged and Confidential</vt:lpwstr>
  </property>
  <property fmtid="{D5CDD505-2E9C-101B-9397-08002B2CF9AE}" pid="6" name="MSIP_Label_10b8c2fe-f1b8-4cbf-a491-3a5f9f26a4d9_SiteId">
    <vt:lpwstr>a5a8bcaa-3292-41e6-b735-5e8b21f4dbfd</vt:lpwstr>
  </property>
  <property fmtid="{D5CDD505-2E9C-101B-9397-08002B2CF9AE}" pid="7" name="MSIP_Label_10b8c2fe-f1b8-4cbf-a491-3a5f9f26a4d9_ActionId">
    <vt:lpwstr>5b7ae7db-4bcb-4be7-b8b3-db9055b3252f</vt:lpwstr>
  </property>
  <property fmtid="{D5CDD505-2E9C-101B-9397-08002B2CF9AE}" pid="8" name="MSIP_Label_10b8c2fe-f1b8-4cbf-a491-3a5f9f26a4d9_ContentBits">
    <vt:lpwstr>0</vt:lpwstr>
  </property>
  <property fmtid="{D5CDD505-2E9C-101B-9397-08002B2CF9AE}" pid="9" name="MSIP_Label_10b8c2fe-f1b8-4cbf-a491-3a5f9f26a4d9_Tag">
    <vt:lpwstr>10, 0, 1, 1</vt:lpwstr>
  </property>
  <property fmtid="{D5CDD505-2E9C-101B-9397-08002B2CF9AE}" pid="10" name="ContentTypeId">
    <vt:lpwstr>0x0101003300E5E64B980D458C754FFE05DEE26D</vt:lpwstr>
  </property>
  <property fmtid="{D5CDD505-2E9C-101B-9397-08002B2CF9AE}" pid="11" name="docLang">
    <vt:lpwstr>en</vt:lpwstr>
  </property>
  <property fmtid="{D5CDD505-2E9C-101B-9397-08002B2CF9AE}" pid="12" name="MSIP_Label_c69d85d5-6d9e-4305-a294-1f636ec0f2d6_Enabled">
    <vt:lpwstr>true</vt:lpwstr>
  </property>
  <property fmtid="{D5CDD505-2E9C-101B-9397-08002B2CF9AE}" pid="13" name="MSIP_Label_c69d85d5-6d9e-4305-a294-1f636ec0f2d6_SetDate">
    <vt:lpwstr>2026-02-02T07:54:06Z</vt:lpwstr>
  </property>
  <property fmtid="{D5CDD505-2E9C-101B-9397-08002B2CF9AE}" pid="14" name="MSIP_Label_c69d85d5-6d9e-4305-a294-1f636ec0f2d6_Method">
    <vt:lpwstr>Standard</vt:lpwstr>
  </property>
  <property fmtid="{D5CDD505-2E9C-101B-9397-08002B2CF9AE}" pid="15" name="MSIP_Label_c69d85d5-6d9e-4305-a294-1f636ec0f2d6_Name">
    <vt:lpwstr>OFFICIAL</vt:lpwstr>
  </property>
  <property fmtid="{D5CDD505-2E9C-101B-9397-08002B2CF9AE}" pid="16" name="MSIP_Label_c69d85d5-6d9e-4305-a294-1f636ec0f2d6_SiteId">
    <vt:lpwstr>6030f479-b342-472d-a5dd-740ff7538de9</vt:lpwstr>
  </property>
  <property fmtid="{D5CDD505-2E9C-101B-9397-08002B2CF9AE}" pid="17" name="MSIP_Label_c69d85d5-6d9e-4305-a294-1f636ec0f2d6_ActionId">
    <vt:lpwstr>30408a83-1162-4658-820d-b353919a905e</vt:lpwstr>
  </property>
  <property fmtid="{D5CDD505-2E9C-101B-9397-08002B2CF9AE}" pid="18" name="MSIP_Label_c69d85d5-6d9e-4305-a294-1f636ec0f2d6_ContentBits">
    <vt:lpwstr>0</vt:lpwstr>
  </property>
  <property fmtid="{D5CDD505-2E9C-101B-9397-08002B2CF9AE}" pid="19" name="MSIP_Label_c69d85d5-6d9e-4305-a294-1f636ec0f2d6_Tag">
    <vt:lpwstr>10, 3, 0, 2</vt:lpwstr>
  </property>
  <property fmtid="{D5CDD505-2E9C-101B-9397-08002B2CF9AE}" pid="20" name="MediaServiceImageTags">
    <vt:lpwstr/>
  </property>
</Properties>
</file>