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AAB8" w14:textId="268C2B12" w:rsidR="00E9588A" w:rsidRDefault="00610597" w:rsidP="00E9588A">
      <w:pPr>
        <w:pStyle w:val="Heading1"/>
      </w:pPr>
      <w:r>
        <w:fldChar w:fldCharType="begin"/>
      </w:r>
      <w:r>
        <w:instrText xml:space="preserve"> INCLUDEPICTURE "https://upload.wikimedia.org/wikipedia/commons/thumb/7/7d/Anthony_Nolan_logo.svg/960px-Anthony_Nolan_logo.svg.png" \* MERGEFORMATINET </w:instrText>
      </w:r>
      <w:r>
        <w:fldChar w:fldCharType="separate"/>
      </w:r>
      <w:r>
        <w:rPr>
          <w:noProof/>
        </w:rPr>
        <w:drawing>
          <wp:inline distT="0" distB="0" distL="0" distR="0" wp14:anchorId="4D897637" wp14:editId="23B642BA">
            <wp:extent cx="1647825" cy="665812"/>
            <wp:effectExtent l="0" t="0" r="0" b="1270"/>
            <wp:docPr id="1323340385"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40385" name="Picture 1" descr="A green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789" cy="683980"/>
                    </a:xfrm>
                    <a:prstGeom prst="rect">
                      <a:avLst/>
                    </a:prstGeom>
                    <a:noFill/>
                    <a:ln>
                      <a:noFill/>
                    </a:ln>
                  </pic:spPr>
                </pic:pic>
              </a:graphicData>
            </a:graphic>
          </wp:inline>
        </w:drawing>
      </w:r>
      <w:r>
        <w:fldChar w:fldCharType="end"/>
      </w:r>
      <w:r>
        <w:t xml:space="preserve">           </w:t>
      </w:r>
      <w:r>
        <w:fldChar w:fldCharType="begin"/>
      </w:r>
      <w:r>
        <w:instrText xml:space="preserve"> INCLUDEPICTURE "https://angor.org.uk/wp-content/uploads/2022/12/BCUK_Logo_RGB_Alternative_Red_POS_1000px_1_1000x.webp" \* MERGEFORMATINET </w:instrText>
      </w:r>
      <w:r>
        <w:fldChar w:fldCharType="separate"/>
      </w:r>
      <w:r>
        <w:rPr>
          <w:noProof/>
        </w:rPr>
        <w:drawing>
          <wp:inline distT="0" distB="0" distL="0" distR="0" wp14:anchorId="797C5445" wp14:editId="31DAB792">
            <wp:extent cx="1402299" cy="720725"/>
            <wp:effectExtent l="0" t="0" r="7620" b="3175"/>
            <wp:docPr id="2003882974" name="Picture 2" descr="Blood Cancer UK - Angor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od Cancer UK - Angor Cymr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628" cy="750190"/>
                    </a:xfrm>
                    <a:prstGeom prst="rect">
                      <a:avLst/>
                    </a:prstGeom>
                    <a:noFill/>
                    <a:ln>
                      <a:noFill/>
                    </a:ln>
                  </pic:spPr>
                </pic:pic>
              </a:graphicData>
            </a:graphic>
          </wp:inline>
        </w:drawing>
      </w:r>
      <w:r>
        <w:fldChar w:fldCharType="end"/>
      </w:r>
      <w:r>
        <w:t xml:space="preserve">    </w:t>
      </w:r>
      <w:r>
        <w:fldChar w:fldCharType="begin"/>
      </w:r>
      <w:r>
        <w:instrText xml:space="preserve"> INCLUDEPICTURE "https://lymphoma-action.org.uk/themes/custom/lymphoma/assets/images/logo.svg" \* MERGEFORMATINET </w:instrText>
      </w:r>
      <w:r>
        <w:fldChar w:fldCharType="separate"/>
      </w:r>
      <w:r>
        <w:fldChar w:fldCharType="end"/>
      </w:r>
      <w:r w:rsidR="00A50DC2">
        <w:rPr>
          <w:noProof/>
        </w:rPr>
        <w:drawing>
          <wp:inline distT="0" distB="0" distL="0" distR="0" wp14:anchorId="6A5D1319" wp14:editId="3785D12B">
            <wp:extent cx="1466850" cy="734132"/>
            <wp:effectExtent l="0" t="0" r="0" b="0"/>
            <wp:docPr id="77161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10138" name="Picture 7716101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435" cy="734925"/>
                    </a:xfrm>
                    <a:prstGeom prst="rect">
                      <a:avLst/>
                    </a:prstGeom>
                  </pic:spPr>
                </pic:pic>
              </a:graphicData>
            </a:graphic>
          </wp:inline>
        </w:drawing>
      </w:r>
      <w:r w:rsidR="00365B0A">
        <w:br/>
      </w:r>
    </w:p>
    <w:p w14:paraId="50B139B2" w14:textId="52A92695" w:rsidR="00E9588A" w:rsidRDefault="00771308" w:rsidP="00E9588A">
      <w:pPr>
        <w:pStyle w:val="Paragraph"/>
        <w:numPr>
          <w:ilvl w:val="0"/>
          <w:numId w:val="0"/>
        </w:numPr>
        <w:spacing w:before="0" w:after="0" w:line="360" w:lineRule="auto"/>
      </w:pPr>
      <w:r>
        <w:t>Tuesday 20 January 2026</w:t>
      </w:r>
    </w:p>
    <w:p w14:paraId="12693535" w14:textId="0626DDDF" w:rsidR="00E9588A" w:rsidRDefault="00771308" w:rsidP="00E9588A">
      <w:pPr>
        <w:pStyle w:val="Paragraph"/>
        <w:numPr>
          <w:ilvl w:val="0"/>
          <w:numId w:val="0"/>
        </w:numPr>
        <w:spacing w:before="0" w:after="0" w:line="360" w:lineRule="auto"/>
      </w:pPr>
      <w:r>
        <w:br/>
      </w:r>
      <w:r w:rsidR="00FF1182">
        <w:t>D</w:t>
      </w:r>
      <w:r w:rsidR="00732472">
        <w:t xml:space="preserve">r </w:t>
      </w:r>
      <w:r w:rsidR="008E5264">
        <w:t>Mark Chakravarty</w:t>
      </w:r>
    </w:p>
    <w:p w14:paraId="692AEAD3" w14:textId="5E14B636" w:rsidR="00E9588A" w:rsidRDefault="00986F24" w:rsidP="00A50DC2">
      <w:pPr>
        <w:spacing w:line="276" w:lineRule="auto"/>
        <w:rPr>
          <w:rFonts w:ascii="Arial" w:hAnsi="Arial" w:cs="Arial"/>
        </w:rPr>
      </w:pPr>
      <w:r w:rsidRPr="00986F24">
        <w:rPr>
          <w:rFonts w:ascii="Arial" w:hAnsi="Arial" w:cs="Arial"/>
        </w:rPr>
        <w:t>Lead Non-executive Director NICE Appeals – Technology Appraisals and Highly Specialised Technologies</w:t>
      </w:r>
    </w:p>
    <w:p w14:paraId="605EE4BE" w14:textId="77777777" w:rsidR="00A50DC2" w:rsidRDefault="00E9588A" w:rsidP="00A50DC2">
      <w:pPr>
        <w:pStyle w:val="Paragraph"/>
        <w:numPr>
          <w:ilvl w:val="0"/>
          <w:numId w:val="0"/>
        </w:numPr>
        <w:spacing w:before="0" w:after="0"/>
      </w:pPr>
      <w:r>
        <w:t>National Institute for Health and C</w:t>
      </w:r>
      <w:r w:rsidR="00DA6179">
        <w:t>are</w:t>
      </w:r>
      <w:r>
        <w:t xml:space="preserve"> Excellence</w:t>
      </w:r>
    </w:p>
    <w:p w14:paraId="6C571C43" w14:textId="2CD0C694" w:rsidR="00E9588A" w:rsidRDefault="00FB1BAF" w:rsidP="00A50DC2">
      <w:pPr>
        <w:pStyle w:val="Paragraph"/>
        <w:numPr>
          <w:ilvl w:val="0"/>
          <w:numId w:val="0"/>
        </w:numPr>
        <w:spacing w:before="0" w:after="0"/>
      </w:pPr>
      <w:r>
        <w:t>2</w:t>
      </w:r>
      <w:r w:rsidRPr="00FB1BAF">
        <w:rPr>
          <w:vertAlign w:val="superscript"/>
        </w:rPr>
        <w:t>nd</w:t>
      </w:r>
      <w:r>
        <w:t xml:space="preserve"> Floor</w:t>
      </w:r>
    </w:p>
    <w:p w14:paraId="64E41E0A" w14:textId="77777777" w:rsidR="00FB1BAF" w:rsidRDefault="00FB1BAF" w:rsidP="00A50DC2">
      <w:pPr>
        <w:pStyle w:val="Paragraph"/>
        <w:numPr>
          <w:ilvl w:val="0"/>
          <w:numId w:val="0"/>
        </w:numPr>
        <w:spacing w:before="0" w:after="0"/>
      </w:pPr>
      <w:r>
        <w:t>2 Redman Place</w:t>
      </w:r>
    </w:p>
    <w:p w14:paraId="1E614E76" w14:textId="77777777" w:rsidR="00E9588A" w:rsidRDefault="00E9588A" w:rsidP="00A50DC2">
      <w:pPr>
        <w:pStyle w:val="Paragraph"/>
        <w:numPr>
          <w:ilvl w:val="0"/>
          <w:numId w:val="0"/>
        </w:numPr>
        <w:spacing w:before="0" w:after="0"/>
      </w:pPr>
      <w:r>
        <w:t xml:space="preserve">London </w:t>
      </w:r>
      <w:r w:rsidR="00FB1BAF">
        <w:t>E20 1JQ</w:t>
      </w:r>
    </w:p>
    <w:p w14:paraId="160BBCC4" w14:textId="77777777" w:rsidR="00E9588A" w:rsidRDefault="00E9588A" w:rsidP="00E9588A">
      <w:pPr>
        <w:pStyle w:val="Paragraph"/>
        <w:numPr>
          <w:ilvl w:val="0"/>
          <w:numId w:val="0"/>
        </w:numPr>
        <w:spacing w:before="0" w:after="0" w:line="360" w:lineRule="auto"/>
      </w:pPr>
    </w:p>
    <w:p w14:paraId="5B557202" w14:textId="19B5E3B6" w:rsidR="00E9588A" w:rsidRDefault="00E9588A" w:rsidP="00E9588A">
      <w:pPr>
        <w:pStyle w:val="Paragraph"/>
        <w:numPr>
          <w:ilvl w:val="0"/>
          <w:numId w:val="0"/>
        </w:numPr>
        <w:spacing w:before="0" w:after="0" w:line="360" w:lineRule="auto"/>
      </w:pPr>
      <w:r>
        <w:t xml:space="preserve">Dear </w:t>
      </w:r>
      <w:r w:rsidR="00147742">
        <w:t>D</w:t>
      </w:r>
      <w:r w:rsidR="00732472">
        <w:t xml:space="preserve">r </w:t>
      </w:r>
      <w:r w:rsidR="008E5264">
        <w:t>Chakravarty</w:t>
      </w:r>
      <w:r w:rsidR="0098460E">
        <w:t>,</w:t>
      </w:r>
    </w:p>
    <w:p w14:paraId="7803A983" w14:textId="77777777" w:rsidR="00E9588A" w:rsidRDefault="00E9588A" w:rsidP="00E9588A">
      <w:pPr>
        <w:pStyle w:val="Paragraph"/>
        <w:numPr>
          <w:ilvl w:val="0"/>
          <w:numId w:val="0"/>
        </w:numPr>
        <w:spacing w:before="0" w:after="0" w:line="360" w:lineRule="auto"/>
      </w:pPr>
    </w:p>
    <w:p w14:paraId="5522D963" w14:textId="32A08696" w:rsidR="00E9588A" w:rsidRDefault="00E9588A" w:rsidP="00E9588A">
      <w:pPr>
        <w:pStyle w:val="Paragraph"/>
        <w:numPr>
          <w:ilvl w:val="0"/>
          <w:numId w:val="0"/>
        </w:numPr>
        <w:spacing w:before="0" w:after="0" w:line="360" w:lineRule="auto"/>
        <w:rPr>
          <w:b/>
        </w:rPr>
      </w:pPr>
      <w:r>
        <w:rPr>
          <w:b/>
        </w:rPr>
        <w:t xml:space="preserve">Re: Final Appraisal Determination – </w:t>
      </w:r>
      <w:proofErr w:type="spellStart"/>
      <w:r w:rsidR="00771308" w:rsidRPr="00771308">
        <w:rPr>
          <w:b/>
        </w:rPr>
        <w:t>Brexucabtagene</w:t>
      </w:r>
      <w:proofErr w:type="spellEnd"/>
      <w:r w:rsidR="00771308" w:rsidRPr="00771308">
        <w:rPr>
          <w:b/>
        </w:rPr>
        <w:t xml:space="preserve"> </w:t>
      </w:r>
      <w:proofErr w:type="spellStart"/>
      <w:r w:rsidR="00771308" w:rsidRPr="00771308">
        <w:rPr>
          <w:b/>
        </w:rPr>
        <w:t>autoleucel</w:t>
      </w:r>
      <w:proofErr w:type="spellEnd"/>
      <w:r w:rsidR="00771308" w:rsidRPr="00771308">
        <w:rPr>
          <w:b/>
        </w:rPr>
        <w:t xml:space="preserve"> for treating relapsed or refractory mantle cell lymphoma after 2 or more systemic treatments (review of TA677) [ID6325]</w:t>
      </w:r>
    </w:p>
    <w:p w14:paraId="5828B338" w14:textId="77777777" w:rsidR="00771308" w:rsidRDefault="00771308" w:rsidP="00E9588A">
      <w:pPr>
        <w:pStyle w:val="Paragraph"/>
        <w:numPr>
          <w:ilvl w:val="0"/>
          <w:numId w:val="0"/>
        </w:numPr>
        <w:spacing w:before="0" w:after="0" w:line="360" w:lineRule="auto"/>
        <w:rPr>
          <w:b/>
        </w:rPr>
      </w:pPr>
    </w:p>
    <w:p w14:paraId="5C1F1EFF" w14:textId="6E0B97D1" w:rsidR="00771308" w:rsidRDefault="00771308" w:rsidP="00E9588A">
      <w:pPr>
        <w:pStyle w:val="Paragraph"/>
        <w:numPr>
          <w:ilvl w:val="0"/>
          <w:numId w:val="0"/>
        </w:numPr>
        <w:spacing w:before="0" w:after="0" w:line="360" w:lineRule="auto"/>
      </w:pPr>
      <w:r>
        <w:t xml:space="preserve">The following patient organisations would like to jointly lodge an appeal against the </w:t>
      </w:r>
      <w:r w:rsidRPr="00365B0A">
        <w:t xml:space="preserve">Final Appraisal Determination for the </w:t>
      </w:r>
      <w:r w:rsidR="00357FD9" w:rsidRPr="00365B0A">
        <w:t>above-mentioned</w:t>
      </w:r>
      <w:r w:rsidRPr="00365B0A">
        <w:t xml:space="preserve"> technology appraisal</w:t>
      </w:r>
      <w:r>
        <w:t>:</w:t>
      </w:r>
    </w:p>
    <w:p w14:paraId="157CC45D" w14:textId="7DA5A714" w:rsidR="00771308" w:rsidRDefault="00771308" w:rsidP="00771308">
      <w:pPr>
        <w:pStyle w:val="Paragraph"/>
        <w:numPr>
          <w:ilvl w:val="0"/>
          <w:numId w:val="30"/>
        </w:numPr>
        <w:spacing w:before="0" w:after="0" w:line="360" w:lineRule="auto"/>
      </w:pPr>
      <w:r>
        <w:t>Anthony Nolan</w:t>
      </w:r>
    </w:p>
    <w:p w14:paraId="5B4ED8E9" w14:textId="50943FF2" w:rsidR="00771308" w:rsidRDefault="00771308" w:rsidP="00771308">
      <w:pPr>
        <w:pStyle w:val="Paragraph"/>
        <w:numPr>
          <w:ilvl w:val="0"/>
          <w:numId w:val="30"/>
        </w:numPr>
        <w:spacing w:before="0" w:after="0" w:line="360" w:lineRule="auto"/>
      </w:pPr>
      <w:r>
        <w:t>Blood Cancer UK</w:t>
      </w:r>
    </w:p>
    <w:p w14:paraId="106245A5" w14:textId="64683ECF" w:rsidR="00771308" w:rsidRDefault="00771308" w:rsidP="00771308">
      <w:pPr>
        <w:pStyle w:val="Paragraph"/>
        <w:numPr>
          <w:ilvl w:val="0"/>
          <w:numId w:val="30"/>
        </w:numPr>
        <w:spacing w:before="0" w:after="0" w:line="360" w:lineRule="auto"/>
      </w:pPr>
      <w:r>
        <w:t>Lymphoma Action</w:t>
      </w:r>
      <w:r>
        <w:br/>
      </w:r>
    </w:p>
    <w:p w14:paraId="1F3E8327" w14:textId="0A446BF4" w:rsidR="00771308" w:rsidRDefault="00771308" w:rsidP="00771308">
      <w:pPr>
        <w:pStyle w:val="Paragraph"/>
        <w:numPr>
          <w:ilvl w:val="0"/>
          <w:numId w:val="0"/>
        </w:numPr>
        <w:spacing w:before="0" w:after="0" w:line="360" w:lineRule="auto"/>
        <w:ind w:left="851" w:hanging="851"/>
      </w:pPr>
      <w:r>
        <w:t>This appeal is being made on the following grounds:</w:t>
      </w:r>
    </w:p>
    <w:p w14:paraId="0B42DC7D" w14:textId="77777777" w:rsidR="00771308" w:rsidRDefault="00771308" w:rsidP="00771308">
      <w:pPr>
        <w:pStyle w:val="Numberedlevel3text"/>
        <w:numPr>
          <w:ilvl w:val="0"/>
          <w:numId w:val="33"/>
        </w:numPr>
        <w:spacing w:after="0" w:line="240" w:lineRule="auto"/>
      </w:pPr>
      <w:r w:rsidRPr="00365B0A">
        <w:t>Ground one: In making the assessment that preceded the recommendation, NICE has</w:t>
      </w:r>
      <w:r>
        <w:rPr>
          <w:lang w:val="en-GB"/>
        </w:rPr>
        <w:t xml:space="preserve"> either</w:t>
      </w:r>
      <w:r w:rsidRPr="00365B0A">
        <w:t>:</w:t>
      </w:r>
      <w:r w:rsidRPr="00365B0A">
        <w:tab/>
      </w:r>
    </w:p>
    <w:p w14:paraId="0EEFDD8F" w14:textId="77777777" w:rsidR="00771308" w:rsidRDefault="00771308" w:rsidP="00771308">
      <w:pPr>
        <w:pStyle w:val="Numberedlevel3text"/>
        <w:numPr>
          <w:ilvl w:val="1"/>
          <w:numId w:val="33"/>
        </w:numPr>
        <w:spacing w:after="0" w:line="240" w:lineRule="auto"/>
      </w:pPr>
      <w:r w:rsidRPr="41082EED">
        <w:rPr>
          <w:lang w:val="en-US"/>
        </w:rPr>
        <w:t>failed to act fairly</w:t>
      </w:r>
    </w:p>
    <w:p w14:paraId="166A7478" w14:textId="40C9A225" w:rsidR="00771308" w:rsidRDefault="00771308" w:rsidP="00771308">
      <w:pPr>
        <w:pStyle w:val="Numberedlevel3text"/>
        <w:numPr>
          <w:ilvl w:val="2"/>
          <w:numId w:val="33"/>
        </w:numPr>
        <w:spacing w:after="0" w:line="240" w:lineRule="auto"/>
      </w:pPr>
      <w:r>
        <w:t>Application of the NHS Tariff costs for CAR-T</w:t>
      </w:r>
    </w:p>
    <w:p w14:paraId="156A55E4" w14:textId="642CF464" w:rsidR="00771308" w:rsidRDefault="00771308" w:rsidP="41082EED">
      <w:pPr>
        <w:pStyle w:val="Numberedlevel3text"/>
        <w:numPr>
          <w:ilvl w:val="2"/>
          <w:numId w:val="33"/>
        </w:numPr>
        <w:spacing w:after="0" w:line="240" w:lineRule="auto"/>
        <w:rPr>
          <w:lang w:val="en-US"/>
        </w:rPr>
      </w:pPr>
      <w:r w:rsidRPr="41082EED">
        <w:rPr>
          <w:lang w:val="en-US"/>
        </w:rPr>
        <w:t>Has not followed the Highly Specialised Technology (HST) appraisal route</w:t>
      </w:r>
      <w:r>
        <w:br/>
      </w:r>
    </w:p>
    <w:p w14:paraId="6CF5CBDC" w14:textId="6B10BFA3" w:rsidR="00771308" w:rsidRDefault="00771308" w:rsidP="00771308">
      <w:pPr>
        <w:pStyle w:val="Numberedlevel3text"/>
        <w:numPr>
          <w:ilvl w:val="0"/>
          <w:numId w:val="33"/>
        </w:numPr>
        <w:spacing w:after="0" w:line="240" w:lineRule="auto"/>
      </w:pPr>
      <w:r w:rsidRPr="41082EED">
        <w:rPr>
          <w:lang w:val="en-US"/>
        </w:rPr>
        <w:t>Ground two: The recommendation is unreasonable in the light of the evidence submitted to NICE:</w:t>
      </w:r>
    </w:p>
    <w:p w14:paraId="7D281D9E" w14:textId="2D481899" w:rsidR="00771308" w:rsidRPr="008767C6" w:rsidRDefault="00771308" w:rsidP="00771308">
      <w:pPr>
        <w:pStyle w:val="Numberedlevel3text"/>
        <w:numPr>
          <w:ilvl w:val="1"/>
          <w:numId w:val="33"/>
        </w:numPr>
        <w:spacing w:after="0" w:line="240" w:lineRule="auto"/>
      </w:pPr>
      <w:r w:rsidRPr="41082EED">
        <w:rPr>
          <w:lang w:val="en-US"/>
        </w:rPr>
        <w:lastRenderedPageBreak/>
        <w:t>R</w:t>
      </w:r>
      <w:r w:rsidR="00357FD9" w:rsidRPr="41082EED">
        <w:rPr>
          <w:lang w:val="en-US"/>
        </w:rPr>
        <w:t>ef</w:t>
      </w:r>
      <w:r w:rsidRPr="41082EED">
        <w:rPr>
          <w:lang w:val="en-US"/>
        </w:rPr>
        <w:t>used to consider the long-term patient benefit brexu-cel offers 3rd Line MCL patients</w:t>
      </w:r>
    </w:p>
    <w:p w14:paraId="5204967D" w14:textId="5D648450" w:rsidR="00771308" w:rsidRPr="00771308" w:rsidRDefault="00771308" w:rsidP="41082EED">
      <w:pPr>
        <w:pStyle w:val="Heading2"/>
        <w:rPr>
          <w:i w:val="0"/>
          <w:iCs w:val="0"/>
          <w:lang w:val="en-US"/>
        </w:rPr>
      </w:pPr>
      <w:r w:rsidRPr="41082EED">
        <w:rPr>
          <w:i w:val="0"/>
          <w:iCs w:val="0"/>
          <w:lang w:val="en-US"/>
        </w:rPr>
        <w:t xml:space="preserve">Ground 1a: In making the assessment that preceded the recommendation, NICE </w:t>
      </w:r>
      <w:proofErr w:type="gramStart"/>
      <w:r w:rsidRPr="41082EED">
        <w:rPr>
          <w:i w:val="0"/>
          <w:iCs w:val="0"/>
          <w:lang w:val="en-US"/>
        </w:rPr>
        <w:t>has:</w:t>
      </w:r>
      <w:proofErr w:type="gramEnd"/>
      <w:r w:rsidRPr="41082EED">
        <w:rPr>
          <w:i w:val="0"/>
          <w:iCs w:val="0"/>
          <w:lang w:val="en-US"/>
        </w:rPr>
        <w:t xml:space="preserve"> failed to act fairly </w:t>
      </w:r>
    </w:p>
    <w:p w14:paraId="150E1BDE" w14:textId="01BF8233" w:rsidR="00771308" w:rsidRPr="00365B0A" w:rsidRDefault="00771308" w:rsidP="00771308">
      <w:pPr>
        <w:pStyle w:val="Heading3"/>
      </w:pPr>
      <w:r w:rsidRPr="41082EED">
        <w:rPr>
          <w:lang w:val="en-US"/>
        </w:rPr>
        <w:t>1a.1</w:t>
      </w:r>
      <w:r>
        <w:tab/>
      </w:r>
      <w:r w:rsidRPr="41082EED">
        <w:rPr>
          <w:lang w:val="en-US"/>
        </w:rPr>
        <w:t>The Committee has continued to maintain a lack of transparency regarding the application of the NHS tariff costs for the delivery of CAR T-cell treatments</w:t>
      </w:r>
    </w:p>
    <w:p w14:paraId="363A8873" w14:textId="6CDC2F51" w:rsidR="00771308" w:rsidRDefault="00771308" w:rsidP="00771308">
      <w:pPr>
        <w:pStyle w:val="Paragraph"/>
        <w:numPr>
          <w:ilvl w:val="0"/>
          <w:numId w:val="0"/>
        </w:numPr>
        <w:spacing w:before="0" w:after="0" w:line="360" w:lineRule="auto"/>
        <w:ind w:left="720"/>
      </w:pPr>
      <w:r>
        <w:t>A key issue cited in the Committee Papers (and accompanying slides) concerns the inclusion of the NHSE tariff costs for CAR-T treatments, as part of the cost-effective evaluation of introducing</w:t>
      </w:r>
      <w:r w:rsidRPr="00771308">
        <w:t xml:space="preserve"> </w:t>
      </w:r>
      <w:proofErr w:type="spellStart"/>
      <w:r>
        <w:t>brexu</w:t>
      </w:r>
      <w:proofErr w:type="spellEnd"/>
      <w:r>
        <w:t>-cel into routine commissioning.</w:t>
      </w:r>
      <w:r>
        <w:br/>
      </w:r>
      <w:r>
        <w:br/>
        <w:t>It is appropriate for treatment-related costs in care and services, such as ICU admission, to be reflected in the overall evaluation of a new indication. However, there is a lack of transparency regarding the methodology as to how the inflated calculations for recent years (2024/25 and 2025/26) have been produced.</w:t>
      </w:r>
    </w:p>
    <w:p w14:paraId="3153A34C" w14:textId="77777777" w:rsidR="00771308" w:rsidRDefault="00771308" w:rsidP="00771308">
      <w:pPr>
        <w:pStyle w:val="Paragraph"/>
        <w:numPr>
          <w:ilvl w:val="0"/>
          <w:numId w:val="0"/>
        </w:numPr>
        <w:spacing w:before="0" w:after="0" w:line="360" w:lineRule="auto"/>
        <w:ind w:left="720"/>
      </w:pPr>
    </w:p>
    <w:p w14:paraId="0106E811" w14:textId="645741CA" w:rsidR="00771308" w:rsidRDefault="00771308" w:rsidP="00771308">
      <w:pPr>
        <w:pStyle w:val="Paragraph"/>
        <w:numPr>
          <w:ilvl w:val="0"/>
          <w:numId w:val="0"/>
        </w:numPr>
        <w:spacing w:before="0" w:after="0" w:line="360" w:lineRule="auto"/>
        <w:ind w:left="720"/>
      </w:pPr>
      <w:r>
        <w:t xml:space="preserve">Within the Committee’s proceedings, the consideration of the Tariff Working Group has not been shared with all stakeholders, and only verbal representations were given as to the rationale and specifics of this calculation within committee. </w:t>
      </w:r>
    </w:p>
    <w:p w14:paraId="2FFAC328" w14:textId="77777777" w:rsidR="00771308" w:rsidRDefault="00771308" w:rsidP="00771308">
      <w:pPr>
        <w:pStyle w:val="Paragraph"/>
        <w:numPr>
          <w:ilvl w:val="0"/>
          <w:numId w:val="0"/>
        </w:numPr>
        <w:spacing w:before="0" w:after="0" w:line="360" w:lineRule="auto"/>
        <w:ind w:left="720"/>
      </w:pPr>
    </w:p>
    <w:p w14:paraId="44447073" w14:textId="77777777" w:rsidR="009D30D3" w:rsidRDefault="00771308" w:rsidP="00771308">
      <w:pPr>
        <w:pStyle w:val="Paragraph"/>
        <w:numPr>
          <w:ilvl w:val="0"/>
          <w:numId w:val="0"/>
        </w:numPr>
        <w:spacing w:before="0" w:after="0" w:line="360" w:lineRule="auto"/>
        <w:ind w:left="720"/>
      </w:pPr>
      <w:r>
        <w:t xml:space="preserve">The patient journey for MCL can be a varied one, sometimes presenting as a </w:t>
      </w:r>
      <w:r>
        <w:rPr>
          <w:rStyle w:val="normaltextrun"/>
          <w:rFonts w:cs="Arial"/>
          <w:color w:val="000000"/>
          <w:bdr w:val="none" w:sz="0" w:space="0" w:color="auto" w:frame="1"/>
        </w:rPr>
        <w:t xml:space="preserve">high-grade lymphoma, other times a low-grade lymphoma often relapsing after treatment requiring various treatment regimens. Not all patients will experience treatment-related effects such as </w:t>
      </w:r>
      <w:r>
        <w:t>cytokine release syndrome, and so not all will necessarily require admissions to ICU or extensive diagnostics.</w:t>
      </w:r>
      <w:r w:rsidR="00CA7DBE">
        <w:t xml:space="preserve"> </w:t>
      </w:r>
    </w:p>
    <w:p w14:paraId="1E485CCE" w14:textId="77777777" w:rsidR="009D30D3" w:rsidRDefault="009D30D3" w:rsidP="00771308">
      <w:pPr>
        <w:pStyle w:val="Paragraph"/>
        <w:numPr>
          <w:ilvl w:val="0"/>
          <w:numId w:val="0"/>
        </w:numPr>
        <w:spacing w:before="0" w:after="0" w:line="360" w:lineRule="auto"/>
        <w:ind w:left="720"/>
      </w:pPr>
    </w:p>
    <w:p w14:paraId="1E9B23E3" w14:textId="109AD0C9" w:rsidR="00771308" w:rsidRDefault="00CA7DBE" w:rsidP="00771308">
      <w:pPr>
        <w:pStyle w:val="Paragraph"/>
        <w:numPr>
          <w:ilvl w:val="0"/>
          <w:numId w:val="0"/>
        </w:numPr>
        <w:spacing w:before="0" w:after="0" w:line="360" w:lineRule="auto"/>
        <w:ind w:left="720"/>
      </w:pPr>
      <w:r w:rsidRPr="00CA7DBE">
        <w:t>CAR-T</w:t>
      </w:r>
      <w:r w:rsidR="00606550">
        <w:t xml:space="preserve"> treatment </w:t>
      </w:r>
      <w:r w:rsidRPr="00CA7DBE">
        <w:t xml:space="preserve">has been delivered in England successfully for several years now and, as a result, the infrastructure costs are likely to be lower than predicted. Equally, as roll-out has increased, </w:t>
      </w:r>
      <w:r w:rsidR="00606550">
        <w:t>healthcare professional</w:t>
      </w:r>
      <w:r w:rsidRPr="00CA7DBE">
        <w:t>s will have developed more experience</w:t>
      </w:r>
      <w:r w:rsidR="00606550">
        <w:t>,</w:t>
      </w:r>
      <w:r w:rsidRPr="00CA7DBE">
        <w:t xml:space="preserve"> which means more </w:t>
      </w:r>
      <w:r w:rsidRPr="00CA7DBE">
        <w:lastRenderedPageBreak/>
        <w:t>efficiency-savings and fewer instances of treatment-related side effects (which are often costly).</w:t>
      </w:r>
      <w:r w:rsidR="00771308">
        <w:br/>
      </w:r>
      <w:r w:rsidR="00771308">
        <w:br/>
        <w:t>This issue presents a significant component in the overall evaluation and it is not clear whether the calculated assumptions made here actually do reflect the real-world pathways that patients experience.</w:t>
      </w:r>
    </w:p>
    <w:p w14:paraId="4948D69B" w14:textId="22B08C23" w:rsidR="00771308" w:rsidRPr="00365B0A" w:rsidRDefault="00771308" w:rsidP="00771308">
      <w:pPr>
        <w:pStyle w:val="Heading3"/>
      </w:pPr>
      <w:r w:rsidRPr="41082EED">
        <w:rPr>
          <w:lang w:val="en-US"/>
        </w:rPr>
        <w:t>1a.2</w:t>
      </w:r>
      <w:r>
        <w:tab/>
      </w:r>
      <w:r w:rsidRPr="41082EED">
        <w:rPr>
          <w:lang w:val="en-US"/>
        </w:rPr>
        <w:t>The Committee has declined to follow the HST appraisal route when disease indication presents itself as a suitable candidate</w:t>
      </w:r>
    </w:p>
    <w:p w14:paraId="709D034D" w14:textId="77777777" w:rsidR="00615B98" w:rsidRDefault="00771308" w:rsidP="00771308">
      <w:pPr>
        <w:pStyle w:val="Paragraph"/>
        <w:numPr>
          <w:ilvl w:val="0"/>
          <w:numId w:val="0"/>
        </w:numPr>
        <w:spacing w:before="0" w:after="0" w:line="360" w:lineRule="auto"/>
        <w:ind w:left="720"/>
        <w:rPr>
          <w:rStyle w:val="eop"/>
          <w:rFonts w:cs="Arial"/>
          <w:color w:val="000000"/>
          <w:shd w:val="clear" w:color="auto" w:fill="FFFFFF"/>
        </w:rPr>
      </w:pPr>
      <w:r>
        <w:rPr>
          <w:rStyle w:val="normaltextrun"/>
          <w:rFonts w:cs="Arial"/>
          <w:color w:val="000000"/>
          <w:shd w:val="clear" w:color="auto" w:fill="FFFFFF"/>
        </w:rPr>
        <w:t>MCL is a rare cancer with around 600 people being diagnosed each year in the UK. It tends to be a cancer of later years, with most people diagnosed being middle-aged or older.</w:t>
      </w:r>
      <w:r>
        <w:rPr>
          <w:rStyle w:val="normaltextrun"/>
          <w:rFonts w:cs="Arial"/>
          <w:color w:val="000000"/>
          <w:shd w:val="clear" w:color="auto" w:fill="FFFFFF"/>
        </w:rPr>
        <w:br/>
      </w:r>
      <w:r>
        <w:rPr>
          <w:rStyle w:val="normaltextrun"/>
          <w:rFonts w:cs="Arial"/>
          <w:color w:val="000000"/>
          <w:shd w:val="clear" w:color="auto" w:fill="FFFFFF"/>
        </w:rPr>
        <w:br/>
        <w:t>Evidence submitted to the Committee indicates that the “</w:t>
      </w:r>
      <w:r>
        <w:t>number eligible for treatment with this therapy is low. Normally, no more than 300 people in England are eligible for the technology in its licensed indication and no more than 500 across all its indications”.</w:t>
      </w:r>
      <w:r>
        <w:br/>
      </w:r>
      <w:r>
        <w:br/>
      </w:r>
      <w:r>
        <w:rPr>
          <w:rStyle w:val="eop"/>
          <w:rFonts w:cs="Arial"/>
          <w:color w:val="000000"/>
          <w:shd w:val="clear" w:color="auto" w:fill="FFFFFF"/>
        </w:rPr>
        <w:t>For many MCL patients in this position, without an option of CAR-T, 3</w:t>
      </w:r>
      <w:r w:rsidRPr="00771308">
        <w:rPr>
          <w:rStyle w:val="eop"/>
          <w:rFonts w:cs="Arial"/>
          <w:color w:val="000000"/>
          <w:shd w:val="clear" w:color="auto" w:fill="FFFFFF"/>
          <w:vertAlign w:val="superscript"/>
        </w:rPr>
        <w:t>rd</w:t>
      </w:r>
      <w:r>
        <w:rPr>
          <w:rStyle w:val="eop"/>
          <w:rFonts w:cs="Arial"/>
          <w:color w:val="000000"/>
          <w:shd w:val="clear" w:color="auto" w:fill="FFFFFF"/>
        </w:rPr>
        <w:t xml:space="preserve"> line options are very limited, with the standard of care ultimately being palliative. With no or few satisfactory alternatives, </w:t>
      </w:r>
      <w:proofErr w:type="spellStart"/>
      <w:r>
        <w:rPr>
          <w:rStyle w:val="eop"/>
          <w:rFonts w:cs="Arial"/>
          <w:color w:val="000000"/>
          <w:shd w:val="clear" w:color="auto" w:fill="FFFFFF"/>
        </w:rPr>
        <w:t>brexu</w:t>
      </w:r>
      <w:proofErr w:type="spellEnd"/>
      <w:r>
        <w:rPr>
          <w:rStyle w:val="eop"/>
          <w:rFonts w:cs="Arial"/>
          <w:color w:val="000000"/>
          <w:shd w:val="clear" w:color="auto" w:fill="FFFFFF"/>
        </w:rPr>
        <w:t>-cel offers a credible prospect of long-term survival and improved quality of life.</w:t>
      </w:r>
    </w:p>
    <w:p w14:paraId="2ABE8FAF" w14:textId="77777777" w:rsidR="00615B98" w:rsidRDefault="00615B98" w:rsidP="00771308">
      <w:pPr>
        <w:pStyle w:val="Paragraph"/>
        <w:numPr>
          <w:ilvl w:val="0"/>
          <w:numId w:val="0"/>
        </w:numPr>
        <w:spacing w:before="0" w:after="0" w:line="360" w:lineRule="auto"/>
        <w:ind w:left="720"/>
        <w:rPr>
          <w:rStyle w:val="eop"/>
          <w:rFonts w:cs="Arial"/>
          <w:color w:val="000000"/>
          <w:shd w:val="clear" w:color="auto" w:fill="FFFFFF"/>
        </w:rPr>
      </w:pPr>
    </w:p>
    <w:p w14:paraId="70265E39" w14:textId="5AEFA7B8" w:rsidR="00771308" w:rsidRPr="00771308" w:rsidRDefault="0008740C" w:rsidP="00771308">
      <w:pPr>
        <w:pStyle w:val="Paragraph"/>
        <w:numPr>
          <w:ilvl w:val="0"/>
          <w:numId w:val="0"/>
        </w:numPr>
        <w:spacing w:before="0" w:after="0" w:line="360" w:lineRule="auto"/>
        <w:ind w:left="720"/>
        <w:rPr>
          <w:rFonts w:cs="Arial"/>
          <w:color w:val="000000"/>
          <w:shd w:val="clear" w:color="auto" w:fill="FFFFFF"/>
        </w:rPr>
      </w:pPr>
      <w:r>
        <w:rPr>
          <w:rStyle w:val="eop"/>
          <w:rFonts w:cs="Arial"/>
          <w:color w:val="000000"/>
          <w:shd w:val="clear" w:color="auto" w:fill="FFFFFF"/>
        </w:rPr>
        <w:t>T</w:t>
      </w:r>
      <w:r w:rsidR="00615B98" w:rsidRPr="00615B98">
        <w:rPr>
          <w:rStyle w:val="eop"/>
          <w:rFonts w:cs="Arial"/>
          <w:color w:val="000000"/>
          <w:shd w:val="clear" w:color="auto" w:fill="FFFFFF"/>
        </w:rPr>
        <w:t xml:space="preserve">his decision will have </w:t>
      </w:r>
      <w:r>
        <w:rPr>
          <w:rStyle w:val="eop"/>
          <w:rFonts w:cs="Arial"/>
          <w:color w:val="000000"/>
          <w:shd w:val="clear" w:color="auto" w:fill="FFFFFF"/>
        </w:rPr>
        <w:t xml:space="preserve">a </w:t>
      </w:r>
      <w:r w:rsidRPr="00615B98">
        <w:rPr>
          <w:rStyle w:val="eop"/>
          <w:rFonts w:cs="Arial"/>
          <w:color w:val="000000"/>
          <w:shd w:val="clear" w:color="auto" w:fill="FFFFFF"/>
        </w:rPr>
        <w:t xml:space="preserve">particularly damaging impact </w:t>
      </w:r>
      <w:r w:rsidR="00615B98" w:rsidRPr="00615B98">
        <w:rPr>
          <w:rStyle w:val="eop"/>
          <w:rFonts w:cs="Arial"/>
          <w:color w:val="000000"/>
          <w:shd w:val="clear" w:color="auto" w:fill="FFFFFF"/>
        </w:rPr>
        <w:t>on MCL patients with a TP53 mutation</w:t>
      </w:r>
      <w:r>
        <w:rPr>
          <w:rStyle w:val="eop"/>
          <w:rFonts w:cs="Arial"/>
          <w:color w:val="000000"/>
          <w:shd w:val="clear" w:color="auto" w:fill="FFFFFF"/>
        </w:rPr>
        <w:t>,</w:t>
      </w:r>
      <w:r w:rsidR="00615B98" w:rsidRPr="00615B98">
        <w:rPr>
          <w:rStyle w:val="eop"/>
          <w:rFonts w:cs="Arial"/>
          <w:color w:val="000000"/>
          <w:shd w:val="clear" w:color="auto" w:fill="FFFFFF"/>
        </w:rPr>
        <w:t xml:space="preserve"> which presents in 10</w:t>
      </w:r>
      <w:r>
        <w:rPr>
          <w:rStyle w:val="eop"/>
          <w:rFonts w:cs="Arial"/>
          <w:color w:val="000000"/>
          <w:shd w:val="clear" w:color="auto" w:fill="FFFFFF"/>
        </w:rPr>
        <w:t>-</w:t>
      </w:r>
      <w:r w:rsidR="00615B98" w:rsidRPr="00615B98">
        <w:rPr>
          <w:rStyle w:val="eop"/>
          <w:rFonts w:cs="Arial"/>
          <w:color w:val="000000"/>
          <w:shd w:val="clear" w:color="auto" w:fill="FFFFFF"/>
        </w:rPr>
        <w:t xml:space="preserve">20% of MCL patients. This patient group responds poorly to chemotherapy, as well as BTKi’s, and in the UK they don’t have access to the chemo-free </w:t>
      </w:r>
      <w:proofErr w:type="spellStart"/>
      <w:r w:rsidR="00615B98" w:rsidRPr="00615B98">
        <w:rPr>
          <w:rStyle w:val="eop"/>
          <w:rFonts w:cs="Arial"/>
          <w:color w:val="000000"/>
          <w:shd w:val="clear" w:color="auto" w:fill="FFFFFF"/>
        </w:rPr>
        <w:t>BOVen</w:t>
      </w:r>
      <w:proofErr w:type="spellEnd"/>
      <w:r w:rsidR="00615B98" w:rsidRPr="00615B98">
        <w:rPr>
          <w:rStyle w:val="eop"/>
          <w:rFonts w:cs="Arial"/>
          <w:color w:val="000000"/>
          <w:shd w:val="clear" w:color="auto" w:fill="FFFFFF"/>
        </w:rPr>
        <w:t xml:space="preserve"> regimen (E.g. </w:t>
      </w:r>
      <w:proofErr w:type="spellStart"/>
      <w:r w:rsidR="00615B98" w:rsidRPr="00615B98">
        <w:rPr>
          <w:rStyle w:val="eop"/>
          <w:rFonts w:cs="Arial"/>
          <w:color w:val="000000"/>
          <w:shd w:val="clear" w:color="auto" w:fill="FFFFFF"/>
        </w:rPr>
        <w:t>zanubrutinib</w:t>
      </w:r>
      <w:proofErr w:type="spellEnd"/>
      <w:r w:rsidR="00615B98" w:rsidRPr="00615B98">
        <w:rPr>
          <w:rStyle w:val="eop"/>
          <w:rFonts w:cs="Arial"/>
          <w:color w:val="000000"/>
          <w:shd w:val="clear" w:color="auto" w:fill="FFFFFF"/>
        </w:rPr>
        <w:t>, obinutuzumab, and venetoclax) that is used in Europe and North America. There</w:t>
      </w:r>
      <w:r w:rsidR="004800DA">
        <w:rPr>
          <w:rStyle w:val="eop"/>
          <w:rFonts w:cs="Arial"/>
          <w:color w:val="000000"/>
          <w:shd w:val="clear" w:color="auto" w:fill="FFFFFF"/>
        </w:rPr>
        <w:t xml:space="preserve"> i</w:t>
      </w:r>
      <w:r w:rsidR="00615B98" w:rsidRPr="00615B98">
        <w:rPr>
          <w:rStyle w:val="eop"/>
          <w:rFonts w:cs="Arial"/>
          <w:color w:val="000000"/>
          <w:shd w:val="clear" w:color="auto" w:fill="FFFFFF"/>
        </w:rPr>
        <w:t>s a clear need for alternative treatments, and we</w:t>
      </w:r>
      <w:r w:rsidR="004800DA">
        <w:rPr>
          <w:rStyle w:val="eop"/>
          <w:rFonts w:cs="Arial"/>
          <w:color w:val="000000"/>
          <w:shd w:val="clear" w:color="auto" w:fill="FFFFFF"/>
        </w:rPr>
        <w:t xml:space="preserve"> a</w:t>
      </w:r>
      <w:r w:rsidR="00615B98" w:rsidRPr="00615B98">
        <w:rPr>
          <w:rStyle w:val="eop"/>
          <w:rFonts w:cs="Arial"/>
          <w:color w:val="000000"/>
          <w:shd w:val="clear" w:color="auto" w:fill="FFFFFF"/>
        </w:rPr>
        <w:t>re concerned that this sub-set of patients has not been appropriately considered by NICE.</w:t>
      </w:r>
      <w:r w:rsidR="00771308">
        <w:rPr>
          <w:rStyle w:val="eop"/>
          <w:rFonts w:cs="Arial"/>
          <w:color w:val="000000"/>
          <w:shd w:val="clear" w:color="auto" w:fill="FFFFFF"/>
        </w:rPr>
        <w:br/>
      </w:r>
      <w:r w:rsidR="00771308">
        <w:rPr>
          <w:rStyle w:val="eop"/>
          <w:rFonts w:cs="Arial"/>
          <w:color w:val="000000"/>
          <w:shd w:val="clear" w:color="auto" w:fill="FFFFFF"/>
        </w:rPr>
        <w:br/>
        <w:t xml:space="preserve">The fact that the Committee has decided against evaluating </w:t>
      </w:r>
      <w:proofErr w:type="spellStart"/>
      <w:r w:rsidR="00771308">
        <w:rPr>
          <w:rStyle w:val="eop"/>
          <w:rFonts w:cs="Arial"/>
          <w:color w:val="000000"/>
          <w:shd w:val="clear" w:color="auto" w:fill="FFFFFF"/>
        </w:rPr>
        <w:t>brexu</w:t>
      </w:r>
      <w:proofErr w:type="spellEnd"/>
      <w:r w:rsidR="00771308">
        <w:rPr>
          <w:rStyle w:val="eop"/>
          <w:rFonts w:cs="Arial"/>
          <w:color w:val="000000"/>
          <w:shd w:val="clear" w:color="auto" w:fill="FFFFFF"/>
        </w:rPr>
        <w:t xml:space="preserve">-cel against the higher threshold criteria provided by the HST appraisal </w:t>
      </w:r>
      <w:r w:rsidR="00771308">
        <w:rPr>
          <w:rStyle w:val="eop"/>
          <w:rFonts w:cs="Arial"/>
          <w:color w:val="000000"/>
          <w:shd w:val="clear" w:color="auto" w:fill="FFFFFF"/>
        </w:rPr>
        <w:lastRenderedPageBreak/>
        <w:t>route when it is eligible and able to do so, puts the product and the potential benefits for MCL patients at a significant disadvantage.</w:t>
      </w:r>
    </w:p>
    <w:p w14:paraId="4268CE70" w14:textId="77777777" w:rsidR="00771308" w:rsidRPr="00365B0A" w:rsidRDefault="00771308" w:rsidP="41082EED">
      <w:pPr>
        <w:pStyle w:val="Heading2"/>
        <w:rPr>
          <w:i w:val="0"/>
          <w:iCs w:val="0"/>
          <w:lang w:val="en-US"/>
        </w:rPr>
      </w:pPr>
      <w:r w:rsidRPr="41082EED">
        <w:rPr>
          <w:i w:val="0"/>
          <w:iCs w:val="0"/>
          <w:lang w:val="en-US"/>
        </w:rPr>
        <w:t>Ground 2: The recommendation is unreasonable in the light of the evidence submitted to NICE</w:t>
      </w:r>
    </w:p>
    <w:p w14:paraId="2493BE0D" w14:textId="3E903D62" w:rsidR="00771308" w:rsidRDefault="00771308" w:rsidP="41082EED">
      <w:pPr>
        <w:pStyle w:val="Heading3"/>
        <w:rPr>
          <w:rFonts w:cs="Arial"/>
          <w:lang w:val="en-US"/>
        </w:rPr>
      </w:pPr>
      <w:r>
        <w:br/>
      </w:r>
      <w:r w:rsidRPr="41082EED">
        <w:rPr>
          <w:lang w:val="en-US"/>
        </w:rPr>
        <w:t>2a</w:t>
      </w:r>
      <w:r>
        <w:tab/>
      </w:r>
      <w:r w:rsidRPr="41082EED">
        <w:rPr>
          <w:rFonts w:cs="Arial"/>
          <w:lang w:val="en-US"/>
        </w:rPr>
        <w:t xml:space="preserve">The Appraisal Committee’s refusal to consider the long-term patient benefit </w:t>
      </w:r>
      <w:r w:rsidR="008F0FBC" w:rsidRPr="41082EED">
        <w:rPr>
          <w:rFonts w:cs="Arial"/>
          <w:lang w:val="en-US"/>
        </w:rPr>
        <w:t xml:space="preserve">that </w:t>
      </w:r>
      <w:r w:rsidRPr="41082EED">
        <w:rPr>
          <w:rFonts w:cs="Arial"/>
          <w:lang w:val="en-US"/>
        </w:rPr>
        <w:t xml:space="preserve">brexu-cel offers 3rd Line MCL patients </w:t>
      </w:r>
    </w:p>
    <w:p w14:paraId="748D5C52" w14:textId="70236E26" w:rsidR="00771308" w:rsidRDefault="00771308" w:rsidP="41082EED">
      <w:pPr>
        <w:pStyle w:val="Paragraph"/>
        <w:numPr>
          <w:ilvl w:val="0"/>
          <w:numId w:val="0"/>
        </w:numPr>
        <w:spacing w:line="360" w:lineRule="auto"/>
        <w:ind w:left="851"/>
        <w:rPr>
          <w:lang w:val="en-US" w:eastAsia="en-US"/>
        </w:rPr>
      </w:pPr>
      <w:r w:rsidRPr="41082EED">
        <w:rPr>
          <w:lang w:val="en-US" w:eastAsia="en-US"/>
        </w:rPr>
        <w:t xml:space="preserve">The Committee notes the need for additional data regarding classifying brexu-cel as a ‘functional cure’. However, what is already known is the overall survival for standard of care treatments at the point of 3rd </w:t>
      </w:r>
      <w:r w:rsidR="008F0FBC" w:rsidRPr="41082EED">
        <w:rPr>
          <w:lang w:val="en-US" w:eastAsia="en-US"/>
        </w:rPr>
        <w:t>l</w:t>
      </w:r>
      <w:r w:rsidRPr="41082EED">
        <w:rPr>
          <w:lang w:val="en-US" w:eastAsia="en-US"/>
        </w:rPr>
        <w:t>ine is typically not more than 12 months.</w:t>
      </w:r>
    </w:p>
    <w:p w14:paraId="346D0DB3" w14:textId="1E6AEE80" w:rsidR="00771308" w:rsidRDefault="00771308" w:rsidP="00382E2A">
      <w:pPr>
        <w:pStyle w:val="Paragraph"/>
        <w:numPr>
          <w:ilvl w:val="0"/>
          <w:numId w:val="0"/>
        </w:numPr>
        <w:spacing w:line="360" w:lineRule="auto"/>
        <w:ind w:left="851"/>
      </w:pPr>
      <w:proofErr w:type="spellStart"/>
      <w:r>
        <w:rPr>
          <w:lang w:val="x-none" w:eastAsia="x-none"/>
        </w:rPr>
        <w:t>Brexu</w:t>
      </w:r>
      <w:proofErr w:type="spellEnd"/>
      <w:r>
        <w:rPr>
          <w:lang w:val="x-none" w:eastAsia="x-none"/>
        </w:rPr>
        <w:t xml:space="preserve">-cel data is questioned by the Committee regarding an LTS cure assumption of 48 months, however, Zuma-2 data does state </w:t>
      </w:r>
      <w:r>
        <w:t>32% of patients remaining progression-free at 60 months, highlighting the potential for long-term remission in a population with historically poor outcomes.</w:t>
      </w:r>
    </w:p>
    <w:p w14:paraId="7532352C" w14:textId="222ED1C5" w:rsidR="00771308" w:rsidRDefault="00771308" w:rsidP="00382E2A">
      <w:pPr>
        <w:pStyle w:val="Paragraph"/>
        <w:numPr>
          <w:ilvl w:val="0"/>
          <w:numId w:val="0"/>
        </w:numPr>
        <w:spacing w:line="360" w:lineRule="auto"/>
        <w:ind w:left="851"/>
      </w:pPr>
      <w:r>
        <w:t>Further to this, it is important to note that the PFS and OS curves from Zuma-2 do not cross, indicating a consistent and sustained treatment benefit over time.</w:t>
      </w:r>
    </w:p>
    <w:p w14:paraId="1703018E" w14:textId="7B58526E" w:rsidR="00771308" w:rsidRDefault="00771308" w:rsidP="00382E2A">
      <w:pPr>
        <w:pStyle w:val="Paragraph"/>
        <w:numPr>
          <w:ilvl w:val="0"/>
          <w:numId w:val="0"/>
        </w:numPr>
        <w:spacing w:line="360" w:lineRule="auto"/>
        <w:ind w:left="851"/>
      </w:pPr>
      <w:r>
        <w:t>When the standard of care available without a viable CAR-T option is so poor for patients’ survival and overall quality of life, it is unreasonable for the Committee not to consider departing from their usual processes and reconsider</w:t>
      </w:r>
      <w:r w:rsidR="003F23D8">
        <w:t>ing</w:t>
      </w:r>
      <w:r>
        <w:t xml:space="preserve"> a more appropriate approach to meeting the need of MCL patients.</w:t>
      </w:r>
    </w:p>
    <w:p w14:paraId="66A8FABD" w14:textId="623DF326" w:rsidR="00771308" w:rsidRDefault="00771308" w:rsidP="00382E2A">
      <w:pPr>
        <w:pStyle w:val="Paragraph"/>
        <w:numPr>
          <w:ilvl w:val="0"/>
          <w:numId w:val="0"/>
        </w:numPr>
        <w:spacing w:line="360" w:lineRule="auto"/>
        <w:ind w:left="851"/>
      </w:pPr>
      <w:r>
        <w:t>Evidence submitted to the Committee shows that “life expectancy was longer but still very limited for patients well enough to received further therapies (median of 0.4 months for patients who did not receive third line treatment; 11.6 months for those who received some form of third line therapy).”</w:t>
      </w:r>
    </w:p>
    <w:p w14:paraId="68794848" w14:textId="7E12CCFD" w:rsidR="00771308" w:rsidRPr="00771308" w:rsidRDefault="00771308" w:rsidP="00382E2A">
      <w:pPr>
        <w:pStyle w:val="Paragraph"/>
        <w:numPr>
          <w:ilvl w:val="0"/>
          <w:numId w:val="0"/>
        </w:numPr>
        <w:spacing w:line="360" w:lineRule="auto"/>
        <w:ind w:left="851"/>
      </w:pPr>
      <w:r>
        <w:lastRenderedPageBreak/>
        <w:t xml:space="preserve">There are no other satisfactory treatment options available, and </w:t>
      </w:r>
      <w:proofErr w:type="spellStart"/>
      <w:r>
        <w:t>brexu</w:t>
      </w:r>
      <w:proofErr w:type="spellEnd"/>
      <w:r>
        <w:t>-cel is likely to offer significant additional benefit over existing standard of care treatments.</w:t>
      </w:r>
    </w:p>
    <w:p w14:paraId="1569620C" w14:textId="77777777" w:rsidR="00382E2A" w:rsidRDefault="00382E2A" w:rsidP="00771308">
      <w:pPr>
        <w:pStyle w:val="Paragraph"/>
        <w:numPr>
          <w:ilvl w:val="0"/>
          <w:numId w:val="0"/>
        </w:numPr>
        <w:spacing w:before="0" w:after="0" w:line="360" w:lineRule="auto"/>
        <w:ind w:left="851" w:hanging="851"/>
        <w:rPr>
          <w:bCs/>
        </w:rPr>
      </w:pPr>
    </w:p>
    <w:p w14:paraId="78BEA857" w14:textId="18632FA8" w:rsidR="00C35E67" w:rsidRDefault="00771308" w:rsidP="00382E2A">
      <w:pPr>
        <w:pStyle w:val="Paragraph"/>
        <w:numPr>
          <w:ilvl w:val="0"/>
          <w:numId w:val="0"/>
        </w:numPr>
        <w:spacing w:before="0" w:after="0" w:line="360" w:lineRule="auto"/>
        <w:rPr>
          <w:bCs/>
        </w:rPr>
      </w:pPr>
      <w:r>
        <w:rPr>
          <w:bCs/>
        </w:rPr>
        <w:t xml:space="preserve">Maintaining this Final Appraisal Determination leaves patients with advanced mantle cell lymphoma at a morbid disadvantage with relatively reduced life expectancies. </w:t>
      </w:r>
      <w:r w:rsidR="00DC5E0A">
        <w:rPr>
          <w:bCs/>
        </w:rPr>
        <w:t>That</w:t>
      </w:r>
      <w:r>
        <w:rPr>
          <w:bCs/>
        </w:rPr>
        <w:t xml:space="preserve"> the Committee has had the opportunity to be forthright in sharing the rationale for its chosen methodologies and related-assumptions and has chosen not to opt for transparency is deeply disappointing.</w:t>
      </w:r>
    </w:p>
    <w:p w14:paraId="1FCA48A9" w14:textId="77777777" w:rsidR="00771308" w:rsidRDefault="00771308" w:rsidP="00771308">
      <w:pPr>
        <w:pStyle w:val="Paragraph"/>
        <w:numPr>
          <w:ilvl w:val="0"/>
          <w:numId w:val="0"/>
        </w:numPr>
        <w:spacing w:before="0" w:after="0" w:line="360" w:lineRule="auto"/>
        <w:ind w:left="851" w:hanging="851"/>
        <w:rPr>
          <w:bCs/>
        </w:rPr>
      </w:pPr>
    </w:p>
    <w:p w14:paraId="45589973" w14:textId="1B152805" w:rsidR="00771308" w:rsidRDefault="00771308" w:rsidP="00382E2A">
      <w:pPr>
        <w:pStyle w:val="Paragraph"/>
        <w:numPr>
          <w:ilvl w:val="0"/>
          <w:numId w:val="0"/>
        </w:numPr>
        <w:tabs>
          <w:tab w:val="left" w:pos="0"/>
        </w:tabs>
        <w:spacing w:before="0" w:after="0" w:line="360" w:lineRule="auto"/>
      </w:pPr>
      <w:r>
        <w:rPr>
          <w:bCs/>
        </w:rPr>
        <w:t xml:space="preserve">With MCL affecting an older demographic, and people </w:t>
      </w:r>
      <w:r>
        <w:t>from ethnic minorities hav</w:t>
      </w:r>
      <w:r w:rsidR="00D92534">
        <w:t>ing</w:t>
      </w:r>
      <w:r>
        <w:t xml:space="preserve"> fewer donor options and less likely to have</w:t>
      </w:r>
      <w:r w:rsidR="00853341">
        <w:t xml:space="preserve"> an</w:t>
      </w:r>
      <w:r>
        <w:t xml:space="preserve"> </w:t>
      </w:r>
      <w:proofErr w:type="spellStart"/>
      <w:r>
        <w:t>alloSCT</w:t>
      </w:r>
      <w:proofErr w:type="spellEnd"/>
      <w:r w:rsidR="00DC5E0A">
        <w:t>,</w:t>
      </w:r>
      <w:r>
        <w:t xml:space="preserve"> we feel there is a need to tackle these health inequities with an appropriate level of flexibility in the Committee’s deliberations and approach to evaluation.</w:t>
      </w:r>
    </w:p>
    <w:p w14:paraId="4EC61D5A" w14:textId="77777777" w:rsidR="00771308" w:rsidRDefault="00771308" w:rsidP="00771308">
      <w:pPr>
        <w:pStyle w:val="Paragraph"/>
        <w:numPr>
          <w:ilvl w:val="0"/>
          <w:numId w:val="0"/>
        </w:numPr>
        <w:spacing w:before="0" w:after="0" w:line="360" w:lineRule="auto"/>
        <w:ind w:left="851" w:hanging="851"/>
      </w:pPr>
    </w:p>
    <w:p w14:paraId="720566AD" w14:textId="09AE9562" w:rsidR="00771308" w:rsidRDefault="00771308" w:rsidP="00771308">
      <w:pPr>
        <w:pStyle w:val="Paragraph"/>
        <w:numPr>
          <w:ilvl w:val="0"/>
          <w:numId w:val="0"/>
        </w:numPr>
        <w:spacing w:before="0" w:after="0" w:line="360" w:lineRule="auto"/>
      </w:pPr>
      <w:r>
        <w:t xml:space="preserve">We sincerely hope this determination is withdrawn and for this appraisal Committee to reconvene </w:t>
      </w:r>
      <w:proofErr w:type="gramStart"/>
      <w:r>
        <w:t>in order to</w:t>
      </w:r>
      <w:proofErr w:type="gramEnd"/>
      <w:r>
        <w:t xml:space="preserve"> ensure all appropriate considerations of methodology and evidence have been made. The Committee has a further option at hand, a reality many MCL patients at 3</w:t>
      </w:r>
      <w:r w:rsidRPr="00771308">
        <w:rPr>
          <w:vertAlign w:val="superscript"/>
        </w:rPr>
        <w:t>rd</w:t>
      </w:r>
      <w:r>
        <w:t xml:space="preserve"> line do not have.</w:t>
      </w:r>
    </w:p>
    <w:p w14:paraId="2F7231CC" w14:textId="77777777" w:rsidR="00D65F62" w:rsidRDefault="00D65F62" w:rsidP="00771308">
      <w:pPr>
        <w:pStyle w:val="Paragraph"/>
        <w:numPr>
          <w:ilvl w:val="0"/>
          <w:numId w:val="0"/>
        </w:numPr>
        <w:spacing w:before="0" w:after="0" w:line="360" w:lineRule="auto"/>
      </w:pPr>
    </w:p>
    <w:p w14:paraId="0A32CE01" w14:textId="7487EC76" w:rsidR="00D65F62" w:rsidRDefault="00612BCA" w:rsidP="00771308">
      <w:pPr>
        <w:pStyle w:val="Paragraph"/>
        <w:numPr>
          <w:ilvl w:val="0"/>
          <w:numId w:val="0"/>
        </w:numPr>
        <w:spacing w:before="0" w:after="0" w:line="360" w:lineRule="auto"/>
      </w:pPr>
      <w:r>
        <w:t xml:space="preserve">Yours sincerely </w:t>
      </w:r>
    </w:p>
    <w:p w14:paraId="6EE70613" w14:textId="77777777" w:rsidR="00612BCA" w:rsidRDefault="00612BCA" w:rsidP="00771308">
      <w:pPr>
        <w:pStyle w:val="Paragraph"/>
        <w:numPr>
          <w:ilvl w:val="0"/>
          <w:numId w:val="0"/>
        </w:numPr>
        <w:spacing w:before="0" w:after="0" w:line="360" w:lineRule="auto"/>
      </w:pPr>
    </w:p>
    <w:p w14:paraId="355D92E4" w14:textId="5B2E3F9F" w:rsidR="00DA37BC" w:rsidRDefault="0025481C" w:rsidP="00771308">
      <w:pPr>
        <w:pStyle w:val="Paragraph"/>
        <w:numPr>
          <w:ilvl w:val="0"/>
          <w:numId w:val="0"/>
        </w:numPr>
        <w:spacing w:before="0" w:after="0" w:line="360" w:lineRule="auto"/>
      </w:pPr>
      <w:r w:rsidRPr="00DA37BC">
        <w:rPr>
          <w:b/>
          <w:bCs/>
        </w:rPr>
        <w:t>Yasmin</w:t>
      </w:r>
      <w:r w:rsidR="00DA37BC" w:rsidRPr="00DA37BC">
        <w:rPr>
          <w:b/>
          <w:bCs/>
        </w:rPr>
        <w:t xml:space="preserve"> Sheikh</w:t>
      </w:r>
      <w:r w:rsidR="00DA37BC">
        <w:t>, Head of Policy &amp; Public Affairs, Anthony Nolan</w:t>
      </w:r>
    </w:p>
    <w:p w14:paraId="56CB22F7" w14:textId="1EC6AFCD" w:rsidR="00C575DB" w:rsidRDefault="00066324" w:rsidP="00771308">
      <w:pPr>
        <w:pStyle w:val="Paragraph"/>
        <w:numPr>
          <w:ilvl w:val="0"/>
          <w:numId w:val="0"/>
        </w:numPr>
        <w:spacing w:before="0" w:after="0" w:line="360" w:lineRule="auto"/>
      </w:pPr>
      <w:r w:rsidRPr="00066324">
        <w:rPr>
          <w:highlight w:val="black"/>
        </w:rPr>
        <w:t>XXXXXXXXXXXXXXXXXXXXXXXXXX</w:t>
      </w:r>
    </w:p>
    <w:p w14:paraId="3E633A2E" w14:textId="77777777" w:rsidR="00C575DB" w:rsidRDefault="00C575DB" w:rsidP="00771308">
      <w:pPr>
        <w:pStyle w:val="Paragraph"/>
        <w:numPr>
          <w:ilvl w:val="0"/>
          <w:numId w:val="0"/>
        </w:numPr>
        <w:spacing w:before="0" w:after="0" w:line="360" w:lineRule="auto"/>
      </w:pPr>
    </w:p>
    <w:p w14:paraId="2A32E4DD" w14:textId="41DA362B" w:rsidR="00DA37BC" w:rsidRDefault="00DA37BC" w:rsidP="00771308">
      <w:pPr>
        <w:pStyle w:val="Paragraph"/>
        <w:numPr>
          <w:ilvl w:val="0"/>
          <w:numId w:val="0"/>
        </w:numPr>
        <w:spacing w:before="0" w:after="0" w:line="360" w:lineRule="auto"/>
      </w:pPr>
      <w:r w:rsidRPr="00612BCA">
        <w:rPr>
          <w:b/>
          <w:bCs/>
        </w:rPr>
        <w:t xml:space="preserve">Hillary </w:t>
      </w:r>
      <w:r w:rsidR="00857BB8" w:rsidRPr="00612BCA">
        <w:rPr>
          <w:b/>
          <w:bCs/>
        </w:rPr>
        <w:t>Webb</w:t>
      </w:r>
      <w:r w:rsidR="00857BB8">
        <w:t xml:space="preserve">, </w:t>
      </w:r>
      <w:r w:rsidR="00857BB8" w:rsidRPr="00857BB8">
        <w:t>Policy &amp; Public Affairs Manager</w:t>
      </w:r>
      <w:r w:rsidR="00857BB8">
        <w:t>, Blood Cancer UK</w:t>
      </w:r>
    </w:p>
    <w:p w14:paraId="6C7DBA25" w14:textId="677C55A4" w:rsidR="006F75CE" w:rsidRDefault="00283672" w:rsidP="00771308">
      <w:pPr>
        <w:pStyle w:val="Paragraph"/>
        <w:numPr>
          <w:ilvl w:val="0"/>
          <w:numId w:val="0"/>
        </w:numPr>
        <w:spacing w:before="0" w:after="0" w:line="360" w:lineRule="auto"/>
      </w:pPr>
      <w:r w:rsidRPr="00283672">
        <w:rPr>
          <w:highlight w:val="black"/>
        </w:rPr>
        <w:t>XXXXXXXXXXXXXXXXXXXXXXXXXXXXXX</w:t>
      </w:r>
    </w:p>
    <w:p w14:paraId="4B1B67FE" w14:textId="77777777" w:rsidR="006F75CE" w:rsidRDefault="006F75CE" w:rsidP="00771308">
      <w:pPr>
        <w:pStyle w:val="Paragraph"/>
        <w:numPr>
          <w:ilvl w:val="0"/>
          <w:numId w:val="0"/>
        </w:numPr>
        <w:spacing w:before="0" w:after="0" w:line="360" w:lineRule="auto"/>
      </w:pPr>
    </w:p>
    <w:p w14:paraId="640B2158" w14:textId="0AD7D026" w:rsidR="00857BB8" w:rsidRDefault="00857BB8" w:rsidP="00771308">
      <w:pPr>
        <w:pStyle w:val="Paragraph"/>
        <w:numPr>
          <w:ilvl w:val="0"/>
          <w:numId w:val="0"/>
        </w:numPr>
        <w:spacing w:before="0" w:after="0" w:line="360" w:lineRule="auto"/>
      </w:pPr>
      <w:r w:rsidRPr="00612BCA">
        <w:rPr>
          <w:b/>
          <w:bCs/>
        </w:rPr>
        <w:t>Anna Grint</w:t>
      </w:r>
      <w:r>
        <w:t xml:space="preserve">, </w:t>
      </w:r>
      <w:r w:rsidR="00612BCA" w:rsidRPr="00612BCA">
        <w:t>Public and Patient Affairs Advisor</w:t>
      </w:r>
      <w:r w:rsidR="00612BCA">
        <w:t>, Lymphoma Action</w:t>
      </w:r>
    </w:p>
    <w:p w14:paraId="5B7131B1" w14:textId="0E25830D" w:rsidR="00DA37BC" w:rsidRDefault="00283672" w:rsidP="00771308">
      <w:pPr>
        <w:pStyle w:val="Paragraph"/>
        <w:numPr>
          <w:ilvl w:val="0"/>
          <w:numId w:val="0"/>
        </w:numPr>
        <w:spacing w:before="0" w:after="0" w:line="360" w:lineRule="auto"/>
      </w:pPr>
      <w:r w:rsidRPr="00283672">
        <w:rPr>
          <w:highlight w:val="black"/>
        </w:rPr>
        <w:t>XXXXXXXXXXXXXXXXXXXXXXXXXXXXXXX</w:t>
      </w:r>
    </w:p>
    <w:p w14:paraId="1FBD21A4" w14:textId="77777777" w:rsidR="006F75CE" w:rsidRDefault="006F75CE" w:rsidP="00771308">
      <w:pPr>
        <w:pStyle w:val="Paragraph"/>
        <w:numPr>
          <w:ilvl w:val="0"/>
          <w:numId w:val="0"/>
        </w:numPr>
        <w:spacing w:before="0" w:after="0" w:line="360" w:lineRule="auto"/>
      </w:pPr>
    </w:p>
    <w:p w14:paraId="0D4C99AD" w14:textId="328434E7" w:rsidR="00D65F62" w:rsidRPr="00771308" w:rsidRDefault="00DA37BC" w:rsidP="00771308">
      <w:pPr>
        <w:pStyle w:val="Paragraph"/>
        <w:numPr>
          <w:ilvl w:val="0"/>
          <w:numId w:val="0"/>
        </w:numPr>
        <w:spacing w:before="0" w:after="0" w:line="360" w:lineRule="auto"/>
      </w:pPr>
      <w:r>
        <w:t xml:space="preserve"> </w:t>
      </w:r>
    </w:p>
    <w:sectPr w:rsidR="00D65F62" w:rsidRPr="00771308" w:rsidSect="00275FC0">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2AA4" w14:textId="77777777" w:rsidR="00E71678" w:rsidRDefault="00E71678" w:rsidP="00446BEE">
      <w:r>
        <w:separator/>
      </w:r>
    </w:p>
  </w:endnote>
  <w:endnote w:type="continuationSeparator" w:id="0">
    <w:p w14:paraId="509EC6BF" w14:textId="77777777" w:rsidR="00E71678" w:rsidRDefault="00E7167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C6B" w14:textId="77777777" w:rsidR="00034295" w:rsidRPr="0077388D" w:rsidRDefault="00034295">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14:paraId="5F399E28" w14:textId="77777777" w:rsidR="00034295" w:rsidRDefault="0003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7CE1" w14:textId="77777777" w:rsidR="00E71678" w:rsidRDefault="00E71678" w:rsidP="00446BEE">
      <w:r>
        <w:separator/>
      </w:r>
    </w:p>
  </w:footnote>
  <w:footnote w:type="continuationSeparator" w:id="0">
    <w:p w14:paraId="5D9D2153" w14:textId="77777777" w:rsidR="00E71678" w:rsidRDefault="00E7167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2AD9"/>
    <w:multiLevelType w:val="hybridMultilevel"/>
    <w:tmpl w:val="1DF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8217C"/>
    <w:multiLevelType w:val="hybridMultilevel"/>
    <w:tmpl w:val="75DC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B84AFB"/>
    <w:multiLevelType w:val="hybridMultilevel"/>
    <w:tmpl w:val="A0E8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B380B"/>
    <w:multiLevelType w:val="hybridMultilevel"/>
    <w:tmpl w:val="98B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50732"/>
    <w:multiLevelType w:val="hybridMultilevel"/>
    <w:tmpl w:val="686C85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22" w15:restartNumberingAfterBreak="0">
    <w:nsid w:val="78582B22"/>
    <w:multiLevelType w:val="hybridMultilevel"/>
    <w:tmpl w:val="C96A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40132226">
    <w:abstractNumId w:val="17"/>
  </w:num>
  <w:num w:numId="2" w16cid:durableId="147984538">
    <w:abstractNumId w:val="20"/>
  </w:num>
  <w:num w:numId="3" w16cid:durableId="1343362264">
    <w:abstractNumId w:val="20"/>
    <w:lvlOverride w:ilvl="0">
      <w:startOverride w:val="1"/>
    </w:lvlOverride>
  </w:num>
  <w:num w:numId="4" w16cid:durableId="1279290823">
    <w:abstractNumId w:val="20"/>
    <w:lvlOverride w:ilvl="0">
      <w:startOverride w:val="1"/>
    </w:lvlOverride>
  </w:num>
  <w:num w:numId="5" w16cid:durableId="1365133590">
    <w:abstractNumId w:val="20"/>
    <w:lvlOverride w:ilvl="0">
      <w:startOverride w:val="1"/>
    </w:lvlOverride>
  </w:num>
  <w:num w:numId="6" w16cid:durableId="248388000">
    <w:abstractNumId w:val="20"/>
    <w:lvlOverride w:ilvl="0">
      <w:startOverride w:val="1"/>
    </w:lvlOverride>
  </w:num>
  <w:num w:numId="7" w16cid:durableId="428622425">
    <w:abstractNumId w:val="20"/>
    <w:lvlOverride w:ilvl="0">
      <w:startOverride w:val="1"/>
    </w:lvlOverride>
  </w:num>
  <w:num w:numId="8" w16cid:durableId="46686194">
    <w:abstractNumId w:val="9"/>
  </w:num>
  <w:num w:numId="9" w16cid:durableId="1668286577">
    <w:abstractNumId w:val="7"/>
  </w:num>
  <w:num w:numId="10" w16cid:durableId="1498226364">
    <w:abstractNumId w:val="6"/>
  </w:num>
  <w:num w:numId="11" w16cid:durableId="1976913727">
    <w:abstractNumId w:val="5"/>
  </w:num>
  <w:num w:numId="12" w16cid:durableId="1833133563">
    <w:abstractNumId w:val="4"/>
  </w:num>
  <w:num w:numId="13" w16cid:durableId="386300101">
    <w:abstractNumId w:val="8"/>
  </w:num>
  <w:num w:numId="14" w16cid:durableId="1665695609">
    <w:abstractNumId w:val="3"/>
  </w:num>
  <w:num w:numId="15" w16cid:durableId="1494025240">
    <w:abstractNumId w:val="2"/>
  </w:num>
  <w:num w:numId="16" w16cid:durableId="1872646622">
    <w:abstractNumId w:val="1"/>
  </w:num>
  <w:num w:numId="17" w16cid:durableId="1321690557">
    <w:abstractNumId w:val="0"/>
  </w:num>
  <w:num w:numId="18" w16cid:durableId="253788158">
    <w:abstractNumId w:val="12"/>
  </w:num>
  <w:num w:numId="19" w16cid:durableId="427580204">
    <w:abstractNumId w:val="12"/>
    <w:lvlOverride w:ilvl="0">
      <w:startOverride w:val="1"/>
    </w:lvlOverride>
  </w:num>
  <w:num w:numId="20" w16cid:durableId="750588083">
    <w:abstractNumId w:val="15"/>
  </w:num>
  <w:num w:numId="21" w16cid:durableId="595989411">
    <w:abstractNumId w:val="17"/>
  </w:num>
  <w:num w:numId="22" w16cid:durableId="575936272">
    <w:abstractNumId w:val="10"/>
  </w:num>
  <w:num w:numId="23" w16cid:durableId="40322578">
    <w:abstractNumId w:val="17"/>
  </w:num>
  <w:num w:numId="24" w16cid:durableId="1358266050">
    <w:abstractNumId w:val="21"/>
  </w:num>
  <w:num w:numId="25" w16cid:durableId="2009671422">
    <w:abstractNumId w:val="11"/>
  </w:num>
  <w:num w:numId="26" w16cid:durableId="928385978">
    <w:abstractNumId w:val="23"/>
  </w:num>
  <w:num w:numId="27" w16cid:durableId="358434132">
    <w:abstractNumId w:val="17"/>
  </w:num>
  <w:num w:numId="28" w16cid:durableId="1723868932">
    <w:abstractNumId w:val="18"/>
  </w:num>
  <w:num w:numId="29" w16cid:durableId="417212096">
    <w:abstractNumId w:val="16"/>
  </w:num>
  <w:num w:numId="30" w16cid:durableId="1471022938">
    <w:abstractNumId w:val="14"/>
  </w:num>
  <w:num w:numId="31" w16cid:durableId="1960531050">
    <w:abstractNumId w:val="13"/>
  </w:num>
  <w:num w:numId="32" w16cid:durableId="1931543781">
    <w:abstractNumId w:val="22"/>
  </w:num>
  <w:num w:numId="33" w16cid:durableId="9401822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24D0A"/>
    <w:rsid w:val="00034295"/>
    <w:rsid w:val="00037B23"/>
    <w:rsid w:val="00045633"/>
    <w:rsid w:val="000634BB"/>
    <w:rsid w:val="00066324"/>
    <w:rsid w:val="00070065"/>
    <w:rsid w:val="0008740C"/>
    <w:rsid w:val="000B5939"/>
    <w:rsid w:val="001122ED"/>
    <w:rsid w:val="001134E7"/>
    <w:rsid w:val="00134FDA"/>
    <w:rsid w:val="001377F3"/>
    <w:rsid w:val="00147742"/>
    <w:rsid w:val="0017169E"/>
    <w:rsid w:val="001A23E4"/>
    <w:rsid w:val="001B65B3"/>
    <w:rsid w:val="001E3730"/>
    <w:rsid w:val="00207304"/>
    <w:rsid w:val="002408EA"/>
    <w:rsid w:val="0025481C"/>
    <w:rsid w:val="00270605"/>
    <w:rsid w:val="00275FC0"/>
    <w:rsid w:val="00283672"/>
    <w:rsid w:val="002B758B"/>
    <w:rsid w:val="002C1A7E"/>
    <w:rsid w:val="002C30B0"/>
    <w:rsid w:val="002F2EEF"/>
    <w:rsid w:val="00311ED0"/>
    <w:rsid w:val="00346E5D"/>
    <w:rsid w:val="00357FD9"/>
    <w:rsid w:val="00365B0A"/>
    <w:rsid w:val="00371BD0"/>
    <w:rsid w:val="003722FA"/>
    <w:rsid w:val="00377277"/>
    <w:rsid w:val="00382E2A"/>
    <w:rsid w:val="003953EA"/>
    <w:rsid w:val="003966A3"/>
    <w:rsid w:val="003B1C33"/>
    <w:rsid w:val="003B6427"/>
    <w:rsid w:val="003C2A6F"/>
    <w:rsid w:val="003C7AAF"/>
    <w:rsid w:val="003E12B1"/>
    <w:rsid w:val="003F23D8"/>
    <w:rsid w:val="003F2EC0"/>
    <w:rsid w:val="00402D4A"/>
    <w:rsid w:val="004075B6"/>
    <w:rsid w:val="00420952"/>
    <w:rsid w:val="00446BEE"/>
    <w:rsid w:val="00475679"/>
    <w:rsid w:val="004800DA"/>
    <w:rsid w:val="004859BD"/>
    <w:rsid w:val="00485B5C"/>
    <w:rsid w:val="00497D92"/>
    <w:rsid w:val="004D73FA"/>
    <w:rsid w:val="005025A1"/>
    <w:rsid w:val="00502C4B"/>
    <w:rsid w:val="0053083A"/>
    <w:rsid w:val="00562DFE"/>
    <w:rsid w:val="005C277A"/>
    <w:rsid w:val="005C7183"/>
    <w:rsid w:val="005F1E67"/>
    <w:rsid w:val="00606550"/>
    <w:rsid w:val="00610597"/>
    <w:rsid w:val="00612BCA"/>
    <w:rsid w:val="00615B98"/>
    <w:rsid w:val="00616B8B"/>
    <w:rsid w:val="0062002A"/>
    <w:rsid w:val="00654F1F"/>
    <w:rsid w:val="006770FF"/>
    <w:rsid w:val="006921E1"/>
    <w:rsid w:val="006D55A6"/>
    <w:rsid w:val="006E3579"/>
    <w:rsid w:val="006F6680"/>
    <w:rsid w:val="006F75CE"/>
    <w:rsid w:val="00732472"/>
    <w:rsid w:val="00736348"/>
    <w:rsid w:val="007511B0"/>
    <w:rsid w:val="00770B9A"/>
    <w:rsid w:val="00771308"/>
    <w:rsid w:val="0077388D"/>
    <w:rsid w:val="007A2373"/>
    <w:rsid w:val="00804B12"/>
    <w:rsid w:val="008323F0"/>
    <w:rsid w:val="008333FB"/>
    <w:rsid w:val="00853341"/>
    <w:rsid w:val="00857BB8"/>
    <w:rsid w:val="0086631A"/>
    <w:rsid w:val="00866CF8"/>
    <w:rsid w:val="0087374A"/>
    <w:rsid w:val="008767C6"/>
    <w:rsid w:val="008C138A"/>
    <w:rsid w:val="008D7BB2"/>
    <w:rsid w:val="008E5264"/>
    <w:rsid w:val="008E664D"/>
    <w:rsid w:val="008F0FBC"/>
    <w:rsid w:val="00925F15"/>
    <w:rsid w:val="0095645D"/>
    <w:rsid w:val="009657AB"/>
    <w:rsid w:val="0098401E"/>
    <w:rsid w:val="0098460E"/>
    <w:rsid w:val="00986F24"/>
    <w:rsid w:val="009D30D3"/>
    <w:rsid w:val="009E680B"/>
    <w:rsid w:val="009F7239"/>
    <w:rsid w:val="00A15A1F"/>
    <w:rsid w:val="00A3325A"/>
    <w:rsid w:val="00A47CBE"/>
    <w:rsid w:val="00A50DC2"/>
    <w:rsid w:val="00A62952"/>
    <w:rsid w:val="00A756BB"/>
    <w:rsid w:val="00A80FF5"/>
    <w:rsid w:val="00AC5797"/>
    <w:rsid w:val="00AF108A"/>
    <w:rsid w:val="00B02E55"/>
    <w:rsid w:val="00B06EF5"/>
    <w:rsid w:val="00B23C4B"/>
    <w:rsid w:val="00B61791"/>
    <w:rsid w:val="00B8205D"/>
    <w:rsid w:val="00B9594A"/>
    <w:rsid w:val="00BA4D7E"/>
    <w:rsid w:val="00BC6FDE"/>
    <w:rsid w:val="00BE5835"/>
    <w:rsid w:val="00BF7FE0"/>
    <w:rsid w:val="00C00117"/>
    <w:rsid w:val="00C35E67"/>
    <w:rsid w:val="00C47DDE"/>
    <w:rsid w:val="00C575DB"/>
    <w:rsid w:val="00C61243"/>
    <w:rsid w:val="00C9195E"/>
    <w:rsid w:val="00CA7DBE"/>
    <w:rsid w:val="00CD39EC"/>
    <w:rsid w:val="00CF58B7"/>
    <w:rsid w:val="00D351C1"/>
    <w:rsid w:val="00D65F62"/>
    <w:rsid w:val="00D84096"/>
    <w:rsid w:val="00D86BF0"/>
    <w:rsid w:val="00D873DF"/>
    <w:rsid w:val="00D878F9"/>
    <w:rsid w:val="00D92534"/>
    <w:rsid w:val="00DA37BC"/>
    <w:rsid w:val="00DA6179"/>
    <w:rsid w:val="00DC2A82"/>
    <w:rsid w:val="00DC5E0A"/>
    <w:rsid w:val="00DE29F6"/>
    <w:rsid w:val="00E51920"/>
    <w:rsid w:val="00E5288A"/>
    <w:rsid w:val="00E64120"/>
    <w:rsid w:val="00E71678"/>
    <w:rsid w:val="00E9588A"/>
    <w:rsid w:val="00EA650C"/>
    <w:rsid w:val="00EE437C"/>
    <w:rsid w:val="00EF5EFB"/>
    <w:rsid w:val="00F055F1"/>
    <w:rsid w:val="00F6208D"/>
    <w:rsid w:val="00F858CA"/>
    <w:rsid w:val="00FB1BAF"/>
    <w:rsid w:val="00FC10ED"/>
    <w:rsid w:val="00FC2D11"/>
    <w:rsid w:val="00FC6230"/>
    <w:rsid w:val="00FF1182"/>
    <w:rsid w:val="00FF61E7"/>
    <w:rsid w:val="41082EED"/>
    <w:rsid w:val="5C6E9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22"/>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22"/>
      </w:numPr>
      <w:spacing w:line="360" w:lineRule="auto"/>
    </w:pPr>
    <w:rPr>
      <w:rFonts w:cs="Arial"/>
      <w:lang w:eastAsia="en-US"/>
    </w:rPr>
  </w:style>
  <w:style w:type="paragraph" w:customStyle="1" w:styleId="Numberedheading3">
    <w:name w:val="Numbered heading 3"/>
    <w:basedOn w:val="Heading3"/>
    <w:next w:val="Normal"/>
    <w:rsid w:val="00BC6FDE"/>
    <w:pPr>
      <w:numPr>
        <w:ilvl w:val="2"/>
        <w:numId w:val="22"/>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22"/>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semiHidden/>
    <w:rsid w:val="005C7183"/>
    <w:rPr>
      <w:sz w:val="20"/>
      <w:szCs w:val="20"/>
    </w:rPr>
  </w:style>
  <w:style w:type="paragraph" w:styleId="CommentSubject">
    <w:name w:val="annotation subject"/>
    <w:basedOn w:val="CommentText"/>
    <w:next w:val="CommentText"/>
    <w:semiHidden/>
    <w:rsid w:val="005C7183"/>
    <w:rPr>
      <w:b/>
      <w:bCs/>
    </w:rPr>
  </w:style>
  <w:style w:type="character" w:customStyle="1" w:styleId="normaltextrun">
    <w:name w:val="normaltextrun"/>
    <w:basedOn w:val="DefaultParagraphFont"/>
    <w:rsid w:val="00771308"/>
  </w:style>
  <w:style w:type="character" w:customStyle="1" w:styleId="eop">
    <w:name w:val="eop"/>
    <w:basedOn w:val="DefaultParagraphFont"/>
    <w:rsid w:val="00771308"/>
  </w:style>
  <w:style w:type="character" w:styleId="Hyperlink">
    <w:name w:val="Hyperlink"/>
    <w:basedOn w:val="DefaultParagraphFont"/>
    <w:semiHidden/>
    <w:rsid w:val="00C575DB"/>
    <w:rPr>
      <w:color w:val="0563C1" w:themeColor="hyperlink"/>
      <w:u w:val="single"/>
    </w:rPr>
  </w:style>
  <w:style w:type="character" w:styleId="UnresolvedMention">
    <w:name w:val="Unresolved Mention"/>
    <w:basedOn w:val="DefaultParagraphFont"/>
    <w:uiPriority w:val="99"/>
    <w:semiHidden/>
    <w:unhideWhenUsed/>
    <w:rsid w:val="00C5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a54fe-435b-4423-8fe2-c9a3626b31f7">
      <Terms xmlns="http://schemas.microsoft.com/office/infopath/2007/PartnerControls"/>
    </lcf76f155ced4ddcb4097134ff3c332f>
    <TaxCatchAll xmlns="0eb656aa-4e79-4e95-9076-bc119a23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0C1E9-9BB7-4DEE-91B7-B18E0B48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2EB5B-8DDB-47C1-A7A3-656C59AD3EC0}">
  <ds:schemaRefs>
    <ds:schemaRef ds:uri="http://schemas.microsoft.com/office/infopath/2007/PartnerControls"/>
    <ds:schemaRef ds:uri="http://purl.org/dc/elements/1.1/"/>
    <ds:schemaRef ds:uri="http://www.w3.org/XML/1998/namespace"/>
    <ds:schemaRef ds:uri="http://purl.org/dc/terms/"/>
    <ds:schemaRef ds:uri="http://purl.org/dc/dcmitype/"/>
    <ds:schemaRef ds:uri="0eb656aa-4e79-4e95-9076-bc119a23e0cc"/>
    <ds:schemaRef ds:uri="http://schemas.microsoft.com/office/2006/documentManagement/types"/>
    <ds:schemaRef ds:uri="http://schemas.openxmlformats.org/package/2006/metadata/core-properties"/>
    <ds:schemaRef ds:uri="68f19371-ebe6-4483-8e72-73d36cd7064e"/>
    <ds:schemaRef ds:uri="465a54fe-435b-4423-8fe2-c9a3626b31f7"/>
    <ds:schemaRef ds:uri="http://schemas.microsoft.com/office/2006/metadata/properties"/>
  </ds:schemaRefs>
</ds:datastoreItem>
</file>

<file path=customXml/itemProps3.xml><?xml version="1.0" encoding="utf-8"?>
<ds:datastoreItem xmlns:ds="http://schemas.openxmlformats.org/officeDocument/2006/customXml" ds:itemID="{3EBCEC45-179B-4F37-8A3A-BE8A8D37C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6992</Characters>
  <Application>Microsoft Office Word</Application>
  <DocSecurity>0</DocSecurity>
  <Lines>174</Lines>
  <Paragraphs>58</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2026-01-21T10:04:00Z</dcterms:created>
  <dcterms:modified xsi:type="dcterms:W3CDTF">2026-03-20T10:56:00Z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2026-01-21T10:04:48Z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03629f06-2d99-4b17-ad0a-5a51fa9c9148</vt:lpwstr>
  </property>
  <property fmtid="{D5CDD505-2E9C-101B-9397-08002B2CF9AE}" pid="10" name="MSIP_Label_c69d85d5-6d9e-4305-a294-1f636ec0f2d6_ContentBits">
    <vt:lpwstr>0</vt:lpwstr>
  </property>
  <property fmtid="{D5CDD505-2E9C-101B-9397-08002B2CF9AE}" pid="11" name="MSIP_Label_c69d85d5-6d9e-4305-a294-1f636ec0f2d6_Tag">
    <vt:lpwstr>10, 3, 0, 2</vt:lpwstr>
  </property>
</Properties>
</file>