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1ED31002" w:rsidR="00D47BA7" w:rsidRPr="00D8132E" w:rsidRDefault="00A43DA6" w:rsidP="00A43DA6">
      <w:pPr>
        <w:spacing w:line="276" w:lineRule="auto"/>
        <w:ind w:hanging="567"/>
        <w:rPr>
          <w:rFonts w:ascii="Arial" w:hAnsi="Arial" w:cs="Arial"/>
          <w:b/>
          <w:bCs/>
          <w:color w:val="00506A"/>
          <w:sz w:val="28"/>
          <w:szCs w:val="28"/>
        </w:rPr>
      </w:pPr>
      <w:r w:rsidRPr="00D8132E">
        <w:rPr>
          <w:rFonts w:ascii="Arial" w:hAnsi="Arial" w:cs="Arial"/>
          <w:b/>
          <w:bCs/>
          <w:color w:val="00506A"/>
          <w:sz w:val="28"/>
          <w:szCs w:val="28"/>
        </w:rPr>
        <w:t xml:space="preserve">Technology </w:t>
      </w:r>
      <w:r w:rsidR="00D47BA7" w:rsidRPr="00D8132E">
        <w:rPr>
          <w:rFonts w:ascii="Arial" w:hAnsi="Arial" w:cs="Arial"/>
          <w:b/>
          <w:bCs/>
          <w:color w:val="00506A"/>
          <w:sz w:val="28"/>
          <w:szCs w:val="28"/>
        </w:rPr>
        <w:t>A</w:t>
      </w:r>
      <w:r w:rsidR="00FA0496">
        <w:rPr>
          <w:rFonts w:ascii="Arial" w:hAnsi="Arial" w:cs="Arial"/>
          <w:b/>
          <w:bCs/>
          <w:color w:val="00506A"/>
          <w:sz w:val="28"/>
          <w:szCs w:val="28"/>
        </w:rPr>
        <w:t>ppraisal</w:t>
      </w:r>
      <w:r w:rsidR="00D47BA7" w:rsidRPr="00D8132E">
        <w:rPr>
          <w:rFonts w:ascii="Arial" w:hAnsi="Arial" w:cs="Arial"/>
          <w:b/>
          <w:bCs/>
          <w:color w:val="00506A"/>
          <w:sz w:val="28"/>
          <w:szCs w:val="28"/>
        </w:rPr>
        <w:t xml:space="preserve"> Committee</w:t>
      </w:r>
      <w:r w:rsidR="004A2D1D" w:rsidRPr="00D8132E">
        <w:rPr>
          <w:rFonts w:ascii="Arial" w:hAnsi="Arial" w:cs="Arial"/>
          <w:b/>
          <w:bCs/>
          <w:color w:val="00506A"/>
          <w:sz w:val="28"/>
          <w:szCs w:val="28"/>
        </w:rPr>
        <w:t xml:space="preserve"> </w:t>
      </w:r>
      <w:proofErr w:type="gramStart"/>
      <w:r w:rsidR="00594A5B">
        <w:rPr>
          <w:rFonts w:ascii="Arial" w:hAnsi="Arial" w:cs="Arial"/>
          <w:b/>
          <w:bCs/>
          <w:color w:val="00506A"/>
          <w:sz w:val="28"/>
          <w:szCs w:val="28"/>
        </w:rPr>
        <w:t>A</w:t>
      </w:r>
      <w:proofErr w:type="gramEnd"/>
      <w:r w:rsidR="00FA0496">
        <w:rPr>
          <w:rFonts w:ascii="Arial" w:hAnsi="Arial" w:cs="Arial"/>
          <w:b/>
          <w:bCs/>
          <w:color w:val="00506A"/>
          <w:sz w:val="28"/>
          <w:szCs w:val="28"/>
        </w:rPr>
        <w:t xml:space="preserve"> </w:t>
      </w:r>
      <w:r w:rsidR="004A2D1D" w:rsidRPr="00D8132E">
        <w:rPr>
          <w:rFonts w:ascii="Arial" w:hAnsi="Arial" w:cs="Arial"/>
          <w:b/>
          <w:bCs/>
          <w:color w:val="00506A"/>
          <w:sz w:val="28"/>
          <w:szCs w:val="28"/>
        </w:rPr>
        <w:t>Interests Register</w:t>
      </w:r>
    </w:p>
    <w:p w14:paraId="37503272" w14:textId="153878B0" w:rsidR="002029E7" w:rsidRDefault="009E271E" w:rsidP="00706811">
      <w:pPr>
        <w:spacing w:line="276" w:lineRule="auto"/>
        <w:ind w:left="-567"/>
        <w:rPr>
          <w:rFonts w:ascii="Arial" w:hAnsi="Arial" w:cs="Arial"/>
          <w:b/>
          <w:bCs/>
          <w:color w:val="00506A"/>
          <w:sz w:val="28"/>
          <w:szCs w:val="28"/>
        </w:rPr>
      </w:pPr>
      <w:r>
        <w:rPr>
          <w:rFonts w:ascii="Arial" w:hAnsi="Arial" w:cs="Arial"/>
          <w:b/>
          <w:bCs/>
          <w:color w:val="00506A"/>
          <w:sz w:val="28"/>
          <w:szCs w:val="28"/>
        </w:rPr>
        <w:t>Topic:</w:t>
      </w:r>
      <w:r w:rsidR="00594A5B">
        <w:rPr>
          <w:rFonts w:ascii="Arial" w:hAnsi="Arial" w:cs="Arial"/>
          <w:b/>
          <w:bCs/>
          <w:color w:val="00506A"/>
          <w:sz w:val="28"/>
          <w:szCs w:val="28"/>
        </w:rPr>
        <w:t xml:space="preserve"> </w:t>
      </w:r>
      <w:r w:rsidR="00594A5B" w:rsidRPr="00594A5B">
        <w:rPr>
          <w:rFonts w:ascii="Arial" w:hAnsi="Arial" w:cs="Arial"/>
          <w:b/>
          <w:bCs/>
          <w:color w:val="00506A"/>
          <w:sz w:val="28"/>
          <w:szCs w:val="28"/>
        </w:rPr>
        <w:t>ID6325</w:t>
      </w:r>
      <w:r>
        <w:rPr>
          <w:rFonts w:ascii="Arial" w:hAnsi="Arial" w:cs="Arial"/>
          <w:b/>
          <w:bCs/>
          <w:color w:val="00506A"/>
          <w:sz w:val="28"/>
          <w:szCs w:val="28"/>
        </w:rPr>
        <w:t xml:space="preserve"> </w:t>
      </w:r>
      <w:proofErr w:type="spellStart"/>
      <w:r w:rsidR="00594A5B" w:rsidRPr="00594A5B">
        <w:rPr>
          <w:rFonts w:ascii="Arial" w:hAnsi="Arial" w:cs="Arial"/>
          <w:b/>
          <w:bCs/>
          <w:color w:val="00506A"/>
          <w:sz w:val="28"/>
          <w:szCs w:val="28"/>
        </w:rPr>
        <w:t>Brexucabtagene</w:t>
      </w:r>
      <w:proofErr w:type="spellEnd"/>
      <w:r w:rsidR="00594A5B" w:rsidRPr="00594A5B">
        <w:rPr>
          <w:rFonts w:ascii="Arial" w:hAnsi="Arial" w:cs="Arial"/>
          <w:b/>
          <w:bCs/>
          <w:color w:val="00506A"/>
          <w:sz w:val="28"/>
          <w:szCs w:val="28"/>
        </w:rPr>
        <w:t xml:space="preserve"> </w:t>
      </w:r>
      <w:proofErr w:type="spellStart"/>
      <w:r w:rsidR="00594A5B" w:rsidRPr="00594A5B">
        <w:rPr>
          <w:rFonts w:ascii="Arial" w:hAnsi="Arial" w:cs="Arial"/>
          <w:b/>
          <w:bCs/>
          <w:color w:val="00506A"/>
          <w:sz w:val="28"/>
          <w:szCs w:val="28"/>
        </w:rPr>
        <w:t>autoleucel</w:t>
      </w:r>
      <w:proofErr w:type="spellEnd"/>
      <w:r w:rsidR="00594A5B" w:rsidRPr="00594A5B">
        <w:rPr>
          <w:rFonts w:ascii="Arial" w:hAnsi="Arial" w:cs="Arial"/>
          <w:b/>
          <w:bCs/>
          <w:color w:val="00506A"/>
          <w:sz w:val="28"/>
          <w:szCs w:val="28"/>
        </w:rPr>
        <w:t xml:space="preserve"> for treating relapsed or refractory mantle cell lymphoma after 2 or more systemic treatments (review of TA677)</w:t>
      </w:r>
    </w:p>
    <w:p w14:paraId="74C01AEC" w14:textId="23F4EADB" w:rsidR="00D47BA7" w:rsidRPr="00A43DA6" w:rsidRDefault="00D47BA7" w:rsidP="00A43DA6">
      <w:pPr>
        <w:spacing w:line="276" w:lineRule="auto"/>
        <w:ind w:hanging="567"/>
        <w:rPr>
          <w:rFonts w:ascii="Arial" w:hAnsi="Arial" w:cs="Arial"/>
          <w:b/>
          <w:bCs/>
          <w:color w:val="00506A"/>
          <w:sz w:val="28"/>
          <w:szCs w:val="28"/>
        </w:rPr>
      </w:pPr>
      <w:r w:rsidRPr="00D8132E">
        <w:rPr>
          <w:rFonts w:ascii="Arial" w:hAnsi="Arial" w:cs="Arial"/>
          <w:b/>
          <w:bCs/>
          <w:color w:val="00506A"/>
          <w:sz w:val="28"/>
          <w:szCs w:val="28"/>
        </w:rPr>
        <w:t>Publication Date:</w:t>
      </w:r>
      <w:r w:rsidR="003404D8" w:rsidRPr="00D8132E">
        <w:rPr>
          <w:rFonts w:ascii="Arial" w:hAnsi="Arial" w:cs="Arial"/>
          <w:b/>
          <w:bCs/>
          <w:color w:val="00506A"/>
          <w:sz w:val="28"/>
          <w:szCs w:val="28"/>
        </w:rPr>
        <w:t xml:space="preserve"> </w:t>
      </w:r>
      <w:r w:rsidR="00F40D32">
        <w:rPr>
          <w:rFonts w:ascii="Arial" w:hAnsi="Arial" w:cs="Arial"/>
          <w:b/>
          <w:bCs/>
          <w:color w:val="00506A"/>
          <w:sz w:val="28"/>
          <w:szCs w:val="28"/>
        </w:rPr>
        <w:t>05 November 2025</w:t>
      </w:r>
    </w:p>
    <w:p w14:paraId="1C7CC411" w14:textId="77777777" w:rsidR="00D47BA7" w:rsidRDefault="00D47BA7"/>
    <w:tbl>
      <w:tblPr>
        <w:tblStyle w:val="TableGrid"/>
        <w:tblW w:w="5000" w:type="pct"/>
        <w:tblLook w:val="04A0" w:firstRow="1" w:lastRow="0" w:firstColumn="1" w:lastColumn="0" w:noHBand="0" w:noVBand="1"/>
      </w:tblPr>
      <w:tblGrid>
        <w:gridCol w:w="2134"/>
        <w:gridCol w:w="1741"/>
        <w:gridCol w:w="1939"/>
        <w:gridCol w:w="3799"/>
        <w:gridCol w:w="1467"/>
        <w:gridCol w:w="2868"/>
      </w:tblGrid>
      <w:tr w:rsidR="00134F18" w:rsidRPr="009F66BF" w14:paraId="111674D1" w14:textId="77777777" w:rsidTr="00594A5B">
        <w:trPr>
          <w:trHeight w:val="775"/>
          <w:tblHeader/>
        </w:trPr>
        <w:tc>
          <w:tcPr>
            <w:tcW w:w="765" w:type="pct"/>
          </w:tcPr>
          <w:p w14:paraId="626159D9" w14:textId="77777777" w:rsidR="005C6BC7" w:rsidRPr="009F66BF" w:rsidRDefault="005C6BC7" w:rsidP="00492FE1">
            <w:pPr>
              <w:pStyle w:val="Title"/>
              <w:rPr>
                <w:color w:val="00506A"/>
                <w:sz w:val="22"/>
                <w:szCs w:val="22"/>
              </w:rPr>
            </w:pPr>
            <w:r w:rsidRPr="009F66BF">
              <w:rPr>
                <w:color w:val="00506A"/>
                <w:sz w:val="22"/>
                <w:szCs w:val="22"/>
              </w:rPr>
              <w:t>Name</w:t>
            </w:r>
          </w:p>
        </w:tc>
        <w:tc>
          <w:tcPr>
            <w:tcW w:w="624" w:type="pct"/>
          </w:tcPr>
          <w:p w14:paraId="4BC0C4D4" w14:textId="77777777" w:rsidR="005C6BC7" w:rsidRPr="009F66BF" w:rsidRDefault="005C6BC7" w:rsidP="00492FE1">
            <w:pPr>
              <w:pStyle w:val="Title"/>
              <w:rPr>
                <w:color w:val="00506A"/>
                <w:sz w:val="22"/>
                <w:szCs w:val="22"/>
              </w:rPr>
            </w:pPr>
            <w:r w:rsidRPr="009F66BF">
              <w:rPr>
                <w:color w:val="00506A"/>
                <w:sz w:val="22"/>
                <w:szCs w:val="22"/>
              </w:rPr>
              <w:t>Role</w:t>
            </w:r>
            <w:r>
              <w:rPr>
                <w:color w:val="00506A"/>
                <w:sz w:val="22"/>
                <w:szCs w:val="22"/>
              </w:rPr>
              <w:t xml:space="preserve"> with NICE</w:t>
            </w:r>
          </w:p>
        </w:tc>
        <w:tc>
          <w:tcPr>
            <w:tcW w:w="695" w:type="pct"/>
          </w:tcPr>
          <w:p w14:paraId="3D4BE18B" w14:textId="77777777" w:rsidR="005C6BC7" w:rsidRPr="009F66BF" w:rsidRDefault="005C6BC7" w:rsidP="00492FE1">
            <w:pPr>
              <w:pStyle w:val="Title"/>
              <w:rPr>
                <w:color w:val="00506A"/>
                <w:sz w:val="22"/>
                <w:szCs w:val="22"/>
              </w:rPr>
            </w:pPr>
            <w:r w:rsidRPr="009F66BF">
              <w:rPr>
                <w:color w:val="00506A"/>
                <w:sz w:val="22"/>
                <w:szCs w:val="22"/>
              </w:rPr>
              <w:t>Type of interest</w:t>
            </w:r>
          </w:p>
        </w:tc>
        <w:tc>
          <w:tcPr>
            <w:tcW w:w="1362" w:type="pct"/>
          </w:tcPr>
          <w:p w14:paraId="231853E2" w14:textId="77777777" w:rsidR="005C6BC7" w:rsidRPr="009F66BF" w:rsidRDefault="005C6BC7" w:rsidP="00492FE1">
            <w:pPr>
              <w:pStyle w:val="Title"/>
              <w:rPr>
                <w:color w:val="00506A"/>
                <w:sz w:val="22"/>
                <w:szCs w:val="22"/>
              </w:rPr>
            </w:pPr>
            <w:r w:rsidRPr="009F66BF">
              <w:rPr>
                <w:color w:val="00506A"/>
                <w:sz w:val="22"/>
                <w:szCs w:val="22"/>
              </w:rPr>
              <w:t>Description of interest</w:t>
            </w:r>
          </w:p>
        </w:tc>
        <w:tc>
          <w:tcPr>
            <w:tcW w:w="526" w:type="pct"/>
          </w:tcPr>
          <w:p w14:paraId="07D4B157" w14:textId="77777777" w:rsidR="005C6BC7" w:rsidRPr="004602D6" w:rsidRDefault="005C6BC7" w:rsidP="00492FE1">
            <w:pPr>
              <w:pStyle w:val="Title"/>
              <w:spacing w:after="0"/>
              <w:rPr>
                <w:color w:val="00506A"/>
                <w:sz w:val="20"/>
                <w:szCs w:val="20"/>
              </w:rPr>
            </w:pPr>
            <w:r w:rsidRPr="004602D6">
              <w:rPr>
                <w:color w:val="00506A"/>
                <w:sz w:val="20"/>
                <w:szCs w:val="20"/>
              </w:rPr>
              <w:t>Interest</w:t>
            </w:r>
          </w:p>
          <w:p w14:paraId="79047174" w14:textId="05A416BF" w:rsidR="005C6BC7" w:rsidRPr="009F66BF" w:rsidRDefault="005C6BC7" w:rsidP="00492FE1">
            <w:pPr>
              <w:pStyle w:val="Title"/>
              <w:spacing w:before="0" w:after="0"/>
              <w:rPr>
                <w:color w:val="00506A"/>
                <w:sz w:val="22"/>
                <w:szCs w:val="22"/>
              </w:rPr>
            </w:pPr>
            <w:r w:rsidRPr="004602D6">
              <w:rPr>
                <w:color w:val="00506A"/>
                <w:sz w:val="20"/>
                <w:szCs w:val="20"/>
              </w:rPr>
              <w:t>declared</w:t>
            </w:r>
          </w:p>
        </w:tc>
        <w:tc>
          <w:tcPr>
            <w:tcW w:w="1028" w:type="pct"/>
          </w:tcPr>
          <w:p w14:paraId="5A51D99E" w14:textId="77777777" w:rsidR="005C6BC7" w:rsidRPr="009F66BF" w:rsidRDefault="005C6BC7" w:rsidP="00492FE1">
            <w:pPr>
              <w:pStyle w:val="Title"/>
              <w:rPr>
                <w:color w:val="00506A"/>
                <w:sz w:val="22"/>
                <w:szCs w:val="22"/>
              </w:rPr>
            </w:pPr>
            <w:r w:rsidRPr="009F66BF">
              <w:rPr>
                <w:color w:val="00506A"/>
                <w:sz w:val="22"/>
                <w:szCs w:val="22"/>
              </w:rPr>
              <w:t>Comments</w:t>
            </w:r>
          </w:p>
        </w:tc>
      </w:tr>
      <w:tr w:rsidR="00134F18" w14:paraId="7C538747" w14:textId="77777777" w:rsidTr="00594A5B">
        <w:tc>
          <w:tcPr>
            <w:tcW w:w="765" w:type="pct"/>
          </w:tcPr>
          <w:p w14:paraId="5A9ABA95" w14:textId="0BCDFD9F" w:rsidR="005C6BC7" w:rsidRPr="004415DB" w:rsidRDefault="00594A5B" w:rsidP="00492FE1">
            <w:pPr>
              <w:pStyle w:val="Paragraph"/>
              <w:jc w:val="center"/>
              <w:rPr>
                <w:rFonts w:ascii="Arial" w:hAnsi="Arial" w:cs="Arial"/>
                <w:iCs/>
              </w:rPr>
            </w:pPr>
            <w:r w:rsidRPr="00594A5B">
              <w:rPr>
                <w:rFonts w:ascii="Arial" w:hAnsi="Arial" w:cs="Arial"/>
                <w:iCs/>
              </w:rPr>
              <w:t>Zoe Phillips</w:t>
            </w:r>
          </w:p>
        </w:tc>
        <w:tc>
          <w:tcPr>
            <w:tcW w:w="624" w:type="pct"/>
          </w:tcPr>
          <w:p w14:paraId="7CF4D325" w14:textId="0AB2A29C" w:rsidR="005C6BC7" w:rsidRPr="004415DB" w:rsidRDefault="00594A5B" w:rsidP="00492FE1">
            <w:pPr>
              <w:pStyle w:val="Paragraph"/>
              <w:jc w:val="center"/>
              <w:rPr>
                <w:rFonts w:ascii="Arial" w:hAnsi="Arial" w:cs="Arial"/>
                <w:iCs/>
              </w:rPr>
            </w:pPr>
            <w:r>
              <w:rPr>
                <w:rFonts w:ascii="Arial" w:hAnsi="Arial" w:cs="Arial"/>
                <w:iCs/>
              </w:rPr>
              <w:t>TAC Committee Member</w:t>
            </w:r>
          </w:p>
        </w:tc>
        <w:tc>
          <w:tcPr>
            <w:tcW w:w="695" w:type="pct"/>
          </w:tcPr>
          <w:p w14:paraId="57553DA8" w14:textId="5FCCDB52" w:rsidR="005C6BC7" w:rsidRPr="004415DB" w:rsidRDefault="00594A5B" w:rsidP="00492FE1">
            <w:pPr>
              <w:pStyle w:val="Paragraph"/>
              <w:jc w:val="center"/>
              <w:rPr>
                <w:rFonts w:ascii="Arial" w:hAnsi="Arial" w:cs="Arial"/>
                <w:iCs/>
              </w:rPr>
            </w:pPr>
            <w:r>
              <w:rPr>
                <w:rFonts w:ascii="Arial" w:hAnsi="Arial" w:cs="Arial"/>
                <w:iCs/>
              </w:rPr>
              <w:t xml:space="preserve">Indirect – </w:t>
            </w:r>
            <w:r w:rsidRPr="00594A5B">
              <w:rPr>
                <w:rFonts w:ascii="Arial" w:hAnsi="Arial" w:cs="Arial"/>
                <w:iCs/>
              </w:rPr>
              <w:t>Financial Interests</w:t>
            </w:r>
          </w:p>
        </w:tc>
        <w:tc>
          <w:tcPr>
            <w:tcW w:w="1362" w:type="pct"/>
          </w:tcPr>
          <w:p w14:paraId="134CEC09" w14:textId="15CA5411" w:rsidR="00134F18" w:rsidRDefault="00134F18" w:rsidP="00492FE1">
            <w:pPr>
              <w:pStyle w:val="Paragraph"/>
              <w:rPr>
                <w:rFonts w:ascii="Arial" w:hAnsi="Arial" w:cs="Arial"/>
                <w:iCs/>
              </w:rPr>
            </w:pPr>
            <w:r>
              <w:rPr>
                <w:rFonts w:ascii="Arial" w:hAnsi="Arial" w:cs="Arial"/>
                <w:iCs/>
              </w:rPr>
              <w:t xml:space="preserve">Zoe </w:t>
            </w:r>
            <w:r w:rsidRPr="00134F18">
              <w:rPr>
                <w:rFonts w:ascii="Arial" w:hAnsi="Arial" w:cs="Arial"/>
                <w:iCs/>
              </w:rPr>
              <w:t>ha</w:t>
            </w:r>
            <w:r>
              <w:rPr>
                <w:rFonts w:ascii="Arial" w:hAnsi="Arial" w:cs="Arial"/>
                <w:iCs/>
              </w:rPr>
              <w:t>s</w:t>
            </w:r>
            <w:r w:rsidRPr="00134F18">
              <w:rPr>
                <w:rFonts w:ascii="Arial" w:hAnsi="Arial" w:cs="Arial"/>
                <w:iCs/>
              </w:rPr>
              <w:t xml:space="preserve"> provided consultancy (as a paid employee of a consultancy company) to companies listed as possible comparators. Both for different products and in different indications.</w:t>
            </w:r>
          </w:p>
          <w:p w14:paraId="7C2B42C0" w14:textId="5DF1761C" w:rsidR="005C6BC7" w:rsidRPr="004415DB" w:rsidRDefault="00594A5B" w:rsidP="00492FE1">
            <w:pPr>
              <w:pStyle w:val="Paragraph"/>
              <w:rPr>
                <w:rFonts w:ascii="Arial" w:hAnsi="Arial" w:cs="Arial"/>
                <w:iCs/>
              </w:rPr>
            </w:pPr>
            <w:r>
              <w:rPr>
                <w:rFonts w:ascii="Arial" w:hAnsi="Arial" w:cs="Arial"/>
                <w:iCs/>
              </w:rPr>
              <w:t>Zoe has</w:t>
            </w:r>
            <w:r w:rsidRPr="00594A5B">
              <w:rPr>
                <w:rFonts w:ascii="Arial" w:hAnsi="Arial" w:cs="Arial"/>
                <w:iCs/>
              </w:rPr>
              <w:t xml:space="preserve"> received income (via salary) by working as a consultant for one of the comparator companies (Jazz) but on a different indication and compound.</w:t>
            </w:r>
          </w:p>
        </w:tc>
        <w:tc>
          <w:tcPr>
            <w:tcW w:w="526" w:type="pct"/>
          </w:tcPr>
          <w:p w14:paraId="64AC4692" w14:textId="77777777" w:rsidR="00134F18" w:rsidRDefault="00134F18" w:rsidP="00492FE1">
            <w:pPr>
              <w:pStyle w:val="Paragraph"/>
              <w:jc w:val="center"/>
              <w:rPr>
                <w:rFonts w:ascii="Arial" w:hAnsi="Arial" w:cs="Arial"/>
                <w:iCs/>
              </w:rPr>
            </w:pPr>
            <w:r>
              <w:rPr>
                <w:rFonts w:ascii="Arial" w:hAnsi="Arial" w:cs="Arial"/>
                <w:iCs/>
              </w:rPr>
              <w:t>29/07/2025</w:t>
            </w:r>
          </w:p>
          <w:p w14:paraId="55C6028F" w14:textId="40A713B8" w:rsidR="005C6BC7" w:rsidRPr="004415DB" w:rsidRDefault="00594A5B" w:rsidP="00492FE1">
            <w:pPr>
              <w:pStyle w:val="Paragraph"/>
              <w:jc w:val="center"/>
              <w:rPr>
                <w:rFonts w:ascii="Arial" w:hAnsi="Arial" w:cs="Arial"/>
                <w:iCs/>
              </w:rPr>
            </w:pPr>
            <w:r>
              <w:rPr>
                <w:rFonts w:ascii="Arial" w:hAnsi="Arial" w:cs="Arial"/>
                <w:iCs/>
              </w:rPr>
              <w:t>22/05/2025</w:t>
            </w:r>
          </w:p>
        </w:tc>
        <w:tc>
          <w:tcPr>
            <w:tcW w:w="1028" w:type="pct"/>
          </w:tcPr>
          <w:p w14:paraId="1619F187" w14:textId="0E24F5C6" w:rsidR="005C6BC7" w:rsidRPr="004415DB" w:rsidRDefault="00594A5B" w:rsidP="00492FE1">
            <w:pPr>
              <w:pStyle w:val="Paragraph"/>
              <w:rPr>
                <w:rFonts w:ascii="Arial" w:hAnsi="Arial" w:cs="Arial"/>
                <w:iCs/>
              </w:rPr>
            </w:pPr>
            <w:r w:rsidRPr="00594A5B">
              <w:rPr>
                <w:rFonts w:ascii="Arial" w:hAnsi="Arial" w:cs="Arial"/>
                <w:iCs/>
              </w:rPr>
              <w:t>It was agreed that Zoe's declaration would not prevent her from participating in discussions on this appraisal.</w:t>
            </w:r>
          </w:p>
        </w:tc>
      </w:tr>
      <w:tr w:rsidR="00134F18" w14:paraId="07D6FE42" w14:textId="77777777" w:rsidTr="00594A5B">
        <w:tc>
          <w:tcPr>
            <w:tcW w:w="765" w:type="pct"/>
          </w:tcPr>
          <w:p w14:paraId="5D5835FE" w14:textId="24107682" w:rsidR="005C6BC7" w:rsidRPr="004415DB" w:rsidRDefault="00594A5B" w:rsidP="00492FE1">
            <w:pPr>
              <w:pStyle w:val="Paragraph"/>
              <w:jc w:val="center"/>
              <w:rPr>
                <w:rFonts w:ascii="Arial" w:hAnsi="Arial" w:cs="Arial"/>
                <w:iCs/>
              </w:rPr>
            </w:pPr>
            <w:r w:rsidRPr="00594A5B">
              <w:rPr>
                <w:rFonts w:ascii="Arial" w:hAnsi="Arial" w:cs="Arial"/>
                <w:iCs/>
              </w:rPr>
              <w:t>Dominic Pivonka</w:t>
            </w:r>
          </w:p>
        </w:tc>
        <w:tc>
          <w:tcPr>
            <w:tcW w:w="624" w:type="pct"/>
          </w:tcPr>
          <w:p w14:paraId="1C1C2F76" w14:textId="7C702F1A" w:rsidR="005C6BC7" w:rsidRPr="004415DB" w:rsidRDefault="00594A5B" w:rsidP="00492FE1">
            <w:pPr>
              <w:pStyle w:val="Paragraph"/>
              <w:jc w:val="center"/>
              <w:rPr>
                <w:rFonts w:ascii="Arial" w:hAnsi="Arial" w:cs="Arial"/>
                <w:iCs/>
              </w:rPr>
            </w:pPr>
            <w:r>
              <w:rPr>
                <w:rFonts w:ascii="Arial" w:hAnsi="Arial" w:cs="Arial"/>
                <w:iCs/>
              </w:rPr>
              <w:t>TAC Committee Member</w:t>
            </w:r>
          </w:p>
        </w:tc>
        <w:tc>
          <w:tcPr>
            <w:tcW w:w="695" w:type="pct"/>
          </w:tcPr>
          <w:p w14:paraId="005581B6" w14:textId="19B00333" w:rsidR="005C6BC7" w:rsidRPr="004415DB" w:rsidRDefault="00594A5B" w:rsidP="00492FE1">
            <w:pPr>
              <w:pStyle w:val="Paragraph"/>
              <w:jc w:val="center"/>
              <w:rPr>
                <w:rFonts w:ascii="Arial" w:hAnsi="Arial" w:cs="Arial"/>
                <w:iCs/>
              </w:rPr>
            </w:pPr>
            <w:r>
              <w:rPr>
                <w:rFonts w:ascii="Arial" w:hAnsi="Arial" w:cs="Arial"/>
                <w:iCs/>
              </w:rPr>
              <w:t xml:space="preserve">Indirect – </w:t>
            </w:r>
            <w:r w:rsidRPr="00594A5B">
              <w:rPr>
                <w:rFonts w:ascii="Arial" w:hAnsi="Arial" w:cs="Arial"/>
                <w:iCs/>
              </w:rPr>
              <w:t>Financial Interests</w:t>
            </w:r>
          </w:p>
        </w:tc>
        <w:tc>
          <w:tcPr>
            <w:tcW w:w="1362" w:type="pct"/>
          </w:tcPr>
          <w:p w14:paraId="6B5DCD4D" w14:textId="4C66CA4A" w:rsidR="005C6BC7" w:rsidRPr="004415DB" w:rsidRDefault="00594A5B" w:rsidP="00492FE1">
            <w:pPr>
              <w:pStyle w:val="Paragraph"/>
              <w:rPr>
                <w:rFonts w:ascii="Arial" w:hAnsi="Arial" w:cs="Arial"/>
                <w:iCs/>
              </w:rPr>
            </w:pPr>
            <w:r>
              <w:rPr>
                <w:rFonts w:ascii="Arial" w:hAnsi="Arial" w:cs="Arial"/>
                <w:iCs/>
              </w:rPr>
              <w:t>Dominic’s</w:t>
            </w:r>
            <w:r w:rsidRPr="00594A5B">
              <w:rPr>
                <w:rFonts w:ascii="Arial" w:hAnsi="Arial" w:cs="Arial"/>
                <w:iCs/>
              </w:rPr>
              <w:t xml:space="preserve"> employer (AbbVie) has a treatment with positive phase 3 results for mantle cell lymphoma</w:t>
            </w:r>
          </w:p>
        </w:tc>
        <w:tc>
          <w:tcPr>
            <w:tcW w:w="526" w:type="pct"/>
          </w:tcPr>
          <w:p w14:paraId="0362E279" w14:textId="77777777" w:rsidR="00134F18" w:rsidRDefault="00134F18" w:rsidP="00492FE1">
            <w:pPr>
              <w:pStyle w:val="Paragraph"/>
              <w:jc w:val="center"/>
              <w:rPr>
                <w:rFonts w:ascii="Arial" w:hAnsi="Arial" w:cs="Arial"/>
                <w:iCs/>
              </w:rPr>
            </w:pPr>
            <w:r>
              <w:rPr>
                <w:rFonts w:ascii="Arial" w:hAnsi="Arial" w:cs="Arial"/>
                <w:iCs/>
              </w:rPr>
              <w:t>05/08/2025</w:t>
            </w:r>
          </w:p>
          <w:p w14:paraId="133D062A" w14:textId="3B45E4AF" w:rsidR="005C6BC7" w:rsidRPr="004415DB" w:rsidRDefault="00594A5B" w:rsidP="00492FE1">
            <w:pPr>
              <w:pStyle w:val="Paragraph"/>
              <w:jc w:val="center"/>
              <w:rPr>
                <w:rFonts w:ascii="Arial" w:hAnsi="Arial" w:cs="Arial"/>
                <w:iCs/>
              </w:rPr>
            </w:pPr>
            <w:r>
              <w:rPr>
                <w:rFonts w:ascii="Arial" w:hAnsi="Arial" w:cs="Arial"/>
                <w:iCs/>
              </w:rPr>
              <w:t>26/05/2025</w:t>
            </w:r>
          </w:p>
        </w:tc>
        <w:tc>
          <w:tcPr>
            <w:tcW w:w="1028" w:type="pct"/>
          </w:tcPr>
          <w:p w14:paraId="672EC20B" w14:textId="6154D15B" w:rsidR="005C6BC7" w:rsidRPr="004415DB" w:rsidRDefault="00594A5B" w:rsidP="00492FE1">
            <w:pPr>
              <w:pStyle w:val="Paragraph"/>
              <w:rPr>
                <w:rFonts w:ascii="Arial" w:hAnsi="Arial" w:cs="Arial"/>
                <w:iCs/>
              </w:rPr>
            </w:pPr>
            <w:r w:rsidRPr="00594A5B">
              <w:rPr>
                <w:rFonts w:ascii="Arial" w:hAnsi="Arial" w:cs="Arial"/>
                <w:iCs/>
              </w:rPr>
              <w:t>It was agreed that Dominic's declaration would prevent him from participating in discussions on this appraisal.</w:t>
            </w:r>
          </w:p>
        </w:tc>
      </w:tr>
      <w:tr w:rsidR="00134F18" w14:paraId="337FADC7" w14:textId="77777777" w:rsidTr="00594A5B">
        <w:tc>
          <w:tcPr>
            <w:tcW w:w="765" w:type="pct"/>
          </w:tcPr>
          <w:p w14:paraId="2CC78238" w14:textId="4F33E820" w:rsidR="00594A5B" w:rsidRPr="004415DB" w:rsidRDefault="00594A5B" w:rsidP="00594A5B">
            <w:pPr>
              <w:pStyle w:val="Paragraph"/>
              <w:jc w:val="center"/>
              <w:rPr>
                <w:rFonts w:ascii="Arial" w:hAnsi="Arial" w:cs="Arial"/>
                <w:iCs/>
              </w:rPr>
            </w:pPr>
            <w:r>
              <w:rPr>
                <w:rFonts w:ascii="Arial" w:hAnsi="Arial" w:cs="Arial"/>
                <w:iCs/>
              </w:rPr>
              <w:lastRenderedPageBreak/>
              <w:t>Hugo Pedder</w:t>
            </w:r>
          </w:p>
        </w:tc>
        <w:tc>
          <w:tcPr>
            <w:tcW w:w="624" w:type="pct"/>
          </w:tcPr>
          <w:p w14:paraId="7CDB68F8" w14:textId="0DBB7627" w:rsidR="00594A5B" w:rsidRPr="004415DB" w:rsidRDefault="00594A5B" w:rsidP="00594A5B">
            <w:pPr>
              <w:pStyle w:val="Paragraph"/>
              <w:jc w:val="center"/>
              <w:rPr>
                <w:rFonts w:ascii="Arial" w:hAnsi="Arial" w:cs="Arial"/>
                <w:iCs/>
              </w:rPr>
            </w:pPr>
            <w:r>
              <w:rPr>
                <w:rFonts w:ascii="Arial" w:hAnsi="Arial" w:cs="Arial"/>
                <w:iCs/>
              </w:rPr>
              <w:t>TAC Committee Member</w:t>
            </w:r>
          </w:p>
        </w:tc>
        <w:tc>
          <w:tcPr>
            <w:tcW w:w="695" w:type="pct"/>
          </w:tcPr>
          <w:p w14:paraId="0856EF01" w14:textId="5285588A" w:rsidR="00594A5B" w:rsidRPr="004415DB" w:rsidRDefault="00594A5B" w:rsidP="00594A5B">
            <w:pPr>
              <w:pStyle w:val="Paragraph"/>
              <w:jc w:val="center"/>
              <w:rPr>
                <w:rFonts w:ascii="Arial" w:hAnsi="Arial" w:cs="Arial"/>
                <w:iCs/>
              </w:rPr>
            </w:pPr>
            <w:r>
              <w:rPr>
                <w:rFonts w:ascii="Arial" w:hAnsi="Arial" w:cs="Arial"/>
                <w:iCs/>
              </w:rPr>
              <w:t xml:space="preserve">Indirect – </w:t>
            </w:r>
            <w:r w:rsidRPr="00594A5B">
              <w:rPr>
                <w:rFonts w:ascii="Arial" w:hAnsi="Arial" w:cs="Arial"/>
                <w:iCs/>
              </w:rPr>
              <w:t>Financial Interests</w:t>
            </w:r>
          </w:p>
        </w:tc>
        <w:tc>
          <w:tcPr>
            <w:tcW w:w="1362" w:type="pct"/>
          </w:tcPr>
          <w:p w14:paraId="0A1BA50D" w14:textId="1C6A865B" w:rsidR="00594A5B" w:rsidRPr="004415DB" w:rsidRDefault="00594A5B" w:rsidP="00594A5B">
            <w:pPr>
              <w:pStyle w:val="Paragraph"/>
              <w:rPr>
                <w:rFonts w:ascii="Arial" w:hAnsi="Arial" w:cs="Arial"/>
                <w:iCs/>
              </w:rPr>
            </w:pPr>
            <w:r>
              <w:rPr>
                <w:rFonts w:ascii="Arial" w:hAnsi="Arial" w:cs="Arial"/>
                <w:iCs/>
              </w:rPr>
              <w:t>Hugo has</w:t>
            </w:r>
            <w:r w:rsidRPr="00594A5B">
              <w:rPr>
                <w:rFonts w:ascii="Arial" w:hAnsi="Arial" w:cs="Arial"/>
                <w:iCs/>
              </w:rPr>
              <w:t xml:space="preserve"> received payment for work on behalf of Baxter Healthcare in the last 12 months for a technology and indication unrelated to this.</w:t>
            </w:r>
          </w:p>
        </w:tc>
        <w:tc>
          <w:tcPr>
            <w:tcW w:w="526" w:type="pct"/>
          </w:tcPr>
          <w:p w14:paraId="0EF7F80F" w14:textId="6232C791" w:rsidR="00594A5B" w:rsidRPr="004415DB" w:rsidRDefault="00594A5B" w:rsidP="00594A5B">
            <w:pPr>
              <w:pStyle w:val="Paragraph"/>
              <w:jc w:val="center"/>
              <w:rPr>
                <w:rFonts w:ascii="Arial" w:hAnsi="Arial" w:cs="Arial"/>
                <w:iCs/>
              </w:rPr>
            </w:pPr>
            <w:r>
              <w:rPr>
                <w:rFonts w:ascii="Arial" w:hAnsi="Arial" w:cs="Arial"/>
                <w:iCs/>
              </w:rPr>
              <w:t>03/06/2025</w:t>
            </w:r>
          </w:p>
        </w:tc>
        <w:tc>
          <w:tcPr>
            <w:tcW w:w="1028" w:type="pct"/>
          </w:tcPr>
          <w:p w14:paraId="007F6CDB" w14:textId="75FDC5C3" w:rsidR="00594A5B" w:rsidRPr="004415DB" w:rsidRDefault="00594A5B" w:rsidP="00594A5B">
            <w:pPr>
              <w:pStyle w:val="Paragraph"/>
              <w:rPr>
                <w:rFonts w:ascii="Arial" w:hAnsi="Arial" w:cs="Arial"/>
                <w:iCs/>
              </w:rPr>
            </w:pPr>
            <w:r w:rsidRPr="00A05C8B">
              <w:rPr>
                <w:rFonts w:ascii="Arial" w:hAnsi="Arial" w:cs="Arial"/>
                <w:iCs/>
              </w:rPr>
              <w:t xml:space="preserve">It was agreed that </w:t>
            </w:r>
            <w:r>
              <w:rPr>
                <w:rFonts w:ascii="Arial" w:hAnsi="Arial" w:cs="Arial"/>
                <w:iCs/>
              </w:rPr>
              <w:t>Hugo</w:t>
            </w:r>
            <w:r w:rsidRPr="00A05C8B">
              <w:rPr>
                <w:rFonts w:ascii="Arial" w:hAnsi="Arial" w:cs="Arial"/>
                <w:iCs/>
              </w:rPr>
              <w:t>'</w:t>
            </w:r>
            <w:r>
              <w:rPr>
                <w:rFonts w:ascii="Arial" w:hAnsi="Arial" w:cs="Arial"/>
                <w:iCs/>
              </w:rPr>
              <w:t>s</w:t>
            </w:r>
            <w:r w:rsidRPr="00A05C8B">
              <w:rPr>
                <w:rFonts w:ascii="Arial" w:hAnsi="Arial" w:cs="Arial"/>
                <w:iCs/>
              </w:rPr>
              <w:t xml:space="preserve"> declaration would not preven</w:t>
            </w:r>
            <w:r>
              <w:rPr>
                <w:rFonts w:ascii="Arial" w:hAnsi="Arial" w:cs="Arial"/>
                <w:iCs/>
              </w:rPr>
              <w:t xml:space="preserve">t him </w:t>
            </w:r>
            <w:r w:rsidRPr="00A05C8B">
              <w:rPr>
                <w:rFonts w:ascii="Arial" w:hAnsi="Arial" w:cs="Arial"/>
                <w:iCs/>
              </w:rPr>
              <w:t>from participating in discussions on this</w:t>
            </w:r>
            <w:r>
              <w:rPr>
                <w:rFonts w:ascii="Arial" w:hAnsi="Arial" w:cs="Arial"/>
                <w:iCs/>
              </w:rPr>
              <w:t xml:space="preserve"> </w:t>
            </w:r>
            <w:r w:rsidRPr="00A05C8B">
              <w:rPr>
                <w:rFonts w:ascii="Arial" w:hAnsi="Arial" w:cs="Arial"/>
                <w:iCs/>
              </w:rPr>
              <w:t>appraisal</w:t>
            </w:r>
            <w:r>
              <w:rPr>
                <w:rFonts w:ascii="Arial" w:hAnsi="Arial" w:cs="Arial"/>
                <w:iCs/>
              </w:rPr>
              <w:t>.</w:t>
            </w:r>
          </w:p>
        </w:tc>
      </w:tr>
      <w:tr w:rsidR="009F3461" w14:paraId="210579A6" w14:textId="77777777" w:rsidTr="00594A5B">
        <w:tc>
          <w:tcPr>
            <w:tcW w:w="765" w:type="pct"/>
          </w:tcPr>
          <w:p w14:paraId="6D28DE79" w14:textId="0A70A8F7" w:rsidR="009F3461" w:rsidRDefault="009F3461" w:rsidP="009F3461">
            <w:pPr>
              <w:pStyle w:val="Paragraph"/>
              <w:jc w:val="center"/>
              <w:rPr>
                <w:rFonts w:ascii="Arial" w:hAnsi="Arial" w:cs="Arial"/>
                <w:iCs/>
              </w:rPr>
            </w:pPr>
            <w:r w:rsidRPr="009F3461">
              <w:rPr>
                <w:rFonts w:ascii="Arial" w:hAnsi="Arial" w:cs="Arial"/>
                <w:iCs/>
              </w:rPr>
              <w:t>Stella O’Brien</w:t>
            </w:r>
          </w:p>
        </w:tc>
        <w:tc>
          <w:tcPr>
            <w:tcW w:w="624" w:type="pct"/>
          </w:tcPr>
          <w:p w14:paraId="53EBBF64" w14:textId="1F0ECF51" w:rsidR="009F3461" w:rsidRDefault="009F3461" w:rsidP="009F3461">
            <w:pPr>
              <w:pStyle w:val="Paragraph"/>
              <w:jc w:val="center"/>
              <w:rPr>
                <w:rFonts w:ascii="Arial" w:hAnsi="Arial" w:cs="Arial"/>
                <w:iCs/>
              </w:rPr>
            </w:pPr>
            <w:r w:rsidRPr="009F3461">
              <w:rPr>
                <w:rFonts w:ascii="Arial" w:hAnsi="Arial" w:cs="Arial"/>
                <w:iCs/>
              </w:rPr>
              <w:t>TAC Member</w:t>
            </w:r>
          </w:p>
        </w:tc>
        <w:tc>
          <w:tcPr>
            <w:tcW w:w="695" w:type="pct"/>
          </w:tcPr>
          <w:p w14:paraId="161A4DDA" w14:textId="16342A20" w:rsidR="009F3461" w:rsidRDefault="009F3461" w:rsidP="009F3461">
            <w:pPr>
              <w:pStyle w:val="Paragraph"/>
              <w:jc w:val="center"/>
              <w:rPr>
                <w:rFonts w:ascii="Arial" w:hAnsi="Arial" w:cs="Arial"/>
                <w:iCs/>
              </w:rPr>
            </w:pPr>
            <w:r w:rsidRPr="009F3461">
              <w:rPr>
                <w:rFonts w:ascii="Arial" w:hAnsi="Arial" w:cs="Arial"/>
                <w:iCs/>
              </w:rPr>
              <w:t>Non-Financial Professional</w:t>
            </w:r>
          </w:p>
        </w:tc>
        <w:tc>
          <w:tcPr>
            <w:tcW w:w="1362" w:type="pct"/>
          </w:tcPr>
          <w:p w14:paraId="0A29549A" w14:textId="6A40BCFA" w:rsidR="009F3461" w:rsidRDefault="009F3461" w:rsidP="009F3461">
            <w:pPr>
              <w:pStyle w:val="Paragraph"/>
              <w:rPr>
                <w:rFonts w:ascii="Arial" w:hAnsi="Arial" w:cs="Arial"/>
                <w:iCs/>
              </w:rPr>
            </w:pPr>
            <w:r w:rsidRPr="009F3461">
              <w:rPr>
                <w:rFonts w:ascii="Arial" w:hAnsi="Arial" w:cs="Arial"/>
                <w:iCs/>
              </w:rPr>
              <w:t>Stella O’Brien is a working group member for Genetics Alliance UK. She is a member of the Genetics Alliance UK PPIE Working Group on ATMPs affiliated with CATAPULT cell and gene therapy to encourage the integration of PPIE throughout the research cycle from the earliest stages and onwards. CATAPULT is a network of not-for profit, independent centres which connect businesses with the UK’s research and academic communities. Although CAR-T therapies are an example of ATMPs, she has not contributed to work on CAR-T therapies with this group.</w:t>
            </w:r>
          </w:p>
        </w:tc>
        <w:tc>
          <w:tcPr>
            <w:tcW w:w="526" w:type="pct"/>
          </w:tcPr>
          <w:p w14:paraId="6E9F5875" w14:textId="509EBB3B" w:rsidR="009F3461" w:rsidRDefault="009F3461" w:rsidP="009F3461">
            <w:pPr>
              <w:pStyle w:val="Paragraph"/>
              <w:jc w:val="center"/>
              <w:rPr>
                <w:rFonts w:ascii="Arial" w:hAnsi="Arial" w:cs="Arial"/>
                <w:iCs/>
              </w:rPr>
            </w:pPr>
            <w:r w:rsidRPr="009F3461">
              <w:rPr>
                <w:rFonts w:ascii="Arial" w:hAnsi="Arial" w:cs="Arial"/>
                <w:iCs/>
              </w:rPr>
              <w:t>19/08/2025</w:t>
            </w:r>
          </w:p>
        </w:tc>
        <w:tc>
          <w:tcPr>
            <w:tcW w:w="1028" w:type="pct"/>
          </w:tcPr>
          <w:p w14:paraId="72116967" w14:textId="74819C4C" w:rsidR="009F3461" w:rsidRPr="00A05C8B" w:rsidRDefault="009F3461" w:rsidP="009F3461">
            <w:pPr>
              <w:pStyle w:val="Paragraph"/>
              <w:rPr>
                <w:rFonts w:ascii="Arial" w:hAnsi="Arial" w:cs="Arial"/>
                <w:iCs/>
              </w:rPr>
            </w:pPr>
            <w:r w:rsidRPr="009F3461">
              <w:rPr>
                <w:rFonts w:ascii="Arial" w:hAnsi="Arial" w:cs="Arial"/>
                <w:iCs/>
              </w:rPr>
              <w:t>It was agreed that Stella's declaration would not prevent her from participating in discussions on this appraisal.</w:t>
            </w:r>
          </w:p>
        </w:tc>
      </w:tr>
      <w:tr w:rsidR="009F3461" w14:paraId="0FBA0A78" w14:textId="77777777" w:rsidTr="00594A5B">
        <w:tc>
          <w:tcPr>
            <w:tcW w:w="765" w:type="pct"/>
          </w:tcPr>
          <w:p w14:paraId="45F37783" w14:textId="59CAABE0" w:rsidR="009F3461" w:rsidRPr="004415DB" w:rsidRDefault="009F3461" w:rsidP="009F3461">
            <w:pPr>
              <w:pStyle w:val="Paragraph"/>
              <w:jc w:val="center"/>
              <w:rPr>
                <w:rFonts w:ascii="Arial" w:hAnsi="Arial" w:cs="Arial"/>
                <w:iCs/>
              </w:rPr>
            </w:pPr>
            <w:r>
              <w:rPr>
                <w:rFonts w:ascii="Arial" w:hAnsi="Arial" w:cs="Arial"/>
              </w:rPr>
              <w:t>Dr Sunil Iyengar</w:t>
            </w:r>
          </w:p>
        </w:tc>
        <w:tc>
          <w:tcPr>
            <w:tcW w:w="624" w:type="pct"/>
          </w:tcPr>
          <w:p w14:paraId="283CA6F5" w14:textId="08D60A26" w:rsidR="009F3461" w:rsidRPr="004415DB" w:rsidRDefault="009F3461" w:rsidP="009F3461">
            <w:pPr>
              <w:pStyle w:val="Paragraph"/>
              <w:jc w:val="center"/>
              <w:rPr>
                <w:rFonts w:ascii="Arial" w:hAnsi="Arial" w:cs="Arial"/>
                <w:iCs/>
              </w:rPr>
            </w:pPr>
            <w:r>
              <w:rPr>
                <w:rFonts w:ascii="Arial" w:hAnsi="Arial" w:cs="Arial"/>
                <w:iCs/>
              </w:rPr>
              <w:t>Clinical Expert</w:t>
            </w:r>
          </w:p>
        </w:tc>
        <w:tc>
          <w:tcPr>
            <w:tcW w:w="695" w:type="pct"/>
          </w:tcPr>
          <w:p w14:paraId="39DDBF60" w14:textId="0E32368B" w:rsidR="009F3461" w:rsidRPr="004415DB" w:rsidRDefault="009F3461" w:rsidP="009F3461">
            <w:pPr>
              <w:pStyle w:val="Paragraph"/>
              <w:jc w:val="center"/>
              <w:rPr>
                <w:rFonts w:ascii="Arial" w:hAnsi="Arial" w:cs="Arial"/>
                <w:iCs/>
              </w:rPr>
            </w:pPr>
            <w:r w:rsidRPr="00BA0676">
              <w:rPr>
                <w:rFonts w:ascii="Arial" w:hAnsi="Arial" w:cs="Arial"/>
                <w:iCs/>
              </w:rPr>
              <w:t>Direct – financial</w:t>
            </w:r>
          </w:p>
        </w:tc>
        <w:tc>
          <w:tcPr>
            <w:tcW w:w="1362" w:type="pct"/>
          </w:tcPr>
          <w:p w14:paraId="2C43B2DC" w14:textId="568466C4" w:rsidR="009F3461" w:rsidRPr="00BA0676" w:rsidRDefault="009F3461" w:rsidP="009F3461">
            <w:pPr>
              <w:pStyle w:val="Paragraph"/>
              <w:rPr>
                <w:rFonts w:ascii="Arial" w:hAnsi="Arial" w:cs="Arial"/>
                <w:iCs/>
              </w:rPr>
            </w:pPr>
            <w:r w:rsidRPr="00BA0676">
              <w:rPr>
                <w:rFonts w:ascii="Arial" w:hAnsi="Arial" w:cs="Arial"/>
                <w:iCs/>
              </w:rPr>
              <w:t>•</w:t>
            </w:r>
            <w:r>
              <w:rPr>
                <w:rFonts w:ascii="Arial" w:hAnsi="Arial" w:cs="Arial"/>
                <w:iCs/>
              </w:rPr>
              <w:t xml:space="preserve"> R</w:t>
            </w:r>
            <w:r w:rsidRPr="00BA0676">
              <w:rPr>
                <w:rFonts w:ascii="Arial" w:hAnsi="Arial" w:cs="Arial"/>
                <w:iCs/>
              </w:rPr>
              <w:t xml:space="preserve">eceived payments for speaking engagements and advisory from </w:t>
            </w:r>
            <w:r w:rsidRPr="00BA0676">
              <w:rPr>
                <w:rFonts w:ascii="Arial" w:hAnsi="Arial" w:cs="Arial"/>
                <w:iCs/>
              </w:rPr>
              <w:lastRenderedPageBreak/>
              <w:t>Gilead. I have a private practice at the Royal Marsden hospital.</w:t>
            </w:r>
          </w:p>
          <w:p w14:paraId="3C3175D8" w14:textId="05623F91" w:rsidR="009F3461" w:rsidRPr="00BA0676" w:rsidRDefault="009F3461" w:rsidP="009F3461">
            <w:pPr>
              <w:pStyle w:val="Paragraph"/>
              <w:rPr>
                <w:rFonts w:ascii="Arial" w:hAnsi="Arial" w:cs="Arial"/>
                <w:iCs/>
              </w:rPr>
            </w:pPr>
            <w:r w:rsidRPr="00BA0676">
              <w:rPr>
                <w:rFonts w:ascii="Arial" w:hAnsi="Arial" w:cs="Arial"/>
                <w:iCs/>
              </w:rPr>
              <w:t>•</w:t>
            </w:r>
            <w:r>
              <w:rPr>
                <w:rFonts w:ascii="Arial" w:hAnsi="Arial" w:cs="Arial"/>
                <w:iCs/>
              </w:rPr>
              <w:t xml:space="preserve"> C</w:t>
            </w:r>
            <w:r w:rsidRPr="00BA0676">
              <w:rPr>
                <w:rFonts w:ascii="Arial" w:hAnsi="Arial" w:cs="Arial"/>
                <w:iCs/>
              </w:rPr>
              <w:t xml:space="preserve">o-authored the real-world data publication on the UK experience with </w:t>
            </w:r>
            <w:proofErr w:type="spellStart"/>
            <w:r w:rsidRPr="00BA0676">
              <w:rPr>
                <w:rFonts w:ascii="Arial" w:hAnsi="Arial" w:cs="Arial"/>
                <w:iCs/>
              </w:rPr>
              <w:t>Brexucabtagene</w:t>
            </w:r>
            <w:proofErr w:type="spellEnd"/>
            <w:r w:rsidRPr="00BA0676">
              <w:rPr>
                <w:rFonts w:ascii="Arial" w:hAnsi="Arial" w:cs="Arial"/>
                <w:iCs/>
              </w:rPr>
              <w:t xml:space="preserve"> </w:t>
            </w:r>
            <w:proofErr w:type="spellStart"/>
            <w:r w:rsidRPr="00BA0676">
              <w:rPr>
                <w:rFonts w:ascii="Arial" w:hAnsi="Arial" w:cs="Arial"/>
                <w:iCs/>
              </w:rPr>
              <w:t>autoleucel</w:t>
            </w:r>
            <w:proofErr w:type="spellEnd"/>
            <w:r w:rsidRPr="00BA0676">
              <w:rPr>
                <w:rFonts w:ascii="Arial" w:hAnsi="Arial" w:cs="Arial"/>
                <w:iCs/>
              </w:rPr>
              <w:t xml:space="preserve">: </w:t>
            </w:r>
            <w:proofErr w:type="spellStart"/>
            <w:r w:rsidRPr="00BA0676">
              <w:rPr>
                <w:rFonts w:ascii="Arial" w:hAnsi="Arial" w:cs="Arial"/>
                <w:iCs/>
              </w:rPr>
              <w:t>Brexucabtagene</w:t>
            </w:r>
            <w:proofErr w:type="spellEnd"/>
            <w:r w:rsidRPr="00BA0676">
              <w:rPr>
                <w:rFonts w:ascii="Arial" w:hAnsi="Arial" w:cs="Arial"/>
                <w:iCs/>
              </w:rPr>
              <w:t xml:space="preserve"> </w:t>
            </w:r>
            <w:proofErr w:type="spellStart"/>
            <w:r w:rsidRPr="00BA0676">
              <w:rPr>
                <w:rFonts w:ascii="Arial" w:hAnsi="Arial" w:cs="Arial"/>
                <w:iCs/>
              </w:rPr>
              <w:t>autoleucel</w:t>
            </w:r>
            <w:proofErr w:type="spellEnd"/>
            <w:r w:rsidRPr="00BA0676">
              <w:rPr>
                <w:rFonts w:ascii="Arial" w:hAnsi="Arial" w:cs="Arial"/>
                <w:iCs/>
              </w:rPr>
              <w:t xml:space="preserve"> for relapsed or refractory mantle cell lymphoma in the United Kingdom: A real-world intention-to-treat analysis</w:t>
            </w:r>
          </w:p>
          <w:p w14:paraId="5082A3BA" w14:textId="77777777" w:rsidR="009F3461" w:rsidRPr="00BA0676" w:rsidRDefault="009F3461" w:rsidP="009F3461">
            <w:pPr>
              <w:pStyle w:val="Paragraph"/>
              <w:rPr>
                <w:rFonts w:ascii="Arial" w:hAnsi="Arial" w:cs="Arial"/>
                <w:iCs/>
              </w:rPr>
            </w:pPr>
            <w:r w:rsidRPr="00BA0676">
              <w:rPr>
                <w:rFonts w:ascii="Arial" w:hAnsi="Arial" w:cs="Arial"/>
                <w:iCs/>
              </w:rPr>
              <w:t>Jun 2024HEMASPHERE8(6):12 pages WILEY</w:t>
            </w:r>
          </w:p>
          <w:p w14:paraId="0B038C76" w14:textId="494DA0F0" w:rsidR="009F3461" w:rsidRPr="004415DB" w:rsidRDefault="009F3461" w:rsidP="009F3461">
            <w:pPr>
              <w:pStyle w:val="Paragraph"/>
              <w:rPr>
                <w:rFonts w:ascii="Arial" w:hAnsi="Arial" w:cs="Arial"/>
                <w:iCs/>
              </w:rPr>
            </w:pPr>
            <w:r w:rsidRPr="00BA0676">
              <w:rPr>
                <w:rFonts w:ascii="Arial" w:hAnsi="Arial" w:cs="Arial"/>
                <w:iCs/>
              </w:rPr>
              <w:t xml:space="preserve">OReilly MA, Wilson W, Burns D, </w:t>
            </w:r>
            <w:proofErr w:type="spellStart"/>
            <w:r w:rsidRPr="00BA0676">
              <w:rPr>
                <w:rFonts w:ascii="Arial" w:hAnsi="Arial" w:cs="Arial"/>
                <w:iCs/>
              </w:rPr>
              <w:t>Kuhnl</w:t>
            </w:r>
            <w:proofErr w:type="spellEnd"/>
            <w:r w:rsidRPr="00BA0676">
              <w:rPr>
                <w:rFonts w:ascii="Arial" w:hAnsi="Arial" w:cs="Arial"/>
                <w:iCs/>
              </w:rPr>
              <w:t xml:space="preserve"> A, Seymour F, Uttenthal B, Besley C, </w:t>
            </w:r>
            <w:proofErr w:type="spellStart"/>
            <w:r w:rsidRPr="00BA0676">
              <w:rPr>
                <w:rFonts w:ascii="Arial" w:hAnsi="Arial" w:cs="Arial"/>
                <w:iCs/>
              </w:rPr>
              <w:t>Alajangi</w:t>
            </w:r>
            <w:proofErr w:type="spellEnd"/>
            <w:r w:rsidRPr="00BA0676">
              <w:rPr>
                <w:rFonts w:ascii="Arial" w:hAnsi="Arial" w:cs="Arial"/>
                <w:iCs/>
              </w:rPr>
              <w:t xml:space="preserve"> R, Creasey T, </w:t>
            </w:r>
            <w:proofErr w:type="spellStart"/>
            <w:r w:rsidRPr="00BA0676">
              <w:rPr>
                <w:rFonts w:ascii="Arial" w:hAnsi="Arial" w:cs="Arial"/>
                <w:iCs/>
              </w:rPr>
              <w:t>Paneesha</w:t>
            </w:r>
            <w:proofErr w:type="spellEnd"/>
            <w:r w:rsidRPr="00BA0676">
              <w:rPr>
                <w:rFonts w:ascii="Arial" w:hAnsi="Arial" w:cs="Arial"/>
                <w:iCs/>
              </w:rPr>
              <w:t xml:space="preserve"> S, Elliot J, Arias CG, Iyengar S, Wilson MR, Delaney A, Rubio L, Lambert J, Begg K, Boyle S, Cheok KPL, Collins GP, Roddie C, Johnson R, Sanderson R</w:t>
            </w:r>
          </w:p>
        </w:tc>
        <w:tc>
          <w:tcPr>
            <w:tcW w:w="526" w:type="pct"/>
          </w:tcPr>
          <w:p w14:paraId="306FC0A9" w14:textId="28C93CCD" w:rsidR="009F3461" w:rsidRPr="004415DB" w:rsidRDefault="009F3461" w:rsidP="009F3461">
            <w:pPr>
              <w:pStyle w:val="Paragraph"/>
              <w:jc w:val="center"/>
              <w:rPr>
                <w:rFonts w:ascii="Arial" w:hAnsi="Arial" w:cs="Arial"/>
                <w:iCs/>
              </w:rPr>
            </w:pPr>
            <w:r>
              <w:rPr>
                <w:rFonts w:ascii="Arial" w:hAnsi="Arial" w:cs="Arial"/>
                <w:iCs/>
              </w:rPr>
              <w:lastRenderedPageBreak/>
              <w:t>01/07/2025</w:t>
            </w:r>
          </w:p>
        </w:tc>
        <w:tc>
          <w:tcPr>
            <w:tcW w:w="1028" w:type="pct"/>
          </w:tcPr>
          <w:p w14:paraId="66741E44" w14:textId="04A15E25" w:rsidR="009F3461" w:rsidRPr="004415DB" w:rsidRDefault="009F3461" w:rsidP="009F3461">
            <w:pPr>
              <w:pStyle w:val="Paragraph"/>
              <w:rPr>
                <w:rFonts w:ascii="Arial" w:hAnsi="Arial" w:cs="Arial"/>
                <w:iCs/>
              </w:rPr>
            </w:pPr>
            <w:r w:rsidRPr="00F728F3">
              <w:rPr>
                <w:rFonts w:ascii="Arial" w:hAnsi="Arial" w:cs="Arial"/>
                <w:iCs/>
              </w:rPr>
              <w:t xml:space="preserve">It was agreed that Dr Sunil Iyengar's declaration </w:t>
            </w:r>
            <w:r w:rsidRPr="00F728F3">
              <w:rPr>
                <w:rFonts w:ascii="Arial" w:hAnsi="Arial" w:cs="Arial"/>
                <w:iCs/>
              </w:rPr>
              <w:lastRenderedPageBreak/>
              <w:t>would not prevent him from providing expert advice to the committee.</w:t>
            </w:r>
          </w:p>
        </w:tc>
      </w:tr>
      <w:tr w:rsidR="009F3461" w14:paraId="7B4C22EA" w14:textId="77777777" w:rsidTr="00594A5B">
        <w:tc>
          <w:tcPr>
            <w:tcW w:w="765" w:type="pct"/>
            <w:vMerge w:val="restart"/>
          </w:tcPr>
          <w:p w14:paraId="1CCDF8C5" w14:textId="3B1168DF" w:rsidR="009F3461" w:rsidRPr="004415DB" w:rsidRDefault="009F3461" w:rsidP="009F3461">
            <w:pPr>
              <w:pStyle w:val="Paragraph"/>
              <w:jc w:val="center"/>
              <w:rPr>
                <w:rFonts w:ascii="Arial" w:hAnsi="Arial" w:cs="Arial"/>
                <w:iCs/>
              </w:rPr>
            </w:pPr>
            <w:r w:rsidRPr="003D7EC4">
              <w:rPr>
                <w:rFonts w:ascii="Arial" w:hAnsi="Arial" w:cs="Arial"/>
                <w:iCs/>
              </w:rPr>
              <w:lastRenderedPageBreak/>
              <w:t>Professor Andrew Davies</w:t>
            </w:r>
          </w:p>
        </w:tc>
        <w:tc>
          <w:tcPr>
            <w:tcW w:w="624" w:type="pct"/>
            <w:vMerge w:val="restart"/>
          </w:tcPr>
          <w:p w14:paraId="24CD5218" w14:textId="0B9EF23F" w:rsidR="009F3461" w:rsidRPr="004415DB" w:rsidRDefault="009F3461" w:rsidP="009F3461">
            <w:pPr>
              <w:pStyle w:val="Paragraph"/>
              <w:jc w:val="center"/>
              <w:rPr>
                <w:rFonts w:ascii="Arial" w:hAnsi="Arial" w:cs="Arial"/>
                <w:iCs/>
              </w:rPr>
            </w:pPr>
            <w:r>
              <w:rPr>
                <w:rFonts w:ascii="Arial" w:hAnsi="Arial" w:cs="Arial"/>
                <w:iCs/>
              </w:rPr>
              <w:t>Clinical Expert</w:t>
            </w:r>
          </w:p>
        </w:tc>
        <w:tc>
          <w:tcPr>
            <w:tcW w:w="695" w:type="pct"/>
          </w:tcPr>
          <w:p w14:paraId="73D322DB" w14:textId="55F62859" w:rsidR="009F3461" w:rsidRPr="004415DB" w:rsidRDefault="009F3461" w:rsidP="009F3461">
            <w:pPr>
              <w:pStyle w:val="Paragraph"/>
              <w:jc w:val="center"/>
              <w:rPr>
                <w:rFonts w:ascii="Arial" w:hAnsi="Arial" w:cs="Arial"/>
                <w:iCs/>
              </w:rPr>
            </w:pPr>
            <w:r w:rsidRPr="003D7EC4">
              <w:rPr>
                <w:rFonts w:ascii="Arial" w:hAnsi="Arial" w:cs="Arial"/>
                <w:iCs/>
              </w:rPr>
              <w:t>Direct – financial</w:t>
            </w:r>
          </w:p>
        </w:tc>
        <w:tc>
          <w:tcPr>
            <w:tcW w:w="1362" w:type="pct"/>
          </w:tcPr>
          <w:p w14:paraId="0CB05678" w14:textId="77BAC721" w:rsidR="009F3461" w:rsidRPr="00D65FB6" w:rsidRDefault="009F3461" w:rsidP="009F3461">
            <w:pPr>
              <w:pStyle w:val="Paragraph"/>
              <w:rPr>
                <w:rFonts w:ascii="Arial" w:hAnsi="Arial" w:cs="Arial"/>
                <w:iCs/>
              </w:rPr>
            </w:pPr>
            <w:r w:rsidRPr="00D65FB6">
              <w:rPr>
                <w:rFonts w:ascii="Arial" w:hAnsi="Arial" w:cs="Arial"/>
                <w:iCs/>
              </w:rPr>
              <w:t>•</w:t>
            </w:r>
            <w:r>
              <w:rPr>
                <w:rFonts w:ascii="Arial" w:hAnsi="Arial" w:cs="Arial"/>
                <w:iCs/>
              </w:rPr>
              <w:t xml:space="preserve"> </w:t>
            </w:r>
            <w:r w:rsidRPr="00D65FB6">
              <w:rPr>
                <w:rFonts w:ascii="Arial" w:hAnsi="Arial" w:cs="Arial"/>
                <w:iCs/>
              </w:rPr>
              <w:t xml:space="preserve">received payment to deliver two symposiums on CAR-T therapy [Jan 2025] and participated as a reviewer </w:t>
            </w:r>
            <w:r w:rsidRPr="00D65FB6">
              <w:rPr>
                <w:rFonts w:ascii="Arial" w:hAnsi="Arial" w:cs="Arial"/>
                <w:iCs/>
              </w:rPr>
              <w:lastRenderedPageBreak/>
              <w:t>of scientific research proposals for Kite/Gilead fellowship scheme I was renumerated to an approximate total £3000 across the above.</w:t>
            </w:r>
          </w:p>
          <w:p w14:paraId="05ED17FC" w14:textId="7B07C7AE" w:rsidR="009F3461" w:rsidRPr="004415DB" w:rsidRDefault="009F3461" w:rsidP="009F3461">
            <w:pPr>
              <w:pStyle w:val="Paragraph"/>
              <w:rPr>
                <w:rFonts w:ascii="Arial" w:hAnsi="Arial" w:cs="Arial"/>
                <w:iCs/>
              </w:rPr>
            </w:pPr>
            <w:r w:rsidRPr="00D65FB6">
              <w:rPr>
                <w:rFonts w:ascii="Arial" w:hAnsi="Arial" w:cs="Arial"/>
                <w:iCs/>
              </w:rPr>
              <w:t>•</w:t>
            </w:r>
            <w:r>
              <w:rPr>
                <w:rFonts w:ascii="Arial" w:hAnsi="Arial" w:cs="Arial"/>
                <w:iCs/>
              </w:rPr>
              <w:t xml:space="preserve"> </w:t>
            </w:r>
            <w:r w:rsidRPr="00D65FB6">
              <w:rPr>
                <w:rFonts w:ascii="Arial" w:hAnsi="Arial" w:cs="Arial"/>
                <w:iCs/>
              </w:rPr>
              <w:t>My host NHS organisation (University Hospitals Southampton) has received research funding for the conduct of clinical trials sponsored by Kite/Gilead but not in this indication</w:t>
            </w:r>
          </w:p>
        </w:tc>
        <w:tc>
          <w:tcPr>
            <w:tcW w:w="526" w:type="pct"/>
            <w:vMerge w:val="restart"/>
          </w:tcPr>
          <w:p w14:paraId="73BDCBBA" w14:textId="11CC0FEC" w:rsidR="009F3461" w:rsidRPr="004415DB" w:rsidRDefault="009F3461" w:rsidP="009F3461">
            <w:pPr>
              <w:pStyle w:val="Paragraph"/>
              <w:jc w:val="center"/>
              <w:rPr>
                <w:rFonts w:ascii="Arial" w:hAnsi="Arial" w:cs="Arial"/>
                <w:iCs/>
              </w:rPr>
            </w:pPr>
            <w:r>
              <w:rPr>
                <w:rFonts w:ascii="Arial" w:hAnsi="Arial" w:cs="Arial"/>
                <w:iCs/>
              </w:rPr>
              <w:lastRenderedPageBreak/>
              <w:t>01/07/2025</w:t>
            </w:r>
          </w:p>
        </w:tc>
        <w:tc>
          <w:tcPr>
            <w:tcW w:w="1028" w:type="pct"/>
            <w:vMerge w:val="restart"/>
          </w:tcPr>
          <w:p w14:paraId="533D8CB7" w14:textId="40C0FC11" w:rsidR="009F3461" w:rsidRPr="004415DB" w:rsidRDefault="009F3461" w:rsidP="009F3461">
            <w:pPr>
              <w:pStyle w:val="Paragraph"/>
              <w:rPr>
                <w:rFonts w:ascii="Arial" w:hAnsi="Arial" w:cs="Arial"/>
                <w:iCs/>
              </w:rPr>
            </w:pPr>
            <w:r w:rsidRPr="00F728F3">
              <w:rPr>
                <w:rFonts w:ascii="Arial" w:hAnsi="Arial" w:cs="Arial"/>
                <w:iCs/>
              </w:rPr>
              <w:t xml:space="preserve">It was agreed that </w:t>
            </w:r>
            <w:r w:rsidRPr="003D7EC4">
              <w:rPr>
                <w:rFonts w:ascii="Arial" w:hAnsi="Arial" w:cs="Arial"/>
                <w:iCs/>
              </w:rPr>
              <w:t>Professor Andrew Davies</w:t>
            </w:r>
            <w:r w:rsidRPr="00F728F3">
              <w:rPr>
                <w:rFonts w:ascii="Arial" w:hAnsi="Arial" w:cs="Arial"/>
                <w:iCs/>
              </w:rPr>
              <w:t xml:space="preserve">' declaration would not </w:t>
            </w:r>
            <w:r w:rsidRPr="00F728F3">
              <w:rPr>
                <w:rFonts w:ascii="Arial" w:hAnsi="Arial" w:cs="Arial"/>
                <w:iCs/>
              </w:rPr>
              <w:lastRenderedPageBreak/>
              <w:t>prevent him from providing expert advice to the committee.</w:t>
            </w:r>
          </w:p>
        </w:tc>
      </w:tr>
      <w:tr w:rsidR="009F3461" w14:paraId="2DB2430C" w14:textId="77777777" w:rsidTr="00594A5B">
        <w:tc>
          <w:tcPr>
            <w:tcW w:w="765" w:type="pct"/>
            <w:vMerge/>
          </w:tcPr>
          <w:p w14:paraId="6CC1A03D" w14:textId="77777777" w:rsidR="009F3461" w:rsidRPr="004415DB" w:rsidRDefault="009F3461" w:rsidP="009F3461">
            <w:pPr>
              <w:pStyle w:val="Paragraph"/>
              <w:jc w:val="center"/>
              <w:rPr>
                <w:rFonts w:ascii="Arial" w:hAnsi="Arial" w:cs="Arial"/>
                <w:iCs/>
              </w:rPr>
            </w:pPr>
          </w:p>
        </w:tc>
        <w:tc>
          <w:tcPr>
            <w:tcW w:w="624" w:type="pct"/>
            <w:vMerge/>
          </w:tcPr>
          <w:p w14:paraId="5B2D23B1" w14:textId="77777777" w:rsidR="009F3461" w:rsidRPr="004415DB" w:rsidRDefault="009F3461" w:rsidP="009F3461">
            <w:pPr>
              <w:pStyle w:val="Paragraph"/>
              <w:jc w:val="center"/>
              <w:rPr>
                <w:rFonts w:ascii="Arial" w:hAnsi="Arial" w:cs="Arial"/>
                <w:iCs/>
              </w:rPr>
            </w:pPr>
          </w:p>
        </w:tc>
        <w:tc>
          <w:tcPr>
            <w:tcW w:w="695" w:type="pct"/>
          </w:tcPr>
          <w:p w14:paraId="6DBF2DEA" w14:textId="25539C1D" w:rsidR="009F3461" w:rsidRPr="004415DB" w:rsidRDefault="009F3461" w:rsidP="009F3461">
            <w:pPr>
              <w:pStyle w:val="Paragraph"/>
              <w:jc w:val="center"/>
              <w:rPr>
                <w:rFonts w:ascii="Arial" w:hAnsi="Arial" w:cs="Arial"/>
                <w:iCs/>
              </w:rPr>
            </w:pPr>
            <w:r w:rsidRPr="003D7EC4">
              <w:rPr>
                <w:rFonts w:ascii="Arial" w:hAnsi="Arial" w:cs="Arial"/>
                <w:iCs/>
              </w:rPr>
              <w:t>Direct – non-financial</w:t>
            </w:r>
          </w:p>
        </w:tc>
        <w:tc>
          <w:tcPr>
            <w:tcW w:w="1362" w:type="pct"/>
          </w:tcPr>
          <w:p w14:paraId="5A516A6F" w14:textId="45E87795" w:rsidR="009F3461" w:rsidRPr="00D65FB6" w:rsidRDefault="009F3461" w:rsidP="009F3461">
            <w:pPr>
              <w:rPr>
                <w:rFonts w:ascii="Arial" w:hAnsi="Arial" w:cs="Arial"/>
                <w:iCs/>
                <w:sz w:val="22"/>
              </w:rPr>
            </w:pPr>
            <w:r w:rsidRPr="00D65FB6">
              <w:rPr>
                <w:rFonts w:ascii="Arial" w:hAnsi="Arial" w:cs="Arial"/>
                <w:iCs/>
                <w:sz w:val="22"/>
              </w:rPr>
              <w:t>•</w:t>
            </w:r>
            <w:r>
              <w:rPr>
                <w:rFonts w:ascii="Arial" w:hAnsi="Arial" w:cs="Arial"/>
                <w:iCs/>
                <w:sz w:val="22"/>
              </w:rPr>
              <w:t xml:space="preserve"> </w:t>
            </w:r>
            <w:r w:rsidRPr="00D65FB6">
              <w:rPr>
                <w:rFonts w:ascii="Arial" w:hAnsi="Arial" w:cs="Arial"/>
                <w:iCs/>
                <w:sz w:val="22"/>
              </w:rPr>
              <w:t>Member of the European Haematology Association and British Society of Haematology Diffuse large B-cell lymphoma Guidelines writing group. I chair the national lymphoma research group. This does not cover the scope of this appraisal.</w:t>
            </w:r>
          </w:p>
        </w:tc>
        <w:tc>
          <w:tcPr>
            <w:tcW w:w="526" w:type="pct"/>
            <w:vMerge/>
          </w:tcPr>
          <w:p w14:paraId="006D0B0E" w14:textId="77777777" w:rsidR="009F3461" w:rsidRPr="004415DB" w:rsidRDefault="009F3461" w:rsidP="009F3461">
            <w:pPr>
              <w:pStyle w:val="Paragraph"/>
              <w:jc w:val="center"/>
              <w:rPr>
                <w:rFonts w:ascii="Arial" w:hAnsi="Arial" w:cs="Arial"/>
                <w:iCs/>
              </w:rPr>
            </w:pPr>
          </w:p>
        </w:tc>
        <w:tc>
          <w:tcPr>
            <w:tcW w:w="1028" w:type="pct"/>
            <w:vMerge/>
          </w:tcPr>
          <w:p w14:paraId="724DCCAF" w14:textId="77777777" w:rsidR="009F3461" w:rsidRPr="004415DB" w:rsidRDefault="009F3461" w:rsidP="009F3461">
            <w:pPr>
              <w:pStyle w:val="Paragraph"/>
              <w:rPr>
                <w:rFonts w:ascii="Arial" w:hAnsi="Arial" w:cs="Arial"/>
                <w:iCs/>
              </w:rPr>
            </w:pPr>
          </w:p>
        </w:tc>
      </w:tr>
      <w:tr w:rsidR="009F3461" w14:paraId="64BAC32B" w14:textId="77777777" w:rsidTr="00594A5B">
        <w:tc>
          <w:tcPr>
            <w:tcW w:w="765" w:type="pct"/>
            <w:vMerge/>
          </w:tcPr>
          <w:p w14:paraId="6DCA5243" w14:textId="77777777" w:rsidR="009F3461" w:rsidRPr="004415DB" w:rsidRDefault="009F3461" w:rsidP="009F3461">
            <w:pPr>
              <w:pStyle w:val="Paragraph"/>
              <w:jc w:val="center"/>
              <w:rPr>
                <w:rFonts w:ascii="Arial" w:hAnsi="Arial" w:cs="Arial"/>
                <w:iCs/>
              </w:rPr>
            </w:pPr>
          </w:p>
        </w:tc>
        <w:tc>
          <w:tcPr>
            <w:tcW w:w="624" w:type="pct"/>
            <w:vMerge/>
          </w:tcPr>
          <w:p w14:paraId="05C2B7A0" w14:textId="77777777" w:rsidR="009F3461" w:rsidRPr="004415DB" w:rsidRDefault="009F3461" w:rsidP="009F3461">
            <w:pPr>
              <w:pStyle w:val="Paragraph"/>
              <w:jc w:val="center"/>
              <w:rPr>
                <w:rFonts w:ascii="Arial" w:hAnsi="Arial" w:cs="Arial"/>
                <w:iCs/>
              </w:rPr>
            </w:pPr>
          </w:p>
        </w:tc>
        <w:tc>
          <w:tcPr>
            <w:tcW w:w="695" w:type="pct"/>
          </w:tcPr>
          <w:p w14:paraId="1A0B1C2A" w14:textId="66148EDD" w:rsidR="009F3461" w:rsidRPr="003D7EC4" w:rsidRDefault="009F3461" w:rsidP="009F3461">
            <w:pPr>
              <w:pStyle w:val="Paragraph"/>
              <w:jc w:val="center"/>
              <w:rPr>
                <w:rFonts w:ascii="Arial" w:hAnsi="Arial" w:cs="Arial"/>
                <w:iCs/>
              </w:rPr>
            </w:pPr>
            <w:r w:rsidRPr="00D65FB6">
              <w:rPr>
                <w:rFonts w:ascii="Arial" w:hAnsi="Arial" w:cs="Arial"/>
                <w:iCs/>
              </w:rPr>
              <w:t>Indirect</w:t>
            </w:r>
          </w:p>
        </w:tc>
        <w:tc>
          <w:tcPr>
            <w:tcW w:w="1362" w:type="pct"/>
          </w:tcPr>
          <w:p w14:paraId="37444316" w14:textId="487CF5B2" w:rsidR="009F3461" w:rsidRPr="004415DB" w:rsidRDefault="009F3461" w:rsidP="009F3461">
            <w:pPr>
              <w:pStyle w:val="Paragraph"/>
              <w:rPr>
                <w:rFonts w:ascii="Arial" w:hAnsi="Arial" w:cs="Arial"/>
                <w:iCs/>
              </w:rPr>
            </w:pPr>
            <w:r w:rsidRPr="00D65FB6">
              <w:rPr>
                <w:rFonts w:ascii="Arial" w:hAnsi="Arial" w:cs="Arial"/>
                <w:iCs/>
              </w:rPr>
              <w:t>•</w:t>
            </w:r>
            <w:r w:rsidRPr="00D65FB6">
              <w:rPr>
                <w:rFonts w:ascii="Arial" w:hAnsi="Arial" w:cs="Arial"/>
                <w:iCs/>
              </w:rPr>
              <w:tab/>
              <w:t xml:space="preserve">received honoraria for speaking and support to attend medical conferences from Roche, the makers of originator rituximab. This is often included in the management of mantle cell lymphoma with chemotherapy and </w:t>
            </w:r>
            <w:r w:rsidRPr="00D65FB6">
              <w:rPr>
                <w:rFonts w:ascii="Arial" w:hAnsi="Arial" w:cs="Arial"/>
                <w:iCs/>
              </w:rPr>
              <w:lastRenderedPageBreak/>
              <w:t>has been considered a comparator. My financial support from Roche is approximately £10,000). In the NHS biosimilar rituximab is used almost exclusively and not the Roche product. My work with Roche does not have any connection with rituximab and is not in the field of mantle cell lymphoma. Other Roche products are not comparators in this appraisal. Allogeneic transplantation does not include the use rituximab.</w:t>
            </w:r>
          </w:p>
        </w:tc>
        <w:tc>
          <w:tcPr>
            <w:tcW w:w="526" w:type="pct"/>
          </w:tcPr>
          <w:p w14:paraId="50CE75F0" w14:textId="77777777" w:rsidR="009F3461" w:rsidRPr="004415DB" w:rsidRDefault="009F3461" w:rsidP="009F3461">
            <w:pPr>
              <w:pStyle w:val="Paragraph"/>
              <w:jc w:val="center"/>
              <w:rPr>
                <w:rFonts w:ascii="Arial" w:hAnsi="Arial" w:cs="Arial"/>
                <w:iCs/>
              </w:rPr>
            </w:pPr>
          </w:p>
        </w:tc>
        <w:tc>
          <w:tcPr>
            <w:tcW w:w="1028" w:type="pct"/>
            <w:vMerge/>
          </w:tcPr>
          <w:p w14:paraId="1B8F54F4" w14:textId="77777777" w:rsidR="009F3461" w:rsidRPr="004415DB" w:rsidRDefault="009F3461" w:rsidP="009F3461">
            <w:pPr>
              <w:pStyle w:val="Paragraph"/>
              <w:rPr>
                <w:rFonts w:ascii="Arial" w:hAnsi="Arial" w:cs="Arial"/>
                <w:iCs/>
              </w:rPr>
            </w:pPr>
          </w:p>
        </w:tc>
      </w:tr>
    </w:tbl>
    <w:p w14:paraId="57134A6E" w14:textId="1E14E5C1" w:rsidR="00594A5B" w:rsidRDefault="00594A5B" w:rsidP="00594A5B">
      <w:pPr>
        <w:rPr>
          <w:rFonts w:ascii="Arial" w:hAnsi="Arial" w:cs="Arial"/>
          <w:b/>
        </w:rPr>
      </w:pPr>
    </w:p>
    <w:p w14:paraId="7D96421C" w14:textId="3E9FE017" w:rsidR="00BA0676" w:rsidRDefault="00BA0676" w:rsidP="00BA0676">
      <w:pPr>
        <w:rPr>
          <w:rFonts w:ascii="Arial" w:hAnsi="Arial" w:cs="Arial"/>
        </w:rPr>
      </w:pPr>
    </w:p>
    <w:p w14:paraId="68B4A226" w14:textId="77777777" w:rsidR="00BA0676" w:rsidRPr="00590E12" w:rsidRDefault="00BA0676" w:rsidP="00BA0676">
      <w:pPr>
        <w:rPr>
          <w:rFonts w:ascii="Arial" w:hAnsi="Arial" w:cs="Arial"/>
        </w:rPr>
      </w:pPr>
    </w:p>
    <w:p w14:paraId="5F482C04" w14:textId="77777777" w:rsidR="00BA0676" w:rsidRPr="00C5555F" w:rsidRDefault="00BA0676" w:rsidP="00BA0676">
      <w:pPr>
        <w:rPr>
          <w:rFonts w:ascii="Arial" w:hAnsi="Arial" w:cs="Arial"/>
        </w:rPr>
      </w:pPr>
    </w:p>
    <w:p w14:paraId="18C08BA0" w14:textId="0468FFAA" w:rsidR="001978C7" w:rsidRPr="001978C7" w:rsidRDefault="001978C7" w:rsidP="003404D8">
      <w:pPr>
        <w:pStyle w:val="Paragraphnonumbers"/>
        <w:spacing w:before="240"/>
        <w:ind w:hanging="425"/>
        <w:rPr>
          <w:b/>
          <w:sz w:val="22"/>
          <w:szCs w:val="22"/>
        </w:rPr>
      </w:pPr>
    </w:p>
    <w:sectPr w:rsidR="001978C7" w:rsidRPr="001978C7" w:rsidSect="00A30EF7">
      <w:headerReference w:type="even" r:id="rId10"/>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3D93" w14:textId="77777777" w:rsidR="00300227" w:rsidRDefault="00300227" w:rsidP="00446BEE">
      <w:r>
        <w:separator/>
      </w:r>
    </w:p>
  </w:endnote>
  <w:endnote w:type="continuationSeparator" w:id="0">
    <w:p w14:paraId="063A470D" w14:textId="77777777" w:rsidR="00300227" w:rsidRDefault="0030022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E64B" w14:textId="77777777" w:rsidR="005C6BC7" w:rsidRDefault="005C6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599D5E3A" w:rsidR="00446BEE" w:rsidRDefault="00446BEE" w:rsidP="009F66BF">
    <w:pPr>
      <w:pStyle w:val="Footer"/>
      <w:ind w:hanging="567"/>
    </w:pPr>
    <w:r>
      <w:tab/>
    </w:r>
    <w:r>
      <w:tab/>
    </w:r>
    <w:r w:rsidR="009F66BF">
      <w:tab/>
    </w:r>
    <w:r w:rsidR="009F66BF">
      <w:tab/>
    </w:r>
    <w:r w:rsidR="009F66BF">
      <w:tab/>
    </w:r>
    <w:r w:rsidR="009F66BF">
      <w:tab/>
    </w:r>
    <w:r w:rsidR="009F66BF">
      <w:tab/>
    </w:r>
    <w:r>
      <w:fldChar w:fldCharType="begin"/>
    </w:r>
    <w:r>
      <w:instrText xml:space="preserve"> PAGE </w:instrText>
    </w:r>
    <w:r>
      <w:fldChar w:fldCharType="separate"/>
    </w:r>
    <w:r w:rsidR="001946BB">
      <w:rPr>
        <w:noProof/>
      </w:rPr>
      <w:t>1</w:t>
    </w:r>
    <w:r>
      <w:fldChar w:fldCharType="end"/>
    </w:r>
    <w:r>
      <w:t xml:space="preserve"> of </w:t>
    </w:r>
    <w:r w:rsidR="005C6BC7">
      <w:fldChar w:fldCharType="begin"/>
    </w:r>
    <w:r w:rsidR="005C6BC7">
      <w:instrText xml:space="preserve"> NUMPAGES  </w:instrText>
    </w:r>
    <w:r w:rsidR="005C6BC7">
      <w:fldChar w:fldCharType="separate"/>
    </w:r>
    <w:r w:rsidR="001946BB">
      <w:rPr>
        <w:noProof/>
      </w:rPr>
      <w:t>2</w:t>
    </w:r>
    <w:r w:rsidR="005C6BC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D4CB" w14:textId="77777777" w:rsidR="005C6BC7" w:rsidRDefault="005C6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0602" w14:textId="77777777" w:rsidR="00300227" w:rsidRDefault="00300227" w:rsidP="00446BEE">
      <w:r>
        <w:separator/>
      </w:r>
    </w:p>
  </w:footnote>
  <w:footnote w:type="continuationSeparator" w:id="0">
    <w:p w14:paraId="4DC318DE" w14:textId="77777777" w:rsidR="00300227" w:rsidRDefault="0030022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C0CA" w14:textId="77777777" w:rsidR="005C6BC7" w:rsidRDefault="005C6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4C4500D4" w:rsidR="009F66BF" w:rsidRDefault="00C9627D" w:rsidP="009F66BF">
    <w:pPr>
      <w:pStyle w:val="Header"/>
      <w:ind w:hanging="567"/>
    </w:pPr>
    <w:sdt>
      <w:sdtPr>
        <w:id w:val="477878486"/>
        <w:docPartObj>
          <w:docPartGallery w:val="Watermarks"/>
          <w:docPartUnique/>
        </w:docPartObj>
      </w:sdtPr>
      <w:sdtEndPr/>
      <w:sdtContent>
        <w:r>
          <w:rPr>
            <w:noProof/>
          </w:rPr>
          <w:pict w14:anchorId="1856A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F66BF" w:rsidRPr="009F66BF">
      <w:rPr>
        <w:noProof/>
      </w:rPr>
      <w:drawing>
        <wp:inline distT="0" distB="0" distL="0" distR="0" wp14:anchorId="685F7C58" wp14:editId="7DF035DC">
          <wp:extent cx="2505075" cy="444449"/>
          <wp:effectExtent l="0" t="0" r="0" b="0"/>
          <wp:docPr id="9" name="Picture 9"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033A" w14:textId="77777777" w:rsidR="005C6BC7" w:rsidRDefault="005C6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E3600"/>
    <w:multiLevelType w:val="hybridMultilevel"/>
    <w:tmpl w:val="A004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74013"/>
    <w:multiLevelType w:val="hybridMultilevel"/>
    <w:tmpl w:val="06D0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C634C"/>
    <w:multiLevelType w:val="hybridMultilevel"/>
    <w:tmpl w:val="F56E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62F09"/>
    <w:multiLevelType w:val="hybridMultilevel"/>
    <w:tmpl w:val="0D9E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120245">
    <w:abstractNumId w:val="15"/>
  </w:num>
  <w:num w:numId="2" w16cid:durableId="2002538492">
    <w:abstractNumId w:val="16"/>
  </w:num>
  <w:num w:numId="3" w16cid:durableId="1115755560">
    <w:abstractNumId w:val="16"/>
    <w:lvlOverride w:ilvl="0">
      <w:startOverride w:val="1"/>
    </w:lvlOverride>
  </w:num>
  <w:num w:numId="4" w16cid:durableId="1164737210">
    <w:abstractNumId w:val="16"/>
    <w:lvlOverride w:ilvl="0">
      <w:startOverride w:val="1"/>
    </w:lvlOverride>
  </w:num>
  <w:num w:numId="5" w16cid:durableId="1907496277">
    <w:abstractNumId w:val="16"/>
    <w:lvlOverride w:ilvl="0">
      <w:startOverride w:val="1"/>
    </w:lvlOverride>
  </w:num>
  <w:num w:numId="6" w16cid:durableId="957377609">
    <w:abstractNumId w:val="16"/>
    <w:lvlOverride w:ilvl="0">
      <w:startOverride w:val="1"/>
    </w:lvlOverride>
  </w:num>
  <w:num w:numId="7" w16cid:durableId="2040887977">
    <w:abstractNumId w:val="16"/>
    <w:lvlOverride w:ilvl="0">
      <w:startOverride w:val="1"/>
    </w:lvlOverride>
  </w:num>
  <w:num w:numId="8" w16cid:durableId="738747964">
    <w:abstractNumId w:val="9"/>
  </w:num>
  <w:num w:numId="9" w16cid:durableId="1244754255">
    <w:abstractNumId w:val="7"/>
  </w:num>
  <w:num w:numId="10" w16cid:durableId="1101799043">
    <w:abstractNumId w:val="6"/>
  </w:num>
  <w:num w:numId="11" w16cid:durableId="119882121">
    <w:abstractNumId w:val="5"/>
  </w:num>
  <w:num w:numId="12" w16cid:durableId="446702736">
    <w:abstractNumId w:val="4"/>
  </w:num>
  <w:num w:numId="13" w16cid:durableId="1073700658">
    <w:abstractNumId w:val="8"/>
  </w:num>
  <w:num w:numId="14" w16cid:durableId="1414276336">
    <w:abstractNumId w:val="3"/>
  </w:num>
  <w:num w:numId="15" w16cid:durableId="1295528479">
    <w:abstractNumId w:val="2"/>
  </w:num>
  <w:num w:numId="16" w16cid:durableId="1817455520">
    <w:abstractNumId w:val="1"/>
  </w:num>
  <w:num w:numId="17" w16cid:durableId="1175413547">
    <w:abstractNumId w:val="0"/>
  </w:num>
  <w:num w:numId="18" w16cid:durableId="1672416867">
    <w:abstractNumId w:val="11"/>
  </w:num>
  <w:num w:numId="19" w16cid:durableId="304820830">
    <w:abstractNumId w:val="11"/>
    <w:lvlOverride w:ilvl="0">
      <w:startOverride w:val="1"/>
    </w:lvlOverride>
  </w:num>
  <w:num w:numId="20" w16cid:durableId="985671688">
    <w:abstractNumId w:val="10"/>
  </w:num>
  <w:num w:numId="21" w16cid:durableId="1451506456">
    <w:abstractNumId w:val="14"/>
  </w:num>
  <w:num w:numId="22" w16cid:durableId="2108193071">
    <w:abstractNumId w:val="13"/>
  </w:num>
  <w:num w:numId="23" w16cid:durableId="1556812857">
    <w:abstractNumId w:val="17"/>
  </w:num>
  <w:num w:numId="24" w16cid:durableId="1045835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11B79"/>
    <w:rsid w:val="00024D0A"/>
    <w:rsid w:val="00025F27"/>
    <w:rsid w:val="000472DC"/>
    <w:rsid w:val="0005185C"/>
    <w:rsid w:val="00070065"/>
    <w:rsid w:val="000A4FEE"/>
    <w:rsid w:val="000B5102"/>
    <w:rsid w:val="000B5939"/>
    <w:rsid w:val="0010702B"/>
    <w:rsid w:val="00111CCE"/>
    <w:rsid w:val="001134E7"/>
    <w:rsid w:val="00127836"/>
    <w:rsid w:val="0013226F"/>
    <w:rsid w:val="00134F18"/>
    <w:rsid w:val="00160F68"/>
    <w:rsid w:val="0017149E"/>
    <w:rsid w:val="0017169E"/>
    <w:rsid w:val="00177818"/>
    <w:rsid w:val="001811A9"/>
    <w:rsid w:val="00181A4A"/>
    <w:rsid w:val="001946BB"/>
    <w:rsid w:val="0019492D"/>
    <w:rsid w:val="001978C7"/>
    <w:rsid w:val="001B0EE9"/>
    <w:rsid w:val="001B65B3"/>
    <w:rsid w:val="002029A6"/>
    <w:rsid w:val="002029E7"/>
    <w:rsid w:val="0022538A"/>
    <w:rsid w:val="002408EA"/>
    <w:rsid w:val="002819D7"/>
    <w:rsid w:val="0028217D"/>
    <w:rsid w:val="002C1A7E"/>
    <w:rsid w:val="002D3376"/>
    <w:rsid w:val="00300227"/>
    <w:rsid w:val="00311ED0"/>
    <w:rsid w:val="0032073F"/>
    <w:rsid w:val="00321EA0"/>
    <w:rsid w:val="00324881"/>
    <w:rsid w:val="003404D8"/>
    <w:rsid w:val="00360316"/>
    <w:rsid w:val="003648C5"/>
    <w:rsid w:val="003722FA"/>
    <w:rsid w:val="00374E25"/>
    <w:rsid w:val="003C7AAF"/>
    <w:rsid w:val="003D7EC4"/>
    <w:rsid w:val="003E25CF"/>
    <w:rsid w:val="00406A49"/>
    <w:rsid w:val="004075B6"/>
    <w:rsid w:val="00420952"/>
    <w:rsid w:val="004327C3"/>
    <w:rsid w:val="00432ECE"/>
    <w:rsid w:val="00433EFF"/>
    <w:rsid w:val="004415DB"/>
    <w:rsid w:val="00443081"/>
    <w:rsid w:val="00446BEE"/>
    <w:rsid w:val="004602D6"/>
    <w:rsid w:val="00492FE1"/>
    <w:rsid w:val="00494FEF"/>
    <w:rsid w:val="004A241F"/>
    <w:rsid w:val="004A2D1D"/>
    <w:rsid w:val="004E3A84"/>
    <w:rsid w:val="005025A1"/>
    <w:rsid w:val="00557456"/>
    <w:rsid w:val="005602B2"/>
    <w:rsid w:val="0058204D"/>
    <w:rsid w:val="00593097"/>
    <w:rsid w:val="00594A5B"/>
    <w:rsid w:val="005C6BC7"/>
    <w:rsid w:val="005D7EEE"/>
    <w:rsid w:val="006155C8"/>
    <w:rsid w:val="006233A7"/>
    <w:rsid w:val="006921E1"/>
    <w:rsid w:val="006A3196"/>
    <w:rsid w:val="006C42BD"/>
    <w:rsid w:val="006F4B25"/>
    <w:rsid w:val="006F6496"/>
    <w:rsid w:val="00706811"/>
    <w:rsid w:val="0073154B"/>
    <w:rsid w:val="00731D82"/>
    <w:rsid w:val="00736348"/>
    <w:rsid w:val="007574E6"/>
    <w:rsid w:val="00760908"/>
    <w:rsid w:val="00773470"/>
    <w:rsid w:val="007A203D"/>
    <w:rsid w:val="007D764C"/>
    <w:rsid w:val="007F238D"/>
    <w:rsid w:val="008131E9"/>
    <w:rsid w:val="00861B92"/>
    <w:rsid w:val="0087499A"/>
    <w:rsid w:val="00877A20"/>
    <w:rsid w:val="008814FB"/>
    <w:rsid w:val="008A779F"/>
    <w:rsid w:val="008F46AB"/>
    <w:rsid w:val="008F5E30"/>
    <w:rsid w:val="008F7830"/>
    <w:rsid w:val="00914D7F"/>
    <w:rsid w:val="009176A1"/>
    <w:rsid w:val="00955EC5"/>
    <w:rsid w:val="00961C9E"/>
    <w:rsid w:val="009813A0"/>
    <w:rsid w:val="0099111D"/>
    <w:rsid w:val="009B19D9"/>
    <w:rsid w:val="009C1F2B"/>
    <w:rsid w:val="009E271E"/>
    <w:rsid w:val="009E680B"/>
    <w:rsid w:val="009F3461"/>
    <w:rsid w:val="009F4556"/>
    <w:rsid w:val="009F66BF"/>
    <w:rsid w:val="009F74FD"/>
    <w:rsid w:val="00A15A1F"/>
    <w:rsid w:val="00A17C0C"/>
    <w:rsid w:val="00A30EF7"/>
    <w:rsid w:val="00A3325A"/>
    <w:rsid w:val="00A43013"/>
    <w:rsid w:val="00A43DA6"/>
    <w:rsid w:val="00A4430C"/>
    <w:rsid w:val="00AF108A"/>
    <w:rsid w:val="00B02E55"/>
    <w:rsid w:val="00B036C1"/>
    <w:rsid w:val="00B11327"/>
    <w:rsid w:val="00B53C35"/>
    <w:rsid w:val="00B5431F"/>
    <w:rsid w:val="00B626DF"/>
    <w:rsid w:val="00B96E55"/>
    <w:rsid w:val="00BA0676"/>
    <w:rsid w:val="00BF7FE0"/>
    <w:rsid w:val="00C41FDB"/>
    <w:rsid w:val="00C81104"/>
    <w:rsid w:val="00C9627D"/>
    <w:rsid w:val="00C96411"/>
    <w:rsid w:val="00CB5671"/>
    <w:rsid w:val="00CD4C18"/>
    <w:rsid w:val="00CF58B7"/>
    <w:rsid w:val="00D351C1"/>
    <w:rsid w:val="00D35EFB"/>
    <w:rsid w:val="00D47BA7"/>
    <w:rsid w:val="00D504B3"/>
    <w:rsid w:val="00D607D5"/>
    <w:rsid w:val="00D61BEA"/>
    <w:rsid w:val="00D65FB6"/>
    <w:rsid w:val="00D8132E"/>
    <w:rsid w:val="00D86BF0"/>
    <w:rsid w:val="00D951B6"/>
    <w:rsid w:val="00DB03DD"/>
    <w:rsid w:val="00E23430"/>
    <w:rsid w:val="00E3025D"/>
    <w:rsid w:val="00E51920"/>
    <w:rsid w:val="00E64120"/>
    <w:rsid w:val="00E660A1"/>
    <w:rsid w:val="00EA3CCF"/>
    <w:rsid w:val="00EB7131"/>
    <w:rsid w:val="00ED0880"/>
    <w:rsid w:val="00F055F1"/>
    <w:rsid w:val="00F234EF"/>
    <w:rsid w:val="00F40D32"/>
    <w:rsid w:val="00F610AF"/>
    <w:rsid w:val="00F63A40"/>
    <w:rsid w:val="00F728F3"/>
    <w:rsid w:val="00F80C14"/>
    <w:rsid w:val="00FA0496"/>
    <w:rsid w:val="00FA2C5A"/>
    <w:rsid w:val="00FC2D11"/>
    <w:rsid w:val="00FC6230"/>
    <w:rsid w:val="00FE335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5876F"/>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D61BEA"/>
    <w:pPr>
      <w:tabs>
        <w:tab w:val="left" w:pos="567"/>
      </w:tabs>
    </w:pPr>
    <w:rPr>
      <w:rFonts w:ascii="Lato" w:hAnsi="Lato"/>
      <w:sz w:val="22"/>
    </w:r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1C9E"/>
    <w:rPr>
      <w:sz w:val="16"/>
      <w:szCs w:val="16"/>
    </w:rPr>
  </w:style>
  <w:style w:type="paragraph" w:styleId="CommentText">
    <w:name w:val="annotation text"/>
    <w:basedOn w:val="Normal"/>
    <w:link w:val="CommentTextChar"/>
    <w:unhideWhenUsed/>
    <w:rsid w:val="00961C9E"/>
    <w:rPr>
      <w:sz w:val="20"/>
      <w:szCs w:val="20"/>
    </w:rPr>
  </w:style>
  <w:style w:type="character" w:customStyle="1" w:styleId="CommentTextChar">
    <w:name w:val="Comment Text Char"/>
    <w:basedOn w:val="DefaultParagraphFont"/>
    <w:link w:val="CommentText"/>
    <w:rsid w:val="00961C9E"/>
  </w:style>
  <w:style w:type="paragraph" w:styleId="CommentSubject">
    <w:name w:val="annotation subject"/>
    <w:basedOn w:val="CommentText"/>
    <w:next w:val="CommentText"/>
    <w:link w:val="CommentSubjectChar"/>
    <w:semiHidden/>
    <w:unhideWhenUsed/>
    <w:rsid w:val="00961C9E"/>
    <w:rPr>
      <w:b/>
      <w:bCs/>
    </w:rPr>
  </w:style>
  <w:style w:type="character" w:customStyle="1" w:styleId="CommentSubjectChar">
    <w:name w:val="Comment Subject Char"/>
    <w:basedOn w:val="CommentTextChar"/>
    <w:link w:val="CommentSubject"/>
    <w:semiHidden/>
    <w:rsid w:val="00961C9E"/>
    <w:rPr>
      <w:b/>
      <w:bCs/>
    </w:rPr>
  </w:style>
  <w:style w:type="character" w:customStyle="1" w:styleId="normaltextrun">
    <w:name w:val="normaltextrun"/>
    <w:basedOn w:val="DefaultParagraphFont"/>
    <w:rsid w:val="0073154B"/>
  </w:style>
  <w:style w:type="character" w:customStyle="1" w:styleId="eop">
    <w:name w:val="eop"/>
    <w:basedOn w:val="DefaultParagraphFont"/>
    <w:rsid w:val="0073154B"/>
  </w:style>
  <w:style w:type="paragraph" w:styleId="ListParagraph">
    <w:name w:val="List Paragraph"/>
    <w:basedOn w:val="Normal"/>
    <w:uiPriority w:val="34"/>
    <w:qFormat/>
    <w:rsid w:val="00BA0676"/>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09525">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051542895">
      <w:bodyDiv w:val="1"/>
      <w:marLeft w:val="0"/>
      <w:marRight w:val="0"/>
      <w:marTop w:val="0"/>
      <w:marBottom w:val="0"/>
      <w:divBdr>
        <w:top w:val="none" w:sz="0" w:space="0" w:color="auto"/>
        <w:left w:val="none" w:sz="0" w:space="0" w:color="auto"/>
        <w:bottom w:val="none" w:sz="0" w:space="0" w:color="auto"/>
        <w:right w:val="none" w:sz="0" w:space="0" w:color="auto"/>
      </w:divBdr>
    </w:div>
    <w:div w:id="19380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4" ma:contentTypeDescription="Create a new document." ma:contentTypeScope="" ma:versionID="e38ee189183f80f889e608afc237556e">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8b384a948197d1f4f7c6a1da5ea71383"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FBBC84-B80F-4B5D-B641-7A5E2DCD0916}">
  <ds:schemaRefs>
    <ds:schemaRef ds:uri="http://schemas.microsoft.com/sharepoint/v3/contenttype/forms"/>
  </ds:schemaRefs>
</ds:datastoreItem>
</file>

<file path=customXml/itemProps2.xml><?xml version="1.0" encoding="utf-8"?>
<ds:datastoreItem xmlns:ds="http://schemas.openxmlformats.org/officeDocument/2006/customXml" ds:itemID="{00F134D9-8272-4EE0-BCE5-476CC620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f790-c252-4bfe-890a-0e01b9de803a"/>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CCD85-C71C-4A89-9632-52095067EDBE}">
  <ds:schemaRef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6113f790-c252-4bfe-890a-0e01b9de803a"/>
    <ds:schemaRef ds:uri="http://purl.org/dc/terms/"/>
    <ds:schemaRef ds:uri="0eb656aa-4e79-4e95-9076-bc119a23e0c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Portia Dodds</cp:lastModifiedBy>
  <cp:revision>2</cp:revision>
  <cp:lastPrinted>2025-07-04T12:19:00Z</cp:lastPrinted>
  <dcterms:created xsi:type="dcterms:W3CDTF">2025-09-03T09:16:00Z</dcterms:created>
  <dcterms:modified xsi:type="dcterms:W3CDTF">2025-09-03T09:16:00Z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2023-03-13T20:31:44Z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21afca20-9388-4a90-a27e-c82b70dfab09</vt:lpwstr>
  </property>
  <property fmtid="{D5CDD505-2E9C-101B-9397-08002B2CF9AE}" pid="8" name="MSIP_Label_c69d85d5-6d9e-4305-a294-1f636ec0f2d6_ContentBits">
    <vt:lpwstr>0</vt:lpwstr>
  </property>
  <property fmtid="{D5CDD505-2E9C-101B-9397-08002B2CF9AE}" pid="9" name="ContentTypeId">
    <vt:lpwstr>0x010100C3164B6419967F4F9BC885BCC38080FE</vt:lpwstr>
  </property>
  <property fmtid="{D5CDD505-2E9C-101B-9397-08002B2CF9AE}" pid="10" name="MediaServiceImageTags">
    <vt:lpwstr/>
  </property>
</Properties>
</file>