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86D44" w:rsidR="00E9588A" w:rsidP="00E9588A" w:rsidRDefault="003F210E" w14:paraId="4D5BAAB8" w14:textId="141ABF71">
      <w:pPr>
        <w:pStyle w:val="Heading1"/>
        <w:rPr>
          <w:rFonts w:ascii="Avenir Next" w:hAnsi="Avenir Next"/>
          <w:sz w:val="20"/>
          <w:szCs w:val="20"/>
        </w:rPr>
      </w:pPr>
      <w:r w:rsidRPr="00686D44">
        <w:rPr>
          <w:rFonts w:ascii="Avenir Next" w:hAnsi="Avenir Next"/>
          <w:noProof/>
          <w:sz w:val="20"/>
          <w:szCs w:val="20"/>
        </w:rPr>
        <w:drawing>
          <wp:inline distT="0" distB="0" distL="0" distR="0" wp14:anchorId="697F701D" wp14:editId="5D6954AD">
            <wp:extent cx="2438400" cy="482600"/>
            <wp:effectExtent l="0" t="0" r="0" b="0"/>
            <wp:docPr id="56586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6403" name="Picture 565864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0" cy="482600"/>
                    </a:xfrm>
                    <a:prstGeom prst="rect">
                      <a:avLst/>
                    </a:prstGeom>
                  </pic:spPr>
                </pic:pic>
              </a:graphicData>
            </a:graphic>
          </wp:inline>
        </w:drawing>
      </w:r>
      <w:r w:rsidRPr="00686D44" w:rsidR="00365B0A">
        <w:rPr>
          <w:rFonts w:ascii="Avenir Next" w:hAnsi="Avenir Next"/>
          <w:sz w:val="20"/>
          <w:szCs w:val="20"/>
        </w:rPr>
        <w:br/>
      </w:r>
    </w:p>
    <w:p w:rsidRPr="00686D44" w:rsidR="00E9588A" w:rsidP="00E9588A" w:rsidRDefault="003F210E" w14:paraId="50B139B2" w14:textId="015355DB">
      <w:pPr>
        <w:pStyle w:val="Paragraph"/>
        <w:numPr>
          <w:ilvl w:val="0"/>
          <w:numId w:val="0"/>
        </w:numPr>
        <w:spacing w:before="0" w:after="0" w:line="360" w:lineRule="auto"/>
        <w:rPr>
          <w:rFonts w:ascii="Avenir Next" w:hAnsi="Avenir Next"/>
          <w:sz w:val="20"/>
          <w:szCs w:val="20"/>
        </w:rPr>
      </w:pPr>
      <w:r w:rsidRPr="00686D44">
        <w:rPr>
          <w:rFonts w:ascii="Avenir Next" w:hAnsi="Avenir Next"/>
          <w:sz w:val="20"/>
          <w:szCs w:val="20"/>
        </w:rPr>
        <w:t>2</w:t>
      </w:r>
      <w:r w:rsidR="00686D44">
        <w:rPr>
          <w:rFonts w:ascii="Avenir Next" w:hAnsi="Avenir Next"/>
          <w:sz w:val="20"/>
          <w:szCs w:val="20"/>
        </w:rPr>
        <w:t>9</w:t>
      </w:r>
      <w:r w:rsidRPr="00686D44">
        <w:rPr>
          <w:rFonts w:ascii="Avenir Next" w:hAnsi="Avenir Next"/>
          <w:sz w:val="20"/>
          <w:szCs w:val="20"/>
          <w:vertAlign w:val="superscript"/>
        </w:rPr>
        <w:t>th</w:t>
      </w:r>
      <w:r w:rsidRPr="00686D44">
        <w:rPr>
          <w:rFonts w:ascii="Avenir Next" w:hAnsi="Avenir Next"/>
          <w:sz w:val="20"/>
          <w:szCs w:val="20"/>
        </w:rPr>
        <w:t xml:space="preserve"> April 2026</w:t>
      </w:r>
    </w:p>
    <w:p w:rsidRPr="00686D44" w:rsidR="00E9588A" w:rsidP="00E9588A" w:rsidRDefault="00E9588A" w14:paraId="39FF4E3C" w14:textId="77777777">
      <w:pPr>
        <w:pStyle w:val="Paragraph"/>
        <w:numPr>
          <w:ilvl w:val="0"/>
          <w:numId w:val="0"/>
        </w:numPr>
        <w:spacing w:before="0" w:after="0" w:line="360" w:lineRule="auto"/>
        <w:rPr>
          <w:rFonts w:ascii="Avenir Next" w:hAnsi="Avenir Next"/>
          <w:sz w:val="20"/>
          <w:szCs w:val="20"/>
        </w:rPr>
      </w:pPr>
    </w:p>
    <w:p w:rsidRPr="00686D44" w:rsidR="00E9588A" w:rsidP="00E9588A" w:rsidRDefault="00FF1182" w14:paraId="12693535" w14:textId="1318BA39">
      <w:pPr>
        <w:pStyle w:val="Paragraph"/>
        <w:numPr>
          <w:ilvl w:val="0"/>
          <w:numId w:val="0"/>
        </w:numPr>
        <w:spacing w:before="0" w:after="0" w:line="360" w:lineRule="auto"/>
        <w:rPr>
          <w:rFonts w:ascii="Avenir Next" w:hAnsi="Avenir Next"/>
          <w:sz w:val="20"/>
          <w:szCs w:val="20"/>
        </w:rPr>
      </w:pPr>
      <w:r w:rsidRPr="00686D44">
        <w:rPr>
          <w:rFonts w:ascii="Avenir Next" w:hAnsi="Avenir Next"/>
          <w:sz w:val="20"/>
          <w:szCs w:val="20"/>
        </w:rPr>
        <w:t>D</w:t>
      </w:r>
      <w:r w:rsidRPr="00686D44" w:rsidR="00732472">
        <w:rPr>
          <w:rFonts w:ascii="Avenir Next" w:hAnsi="Avenir Next"/>
          <w:sz w:val="20"/>
          <w:szCs w:val="20"/>
        </w:rPr>
        <w:t xml:space="preserve">r </w:t>
      </w:r>
      <w:r w:rsidRPr="00686D44" w:rsidR="008E5264">
        <w:rPr>
          <w:rFonts w:ascii="Avenir Next" w:hAnsi="Avenir Next"/>
          <w:sz w:val="20"/>
          <w:szCs w:val="20"/>
        </w:rPr>
        <w:t>Mark Chakravarty</w:t>
      </w:r>
    </w:p>
    <w:p w:rsidRPr="00686D44" w:rsidR="00E9588A" w:rsidP="00986F24" w:rsidRDefault="00986F24" w14:paraId="692AEAD3" w14:textId="5E14B636">
      <w:pPr>
        <w:rPr>
          <w:rFonts w:ascii="Avenir Next" w:hAnsi="Avenir Next" w:cs="Arial"/>
          <w:sz w:val="20"/>
          <w:szCs w:val="20"/>
        </w:rPr>
      </w:pPr>
      <w:r w:rsidRPr="00686D44">
        <w:rPr>
          <w:rFonts w:ascii="Avenir Next" w:hAnsi="Avenir Next" w:cs="Arial"/>
          <w:sz w:val="20"/>
          <w:szCs w:val="20"/>
        </w:rPr>
        <w:t>Lead Non-executive Director NICE Appeals – Technology Appraisals and Highly Specialised Technologies</w:t>
      </w:r>
    </w:p>
    <w:p w:rsidRPr="00686D44" w:rsidR="00986F24" w:rsidP="00986F24" w:rsidRDefault="00986F24" w14:paraId="5B9F2C14" w14:textId="77777777">
      <w:pPr>
        <w:rPr>
          <w:rFonts w:ascii="Avenir Next" w:hAnsi="Avenir Next" w:cs="Arial"/>
          <w:sz w:val="20"/>
          <w:szCs w:val="20"/>
        </w:rPr>
      </w:pPr>
    </w:p>
    <w:p w:rsidRPr="00686D44" w:rsidR="00E9588A" w:rsidP="00E9588A" w:rsidRDefault="00E9588A" w14:paraId="2E7F7FD0" w14:textId="77777777">
      <w:pPr>
        <w:pStyle w:val="Paragraph"/>
        <w:numPr>
          <w:ilvl w:val="0"/>
          <w:numId w:val="0"/>
        </w:numPr>
        <w:spacing w:before="0" w:after="0" w:line="360" w:lineRule="auto"/>
        <w:rPr>
          <w:rFonts w:ascii="Avenir Next" w:hAnsi="Avenir Next"/>
          <w:sz w:val="20"/>
          <w:szCs w:val="20"/>
        </w:rPr>
      </w:pPr>
      <w:r w:rsidRPr="00686D44">
        <w:rPr>
          <w:rFonts w:ascii="Avenir Next" w:hAnsi="Avenir Next"/>
          <w:sz w:val="20"/>
          <w:szCs w:val="20"/>
        </w:rPr>
        <w:t>National Institute for Health and C</w:t>
      </w:r>
      <w:r w:rsidRPr="00686D44" w:rsidR="00DA6179">
        <w:rPr>
          <w:rFonts w:ascii="Avenir Next" w:hAnsi="Avenir Next"/>
          <w:sz w:val="20"/>
          <w:szCs w:val="20"/>
        </w:rPr>
        <w:t>are</w:t>
      </w:r>
      <w:r w:rsidRPr="00686D44">
        <w:rPr>
          <w:rFonts w:ascii="Avenir Next" w:hAnsi="Avenir Next"/>
          <w:sz w:val="20"/>
          <w:szCs w:val="20"/>
        </w:rPr>
        <w:t xml:space="preserve"> Excellence</w:t>
      </w:r>
    </w:p>
    <w:p w:rsidRPr="00686D44" w:rsidR="00E9588A" w:rsidP="00E9588A" w:rsidRDefault="00FB1BAF" w14:paraId="6C571C43" w14:textId="77777777">
      <w:pPr>
        <w:pStyle w:val="Paragraph"/>
        <w:numPr>
          <w:ilvl w:val="0"/>
          <w:numId w:val="0"/>
        </w:numPr>
        <w:spacing w:before="0" w:after="0" w:line="360" w:lineRule="auto"/>
        <w:rPr>
          <w:rFonts w:ascii="Avenir Next" w:hAnsi="Avenir Next"/>
          <w:sz w:val="20"/>
          <w:szCs w:val="20"/>
        </w:rPr>
      </w:pPr>
      <w:r w:rsidRPr="00686D44">
        <w:rPr>
          <w:rFonts w:ascii="Avenir Next" w:hAnsi="Avenir Next"/>
          <w:sz w:val="20"/>
          <w:szCs w:val="20"/>
        </w:rPr>
        <w:t>2</w:t>
      </w:r>
      <w:r w:rsidRPr="00686D44">
        <w:rPr>
          <w:rFonts w:ascii="Avenir Next" w:hAnsi="Avenir Next"/>
          <w:sz w:val="20"/>
          <w:szCs w:val="20"/>
          <w:vertAlign w:val="superscript"/>
        </w:rPr>
        <w:t>nd</w:t>
      </w:r>
      <w:r w:rsidRPr="00686D44">
        <w:rPr>
          <w:rFonts w:ascii="Avenir Next" w:hAnsi="Avenir Next"/>
          <w:sz w:val="20"/>
          <w:szCs w:val="20"/>
        </w:rPr>
        <w:t xml:space="preserve"> Floor</w:t>
      </w:r>
    </w:p>
    <w:p w:rsidRPr="00686D44" w:rsidR="00FB1BAF" w:rsidP="00E9588A" w:rsidRDefault="00FB1BAF" w14:paraId="64E41E0A" w14:textId="77777777">
      <w:pPr>
        <w:pStyle w:val="Paragraph"/>
        <w:numPr>
          <w:ilvl w:val="0"/>
          <w:numId w:val="0"/>
        </w:numPr>
        <w:spacing w:before="0" w:after="0" w:line="360" w:lineRule="auto"/>
        <w:rPr>
          <w:rFonts w:ascii="Avenir Next" w:hAnsi="Avenir Next"/>
          <w:sz w:val="20"/>
          <w:szCs w:val="20"/>
        </w:rPr>
      </w:pPr>
      <w:r w:rsidRPr="00686D44">
        <w:rPr>
          <w:rFonts w:ascii="Avenir Next" w:hAnsi="Avenir Next"/>
          <w:sz w:val="20"/>
          <w:szCs w:val="20"/>
        </w:rPr>
        <w:t>2 Redman Place</w:t>
      </w:r>
    </w:p>
    <w:p w:rsidRPr="00686D44" w:rsidR="00E9588A" w:rsidP="00E9588A" w:rsidRDefault="00E9588A" w14:paraId="1E614E76" w14:textId="77777777">
      <w:pPr>
        <w:pStyle w:val="Paragraph"/>
        <w:numPr>
          <w:ilvl w:val="0"/>
          <w:numId w:val="0"/>
        </w:numPr>
        <w:spacing w:before="0" w:after="0" w:line="360" w:lineRule="auto"/>
        <w:rPr>
          <w:rFonts w:ascii="Avenir Next" w:hAnsi="Avenir Next"/>
          <w:sz w:val="20"/>
          <w:szCs w:val="20"/>
        </w:rPr>
      </w:pPr>
      <w:r w:rsidRPr="00686D44">
        <w:rPr>
          <w:rFonts w:ascii="Avenir Next" w:hAnsi="Avenir Next"/>
          <w:sz w:val="20"/>
          <w:szCs w:val="20"/>
        </w:rPr>
        <w:t xml:space="preserve">London </w:t>
      </w:r>
      <w:r w:rsidRPr="00686D44" w:rsidR="00FB1BAF">
        <w:rPr>
          <w:rFonts w:ascii="Avenir Next" w:hAnsi="Avenir Next"/>
          <w:sz w:val="20"/>
          <w:szCs w:val="20"/>
        </w:rPr>
        <w:t>E20 1JQ</w:t>
      </w:r>
    </w:p>
    <w:p w:rsidRPr="00686D44" w:rsidR="00E9588A" w:rsidP="00E9588A" w:rsidRDefault="00E9588A" w14:paraId="160BBCC4" w14:textId="77777777">
      <w:pPr>
        <w:pStyle w:val="Paragraph"/>
        <w:numPr>
          <w:ilvl w:val="0"/>
          <w:numId w:val="0"/>
        </w:numPr>
        <w:spacing w:before="0" w:after="0" w:line="360" w:lineRule="auto"/>
        <w:rPr>
          <w:rFonts w:ascii="Avenir Next" w:hAnsi="Avenir Next"/>
          <w:sz w:val="20"/>
          <w:szCs w:val="20"/>
        </w:rPr>
      </w:pPr>
    </w:p>
    <w:p w:rsidRPr="00686D44" w:rsidR="00E9588A" w:rsidP="00E9588A" w:rsidRDefault="00E9588A" w14:paraId="5B557202" w14:textId="19B5E3B6">
      <w:pPr>
        <w:pStyle w:val="Paragraph"/>
        <w:numPr>
          <w:ilvl w:val="0"/>
          <w:numId w:val="0"/>
        </w:numPr>
        <w:spacing w:before="0" w:after="0" w:line="360" w:lineRule="auto"/>
        <w:rPr>
          <w:rFonts w:ascii="Avenir Next" w:hAnsi="Avenir Next"/>
          <w:sz w:val="20"/>
          <w:szCs w:val="20"/>
        </w:rPr>
      </w:pPr>
      <w:r w:rsidRPr="00686D44">
        <w:rPr>
          <w:rFonts w:ascii="Avenir Next" w:hAnsi="Avenir Next"/>
          <w:sz w:val="20"/>
          <w:szCs w:val="20"/>
        </w:rPr>
        <w:t xml:space="preserve">Dear </w:t>
      </w:r>
      <w:r w:rsidRPr="00686D44" w:rsidR="00147742">
        <w:rPr>
          <w:rFonts w:ascii="Avenir Next" w:hAnsi="Avenir Next"/>
          <w:sz w:val="20"/>
          <w:szCs w:val="20"/>
        </w:rPr>
        <w:t>D</w:t>
      </w:r>
      <w:r w:rsidRPr="00686D44" w:rsidR="00732472">
        <w:rPr>
          <w:rFonts w:ascii="Avenir Next" w:hAnsi="Avenir Next"/>
          <w:sz w:val="20"/>
          <w:szCs w:val="20"/>
        </w:rPr>
        <w:t xml:space="preserve">r </w:t>
      </w:r>
      <w:r w:rsidRPr="00686D44" w:rsidR="008E5264">
        <w:rPr>
          <w:rFonts w:ascii="Avenir Next" w:hAnsi="Avenir Next"/>
          <w:sz w:val="20"/>
          <w:szCs w:val="20"/>
        </w:rPr>
        <w:t>Chakravarty</w:t>
      </w:r>
      <w:r w:rsidRPr="00686D44" w:rsidR="0098460E">
        <w:rPr>
          <w:rFonts w:ascii="Avenir Next" w:hAnsi="Avenir Next"/>
          <w:sz w:val="20"/>
          <w:szCs w:val="20"/>
        </w:rPr>
        <w:t>,</w:t>
      </w:r>
    </w:p>
    <w:p w:rsidRPr="00686D44" w:rsidR="00E9588A" w:rsidP="00E9588A" w:rsidRDefault="00E9588A" w14:paraId="7803A983" w14:textId="77777777">
      <w:pPr>
        <w:pStyle w:val="Paragraph"/>
        <w:numPr>
          <w:ilvl w:val="0"/>
          <w:numId w:val="0"/>
        </w:numPr>
        <w:spacing w:before="0" w:after="0" w:line="360" w:lineRule="auto"/>
        <w:rPr>
          <w:rFonts w:ascii="Avenir Next" w:hAnsi="Avenir Next"/>
          <w:sz w:val="20"/>
          <w:szCs w:val="20"/>
        </w:rPr>
      </w:pPr>
    </w:p>
    <w:p w:rsidRPr="00686D44" w:rsidR="00E9588A" w:rsidP="00E9588A" w:rsidRDefault="00E9588A" w14:paraId="3F8B1148" w14:textId="12A75939">
      <w:pPr>
        <w:pStyle w:val="Paragraph"/>
        <w:numPr>
          <w:ilvl w:val="0"/>
          <w:numId w:val="0"/>
        </w:numPr>
        <w:spacing w:before="0" w:after="0" w:line="360" w:lineRule="auto"/>
        <w:rPr>
          <w:rFonts w:ascii="Avenir Next" w:hAnsi="Avenir Next"/>
          <w:b/>
          <w:sz w:val="20"/>
          <w:szCs w:val="20"/>
        </w:rPr>
      </w:pPr>
      <w:r w:rsidRPr="00686D44">
        <w:rPr>
          <w:rFonts w:ascii="Avenir Next" w:hAnsi="Avenir Next"/>
          <w:b/>
          <w:sz w:val="20"/>
          <w:szCs w:val="20"/>
        </w:rPr>
        <w:t xml:space="preserve">Re: Final Appraisal Determination </w:t>
      </w:r>
      <w:r w:rsidRPr="00686D44" w:rsidR="003F210E">
        <w:rPr>
          <w:rFonts w:ascii="Avenir Next" w:hAnsi="Avenir Next"/>
          <w:b/>
          <w:sz w:val="20"/>
          <w:szCs w:val="20"/>
        </w:rPr>
        <w:t>:</w:t>
      </w:r>
    </w:p>
    <w:p w:rsidRPr="00686D44" w:rsidR="003F210E" w:rsidP="003F210E" w:rsidRDefault="003F210E" w14:paraId="6F8E0347" w14:textId="77777777">
      <w:pPr>
        <w:pStyle w:val="Paragraph"/>
        <w:numPr>
          <w:ilvl w:val="0"/>
          <w:numId w:val="0"/>
        </w:numPr>
        <w:spacing w:line="240" w:lineRule="auto"/>
        <w:ind w:left="851" w:hanging="851"/>
        <w:rPr>
          <w:rFonts w:ascii="Avenir Next" w:hAnsi="Avenir Next"/>
          <w:b/>
          <w:bCs/>
          <w:sz w:val="20"/>
          <w:szCs w:val="20"/>
        </w:rPr>
      </w:pPr>
      <w:r w:rsidRPr="00686D44">
        <w:rPr>
          <w:rFonts w:ascii="Avenir Next" w:hAnsi="Avenir Next"/>
          <w:b/>
          <w:bCs/>
          <w:sz w:val="20"/>
          <w:szCs w:val="20"/>
        </w:rPr>
        <w:t>Single Technology Appraisal (STA)</w:t>
      </w:r>
      <w:r w:rsidRPr="00686D44">
        <w:rPr>
          <w:rFonts w:ascii="Avenir Next" w:hAnsi="Avenir Next"/>
          <w:b/>
          <w:sz w:val="20"/>
          <w:szCs w:val="20"/>
        </w:rPr>
        <w:t xml:space="preserve">: </w:t>
      </w:r>
      <w:r w:rsidRPr="00686D44">
        <w:rPr>
          <w:rFonts w:ascii="Avenir Next" w:hAnsi="Avenir Next"/>
          <w:b/>
          <w:bCs/>
          <w:sz w:val="20"/>
          <w:szCs w:val="20"/>
        </w:rPr>
        <w:t>Cabozantinib for treating advanced</w:t>
      </w:r>
    </w:p>
    <w:p w:rsidRPr="00686D44" w:rsidR="003F210E" w:rsidP="003F210E" w:rsidRDefault="003F210E" w14:paraId="5F341DDE" w14:textId="77777777">
      <w:pPr>
        <w:pStyle w:val="Paragraph"/>
        <w:numPr>
          <w:ilvl w:val="0"/>
          <w:numId w:val="0"/>
        </w:numPr>
        <w:spacing w:line="240" w:lineRule="auto"/>
        <w:ind w:left="851" w:hanging="851"/>
        <w:rPr>
          <w:rFonts w:ascii="Avenir Next" w:hAnsi="Avenir Next"/>
          <w:b/>
          <w:bCs/>
          <w:sz w:val="20"/>
          <w:szCs w:val="20"/>
        </w:rPr>
      </w:pPr>
      <w:r w:rsidRPr="00686D44">
        <w:rPr>
          <w:rFonts w:ascii="Avenir Next" w:hAnsi="Avenir Next"/>
          <w:b/>
          <w:bCs/>
          <w:sz w:val="20"/>
          <w:szCs w:val="20"/>
        </w:rPr>
        <w:t>neuroendocrine tumours that have progressed after systemic treatment</w:t>
      </w:r>
    </w:p>
    <w:p w:rsidRPr="00686D44" w:rsidR="003F210E" w:rsidP="003F210E" w:rsidRDefault="003F210E" w14:paraId="18620D17" w14:textId="218750D1">
      <w:pPr>
        <w:pStyle w:val="Paragraph"/>
        <w:numPr>
          <w:ilvl w:val="0"/>
          <w:numId w:val="0"/>
        </w:numPr>
        <w:spacing w:line="240" w:lineRule="auto"/>
        <w:ind w:left="851" w:hanging="851"/>
        <w:rPr>
          <w:rFonts w:ascii="Avenir Next" w:hAnsi="Avenir Next"/>
          <w:b/>
          <w:sz w:val="20"/>
          <w:szCs w:val="20"/>
        </w:rPr>
      </w:pPr>
      <w:r w:rsidRPr="00686D44">
        <w:rPr>
          <w:rFonts w:ascii="Avenir Next" w:hAnsi="Avenir Next"/>
          <w:b/>
          <w:bCs/>
          <w:sz w:val="20"/>
          <w:szCs w:val="20"/>
        </w:rPr>
        <w:t>[ID6474]</w:t>
      </w:r>
    </w:p>
    <w:p w:rsidRPr="00686D44" w:rsidR="00045633" w:rsidP="00E9588A" w:rsidRDefault="00045633" w14:paraId="0A863BD9" w14:textId="77777777">
      <w:pPr>
        <w:pStyle w:val="Paragraph"/>
        <w:numPr>
          <w:ilvl w:val="0"/>
          <w:numId w:val="0"/>
        </w:numPr>
        <w:spacing w:before="0" w:after="0" w:line="360" w:lineRule="auto"/>
        <w:rPr>
          <w:rFonts w:ascii="Avenir Next" w:hAnsi="Avenir Next"/>
          <w:sz w:val="20"/>
          <w:szCs w:val="20"/>
        </w:rPr>
      </w:pPr>
    </w:p>
    <w:p w:rsidRPr="00686D44" w:rsidR="003F210E" w:rsidP="003F210E" w:rsidRDefault="003F210E" w14:paraId="0ADFB638" w14:textId="7FD0FF87">
      <w:pPr>
        <w:pStyle w:val="Paragraph"/>
        <w:numPr>
          <w:ilvl w:val="0"/>
          <w:numId w:val="0"/>
        </w:numPr>
        <w:spacing w:before="0" w:after="0" w:line="360" w:lineRule="auto"/>
        <w:rPr>
          <w:rFonts w:ascii="Avenir Next" w:hAnsi="Avenir Next"/>
          <w:sz w:val="20"/>
          <w:szCs w:val="20"/>
        </w:rPr>
      </w:pPr>
      <w:r w:rsidRPr="00686D44">
        <w:rPr>
          <w:rFonts w:ascii="Avenir Next" w:hAnsi="Avenir Next"/>
          <w:sz w:val="20"/>
          <w:szCs w:val="20"/>
        </w:rPr>
        <w:t xml:space="preserve">Neuroendocrine Cancer UK </w:t>
      </w:r>
      <w:r w:rsidRPr="00686D44" w:rsidR="00045633">
        <w:rPr>
          <w:rFonts w:ascii="Avenir Next" w:hAnsi="Avenir Next"/>
          <w:sz w:val="20"/>
          <w:szCs w:val="20"/>
        </w:rPr>
        <w:t xml:space="preserve">would like to appeal against the </w:t>
      </w:r>
      <w:r w:rsidRPr="00686D44">
        <w:rPr>
          <w:rFonts w:ascii="Avenir Next" w:hAnsi="Avenir Next"/>
          <w:sz w:val="20"/>
          <w:szCs w:val="20"/>
        </w:rPr>
        <w:t xml:space="preserve">above </w:t>
      </w:r>
      <w:r w:rsidRPr="00686D44" w:rsidR="00045633">
        <w:rPr>
          <w:rFonts w:ascii="Avenir Next" w:hAnsi="Avenir Next"/>
          <w:sz w:val="20"/>
          <w:szCs w:val="20"/>
        </w:rPr>
        <w:t xml:space="preserve">Final Appraisal </w:t>
      </w:r>
      <w:r w:rsidRPr="00686D44">
        <w:rPr>
          <w:rFonts w:ascii="Avenir Next" w:hAnsi="Avenir Next"/>
          <w:sz w:val="20"/>
          <w:szCs w:val="20"/>
        </w:rPr>
        <w:t>Decision. This appeal is brought on the following grounds, in accordance with the NICE appeals procedure:</w:t>
      </w:r>
    </w:p>
    <w:p w:rsidRPr="00686D44" w:rsidR="003F210E" w:rsidP="003F210E" w:rsidRDefault="003F210E" w14:paraId="50F3115B" w14:textId="77777777">
      <w:pPr>
        <w:pStyle w:val="Paragraph"/>
        <w:numPr>
          <w:ilvl w:val="0"/>
          <w:numId w:val="0"/>
        </w:numPr>
        <w:spacing w:before="0" w:after="0" w:line="360" w:lineRule="auto"/>
        <w:ind w:left="851" w:hanging="851"/>
        <w:rPr>
          <w:rFonts w:ascii="Avenir Next" w:hAnsi="Avenir Next"/>
          <w:sz w:val="20"/>
          <w:szCs w:val="20"/>
        </w:rPr>
      </w:pPr>
    </w:p>
    <w:p w:rsidRPr="00686D44" w:rsidR="003F210E" w:rsidP="003F210E" w:rsidRDefault="003F210E" w14:paraId="435E3CA3" w14:textId="77777777">
      <w:pPr>
        <w:pStyle w:val="Paragraph"/>
        <w:numPr>
          <w:ilvl w:val="0"/>
          <w:numId w:val="29"/>
        </w:numPr>
        <w:spacing w:before="0" w:after="0" w:line="360" w:lineRule="auto"/>
        <w:rPr>
          <w:rFonts w:ascii="Avenir Next" w:hAnsi="Avenir Next"/>
          <w:sz w:val="20"/>
          <w:szCs w:val="20"/>
        </w:rPr>
      </w:pPr>
      <w:r w:rsidRPr="00686D44">
        <w:rPr>
          <w:rFonts w:ascii="Avenir Next" w:hAnsi="Avenir Next"/>
          <w:b/>
          <w:bCs/>
          <w:sz w:val="20"/>
          <w:szCs w:val="20"/>
        </w:rPr>
        <w:t>Ground 1:</w:t>
      </w:r>
      <w:r w:rsidRPr="00686D44">
        <w:rPr>
          <w:rFonts w:ascii="Avenir Next" w:hAnsi="Avenir Next"/>
          <w:sz w:val="20"/>
          <w:szCs w:val="20"/>
        </w:rPr>
        <w:t xml:space="preserve"> The Appraisal Committee has failed to act fairly and consistently with NICE precedent.</w:t>
      </w:r>
    </w:p>
    <w:p w:rsidRPr="00686D44" w:rsidR="003F210E" w:rsidP="003F210E" w:rsidRDefault="003F210E" w14:paraId="11491F32" w14:textId="77777777">
      <w:pPr>
        <w:pStyle w:val="Paragraph"/>
        <w:numPr>
          <w:ilvl w:val="0"/>
          <w:numId w:val="29"/>
        </w:numPr>
        <w:spacing w:before="0" w:after="0" w:line="360" w:lineRule="auto"/>
        <w:rPr>
          <w:rFonts w:ascii="Avenir Next" w:hAnsi="Avenir Next"/>
          <w:sz w:val="20"/>
          <w:szCs w:val="20"/>
        </w:rPr>
      </w:pPr>
      <w:r w:rsidRPr="00686D44">
        <w:rPr>
          <w:rFonts w:ascii="Avenir Next" w:hAnsi="Avenir Next"/>
          <w:b/>
          <w:bCs/>
          <w:sz w:val="20"/>
          <w:szCs w:val="20"/>
        </w:rPr>
        <w:t>Ground 2:</w:t>
      </w:r>
      <w:r w:rsidRPr="00686D44">
        <w:rPr>
          <w:rFonts w:ascii="Avenir Next" w:hAnsi="Avenir Next"/>
          <w:sz w:val="20"/>
          <w:szCs w:val="20"/>
        </w:rPr>
        <w:t xml:space="preserve"> The recommendation is unreasonable in light of the evidence submitted to NICE.</w:t>
      </w:r>
    </w:p>
    <w:p w:rsidRPr="00686D44" w:rsidR="003F210E" w:rsidP="003F210E" w:rsidRDefault="003F210E" w14:paraId="56300293" w14:textId="77777777">
      <w:pPr>
        <w:pStyle w:val="Paragraph"/>
        <w:numPr>
          <w:ilvl w:val="0"/>
          <w:numId w:val="0"/>
        </w:numPr>
        <w:spacing w:before="0" w:after="0" w:line="360" w:lineRule="auto"/>
        <w:rPr>
          <w:rFonts w:ascii="Avenir Next" w:hAnsi="Avenir Next"/>
          <w:sz w:val="20"/>
          <w:szCs w:val="20"/>
        </w:rPr>
      </w:pPr>
    </w:p>
    <w:p w:rsidRPr="00686D44" w:rsidR="00BC6FDE" w:rsidP="00BC6FDE" w:rsidRDefault="00BC6FDE" w14:paraId="122BB396" w14:textId="77777777">
      <w:pPr>
        <w:pStyle w:val="Paragraph"/>
        <w:numPr>
          <w:ilvl w:val="0"/>
          <w:numId w:val="0"/>
        </w:numPr>
        <w:spacing w:before="0" w:after="0" w:line="360" w:lineRule="auto"/>
        <w:rPr>
          <w:rFonts w:ascii="Avenir Next" w:hAnsi="Avenir Next"/>
          <w:sz w:val="20"/>
          <w:szCs w:val="20"/>
        </w:rPr>
      </w:pPr>
      <w:r w:rsidRPr="00686D44">
        <w:rPr>
          <w:rFonts w:ascii="Avenir Next" w:hAnsi="Avenir Next"/>
          <w:sz w:val="20"/>
          <w:szCs w:val="20"/>
        </w:rPr>
        <w:t xml:space="preserve"> </w:t>
      </w:r>
    </w:p>
    <w:p w:rsidRPr="00686D44" w:rsidR="00BC6FDE" w:rsidP="00E9588A" w:rsidRDefault="00BC6FDE" w14:paraId="319531D2" w14:textId="77777777">
      <w:pPr>
        <w:pStyle w:val="Paragraph"/>
        <w:numPr>
          <w:ilvl w:val="0"/>
          <w:numId w:val="0"/>
        </w:numPr>
        <w:spacing w:before="0" w:after="0" w:line="360" w:lineRule="auto"/>
        <w:rPr>
          <w:rFonts w:ascii="Avenir Next" w:hAnsi="Avenir Next"/>
          <w:sz w:val="20"/>
          <w:szCs w:val="20"/>
        </w:rPr>
      </w:pPr>
    </w:p>
    <w:p w:rsidRPr="00686D44" w:rsidR="00497D92" w:rsidP="076ABDA8" w:rsidRDefault="001E3730" w14:paraId="43A52533" w14:textId="23BB5005">
      <w:pPr>
        <w:pStyle w:val="Heading2"/>
        <w:rPr>
          <w:rFonts w:ascii="Avenir Next" w:hAnsi="Avenir Next"/>
          <w:i w:val="0"/>
          <w:iCs w:val="0"/>
          <w:sz w:val="20"/>
          <w:szCs w:val="20"/>
          <w:lang w:val="en-US"/>
        </w:rPr>
      </w:pPr>
      <w:r w:rsidRPr="076ABDA8">
        <w:rPr>
          <w:rFonts w:ascii="Avenir Next" w:hAnsi="Avenir Next"/>
          <w:i w:val="0"/>
          <w:iCs w:val="0"/>
          <w:sz w:val="20"/>
          <w:szCs w:val="20"/>
          <w:lang w:val="en-US"/>
        </w:rPr>
        <w:t>Ground 1</w:t>
      </w:r>
      <w:r w:rsidRPr="076ABDA8" w:rsidR="008767C6">
        <w:rPr>
          <w:rFonts w:ascii="Avenir Next" w:hAnsi="Avenir Next"/>
          <w:i w:val="0"/>
          <w:iCs w:val="0"/>
          <w:sz w:val="20"/>
          <w:szCs w:val="20"/>
          <w:lang w:val="en-US"/>
        </w:rPr>
        <w:t>a</w:t>
      </w:r>
      <w:r w:rsidRPr="076ABDA8">
        <w:rPr>
          <w:rFonts w:ascii="Avenir Next" w:hAnsi="Avenir Next"/>
          <w:i w:val="0"/>
          <w:iCs w:val="0"/>
          <w:sz w:val="20"/>
          <w:szCs w:val="20"/>
          <w:lang w:val="en-US"/>
        </w:rPr>
        <w:t xml:space="preserve">: </w:t>
      </w:r>
      <w:r w:rsidRPr="076ABDA8" w:rsidR="00497D92">
        <w:rPr>
          <w:rFonts w:ascii="Avenir Next" w:hAnsi="Avenir Next"/>
          <w:i w:val="0"/>
          <w:iCs w:val="0"/>
          <w:sz w:val="20"/>
          <w:szCs w:val="20"/>
          <w:lang w:val="en-US"/>
        </w:rPr>
        <w:t>In making the assessment that preceded the recommendation, NICE ha</w:t>
      </w:r>
      <w:r w:rsidRPr="076ABDA8" w:rsidR="008767C6">
        <w:rPr>
          <w:rFonts w:ascii="Avenir Next" w:hAnsi="Avenir Next"/>
          <w:i w:val="0"/>
          <w:iCs w:val="0"/>
          <w:sz w:val="20"/>
          <w:szCs w:val="20"/>
          <w:lang w:val="en-US"/>
        </w:rPr>
        <w:t>s: f</w:t>
      </w:r>
      <w:r w:rsidRPr="076ABDA8" w:rsidR="00497D92">
        <w:rPr>
          <w:rFonts w:ascii="Avenir Next" w:hAnsi="Avenir Next"/>
          <w:i w:val="0"/>
          <w:iCs w:val="0"/>
          <w:sz w:val="20"/>
          <w:szCs w:val="20"/>
          <w:lang w:val="en-US"/>
        </w:rPr>
        <w:t xml:space="preserve">ailed to act fairly </w:t>
      </w:r>
    </w:p>
    <w:p w:rsidRPr="00686D44" w:rsidR="00AF231D" w:rsidP="00AF231D" w:rsidRDefault="00AF231D" w14:paraId="5D257D44" w14:textId="77777777">
      <w:pPr>
        <w:pStyle w:val="Heading3"/>
        <w:spacing w:line="300" w:lineRule="atLeast"/>
        <w:rPr>
          <w:rFonts w:ascii="Avenir Next" w:hAnsi="Avenir Next" w:cs="Segoe UI"/>
          <w:sz w:val="20"/>
          <w:szCs w:val="20"/>
        </w:rPr>
      </w:pPr>
      <w:r w:rsidRPr="00686D44">
        <w:rPr>
          <w:rFonts w:ascii="Avenir Next" w:hAnsi="Avenir Next" w:cs="Segoe UI"/>
          <w:sz w:val="20"/>
          <w:szCs w:val="20"/>
        </w:rPr>
        <w:t>Appeal Point 1(a).1 – Consistency of Approach to Overall Survival (OS)</w:t>
      </w:r>
    </w:p>
    <w:p w:rsidRPr="00686D44" w:rsidR="00AF231D" w:rsidP="00AF231D" w:rsidRDefault="00AF231D" w14:paraId="024375F2" w14:textId="77777777">
      <w:pPr>
        <w:pStyle w:val="NormalWeb"/>
        <w:spacing w:line="300" w:lineRule="atLeast"/>
        <w:rPr>
          <w:rFonts w:ascii="Avenir Next" w:hAnsi="Avenir Next" w:cs="Segoe UI"/>
          <w:sz w:val="20"/>
          <w:szCs w:val="20"/>
        </w:rPr>
      </w:pPr>
      <w:r w:rsidRPr="00686D44">
        <w:rPr>
          <w:rFonts w:ascii="Avenir Next" w:hAnsi="Avenir Next" w:cs="Segoe UI"/>
          <w:sz w:val="20"/>
          <w:szCs w:val="20"/>
        </w:rPr>
        <w:t>It is respectfully submitted that the Appraisal Committee did not apply a consistent approach to the assessment of overall survival (OS) for cabozantinib in the epNET population, contrary to established NICE precedent. This gives rise to a concern under procedural fairness and legitimate expectation.</w:t>
      </w:r>
    </w:p>
    <w:p w:rsidRPr="00686D44" w:rsidR="00AF231D" w:rsidP="00AF231D" w:rsidRDefault="00AF231D" w14:paraId="71106907" w14:textId="77777777">
      <w:pPr>
        <w:pStyle w:val="NormalWeb"/>
        <w:spacing w:line="300" w:lineRule="atLeast"/>
        <w:rPr>
          <w:rFonts w:ascii="Avenir Next" w:hAnsi="Avenir Next" w:cs="Segoe UI"/>
          <w:sz w:val="20"/>
          <w:szCs w:val="20"/>
        </w:rPr>
      </w:pPr>
      <w:r w:rsidRPr="00686D44">
        <w:rPr>
          <w:rFonts w:ascii="Avenir Next" w:hAnsi="Avenir Next" w:cs="Segoe UI"/>
          <w:sz w:val="20"/>
          <w:szCs w:val="20"/>
        </w:rPr>
        <w:t>In NICE Technology Appraisal TA449 (2017), the Committee accepted OS benefit for everolimus and sunitinib despite acknowledged uncertainty, including non</w:t>
      </w:r>
      <w:r w:rsidRPr="00686D44">
        <w:rPr>
          <w:rFonts w:ascii="Avenir Next" w:hAnsi="Avenir Next" w:cs="Segoe UI"/>
          <w:sz w:val="20"/>
          <w:szCs w:val="20"/>
        </w:rPr>
        <w:noBreakHyphen/>
      </w:r>
      <w:r w:rsidRPr="00686D44">
        <w:rPr>
          <w:rFonts w:ascii="Avenir Next" w:hAnsi="Avenir Next" w:cs="Segoe UI"/>
          <w:sz w:val="20"/>
          <w:szCs w:val="20"/>
        </w:rPr>
        <w:t>statistically significant OS results and substantial treatment crossover. The Committee concluded that these treatments were clinically effective and accepted assumptions regarding OS benefit for the purposes of the economic evaluation, which informed positive recommendations. This approach establishes a clear precedent for the interpretation of OS evidence in the NET setting where analyses are confounded by crossover.</w:t>
      </w:r>
    </w:p>
    <w:p w:rsidRPr="00686D44" w:rsidR="00AF231D" w:rsidP="00AF231D" w:rsidRDefault="00AF231D" w14:paraId="1D9A2084" w14:textId="751163EF">
      <w:pPr>
        <w:pStyle w:val="NormalWeb"/>
        <w:spacing w:line="300" w:lineRule="atLeast"/>
        <w:rPr>
          <w:rFonts w:ascii="Avenir Next" w:hAnsi="Avenir Next" w:cs="Segoe UI"/>
          <w:sz w:val="20"/>
          <w:szCs w:val="20"/>
        </w:rPr>
      </w:pPr>
      <w:r w:rsidRPr="00686D44">
        <w:rPr>
          <w:rFonts w:ascii="Avenir Next" w:hAnsi="Avenir Next" w:cs="Segoe UI"/>
          <w:sz w:val="20"/>
          <w:szCs w:val="20"/>
        </w:rPr>
        <w:t xml:space="preserve">The evidence for cabozantinib gives rise to a legitimate expectation that a similar evaluative framework would be applied. </w:t>
      </w:r>
    </w:p>
    <w:p w:rsidRPr="00686D44" w:rsidR="00AF231D" w:rsidP="00EB13EF" w:rsidRDefault="00686D44" w14:paraId="334FF449" w14:textId="166E69A6">
      <w:pPr>
        <w:pStyle w:val="NormalWeb"/>
        <w:spacing w:line="300" w:lineRule="atLeast"/>
        <w:rPr>
          <w:rFonts w:ascii="Avenir Next" w:hAnsi="Avenir Next" w:cs="Segoe UI"/>
          <w:sz w:val="20"/>
          <w:szCs w:val="20"/>
        </w:rPr>
      </w:pPr>
      <w:r>
        <w:rPr>
          <w:rFonts w:ascii="Avenir Next" w:hAnsi="Avenir Next" w:cs="Segoe UI"/>
          <w:sz w:val="20"/>
          <w:szCs w:val="20"/>
        </w:rPr>
        <w:t xml:space="preserve">Therefore, </w:t>
      </w:r>
      <w:r w:rsidRPr="00686D44" w:rsidR="00AF231D">
        <w:rPr>
          <w:rFonts w:ascii="Avenir Next" w:hAnsi="Avenir Next" w:cs="Segoe UI"/>
          <w:sz w:val="20"/>
          <w:szCs w:val="20"/>
        </w:rPr>
        <w:t xml:space="preserve"> the decision not to recognise any OS benefit for cabozantinib represents a departure from the approach adopted in TA449, without a clear explanation as to why that precedent was not applied. It is therefore submitted that reconsideration using the same precedent</w:t>
      </w:r>
      <w:r w:rsidRPr="00686D44" w:rsidR="00AF231D">
        <w:rPr>
          <w:rFonts w:ascii="Avenir Next" w:hAnsi="Avenir Next" w:cs="Segoe UI"/>
          <w:sz w:val="20"/>
          <w:szCs w:val="20"/>
        </w:rPr>
        <w:noBreakHyphen/>
      </w:r>
      <w:r w:rsidRPr="00686D44" w:rsidR="00AF231D">
        <w:rPr>
          <w:rFonts w:ascii="Avenir Next" w:hAnsi="Avenir Next" w:cs="Segoe UI"/>
          <w:sz w:val="20"/>
          <w:szCs w:val="20"/>
        </w:rPr>
        <w:t>based evaluative framework would better reflect NICE’s principles of consistency, transparency, and procedural fairness.</w:t>
      </w:r>
    </w:p>
    <w:p w:rsidRPr="00686D44" w:rsidR="00AF231D" w:rsidP="00AF231D" w:rsidRDefault="00AF231D" w14:paraId="549D7403" w14:textId="77777777">
      <w:pPr>
        <w:pStyle w:val="Heading3"/>
        <w:spacing w:line="300" w:lineRule="atLeast"/>
        <w:rPr>
          <w:rFonts w:ascii="Avenir Next" w:hAnsi="Avenir Next" w:cs="Segoe UI"/>
          <w:sz w:val="20"/>
          <w:szCs w:val="20"/>
        </w:rPr>
      </w:pPr>
      <w:r w:rsidRPr="00686D44">
        <w:rPr>
          <w:rFonts w:ascii="Avenir Next" w:hAnsi="Avenir Next" w:cs="Segoe UI"/>
          <w:sz w:val="20"/>
          <w:szCs w:val="20"/>
        </w:rPr>
        <w:t>Appeal Point 1(a).2 – Consistency of Approach to Separate Recommendation for Lung NETs</w:t>
      </w:r>
    </w:p>
    <w:p w:rsidRPr="00686D44" w:rsidR="00AF231D" w:rsidP="00AF231D" w:rsidRDefault="00AF231D" w14:paraId="377870A1" w14:textId="3F5186BD">
      <w:pPr>
        <w:pStyle w:val="NormalWeb"/>
        <w:spacing w:line="300" w:lineRule="atLeast"/>
        <w:rPr>
          <w:rFonts w:ascii="Avenir Next" w:hAnsi="Avenir Next" w:cs="Segoe UI"/>
          <w:sz w:val="20"/>
          <w:szCs w:val="20"/>
        </w:rPr>
      </w:pPr>
      <w:r w:rsidRPr="00686D44">
        <w:rPr>
          <w:rFonts w:ascii="Avenir Next" w:hAnsi="Avenir Next" w:cs="Segoe UI"/>
          <w:sz w:val="20"/>
          <w:szCs w:val="20"/>
        </w:rPr>
        <w:t xml:space="preserve">It is respectfully submitted that the Appraisal Committee did not apply a consistent approach in </w:t>
      </w:r>
      <w:r w:rsidR="00EB13EF">
        <w:rPr>
          <w:rFonts w:ascii="Avenir Next" w:hAnsi="Avenir Next" w:cs="Segoe UI"/>
          <w:sz w:val="20"/>
          <w:szCs w:val="20"/>
        </w:rPr>
        <w:t xml:space="preserve">choosing not </w:t>
      </w:r>
      <w:r w:rsidRPr="00686D44">
        <w:rPr>
          <w:rFonts w:ascii="Avenir Next" w:hAnsi="Avenir Next" w:cs="Segoe UI"/>
          <w:sz w:val="20"/>
          <w:szCs w:val="20"/>
        </w:rPr>
        <w:t xml:space="preserve"> to consider a separate recommendation for lung neuroendocrine tumours (NETs), contrary to established NICE precedent. This gives rise to a concern under procedural fairness and legitimate expectation.</w:t>
      </w:r>
    </w:p>
    <w:p w:rsidRPr="00686D44" w:rsidR="00AF231D" w:rsidP="00AF231D" w:rsidRDefault="00AF231D" w14:paraId="2285ACA7" w14:textId="56D5C58A">
      <w:pPr>
        <w:pStyle w:val="NormalWeb"/>
        <w:spacing w:line="300" w:lineRule="atLeast"/>
        <w:rPr>
          <w:rFonts w:ascii="Avenir Next" w:hAnsi="Avenir Next" w:cs="Segoe UI"/>
          <w:sz w:val="20"/>
          <w:szCs w:val="20"/>
        </w:rPr>
      </w:pPr>
      <w:r w:rsidRPr="00686D44">
        <w:rPr>
          <w:rFonts w:ascii="Avenir Next" w:hAnsi="Avenir Next" w:cs="Segoe UI"/>
          <w:sz w:val="20"/>
          <w:szCs w:val="20"/>
        </w:rPr>
        <w:t xml:space="preserve">In NICE Technology Appraisal TA449 (2017), the Committee considered and accepted separate analyses and recommendations for gastrointestinal and lung NETs. This approach was explicitly justified by recognised differences between subgroups, including prognosis, quality of life, and cost effectiveness. The Committee accepted that subgroup sizes were </w:t>
      </w:r>
      <w:r w:rsidRPr="00686D44" w:rsidR="00686D44">
        <w:rPr>
          <w:rFonts w:ascii="Avenir Next" w:hAnsi="Avenir Next" w:cs="Segoe UI"/>
          <w:sz w:val="20"/>
          <w:szCs w:val="20"/>
        </w:rPr>
        <w:t>limited but</w:t>
      </w:r>
      <w:r w:rsidRPr="00686D44">
        <w:rPr>
          <w:rFonts w:ascii="Avenir Next" w:hAnsi="Avenir Next" w:cs="Segoe UI"/>
          <w:sz w:val="20"/>
          <w:szCs w:val="20"/>
        </w:rPr>
        <w:t xml:space="preserve"> concluded that this did not preclude differentiated decision</w:t>
      </w:r>
      <w:r w:rsidRPr="00686D44">
        <w:rPr>
          <w:rFonts w:ascii="Avenir Next" w:hAnsi="Avenir Next" w:cs="Segoe UI"/>
          <w:sz w:val="20"/>
          <w:szCs w:val="20"/>
        </w:rPr>
        <w:noBreakHyphen/>
      </w:r>
      <w:r w:rsidRPr="00686D44">
        <w:rPr>
          <w:rFonts w:ascii="Avenir Next" w:hAnsi="Avenir Next" w:cs="Segoe UI"/>
          <w:sz w:val="20"/>
          <w:szCs w:val="20"/>
        </w:rPr>
        <w:t>making where clinically and economically relevant differences were observed. This establishes a clear precedent for considering separate recommendations in the NET setting.</w:t>
      </w:r>
    </w:p>
    <w:p w:rsidR="00EB13EF" w:rsidP="00AF231D" w:rsidRDefault="00AF231D" w14:paraId="74821818" w14:textId="77777777">
      <w:pPr>
        <w:pStyle w:val="NormalWeb"/>
        <w:spacing w:line="300" w:lineRule="atLeast"/>
        <w:rPr>
          <w:rFonts w:ascii="Avenir Next" w:hAnsi="Avenir Next" w:cs="Segoe UI"/>
          <w:sz w:val="20"/>
          <w:szCs w:val="20"/>
        </w:rPr>
      </w:pPr>
      <w:r w:rsidRPr="00686D44">
        <w:rPr>
          <w:rFonts w:ascii="Avenir Next" w:hAnsi="Avenir Next" w:cs="Segoe UI"/>
          <w:sz w:val="20"/>
          <w:szCs w:val="20"/>
        </w:rPr>
        <w:t xml:space="preserve">The evidence for cabozantinib gives rise to a legitimate expectation that a similar evaluative framework would be applied. </w:t>
      </w:r>
    </w:p>
    <w:p w:rsidRPr="00686D44" w:rsidR="00AF231D" w:rsidP="00AF231D" w:rsidRDefault="00AF231D" w14:paraId="7D3D462D" w14:textId="35AACCDD">
      <w:pPr>
        <w:pStyle w:val="NormalWeb"/>
        <w:spacing w:line="300" w:lineRule="atLeast"/>
        <w:rPr>
          <w:rFonts w:ascii="Avenir Next" w:hAnsi="Avenir Next" w:cs="Segoe UI"/>
          <w:sz w:val="20"/>
          <w:szCs w:val="20"/>
        </w:rPr>
      </w:pPr>
      <w:r w:rsidRPr="00686D44">
        <w:rPr>
          <w:rFonts w:ascii="Avenir Next" w:hAnsi="Avenir Next" w:cs="Segoe UI"/>
          <w:sz w:val="20"/>
          <w:szCs w:val="20"/>
        </w:rPr>
        <w:t>Data from the CABINET trial indicate that the strongest clinical efficacy for cabozantinib is observed in the lung NET population and that the resulting ICERs for lung NETs fall within ranges considered cost effective. While lung NET subgroups were limited in size, as in RADIANT</w:t>
      </w:r>
      <w:r w:rsidRPr="00686D44">
        <w:rPr>
          <w:rFonts w:ascii="Avenir Next" w:hAnsi="Avenir Next" w:cs="Segoe UI"/>
          <w:sz w:val="20"/>
          <w:szCs w:val="20"/>
        </w:rPr>
        <w:noBreakHyphen/>
      </w:r>
      <w:r w:rsidRPr="00686D44">
        <w:rPr>
          <w:rFonts w:ascii="Avenir Next" w:hAnsi="Avenir Next" w:cs="Segoe UI"/>
          <w:sz w:val="20"/>
          <w:szCs w:val="20"/>
        </w:rPr>
        <w:t>4, the CABINET lung subgroup demonstrates narrower confidence intervals, indicating greater certainty than previously accepted evidence in TA449.</w:t>
      </w:r>
    </w:p>
    <w:p w:rsidRPr="00686D44" w:rsidR="008767C6" w:rsidP="008C786E" w:rsidRDefault="00AF231D" w14:paraId="68780184" w14:textId="3FA36073">
      <w:pPr>
        <w:pStyle w:val="NormalWeb"/>
        <w:spacing w:line="300" w:lineRule="atLeast"/>
        <w:rPr>
          <w:rFonts w:ascii="Avenir Next" w:hAnsi="Avenir Next" w:cs="Segoe UI"/>
          <w:sz w:val="20"/>
          <w:szCs w:val="20"/>
        </w:rPr>
      </w:pPr>
      <w:r w:rsidRPr="00686D44">
        <w:rPr>
          <w:rFonts w:ascii="Avenir Next" w:hAnsi="Avenir Next" w:cs="Segoe UI"/>
          <w:sz w:val="20"/>
          <w:szCs w:val="20"/>
        </w:rPr>
        <w:t>Against this background, the refusal to consider a separate or optimised recommendation for lung NETs represents a departure from the approach adopted in TA449, without a clear explanation as to why that precedent was not applied. It is therefore submitted that reconsideration using the same precedent</w:t>
      </w:r>
      <w:r w:rsidRPr="00686D44">
        <w:rPr>
          <w:rFonts w:ascii="Avenir Next" w:hAnsi="Avenir Next" w:cs="Segoe UI"/>
          <w:sz w:val="20"/>
          <w:szCs w:val="20"/>
        </w:rPr>
        <w:noBreakHyphen/>
      </w:r>
      <w:r w:rsidRPr="00686D44">
        <w:rPr>
          <w:rFonts w:ascii="Avenir Next" w:hAnsi="Avenir Next" w:cs="Segoe UI"/>
          <w:sz w:val="20"/>
          <w:szCs w:val="20"/>
        </w:rPr>
        <w:t>based evaluative framework would better reflect NICE’s principles of consistency, transparency, and procedural fairness.</w:t>
      </w:r>
    </w:p>
    <w:p w:rsidRPr="00686D44" w:rsidR="0053083A" w:rsidP="076ABDA8" w:rsidRDefault="0053083A" w14:paraId="5EDF186B" w14:textId="77777777">
      <w:pPr>
        <w:pStyle w:val="Heading2"/>
        <w:rPr>
          <w:rFonts w:ascii="Avenir Next" w:hAnsi="Avenir Next"/>
          <w:i w:val="0"/>
          <w:iCs w:val="0"/>
          <w:sz w:val="20"/>
          <w:szCs w:val="20"/>
          <w:lang w:val="en-US"/>
        </w:rPr>
      </w:pPr>
      <w:r w:rsidRPr="076ABDA8">
        <w:rPr>
          <w:rFonts w:ascii="Avenir Next" w:hAnsi="Avenir Next"/>
          <w:i w:val="0"/>
          <w:iCs w:val="0"/>
          <w:sz w:val="20"/>
          <w:szCs w:val="20"/>
          <w:lang w:val="en-US"/>
        </w:rPr>
        <w:t xml:space="preserve">Ground 2: </w:t>
      </w:r>
      <w:r w:rsidRPr="076ABDA8" w:rsidR="008767C6">
        <w:rPr>
          <w:rFonts w:ascii="Avenir Next" w:hAnsi="Avenir Next"/>
          <w:i w:val="0"/>
          <w:iCs w:val="0"/>
          <w:sz w:val="20"/>
          <w:szCs w:val="20"/>
          <w:lang w:val="en-US"/>
        </w:rPr>
        <w:t>The recommendation is unreasonable in the light of the evidence submitted to NICE</w:t>
      </w:r>
    </w:p>
    <w:p w:rsidRPr="00686D44" w:rsidR="008C786E" w:rsidP="008C786E" w:rsidRDefault="00365B0A" w14:paraId="0ADFDB5C" w14:textId="77777777">
      <w:pPr>
        <w:pStyle w:val="Heading3"/>
        <w:spacing w:line="300" w:lineRule="atLeast"/>
        <w:rPr>
          <w:rFonts w:ascii="Avenir Next" w:hAnsi="Avenir Next" w:cs="Segoe UI"/>
          <w:sz w:val="20"/>
          <w:szCs w:val="20"/>
        </w:rPr>
      </w:pPr>
      <w:r w:rsidRPr="00686D44">
        <w:rPr>
          <w:rFonts w:ascii="Avenir Next" w:hAnsi="Avenir Next"/>
          <w:sz w:val="20"/>
          <w:szCs w:val="20"/>
        </w:rPr>
        <w:br/>
      </w:r>
      <w:r w:rsidRPr="00686D44" w:rsidR="008C786E">
        <w:rPr>
          <w:rFonts w:ascii="Avenir Next" w:hAnsi="Avenir Next" w:cs="Segoe UI"/>
          <w:sz w:val="20"/>
          <w:szCs w:val="20"/>
        </w:rPr>
        <w:t>Appeal Point 2.1 – Unreasonably Conservative Assumption of No Overall Survival (OS) Benefit</w:t>
      </w:r>
    </w:p>
    <w:p w:rsidRPr="00686D44" w:rsidR="008C786E" w:rsidP="008C786E" w:rsidRDefault="008C786E" w14:paraId="48EF0B86" w14:textId="77777777">
      <w:pPr>
        <w:pStyle w:val="NormalWeb"/>
        <w:spacing w:line="300" w:lineRule="atLeast"/>
        <w:rPr>
          <w:rFonts w:ascii="Avenir Next" w:hAnsi="Avenir Next" w:cs="Segoe UI"/>
          <w:sz w:val="20"/>
          <w:szCs w:val="20"/>
        </w:rPr>
      </w:pPr>
      <w:r w:rsidRPr="00686D44">
        <w:rPr>
          <w:rFonts w:ascii="Avenir Next" w:hAnsi="Avenir Next" w:cs="Segoe UI"/>
          <w:sz w:val="20"/>
          <w:szCs w:val="20"/>
        </w:rPr>
        <w:t>It is respectfully submitted that the Appraisal Committee’s assumption of an overall survival hazard ratio (HR) of 1, representing no survival benefit for cabozantinib, is unreasonable in light of the available evidence.</w:t>
      </w:r>
    </w:p>
    <w:p w:rsidRPr="00686D44" w:rsidR="008C786E" w:rsidP="00EB13EF" w:rsidRDefault="008C786E" w14:paraId="0A389615" w14:textId="24D7CDEA">
      <w:pPr>
        <w:pStyle w:val="NormalWeb"/>
        <w:spacing w:line="300" w:lineRule="atLeast"/>
        <w:rPr>
          <w:rFonts w:ascii="Avenir Next" w:hAnsi="Avenir Next" w:cs="Segoe UI"/>
          <w:sz w:val="20"/>
          <w:szCs w:val="20"/>
        </w:rPr>
      </w:pPr>
      <w:r w:rsidRPr="00686D44">
        <w:rPr>
          <w:rFonts w:ascii="Avenir Next" w:hAnsi="Avenir Next" w:cs="Segoe UI"/>
          <w:sz w:val="20"/>
          <w:szCs w:val="20"/>
        </w:rPr>
        <w:t>The Committee did not adequately explore alternative, evidence</w:t>
      </w:r>
      <w:r w:rsidRPr="00686D44">
        <w:rPr>
          <w:rFonts w:ascii="Avenir Next" w:hAnsi="Avenir Next" w:cs="Segoe UI"/>
          <w:sz w:val="20"/>
          <w:szCs w:val="20"/>
        </w:rPr>
        <w:noBreakHyphen/>
      </w:r>
      <w:r w:rsidRPr="00686D44">
        <w:rPr>
          <w:rFonts w:ascii="Avenir Next" w:hAnsi="Avenir Next" w:cs="Segoe UI"/>
          <w:sz w:val="20"/>
          <w:szCs w:val="20"/>
        </w:rPr>
        <w:t>based assumptions, such as midpoint or modest OS benefits consistent with observed PFS effects and comparator NET treatments. This represents the most conservative possible interpretation of uncertainty, rather than a balanced approach appropriate to a rare disease area with high unmet need. As such, the conclusion reached is unreasonable in light of the evidence available.</w:t>
      </w:r>
    </w:p>
    <w:p w:rsidRPr="00686D44" w:rsidR="008C786E" w:rsidP="008C786E" w:rsidRDefault="008C786E" w14:paraId="37E25AA1" w14:textId="77777777">
      <w:pPr>
        <w:pStyle w:val="Heading3"/>
        <w:spacing w:line="300" w:lineRule="atLeast"/>
        <w:rPr>
          <w:rFonts w:ascii="Avenir Next" w:hAnsi="Avenir Next" w:cs="Segoe UI"/>
          <w:sz w:val="20"/>
          <w:szCs w:val="20"/>
        </w:rPr>
      </w:pPr>
      <w:r w:rsidRPr="00686D44">
        <w:rPr>
          <w:rFonts w:ascii="Avenir Next" w:hAnsi="Avenir Next" w:cs="Segoe UI"/>
          <w:sz w:val="20"/>
          <w:szCs w:val="20"/>
        </w:rPr>
        <w:t>Appeal Point 2.2 – Unreasonable Disregard of Unanimous Clinical Expert Opinion</w:t>
      </w:r>
    </w:p>
    <w:p w:rsidRPr="00686D44" w:rsidR="008C786E" w:rsidP="008C786E" w:rsidRDefault="008C786E" w14:paraId="01BB9268" w14:textId="77777777">
      <w:pPr>
        <w:pStyle w:val="NormalWeb"/>
        <w:spacing w:line="300" w:lineRule="atLeast"/>
        <w:rPr>
          <w:rFonts w:ascii="Avenir Next" w:hAnsi="Avenir Next" w:cs="Segoe UI"/>
          <w:sz w:val="20"/>
          <w:szCs w:val="20"/>
        </w:rPr>
      </w:pPr>
      <w:r w:rsidRPr="00686D44">
        <w:rPr>
          <w:rFonts w:ascii="Avenir Next" w:hAnsi="Avenir Next" w:cs="Segoe UI"/>
          <w:sz w:val="20"/>
          <w:szCs w:val="20"/>
        </w:rPr>
        <w:t>It is respectfully submitted that the Appraisal Committee’s OS assumptions are unreasonable given the unanimous opinion of clinical experts consulted throughout the appraisal.</w:t>
      </w:r>
    </w:p>
    <w:p w:rsidRPr="00686D44" w:rsidR="008C786E" w:rsidP="008C786E" w:rsidRDefault="008C786E" w14:paraId="13EC50F0" w14:textId="77777777">
      <w:pPr>
        <w:pStyle w:val="NormalWeb"/>
        <w:spacing w:line="300" w:lineRule="atLeast"/>
        <w:rPr>
          <w:rFonts w:ascii="Avenir Next" w:hAnsi="Avenir Next" w:cs="Segoe UI"/>
          <w:sz w:val="20"/>
          <w:szCs w:val="20"/>
        </w:rPr>
      </w:pPr>
      <w:r w:rsidRPr="00686D44">
        <w:rPr>
          <w:rFonts w:ascii="Avenir Next" w:hAnsi="Avenir Next" w:cs="Segoe UI"/>
          <w:sz w:val="20"/>
          <w:szCs w:val="20"/>
        </w:rPr>
        <w:t>Across the appraisal process, 11 clinical experts consistently stated that they would expect cabozantinib to confer an OS benefit, of a magnitude similar to existing NET treatments. This included evidence from structured expert elicitation, clinician interviews during consultation, and expert input at the Appraisal Committee meeting.</w:t>
      </w:r>
    </w:p>
    <w:p w:rsidRPr="00686D44" w:rsidR="008C786E" w:rsidP="00EB13EF" w:rsidRDefault="008C786E" w14:paraId="7E9A011A" w14:textId="336DAA77">
      <w:pPr>
        <w:pStyle w:val="NormalWeb"/>
        <w:spacing w:line="300" w:lineRule="atLeast"/>
        <w:rPr>
          <w:rFonts w:ascii="Avenir Next" w:hAnsi="Avenir Next" w:cs="Segoe UI"/>
          <w:sz w:val="20"/>
          <w:szCs w:val="20"/>
        </w:rPr>
      </w:pPr>
      <w:r w:rsidRPr="00686D44">
        <w:rPr>
          <w:rFonts w:ascii="Avenir Next" w:hAnsi="Avenir Next" w:cs="Segoe UI"/>
          <w:sz w:val="20"/>
          <w:szCs w:val="20"/>
        </w:rPr>
        <w:t>NICE Decision Support Unit guidance explicitly recognises the role of expert judgement in addressing evidentiary gaps, particularly in rare diseases where trials are not powered for OS. The Committee’s assumption of no OS benefit directly contradicts this unanimous expert opinion and cannot reasonably be justified on the basis of the evidence presented.</w:t>
      </w:r>
    </w:p>
    <w:p w:rsidRPr="00686D44" w:rsidR="008C786E" w:rsidP="008C786E" w:rsidRDefault="008C786E" w14:paraId="75293695" w14:textId="77777777">
      <w:pPr>
        <w:pStyle w:val="Heading3"/>
        <w:spacing w:line="300" w:lineRule="atLeast"/>
        <w:rPr>
          <w:rFonts w:ascii="Avenir Next" w:hAnsi="Avenir Next" w:cs="Segoe UI"/>
          <w:sz w:val="20"/>
          <w:szCs w:val="20"/>
        </w:rPr>
      </w:pPr>
      <w:r w:rsidRPr="00686D44">
        <w:rPr>
          <w:rFonts w:ascii="Avenir Next" w:hAnsi="Avenir Next" w:cs="Segoe UI"/>
          <w:sz w:val="20"/>
          <w:szCs w:val="20"/>
        </w:rPr>
        <w:t>Appeal Point 2.4 – Failure to Reasonably Consider PFS as a Surrogate for OS in NETs</w:t>
      </w:r>
    </w:p>
    <w:p w:rsidRPr="00686D44" w:rsidR="008C786E" w:rsidP="008C786E" w:rsidRDefault="008C786E" w14:paraId="491FE0CC" w14:textId="77777777">
      <w:pPr>
        <w:pStyle w:val="NormalWeb"/>
        <w:spacing w:line="300" w:lineRule="atLeast"/>
        <w:rPr>
          <w:rFonts w:ascii="Avenir Next" w:hAnsi="Avenir Next" w:cs="Segoe UI"/>
          <w:sz w:val="20"/>
          <w:szCs w:val="20"/>
        </w:rPr>
      </w:pPr>
      <w:r w:rsidRPr="00686D44">
        <w:rPr>
          <w:rFonts w:ascii="Avenir Next" w:hAnsi="Avenir Next" w:cs="Segoe UI"/>
          <w:sz w:val="20"/>
          <w:szCs w:val="20"/>
        </w:rPr>
        <w:t>It is respectfully submitted that the Appraisal Committee unreasonably failed to recognise progression</w:t>
      </w:r>
      <w:r w:rsidRPr="00686D44">
        <w:rPr>
          <w:rFonts w:ascii="Avenir Next" w:hAnsi="Avenir Next" w:cs="Segoe UI"/>
          <w:sz w:val="20"/>
          <w:szCs w:val="20"/>
        </w:rPr>
        <w:noBreakHyphen/>
      </w:r>
      <w:r w:rsidRPr="00686D44">
        <w:rPr>
          <w:rFonts w:ascii="Avenir Next" w:hAnsi="Avenir Next" w:cs="Segoe UI"/>
          <w:sz w:val="20"/>
          <w:szCs w:val="20"/>
        </w:rPr>
        <w:t>free survival (PFS) as a relevant surrogate for overall survival in neuroendocrine tumours.</w:t>
      </w:r>
    </w:p>
    <w:p w:rsidRPr="00686D44" w:rsidR="008C786E" w:rsidP="008C786E" w:rsidRDefault="008C786E" w14:paraId="66FFD6E3" w14:textId="4A5C30BB">
      <w:pPr>
        <w:pStyle w:val="NormalWeb"/>
        <w:spacing w:line="300" w:lineRule="atLeast"/>
        <w:rPr>
          <w:rFonts w:ascii="Avenir Next" w:hAnsi="Avenir Next" w:cs="Segoe UI"/>
          <w:sz w:val="20"/>
          <w:szCs w:val="20"/>
        </w:rPr>
      </w:pPr>
      <w:r w:rsidRPr="00686D44">
        <w:rPr>
          <w:rFonts w:ascii="Avenir Next" w:hAnsi="Avenir Next" w:cs="Segoe UI"/>
          <w:sz w:val="20"/>
          <w:szCs w:val="20"/>
        </w:rPr>
        <w:t>Both published literature and expert opinion strongly support a relationship between PFS and OS in NETs, and clinical experts confirmed that PFS is routinely used as the primary clinically meaningful endpoint in practice. By assuming no OS benefit despite a substantial PFS gain, the Committee’s modelling implies that patients receiving cabozantinib experience shorter survival after progression than those receiving best supportive care, which seems in contrast with precedent and guidance.</w:t>
      </w:r>
    </w:p>
    <w:p w:rsidRPr="00686D44" w:rsidR="008C786E" w:rsidP="00EB13EF" w:rsidRDefault="008C786E" w14:paraId="5BB379B4" w14:textId="30A07327">
      <w:pPr>
        <w:pStyle w:val="NormalWeb"/>
        <w:spacing w:line="300" w:lineRule="atLeast"/>
        <w:rPr>
          <w:rFonts w:ascii="Avenir Next" w:hAnsi="Avenir Next" w:cs="Segoe UI"/>
          <w:sz w:val="20"/>
          <w:szCs w:val="20"/>
        </w:rPr>
      </w:pPr>
      <w:r w:rsidRPr="00686D44">
        <w:rPr>
          <w:rFonts w:ascii="Avenir Next" w:hAnsi="Avenir Next" w:cs="Segoe UI"/>
          <w:sz w:val="20"/>
          <w:szCs w:val="20"/>
        </w:rPr>
        <w:t>NICE guidance allows greater flexibility in evidentiary standards in rare diseases with immature OS data, yet this was not reflected in the Committee’s approach. The disproportionate weighting given to OS is inconsistent with trial design, clinical practice, and precedent in other appraisals where PFS has been treated as an acceptable proxy for long</w:t>
      </w:r>
      <w:r w:rsidRPr="00686D44">
        <w:rPr>
          <w:rFonts w:ascii="Avenir Next" w:hAnsi="Avenir Next" w:cs="Segoe UI"/>
          <w:sz w:val="20"/>
          <w:szCs w:val="20"/>
        </w:rPr>
        <w:noBreakHyphen/>
      </w:r>
      <w:r w:rsidRPr="00686D44">
        <w:rPr>
          <w:rFonts w:ascii="Avenir Next" w:hAnsi="Avenir Next" w:cs="Segoe UI"/>
          <w:sz w:val="20"/>
          <w:szCs w:val="20"/>
        </w:rPr>
        <w:t>term benefit.</w:t>
      </w:r>
    </w:p>
    <w:p w:rsidRPr="00686D44" w:rsidR="008C786E" w:rsidP="1F267915" w:rsidRDefault="008C786E" w14:paraId="0F50CD07" w14:textId="77777777">
      <w:pPr>
        <w:pStyle w:val="Heading3"/>
        <w:spacing w:line="300" w:lineRule="atLeast"/>
        <w:rPr>
          <w:rFonts w:ascii="Avenir Next" w:hAnsi="Avenir Next" w:cs="Segoe UI"/>
          <w:sz w:val="20"/>
          <w:szCs w:val="20"/>
          <w:lang w:val="en-US"/>
        </w:rPr>
      </w:pPr>
      <w:r w:rsidRPr="1F267915" w:rsidR="008C786E">
        <w:rPr>
          <w:rFonts w:ascii="Avenir Next" w:hAnsi="Avenir Next" w:cs="Segoe UI"/>
          <w:sz w:val="20"/>
          <w:szCs w:val="20"/>
          <w:lang w:val="en-US"/>
        </w:rPr>
        <w:t>Appeal Point 2.5 – Unreasonable Rejection of a Lung</w:t>
      </w:r>
      <w:r>
        <w:noBreakHyphen/>
      </w:r>
      <w:r w:rsidRPr="1F267915" w:rsidR="008C786E">
        <w:rPr>
          <w:rFonts w:ascii="Avenir Next" w:hAnsi="Avenir Next" w:cs="Segoe UI"/>
          <w:sz w:val="20"/>
          <w:szCs w:val="20"/>
          <w:lang w:val="en-US"/>
        </w:rPr>
        <w:t>Only Recommendation</w:t>
      </w:r>
    </w:p>
    <w:p w:rsidRPr="00686D44" w:rsidR="008C786E" w:rsidP="008C786E" w:rsidRDefault="008C786E" w14:paraId="29D648D5" w14:textId="77777777">
      <w:pPr>
        <w:pStyle w:val="NormalWeb"/>
        <w:spacing w:line="300" w:lineRule="atLeast"/>
        <w:rPr>
          <w:rFonts w:ascii="Avenir Next" w:hAnsi="Avenir Next" w:cs="Segoe UI"/>
          <w:sz w:val="20"/>
          <w:szCs w:val="20"/>
        </w:rPr>
      </w:pPr>
      <w:r w:rsidRPr="00686D44">
        <w:rPr>
          <w:rFonts w:ascii="Avenir Next" w:hAnsi="Avenir Next" w:cs="Segoe UI"/>
          <w:sz w:val="20"/>
          <w:szCs w:val="20"/>
        </w:rPr>
        <w:t>It is respectfully submitted that the Appraisal Committee’s rejection of a lung</w:t>
      </w:r>
      <w:r w:rsidRPr="00686D44">
        <w:rPr>
          <w:rFonts w:ascii="Avenir Next" w:hAnsi="Avenir Next" w:cs="Segoe UI"/>
          <w:sz w:val="20"/>
          <w:szCs w:val="20"/>
        </w:rPr>
        <w:noBreakHyphen/>
      </w:r>
      <w:r w:rsidRPr="00686D44">
        <w:rPr>
          <w:rFonts w:ascii="Avenir Next" w:hAnsi="Avenir Next" w:cs="Segoe UI"/>
          <w:sz w:val="20"/>
          <w:szCs w:val="20"/>
        </w:rPr>
        <w:t>only recommendation is unreasonable in light of the evidence presented.</w:t>
      </w:r>
    </w:p>
    <w:p w:rsidRPr="00686D44" w:rsidR="008C786E" w:rsidP="008C786E" w:rsidRDefault="008C786E" w14:paraId="4E4AD571" w14:textId="77777777">
      <w:pPr>
        <w:pStyle w:val="NormalWeb"/>
        <w:spacing w:line="300" w:lineRule="atLeast"/>
        <w:rPr>
          <w:rFonts w:ascii="Avenir Next" w:hAnsi="Avenir Next" w:cs="Segoe UI"/>
          <w:sz w:val="20"/>
          <w:szCs w:val="20"/>
        </w:rPr>
      </w:pPr>
      <w:r w:rsidRPr="00686D44">
        <w:rPr>
          <w:rFonts w:ascii="Avenir Next" w:hAnsi="Avenir Next" w:cs="Segoe UI"/>
          <w:sz w:val="20"/>
          <w:szCs w:val="20"/>
        </w:rPr>
        <w:t>The Committee stated that clinical expert opinion did not support a lung</w:t>
      </w:r>
      <w:r w:rsidRPr="00686D44">
        <w:rPr>
          <w:rFonts w:ascii="Avenir Next" w:hAnsi="Avenir Next" w:cs="Segoe UI"/>
          <w:sz w:val="20"/>
          <w:szCs w:val="20"/>
        </w:rPr>
        <w:noBreakHyphen/>
      </w:r>
      <w:r w:rsidRPr="00686D44">
        <w:rPr>
          <w:rFonts w:ascii="Avenir Next" w:hAnsi="Avenir Next" w:cs="Segoe UI"/>
          <w:sz w:val="20"/>
          <w:szCs w:val="20"/>
        </w:rPr>
        <w:t xml:space="preserve">only recommendation; however, the evidence submitted demonstrates the opposite. </w:t>
      </w:r>
    </w:p>
    <w:p w:rsidRPr="00686D44" w:rsidR="008C786E" w:rsidP="008C786E" w:rsidRDefault="008C786E" w14:paraId="1CB4CB34" w14:textId="4DC65F82">
      <w:pPr>
        <w:pStyle w:val="NormalWeb"/>
        <w:spacing w:line="300" w:lineRule="atLeast"/>
        <w:rPr>
          <w:rFonts w:ascii="Avenir Next" w:hAnsi="Avenir Next" w:cs="Segoe UI"/>
          <w:sz w:val="20"/>
          <w:szCs w:val="20"/>
        </w:rPr>
      </w:pPr>
      <w:r w:rsidRPr="00686D44">
        <w:rPr>
          <w:rFonts w:ascii="Avenir Next" w:hAnsi="Avenir Next" w:cs="Segoe UI"/>
          <w:sz w:val="20"/>
          <w:szCs w:val="20"/>
        </w:rPr>
        <w:t>Clinical experts consistently highlighted higher unmet need in lung NETs, fewer available treatment options, more aggressive disease biology, and more fragmented care pathways, and supported separate consideration for this subgroup.</w:t>
      </w:r>
    </w:p>
    <w:p w:rsidRPr="00686D44" w:rsidR="008C786E" w:rsidP="008C786E" w:rsidRDefault="008C786E" w14:paraId="5EE449BA" w14:textId="15E55305">
      <w:pPr>
        <w:pStyle w:val="NormalWeb"/>
        <w:spacing w:line="300" w:lineRule="atLeast"/>
        <w:rPr>
          <w:rFonts w:ascii="Avenir Next" w:hAnsi="Avenir Next" w:cs="Segoe UI"/>
          <w:sz w:val="20"/>
          <w:szCs w:val="20"/>
        </w:rPr>
      </w:pPr>
      <w:r w:rsidRPr="00686D44">
        <w:rPr>
          <w:rFonts w:ascii="Avenir Next" w:hAnsi="Avenir Next" w:cs="Segoe UI"/>
          <w:sz w:val="20"/>
          <w:szCs w:val="20"/>
        </w:rPr>
        <w:t>Furthermore, the results in lung NETs demonstrated a strong and statistically significant treatment effect despite small numbers. In the context of NICE guidance permitting greater uncertainty tolerance in rare diseases, the decision not to explore an optimised recommendation for lung NETs cannot reasonably be justified.</w:t>
      </w:r>
    </w:p>
    <w:p w:rsidRPr="00686D44" w:rsidR="00C35E67" w:rsidP="008C786E" w:rsidRDefault="0001748F" w14:paraId="78BEA857" w14:textId="3A1C6D98">
      <w:pPr>
        <w:spacing w:line="300" w:lineRule="atLeast"/>
        <w:rPr>
          <w:rFonts w:ascii="Avenir Next" w:hAnsi="Avenir Next" w:cs="Segoe UI"/>
          <w:sz w:val="20"/>
          <w:szCs w:val="20"/>
        </w:rPr>
      </w:pPr>
      <w:r>
        <w:rPr>
          <w:rFonts w:ascii="Avenir Next" w:hAnsi="Avenir Next" w:cs="Segoe UI"/>
          <w:noProof/>
          <w:sz w:val="20"/>
          <w:szCs w:val="20"/>
        </w:rPr>
        <w:pict w14:anchorId="06B1AA0C">
          <v:rect id="_x0000_i1025" style="width:415.2pt;height:.05pt;mso-width-percent:0;mso-height-percent:0;mso-width-percent:0;mso-height-percent:0" alt="" o:hr="t" o:hrstd="t" o:hrpct="920" o:hralign="center" fillcolor="#a0a0a0" stroked="f"/>
        </w:pict>
      </w:r>
    </w:p>
    <w:p w:rsidRPr="00686D44" w:rsidR="00C35E67" w:rsidP="00365B0A" w:rsidRDefault="006E3579" w14:paraId="454D1B53" w14:textId="77777777">
      <w:pPr>
        <w:pStyle w:val="Heading2"/>
        <w:rPr>
          <w:rFonts w:ascii="Avenir Next" w:hAnsi="Avenir Next"/>
          <w:i w:val="0"/>
          <w:iCs w:val="0"/>
          <w:sz w:val="20"/>
          <w:szCs w:val="20"/>
        </w:rPr>
      </w:pPr>
      <w:r w:rsidRPr="00686D44">
        <w:rPr>
          <w:rFonts w:ascii="Avenir Next" w:hAnsi="Avenir Next"/>
          <w:i w:val="0"/>
          <w:iCs w:val="0"/>
          <w:sz w:val="20"/>
          <w:szCs w:val="20"/>
        </w:rPr>
        <w:t>Conclusion</w:t>
      </w:r>
    </w:p>
    <w:p w:rsidRPr="00686D44" w:rsidR="00686D44" w:rsidP="00686D44" w:rsidRDefault="00EB13EF" w14:paraId="751B4D6D" w14:textId="740D3849">
      <w:pPr>
        <w:pStyle w:val="NormalWeb"/>
        <w:spacing w:line="300" w:lineRule="atLeast"/>
        <w:rPr>
          <w:rFonts w:ascii="Avenir Next" w:hAnsi="Avenir Next" w:cs="Segoe UI"/>
          <w:sz w:val="20"/>
          <w:szCs w:val="20"/>
        </w:rPr>
      </w:pPr>
      <w:r>
        <w:rPr>
          <w:rFonts w:ascii="Avenir Next" w:hAnsi="Avenir Next" w:cs="Segoe UI"/>
          <w:sz w:val="20"/>
          <w:szCs w:val="20"/>
        </w:rPr>
        <w:t>We fully recognise that u</w:t>
      </w:r>
      <w:r w:rsidRPr="00686D44" w:rsidR="00686D44">
        <w:rPr>
          <w:rFonts w:ascii="Avenir Next" w:hAnsi="Avenir Next" w:cs="Segoe UI"/>
          <w:sz w:val="20"/>
          <w:szCs w:val="20"/>
        </w:rPr>
        <w:t>ncertainty should not be disregarded; however we respectfully submit, that it should have been addressed in a more balanced and proportionate way, consistent with NICE precedent and guidance for rare diseases with high unmet need.</w:t>
      </w:r>
    </w:p>
    <w:p w:rsidRPr="00686D44" w:rsidR="00686D44" w:rsidP="00686D44" w:rsidRDefault="00EB13EF" w14:paraId="337638EC" w14:textId="4C14EC9B">
      <w:pPr>
        <w:pStyle w:val="NormalWeb"/>
        <w:spacing w:line="300" w:lineRule="atLeast"/>
        <w:rPr>
          <w:rFonts w:ascii="Avenir Next" w:hAnsi="Avenir Next" w:cs="Segoe UI"/>
          <w:sz w:val="20"/>
          <w:szCs w:val="20"/>
        </w:rPr>
      </w:pPr>
      <w:r>
        <w:rPr>
          <w:rFonts w:ascii="Avenir Next" w:hAnsi="Avenir Next" w:cs="Segoe UI"/>
          <w:sz w:val="20"/>
          <w:szCs w:val="20"/>
        </w:rPr>
        <w:t>We, therefore,</w:t>
      </w:r>
      <w:r w:rsidRPr="00686D44" w:rsidR="00686D44">
        <w:rPr>
          <w:rFonts w:ascii="Avenir Next" w:hAnsi="Avenir Next" w:cs="Segoe UI"/>
          <w:sz w:val="20"/>
          <w:szCs w:val="20"/>
        </w:rPr>
        <w:t xml:space="preserve"> politely request that the Appeal Panel returns this appraisal to the Appraisal Committee for further consideration, with the direction that the evidence be reassessed using a consistent precedent</w:t>
      </w:r>
      <w:r w:rsidRPr="00686D44" w:rsidR="00686D44">
        <w:rPr>
          <w:rFonts w:ascii="Avenir Next" w:hAnsi="Avenir Next" w:cs="Segoe UI"/>
          <w:sz w:val="20"/>
          <w:szCs w:val="20"/>
        </w:rPr>
        <w:noBreakHyphen/>
      </w:r>
      <w:r w:rsidRPr="00686D44" w:rsidR="00686D44">
        <w:rPr>
          <w:rFonts w:ascii="Avenir Next" w:hAnsi="Avenir Next" w:cs="Segoe UI"/>
          <w:sz w:val="20"/>
          <w:szCs w:val="20"/>
        </w:rPr>
        <w:t>based framework, balanced treatment of uncertainty, and appropriate weight given to clinical expert judgement and relevant subgroup data.</w:t>
      </w:r>
    </w:p>
    <w:p w:rsidR="00686D44" w:rsidP="00686D44" w:rsidRDefault="00686D44" w14:paraId="74ED16EF" w14:textId="201E62BE">
      <w:pPr>
        <w:pStyle w:val="NormalWeb"/>
        <w:spacing w:line="300" w:lineRule="atLeast"/>
        <w:rPr>
          <w:rFonts w:ascii="Avenir Next" w:hAnsi="Avenir Next" w:cs="Segoe UI"/>
          <w:sz w:val="20"/>
          <w:szCs w:val="20"/>
        </w:rPr>
      </w:pPr>
      <w:r w:rsidRPr="00686D44">
        <w:rPr>
          <w:rFonts w:ascii="Avenir Next" w:hAnsi="Avenir Next" w:cs="Segoe UI"/>
          <w:sz w:val="20"/>
          <w:szCs w:val="20"/>
        </w:rPr>
        <w:t>We would request an oral panel.</w:t>
      </w:r>
    </w:p>
    <w:p w:rsidR="00EB13EF" w:rsidP="00686D44" w:rsidRDefault="00EB13EF" w14:paraId="1471B51F" w14:textId="6FFAC388">
      <w:pPr>
        <w:pStyle w:val="NormalWeb"/>
        <w:spacing w:line="300" w:lineRule="atLeast"/>
        <w:rPr>
          <w:rFonts w:ascii="Avenir Next" w:hAnsi="Avenir Next" w:cs="Segoe UI"/>
          <w:sz w:val="20"/>
          <w:szCs w:val="20"/>
        </w:rPr>
      </w:pPr>
      <w:r>
        <w:rPr>
          <w:rFonts w:ascii="Avenir Next" w:hAnsi="Avenir Next" w:cs="Segoe UI"/>
          <w:sz w:val="20"/>
          <w:szCs w:val="20"/>
        </w:rPr>
        <w:t>Yours sincerely</w:t>
      </w:r>
    </w:p>
    <w:p w:rsidR="00EB13EF" w:rsidP="1EA87DF0" w:rsidRDefault="00EB13EF" w14:paraId="541A4CBF" w14:textId="016A8709">
      <w:pPr>
        <w:pStyle w:val="NormalWeb"/>
        <w:spacing w:line="300" w:lineRule="atLeast"/>
        <w:rPr>
          <w:sz w:val="56"/>
          <w:szCs w:val="56"/>
          <w:highlight w:val="black"/>
        </w:rPr>
      </w:pPr>
      <w:r w:rsidRPr="1EA87DF0" w:rsidR="0BD05167">
        <w:rPr>
          <w:sz w:val="56"/>
          <w:szCs w:val="56"/>
          <w:highlight w:val="black"/>
        </w:rPr>
        <w:t>XXXXXXX</w:t>
      </w:r>
    </w:p>
    <w:p w:rsidR="5F6E3877" w:rsidP="1EA87DF0" w:rsidRDefault="5F6E3877" w14:paraId="7CC0B9E5" w14:textId="2C9ADD57">
      <w:pPr>
        <w:pStyle w:val="NormalWeb"/>
        <w:suppressLineNumbers w:val="0"/>
        <w:bidi w:val="0"/>
        <w:spacing w:beforeAutospacing="on" w:afterAutospacing="on" w:line="259" w:lineRule="auto"/>
        <w:ind w:left="0" w:right="0"/>
        <w:jc w:val="left"/>
        <w:rPr>
          <w:rFonts w:ascii="Avenir Next" w:hAnsi="Avenir Next" w:cs="Segoe UI"/>
          <w:sz w:val="20"/>
          <w:szCs w:val="20"/>
          <w:highlight w:val="black"/>
        </w:rPr>
      </w:pPr>
      <w:r w:rsidRPr="1EA87DF0" w:rsidR="5F6E3877">
        <w:rPr>
          <w:rFonts w:ascii="Avenir Next" w:hAnsi="Avenir Next" w:cs="Segoe UI"/>
          <w:sz w:val="20"/>
          <w:szCs w:val="20"/>
          <w:highlight w:val="black"/>
        </w:rPr>
        <w:t>XXXXXXXX XX XXXXXXX XXXXXXXX X XXXXXX</w:t>
      </w:r>
    </w:p>
    <w:p w:rsidRPr="00686D44" w:rsidR="00EB13EF" w:rsidP="00EB13EF" w:rsidRDefault="00EB13EF" w14:paraId="2094D4B4" w14:textId="2B0F99A3">
      <w:pPr>
        <w:pStyle w:val="NormalWeb"/>
      </w:pPr>
      <w:r w:rsidRPr="1EA87DF0" w:rsidR="00EB13EF">
        <w:rPr>
          <w:rFonts w:ascii="Avenir Next" w:hAnsi="Avenir Next" w:cs="Segoe UI"/>
          <w:sz w:val="20"/>
          <w:szCs w:val="20"/>
        </w:rPr>
        <w:t>Neuroendocrine Cancer UK</w:t>
      </w:r>
    </w:p>
    <w:p w:rsidR="5F709D3D" w:rsidP="1EA87DF0" w:rsidRDefault="5F709D3D" w14:paraId="6768ADF3" w14:textId="711670AE">
      <w:pPr>
        <w:pStyle w:val="NormalWeb"/>
        <w:rPr>
          <w:rFonts w:ascii="Avenir Next" w:hAnsi="Avenir Next" w:cs="Segoe UI"/>
          <w:sz w:val="20"/>
          <w:szCs w:val="20"/>
          <w:highlight w:val="black"/>
        </w:rPr>
      </w:pPr>
      <w:r w:rsidRPr="1EA87DF0" w:rsidR="5F709D3D">
        <w:rPr>
          <w:rFonts w:ascii="Avenir Next" w:hAnsi="Avenir Next" w:cs="Segoe UI"/>
          <w:sz w:val="20"/>
          <w:szCs w:val="20"/>
          <w:highlight w:val="black"/>
        </w:rPr>
        <w:t>XXXXXXXXXXXXXXXXXX</w:t>
      </w:r>
    </w:p>
    <w:p w:rsidRPr="00686D44" w:rsidR="00686D44" w:rsidP="006F6680" w:rsidRDefault="00686D44" w14:paraId="48723DA8" w14:textId="079463EE">
      <w:pPr>
        <w:pStyle w:val="Paragraph"/>
        <w:numPr>
          <w:ilvl w:val="0"/>
          <w:numId w:val="0"/>
        </w:numPr>
        <w:spacing w:before="0" w:after="0" w:line="360" w:lineRule="auto"/>
        <w:rPr>
          <w:rFonts w:ascii="Avenir Next" w:hAnsi="Avenir Next"/>
          <w:sz w:val="20"/>
          <w:szCs w:val="20"/>
        </w:rPr>
      </w:pPr>
    </w:p>
    <w:sectPr w:rsidRPr="00686D44" w:rsidR="00686D44" w:rsidSect="00275FC0">
      <w:footerReference w:type="default" r:id="rId13"/>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48F" w:rsidP="00446BEE" w:rsidRDefault="0001748F" w14:paraId="70551BB2" w14:textId="77777777">
      <w:r>
        <w:separator/>
      </w:r>
    </w:p>
  </w:endnote>
  <w:endnote w:type="continuationSeparator" w:id="0">
    <w:p w:rsidR="0001748F" w:rsidP="00446BEE" w:rsidRDefault="0001748F" w14:paraId="04297B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388D" w:rsidR="00034295" w:rsidRDefault="00034295" w14:paraId="1369DC6B" w14:textId="77777777">
    <w:pPr>
      <w:pStyle w:val="Footer"/>
      <w:jc w:val="center"/>
      <w:rPr>
        <w:sz w:val="24"/>
      </w:rPr>
    </w:pPr>
    <w:r w:rsidRPr="0077388D">
      <w:rPr>
        <w:sz w:val="24"/>
      </w:rPr>
      <w:fldChar w:fldCharType="begin"/>
    </w:r>
    <w:r w:rsidRPr="0077388D">
      <w:rPr>
        <w:sz w:val="24"/>
      </w:rPr>
      <w:instrText xml:space="preserve"> PAGE   \* MERGEFORMAT </w:instrText>
    </w:r>
    <w:r w:rsidRPr="0077388D">
      <w:rPr>
        <w:sz w:val="24"/>
      </w:rPr>
      <w:fldChar w:fldCharType="separate"/>
    </w:r>
    <w:r w:rsidR="00E5288A">
      <w:rPr>
        <w:noProof/>
        <w:sz w:val="24"/>
      </w:rPr>
      <w:t>4</w:t>
    </w:r>
    <w:r w:rsidRPr="0077388D">
      <w:rPr>
        <w:sz w:val="24"/>
      </w:rPr>
      <w:fldChar w:fldCharType="end"/>
    </w:r>
  </w:p>
  <w:p w:rsidR="00034295" w:rsidRDefault="00034295" w14:paraId="5F399E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48F" w:rsidP="00446BEE" w:rsidRDefault="0001748F" w14:paraId="5E0D373B" w14:textId="77777777">
      <w:r>
        <w:separator/>
      </w:r>
    </w:p>
  </w:footnote>
  <w:footnote w:type="continuationSeparator" w:id="0">
    <w:p w:rsidR="0001748F" w:rsidP="00446BEE" w:rsidRDefault="0001748F" w14:paraId="51CE965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A220B2"/>
    <w:multiLevelType w:val="multilevel"/>
    <w:tmpl w:val="D942708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12D0770F"/>
    <w:multiLevelType w:val="multilevel"/>
    <w:tmpl w:val="86C6E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99E6BA0"/>
    <w:multiLevelType w:val="hybridMultilevel"/>
    <w:tmpl w:val="947CD8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1C83F58"/>
    <w:multiLevelType w:val="multilevel"/>
    <w:tmpl w:val="12440482"/>
    <w:lvl w:ilvl="0">
      <w:start w:val="1"/>
      <w:numFmt w:val="decimal"/>
      <w:lvlText w:val="%1"/>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7B380B"/>
    <w:multiLevelType w:val="hybridMultilevel"/>
    <w:tmpl w:val="98B000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96F2189"/>
    <w:multiLevelType w:val="hybridMultilevel"/>
    <w:tmpl w:val="DD246504"/>
    <w:lvl w:ilvl="0" w:tplc="9418D3B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6101974"/>
    <w:multiLevelType w:val="hybridMultilevel"/>
    <w:tmpl w:val="A172201E"/>
    <w:lvl w:ilvl="0" w:tplc="508EA95C">
      <w:start w:val="1"/>
      <w:numFmt w:val="lowerLetter"/>
      <w:lvlText w:val="%1)"/>
      <w:lvlJc w:val="left"/>
      <w:pPr>
        <w:ind w:left="-612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1080" w:hanging="360"/>
      </w:pPr>
    </w:lvl>
    <w:lvl w:ilvl="8" w:tplc="0809001B" w:tentative="1">
      <w:start w:val="1"/>
      <w:numFmt w:val="lowerRoman"/>
      <w:lvlText w:val="%9."/>
      <w:lvlJc w:val="right"/>
      <w:pPr>
        <w:ind w:left="-360" w:hanging="180"/>
      </w:pPr>
    </w:lvl>
  </w:abstractNum>
  <w:abstractNum w:abstractNumId="19" w15:restartNumberingAfterBreak="0">
    <w:nsid w:val="7B914C9A"/>
    <w:multiLevelType w:val="multilevel"/>
    <w:tmpl w:val="F5FC511A"/>
    <w:lvl w:ilvl="0">
      <w:start w:val="1"/>
      <w:numFmt w:val="decimal"/>
      <w:lvlText w:val="%1.1a."/>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78938066">
    <w:abstractNumId w:val="15"/>
  </w:num>
  <w:num w:numId="2" w16cid:durableId="791675903">
    <w:abstractNumId w:val="17"/>
  </w:num>
  <w:num w:numId="3" w16cid:durableId="772407506">
    <w:abstractNumId w:val="17"/>
    <w:lvlOverride w:ilvl="0">
      <w:startOverride w:val="1"/>
    </w:lvlOverride>
  </w:num>
  <w:num w:numId="4" w16cid:durableId="659232462">
    <w:abstractNumId w:val="17"/>
    <w:lvlOverride w:ilvl="0">
      <w:startOverride w:val="1"/>
    </w:lvlOverride>
  </w:num>
  <w:num w:numId="5" w16cid:durableId="1692754508">
    <w:abstractNumId w:val="17"/>
    <w:lvlOverride w:ilvl="0">
      <w:startOverride w:val="1"/>
    </w:lvlOverride>
  </w:num>
  <w:num w:numId="6" w16cid:durableId="760223740">
    <w:abstractNumId w:val="17"/>
    <w:lvlOverride w:ilvl="0">
      <w:startOverride w:val="1"/>
    </w:lvlOverride>
  </w:num>
  <w:num w:numId="7" w16cid:durableId="563686295">
    <w:abstractNumId w:val="17"/>
    <w:lvlOverride w:ilvl="0">
      <w:startOverride w:val="1"/>
    </w:lvlOverride>
  </w:num>
  <w:num w:numId="8" w16cid:durableId="661928524">
    <w:abstractNumId w:val="9"/>
  </w:num>
  <w:num w:numId="9" w16cid:durableId="1788891518">
    <w:abstractNumId w:val="7"/>
  </w:num>
  <w:num w:numId="10" w16cid:durableId="2024893928">
    <w:abstractNumId w:val="6"/>
  </w:num>
  <w:num w:numId="11" w16cid:durableId="1660688541">
    <w:abstractNumId w:val="5"/>
  </w:num>
  <w:num w:numId="12" w16cid:durableId="1990861039">
    <w:abstractNumId w:val="4"/>
  </w:num>
  <w:num w:numId="13" w16cid:durableId="942490677">
    <w:abstractNumId w:val="8"/>
  </w:num>
  <w:num w:numId="14" w16cid:durableId="607388943">
    <w:abstractNumId w:val="3"/>
  </w:num>
  <w:num w:numId="15" w16cid:durableId="1902906738">
    <w:abstractNumId w:val="2"/>
  </w:num>
  <w:num w:numId="16" w16cid:durableId="1652905320">
    <w:abstractNumId w:val="1"/>
  </w:num>
  <w:num w:numId="17" w16cid:durableId="1417751601">
    <w:abstractNumId w:val="0"/>
  </w:num>
  <w:num w:numId="18" w16cid:durableId="1610774709">
    <w:abstractNumId w:val="13"/>
  </w:num>
  <w:num w:numId="19" w16cid:durableId="671881215">
    <w:abstractNumId w:val="13"/>
    <w:lvlOverride w:ilvl="0">
      <w:startOverride w:val="1"/>
    </w:lvlOverride>
  </w:num>
  <w:num w:numId="20" w16cid:durableId="583148409">
    <w:abstractNumId w:val="14"/>
  </w:num>
  <w:num w:numId="21" w16cid:durableId="1605109598">
    <w:abstractNumId w:val="15"/>
  </w:num>
  <w:num w:numId="22" w16cid:durableId="42097007">
    <w:abstractNumId w:val="10"/>
  </w:num>
  <w:num w:numId="23" w16cid:durableId="876698466">
    <w:abstractNumId w:val="15"/>
  </w:num>
  <w:num w:numId="24" w16cid:durableId="1079982425">
    <w:abstractNumId w:val="18"/>
  </w:num>
  <w:num w:numId="25" w16cid:durableId="571087710">
    <w:abstractNumId w:val="12"/>
  </w:num>
  <w:num w:numId="26" w16cid:durableId="1663967876">
    <w:abstractNumId w:val="19"/>
  </w:num>
  <w:num w:numId="27" w16cid:durableId="1244993966">
    <w:abstractNumId w:val="15"/>
  </w:num>
  <w:num w:numId="28" w16cid:durableId="733311918">
    <w:abstractNumId w:val="16"/>
  </w:num>
  <w:num w:numId="29" w16cid:durableId="21497295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33"/>
    <w:rsid w:val="0001748F"/>
    <w:rsid w:val="00024D0A"/>
    <w:rsid w:val="00034295"/>
    <w:rsid w:val="00045633"/>
    <w:rsid w:val="000634BB"/>
    <w:rsid w:val="00070065"/>
    <w:rsid w:val="000B5939"/>
    <w:rsid w:val="000E05C0"/>
    <w:rsid w:val="001122ED"/>
    <w:rsid w:val="001134E7"/>
    <w:rsid w:val="00134FDA"/>
    <w:rsid w:val="00147742"/>
    <w:rsid w:val="0017169E"/>
    <w:rsid w:val="001A23E4"/>
    <w:rsid w:val="001B65B3"/>
    <w:rsid w:val="001C2FDE"/>
    <w:rsid w:val="001E3730"/>
    <w:rsid w:val="002408EA"/>
    <w:rsid w:val="00270605"/>
    <w:rsid w:val="00275FC0"/>
    <w:rsid w:val="002C1A7E"/>
    <w:rsid w:val="002F2EEF"/>
    <w:rsid w:val="00311ED0"/>
    <w:rsid w:val="00365B0A"/>
    <w:rsid w:val="00371BD0"/>
    <w:rsid w:val="003722FA"/>
    <w:rsid w:val="00377277"/>
    <w:rsid w:val="003953EA"/>
    <w:rsid w:val="003966A3"/>
    <w:rsid w:val="003B1C33"/>
    <w:rsid w:val="003B6427"/>
    <w:rsid w:val="003C2A6F"/>
    <w:rsid w:val="003C7AAF"/>
    <w:rsid w:val="003E12B1"/>
    <w:rsid w:val="003F210E"/>
    <w:rsid w:val="003F2EC0"/>
    <w:rsid w:val="004075B6"/>
    <w:rsid w:val="00420952"/>
    <w:rsid w:val="00446BEE"/>
    <w:rsid w:val="004859BD"/>
    <w:rsid w:val="00485B5C"/>
    <w:rsid w:val="00497D92"/>
    <w:rsid w:val="004D73FA"/>
    <w:rsid w:val="005025A1"/>
    <w:rsid w:val="00502C4B"/>
    <w:rsid w:val="00513F8A"/>
    <w:rsid w:val="0053083A"/>
    <w:rsid w:val="005435C3"/>
    <w:rsid w:val="00562DFE"/>
    <w:rsid w:val="005C277A"/>
    <w:rsid w:val="005C7183"/>
    <w:rsid w:val="005F1E67"/>
    <w:rsid w:val="00616B8B"/>
    <w:rsid w:val="0062002A"/>
    <w:rsid w:val="00654F1F"/>
    <w:rsid w:val="006770FF"/>
    <w:rsid w:val="00686D44"/>
    <w:rsid w:val="006921E1"/>
    <w:rsid w:val="006D55A6"/>
    <w:rsid w:val="006E3579"/>
    <w:rsid w:val="006F6680"/>
    <w:rsid w:val="00732472"/>
    <w:rsid w:val="00736348"/>
    <w:rsid w:val="007511B0"/>
    <w:rsid w:val="00770B9A"/>
    <w:rsid w:val="0077388D"/>
    <w:rsid w:val="007A2373"/>
    <w:rsid w:val="00804B12"/>
    <w:rsid w:val="008323F0"/>
    <w:rsid w:val="0086631A"/>
    <w:rsid w:val="00866CF8"/>
    <w:rsid w:val="0087374A"/>
    <w:rsid w:val="008767C6"/>
    <w:rsid w:val="00885BAE"/>
    <w:rsid w:val="008C786E"/>
    <w:rsid w:val="008D7BB2"/>
    <w:rsid w:val="008E5264"/>
    <w:rsid w:val="008E664D"/>
    <w:rsid w:val="00925F15"/>
    <w:rsid w:val="009657AB"/>
    <w:rsid w:val="0098401E"/>
    <w:rsid w:val="0098460E"/>
    <w:rsid w:val="00986F24"/>
    <w:rsid w:val="009E680B"/>
    <w:rsid w:val="009F7239"/>
    <w:rsid w:val="00A15A1F"/>
    <w:rsid w:val="00A3325A"/>
    <w:rsid w:val="00A47CBE"/>
    <w:rsid w:val="00A756BB"/>
    <w:rsid w:val="00A80FF5"/>
    <w:rsid w:val="00AC5797"/>
    <w:rsid w:val="00AF108A"/>
    <w:rsid w:val="00AF231D"/>
    <w:rsid w:val="00B02E55"/>
    <w:rsid w:val="00B06EF5"/>
    <w:rsid w:val="00B23C4B"/>
    <w:rsid w:val="00B8205D"/>
    <w:rsid w:val="00B9594A"/>
    <w:rsid w:val="00BA4D7E"/>
    <w:rsid w:val="00BC6FDE"/>
    <w:rsid w:val="00BE5835"/>
    <w:rsid w:val="00BF7FE0"/>
    <w:rsid w:val="00C00117"/>
    <w:rsid w:val="00C33ED4"/>
    <w:rsid w:val="00C35E67"/>
    <w:rsid w:val="00C47DDE"/>
    <w:rsid w:val="00C61243"/>
    <w:rsid w:val="00C9195E"/>
    <w:rsid w:val="00CD39EC"/>
    <w:rsid w:val="00CF58B7"/>
    <w:rsid w:val="00D351C1"/>
    <w:rsid w:val="00D84096"/>
    <w:rsid w:val="00D86BF0"/>
    <w:rsid w:val="00D873DF"/>
    <w:rsid w:val="00DA6179"/>
    <w:rsid w:val="00DE29F6"/>
    <w:rsid w:val="00E51920"/>
    <w:rsid w:val="00E5288A"/>
    <w:rsid w:val="00E64120"/>
    <w:rsid w:val="00E9588A"/>
    <w:rsid w:val="00EA650C"/>
    <w:rsid w:val="00EB13EF"/>
    <w:rsid w:val="00EE437C"/>
    <w:rsid w:val="00EF5EFB"/>
    <w:rsid w:val="00F055F1"/>
    <w:rsid w:val="00F6208D"/>
    <w:rsid w:val="00F6590A"/>
    <w:rsid w:val="00F74AC2"/>
    <w:rsid w:val="00F858CA"/>
    <w:rsid w:val="00FB1BAF"/>
    <w:rsid w:val="00FC10ED"/>
    <w:rsid w:val="00FC2D11"/>
    <w:rsid w:val="00FC6230"/>
    <w:rsid w:val="00FF1182"/>
    <w:rsid w:val="00FF61E7"/>
    <w:rsid w:val="076ABDA8"/>
    <w:rsid w:val="0BD05167"/>
    <w:rsid w:val="0EB54BD2"/>
    <w:rsid w:val="1B1577F5"/>
    <w:rsid w:val="1EA87DF0"/>
    <w:rsid w:val="1F267915"/>
    <w:rsid w:val="3059A6EC"/>
    <w:rsid w:val="3307EF24"/>
    <w:rsid w:val="480579F6"/>
    <w:rsid w:val="5F6E3877"/>
    <w:rsid w:val="5F709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287C3"/>
  <w15:chartTrackingRefBased/>
  <w15:docId w15:val="{AED282B0-B9DB-4E68-A2BA-A42D64B046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99" w:semiHidden="1"/>
    <w:lsdException w:name="footer" w:uiPriority="99"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uiPriority="99"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858CA"/>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uiPriority w:val="4"/>
    <w:qFormat/>
    <w:rsid w:val="001A23E4"/>
    <w:pPr>
      <w:numPr>
        <w:numId w:val="1"/>
      </w:num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styleId="TitleChar" w:customStyle="1">
    <w:name w:val="Title Char"/>
    <w:link w:val="Title"/>
    <w:rsid w:val="00FC10ED"/>
    <w:rPr>
      <w:rFonts w:ascii="Arial" w:hAnsi="Arial"/>
      <w:b/>
      <w:bCs/>
      <w:kern w:val="28"/>
      <w:sz w:val="32"/>
      <w:szCs w:val="32"/>
    </w:rPr>
  </w:style>
  <w:style w:type="character" w:styleId="Heading1Char" w:customStyle="1">
    <w:name w:val="Heading 1 Char"/>
    <w:link w:val="Heading1"/>
    <w:uiPriority w:val="1"/>
    <w:rsid w:val="00FC10ED"/>
    <w:rPr>
      <w:rFonts w:ascii="Arial" w:hAnsi="Arial"/>
      <w:b/>
      <w:bCs/>
      <w:kern w:val="32"/>
      <w:sz w:val="28"/>
      <w:szCs w:val="32"/>
    </w:rPr>
  </w:style>
  <w:style w:type="paragraph" w:styleId="Bullets" w:customStyle="1">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styleId="HeaderChar" w:customStyle="1">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styleId="FooterChar" w:customStyle="1">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styleId="BalloonTextChar" w:customStyle="1">
    <w:name w:val="Balloon Text Char"/>
    <w:link w:val="BalloonText"/>
    <w:semiHidden/>
    <w:rsid w:val="00446BEE"/>
    <w:rPr>
      <w:rFonts w:ascii="Tahoma" w:hAnsi="Tahoma" w:cs="Tahoma"/>
      <w:sz w:val="16"/>
      <w:szCs w:val="16"/>
    </w:rPr>
  </w:style>
  <w:style w:type="character" w:styleId="Heading2Char" w:customStyle="1">
    <w:name w:val="Heading 2 Char"/>
    <w:link w:val="Heading2"/>
    <w:uiPriority w:val="2"/>
    <w:rsid w:val="006921E1"/>
    <w:rPr>
      <w:rFonts w:ascii="Arial" w:hAnsi="Arial"/>
      <w:b/>
      <w:bCs/>
      <w:i/>
      <w:iCs/>
      <w:sz w:val="28"/>
      <w:szCs w:val="28"/>
    </w:rPr>
  </w:style>
  <w:style w:type="character" w:styleId="Heading3Char" w:customStyle="1">
    <w:name w:val="Heading 3 Char"/>
    <w:link w:val="Heading3"/>
    <w:uiPriority w:val="3"/>
    <w:rsid w:val="006921E1"/>
    <w:rPr>
      <w:rFonts w:ascii="Arial" w:hAnsi="Arial"/>
      <w:b/>
      <w:bCs/>
      <w:sz w:val="24"/>
      <w:szCs w:val="26"/>
    </w:rPr>
  </w:style>
  <w:style w:type="paragraph" w:styleId="Subbullets" w:customStyle="1">
    <w:name w:val="Sub bullets"/>
    <w:basedOn w:val="Normal"/>
    <w:uiPriority w:val="6"/>
    <w:qFormat/>
    <w:rsid w:val="001A23E4"/>
    <w:pPr>
      <w:numPr>
        <w:numId w:val="18"/>
      </w:numPr>
      <w:spacing w:line="276" w:lineRule="auto"/>
      <w:ind w:left="1418" w:hanging="284"/>
    </w:pPr>
    <w:rPr>
      <w:rFonts w:ascii="Arial" w:hAnsi="Arial"/>
    </w:rPr>
  </w:style>
  <w:style w:type="paragraph" w:styleId="Paragraphnonumbers" w:customStyle="1">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styleId="Heading4Char" w:customStyle="1">
    <w:name w:val="Heading 4 Char"/>
    <w:link w:val="Heading4"/>
    <w:semiHidden/>
    <w:rsid w:val="00F858CA"/>
    <w:rPr>
      <w:rFonts w:ascii="Arial" w:hAnsi="Arial" w:eastAsia="Times New Roman" w:cs="Times New Roman"/>
      <w:b/>
      <w:bCs/>
      <w:i/>
      <w:sz w:val="24"/>
      <w:szCs w:val="28"/>
    </w:rPr>
  </w:style>
  <w:style w:type="paragraph" w:styleId="NICEnormal" w:customStyle="1">
    <w:name w:val="NICE normal"/>
    <w:link w:val="NICEnormalChar"/>
    <w:rsid w:val="00BC6FDE"/>
    <w:pPr>
      <w:spacing w:after="240" w:line="360" w:lineRule="auto"/>
    </w:pPr>
    <w:rPr>
      <w:rFonts w:ascii="Arial" w:hAnsi="Arial"/>
      <w:sz w:val="24"/>
      <w:szCs w:val="24"/>
      <w:lang w:eastAsia="en-US"/>
    </w:rPr>
  </w:style>
  <w:style w:type="paragraph" w:styleId="NICEnormalindented" w:customStyle="1">
    <w:name w:val="NICE normal indented"/>
    <w:basedOn w:val="NICEnormal"/>
    <w:rsid w:val="00BC6FDE"/>
    <w:pPr>
      <w:tabs>
        <w:tab w:val="left" w:pos="1134"/>
      </w:tabs>
      <w:ind w:left="1134"/>
    </w:pPr>
  </w:style>
  <w:style w:type="character" w:styleId="NICEnormalChar" w:customStyle="1">
    <w:name w:val="NICE normal Char"/>
    <w:link w:val="NICEnormal"/>
    <w:locked/>
    <w:rsid w:val="00BC6FDE"/>
    <w:rPr>
      <w:rFonts w:ascii="Arial" w:hAnsi="Arial"/>
      <w:sz w:val="24"/>
      <w:szCs w:val="24"/>
      <w:lang w:val="en-GB" w:eastAsia="en-US" w:bidi="ar-SA"/>
    </w:rPr>
  </w:style>
  <w:style w:type="paragraph" w:styleId="Numberedheading1" w:customStyle="1">
    <w:name w:val="Numbered heading 1"/>
    <w:basedOn w:val="Heading1"/>
    <w:rsid w:val="00BC6FDE"/>
    <w:pPr>
      <w:numPr>
        <w:numId w:val="22"/>
      </w:numPr>
      <w:spacing w:line="360" w:lineRule="auto"/>
    </w:pPr>
    <w:rPr>
      <w:rFonts w:cs="Arial"/>
      <w:sz w:val="32"/>
      <w:szCs w:val="24"/>
      <w:lang w:eastAsia="en-US"/>
    </w:rPr>
  </w:style>
  <w:style w:type="paragraph" w:styleId="Numberedheading2" w:customStyle="1">
    <w:name w:val="Numbered heading 2"/>
    <w:basedOn w:val="Heading2"/>
    <w:next w:val="Normal"/>
    <w:rsid w:val="00BC6FDE"/>
    <w:pPr>
      <w:numPr>
        <w:ilvl w:val="1"/>
        <w:numId w:val="22"/>
      </w:numPr>
      <w:spacing w:line="360" w:lineRule="auto"/>
    </w:pPr>
    <w:rPr>
      <w:rFonts w:cs="Arial"/>
      <w:lang w:eastAsia="en-US"/>
    </w:rPr>
  </w:style>
  <w:style w:type="paragraph" w:styleId="Numberedheading3" w:customStyle="1">
    <w:name w:val="Numbered heading 3"/>
    <w:basedOn w:val="Heading3"/>
    <w:next w:val="Normal"/>
    <w:rsid w:val="00BC6FDE"/>
    <w:pPr>
      <w:numPr>
        <w:ilvl w:val="2"/>
        <w:numId w:val="22"/>
      </w:numPr>
      <w:spacing w:line="360" w:lineRule="auto"/>
    </w:pPr>
    <w:rPr>
      <w:rFonts w:cs="Arial"/>
      <w:sz w:val="26"/>
      <w:szCs w:val="24"/>
      <w:lang w:eastAsia="en-US"/>
    </w:rPr>
  </w:style>
  <w:style w:type="paragraph" w:styleId="Numberedlevel4text" w:customStyle="1">
    <w:name w:val="Numbered level 4 text"/>
    <w:basedOn w:val="Normal"/>
    <w:next w:val="Normal"/>
    <w:rsid w:val="00BC6FDE"/>
    <w:pPr>
      <w:numPr>
        <w:ilvl w:val="3"/>
        <w:numId w:val="22"/>
      </w:numPr>
      <w:spacing w:after="240" w:line="360" w:lineRule="auto"/>
    </w:pPr>
    <w:rPr>
      <w:rFonts w:ascii="Arial" w:hAnsi="Arial"/>
      <w:lang w:eastAsia="en-US"/>
    </w:rPr>
  </w:style>
  <w:style w:type="paragraph" w:styleId="Numberedlevel3text" w:customStyle="1">
    <w:name w:val="Numbered level 3 text"/>
    <w:basedOn w:val="Numberedheading3"/>
    <w:qFormat/>
    <w:rsid w:val="00BC6FDE"/>
    <w:pPr>
      <w:keepNext w:val="0"/>
      <w:spacing w:before="0" w:after="240"/>
    </w:pPr>
    <w:rPr>
      <w:b w:val="0"/>
      <w:sz w:val="24"/>
    </w:rPr>
  </w:style>
  <w:style w:type="character" w:styleId="CommentReference">
    <w:name w:val="Comment Reference"/>
    <w:semiHidden/>
    <w:rsid w:val="005C7183"/>
    <w:rPr>
      <w:sz w:val="16"/>
      <w:szCs w:val="16"/>
    </w:rPr>
  </w:style>
  <w:style w:type="paragraph" w:styleId="CommentText">
    <w:name w:val="Comment Text"/>
    <w:basedOn w:val="Normal"/>
    <w:semiHidden/>
    <w:rsid w:val="005C7183"/>
    <w:rPr>
      <w:sz w:val="20"/>
      <w:szCs w:val="20"/>
    </w:rPr>
  </w:style>
  <w:style w:type="paragraph" w:styleId="CommentSubject">
    <w:name w:val="Comment Subject"/>
    <w:basedOn w:val="CommentText"/>
    <w:next w:val="CommentText"/>
    <w:semiHidden/>
    <w:rsid w:val="005C7183"/>
    <w:rPr>
      <w:b/>
      <w:bCs/>
    </w:rPr>
  </w:style>
  <w:style w:type="paragraph" w:styleId="NormalWeb">
    <w:name w:val="Normal (Web)"/>
    <w:basedOn w:val="Normal"/>
    <w:uiPriority w:val="99"/>
    <w:unhideWhenUsed/>
    <w:rsid w:val="00AF231D"/>
    <w:pPr>
      <w:spacing w:before="100" w:beforeAutospacing="1" w:after="100" w:afterAutospacing="1"/>
    </w:pPr>
  </w:style>
  <w:style w:type="character" w:styleId="Hyperlink">
    <w:name w:val="Hyperlink"/>
    <w:basedOn w:val="DefaultParagraphFont"/>
    <w:semiHidden/>
    <w:rsid w:val="00EB13EF"/>
    <w:rPr>
      <w:color w:val="0563C1" w:themeColor="hyperlink"/>
      <w:u w:val="single"/>
    </w:rPr>
  </w:style>
  <w:style w:type="character" w:styleId="UnresolvedMention">
    <w:name w:val="Unresolved Mention"/>
    <w:basedOn w:val="DefaultParagraphFont"/>
    <w:uiPriority w:val="99"/>
    <w:semiHidden/>
    <w:unhideWhenUsed/>
    <w:rsid w:val="00EB1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7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671A0-8D68-4B7C-AAB7-C7DAC55E2F78}">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2.xml><?xml version="1.0" encoding="utf-8"?>
<ds:datastoreItem xmlns:ds="http://schemas.openxmlformats.org/officeDocument/2006/customXml" ds:itemID="{2ABDDF2A-E755-4C1F-A4A1-849F45301362}">
  <ds:schemaRefs>
    <ds:schemaRef ds:uri="http://schemas.microsoft.com/sharepoint/v3/contenttype/forms"/>
  </ds:schemaRefs>
</ds:datastoreItem>
</file>

<file path=customXml/itemProps3.xml><?xml version="1.0" encoding="utf-8"?>
<ds:datastoreItem xmlns:ds="http://schemas.openxmlformats.org/officeDocument/2006/customXml" ds:itemID="{5734750D-C736-4B2A-8034-7FA98DA6C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Leah Murphy</lastModifiedBy>
  <revision>4</revision>
  <dcterms:created xsi:type="dcterms:W3CDTF">2026-04-30T14:02:00.0000000Z</dcterms:created>
  <dcterms:modified xsi:type="dcterms:W3CDTF">2026-06-11T11:32:54.5533728Z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2026-04-30T14:02:51Z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9aaa34ba-c98b-4f11-9942-8e0fee424abd</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y fmtid="{D5CDD505-2E9C-101B-9397-08002B2CF9AE}" pid="11" name="MediaServiceImageTags">
    <vt:lpwstr/>
  </property>
</Properties>
</file>