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0718E" w:rsidR="00E533B6" w:rsidP="00E533B6" w:rsidRDefault="00E533B6" w14:paraId="485B9769" w14:textId="2917B5C4">
      <w:pPr>
        <w:rPr>
          <w:rFonts w:ascii="Arial" w:hAnsi="Arial" w:cs="Arial"/>
          <w:sz w:val="24"/>
          <w:szCs w:val="24"/>
        </w:rPr>
      </w:pPr>
      <w:r w:rsidRPr="00A0718E">
        <w:rPr>
          <w:rFonts w:ascii="Arial" w:hAnsi="Arial" w:cs="Arial"/>
          <w:sz w:val="24"/>
          <w:szCs w:val="24"/>
        </w:rPr>
        <w:t xml:space="preserve">30 </w:t>
      </w:r>
      <w:r w:rsidRPr="00A0718E" w:rsidR="00A0718E">
        <w:rPr>
          <w:rFonts w:ascii="Arial" w:hAnsi="Arial" w:cs="Arial"/>
          <w:sz w:val="24"/>
          <w:szCs w:val="24"/>
        </w:rPr>
        <w:t>April</w:t>
      </w:r>
      <w:r w:rsidRPr="00A0718E">
        <w:rPr>
          <w:rFonts w:ascii="Arial" w:hAnsi="Arial" w:cs="Arial"/>
          <w:sz w:val="24"/>
          <w:szCs w:val="24"/>
        </w:rPr>
        <w:t xml:space="preserve"> 202</w:t>
      </w:r>
      <w:r w:rsidRPr="00A0718E" w:rsidR="00A0718E">
        <w:rPr>
          <w:rFonts w:ascii="Arial" w:hAnsi="Arial" w:cs="Arial"/>
          <w:sz w:val="24"/>
          <w:szCs w:val="24"/>
        </w:rPr>
        <w:t>6</w:t>
      </w:r>
    </w:p>
    <w:p w:rsidRPr="00A0718E" w:rsidR="00E533B6" w:rsidP="00E533B6" w:rsidRDefault="00E533B6" w14:paraId="7CCC836A" w14:textId="77777777">
      <w:pPr>
        <w:rPr>
          <w:rFonts w:ascii="Arial" w:hAnsi="Arial" w:cs="Arial"/>
          <w:sz w:val="24"/>
          <w:szCs w:val="24"/>
        </w:rPr>
      </w:pPr>
    </w:p>
    <w:p w:rsidRPr="00A0718E" w:rsidR="00E533B6" w:rsidP="00E533B6" w:rsidRDefault="00E533B6" w14:paraId="4CDA6567" w14:textId="77777777">
      <w:pPr>
        <w:rPr>
          <w:rFonts w:ascii="Arial" w:hAnsi="Arial" w:cs="Arial"/>
          <w:sz w:val="24"/>
          <w:szCs w:val="24"/>
        </w:rPr>
      </w:pPr>
      <w:r w:rsidRPr="00A0718E">
        <w:rPr>
          <w:rFonts w:ascii="Arial" w:hAnsi="Arial" w:cs="Arial"/>
          <w:sz w:val="24"/>
          <w:szCs w:val="24"/>
        </w:rPr>
        <w:t>Dr Mark Chakravarty</w:t>
      </w:r>
    </w:p>
    <w:p w:rsidR="00206AA3" w:rsidP="00E533B6" w:rsidRDefault="00341589" w14:paraId="1E16095F" w14:textId="77777777">
      <w:pPr>
        <w:rPr>
          <w:rFonts w:ascii="Arial" w:hAnsi="Arial" w:cs="Arial"/>
          <w:sz w:val="24"/>
          <w:szCs w:val="24"/>
        </w:rPr>
      </w:pPr>
      <w:r w:rsidRPr="00341589">
        <w:rPr>
          <w:rFonts w:ascii="Arial" w:hAnsi="Arial" w:cs="Arial"/>
          <w:sz w:val="24"/>
          <w:szCs w:val="24"/>
        </w:rPr>
        <w:t xml:space="preserve">Vice Chair and Lead Non-Executive Director for Appeals  </w:t>
      </w:r>
    </w:p>
    <w:p w:rsidRPr="00A0718E" w:rsidR="00E533B6" w:rsidP="00E533B6" w:rsidRDefault="00E533B6" w14:paraId="19796268" w14:textId="3DD673EE">
      <w:pPr>
        <w:rPr>
          <w:rFonts w:ascii="Arial" w:hAnsi="Arial" w:cs="Arial"/>
          <w:sz w:val="24"/>
          <w:szCs w:val="24"/>
        </w:rPr>
      </w:pPr>
      <w:r w:rsidRPr="00A0718E">
        <w:rPr>
          <w:rFonts w:ascii="Arial" w:hAnsi="Arial" w:cs="Arial"/>
          <w:sz w:val="24"/>
          <w:szCs w:val="24"/>
        </w:rPr>
        <w:t>National Institute for Health and Care Excellence</w:t>
      </w:r>
    </w:p>
    <w:p w:rsidRPr="00A0718E" w:rsidR="00E533B6" w:rsidP="00E533B6" w:rsidRDefault="00E533B6" w14:paraId="60C0E55A" w14:textId="77777777">
      <w:pPr>
        <w:rPr>
          <w:rFonts w:ascii="Arial" w:hAnsi="Arial" w:cs="Arial"/>
          <w:sz w:val="24"/>
          <w:szCs w:val="24"/>
        </w:rPr>
      </w:pPr>
      <w:r w:rsidRPr="00A0718E">
        <w:rPr>
          <w:rFonts w:ascii="Arial" w:hAnsi="Arial" w:cs="Arial"/>
          <w:sz w:val="24"/>
          <w:szCs w:val="24"/>
        </w:rPr>
        <w:t>2nd Floor</w:t>
      </w:r>
    </w:p>
    <w:p w:rsidRPr="00A0718E" w:rsidR="00E533B6" w:rsidP="00E533B6" w:rsidRDefault="00E533B6" w14:paraId="632BA907" w14:textId="77777777">
      <w:pPr>
        <w:rPr>
          <w:rFonts w:ascii="Arial" w:hAnsi="Arial" w:cs="Arial"/>
          <w:sz w:val="24"/>
          <w:szCs w:val="24"/>
        </w:rPr>
      </w:pPr>
      <w:r w:rsidRPr="00A0718E">
        <w:rPr>
          <w:rFonts w:ascii="Arial" w:hAnsi="Arial" w:cs="Arial"/>
          <w:sz w:val="24"/>
          <w:szCs w:val="24"/>
        </w:rPr>
        <w:t>2 Redman Place</w:t>
      </w:r>
    </w:p>
    <w:p w:rsidRPr="00A0718E" w:rsidR="00E533B6" w:rsidP="00E533B6" w:rsidRDefault="00E533B6" w14:paraId="1D004AA3" w14:textId="77777777">
      <w:pPr>
        <w:rPr>
          <w:rFonts w:ascii="Arial" w:hAnsi="Arial" w:cs="Arial"/>
          <w:sz w:val="24"/>
          <w:szCs w:val="24"/>
        </w:rPr>
      </w:pPr>
      <w:r w:rsidRPr="00A0718E">
        <w:rPr>
          <w:rFonts w:ascii="Arial" w:hAnsi="Arial" w:cs="Arial"/>
          <w:sz w:val="24"/>
          <w:szCs w:val="24"/>
        </w:rPr>
        <w:t>London E20 1JQ</w:t>
      </w:r>
    </w:p>
    <w:p w:rsidRPr="00A0718E" w:rsidR="00E533B6" w:rsidP="00E533B6" w:rsidRDefault="00E533B6" w14:paraId="2F3C0191" w14:textId="77777777">
      <w:pPr>
        <w:rPr>
          <w:rFonts w:ascii="Arial" w:hAnsi="Arial" w:cs="Arial"/>
          <w:sz w:val="24"/>
          <w:szCs w:val="24"/>
        </w:rPr>
      </w:pPr>
    </w:p>
    <w:p w:rsidR="00E533B6" w:rsidP="00E533B6" w:rsidRDefault="00E533B6" w14:paraId="32A0E7FD" w14:textId="2C14F3EA">
      <w:pPr>
        <w:rPr>
          <w:rFonts w:ascii="Arial" w:hAnsi="Arial" w:cs="Arial"/>
          <w:sz w:val="24"/>
          <w:szCs w:val="24"/>
        </w:rPr>
      </w:pPr>
      <w:r w:rsidRPr="00A0718E">
        <w:rPr>
          <w:rFonts w:ascii="Arial" w:hAnsi="Arial" w:cs="Arial"/>
          <w:sz w:val="24"/>
          <w:szCs w:val="24"/>
        </w:rPr>
        <w:t>Dear Dr Chakravarty,</w:t>
      </w:r>
    </w:p>
    <w:p w:rsidRPr="00774B47" w:rsidR="00BE526B" w:rsidP="00BE526B" w:rsidRDefault="00B34426" w14:paraId="2223A789" w14:textId="21CC604A">
      <w:pPr>
        <w:pStyle w:val="Heading1"/>
        <w:rPr>
          <w:rFonts w:ascii="Arial" w:hAnsi="Arial" w:cs="Arial"/>
        </w:rPr>
      </w:pPr>
      <w:r>
        <w:rPr>
          <w:rFonts w:ascii="Arial" w:hAnsi="Arial" w:cs="Arial"/>
        </w:rPr>
        <w:t>Company</w:t>
      </w:r>
      <w:r w:rsidRPr="00774B47" w:rsidR="00BE526B">
        <w:rPr>
          <w:rFonts w:ascii="Arial" w:hAnsi="Arial" w:cs="Arial"/>
        </w:rPr>
        <w:t xml:space="preserve"> appeal against the final draft guidance</w:t>
      </w:r>
      <w:r w:rsidR="00F756AB">
        <w:rPr>
          <w:rFonts w:ascii="Arial" w:hAnsi="Arial" w:cs="Arial"/>
        </w:rPr>
        <w:t xml:space="preserve"> (FDG)</w:t>
      </w:r>
      <w:r w:rsidRPr="00774B47" w:rsidR="00BE526B">
        <w:rPr>
          <w:rFonts w:ascii="Arial" w:hAnsi="Arial" w:cs="Arial"/>
        </w:rPr>
        <w:t xml:space="preserve"> document for cabozantinib for treating advanced neuroendocrine tumours</w:t>
      </w:r>
      <w:r w:rsidR="00F756AB">
        <w:rPr>
          <w:rFonts w:ascii="Arial" w:hAnsi="Arial" w:cs="Arial"/>
        </w:rPr>
        <w:t xml:space="preserve"> (NETs)</w:t>
      </w:r>
      <w:r w:rsidRPr="00774B47" w:rsidR="00BE526B">
        <w:rPr>
          <w:rFonts w:ascii="Arial" w:hAnsi="Arial" w:cs="Arial"/>
        </w:rPr>
        <w:t xml:space="preserve"> that have progressed after systemic treatment </w:t>
      </w:r>
      <w:r w:rsidR="003B6848">
        <w:rPr>
          <w:rFonts w:ascii="Arial" w:hAnsi="Arial" w:cs="Arial"/>
        </w:rPr>
        <w:t>(</w:t>
      </w:r>
      <w:r w:rsidRPr="00774B47" w:rsidR="00BE526B">
        <w:rPr>
          <w:rFonts w:ascii="Arial" w:hAnsi="Arial" w:cs="Arial"/>
        </w:rPr>
        <w:t>ID6474</w:t>
      </w:r>
      <w:r w:rsidR="00BB77FB">
        <w:rPr>
          <w:rFonts w:ascii="Arial" w:hAnsi="Arial" w:cs="Arial"/>
        </w:rPr>
        <w:t>)</w:t>
      </w:r>
    </w:p>
    <w:p w:rsidRPr="00774B47" w:rsidR="00651C85" w:rsidP="00651C85" w:rsidRDefault="00651C85" w14:paraId="2FD69A6B" w14:textId="452F07A2">
      <w:pPr>
        <w:pStyle w:val="Heading1"/>
        <w:rPr>
          <w:rFonts w:ascii="Arial" w:hAnsi="Arial" w:cs="Arial"/>
        </w:rPr>
      </w:pPr>
      <w:r w:rsidRPr="00774B47">
        <w:rPr>
          <w:rFonts w:ascii="Arial" w:hAnsi="Arial" w:cs="Arial"/>
        </w:rPr>
        <w:t>Executive summary</w:t>
      </w:r>
    </w:p>
    <w:p w:rsidR="00E535B8" w:rsidP="00901C2C" w:rsidRDefault="00F82F1D" w14:paraId="0E054BD3" w14:textId="15D0E464">
      <w:pPr>
        <w:spacing w:before="120" w:line="360" w:lineRule="auto"/>
        <w:rPr>
          <w:rFonts w:ascii="Arial" w:hAnsi="Arial" w:cs="Arial"/>
          <w:sz w:val="24"/>
          <w:szCs w:val="24"/>
        </w:rPr>
      </w:pPr>
      <w:r w:rsidRPr="00F82F1D">
        <w:rPr>
          <w:rFonts w:ascii="Arial" w:hAnsi="Arial" w:cs="Arial"/>
          <w:sz w:val="24"/>
          <w:szCs w:val="24"/>
        </w:rPr>
        <w:t>Ipsen Limited (“</w:t>
      </w:r>
      <w:r w:rsidR="00B34426">
        <w:rPr>
          <w:rFonts w:ascii="Arial" w:hAnsi="Arial" w:cs="Arial"/>
          <w:sz w:val="24"/>
          <w:szCs w:val="24"/>
        </w:rPr>
        <w:t>the Company</w:t>
      </w:r>
      <w:r w:rsidRPr="00F82F1D">
        <w:rPr>
          <w:rFonts w:ascii="Arial" w:hAnsi="Arial" w:cs="Arial"/>
          <w:sz w:val="24"/>
          <w:szCs w:val="24"/>
        </w:rPr>
        <w:t>”) is appealing the negative recommendation in the</w:t>
      </w:r>
      <w:r w:rsidR="00EB2CBA">
        <w:rPr>
          <w:rFonts w:ascii="Arial" w:hAnsi="Arial" w:cs="Arial"/>
          <w:sz w:val="24"/>
          <w:szCs w:val="24"/>
        </w:rPr>
        <w:t xml:space="preserve"> </w:t>
      </w:r>
      <w:r w:rsidRPr="00EB2CBA" w:rsidR="00EB2CBA">
        <w:rPr>
          <w:rFonts w:ascii="Arial" w:hAnsi="Arial" w:cs="Arial"/>
          <w:sz w:val="24"/>
          <w:szCs w:val="24"/>
        </w:rPr>
        <w:t>National Institute for Health and Care Excellence</w:t>
      </w:r>
      <w:r w:rsidRPr="00F82F1D">
        <w:rPr>
          <w:rFonts w:ascii="Arial" w:hAnsi="Arial" w:cs="Arial"/>
          <w:sz w:val="24"/>
          <w:szCs w:val="24"/>
        </w:rPr>
        <w:t xml:space="preserve"> </w:t>
      </w:r>
      <w:r w:rsidR="00EB2CBA">
        <w:rPr>
          <w:rFonts w:ascii="Arial" w:hAnsi="Arial" w:cs="Arial"/>
          <w:sz w:val="24"/>
          <w:szCs w:val="24"/>
        </w:rPr>
        <w:t>(</w:t>
      </w:r>
      <w:r w:rsidRPr="00F82F1D">
        <w:rPr>
          <w:rFonts w:ascii="Arial" w:hAnsi="Arial" w:cs="Arial"/>
          <w:sz w:val="24"/>
          <w:szCs w:val="24"/>
        </w:rPr>
        <w:t>NICE</w:t>
      </w:r>
      <w:r w:rsidR="00EB2CBA">
        <w:rPr>
          <w:rFonts w:ascii="Arial" w:hAnsi="Arial" w:cs="Arial"/>
          <w:sz w:val="24"/>
          <w:szCs w:val="24"/>
        </w:rPr>
        <w:t>)</w:t>
      </w:r>
      <w:r w:rsidRPr="00F82F1D">
        <w:rPr>
          <w:rFonts w:ascii="Arial" w:hAnsi="Arial" w:cs="Arial"/>
          <w:sz w:val="24"/>
          <w:szCs w:val="24"/>
        </w:rPr>
        <w:t xml:space="preserve"> FDG for cabozantinib for treating advanced NETs that have progressed after systemic treatment (ID6474).</w:t>
      </w:r>
      <w:r w:rsidR="00205BA9">
        <w:rPr>
          <w:rFonts w:ascii="Arial" w:hAnsi="Arial" w:cs="Arial"/>
          <w:sz w:val="24"/>
          <w:szCs w:val="24"/>
        </w:rPr>
        <w:t xml:space="preserve"> </w:t>
      </w:r>
      <w:r w:rsidR="00B34426">
        <w:rPr>
          <w:rFonts w:ascii="Arial" w:hAnsi="Arial" w:cs="Arial"/>
          <w:sz w:val="24"/>
          <w:szCs w:val="24"/>
        </w:rPr>
        <w:t>The Company</w:t>
      </w:r>
      <w:r w:rsidRPr="00F82F1D">
        <w:rPr>
          <w:rFonts w:ascii="Arial" w:hAnsi="Arial" w:cs="Arial"/>
          <w:sz w:val="24"/>
          <w:szCs w:val="24"/>
        </w:rPr>
        <w:t xml:space="preserve"> considers that the Appraisal Committee has failed to take a reasonable view of the evidence submitted to NICE</w:t>
      </w:r>
      <w:r w:rsidR="00433EAC">
        <w:rPr>
          <w:rFonts w:ascii="Arial" w:hAnsi="Arial" w:cs="Arial"/>
          <w:sz w:val="24"/>
          <w:szCs w:val="24"/>
        </w:rPr>
        <w:t>.</w:t>
      </w:r>
      <w:r w:rsidR="00DF41AC">
        <w:rPr>
          <w:rFonts w:ascii="Arial" w:hAnsi="Arial" w:cs="Arial"/>
          <w:sz w:val="24"/>
          <w:szCs w:val="24"/>
        </w:rPr>
        <w:t xml:space="preserve"> </w:t>
      </w:r>
    </w:p>
    <w:p w:rsidR="004772A6" w:rsidP="00901C2C" w:rsidRDefault="00DF41AC" w14:paraId="0DEFAFA0" w14:textId="1D401903">
      <w:pPr>
        <w:spacing w:before="120" w:line="360" w:lineRule="auto"/>
        <w:rPr>
          <w:rFonts w:ascii="Arial" w:hAnsi="Arial" w:cs="Arial"/>
          <w:sz w:val="24"/>
          <w:szCs w:val="24"/>
        </w:rPr>
      </w:pPr>
      <w:r>
        <w:rPr>
          <w:rFonts w:ascii="Arial" w:hAnsi="Arial" w:cs="Arial"/>
          <w:sz w:val="24"/>
          <w:szCs w:val="24"/>
        </w:rPr>
        <w:t xml:space="preserve">The Company </w:t>
      </w:r>
      <w:r w:rsidR="0012460F">
        <w:rPr>
          <w:rFonts w:ascii="Arial" w:hAnsi="Arial" w:cs="Arial"/>
          <w:sz w:val="24"/>
          <w:szCs w:val="24"/>
        </w:rPr>
        <w:t>is appealing the</w:t>
      </w:r>
      <w:r>
        <w:rPr>
          <w:rFonts w:ascii="Arial" w:hAnsi="Arial" w:cs="Arial"/>
          <w:sz w:val="24"/>
          <w:szCs w:val="24"/>
        </w:rPr>
        <w:t xml:space="preserve"> </w:t>
      </w:r>
      <w:r w:rsidR="00052635">
        <w:rPr>
          <w:rFonts w:ascii="Arial" w:hAnsi="Arial" w:cs="Arial"/>
          <w:sz w:val="24"/>
          <w:szCs w:val="24"/>
        </w:rPr>
        <w:t>Appraisal Committee’s conclusion</w:t>
      </w:r>
      <w:r w:rsidR="00D35432">
        <w:rPr>
          <w:rFonts w:ascii="Arial" w:hAnsi="Arial" w:cs="Arial"/>
          <w:sz w:val="24"/>
          <w:szCs w:val="24"/>
        </w:rPr>
        <w:t>s</w:t>
      </w:r>
      <w:r w:rsidR="004772A6">
        <w:rPr>
          <w:rFonts w:ascii="Arial" w:hAnsi="Arial" w:cs="Arial"/>
          <w:sz w:val="24"/>
          <w:szCs w:val="24"/>
        </w:rPr>
        <w:t xml:space="preserve"> that:</w:t>
      </w:r>
    </w:p>
    <w:p w:rsidRPr="00643591" w:rsidR="004772A6" w:rsidP="00643591" w:rsidRDefault="009126EF" w14:paraId="24CD8791" w14:textId="608FF189">
      <w:pPr>
        <w:pStyle w:val="ListParagraph"/>
        <w:numPr>
          <w:ilvl w:val="0"/>
          <w:numId w:val="32"/>
        </w:numPr>
        <w:spacing w:before="120" w:line="360" w:lineRule="auto"/>
        <w:rPr>
          <w:rFonts w:ascii="Arial" w:hAnsi="Arial" w:cs="Arial"/>
          <w:sz w:val="24"/>
          <w:szCs w:val="24"/>
        </w:rPr>
      </w:pPr>
      <w:r>
        <w:rPr>
          <w:rFonts w:ascii="Arial" w:hAnsi="Arial" w:cs="Arial"/>
          <w:sz w:val="24"/>
          <w:szCs w:val="24"/>
        </w:rPr>
        <w:t>T</w:t>
      </w:r>
      <w:r w:rsidRPr="00643591" w:rsidR="00052635">
        <w:rPr>
          <w:rFonts w:ascii="Arial" w:hAnsi="Arial" w:cs="Arial"/>
          <w:sz w:val="24"/>
          <w:szCs w:val="24"/>
        </w:rPr>
        <w:t>here</w:t>
      </w:r>
      <w:r w:rsidRPr="00643591" w:rsidR="0089206B">
        <w:rPr>
          <w:rFonts w:ascii="Arial" w:hAnsi="Arial" w:cs="Arial"/>
          <w:sz w:val="24"/>
          <w:szCs w:val="24"/>
        </w:rPr>
        <w:t xml:space="preserve"> is</w:t>
      </w:r>
      <w:r w:rsidRPr="00643591" w:rsidR="00F82F1D">
        <w:rPr>
          <w:rFonts w:ascii="Arial" w:hAnsi="Arial" w:cs="Arial"/>
          <w:sz w:val="24"/>
          <w:szCs w:val="24"/>
        </w:rPr>
        <w:t xml:space="preserve"> </w:t>
      </w:r>
      <w:r w:rsidRPr="00643591" w:rsidR="00125718">
        <w:rPr>
          <w:rFonts w:ascii="Arial" w:hAnsi="Arial" w:cs="Arial"/>
          <w:sz w:val="24"/>
          <w:szCs w:val="24"/>
        </w:rPr>
        <w:t xml:space="preserve">no </w:t>
      </w:r>
      <w:r w:rsidRPr="00643591" w:rsidR="00F82F1D">
        <w:rPr>
          <w:rFonts w:ascii="Arial" w:hAnsi="Arial" w:cs="Arial"/>
          <w:sz w:val="24"/>
          <w:szCs w:val="24"/>
        </w:rPr>
        <w:t>overall survival (OS)</w:t>
      </w:r>
      <w:r w:rsidRPr="00643591" w:rsidR="00125718">
        <w:rPr>
          <w:rFonts w:ascii="Arial" w:hAnsi="Arial" w:cs="Arial"/>
          <w:sz w:val="24"/>
          <w:szCs w:val="24"/>
        </w:rPr>
        <w:t xml:space="preserve"> benefit</w:t>
      </w:r>
      <w:r w:rsidRPr="00643591" w:rsidR="00ED1CAE">
        <w:rPr>
          <w:rFonts w:ascii="Arial" w:hAnsi="Arial" w:cs="Arial"/>
          <w:sz w:val="24"/>
          <w:szCs w:val="24"/>
        </w:rPr>
        <w:t xml:space="preserve"> associated with cabozantinib</w:t>
      </w:r>
      <w:r w:rsidRPr="364E383F" w:rsidR="7D86F5CA">
        <w:rPr>
          <w:rFonts w:ascii="Arial" w:hAnsi="Arial" w:cs="Arial"/>
          <w:sz w:val="24"/>
          <w:szCs w:val="24"/>
        </w:rPr>
        <w:t>,</w:t>
      </w:r>
      <w:r w:rsidRPr="00643591" w:rsidR="00DF41AC">
        <w:rPr>
          <w:rFonts w:ascii="Arial" w:hAnsi="Arial" w:cs="Arial"/>
          <w:sz w:val="24"/>
          <w:szCs w:val="24"/>
        </w:rPr>
        <w:t xml:space="preserve"> as this reflects an overly conservative interpretation of uncertainty that is inconsistent with </w:t>
      </w:r>
      <w:r w:rsidRPr="1DDD391E" w:rsidR="4DCBC169">
        <w:rPr>
          <w:rFonts w:ascii="Arial" w:hAnsi="Arial" w:cs="Arial"/>
          <w:sz w:val="24"/>
          <w:szCs w:val="24"/>
        </w:rPr>
        <w:t>established</w:t>
      </w:r>
      <w:r w:rsidRPr="59C16B47" w:rsidR="4DCBC169">
        <w:rPr>
          <w:rFonts w:ascii="Arial" w:hAnsi="Arial" w:cs="Arial"/>
          <w:sz w:val="24"/>
          <w:szCs w:val="24"/>
        </w:rPr>
        <w:t xml:space="preserve"> </w:t>
      </w:r>
      <w:r w:rsidRPr="59C16B47" w:rsidR="00DF41AC">
        <w:rPr>
          <w:rFonts w:ascii="Arial" w:hAnsi="Arial" w:cs="Arial"/>
          <w:sz w:val="24"/>
          <w:szCs w:val="24"/>
        </w:rPr>
        <w:t>NICE</w:t>
      </w:r>
      <w:r w:rsidRPr="00643591" w:rsidR="00DF41AC">
        <w:rPr>
          <w:rFonts w:ascii="Arial" w:hAnsi="Arial" w:cs="Arial"/>
          <w:sz w:val="24"/>
          <w:szCs w:val="24"/>
        </w:rPr>
        <w:t xml:space="preserve"> precedent in NETs, the </w:t>
      </w:r>
      <w:r w:rsidR="005274CA">
        <w:rPr>
          <w:rFonts w:ascii="Arial" w:hAnsi="Arial" w:cs="Arial"/>
          <w:sz w:val="24"/>
          <w:szCs w:val="24"/>
        </w:rPr>
        <w:t>expert c</w:t>
      </w:r>
      <w:r w:rsidRPr="00643591" w:rsidR="00DF41AC">
        <w:rPr>
          <w:rFonts w:ascii="Arial" w:hAnsi="Arial" w:cs="Arial"/>
          <w:sz w:val="24"/>
          <w:szCs w:val="24"/>
        </w:rPr>
        <w:t>linical advice received during the appraisal</w:t>
      </w:r>
      <w:r w:rsidR="005274CA">
        <w:rPr>
          <w:rFonts w:ascii="Arial" w:hAnsi="Arial" w:cs="Arial"/>
          <w:sz w:val="24"/>
          <w:szCs w:val="24"/>
        </w:rPr>
        <w:t xml:space="preserve"> </w:t>
      </w:r>
      <w:r w:rsidR="000B7850">
        <w:rPr>
          <w:rFonts w:ascii="Arial" w:hAnsi="Arial" w:cs="Arial"/>
          <w:sz w:val="24"/>
          <w:szCs w:val="24"/>
        </w:rPr>
        <w:t xml:space="preserve">and </w:t>
      </w:r>
      <w:r w:rsidR="001721E0">
        <w:rPr>
          <w:rFonts w:ascii="Arial" w:hAnsi="Arial" w:cs="Arial"/>
          <w:sz w:val="24"/>
          <w:szCs w:val="24"/>
        </w:rPr>
        <w:t>Appraisal C</w:t>
      </w:r>
      <w:r w:rsidR="005274CA">
        <w:rPr>
          <w:rFonts w:ascii="Arial" w:hAnsi="Arial" w:cs="Arial"/>
          <w:sz w:val="24"/>
          <w:szCs w:val="24"/>
        </w:rPr>
        <w:t>ommittee meetings</w:t>
      </w:r>
      <w:r w:rsidRPr="00643591" w:rsidR="00DF41AC">
        <w:rPr>
          <w:rFonts w:ascii="Arial" w:hAnsi="Arial" w:cs="Arial"/>
          <w:sz w:val="24"/>
          <w:szCs w:val="24"/>
        </w:rPr>
        <w:t>, and the totality of the evidence presented</w:t>
      </w:r>
      <w:r>
        <w:rPr>
          <w:rFonts w:ascii="Arial" w:hAnsi="Arial" w:cs="Arial"/>
          <w:sz w:val="24"/>
          <w:szCs w:val="24"/>
        </w:rPr>
        <w:t>.</w:t>
      </w:r>
    </w:p>
    <w:p w:rsidRPr="004772A6" w:rsidR="00B01324" w:rsidP="00643591" w:rsidRDefault="009126EF" w14:paraId="5C775823" w14:textId="0A179A4F">
      <w:pPr>
        <w:pStyle w:val="ListParagraph"/>
        <w:numPr>
          <w:ilvl w:val="0"/>
          <w:numId w:val="32"/>
        </w:numPr>
        <w:spacing w:before="120" w:line="360" w:lineRule="auto"/>
        <w:rPr>
          <w:rFonts w:ascii="Arial" w:hAnsi="Arial" w:cs="Arial"/>
          <w:sz w:val="24"/>
          <w:szCs w:val="24"/>
        </w:rPr>
      </w:pPr>
      <w:r>
        <w:rPr>
          <w:rFonts w:ascii="Arial" w:hAnsi="Arial" w:cs="Arial"/>
          <w:sz w:val="24"/>
          <w:szCs w:val="24"/>
        </w:rPr>
        <w:t>I</w:t>
      </w:r>
      <w:r w:rsidRPr="004772A6" w:rsidR="0054410F">
        <w:rPr>
          <w:rFonts w:ascii="Arial" w:hAnsi="Arial" w:cs="Arial"/>
          <w:sz w:val="24"/>
          <w:szCs w:val="24"/>
        </w:rPr>
        <w:t xml:space="preserve">t </w:t>
      </w:r>
      <w:r w:rsidRPr="004772A6" w:rsidR="00A62C94">
        <w:rPr>
          <w:rFonts w:ascii="Arial" w:hAnsi="Arial" w:cs="Arial"/>
          <w:sz w:val="24"/>
          <w:szCs w:val="24"/>
        </w:rPr>
        <w:t>w</w:t>
      </w:r>
      <w:r w:rsidRPr="004772A6" w:rsidR="0089206B">
        <w:rPr>
          <w:rFonts w:ascii="Arial" w:hAnsi="Arial" w:cs="Arial"/>
          <w:sz w:val="24"/>
          <w:szCs w:val="24"/>
        </w:rPr>
        <w:t xml:space="preserve">ould </w:t>
      </w:r>
      <w:r w:rsidR="004772A6">
        <w:rPr>
          <w:rFonts w:ascii="Arial" w:hAnsi="Arial" w:cs="Arial"/>
          <w:sz w:val="24"/>
          <w:szCs w:val="24"/>
        </w:rPr>
        <w:t>be in</w:t>
      </w:r>
      <w:r w:rsidRPr="004772A6" w:rsidR="0089206B">
        <w:rPr>
          <w:rFonts w:ascii="Arial" w:hAnsi="Arial" w:cs="Arial"/>
          <w:sz w:val="24"/>
          <w:szCs w:val="24"/>
        </w:rPr>
        <w:t>appropriate to consider a</w:t>
      </w:r>
      <w:r w:rsidRPr="004772A6" w:rsidR="00A62C94">
        <w:rPr>
          <w:rFonts w:ascii="Arial" w:hAnsi="Arial" w:cs="Arial"/>
          <w:sz w:val="24"/>
          <w:szCs w:val="24"/>
        </w:rPr>
        <w:t>n optimised</w:t>
      </w:r>
      <w:r w:rsidRPr="004772A6" w:rsidR="0089206B">
        <w:rPr>
          <w:rFonts w:ascii="Arial" w:hAnsi="Arial" w:cs="Arial"/>
          <w:sz w:val="24"/>
          <w:szCs w:val="24"/>
        </w:rPr>
        <w:t xml:space="preserve"> recommendation for the lung NETs population alone</w:t>
      </w:r>
      <w:r w:rsidRPr="004772A6" w:rsidR="00F604D1">
        <w:rPr>
          <w:rFonts w:ascii="Arial" w:hAnsi="Arial" w:cs="Arial"/>
          <w:sz w:val="24"/>
          <w:szCs w:val="24"/>
        </w:rPr>
        <w:t>,</w:t>
      </w:r>
      <w:r w:rsidRPr="004772A6" w:rsidR="00B01324">
        <w:rPr>
          <w:rFonts w:ascii="Arial" w:hAnsi="Arial" w:cs="Arial"/>
          <w:sz w:val="24"/>
          <w:szCs w:val="24"/>
        </w:rPr>
        <w:t xml:space="preserve"> despite prior NICE precedent adopting separate recommendations for lung NET patients, evidence of benefit in the lung subgroup</w:t>
      </w:r>
      <w:r w:rsidR="00222633">
        <w:rPr>
          <w:rFonts w:ascii="Arial" w:hAnsi="Arial" w:cs="Arial"/>
          <w:sz w:val="24"/>
          <w:szCs w:val="24"/>
        </w:rPr>
        <w:t xml:space="preserve"> in CABINET</w:t>
      </w:r>
      <w:r w:rsidRPr="00924EE7" w:rsidR="00924EE7">
        <w:rPr>
          <w:rFonts w:ascii="Arial" w:hAnsi="Arial" w:cs="Arial"/>
          <w:sz w:val="24"/>
          <w:szCs w:val="24"/>
        </w:rPr>
        <w:t>, and clinical expert opinion highlighting higher unmet need and limited treatment options, which result in fragmented and inconsistent clinical management.</w:t>
      </w:r>
    </w:p>
    <w:p w:rsidRPr="00F82F1D" w:rsidR="00901C2C" w:rsidP="00901C2C" w:rsidRDefault="00901C2C" w14:paraId="30C73912" w14:textId="15118711">
      <w:pPr>
        <w:spacing w:before="120" w:line="360" w:lineRule="auto"/>
        <w:rPr>
          <w:rFonts w:ascii="Arial" w:hAnsi="Arial" w:cs="Arial"/>
          <w:sz w:val="24"/>
          <w:szCs w:val="24"/>
        </w:rPr>
      </w:pPr>
      <w:r>
        <w:rPr>
          <w:rFonts w:ascii="Arial" w:hAnsi="Arial" w:cs="Arial"/>
          <w:sz w:val="24"/>
          <w:szCs w:val="24"/>
        </w:rPr>
        <w:t>The</w:t>
      </w:r>
      <w:r w:rsidR="00ED1CAE">
        <w:rPr>
          <w:rFonts w:ascii="Arial" w:hAnsi="Arial" w:cs="Arial"/>
          <w:sz w:val="24"/>
          <w:szCs w:val="24"/>
        </w:rPr>
        <w:t>refore, the</w:t>
      </w:r>
      <w:r>
        <w:rPr>
          <w:rFonts w:ascii="Arial" w:hAnsi="Arial" w:cs="Arial"/>
          <w:sz w:val="24"/>
          <w:szCs w:val="24"/>
        </w:rPr>
        <w:t xml:space="preserve"> Company’s</w:t>
      </w:r>
      <w:r w:rsidRPr="00F82F1D">
        <w:rPr>
          <w:rFonts w:ascii="Arial" w:hAnsi="Arial" w:cs="Arial"/>
          <w:sz w:val="24"/>
          <w:szCs w:val="24"/>
        </w:rPr>
        <w:t xml:space="preserve"> appeal is made on the following permitted grounds:</w:t>
      </w:r>
    </w:p>
    <w:p w:rsidRPr="00F82F1D" w:rsidR="00901C2C" w:rsidP="00901C2C" w:rsidRDefault="00901C2C" w14:paraId="65E53636" w14:textId="77777777">
      <w:pPr>
        <w:numPr>
          <w:ilvl w:val="0"/>
          <w:numId w:val="26"/>
        </w:numPr>
        <w:spacing w:before="120" w:line="360" w:lineRule="auto"/>
        <w:rPr>
          <w:rFonts w:ascii="Arial" w:hAnsi="Arial" w:cs="Arial"/>
          <w:sz w:val="24"/>
          <w:szCs w:val="24"/>
        </w:rPr>
      </w:pPr>
      <w:r w:rsidRPr="00F82F1D">
        <w:rPr>
          <w:rFonts w:ascii="Arial" w:hAnsi="Arial" w:cs="Arial"/>
          <w:b/>
          <w:bCs/>
          <w:sz w:val="24"/>
          <w:szCs w:val="24"/>
        </w:rPr>
        <w:t>Ground 1(a):</w:t>
      </w:r>
      <w:r w:rsidRPr="00F82F1D">
        <w:rPr>
          <w:rFonts w:ascii="Arial" w:hAnsi="Arial" w:cs="Arial"/>
          <w:sz w:val="24"/>
          <w:szCs w:val="24"/>
        </w:rPr>
        <w:t xml:space="preserve"> NICE has failed to act fairly; and</w:t>
      </w:r>
    </w:p>
    <w:p w:rsidRPr="00F82F1D" w:rsidR="00901C2C" w:rsidP="00901C2C" w:rsidRDefault="00901C2C" w14:paraId="255DAB2E" w14:textId="6709E041">
      <w:pPr>
        <w:numPr>
          <w:ilvl w:val="0"/>
          <w:numId w:val="26"/>
        </w:numPr>
        <w:spacing w:before="120" w:line="360" w:lineRule="auto"/>
        <w:rPr>
          <w:rFonts w:ascii="Arial" w:hAnsi="Arial" w:cs="Arial"/>
          <w:sz w:val="24"/>
          <w:szCs w:val="24"/>
        </w:rPr>
      </w:pPr>
      <w:r w:rsidRPr="00F82F1D">
        <w:rPr>
          <w:rFonts w:ascii="Arial" w:hAnsi="Arial" w:cs="Arial"/>
          <w:b/>
          <w:bCs/>
          <w:sz w:val="24"/>
          <w:szCs w:val="24"/>
        </w:rPr>
        <w:t>Ground 2:</w:t>
      </w:r>
      <w:r w:rsidRPr="00F82F1D">
        <w:rPr>
          <w:rFonts w:ascii="Arial" w:hAnsi="Arial" w:cs="Arial"/>
          <w:sz w:val="24"/>
          <w:szCs w:val="24"/>
        </w:rPr>
        <w:t xml:space="preserve"> The recommendation is unreasonable in light of the evidence submitted to NICE.</w:t>
      </w:r>
    </w:p>
    <w:p w:rsidRPr="00F82F1D" w:rsidR="007B3BBD" w:rsidP="00F82F1D" w:rsidRDefault="00BC2863" w14:paraId="1A9AF8AB" w14:textId="1E7039B8">
      <w:pPr>
        <w:spacing w:before="120" w:line="360" w:lineRule="auto"/>
        <w:rPr>
          <w:rFonts w:ascii="Arial" w:hAnsi="Arial" w:cs="Arial"/>
          <w:sz w:val="24"/>
          <w:szCs w:val="24"/>
        </w:rPr>
      </w:pPr>
      <w:r>
        <w:rPr>
          <w:rFonts w:ascii="Arial" w:hAnsi="Arial" w:cs="Arial"/>
          <w:sz w:val="24"/>
          <w:szCs w:val="24"/>
        </w:rPr>
        <w:t xml:space="preserve">The Company </w:t>
      </w:r>
      <w:r w:rsidRPr="00F82F1D" w:rsidR="00F82F1D">
        <w:rPr>
          <w:rFonts w:ascii="Arial" w:hAnsi="Arial" w:cs="Arial"/>
          <w:sz w:val="24"/>
          <w:szCs w:val="24"/>
        </w:rPr>
        <w:t xml:space="preserve">respectfully requests that this </w:t>
      </w:r>
      <w:r w:rsidRPr="00A76243" w:rsidR="00A76243">
        <w:rPr>
          <w:rFonts w:ascii="Arial" w:hAnsi="Arial" w:cs="Arial"/>
          <w:sz w:val="24"/>
          <w:szCs w:val="24"/>
        </w:rPr>
        <w:t>appeal be considered and an outcome</w:t>
      </w:r>
      <w:r w:rsidRPr="00F82F1D" w:rsidDel="00A76243" w:rsidR="00F82F1D">
        <w:rPr>
          <w:rFonts w:ascii="Arial" w:hAnsi="Arial" w:cs="Arial"/>
          <w:sz w:val="24"/>
          <w:szCs w:val="24"/>
        </w:rPr>
        <w:t xml:space="preserve"> determined at an oral hearing</w:t>
      </w:r>
      <w:r w:rsidRPr="00F82F1D" w:rsidR="00F82F1D">
        <w:rPr>
          <w:rFonts w:ascii="Arial" w:hAnsi="Arial" w:cs="Arial"/>
          <w:sz w:val="24"/>
          <w:szCs w:val="24"/>
        </w:rPr>
        <w:t>.</w:t>
      </w:r>
      <w:r w:rsidR="007B3BBD">
        <w:rPr>
          <w:rFonts w:ascii="Arial" w:hAnsi="Arial" w:cs="Arial"/>
          <w:sz w:val="24"/>
          <w:szCs w:val="24"/>
        </w:rPr>
        <w:t xml:space="preserve"> Following the hearing, the Company requests </w:t>
      </w:r>
      <w:r w:rsidRPr="007B3BBD" w:rsidR="007B3BBD">
        <w:rPr>
          <w:rFonts w:ascii="Arial" w:hAnsi="Arial" w:cs="Arial"/>
          <w:sz w:val="24"/>
          <w:szCs w:val="24"/>
        </w:rPr>
        <w:t xml:space="preserve">the Appeal Panel return this appraisal </w:t>
      </w:r>
      <w:r w:rsidRPr="00667F6A" w:rsidR="00667F6A">
        <w:rPr>
          <w:rFonts w:ascii="Arial" w:hAnsi="Arial" w:cs="Arial"/>
          <w:sz w:val="24"/>
          <w:szCs w:val="24"/>
        </w:rPr>
        <w:t>(ID6474)</w:t>
      </w:r>
      <w:r w:rsidR="000F46E4">
        <w:rPr>
          <w:rFonts w:ascii="Arial" w:hAnsi="Arial" w:cs="Arial"/>
          <w:sz w:val="24"/>
          <w:szCs w:val="24"/>
        </w:rPr>
        <w:t xml:space="preserve"> </w:t>
      </w:r>
      <w:r w:rsidRPr="007B3BBD" w:rsidR="007B3BBD">
        <w:rPr>
          <w:rFonts w:ascii="Arial" w:hAnsi="Arial" w:cs="Arial"/>
          <w:sz w:val="24"/>
          <w:szCs w:val="24"/>
        </w:rPr>
        <w:t>to the Appraisal Committee for further consideration</w:t>
      </w:r>
      <w:r w:rsidR="005D70B6">
        <w:rPr>
          <w:rFonts w:ascii="Arial" w:hAnsi="Arial" w:cs="Arial"/>
          <w:sz w:val="24"/>
          <w:szCs w:val="24"/>
        </w:rPr>
        <w:t xml:space="preserve"> </w:t>
      </w:r>
      <w:r w:rsidRPr="005D70B6" w:rsidR="005D70B6">
        <w:rPr>
          <w:rFonts w:ascii="Arial" w:hAnsi="Arial" w:cs="Arial"/>
          <w:sz w:val="24"/>
          <w:szCs w:val="24"/>
        </w:rPr>
        <w:t>via a third Appraisal Committee meeting</w:t>
      </w:r>
      <w:r w:rsidR="00041C12">
        <w:rPr>
          <w:rFonts w:ascii="Arial" w:hAnsi="Arial" w:cs="Arial"/>
          <w:sz w:val="24"/>
          <w:szCs w:val="24"/>
        </w:rPr>
        <w:t>.</w:t>
      </w:r>
    </w:p>
    <w:p w:rsidRPr="00774B47" w:rsidR="00D73F07" w:rsidP="00BE526B" w:rsidRDefault="00BE526B" w14:paraId="1ADAE0E7" w14:textId="36134378">
      <w:pPr>
        <w:pStyle w:val="Heading1"/>
        <w:rPr>
          <w:rFonts w:ascii="Arial" w:hAnsi="Arial" w:cs="Arial"/>
        </w:rPr>
      </w:pPr>
      <w:r w:rsidRPr="00774B47">
        <w:rPr>
          <w:rFonts w:ascii="Arial" w:hAnsi="Arial" w:cs="Arial"/>
        </w:rPr>
        <w:t>Introduction</w:t>
      </w:r>
    </w:p>
    <w:p w:rsidRPr="00792E71" w:rsidR="00792E71" w:rsidP="00334AC3" w:rsidRDefault="004772A6" w14:paraId="1B0F6E13" w14:textId="2027B85E">
      <w:pPr>
        <w:spacing w:before="120" w:line="360" w:lineRule="auto"/>
        <w:rPr>
          <w:rFonts w:ascii="Arial" w:hAnsi="Arial" w:cs="Arial"/>
          <w:sz w:val="24"/>
          <w:szCs w:val="24"/>
        </w:rPr>
      </w:pPr>
      <w:r>
        <w:rPr>
          <w:rFonts w:ascii="Arial" w:hAnsi="Arial" w:cs="Arial"/>
          <w:sz w:val="24"/>
          <w:szCs w:val="24"/>
        </w:rPr>
        <w:t>Ipsen contends that:</w:t>
      </w:r>
    </w:p>
    <w:p w:rsidRPr="00EB0C94" w:rsidR="00555208" w:rsidP="00334AC3" w:rsidRDefault="009126EF" w14:paraId="5753685F" w14:textId="64EF7AF9">
      <w:pPr>
        <w:pStyle w:val="ListParagraph"/>
        <w:numPr>
          <w:ilvl w:val="0"/>
          <w:numId w:val="33"/>
        </w:numPr>
        <w:spacing w:before="120" w:line="360" w:lineRule="auto"/>
        <w:rPr>
          <w:rFonts w:ascii="Arial" w:hAnsi="Arial" w:cs="Arial"/>
          <w:sz w:val="24"/>
          <w:szCs w:val="24"/>
        </w:rPr>
      </w:pPr>
      <w:r>
        <w:rPr>
          <w:rFonts w:ascii="Arial" w:hAnsi="Arial" w:cs="Arial"/>
          <w:sz w:val="24"/>
          <w:szCs w:val="24"/>
        </w:rPr>
        <w:t>T</w:t>
      </w:r>
      <w:r w:rsidRPr="00EB0C94" w:rsidR="00792E71">
        <w:rPr>
          <w:rFonts w:ascii="Arial" w:hAnsi="Arial" w:cs="Arial"/>
          <w:sz w:val="24"/>
          <w:szCs w:val="24"/>
        </w:rPr>
        <w:t>he Appraisal Committee</w:t>
      </w:r>
      <w:r w:rsidRPr="00EB0C94" w:rsidR="00812C00">
        <w:rPr>
          <w:rFonts w:ascii="Arial" w:hAnsi="Arial" w:cs="Arial"/>
          <w:sz w:val="24"/>
          <w:szCs w:val="24"/>
        </w:rPr>
        <w:t xml:space="preserve"> failed to make a positive recommendation for</w:t>
      </w:r>
      <w:r w:rsidRPr="00EB0C94" w:rsidR="00792E71">
        <w:rPr>
          <w:rFonts w:ascii="Arial" w:hAnsi="Arial" w:cs="Arial"/>
          <w:sz w:val="24"/>
          <w:szCs w:val="24"/>
        </w:rPr>
        <w:t xml:space="preserve"> cabozantinib</w:t>
      </w:r>
      <w:r w:rsidR="00F22202">
        <w:rPr>
          <w:rFonts w:ascii="Arial" w:hAnsi="Arial" w:cs="Arial"/>
          <w:sz w:val="24"/>
          <w:szCs w:val="24"/>
        </w:rPr>
        <w:t xml:space="preserve">, </w:t>
      </w:r>
      <w:r w:rsidRPr="00EB0C94" w:rsidR="00792E71">
        <w:rPr>
          <w:rFonts w:ascii="Arial" w:hAnsi="Arial" w:cs="Arial"/>
          <w:sz w:val="24"/>
          <w:szCs w:val="24"/>
        </w:rPr>
        <w:t>despite acknowledging a significant unmet need in this disease area, robust and clinically meaningful progression</w:t>
      </w:r>
      <w:r w:rsidRPr="00EB0C94" w:rsidR="00792E71">
        <w:rPr>
          <w:rFonts w:ascii="Arial" w:hAnsi="Arial" w:cs="Arial"/>
          <w:sz w:val="24"/>
          <w:szCs w:val="24"/>
        </w:rPr>
        <w:noBreakHyphen/>
      </w:r>
      <w:r w:rsidRPr="00EB0C94" w:rsidR="00792E71">
        <w:rPr>
          <w:rFonts w:ascii="Arial" w:hAnsi="Arial" w:cs="Arial"/>
          <w:sz w:val="24"/>
          <w:szCs w:val="24"/>
        </w:rPr>
        <w:t xml:space="preserve">free survival (PFS) benefit, and </w:t>
      </w:r>
      <w:r w:rsidRPr="00EB0C94" w:rsidR="002E0757">
        <w:rPr>
          <w:rFonts w:ascii="Arial" w:hAnsi="Arial" w:cs="Arial"/>
          <w:sz w:val="24"/>
          <w:szCs w:val="24"/>
        </w:rPr>
        <w:t xml:space="preserve">the </w:t>
      </w:r>
      <w:r w:rsidRPr="00EB0C94" w:rsidR="00792E71">
        <w:rPr>
          <w:rFonts w:ascii="Arial" w:hAnsi="Arial" w:cs="Arial"/>
          <w:sz w:val="24"/>
          <w:szCs w:val="24"/>
        </w:rPr>
        <w:t xml:space="preserve">biological and clinical plausibility of an </w:t>
      </w:r>
      <w:r w:rsidRPr="00EB0C94" w:rsidR="001059D3">
        <w:rPr>
          <w:rFonts w:ascii="Arial" w:hAnsi="Arial" w:cs="Arial"/>
          <w:sz w:val="24"/>
          <w:szCs w:val="24"/>
        </w:rPr>
        <w:t>OS</w:t>
      </w:r>
      <w:r w:rsidRPr="00EB0C94" w:rsidR="00792E71">
        <w:rPr>
          <w:rFonts w:ascii="Arial" w:hAnsi="Arial" w:cs="Arial"/>
          <w:sz w:val="24"/>
          <w:szCs w:val="24"/>
        </w:rPr>
        <w:t xml:space="preserve"> benefit</w:t>
      </w:r>
      <w:r w:rsidR="00F22202">
        <w:rPr>
          <w:rFonts w:ascii="Arial" w:hAnsi="Arial" w:cs="Arial"/>
          <w:sz w:val="24"/>
          <w:szCs w:val="24"/>
        </w:rPr>
        <w:t xml:space="preserve"> in this </w:t>
      </w:r>
      <w:r w:rsidR="0022233A">
        <w:rPr>
          <w:rFonts w:ascii="Arial" w:hAnsi="Arial" w:cs="Arial"/>
          <w:sz w:val="24"/>
          <w:szCs w:val="24"/>
        </w:rPr>
        <w:t>patient population</w:t>
      </w:r>
      <w:r>
        <w:rPr>
          <w:rFonts w:ascii="Arial" w:hAnsi="Arial" w:cs="Arial"/>
          <w:sz w:val="24"/>
          <w:szCs w:val="24"/>
        </w:rPr>
        <w:t>.</w:t>
      </w:r>
    </w:p>
    <w:p w:rsidRPr="00EB0C94" w:rsidR="00792E71" w:rsidP="00334AC3" w:rsidRDefault="009126EF" w14:paraId="39FE93D6" w14:textId="738CF590">
      <w:pPr>
        <w:pStyle w:val="ListParagraph"/>
        <w:numPr>
          <w:ilvl w:val="0"/>
          <w:numId w:val="33"/>
        </w:numPr>
        <w:spacing w:before="120" w:line="360" w:lineRule="auto"/>
        <w:rPr>
          <w:rFonts w:ascii="Arial" w:hAnsi="Arial" w:cs="Arial"/>
          <w:sz w:val="24"/>
          <w:szCs w:val="24"/>
        </w:rPr>
      </w:pPr>
      <w:r>
        <w:rPr>
          <w:rFonts w:ascii="Arial" w:hAnsi="Arial" w:cs="Arial"/>
          <w:sz w:val="24"/>
          <w:szCs w:val="24"/>
        </w:rPr>
        <w:t>T</w:t>
      </w:r>
      <w:r w:rsidRPr="00EB0C94" w:rsidR="004772A6">
        <w:rPr>
          <w:rFonts w:ascii="Arial" w:hAnsi="Arial" w:cs="Arial"/>
          <w:sz w:val="24"/>
          <w:szCs w:val="24"/>
        </w:rPr>
        <w:t>he</w:t>
      </w:r>
      <w:r w:rsidRPr="00EB0C94" w:rsidR="00792E71">
        <w:rPr>
          <w:rFonts w:ascii="Arial" w:hAnsi="Arial" w:cs="Arial"/>
          <w:sz w:val="24"/>
          <w:szCs w:val="24"/>
        </w:rPr>
        <w:t xml:space="preserve"> conclusions in the FDG are not the result of a fair or </w:t>
      </w:r>
      <w:r w:rsidRPr="00EB0C94" w:rsidR="00F604D1">
        <w:rPr>
          <w:rFonts w:ascii="Arial" w:hAnsi="Arial" w:cs="Arial"/>
          <w:sz w:val="24"/>
          <w:szCs w:val="24"/>
        </w:rPr>
        <w:t>reasonable</w:t>
      </w:r>
      <w:r w:rsidRPr="00EB0C94" w:rsidR="00792E71">
        <w:rPr>
          <w:rFonts w:ascii="Arial" w:hAnsi="Arial" w:cs="Arial"/>
          <w:sz w:val="24"/>
          <w:szCs w:val="24"/>
        </w:rPr>
        <w:t xml:space="preserve"> assessment of the evidence, and that the </w:t>
      </w:r>
      <w:r w:rsidRPr="00EB0C94" w:rsidR="00633C39">
        <w:rPr>
          <w:rFonts w:ascii="Arial" w:hAnsi="Arial" w:cs="Arial"/>
          <w:sz w:val="24"/>
          <w:szCs w:val="24"/>
        </w:rPr>
        <w:t>Appraisal Committee</w:t>
      </w:r>
      <w:r w:rsidRPr="00EB0C94" w:rsidR="00792E71">
        <w:rPr>
          <w:rFonts w:ascii="Arial" w:hAnsi="Arial" w:cs="Arial"/>
          <w:sz w:val="24"/>
          <w:szCs w:val="24"/>
        </w:rPr>
        <w:t xml:space="preserve">’s recommendation </w:t>
      </w:r>
      <w:r w:rsidRPr="00AB3315" w:rsidR="00AB3315">
        <w:rPr>
          <w:rFonts w:ascii="Arial" w:hAnsi="Arial" w:cs="Arial"/>
          <w:sz w:val="24"/>
          <w:szCs w:val="24"/>
        </w:rPr>
        <w:t>should</w:t>
      </w:r>
      <w:r w:rsidRPr="00EB0C94" w:rsidR="00792E71">
        <w:rPr>
          <w:rFonts w:ascii="Arial" w:hAnsi="Arial" w:cs="Arial"/>
          <w:sz w:val="24"/>
          <w:szCs w:val="24"/>
        </w:rPr>
        <w:t xml:space="preserve"> be </w:t>
      </w:r>
      <w:r w:rsidRPr="00AB3315" w:rsidR="00AB3315">
        <w:rPr>
          <w:rFonts w:ascii="Arial" w:hAnsi="Arial" w:cs="Arial"/>
          <w:sz w:val="24"/>
          <w:szCs w:val="24"/>
        </w:rPr>
        <w:t>fully reviewed considering</w:t>
      </w:r>
      <w:r w:rsidRPr="00EB0C94" w:rsidR="00792E71">
        <w:rPr>
          <w:rFonts w:ascii="Arial" w:hAnsi="Arial" w:cs="Arial"/>
          <w:sz w:val="24"/>
          <w:szCs w:val="24"/>
        </w:rPr>
        <w:t xml:space="preserve"> the </w:t>
      </w:r>
      <w:r w:rsidRPr="00AB3315" w:rsidR="00AB3315">
        <w:rPr>
          <w:rFonts w:ascii="Arial" w:hAnsi="Arial" w:cs="Arial"/>
          <w:sz w:val="24"/>
          <w:szCs w:val="24"/>
        </w:rPr>
        <w:t>evidence and supporting clinical opinion</w:t>
      </w:r>
      <w:r w:rsidRPr="00EB0C94" w:rsidR="00792E71">
        <w:rPr>
          <w:rFonts w:ascii="Arial" w:hAnsi="Arial" w:cs="Arial"/>
          <w:sz w:val="24"/>
          <w:szCs w:val="24"/>
        </w:rPr>
        <w:t xml:space="preserve"> submitted during the appraisal</w:t>
      </w:r>
      <w:r>
        <w:rPr>
          <w:rFonts w:ascii="Arial" w:hAnsi="Arial" w:cs="Arial"/>
          <w:sz w:val="24"/>
          <w:szCs w:val="24"/>
        </w:rPr>
        <w:t>.</w:t>
      </w:r>
    </w:p>
    <w:p w:rsidRPr="00F82F1D" w:rsidR="00651C85" w:rsidP="00334AC3" w:rsidRDefault="00792E71" w14:paraId="2CFA464A" w14:textId="52F88F34">
      <w:pPr>
        <w:spacing w:before="120" w:line="360" w:lineRule="auto"/>
        <w:rPr>
          <w:rFonts w:ascii="Arial" w:hAnsi="Arial" w:cs="Arial"/>
          <w:sz w:val="24"/>
          <w:szCs w:val="24"/>
        </w:rPr>
      </w:pPr>
      <w:r w:rsidRPr="00792E71">
        <w:rPr>
          <w:rFonts w:ascii="Arial" w:hAnsi="Arial" w:cs="Arial"/>
          <w:sz w:val="24"/>
          <w:szCs w:val="24"/>
        </w:rPr>
        <w:t xml:space="preserve">To assist the Appeal Panel, </w:t>
      </w:r>
      <w:r w:rsidR="00B34426">
        <w:rPr>
          <w:rFonts w:ascii="Arial" w:hAnsi="Arial" w:cs="Arial"/>
          <w:sz w:val="24"/>
          <w:szCs w:val="24"/>
        </w:rPr>
        <w:t>the Company</w:t>
      </w:r>
      <w:r w:rsidRPr="00792E71">
        <w:rPr>
          <w:rFonts w:ascii="Arial" w:hAnsi="Arial" w:cs="Arial"/>
          <w:sz w:val="24"/>
          <w:szCs w:val="24"/>
        </w:rPr>
        <w:t xml:space="preserve"> provides below a brief overview of the disease area and a summary of the appraisal history.</w:t>
      </w:r>
      <w:r w:rsidRPr="00F82F1D" w:rsidR="00F82F1D">
        <w:rPr>
          <w:rFonts w:ascii="Arial" w:hAnsi="Arial" w:cs="Arial"/>
          <w:sz w:val="24"/>
          <w:szCs w:val="24"/>
        </w:rPr>
        <w:t xml:space="preserve">  </w:t>
      </w:r>
    </w:p>
    <w:p w:rsidRPr="00774B47" w:rsidR="00BE526B" w:rsidP="003B5912" w:rsidRDefault="00BE526B" w14:paraId="4EA44895" w14:textId="662C8067">
      <w:pPr>
        <w:pStyle w:val="Heading1"/>
        <w:rPr>
          <w:rFonts w:ascii="Arial" w:hAnsi="Arial" w:cs="Arial"/>
        </w:rPr>
      </w:pPr>
      <w:r w:rsidRPr="00774B47">
        <w:rPr>
          <w:rFonts w:ascii="Arial" w:hAnsi="Arial" w:cs="Arial"/>
        </w:rPr>
        <w:t>Background</w:t>
      </w:r>
      <w:r w:rsidRPr="00774B47" w:rsidR="005233A0">
        <w:rPr>
          <w:rFonts w:ascii="Arial" w:hAnsi="Arial" w:cs="Arial"/>
        </w:rPr>
        <w:t xml:space="preserve"> and appraisal history</w:t>
      </w:r>
    </w:p>
    <w:p w:rsidRPr="004720A6" w:rsidR="004720A6" w:rsidP="00792E71" w:rsidRDefault="004720A6" w14:paraId="50C0DFA6" w14:textId="77777777">
      <w:pPr>
        <w:spacing w:before="120" w:line="360" w:lineRule="auto"/>
        <w:rPr>
          <w:rFonts w:ascii="Arial" w:hAnsi="Arial" w:cs="Arial"/>
          <w:b/>
          <w:bCs/>
          <w:sz w:val="24"/>
          <w:szCs w:val="24"/>
        </w:rPr>
      </w:pPr>
      <w:r w:rsidRPr="004720A6">
        <w:rPr>
          <w:rFonts w:ascii="Arial" w:hAnsi="Arial" w:cs="Arial"/>
          <w:b/>
          <w:bCs/>
          <w:sz w:val="24"/>
          <w:szCs w:val="24"/>
        </w:rPr>
        <w:t>Neuroendocrine tumours</w:t>
      </w:r>
    </w:p>
    <w:p w:rsidRPr="00792E71" w:rsidR="00792E71" w:rsidP="00792E71" w:rsidRDefault="00792E71" w14:paraId="7743A6FC" w14:textId="725902D4">
      <w:pPr>
        <w:spacing w:before="120" w:line="360" w:lineRule="auto"/>
        <w:rPr>
          <w:rFonts w:ascii="Arial" w:hAnsi="Arial" w:cs="Arial"/>
          <w:sz w:val="24"/>
          <w:szCs w:val="24"/>
        </w:rPr>
      </w:pPr>
      <w:r w:rsidRPr="00792E71">
        <w:rPr>
          <w:rFonts w:ascii="Arial" w:hAnsi="Arial" w:cs="Arial"/>
          <w:sz w:val="24"/>
          <w:szCs w:val="24"/>
        </w:rPr>
        <w:t xml:space="preserve">NETs are </w:t>
      </w:r>
      <w:r w:rsidRPr="00792E71" w:rsidR="00F604D1">
        <w:rPr>
          <w:rFonts w:ascii="Arial" w:hAnsi="Arial" w:cs="Arial"/>
          <w:sz w:val="24"/>
          <w:szCs w:val="24"/>
        </w:rPr>
        <w:t xml:space="preserve">highly heterogeneous </w:t>
      </w:r>
      <w:r w:rsidRPr="00792E71">
        <w:rPr>
          <w:rFonts w:ascii="Arial" w:hAnsi="Arial" w:cs="Arial"/>
          <w:sz w:val="24"/>
          <w:szCs w:val="24"/>
        </w:rPr>
        <w:t>rare malignancies arising from neuroendocrine cells and most commonly originate in the gastrointestinal tract, pancreas, and lungs</w:t>
      </w:r>
      <w:r w:rsidR="0089683B">
        <w:rPr>
          <w:rFonts w:ascii="Arial" w:hAnsi="Arial" w:cs="Arial"/>
          <w:sz w:val="24"/>
          <w:szCs w:val="24"/>
        </w:rPr>
        <w:t>.</w:t>
      </w:r>
      <w:r w:rsidRPr="00792E71">
        <w:rPr>
          <w:rFonts w:ascii="Arial" w:hAnsi="Arial" w:cs="Arial"/>
          <w:sz w:val="24"/>
          <w:szCs w:val="24"/>
        </w:rPr>
        <w:t xml:space="preserve"> </w:t>
      </w:r>
      <w:r w:rsidR="0089683B">
        <w:rPr>
          <w:rFonts w:ascii="Arial" w:hAnsi="Arial" w:cs="Arial"/>
          <w:sz w:val="24"/>
          <w:szCs w:val="24"/>
        </w:rPr>
        <w:t>T</w:t>
      </w:r>
      <w:r w:rsidRPr="00792E71">
        <w:rPr>
          <w:rFonts w:ascii="Arial" w:hAnsi="Arial" w:cs="Arial"/>
          <w:sz w:val="24"/>
          <w:szCs w:val="24"/>
        </w:rPr>
        <w:t>reatment options vary substantially according to tumour site, grade, functional status, somatostatin receptor expression, and prior treatment history.</w:t>
      </w:r>
      <w:r w:rsidR="006C6837">
        <w:rPr>
          <w:rStyle w:val="FootnoteReference"/>
          <w:rFonts w:ascii="Arial" w:hAnsi="Arial" w:cs="Arial"/>
          <w:sz w:val="24"/>
          <w:szCs w:val="24"/>
        </w:rPr>
        <w:footnoteReference w:id="2"/>
      </w:r>
      <w:r w:rsidR="006176BD">
        <w:rPr>
          <w:rFonts w:ascii="Arial" w:hAnsi="Arial" w:cs="Arial"/>
          <w:sz w:val="24"/>
          <w:szCs w:val="24"/>
        </w:rPr>
        <w:t xml:space="preserve"> </w:t>
      </w:r>
      <w:r w:rsidR="00925DD6">
        <w:rPr>
          <w:rFonts w:ascii="Arial" w:hAnsi="Arial" w:cs="Arial"/>
          <w:sz w:val="24"/>
          <w:szCs w:val="24"/>
        </w:rPr>
        <w:t>Five</w:t>
      </w:r>
      <w:r w:rsidR="0089683B">
        <w:rPr>
          <w:rFonts w:ascii="Arial" w:hAnsi="Arial" w:cs="Arial"/>
          <w:sz w:val="24"/>
          <w:szCs w:val="24"/>
        </w:rPr>
        <w:t>-</w:t>
      </w:r>
      <w:r w:rsidR="00925DD6">
        <w:rPr>
          <w:rFonts w:ascii="Arial" w:hAnsi="Arial" w:cs="Arial"/>
          <w:sz w:val="24"/>
          <w:szCs w:val="24"/>
        </w:rPr>
        <w:t>year survival falls from over 75% in patien</w:t>
      </w:r>
      <w:r w:rsidR="00F22019">
        <w:rPr>
          <w:rFonts w:ascii="Arial" w:hAnsi="Arial" w:cs="Arial"/>
          <w:sz w:val="24"/>
          <w:szCs w:val="24"/>
        </w:rPr>
        <w:t>t</w:t>
      </w:r>
      <w:r w:rsidR="00925DD6">
        <w:rPr>
          <w:rFonts w:ascii="Arial" w:hAnsi="Arial" w:cs="Arial"/>
          <w:sz w:val="24"/>
          <w:szCs w:val="24"/>
        </w:rPr>
        <w:t xml:space="preserve">s with Stage I or II disease to less than </w:t>
      </w:r>
      <w:r w:rsidRPr="006176BD" w:rsidR="006176BD">
        <w:rPr>
          <w:rFonts w:ascii="Arial" w:hAnsi="Arial" w:cs="Arial"/>
          <w:sz w:val="24"/>
          <w:szCs w:val="24"/>
        </w:rPr>
        <w:t>25% of patients with Stage IV NETs</w:t>
      </w:r>
      <w:r w:rsidR="00925DD6">
        <w:rPr>
          <w:rFonts w:ascii="Arial" w:hAnsi="Arial" w:cs="Arial"/>
          <w:sz w:val="24"/>
          <w:szCs w:val="24"/>
        </w:rPr>
        <w:t>.</w:t>
      </w:r>
      <w:r w:rsidR="0068739A">
        <w:rPr>
          <w:rStyle w:val="FootnoteReference"/>
          <w:rFonts w:ascii="Arial" w:hAnsi="Arial" w:cs="Arial"/>
          <w:sz w:val="24"/>
          <w:szCs w:val="24"/>
        </w:rPr>
        <w:footnoteReference w:id="3"/>
      </w:r>
      <w:r w:rsidRPr="00F406DE" w:rsidR="00F406DE">
        <w:t xml:space="preserve"> </w:t>
      </w:r>
      <w:r w:rsidRPr="00F406DE" w:rsidR="00F406DE">
        <w:rPr>
          <w:rFonts w:ascii="Arial" w:hAnsi="Arial" w:cs="Arial"/>
          <w:sz w:val="24"/>
          <w:szCs w:val="24"/>
        </w:rPr>
        <w:t>In England, NETs have a prevalence of approximately 34.9 per 100,000 people, reflecting their rarity.</w:t>
      </w:r>
      <w:r w:rsidR="002B50DD">
        <w:rPr>
          <w:rStyle w:val="FootnoteReference"/>
          <w:rFonts w:ascii="Arial" w:hAnsi="Arial" w:cs="Arial"/>
          <w:sz w:val="24"/>
          <w:szCs w:val="24"/>
        </w:rPr>
        <w:footnoteReference w:id="4"/>
      </w:r>
    </w:p>
    <w:p w:rsidR="00E60607" w:rsidP="00792E71" w:rsidRDefault="00792E71" w14:paraId="1DBF5EE8" w14:textId="1E480B08">
      <w:pPr>
        <w:spacing w:before="120" w:line="360" w:lineRule="auto"/>
        <w:rPr>
          <w:rFonts w:ascii="Arial" w:hAnsi="Arial" w:cs="Arial"/>
          <w:sz w:val="24"/>
          <w:szCs w:val="24"/>
        </w:rPr>
      </w:pPr>
      <w:r w:rsidRPr="00792E71">
        <w:rPr>
          <w:rFonts w:ascii="Arial" w:hAnsi="Arial" w:cs="Arial"/>
          <w:sz w:val="24"/>
          <w:szCs w:val="24"/>
        </w:rPr>
        <w:t>Although NETs are often relatively indolent, many patients experience repeated disease progression over a prolonged period and require multiple lines of systemic therapy.</w:t>
      </w:r>
      <w:r w:rsidR="00B95F37">
        <w:rPr>
          <w:rStyle w:val="FootnoteReference"/>
          <w:rFonts w:ascii="Arial" w:hAnsi="Arial" w:cs="Arial"/>
          <w:sz w:val="24"/>
          <w:szCs w:val="24"/>
        </w:rPr>
        <w:footnoteReference w:id="5"/>
      </w:r>
      <w:r w:rsidRPr="00792E71">
        <w:rPr>
          <w:rFonts w:ascii="Arial" w:hAnsi="Arial" w:cs="Arial"/>
          <w:sz w:val="24"/>
          <w:szCs w:val="24"/>
        </w:rPr>
        <w:t xml:space="preserve"> </w:t>
      </w:r>
      <w:r w:rsidRPr="00017B30" w:rsidR="00017B30">
        <w:rPr>
          <w:rFonts w:ascii="Arial" w:hAnsi="Arial" w:cs="Arial"/>
          <w:sz w:val="24"/>
          <w:szCs w:val="24"/>
        </w:rPr>
        <w:t xml:space="preserve">Patients with advanced NETs experience significant symptom burden, and </w:t>
      </w:r>
      <w:r w:rsidR="003D6444">
        <w:rPr>
          <w:rFonts w:ascii="Arial" w:hAnsi="Arial" w:cs="Arial"/>
          <w:sz w:val="24"/>
          <w:szCs w:val="24"/>
        </w:rPr>
        <w:t xml:space="preserve">a </w:t>
      </w:r>
      <w:r w:rsidRPr="00017B30" w:rsidR="00017B30">
        <w:rPr>
          <w:rFonts w:ascii="Arial" w:hAnsi="Arial" w:cs="Arial"/>
          <w:sz w:val="24"/>
          <w:szCs w:val="24"/>
        </w:rPr>
        <w:t xml:space="preserve">substantial impact on quality of life. Symptoms may </w:t>
      </w:r>
      <w:r w:rsidR="006B3C09">
        <w:rPr>
          <w:rFonts w:ascii="Arial" w:hAnsi="Arial" w:cs="Arial"/>
          <w:sz w:val="24"/>
          <w:szCs w:val="24"/>
        </w:rPr>
        <w:t>be severe</w:t>
      </w:r>
      <w:r w:rsidRPr="00017B30" w:rsidR="00017B30">
        <w:rPr>
          <w:rFonts w:ascii="Arial" w:hAnsi="Arial" w:cs="Arial"/>
          <w:sz w:val="24"/>
          <w:szCs w:val="24"/>
        </w:rPr>
        <w:t>, with disease progression associated with worsening functional status and increasing dependence on care.</w:t>
      </w:r>
      <w:r w:rsidRPr="008578AC" w:rsidR="008578AC">
        <w:rPr>
          <w:rFonts w:ascii="Arial" w:hAnsi="Arial" w:cs="Arial"/>
          <w:sz w:val="24"/>
          <w:szCs w:val="24"/>
          <w:vertAlign w:val="superscript"/>
        </w:rPr>
        <w:t>5</w:t>
      </w:r>
    </w:p>
    <w:p w:rsidRPr="009B263C" w:rsidR="00EA0251" w:rsidP="00792E71" w:rsidRDefault="00F604D1" w14:paraId="2D7A2C87" w14:textId="07A8BC28">
      <w:pPr>
        <w:spacing w:before="120" w:line="360" w:lineRule="auto"/>
        <w:rPr>
          <w:rFonts w:ascii="Arial" w:hAnsi="Arial" w:cs="Arial"/>
          <w:sz w:val="24"/>
          <w:szCs w:val="24"/>
        </w:rPr>
      </w:pPr>
      <w:r>
        <w:rPr>
          <w:rFonts w:ascii="Arial" w:hAnsi="Arial" w:cs="Arial"/>
          <w:sz w:val="24"/>
          <w:szCs w:val="24"/>
        </w:rPr>
        <w:t>R</w:t>
      </w:r>
      <w:r w:rsidR="00984F1E">
        <w:rPr>
          <w:rFonts w:ascii="Arial" w:hAnsi="Arial" w:cs="Arial"/>
          <w:sz w:val="24"/>
          <w:szCs w:val="24"/>
        </w:rPr>
        <w:t xml:space="preserve">ecent </w:t>
      </w:r>
      <w:r>
        <w:rPr>
          <w:rFonts w:ascii="Arial" w:hAnsi="Arial" w:cs="Arial"/>
          <w:sz w:val="24"/>
          <w:szCs w:val="24"/>
        </w:rPr>
        <w:t xml:space="preserve">national </w:t>
      </w:r>
      <w:r w:rsidR="00984F1E">
        <w:rPr>
          <w:rFonts w:ascii="Arial" w:hAnsi="Arial" w:cs="Arial"/>
          <w:sz w:val="24"/>
          <w:szCs w:val="24"/>
        </w:rPr>
        <w:t>policy focus</w:t>
      </w:r>
      <w:r w:rsidR="006B3C09">
        <w:rPr>
          <w:rFonts w:ascii="Arial" w:hAnsi="Arial" w:cs="Arial"/>
          <w:sz w:val="24"/>
          <w:szCs w:val="24"/>
        </w:rPr>
        <w:t>,</w:t>
      </w:r>
      <w:r w:rsidR="00984F1E">
        <w:rPr>
          <w:rFonts w:ascii="Arial" w:hAnsi="Arial" w:cs="Arial"/>
          <w:sz w:val="24"/>
          <w:szCs w:val="24"/>
        </w:rPr>
        <w:t xml:space="preserve"> </w:t>
      </w:r>
      <w:r w:rsidRPr="00B13874" w:rsidR="00B13874">
        <w:rPr>
          <w:rFonts w:ascii="Arial" w:hAnsi="Arial" w:cs="Arial"/>
          <w:sz w:val="24"/>
          <w:szCs w:val="24"/>
        </w:rPr>
        <w:t>including the</w:t>
      </w:r>
      <w:r w:rsidRPr="70459331" w:rsidR="3BCA679E">
        <w:rPr>
          <w:rFonts w:ascii="Arial" w:hAnsi="Arial" w:cs="Arial"/>
          <w:sz w:val="24"/>
          <w:szCs w:val="24"/>
        </w:rPr>
        <w:t xml:space="preserve"> </w:t>
      </w:r>
      <w:r w:rsidRPr="56B70A4E" w:rsidR="3BCA679E">
        <w:rPr>
          <w:rFonts w:ascii="Arial" w:hAnsi="Arial" w:cs="Arial"/>
          <w:sz w:val="24"/>
          <w:szCs w:val="24"/>
        </w:rPr>
        <w:t xml:space="preserve">National </w:t>
      </w:r>
      <w:r w:rsidRPr="7289CD53" w:rsidR="3BCA679E">
        <w:rPr>
          <w:rFonts w:ascii="Arial" w:hAnsi="Arial" w:cs="Arial"/>
          <w:sz w:val="24"/>
          <w:szCs w:val="24"/>
        </w:rPr>
        <w:t>Cancer Plan for England and</w:t>
      </w:r>
      <w:r w:rsidRPr="7289CD53" w:rsidR="73AE71F3">
        <w:rPr>
          <w:rFonts w:ascii="Arial" w:hAnsi="Arial" w:cs="Arial"/>
          <w:sz w:val="24"/>
          <w:szCs w:val="24"/>
        </w:rPr>
        <w:t xml:space="preserve"> the</w:t>
      </w:r>
      <w:r w:rsidRPr="00B13874" w:rsidR="00B13874">
        <w:rPr>
          <w:rFonts w:ascii="Arial" w:hAnsi="Arial" w:cs="Arial"/>
          <w:sz w:val="24"/>
          <w:szCs w:val="24"/>
        </w:rPr>
        <w:t xml:space="preserve"> Rare Cancers Act, has highlighted the need for the UK to be internationally competitive in access to innovative medicines for patients with rare oncology diseases such as NETs</w:t>
      </w:r>
      <w:r w:rsidR="00891EC2">
        <w:rPr>
          <w:rFonts w:ascii="Arial" w:hAnsi="Arial" w:cs="Arial"/>
          <w:sz w:val="24"/>
          <w:szCs w:val="24"/>
        </w:rPr>
        <w:t>.</w:t>
      </w:r>
      <w:r w:rsidR="00EB5D81">
        <w:rPr>
          <w:rStyle w:val="FootnoteReference"/>
          <w:rFonts w:ascii="Arial" w:hAnsi="Arial" w:cs="Arial"/>
          <w:sz w:val="24"/>
          <w:szCs w:val="24"/>
        </w:rPr>
        <w:footnoteReference w:id="6"/>
      </w:r>
      <w:r w:rsidR="00A76373">
        <w:rPr>
          <w:rFonts w:ascii="Arial" w:hAnsi="Arial" w:cs="Arial"/>
          <w:sz w:val="24"/>
          <w:szCs w:val="24"/>
          <w:vertAlign w:val="superscript"/>
        </w:rPr>
        <w:t xml:space="preserve"> </w:t>
      </w:r>
      <w:r w:rsidR="00A321E0">
        <w:rPr>
          <w:rStyle w:val="FootnoteReference"/>
          <w:rFonts w:ascii="Arial" w:hAnsi="Arial" w:cs="Arial"/>
          <w:sz w:val="24"/>
          <w:szCs w:val="24"/>
        </w:rPr>
        <w:footnoteReference w:id="7"/>
      </w:r>
    </w:p>
    <w:p w:rsidR="00804CCF" w:rsidP="00792E71" w:rsidRDefault="00BD76A0" w14:paraId="303FB55C" w14:textId="01C0B082">
      <w:pPr>
        <w:spacing w:before="120" w:line="360" w:lineRule="auto"/>
        <w:rPr>
          <w:rFonts w:ascii="Arial" w:hAnsi="Arial" w:cs="Arial"/>
          <w:b/>
          <w:bCs/>
          <w:sz w:val="24"/>
          <w:szCs w:val="24"/>
        </w:rPr>
      </w:pPr>
      <w:r>
        <w:rPr>
          <w:rFonts w:ascii="Arial" w:hAnsi="Arial" w:cs="Arial"/>
          <w:b/>
          <w:bCs/>
          <w:sz w:val="24"/>
          <w:szCs w:val="24"/>
        </w:rPr>
        <w:t>The treatment pathway in NETs is highly individualised</w:t>
      </w:r>
      <w:r w:rsidR="004E0D6B">
        <w:rPr>
          <w:rFonts w:ascii="Arial" w:hAnsi="Arial" w:cs="Arial"/>
          <w:b/>
          <w:bCs/>
          <w:sz w:val="24"/>
          <w:szCs w:val="24"/>
        </w:rPr>
        <w:t>,</w:t>
      </w:r>
      <w:r>
        <w:rPr>
          <w:rFonts w:ascii="Arial" w:hAnsi="Arial" w:cs="Arial"/>
          <w:b/>
          <w:bCs/>
          <w:sz w:val="24"/>
          <w:szCs w:val="24"/>
        </w:rPr>
        <w:t xml:space="preserve"> </w:t>
      </w:r>
      <w:r w:rsidR="00F604D1">
        <w:rPr>
          <w:rFonts w:ascii="Arial" w:hAnsi="Arial" w:cs="Arial"/>
          <w:b/>
          <w:bCs/>
          <w:sz w:val="24"/>
          <w:szCs w:val="24"/>
        </w:rPr>
        <w:t>with a</w:t>
      </w:r>
      <w:r w:rsidR="00C24D81">
        <w:rPr>
          <w:rFonts w:ascii="Arial" w:hAnsi="Arial" w:cs="Arial"/>
          <w:b/>
          <w:bCs/>
          <w:sz w:val="24"/>
          <w:szCs w:val="24"/>
        </w:rPr>
        <w:t xml:space="preserve"> high unmet need</w:t>
      </w:r>
    </w:p>
    <w:p w:rsidR="0095437C" w:rsidP="00792E71" w:rsidRDefault="008F3B32" w14:paraId="61308CD4" w14:textId="2AECEB38">
      <w:pPr>
        <w:spacing w:before="120" w:line="360" w:lineRule="auto"/>
        <w:rPr>
          <w:rFonts w:ascii="Arial" w:hAnsi="Arial" w:cs="Arial"/>
          <w:sz w:val="24"/>
          <w:szCs w:val="24"/>
        </w:rPr>
      </w:pPr>
      <w:r w:rsidRPr="008F3B32">
        <w:rPr>
          <w:rFonts w:ascii="Arial" w:hAnsi="Arial" w:cs="Arial"/>
          <w:sz w:val="24"/>
          <w:szCs w:val="24"/>
        </w:rPr>
        <w:t xml:space="preserve">After </w:t>
      </w:r>
      <w:r w:rsidR="00F604D1">
        <w:rPr>
          <w:rFonts w:ascii="Arial" w:hAnsi="Arial" w:cs="Arial"/>
          <w:sz w:val="24"/>
          <w:szCs w:val="24"/>
        </w:rPr>
        <w:t xml:space="preserve">first-line </w:t>
      </w:r>
      <w:r w:rsidRPr="008F3B32">
        <w:rPr>
          <w:rFonts w:ascii="Arial" w:hAnsi="Arial" w:cs="Arial"/>
          <w:sz w:val="24"/>
          <w:szCs w:val="24"/>
        </w:rPr>
        <w:t>SSAs, the available targeted therapies are restricted to specific subgroups, limiting treatment options</w:t>
      </w:r>
      <w:r w:rsidR="00A942B0">
        <w:rPr>
          <w:rFonts w:ascii="Arial" w:hAnsi="Arial" w:cs="Arial"/>
          <w:sz w:val="24"/>
          <w:szCs w:val="24"/>
        </w:rPr>
        <w:t>.</w:t>
      </w:r>
    </w:p>
    <w:p w:rsidR="00C24D81" w:rsidP="00C24D81" w:rsidRDefault="00C24D81" w14:paraId="256DB739" w14:textId="3209D383">
      <w:pPr>
        <w:spacing w:before="120" w:line="360" w:lineRule="auto"/>
        <w:rPr>
          <w:rFonts w:ascii="Arial" w:hAnsi="Arial" w:cs="Arial"/>
          <w:sz w:val="24"/>
          <w:szCs w:val="24"/>
        </w:rPr>
      </w:pPr>
      <w:r w:rsidRPr="00792E71">
        <w:rPr>
          <w:rFonts w:ascii="Arial" w:hAnsi="Arial" w:cs="Arial"/>
          <w:sz w:val="24"/>
          <w:szCs w:val="24"/>
        </w:rPr>
        <w:t>For patients with advanced NETs</w:t>
      </w:r>
      <w:r w:rsidR="00F604D1">
        <w:rPr>
          <w:rFonts w:ascii="Arial" w:hAnsi="Arial" w:cs="Arial"/>
          <w:sz w:val="24"/>
          <w:szCs w:val="24"/>
        </w:rPr>
        <w:t>,</w:t>
      </w:r>
      <w:r w:rsidRPr="00792E71">
        <w:rPr>
          <w:rFonts w:ascii="Arial" w:hAnsi="Arial" w:cs="Arial"/>
          <w:sz w:val="24"/>
          <w:szCs w:val="24"/>
        </w:rPr>
        <w:t xml:space="preserve"> whose disease has progressed after prior systemic therapy, treatment options are limited, and unmet </w:t>
      </w:r>
      <w:r w:rsidRPr="7FC17C0D" w:rsidR="310E30F4">
        <w:rPr>
          <w:rFonts w:ascii="Arial" w:hAnsi="Arial" w:cs="Arial"/>
          <w:sz w:val="24"/>
          <w:szCs w:val="24"/>
        </w:rPr>
        <w:t>clinical</w:t>
      </w:r>
      <w:r w:rsidRPr="1A9EBFEB">
        <w:rPr>
          <w:rFonts w:ascii="Arial" w:hAnsi="Arial" w:cs="Arial"/>
          <w:sz w:val="24"/>
          <w:szCs w:val="24"/>
        </w:rPr>
        <w:t xml:space="preserve"> </w:t>
      </w:r>
      <w:r w:rsidRPr="00792E71">
        <w:rPr>
          <w:rFonts w:ascii="Arial" w:hAnsi="Arial" w:cs="Arial"/>
          <w:sz w:val="24"/>
          <w:szCs w:val="24"/>
        </w:rPr>
        <w:t xml:space="preserve">need is substantial. </w:t>
      </w:r>
      <w:r w:rsidRPr="003E0145">
        <w:rPr>
          <w:rFonts w:ascii="Arial" w:hAnsi="Arial" w:cs="Arial"/>
          <w:sz w:val="24"/>
          <w:szCs w:val="24"/>
        </w:rPr>
        <w:t>NETs are frequently associated with delays in diagnosis</w:t>
      </w:r>
      <w:r w:rsidR="00F604D1">
        <w:rPr>
          <w:rFonts w:ascii="Arial" w:hAnsi="Arial" w:cs="Arial"/>
          <w:sz w:val="24"/>
          <w:szCs w:val="24"/>
        </w:rPr>
        <w:t xml:space="preserve"> and access to treatment</w:t>
      </w:r>
      <w:r w:rsidRPr="003E0145">
        <w:rPr>
          <w:rFonts w:ascii="Arial" w:hAnsi="Arial" w:cs="Arial"/>
          <w:sz w:val="24"/>
          <w:szCs w:val="24"/>
        </w:rPr>
        <w:t xml:space="preserve"> due to their asymptomatic and heterogeneous presentation, with a significant proportion of patients diagnosed at an advanced or metastatic stage.</w:t>
      </w:r>
      <w:r>
        <w:rPr>
          <w:rFonts w:ascii="Arial" w:hAnsi="Arial" w:cs="Arial"/>
          <w:sz w:val="24"/>
          <w:szCs w:val="24"/>
        </w:rPr>
        <w:t xml:space="preserve"> </w:t>
      </w:r>
    </w:p>
    <w:p w:rsidR="00F846AD" w:rsidP="00792E71" w:rsidRDefault="00F604D1" w14:paraId="4F06FBE1" w14:textId="4AEF6F88">
      <w:pPr>
        <w:spacing w:before="120" w:line="360" w:lineRule="auto"/>
        <w:rPr>
          <w:rFonts w:ascii="Arial" w:hAnsi="Arial" w:cs="Arial"/>
          <w:sz w:val="24"/>
          <w:szCs w:val="24"/>
        </w:rPr>
      </w:pPr>
      <w:r w:rsidRPr="00342D1B">
        <w:rPr>
          <w:rFonts w:ascii="Arial" w:hAnsi="Arial" w:cs="Arial"/>
          <w:sz w:val="24"/>
          <w:szCs w:val="24"/>
        </w:rPr>
        <w:t>Available targeted systemic therapies are restricted to specific patient subgroups based on tumour site, grade, functional status and somatostatin receptor (SSTR) expression</w:t>
      </w:r>
      <w:r w:rsidRPr="00342D1B" w:rsidR="2B6F8787">
        <w:rPr>
          <w:rFonts w:ascii="Arial" w:hAnsi="Arial" w:cs="Arial"/>
          <w:sz w:val="24"/>
          <w:szCs w:val="24"/>
        </w:rPr>
        <w:t>, resulting in</w:t>
      </w:r>
      <w:r w:rsidRPr="00342D1B">
        <w:rPr>
          <w:rFonts w:ascii="Arial" w:hAnsi="Arial" w:cs="Arial"/>
          <w:sz w:val="24"/>
          <w:szCs w:val="24"/>
        </w:rPr>
        <w:t xml:space="preserve"> highly individualised</w:t>
      </w:r>
      <w:r w:rsidRPr="00342D1B" w:rsidR="139CB85A">
        <w:rPr>
          <w:rFonts w:ascii="Arial" w:hAnsi="Arial" w:cs="Arial"/>
          <w:sz w:val="24"/>
          <w:szCs w:val="24"/>
        </w:rPr>
        <w:t xml:space="preserve"> treatment pathways</w:t>
      </w:r>
      <w:r>
        <w:rPr>
          <w:rFonts w:ascii="Arial" w:hAnsi="Arial" w:cs="Arial"/>
          <w:sz w:val="24"/>
          <w:szCs w:val="24"/>
        </w:rPr>
        <w:t xml:space="preserve">. </w:t>
      </w:r>
      <w:r w:rsidRPr="00792E71" w:rsidR="00C24D81">
        <w:rPr>
          <w:rFonts w:ascii="Arial" w:hAnsi="Arial" w:cs="Arial"/>
          <w:sz w:val="24"/>
          <w:szCs w:val="24"/>
        </w:rPr>
        <w:t>This is especially the case for patients with lung NETs, who have fewer reimbursed treatment options and often face fragmented care pathways.</w:t>
      </w:r>
      <w:r w:rsidR="00C24D81">
        <w:rPr>
          <w:rStyle w:val="FootnoteReference"/>
          <w:rFonts w:ascii="Arial" w:hAnsi="Arial" w:cs="Arial"/>
          <w:sz w:val="24"/>
          <w:szCs w:val="24"/>
        </w:rPr>
        <w:footnoteReference w:id="8"/>
      </w:r>
      <w:r w:rsidR="00C24D81">
        <w:rPr>
          <w:rFonts w:ascii="Arial" w:hAnsi="Arial" w:cs="Arial"/>
          <w:sz w:val="24"/>
          <w:szCs w:val="24"/>
        </w:rPr>
        <w:t xml:space="preserve"> </w:t>
      </w:r>
      <w:r w:rsidRPr="000A6F40" w:rsidR="00C24D81">
        <w:rPr>
          <w:rFonts w:ascii="Arial" w:hAnsi="Arial" w:cs="Arial"/>
          <w:sz w:val="24"/>
          <w:szCs w:val="24"/>
        </w:rPr>
        <w:t xml:space="preserve">Everolimus is currently the only NICE-recommended treatment in this setting, and its use is restricted to patients with non-functional disease, further limiting </w:t>
      </w:r>
      <w:r w:rsidR="00691A9C">
        <w:rPr>
          <w:rFonts w:ascii="Arial" w:hAnsi="Arial" w:cs="Arial"/>
          <w:sz w:val="24"/>
          <w:szCs w:val="24"/>
        </w:rPr>
        <w:t>treatment</w:t>
      </w:r>
      <w:r w:rsidR="003D50FB">
        <w:rPr>
          <w:rFonts w:ascii="Arial" w:hAnsi="Arial" w:cs="Arial"/>
          <w:sz w:val="24"/>
          <w:szCs w:val="24"/>
        </w:rPr>
        <w:t xml:space="preserve"> options</w:t>
      </w:r>
      <w:r w:rsidR="00691A9C">
        <w:rPr>
          <w:rFonts w:ascii="Arial" w:hAnsi="Arial" w:cs="Arial"/>
          <w:sz w:val="24"/>
          <w:szCs w:val="24"/>
        </w:rPr>
        <w:t xml:space="preserve"> for </w:t>
      </w:r>
      <w:r w:rsidR="001E3CA3">
        <w:rPr>
          <w:rFonts w:ascii="Arial" w:hAnsi="Arial" w:cs="Arial"/>
          <w:sz w:val="24"/>
          <w:szCs w:val="24"/>
        </w:rPr>
        <w:t>this population</w:t>
      </w:r>
      <w:r w:rsidRPr="000A6F40" w:rsidR="00C24D81">
        <w:rPr>
          <w:rFonts w:ascii="Arial" w:hAnsi="Arial" w:cs="Arial"/>
          <w:sz w:val="24"/>
          <w:szCs w:val="24"/>
        </w:rPr>
        <w:t xml:space="preserve">. As a result, patients with lung NETs often </w:t>
      </w:r>
      <w:r w:rsidR="00100CF1">
        <w:rPr>
          <w:rFonts w:ascii="Arial" w:hAnsi="Arial" w:cs="Arial"/>
          <w:sz w:val="24"/>
          <w:szCs w:val="24"/>
        </w:rPr>
        <w:t xml:space="preserve">face earlier </w:t>
      </w:r>
      <w:r w:rsidRPr="000A6F40" w:rsidR="00100CF1">
        <w:rPr>
          <w:rFonts w:ascii="Arial" w:hAnsi="Arial" w:cs="Arial"/>
          <w:sz w:val="24"/>
          <w:szCs w:val="24"/>
        </w:rPr>
        <w:t>reliance on best supportive care</w:t>
      </w:r>
      <w:r w:rsidR="00100CF1">
        <w:rPr>
          <w:rFonts w:ascii="Arial" w:hAnsi="Arial" w:cs="Arial"/>
          <w:sz w:val="24"/>
          <w:szCs w:val="24"/>
        </w:rPr>
        <w:t xml:space="preserve"> (BSC) and substantially</w:t>
      </w:r>
      <w:r w:rsidRPr="000A6F40" w:rsidR="00C24D81">
        <w:rPr>
          <w:rFonts w:ascii="Arial" w:hAnsi="Arial" w:cs="Arial"/>
          <w:sz w:val="24"/>
          <w:szCs w:val="24"/>
        </w:rPr>
        <w:t xml:space="preserve"> poorer prognosis</w:t>
      </w:r>
      <w:r w:rsidR="006B1529">
        <w:rPr>
          <w:rFonts w:ascii="Arial" w:hAnsi="Arial" w:cs="Arial"/>
          <w:sz w:val="24"/>
          <w:szCs w:val="24"/>
        </w:rPr>
        <w:t>.</w:t>
      </w:r>
      <w:r w:rsidRPr="000A6F40" w:rsidR="00C24D81">
        <w:rPr>
          <w:rFonts w:ascii="Arial" w:hAnsi="Arial" w:cs="Arial"/>
          <w:sz w:val="24"/>
          <w:szCs w:val="24"/>
        </w:rPr>
        <w:t xml:space="preserve"> </w:t>
      </w:r>
    </w:p>
    <w:p w:rsidRPr="008F3B32" w:rsidR="008F3B32" w:rsidP="00792E71" w:rsidRDefault="008F3B32" w14:paraId="05069EA8" w14:textId="45FF4A46">
      <w:pPr>
        <w:spacing w:before="120" w:line="360" w:lineRule="auto"/>
        <w:rPr>
          <w:rFonts w:ascii="Arial" w:hAnsi="Arial" w:cs="Arial"/>
          <w:sz w:val="24"/>
          <w:szCs w:val="24"/>
        </w:rPr>
      </w:pPr>
      <w:r w:rsidRPr="008F3B32">
        <w:rPr>
          <w:rFonts w:ascii="Arial" w:hAnsi="Arial" w:cs="Arial"/>
          <w:sz w:val="24"/>
          <w:szCs w:val="24"/>
        </w:rPr>
        <w:t>Given the heterogeneity of the disease and the narrow labels for available systemic treatment options, systemic therapy after progression on SSAs is highly individualised and driven by specific patient characteristics</w:t>
      </w:r>
      <w:r w:rsidR="00D7144D">
        <w:rPr>
          <w:rFonts w:ascii="Arial" w:hAnsi="Arial" w:cs="Arial"/>
          <w:sz w:val="24"/>
          <w:szCs w:val="24"/>
        </w:rPr>
        <w:t xml:space="preserve"> (</w:t>
      </w:r>
      <w:r w:rsidR="00D7144D">
        <w:rPr>
          <w:rFonts w:ascii="Arial" w:hAnsi="Arial" w:cs="Arial"/>
          <w:sz w:val="24"/>
          <w:szCs w:val="24"/>
        </w:rPr>
        <w:fldChar w:fldCharType="begin"/>
      </w:r>
      <w:r w:rsidR="00D7144D">
        <w:rPr>
          <w:rFonts w:ascii="Arial" w:hAnsi="Arial" w:cs="Arial"/>
          <w:sz w:val="24"/>
          <w:szCs w:val="24"/>
        </w:rPr>
        <w:instrText xml:space="preserve"> REF _Ref227845432 \h  \* MERGEFORMAT </w:instrText>
      </w:r>
      <w:r w:rsidR="00D7144D">
        <w:rPr>
          <w:rFonts w:ascii="Arial" w:hAnsi="Arial" w:cs="Arial"/>
          <w:sz w:val="24"/>
          <w:szCs w:val="24"/>
        </w:rPr>
      </w:r>
      <w:r w:rsidR="00D7144D">
        <w:rPr>
          <w:rFonts w:ascii="Arial" w:hAnsi="Arial" w:cs="Arial"/>
          <w:sz w:val="24"/>
          <w:szCs w:val="24"/>
        </w:rPr>
        <w:fldChar w:fldCharType="separate"/>
      </w:r>
      <w:r w:rsidRPr="00812C00" w:rsidR="00812C00">
        <w:rPr>
          <w:rFonts w:ascii="Arial" w:hAnsi="Arial" w:cs="Arial"/>
          <w:sz w:val="24"/>
          <w:szCs w:val="24"/>
        </w:rPr>
        <w:t>Figure 1</w:t>
      </w:r>
      <w:r w:rsidR="00D7144D">
        <w:rPr>
          <w:rFonts w:ascii="Arial" w:hAnsi="Arial" w:cs="Arial"/>
          <w:sz w:val="24"/>
          <w:szCs w:val="24"/>
        </w:rPr>
        <w:fldChar w:fldCharType="end"/>
      </w:r>
      <w:r w:rsidR="00D7144D">
        <w:rPr>
          <w:rFonts w:ascii="Arial" w:hAnsi="Arial" w:cs="Arial"/>
          <w:sz w:val="24"/>
          <w:szCs w:val="24"/>
        </w:rPr>
        <w:t>)</w:t>
      </w:r>
      <w:r w:rsidRPr="008F3B32">
        <w:rPr>
          <w:rFonts w:ascii="Arial" w:hAnsi="Arial" w:cs="Arial"/>
          <w:sz w:val="24"/>
          <w:szCs w:val="24"/>
        </w:rPr>
        <w:t>. There is no clear or consistent treatment pathway for the broad population of patients with epNETs who have progressed on prior systemic therapies, and for many patients there are no treatment options remaining other than BSC</w:t>
      </w:r>
      <w:r>
        <w:rPr>
          <w:rFonts w:ascii="Arial" w:hAnsi="Arial" w:cs="Arial"/>
          <w:sz w:val="24"/>
          <w:szCs w:val="24"/>
        </w:rPr>
        <w:t>.</w:t>
      </w:r>
    </w:p>
    <w:p w:rsidRPr="005F2354" w:rsidR="00F06C8C" w:rsidP="00F06C8C" w:rsidRDefault="00F06C8C" w14:paraId="007D811D" w14:textId="0B45E8F7">
      <w:pPr>
        <w:pStyle w:val="Caption"/>
        <w:keepNext/>
        <w:rPr>
          <w:rFonts w:ascii="Arial" w:hAnsi="Arial" w:cs="Arial"/>
          <w:b/>
          <w:bCs/>
          <w:i w:val="0"/>
          <w:iCs w:val="0"/>
          <w:color w:val="000000" w:themeColor="text1"/>
          <w:sz w:val="24"/>
          <w:szCs w:val="24"/>
        </w:rPr>
      </w:pPr>
      <w:bookmarkStart w:name="_Ref227845432" w:id="0"/>
      <w:r w:rsidRPr="005F2354">
        <w:rPr>
          <w:rFonts w:ascii="Arial" w:hAnsi="Arial" w:cs="Arial"/>
          <w:b/>
          <w:bCs/>
          <w:i w:val="0"/>
          <w:iCs w:val="0"/>
          <w:color w:val="000000" w:themeColor="text1"/>
          <w:sz w:val="24"/>
          <w:szCs w:val="24"/>
        </w:rPr>
        <w:t xml:space="preserve">Figure </w:t>
      </w:r>
      <w:r w:rsidRPr="005F2354">
        <w:rPr>
          <w:rFonts w:ascii="Arial" w:hAnsi="Arial" w:cs="Arial"/>
          <w:b/>
          <w:bCs/>
          <w:i w:val="0"/>
          <w:iCs w:val="0"/>
          <w:color w:val="000000" w:themeColor="text1"/>
          <w:sz w:val="24"/>
          <w:szCs w:val="24"/>
        </w:rPr>
        <w:fldChar w:fldCharType="begin"/>
      </w:r>
      <w:r w:rsidRPr="005F2354">
        <w:rPr>
          <w:rFonts w:ascii="Arial" w:hAnsi="Arial" w:cs="Arial"/>
          <w:b/>
          <w:bCs/>
          <w:i w:val="0"/>
          <w:iCs w:val="0"/>
          <w:color w:val="000000" w:themeColor="text1"/>
          <w:sz w:val="24"/>
          <w:szCs w:val="24"/>
        </w:rPr>
        <w:instrText xml:space="preserve"> SEQ Figure \* ARABIC </w:instrText>
      </w:r>
      <w:r w:rsidRPr="005F2354">
        <w:rPr>
          <w:rFonts w:ascii="Arial" w:hAnsi="Arial" w:cs="Arial"/>
          <w:b/>
          <w:bCs/>
          <w:i w:val="0"/>
          <w:iCs w:val="0"/>
          <w:color w:val="000000" w:themeColor="text1"/>
          <w:sz w:val="24"/>
          <w:szCs w:val="24"/>
        </w:rPr>
        <w:fldChar w:fldCharType="separate"/>
      </w:r>
      <w:r w:rsidR="00812C00">
        <w:rPr>
          <w:rFonts w:ascii="Arial" w:hAnsi="Arial" w:cs="Arial"/>
          <w:b/>
          <w:bCs/>
          <w:i w:val="0"/>
          <w:iCs w:val="0"/>
          <w:noProof/>
          <w:color w:val="000000" w:themeColor="text1"/>
          <w:sz w:val="24"/>
          <w:szCs w:val="24"/>
        </w:rPr>
        <w:t>1</w:t>
      </w:r>
      <w:r w:rsidRPr="005F2354">
        <w:rPr>
          <w:rFonts w:ascii="Arial" w:hAnsi="Arial" w:cs="Arial"/>
          <w:b/>
          <w:bCs/>
          <w:i w:val="0"/>
          <w:iCs w:val="0"/>
          <w:color w:val="000000" w:themeColor="text1"/>
          <w:sz w:val="24"/>
          <w:szCs w:val="24"/>
        </w:rPr>
        <w:fldChar w:fldCharType="end"/>
      </w:r>
      <w:bookmarkEnd w:id="0"/>
      <w:r w:rsidR="00690696">
        <w:rPr>
          <w:rFonts w:ascii="Arial" w:hAnsi="Arial" w:cs="Arial"/>
          <w:b/>
          <w:bCs/>
          <w:i w:val="0"/>
          <w:iCs w:val="0"/>
          <w:color w:val="000000" w:themeColor="text1"/>
          <w:sz w:val="24"/>
          <w:szCs w:val="24"/>
        </w:rPr>
        <w:t>:</w:t>
      </w:r>
      <w:r w:rsidRPr="005F2354">
        <w:rPr>
          <w:rFonts w:ascii="Arial" w:hAnsi="Arial" w:cs="Arial"/>
          <w:b/>
          <w:bCs/>
          <w:i w:val="0"/>
          <w:iCs w:val="0"/>
          <w:color w:val="000000" w:themeColor="text1"/>
          <w:sz w:val="24"/>
          <w:szCs w:val="24"/>
        </w:rPr>
        <w:t xml:space="preserve"> Current treatment pathway for NETs in the UK, adapted from the </w:t>
      </w:r>
      <w:r w:rsidRPr="00633C39" w:rsidR="00633C39">
        <w:rPr>
          <w:rFonts w:ascii="Arial" w:hAnsi="Arial" w:cs="Arial"/>
          <w:b/>
          <w:bCs/>
          <w:i w:val="0"/>
          <w:iCs w:val="0"/>
          <w:color w:val="000000" w:themeColor="text1"/>
          <w:sz w:val="24"/>
          <w:szCs w:val="24"/>
        </w:rPr>
        <w:t xml:space="preserve">Appraisal Committee </w:t>
      </w:r>
      <w:r w:rsidR="00633C39">
        <w:rPr>
          <w:rFonts w:ascii="Arial" w:hAnsi="Arial" w:cs="Arial"/>
          <w:b/>
          <w:bCs/>
          <w:i w:val="0"/>
          <w:iCs w:val="0"/>
          <w:color w:val="000000" w:themeColor="text1"/>
          <w:sz w:val="24"/>
          <w:szCs w:val="24"/>
        </w:rPr>
        <w:t>M</w:t>
      </w:r>
      <w:r w:rsidR="00EA66AF">
        <w:rPr>
          <w:rFonts w:ascii="Arial" w:hAnsi="Arial" w:cs="Arial"/>
          <w:b/>
          <w:i w:val="0"/>
          <w:color w:val="000000" w:themeColor="text1"/>
          <w:sz w:val="24"/>
          <w:szCs w:val="24"/>
        </w:rPr>
        <w:t>eeting slides</w:t>
      </w:r>
    </w:p>
    <w:p w:rsidR="00804CCF" w:rsidP="00792E71" w:rsidRDefault="0018139B" w14:paraId="5A57B5A5" w14:textId="4FF5E59B">
      <w:pPr>
        <w:spacing w:before="120" w:line="360" w:lineRule="auto"/>
        <w:rPr>
          <w:rFonts w:ascii="Arial" w:hAnsi="Arial" w:cs="Arial"/>
          <w:b/>
          <w:bCs/>
          <w:sz w:val="24"/>
          <w:szCs w:val="24"/>
        </w:rPr>
      </w:pPr>
      <w:r w:rsidRPr="0018139B">
        <w:rPr>
          <w:rFonts w:ascii="Arial" w:hAnsi="Arial" w:cs="Arial"/>
          <w:b/>
          <w:bCs/>
          <w:noProof/>
          <w:sz w:val="24"/>
          <w:szCs w:val="24"/>
        </w:rPr>
        <w:drawing>
          <wp:inline distT="0" distB="0" distL="0" distR="0" wp14:anchorId="34209C67" wp14:editId="762BD374">
            <wp:extent cx="5731510" cy="2548890"/>
            <wp:effectExtent l="0" t="0" r="2540" b="3810"/>
            <wp:docPr id="201657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7341" name=""/>
                    <pic:cNvPicPr/>
                  </pic:nvPicPr>
                  <pic:blipFill>
                    <a:blip r:embed="rId11"/>
                    <a:stretch>
                      <a:fillRect/>
                    </a:stretch>
                  </pic:blipFill>
                  <pic:spPr>
                    <a:xfrm>
                      <a:off x="0" y="0"/>
                      <a:ext cx="5731510" cy="2548890"/>
                    </a:xfrm>
                    <a:prstGeom prst="rect">
                      <a:avLst/>
                    </a:prstGeom>
                  </pic:spPr>
                </pic:pic>
              </a:graphicData>
            </a:graphic>
          </wp:inline>
        </w:drawing>
      </w:r>
    </w:p>
    <w:p w:rsidRPr="00EA66AF" w:rsidR="00EA66AF" w:rsidP="00B67B1D" w:rsidRDefault="00EA66AF" w14:paraId="6B6699A3" w14:textId="77777777">
      <w:pPr>
        <w:spacing w:before="120" w:line="240" w:lineRule="auto"/>
        <w:rPr>
          <w:rFonts w:ascii="Arial" w:hAnsi="Arial" w:eastAsia="Times New Roman" w:cs="Times New Roman"/>
          <w:color w:val="auto"/>
          <w:sz w:val="18"/>
          <w:szCs w:val="18"/>
          <w:vertAlign w:val="superscript"/>
        </w:rPr>
      </w:pPr>
      <w:r w:rsidRPr="00EA66AF">
        <w:rPr>
          <w:rFonts w:ascii="Arial" w:hAnsi="Arial" w:eastAsia="Times New Roman" w:cs="Times New Roman"/>
          <w:color w:val="auto"/>
          <w:sz w:val="18"/>
          <w:szCs w:val="18"/>
          <w:vertAlign w:val="superscript"/>
        </w:rPr>
        <w:t>BSC, best supportive care; epNETs, extra-pancreatic neuroendocrine tumours; MA, marketing authorisation; NETs, neuroendocrine tumours; pNETs, pancreatic neuroendocrine tumours; PRRT, peptide receptor radionuclide therapy; SSA, somatostatin analogue; SSTR, somatostatin receptor</w:t>
      </w:r>
    </w:p>
    <w:p w:rsidR="00DD2D45" w:rsidP="00792E71" w:rsidRDefault="00DD2D45" w14:paraId="6EA44E93" w14:textId="4F68E6C6">
      <w:pPr>
        <w:spacing w:before="120" w:line="360" w:lineRule="auto"/>
        <w:rPr>
          <w:rFonts w:ascii="Arial" w:hAnsi="Arial" w:cs="Arial"/>
          <w:b/>
          <w:bCs/>
          <w:sz w:val="24"/>
          <w:szCs w:val="24"/>
        </w:rPr>
      </w:pPr>
      <w:r w:rsidRPr="00DD2D45">
        <w:rPr>
          <w:rFonts w:ascii="Arial" w:hAnsi="Arial" w:cs="Arial"/>
          <w:b/>
          <w:bCs/>
          <w:sz w:val="24"/>
          <w:szCs w:val="24"/>
        </w:rPr>
        <w:t>Challenges in demonstrating OS in NETs</w:t>
      </w:r>
    </w:p>
    <w:p w:rsidR="006B3758" w:rsidP="00792E71" w:rsidRDefault="00FA4DE7" w14:paraId="61D75467" w14:textId="7E8456E1">
      <w:pPr>
        <w:spacing w:before="120" w:line="360" w:lineRule="auto"/>
        <w:rPr>
          <w:rFonts w:ascii="Arial" w:hAnsi="Arial" w:cs="Arial"/>
          <w:sz w:val="24"/>
          <w:szCs w:val="24"/>
        </w:rPr>
      </w:pPr>
      <w:r w:rsidRPr="00FA4DE7">
        <w:rPr>
          <w:rFonts w:ascii="Arial" w:hAnsi="Arial" w:cs="Arial"/>
          <w:sz w:val="24"/>
          <w:szCs w:val="24"/>
        </w:rPr>
        <w:t xml:space="preserve">Given the complexity and individualised nature of the disease pathway, clinical trials in NETs are typically designed to permit crossover and there can be variation in subsequent treatments following progression, both of which confound the detection of a treatment-related OS benefit. </w:t>
      </w:r>
    </w:p>
    <w:p w:rsidR="00997DDC" w:rsidP="002C341D" w:rsidRDefault="00185998" w14:paraId="7EB346C2" w14:textId="4F44FCE0">
      <w:pPr>
        <w:spacing w:before="120" w:line="360" w:lineRule="auto"/>
        <w:rPr>
          <w:rFonts w:ascii="Arial" w:hAnsi="Arial" w:cs="Arial"/>
          <w:sz w:val="24"/>
          <w:szCs w:val="24"/>
        </w:rPr>
      </w:pPr>
      <w:r>
        <w:rPr>
          <w:rFonts w:ascii="Arial" w:hAnsi="Arial" w:cs="Arial"/>
          <w:sz w:val="24"/>
          <w:szCs w:val="24"/>
        </w:rPr>
        <w:t>In addition</w:t>
      </w:r>
      <w:r w:rsidRPr="00344F0C" w:rsidR="00997DDC">
        <w:rPr>
          <w:rFonts w:ascii="Arial" w:hAnsi="Arial" w:cs="Arial"/>
          <w:sz w:val="24"/>
          <w:szCs w:val="24"/>
        </w:rPr>
        <w:t>, indolent cancers, including NETs, are typically characterised by long OS times of 5–10 years, making it generally infeasible to power trials to provide definitive OS effects of an intervention within a reasonable timeframe.</w:t>
      </w:r>
      <w:r w:rsidR="00997DDC">
        <w:rPr>
          <w:rFonts w:ascii="Arial" w:hAnsi="Arial" w:cs="Arial"/>
          <w:sz w:val="24"/>
          <w:szCs w:val="24"/>
        </w:rPr>
        <w:t xml:space="preserve"> </w:t>
      </w:r>
      <w:r w:rsidRPr="00344F0C" w:rsidR="00997DDC">
        <w:rPr>
          <w:rFonts w:ascii="Arial" w:hAnsi="Arial" w:cs="Arial"/>
          <w:sz w:val="24"/>
          <w:szCs w:val="24"/>
        </w:rPr>
        <w:t xml:space="preserve">This is particularly </w:t>
      </w:r>
      <w:r w:rsidR="00AF199B">
        <w:rPr>
          <w:rFonts w:ascii="Arial" w:hAnsi="Arial" w:cs="Arial"/>
          <w:sz w:val="24"/>
          <w:szCs w:val="24"/>
        </w:rPr>
        <w:t>difficult</w:t>
      </w:r>
      <w:r w:rsidRPr="00344F0C" w:rsidR="00997DDC">
        <w:rPr>
          <w:rFonts w:ascii="Arial" w:hAnsi="Arial" w:cs="Arial"/>
          <w:sz w:val="24"/>
          <w:szCs w:val="24"/>
        </w:rPr>
        <w:t xml:space="preserve"> in rare indications due to restricted sample sizes which </w:t>
      </w:r>
      <w:r w:rsidR="00216ACA">
        <w:rPr>
          <w:rFonts w:ascii="Arial" w:hAnsi="Arial" w:cs="Arial"/>
          <w:sz w:val="24"/>
          <w:szCs w:val="24"/>
        </w:rPr>
        <w:t>can</w:t>
      </w:r>
      <w:r w:rsidRPr="00344F0C" w:rsidR="00997DDC">
        <w:rPr>
          <w:rFonts w:ascii="Arial" w:hAnsi="Arial" w:cs="Arial"/>
          <w:sz w:val="24"/>
          <w:szCs w:val="24"/>
        </w:rPr>
        <w:t xml:space="preserve"> limit statistical power.</w:t>
      </w:r>
      <w:r w:rsidR="00997DDC">
        <w:rPr>
          <w:rStyle w:val="FootnoteReference"/>
          <w:rFonts w:ascii="Arial" w:hAnsi="Arial" w:cs="Arial"/>
          <w:sz w:val="24"/>
          <w:szCs w:val="24"/>
        </w:rPr>
        <w:footnoteReference w:id="9"/>
      </w:r>
    </w:p>
    <w:p w:rsidR="00997DDC" w:rsidP="002C341D" w:rsidRDefault="00997DDC" w14:paraId="6053821C" w14:textId="7855E70F">
      <w:pPr>
        <w:spacing w:before="120" w:line="360" w:lineRule="auto"/>
        <w:rPr>
          <w:rFonts w:ascii="Arial" w:hAnsi="Arial" w:cs="Arial"/>
          <w:sz w:val="24"/>
          <w:szCs w:val="24"/>
        </w:rPr>
      </w:pPr>
      <w:r w:rsidRPr="00792E71">
        <w:rPr>
          <w:rFonts w:ascii="Arial" w:hAnsi="Arial" w:cs="Arial"/>
          <w:sz w:val="24"/>
          <w:szCs w:val="24"/>
        </w:rPr>
        <w:t xml:space="preserve">As a result, while improvements in </w:t>
      </w:r>
      <w:r w:rsidR="00773EA9">
        <w:rPr>
          <w:rFonts w:ascii="Arial" w:hAnsi="Arial" w:cs="Arial"/>
          <w:sz w:val="24"/>
          <w:szCs w:val="24"/>
        </w:rPr>
        <w:t>PFS</w:t>
      </w:r>
      <w:r w:rsidRPr="00792E71">
        <w:rPr>
          <w:rFonts w:ascii="Arial" w:hAnsi="Arial" w:cs="Arial"/>
          <w:sz w:val="24"/>
          <w:szCs w:val="24"/>
        </w:rPr>
        <w:t xml:space="preserve"> are routinely observed and regarded by clinicians as clinically meaningful, demonstrating a statistically significant OS benefit is particularly challenging in this disease area.</w:t>
      </w:r>
      <w:r>
        <w:rPr>
          <w:rStyle w:val="FootnoteReference"/>
          <w:rFonts w:ascii="Arial" w:hAnsi="Arial" w:cs="Arial"/>
          <w:sz w:val="24"/>
          <w:szCs w:val="24"/>
        </w:rPr>
        <w:footnoteReference w:id="10"/>
      </w:r>
    </w:p>
    <w:p w:rsidRPr="00792E71" w:rsidR="00792E71" w:rsidP="0036218C" w:rsidRDefault="00792E71" w14:paraId="24F5E922" w14:textId="77777777">
      <w:pPr>
        <w:keepNext/>
        <w:spacing w:before="120" w:line="360" w:lineRule="auto"/>
        <w:rPr>
          <w:rFonts w:ascii="Arial" w:hAnsi="Arial" w:cs="Arial"/>
          <w:b/>
          <w:bCs/>
          <w:sz w:val="24"/>
          <w:szCs w:val="24"/>
        </w:rPr>
      </w:pPr>
      <w:r w:rsidRPr="00792E71">
        <w:rPr>
          <w:rFonts w:ascii="Arial" w:hAnsi="Arial" w:cs="Arial"/>
          <w:b/>
          <w:bCs/>
          <w:sz w:val="24"/>
          <w:szCs w:val="24"/>
        </w:rPr>
        <w:t>Cabozantinib and the CABINET trial</w:t>
      </w:r>
    </w:p>
    <w:p w:rsidRPr="004720A6" w:rsidR="004720A6" w:rsidP="004720A6" w:rsidRDefault="004720A6" w14:paraId="67C1C4FA" w14:textId="4001ED29">
      <w:pPr>
        <w:spacing w:before="120" w:line="360" w:lineRule="auto"/>
        <w:rPr>
          <w:rFonts w:ascii="Arial" w:hAnsi="Arial" w:cs="Arial"/>
          <w:sz w:val="24"/>
          <w:szCs w:val="24"/>
        </w:rPr>
      </w:pPr>
      <w:r w:rsidRPr="004720A6">
        <w:rPr>
          <w:rFonts w:ascii="Arial" w:hAnsi="Arial" w:cs="Arial"/>
          <w:sz w:val="24"/>
          <w:szCs w:val="24"/>
        </w:rPr>
        <w:t>Cabozantinib is an oral tyrosine kinase inhibitor with a broad licence that does not restrict use by tumour site, functional status, or biomarker expression.</w:t>
      </w:r>
    </w:p>
    <w:p w:rsidRPr="004720A6" w:rsidR="004720A6" w:rsidP="004720A6" w:rsidRDefault="004720A6" w14:paraId="0FAE9692" w14:textId="46C11246">
      <w:pPr>
        <w:spacing w:before="120" w:line="360" w:lineRule="auto"/>
        <w:rPr>
          <w:rFonts w:ascii="Arial" w:hAnsi="Arial" w:cs="Arial"/>
          <w:sz w:val="24"/>
          <w:szCs w:val="24"/>
        </w:rPr>
      </w:pPr>
      <w:r w:rsidRPr="004720A6">
        <w:rPr>
          <w:rFonts w:ascii="Arial" w:hAnsi="Arial" w:cs="Arial"/>
          <w:sz w:val="24"/>
          <w:szCs w:val="24"/>
        </w:rPr>
        <w:t>The pivotal CABINET trial</w:t>
      </w:r>
      <w:r w:rsidR="00FB7BEB">
        <w:rPr>
          <w:rFonts w:ascii="Arial" w:hAnsi="Arial" w:cs="Arial"/>
          <w:sz w:val="24"/>
          <w:szCs w:val="24"/>
        </w:rPr>
        <w:t>,</w:t>
      </w:r>
      <w:r w:rsidRPr="00FB7BEB" w:rsidR="00FB7BEB">
        <w:rPr>
          <w:rFonts w:ascii="Arial" w:hAnsi="Arial" w:cs="Arial"/>
          <w:sz w:val="24"/>
          <w:szCs w:val="24"/>
        </w:rPr>
        <w:t xml:space="preserve"> an investigator-led study initiated and designed by NET clinicians,</w:t>
      </w:r>
      <w:r w:rsidR="00FF1F04">
        <w:rPr>
          <w:rFonts w:ascii="Arial" w:hAnsi="Arial" w:cs="Arial"/>
          <w:sz w:val="24"/>
          <w:szCs w:val="24"/>
        </w:rPr>
        <w:t xml:space="preserve"> </w:t>
      </w:r>
      <w:r w:rsidRPr="004720A6">
        <w:rPr>
          <w:rFonts w:ascii="Arial" w:hAnsi="Arial" w:cs="Arial"/>
          <w:sz w:val="24"/>
          <w:szCs w:val="24"/>
        </w:rPr>
        <w:t xml:space="preserve">demonstrated statistically significant and clinically meaningful improvements in </w:t>
      </w:r>
      <w:r w:rsidR="0036218C">
        <w:rPr>
          <w:rFonts w:ascii="Arial" w:hAnsi="Arial" w:cs="Arial"/>
          <w:sz w:val="24"/>
          <w:szCs w:val="24"/>
        </w:rPr>
        <w:t>PFS</w:t>
      </w:r>
      <w:r w:rsidRPr="004720A6">
        <w:rPr>
          <w:rFonts w:ascii="Arial" w:hAnsi="Arial" w:cs="Arial"/>
          <w:sz w:val="24"/>
          <w:szCs w:val="24"/>
        </w:rPr>
        <w:t xml:space="preserve"> for both </w:t>
      </w:r>
      <w:r w:rsidR="00D005EB">
        <w:rPr>
          <w:rFonts w:ascii="Arial" w:hAnsi="Arial" w:cs="Arial"/>
          <w:sz w:val="24"/>
          <w:szCs w:val="24"/>
        </w:rPr>
        <w:t xml:space="preserve">the </w:t>
      </w:r>
      <w:r w:rsidR="000C26CB">
        <w:rPr>
          <w:rFonts w:ascii="Arial" w:hAnsi="Arial" w:cs="Arial"/>
          <w:sz w:val="24"/>
          <w:szCs w:val="24"/>
        </w:rPr>
        <w:t>pNET</w:t>
      </w:r>
      <w:r w:rsidRPr="004720A6">
        <w:rPr>
          <w:rFonts w:ascii="Arial" w:hAnsi="Arial" w:cs="Arial"/>
          <w:sz w:val="24"/>
          <w:szCs w:val="24"/>
        </w:rPr>
        <w:t xml:space="preserve"> and </w:t>
      </w:r>
      <w:r w:rsidR="000C26CB">
        <w:rPr>
          <w:rFonts w:ascii="Arial" w:hAnsi="Arial" w:cs="Arial"/>
          <w:sz w:val="24"/>
          <w:szCs w:val="24"/>
        </w:rPr>
        <w:t>ep</w:t>
      </w:r>
      <w:r w:rsidRPr="004720A6">
        <w:rPr>
          <w:rFonts w:ascii="Arial" w:hAnsi="Arial" w:cs="Arial"/>
          <w:sz w:val="24"/>
          <w:szCs w:val="24"/>
        </w:rPr>
        <w:t xml:space="preserve">NET populations. Cabozantinib reduced the risk of disease progression or death by 77% in </w:t>
      </w:r>
      <w:r w:rsidR="00FA738E">
        <w:rPr>
          <w:rFonts w:ascii="Arial" w:hAnsi="Arial" w:cs="Arial"/>
          <w:sz w:val="24"/>
          <w:szCs w:val="24"/>
        </w:rPr>
        <w:t>p</w:t>
      </w:r>
      <w:r w:rsidRPr="004720A6">
        <w:rPr>
          <w:rFonts w:ascii="Arial" w:hAnsi="Arial" w:cs="Arial"/>
          <w:sz w:val="24"/>
          <w:szCs w:val="24"/>
        </w:rPr>
        <w:t xml:space="preserve">NETs and 62% in </w:t>
      </w:r>
      <w:r w:rsidR="00FA738E">
        <w:rPr>
          <w:rFonts w:ascii="Arial" w:hAnsi="Arial" w:cs="Arial"/>
          <w:sz w:val="24"/>
          <w:szCs w:val="24"/>
        </w:rPr>
        <w:t>ep</w:t>
      </w:r>
      <w:r w:rsidRPr="004720A6">
        <w:rPr>
          <w:rFonts w:ascii="Arial" w:hAnsi="Arial" w:cs="Arial"/>
          <w:sz w:val="24"/>
          <w:szCs w:val="24"/>
        </w:rPr>
        <w:t>NETs, with highly statistically significant results.</w:t>
      </w:r>
      <w:r w:rsidR="00B95F37">
        <w:rPr>
          <w:rStyle w:val="FootnoteReference"/>
          <w:rFonts w:ascii="Arial" w:hAnsi="Arial" w:cs="Arial"/>
          <w:sz w:val="24"/>
          <w:szCs w:val="24"/>
        </w:rPr>
        <w:footnoteReference w:id="11"/>
      </w:r>
      <w:r w:rsidRPr="004720A6">
        <w:rPr>
          <w:rFonts w:ascii="Arial" w:hAnsi="Arial" w:cs="Arial"/>
          <w:sz w:val="24"/>
          <w:szCs w:val="24"/>
        </w:rPr>
        <w:t xml:space="preserve"> These benefits represent substantial disease control in a population with limited remaining treatment options.</w:t>
      </w:r>
      <w:r w:rsidR="003F6ADB">
        <w:rPr>
          <w:rFonts w:ascii="Arial" w:hAnsi="Arial" w:cs="Arial"/>
          <w:sz w:val="24"/>
          <w:szCs w:val="24"/>
        </w:rPr>
        <w:t xml:space="preserve"> </w:t>
      </w:r>
      <w:r w:rsidRPr="003F6ADB" w:rsidR="003F6ADB">
        <w:rPr>
          <w:rFonts w:ascii="Arial" w:hAnsi="Arial" w:cs="Arial"/>
          <w:sz w:val="24"/>
          <w:szCs w:val="24"/>
        </w:rPr>
        <w:t>Importantly, following interim analyses demonstrating superior efficacy with cabozantinib, the independent data and safety monitoring board recommended early termination of the trial. This led to unblinding of treatment allocation and allowed patients in the placebo arm to cross over to receive cabozantinib (from August 24, 2023)</w:t>
      </w:r>
      <w:r w:rsidR="00D72290">
        <w:rPr>
          <w:rFonts w:ascii="Arial" w:hAnsi="Arial" w:cs="Arial"/>
          <w:sz w:val="24"/>
          <w:szCs w:val="24"/>
        </w:rPr>
        <w:t>.</w:t>
      </w:r>
    </w:p>
    <w:p w:rsidRPr="00E01700" w:rsidR="00E01700" w:rsidP="005A1EA2" w:rsidRDefault="00E01700" w14:paraId="1748EDD1" w14:textId="5AF15D83">
      <w:pPr>
        <w:keepNext/>
        <w:keepLines/>
        <w:spacing w:before="120" w:line="360" w:lineRule="auto"/>
        <w:rPr>
          <w:rFonts w:ascii="Arial" w:hAnsi="Arial" w:cs="Arial"/>
          <w:b/>
          <w:bCs/>
          <w:sz w:val="24"/>
          <w:szCs w:val="24"/>
        </w:rPr>
      </w:pPr>
      <w:r w:rsidRPr="00E01700">
        <w:rPr>
          <w:rFonts w:ascii="Arial" w:hAnsi="Arial" w:cs="Arial"/>
          <w:b/>
          <w:bCs/>
          <w:sz w:val="24"/>
          <w:szCs w:val="24"/>
        </w:rPr>
        <w:t>Proposed positioning of cabozantinib</w:t>
      </w:r>
    </w:p>
    <w:p w:rsidR="009D5D3B" w:rsidP="005A1EA2" w:rsidRDefault="00E01700" w14:paraId="6761FC74" w14:textId="1A3BE97C">
      <w:pPr>
        <w:keepNext/>
        <w:keepLines/>
        <w:spacing w:before="120" w:line="360" w:lineRule="auto"/>
        <w:rPr>
          <w:rFonts w:ascii="Arial" w:hAnsi="Arial" w:cs="Arial"/>
          <w:sz w:val="24"/>
          <w:szCs w:val="24"/>
        </w:rPr>
      </w:pPr>
      <w:r w:rsidRPr="00E01700">
        <w:rPr>
          <w:rFonts w:ascii="Arial" w:hAnsi="Arial" w:cs="Arial"/>
          <w:sz w:val="24"/>
          <w:szCs w:val="24"/>
        </w:rPr>
        <w:t xml:space="preserve">Cabozantinib is an orally administered </w:t>
      </w:r>
      <w:r w:rsidR="006B3C09">
        <w:rPr>
          <w:rFonts w:ascii="Arial" w:hAnsi="Arial" w:cs="Arial"/>
          <w:sz w:val="24"/>
          <w:szCs w:val="24"/>
        </w:rPr>
        <w:t>monotherapy</w:t>
      </w:r>
      <w:r w:rsidRPr="00E01700" w:rsidR="006B3C09">
        <w:rPr>
          <w:rFonts w:ascii="Arial" w:hAnsi="Arial" w:cs="Arial"/>
          <w:sz w:val="24"/>
          <w:szCs w:val="24"/>
        </w:rPr>
        <w:t xml:space="preserve"> </w:t>
      </w:r>
      <w:r w:rsidRPr="00E01700">
        <w:rPr>
          <w:rFonts w:ascii="Arial" w:hAnsi="Arial" w:cs="Arial"/>
          <w:sz w:val="24"/>
          <w:szCs w:val="24"/>
        </w:rPr>
        <w:t>for the treatment of adult patients with progressive pNETs and epNETs after prior systemic therapy</w:t>
      </w:r>
      <w:r w:rsidR="006B3C09">
        <w:rPr>
          <w:rFonts w:ascii="Arial" w:hAnsi="Arial" w:cs="Arial"/>
          <w:sz w:val="24"/>
          <w:szCs w:val="24"/>
        </w:rPr>
        <w:t xml:space="preserve">, which may include </w:t>
      </w:r>
      <w:r w:rsidRPr="00E01700">
        <w:rPr>
          <w:rFonts w:ascii="Arial" w:hAnsi="Arial" w:cs="Arial"/>
          <w:sz w:val="24"/>
          <w:szCs w:val="24"/>
        </w:rPr>
        <w:t>177Lu-dotatate, sunitinib</w:t>
      </w:r>
      <w:r w:rsidR="009809FE">
        <w:rPr>
          <w:rFonts w:ascii="Arial" w:hAnsi="Arial" w:cs="Arial"/>
          <w:sz w:val="24"/>
          <w:szCs w:val="24"/>
        </w:rPr>
        <w:t>,</w:t>
      </w:r>
      <w:r w:rsidRPr="00E01700">
        <w:rPr>
          <w:rFonts w:ascii="Arial" w:hAnsi="Arial" w:cs="Arial"/>
          <w:sz w:val="24"/>
          <w:szCs w:val="24"/>
        </w:rPr>
        <w:t xml:space="preserve"> or everolimus.</w:t>
      </w:r>
    </w:p>
    <w:p w:rsidRPr="002A3E06" w:rsidR="002A3E06" w:rsidP="005A1EA2" w:rsidRDefault="002A3E06" w14:paraId="320328BF" w14:textId="23E54B12">
      <w:pPr>
        <w:spacing w:before="120" w:line="360" w:lineRule="auto"/>
        <w:rPr>
          <w:rFonts w:ascii="Arial" w:hAnsi="Arial" w:cs="Arial"/>
          <w:b/>
          <w:bCs/>
          <w:sz w:val="24"/>
          <w:szCs w:val="24"/>
        </w:rPr>
      </w:pPr>
      <w:r w:rsidRPr="00792E71">
        <w:rPr>
          <w:rFonts w:ascii="Arial" w:hAnsi="Arial" w:cs="Arial"/>
          <w:b/>
          <w:bCs/>
          <w:sz w:val="24"/>
          <w:szCs w:val="24"/>
        </w:rPr>
        <w:t>Appraisal history</w:t>
      </w:r>
    </w:p>
    <w:p w:rsidRPr="000956FD" w:rsidR="00ED6FF7" w:rsidP="005A1EA2" w:rsidRDefault="00ED6FF7" w14:paraId="31B9EBEF" w14:textId="456BA0D9">
      <w:pPr>
        <w:spacing w:before="120" w:line="360" w:lineRule="auto"/>
        <w:rPr>
          <w:rFonts w:ascii="Arial" w:hAnsi="Arial" w:cs="Arial"/>
          <w:sz w:val="24"/>
          <w:szCs w:val="24"/>
        </w:rPr>
      </w:pPr>
      <w:r>
        <w:rPr>
          <w:rFonts w:ascii="Arial" w:hAnsi="Arial" w:cs="Arial"/>
          <w:sz w:val="24"/>
          <w:szCs w:val="24"/>
        </w:rPr>
        <w:t xml:space="preserve">A summary of the history of the appraisal is provided in </w:t>
      </w:r>
      <w:r>
        <w:rPr>
          <w:rFonts w:ascii="Arial" w:hAnsi="Arial" w:cs="Arial"/>
          <w:sz w:val="24"/>
          <w:szCs w:val="24"/>
        </w:rPr>
        <w:fldChar w:fldCharType="begin"/>
      </w:r>
      <w:r>
        <w:rPr>
          <w:rFonts w:ascii="Arial" w:hAnsi="Arial" w:cs="Arial"/>
          <w:sz w:val="24"/>
          <w:szCs w:val="24"/>
        </w:rPr>
        <w:instrText xml:space="preserve"> REF _Ref227879275 \h  \* MERGEFORMAT </w:instrText>
      </w:r>
      <w:r>
        <w:rPr>
          <w:rFonts w:ascii="Arial" w:hAnsi="Arial" w:cs="Arial"/>
          <w:sz w:val="24"/>
          <w:szCs w:val="24"/>
        </w:rPr>
      </w:r>
      <w:r>
        <w:rPr>
          <w:rFonts w:ascii="Arial" w:hAnsi="Arial" w:cs="Arial"/>
          <w:sz w:val="24"/>
          <w:szCs w:val="24"/>
        </w:rPr>
        <w:fldChar w:fldCharType="separate"/>
      </w:r>
      <w:r w:rsidRPr="00812C00" w:rsidR="00812C00">
        <w:rPr>
          <w:rFonts w:ascii="Arial" w:hAnsi="Arial" w:cs="Arial"/>
          <w:sz w:val="24"/>
          <w:szCs w:val="24"/>
        </w:rPr>
        <w:t>Table 1</w:t>
      </w:r>
      <w:r>
        <w:rPr>
          <w:rFonts w:ascii="Arial" w:hAnsi="Arial" w:cs="Arial"/>
          <w:sz w:val="24"/>
          <w:szCs w:val="24"/>
        </w:rPr>
        <w:fldChar w:fldCharType="end"/>
      </w:r>
      <w:r>
        <w:rPr>
          <w:rFonts w:ascii="Arial" w:hAnsi="Arial" w:cs="Arial"/>
          <w:sz w:val="24"/>
          <w:szCs w:val="24"/>
        </w:rPr>
        <w:t>.</w:t>
      </w:r>
    </w:p>
    <w:p w:rsidRPr="00AD6AD4" w:rsidR="00ED6FF7" w:rsidP="00ED6FF7" w:rsidRDefault="00ED6FF7" w14:paraId="449CFF8C" w14:textId="4484CCF3">
      <w:pPr>
        <w:pStyle w:val="Caption"/>
        <w:keepNext/>
        <w:rPr>
          <w:rFonts w:ascii="Arial" w:hAnsi="Arial" w:cs="Arial"/>
          <w:b/>
          <w:i w:val="0"/>
          <w:color w:val="000000" w:themeColor="text1"/>
          <w:sz w:val="24"/>
          <w:szCs w:val="24"/>
        </w:rPr>
      </w:pPr>
      <w:bookmarkStart w:name="_Ref227879275" w:id="1"/>
      <w:r w:rsidRPr="00AD6AD4">
        <w:rPr>
          <w:rFonts w:ascii="Arial" w:hAnsi="Arial" w:cs="Arial"/>
          <w:b/>
          <w:i w:val="0"/>
          <w:color w:val="000000" w:themeColor="text1"/>
          <w:sz w:val="24"/>
          <w:szCs w:val="24"/>
        </w:rPr>
        <w:t xml:space="preserve">Table </w:t>
      </w:r>
      <w:r w:rsidRPr="00AD6AD4">
        <w:rPr>
          <w:rFonts w:ascii="Arial" w:hAnsi="Arial" w:cs="Arial"/>
          <w:b/>
          <w:i w:val="0"/>
          <w:color w:val="000000" w:themeColor="text1"/>
          <w:sz w:val="24"/>
          <w:szCs w:val="24"/>
        </w:rPr>
        <w:fldChar w:fldCharType="begin"/>
      </w:r>
      <w:r w:rsidRPr="00AD6AD4">
        <w:rPr>
          <w:rFonts w:ascii="Arial" w:hAnsi="Arial" w:cs="Arial"/>
          <w:b/>
          <w:i w:val="0"/>
          <w:color w:val="000000" w:themeColor="text1"/>
          <w:sz w:val="24"/>
          <w:szCs w:val="24"/>
        </w:rPr>
        <w:instrText xml:space="preserve"> SEQ Table \* ARABIC </w:instrText>
      </w:r>
      <w:r w:rsidRPr="00AD6AD4">
        <w:rPr>
          <w:rFonts w:ascii="Arial" w:hAnsi="Arial" w:cs="Arial"/>
          <w:b/>
          <w:i w:val="0"/>
          <w:color w:val="000000" w:themeColor="text1"/>
          <w:sz w:val="24"/>
          <w:szCs w:val="24"/>
        </w:rPr>
        <w:fldChar w:fldCharType="separate"/>
      </w:r>
      <w:r w:rsidR="00812C00">
        <w:rPr>
          <w:rFonts w:ascii="Arial" w:hAnsi="Arial" w:cs="Arial"/>
          <w:b/>
          <w:i w:val="0"/>
          <w:noProof/>
          <w:color w:val="000000" w:themeColor="text1"/>
          <w:sz w:val="24"/>
          <w:szCs w:val="24"/>
        </w:rPr>
        <w:t>1</w:t>
      </w:r>
      <w:r w:rsidRPr="00AD6AD4">
        <w:rPr>
          <w:rFonts w:ascii="Arial" w:hAnsi="Arial" w:cs="Arial"/>
          <w:b/>
          <w:i w:val="0"/>
          <w:color w:val="000000" w:themeColor="text1"/>
          <w:sz w:val="24"/>
          <w:szCs w:val="24"/>
        </w:rPr>
        <w:fldChar w:fldCharType="end"/>
      </w:r>
      <w:bookmarkEnd w:id="1"/>
      <w:r>
        <w:rPr>
          <w:rFonts w:ascii="Arial" w:hAnsi="Arial" w:cs="Arial"/>
          <w:b/>
          <w:i w:val="0"/>
          <w:color w:val="000000" w:themeColor="text1"/>
          <w:sz w:val="24"/>
          <w:szCs w:val="24"/>
        </w:rPr>
        <w:t>:</w:t>
      </w:r>
      <w:r w:rsidRPr="00AD6AD4">
        <w:rPr>
          <w:rFonts w:ascii="Arial" w:hAnsi="Arial" w:cs="Arial"/>
          <w:b/>
          <w:i w:val="0"/>
          <w:color w:val="000000" w:themeColor="text1"/>
          <w:sz w:val="24"/>
          <w:szCs w:val="24"/>
        </w:rPr>
        <w:t xml:space="preserve"> Appraisal history</w:t>
      </w:r>
      <w:r>
        <w:rPr>
          <w:rFonts w:ascii="Arial" w:hAnsi="Arial" w:cs="Arial"/>
          <w:b/>
          <w:i w:val="0"/>
          <w:color w:val="000000" w:themeColor="text1"/>
          <w:sz w:val="24"/>
          <w:szCs w:val="24"/>
        </w:rPr>
        <w:t xml:space="preserve"> (</w:t>
      </w:r>
      <w:r w:rsidRPr="004332BF">
        <w:rPr>
          <w:rFonts w:ascii="Arial" w:hAnsi="Arial" w:cs="Arial"/>
          <w:b/>
          <w:i w:val="0"/>
          <w:color w:val="000000" w:themeColor="text1"/>
          <w:sz w:val="24"/>
          <w:szCs w:val="24"/>
        </w:rPr>
        <w:t>ID6474</w:t>
      </w:r>
      <w:r>
        <w:rPr>
          <w:rFonts w:ascii="Arial" w:hAnsi="Arial" w:cs="Arial"/>
          <w:b/>
          <w:i w:val="0"/>
          <w:color w:val="000000" w:themeColor="text1"/>
          <w:sz w:val="24"/>
          <w:szCs w:val="24"/>
        </w:rPr>
        <w:t>)</w:t>
      </w:r>
    </w:p>
    <w:tbl>
      <w:tblPr>
        <w:tblStyle w:val="TableGrid"/>
        <w:tblW w:w="0" w:type="auto"/>
        <w:tblLook w:val="04A0" w:firstRow="1" w:lastRow="0" w:firstColumn="1" w:lastColumn="0" w:noHBand="0" w:noVBand="1"/>
      </w:tblPr>
      <w:tblGrid>
        <w:gridCol w:w="2155"/>
        <w:gridCol w:w="6861"/>
      </w:tblGrid>
      <w:tr w:rsidRPr="004C7782" w:rsidR="00A7770C" w:rsidTr="003F2275" w14:paraId="0EAAF08D" w14:textId="77777777">
        <w:trPr>
          <w:trHeight w:val="20"/>
        </w:trPr>
        <w:tc>
          <w:tcPr>
            <w:tcW w:w="2155" w:type="dxa"/>
            <w:shd w:val="clear" w:color="auto" w:fill="D9D9D9" w:themeFill="background1" w:themeFillShade="D9"/>
          </w:tcPr>
          <w:p w:rsidRPr="004C7782" w:rsidR="00ED6FF7" w:rsidRDefault="00ED6FF7" w14:paraId="560481E3" w14:textId="77777777">
            <w:pPr>
              <w:pStyle w:val="BodyText"/>
              <w:spacing w:before="40" w:after="120"/>
              <w:rPr>
                <w:rFonts w:ascii="Arial" w:hAnsi="Arial" w:cs="Arial" w:eastAsiaTheme="minorHAnsi"/>
                <w:b/>
                <w:bCs/>
                <w:sz w:val="20"/>
                <w:szCs w:val="20"/>
                <w:lang w:val="en-GB"/>
              </w:rPr>
            </w:pPr>
            <w:r w:rsidRPr="004C7782">
              <w:rPr>
                <w:rFonts w:ascii="Arial" w:hAnsi="Arial" w:cs="Arial" w:eastAsiaTheme="minorHAnsi"/>
                <w:b/>
                <w:bCs/>
                <w:sz w:val="20"/>
                <w:szCs w:val="20"/>
                <w:lang w:val="en-GB"/>
              </w:rPr>
              <w:t>Date</w:t>
            </w:r>
          </w:p>
        </w:tc>
        <w:tc>
          <w:tcPr>
            <w:tcW w:w="6861" w:type="dxa"/>
            <w:shd w:val="clear" w:color="auto" w:fill="D9D9D9" w:themeFill="background1" w:themeFillShade="D9"/>
          </w:tcPr>
          <w:p w:rsidRPr="004C7782" w:rsidR="00ED6FF7" w:rsidRDefault="00ED6FF7" w14:paraId="05F7CE1D" w14:textId="77777777">
            <w:pPr>
              <w:pStyle w:val="BodyText"/>
              <w:spacing w:before="40" w:after="120"/>
              <w:rPr>
                <w:rFonts w:ascii="Arial" w:hAnsi="Arial" w:cs="Arial" w:eastAsiaTheme="minorHAnsi"/>
                <w:b/>
                <w:bCs/>
                <w:sz w:val="20"/>
                <w:szCs w:val="20"/>
                <w:lang w:val="en-GB"/>
              </w:rPr>
            </w:pPr>
            <w:r w:rsidRPr="004C7782">
              <w:rPr>
                <w:rFonts w:ascii="Arial" w:hAnsi="Arial" w:cs="Arial" w:eastAsiaTheme="minorHAnsi"/>
                <w:b/>
                <w:bCs/>
                <w:sz w:val="20"/>
                <w:szCs w:val="20"/>
                <w:lang w:val="en-GB"/>
              </w:rPr>
              <w:t>Event</w:t>
            </w:r>
          </w:p>
        </w:tc>
      </w:tr>
      <w:tr w:rsidRPr="004C7782" w:rsidR="00A7770C" w:rsidTr="003F2275" w14:paraId="0C63C500" w14:textId="77777777">
        <w:trPr>
          <w:trHeight w:val="20"/>
        </w:trPr>
        <w:tc>
          <w:tcPr>
            <w:tcW w:w="2155" w:type="dxa"/>
          </w:tcPr>
          <w:p w:rsidRPr="004C7782" w:rsidR="00ED6FF7" w:rsidRDefault="00ED6FF7" w14:paraId="4EDB05AC" w14:textId="77777777">
            <w:pPr>
              <w:pStyle w:val="BodyText"/>
              <w:spacing w:before="40" w:after="120"/>
              <w:jc w:val="left"/>
              <w:rPr>
                <w:rFonts w:ascii="Arial" w:hAnsi="Arial" w:cs="Arial" w:eastAsiaTheme="minorHAnsi"/>
                <w:sz w:val="20"/>
                <w:szCs w:val="20"/>
                <w:lang w:val="en-GB"/>
              </w:rPr>
            </w:pPr>
            <w:r w:rsidRPr="004C7782">
              <w:rPr>
                <w:rFonts w:ascii="Arial" w:hAnsi="Arial" w:cs="Arial" w:eastAsiaTheme="minorHAnsi"/>
                <w:sz w:val="20"/>
                <w:szCs w:val="20"/>
                <w:lang w:val="en-GB"/>
              </w:rPr>
              <w:t>15 December 2024</w:t>
            </w:r>
          </w:p>
        </w:tc>
        <w:tc>
          <w:tcPr>
            <w:tcW w:w="6861" w:type="dxa"/>
          </w:tcPr>
          <w:p w:rsidRPr="004C7782" w:rsidR="00ED6FF7" w:rsidRDefault="00ED6FF7" w14:paraId="43757705" w14:textId="77777777">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Referral to NICE</w:t>
            </w:r>
          </w:p>
        </w:tc>
      </w:tr>
      <w:tr w:rsidRPr="004C7782" w:rsidR="00A7770C" w:rsidTr="003F2275" w14:paraId="076E2882" w14:textId="77777777">
        <w:trPr>
          <w:trHeight w:val="20"/>
        </w:trPr>
        <w:tc>
          <w:tcPr>
            <w:tcW w:w="2155" w:type="dxa"/>
          </w:tcPr>
          <w:p w:rsidRPr="004C7782" w:rsidR="00ED6FF7" w:rsidRDefault="00ED6FF7" w14:paraId="6A893DBB" w14:textId="77777777">
            <w:pPr>
              <w:pStyle w:val="BodyText"/>
              <w:spacing w:before="40" w:after="120"/>
              <w:jc w:val="left"/>
              <w:rPr>
                <w:rFonts w:ascii="Arial" w:hAnsi="Arial" w:cs="Arial" w:eastAsiaTheme="minorHAnsi"/>
                <w:sz w:val="20"/>
                <w:szCs w:val="20"/>
                <w:lang w:val="en-GB"/>
              </w:rPr>
            </w:pPr>
            <w:r w:rsidRPr="004C7782">
              <w:rPr>
                <w:rFonts w:ascii="Arial" w:hAnsi="Arial" w:cs="Arial" w:eastAsiaTheme="minorHAnsi"/>
                <w:sz w:val="20"/>
                <w:szCs w:val="20"/>
                <w:lang w:val="en-GB"/>
              </w:rPr>
              <w:t>11 February 2025</w:t>
            </w:r>
          </w:p>
        </w:tc>
        <w:tc>
          <w:tcPr>
            <w:tcW w:w="6861" w:type="dxa"/>
          </w:tcPr>
          <w:p w:rsidRPr="004C7782" w:rsidR="00ED6FF7" w:rsidRDefault="00ED6FF7" w14:paraId="2E1219A2" w14:textId="77777777">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 xml:space="preserve">Final scope for appraisal </w:t>
            </w:r>
          </w:p>
        </w:tc>
      </w:tr>
      <w:tr w:rsidRPr="004C7782" w:rsidR="00A7770C" w:rsidTr="003F2275" w14:paraId="5DB26C5E" w14:textId="77777777">
        <w:trPr>
          <w:trHeight w:val="20"/>
        </w:trPr>
        <w:tc>
          <w:tcPr>
            <w:tcW w:w="2155" w:type="dxa"/>
          </w:tcPr>
          <w:p w:rsidRPr="004C7782" w:rsidR="00ED6FF7" w:rsidRDefault="00ED6FF7" w14:paraId="2814AFBC" w14:textId="77777777">
            <w:pPr>
              <w:pStyle w:val="BodyText"/>
              <w:spacing w:before="40" w:after="120"/>
              <w:jc w:val="left"/>
              <w:rPr>
                <w:rFonts w:ascii="Arial" w:hAnsi="Arial" w:cs="Arial" w:eastAsiaTheme="minorHAnsi"/>
                <w:sz w:val="20"/>
                <w:szCs w:val="20"/>
                <w:lang w:val="en-GB"/>
              </w:rPr>
            </w:pPr>
            <w:r w:rsidRPr="004C7782">
              <w:rPr>
                <w:rFonts w:ascii="Arial" w:hAnsi="Arial" w:cs="Arial" w:eastAsiaTheme="minorHAnsi"/>
                <w:sz w:val="20"/>
                <w:szCs w:val="20"/>
                <w:lang w:val="en-GB"/>
              </w:rPr>
              <w:t>14 April 2025</w:t>
            </w:r>
          </w:p>
        </w:tc>
        <w:tc>
          <w:tcPr>
            <w:tcW w:w="6861" w:type="dxa"/>
          </w:tcPr>
          <w:p w:rsidRPr="004C7782" w:rsidR="00ED6FF7" w:rsidRDefault="008E42B6" w14:paraId="3CA69517" w14:textId="6CB295D4">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Company Submission</w:t>
            </w:r>
          </w:p>
        </w:tc>
      </w:tr>
      <w:tr w:rsidRPr="004C7782" w:rsidR="00A7770C" w:rsidTr="003F2275" w14:paraId="43E6FB59" w14:textId="77777777">
        <w:trPr>
          <w:trHeight w:val="20"/>
        </w:trPr>
        <w:tc>
          <w:tcPr>
            <w:tcW w:w="2155" w:type="dxa"/>
          </w:tcPr>
          <w:p w:rsidRPr="004C7782" w:rsidR="00ED6FF7" w:rsidRDefault="00ED6FF7" w14:paraId="20F44A43" w14:textId="77777777">
            <w:pPr>
              <w:pStyle w:val="BodyText"/>
              <w:spacing w:before="40" w:after="120"/>
              <w:jc w:val="left"/>
              <w:rPr>
                <w:rFonts w:ascii="Arial" w:hAnsi="Arial" w:cs="Arial" w:eastAsiaTheme="minorHAnsi"/>
                <w:sz w:val="20"/>
                <w:szCs w:val="20"/>
                <w:lang w:val="en-GB"/>
              </w:rPr>
            </w:pPr>
            <w:r w:rsidRPr="004C7782">
              <w:rPr>
                <w:rFonts w:ascii="Arial" w:hAnsi="Arial" w:cs="Arial" w:eastAsiaTheme="minorHAnsi"/>
                <w:sz w:val="20"/>
                <w:szCs w:val="20"/>
                <w:lang w:val="en-GB"/>
              </w:rPr>
              <w:t>15 May 2025</w:t>
            </w:r>
          </w:p>
        </w:tc>
        <w:tc>
          <w:tcPr>
            <w:tcW w:w="6861" w:type="dxa"/>
          </w:tcPr>
          <w:p w:rsidRPr="004C7782" w:rsidR="00ED6FF7" w:rsidRDefault="001A035A" w14:paraId="56D1A655" w14:textId="58CEE08C">
            <w:pPr>
              <w:pStyle w:val="BodyText"/>
              <w:spacing w:before="40"/>
              <w:rPr>
                <w:rFonts w:ascii="Arial" w:hAnsi="Arial" w:cs="Arial" w:eastAsiaTheme="minorHAnsi"/>
                <w:sz w:val="20"/>
                <w:szCs w:val="20"/>
                <w:lang w:val="en-GB"/>
              </w:rPr>
            </w:pPr>
            <w:r w:rsidRPr="004C7782">
              <w:rPr>
                <w:rFonts w:ascii="Arial" w:hAnsi="Arial" w:cs="Arial" w:eastAsiaTheme="minorHAnsi"/>
                <w:sz w:val="20"/>
                <w:szCs w:val="20"/>
                <w:lang w:val="en-GB"/>
              </w:rPr>
              <w:t xml:space="preserve">EAG Report (by </w:t>
            </w:r>
            <w:r w:rsidRPr="004C7782" w:rsidR="00ED6FF7">
              <w:rPr>
                <w:rFonts w:ascii="Arial" w:hAnsi="Arial" w:cs="Arial" w:eastAsiaTheme="minorHAnsi"/>
                <w:sz w:val="20"/>
                <w:szCs w:val="20"/>
                <w:lang w:val="en-GB"/>
              </w:rPr>
              <w:t>BMJ Technology Assessment Group</w:t>
            </w:r>
            <w:r w:rsidRPr="004C7782">
              <w:rPr>
                <w:rFonts w:ascii="Arial" w:hAnsi="Arial" w:cs="Arial" w:eastAsiaTheme="minorHAnsi"/>
                <w:sz w:val="20"/>
                <w:szCs w:val="20"/>
                <w:lang w:val="en-GB"/>
              </w:rPr>
              <w:t>)</w:t>
            </w:r>
          </w:p>
        </w:tc>
      </w:tr>
      <w:tr w:rsidRPr="004C7782" w:rsidR="00A7770C" w:rsidTr="003F2275" w14:paraId="140E106F" w14:textId="77777777">
        <w:trPr>
          <w:trHeight w:val="20"/>
        </w:trPr>
        <w:tc>
          <w:tcPr>
            <w:tcW w:w="2155" w:type="dxa"/>
          </w:tcPr>
          <w:p w:rsidRPr="004C7782" w:rsidR="00ED6FF7" w:rsidRDefault="00ED6FF7" w14:paraId="0F455176" w14:textId="77777777">
            <w:pPr>
              <w:pStyle w:val="BodyText"/>
              <w:spacing w:before="40" w:after="120"/>
              <w:jc w:val="left"/>
              <w:rPr>
                <w:rFonts w:ascii="Arial" w:hAnsi="Arial" w:cs="Arial" w:eastAsiaTheme="minorEastAsia"/>
                <w:sz w:val="20"/>
                <w:szCs w:val="20"/>
                <w:lang w:val="en-GB"/>
              </w:rPr>
            </w:pPr>
            <w:r w:rsidRPr="004C7782">
              <w:rPr>
                <w:rFonts w:ascii="Arial" w:hAnsi="Arial" w:cs="Arial" w:eastAsiaTheme="minorEastAsia"/>
                <w:sz w:val="20"/>
                <w:szCs w:val="20"/>
                <w:lang w:val="en-GB"/>
              </w:rPr>
              <w:t>10 September 2025</w:t>
            </w:r>
          </w:p>
        </w:tc>
        <w:tc>
          <w:tcPr>
            <w:tcW w:w="6861" w:type="dxa"/>
          </w:tcPr>
          <w:p w:rsidRPr="004C7782" w:rsidR="00ED6FF7" w:rsidRDefault="00ED6FF7" w14:paraId="7152E452" w14:textId="07CDDF6B">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 xml:space="preserve">First </w:t>
            </w:r>
            <w:r w:rsidRPr="004C7782" w:rsidR="001A035A">
              <w:rPr>
                <w:rFonts w:ascii="Arial" w:hAnsi="Arial" w:cs="Arial" w:eastAsiaTheme="minorHAnsi"/>
                <w:sz w:val="20"/>
                <w:szCs w:val="20"/>
                <w:lang w:val="en-GB"/>
              </w:rPr>
              <w:t xml:space="preserve">Appraisal </w:t>
            </w:r>
            <w:r w:rsidRPr="004C7782">
              <w:rPr>
                <w:rFonts w:ascii="Arial" w:hAnsi="Arial" w:cs="Arial" w:eastAsiaTheme="minorHAnsi"/>
                <w:sz w:val="20"/>
                <w:szCs w:val="20"/>
                <w:lang w:val="en-GB"/>
              </w:rPr>
              <w:t xml:space="preserve">Committee </w:t>
            </w:r>
            <w:r w:rsidRPr="004C7782" w:rsidR="001A035A">
              <w:rPr>
                <w:rFonts w:ascii="Arial" w:hAnsi="Arial" w:cs="Arial" w:eastAsiaTheme="minorHAnsi"/>
                <w:sz w:val="20"/>
                <w:szCs w:val="20"/>
                <w:lang w:val="en-GB"/>
              </w:rPr>
              <w:t>M</w:t>
            </w:r>
            <w:r w:rsidRPr="004C7782">
              <w:rPr>
                <w:rFonts w:ascii="Arial" w:hAnsi="Arial" w:cs="Arial" w:eastAsiaTheme="minorHAnsi"/>
                <w:sz w:val="20"/>
                <w:szCs w:val="20"/>
                <w:lang w:val="en-GB"/>
              </w:rPr>
              <w:t>eeting</w:t>
            </w:r>
          </w:p>
        </w:tc>
      </w:tr>
      <w:tr w:rsidRPr="004C7782" w:rsidR="00A7770C" w:rsidTr="003F2275" w14:paraId="69D460CA" w14:textId="77777777">
        <w:trPr>
          <w:trHeight w:val="20"/>
        </w:trPr>
        <w:tc>
          <w:tcPr>
            <w:tcW w:w="2155" w:type="dxa"/>
          </w:tcPr>
          <w:p w:rsidRPr="004C7782" w:rsidR="00ED6FF7" w:rsidRDefault="00ED6FF7" w14:paraId="7A992280" w14:textId="77777777">
            <w:pPr>
              <w:pStyle w:val="BodyText"/>
              <w:spacing w:before="40" w:after="120"/>
              <w:jc w:val="left"/>
              <w:rPr>
                <w:rFonts w:ascii="Arial" w:hAnsi="Arial" w:cs="Arial" w:eastAsiaTheme="minorHAnsi"/>
                <w:sz w:val="20"/>
                <w:szCs w:val="20"/>
                <w:lang w:val="en-GB"/>
              </w:rPr>
            </w:pPr>
            <w:r w:rsidRPr="004C7782">
              <w:rPr>
                <w:rFonts w:ascii="Arial" w:hAnsi="Arial" w:cs="Arial" w:eastAsiaTheme="minorHAnsi"/>
                <w:sz w:val="20"/>
                <w:szCs w:val="20"/>
                <w:lang w:val="en-GB"/>
              </w:rPr>
              <w:t>22 September 2025</w:t>
            </w:r>
          </w:p>
        </w:tc>
        <w:tc>
          <w:tcPr>
            <w:tcW w:w="6861" w:type="dxa"/>
          </w:tcPr>
          <w:p w:rsidRPr="004C7782" w:rsidR="00ED6FF7" w:rsidRDefault="00ED6FF7" w14:paraId="5FCD80D5" w14:textId="77777777">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Cabozantinib approved by Medicines and Healthcare products Regulatory Agency (MHRA) for cabozantinib in adult patients with unresectable or metastatic, well differentiated pNETs and epNETs who have progressed following at least one prior systemic therapy other than SSAs.</w:t>
            </w:r>
          </w:p>
        </w:tc>
      </w:tr>
      <w:tr w:rsidRPr="004C7782" w:rsidR="00A7770C" w:rsidTr="003F2275" w14:paraId="78AFF134" w14:textId="77777777">
        <w:trPr>
          <w:trHeight w:val="20"/>
        </w:trPr>
        <w:tc>
          <w:tcPr>
            <w:tcW w:w="2155" w:type="dxa"/>
          </w:tcPr>
          <w:p w:rsidRPr="004C7782" w:rsidR="00ED6FF7" w:rsidRDefault="00ED6FF7" w14:paraId="1392176D" w14:textId="77777777">
            <w:pPr>
              <w:pStyle w:val="BodyText"/>
              <w:spacing w:before="40" w:after="120"/>
              <w:jc w:val="left"/>
              <w:rPr>
                <w:rFonts w:ascii="Arial" w:hAnsi="Arial" w:cs="Arial" w:eastAsiaTheme="minorHAnsi"/>
                <w:sz w:val="20"/>
                <w:szCs w:val="20"/>
                <w:lang w:val="en-GB"/>
              </w:rPr>
            </w:pPr>
            <w:r w:rsidRPr="004C7782">
              <w:rPr>
                <w:rFonts w:ascii="Arial" w:hAnsi="Arial" w:cs="Arial" w:eastAsiaTheme="minorHAnsi"/>
                <w:sz w:val="20"/>
                <w:szCs w:val="20"/>
                <w:lang w:val="en-GB"/>
              </w:rPr>
              <w:t>1 October 2025</w:t>
            </w:r>
          </w:p>
        </w:tc>
        <w:tc>
          <w:tcPr>
            <w:tcW w:w="6861" w:type="dxa"/>
          </w:tcPr>
          <w:p w:rsidRPr="004C7782" w:rsidR="00ED6FF7" w:rsidP="00643591" w:rsidRDefault="004772A6" w14:paraId="2841A050" w14:textId="67324C8F">
            <w:pPr>
              <w:pStyle w:val="BodyText"/>
              <w:spacing w:before="40" w:after="120"/>
              <w:rPr>
                <w:sz w:val="20"/>
                <w:szCs w:val="20"/>
                <w:lang w:val="en-GB"/>
              </w:rPr>
            </w:pPr>
            <w:r w:rsidRPr="004C7782">
              <w:rPr>
                <w:rFonts w:ascii="Arial" w:hAnsi="Arial" w:cs="Arial" w:eastAsiaTheme="minorHAnsi"/>
                <w:sz w:val="20"/>
                <w:szCs w:val="20"/>
                <w:lang w:val="en-GB"/>
              </w:rPr>
              <w:t>Negative D</w:t>
            </w:r>
            <w:r w:rsidRPr="004C7782" w:rsidR="00ED6FF7">
              <w:rPr>
                <w:rFonts w:ascii="Arial" w:hAnsi="Arial" w:cs="Arial" w:eastAsiaTheme="minorHAnsi"/>
                <w:sz w:val="20"/>
                <w:szCs w:val="20"/>
                <w:lang w:val="en-GB"/>
              </w:rPr>
              <w:t xml:space="preserve">raft </w:t>
            </w:r>
            <w:r w:rsidRPr="004C7782">
              <w:rPr>
                <w:rFonts w:ascii="Arial" w:hAnsi="Arial" w:cs="Arial" w:eastAsiaTheme="minorHAnsi"/>
                <w:sz w:val="20"/>
                <w:szCs w:val="20"/>
                <w:lang w:val="en-GB"/>
              </w:rPr>
              <w:t>G</w:t>
            </w:r>
            <w:r w:rsidRPr="004C7782" w:rsidR="00ED6FF7">
              <w:rPr>
                <w:rFonts w:ascii="Arial" w:hAnsi="Arial" w:cs="Arial" w:eastAsiaTheme="minorHAnsi"/>
                <w:sz w:val="20"/>
                <w:szCs w:val="20"/>
                <w:lang w:val="en-GB"/>
              </w:rPr>
              <w:t>uidance issued</w:t>
            </w:r>
          </w:p>
        </w:tc>
      </w:tr>
      <w:tr w:rsidRPr="004C7782" w:rsidR="00A7770C" w:rsidTr="003F2275" w14:paraId="27464B96" w14:textId="77777777">
        <w:trPr>
          <w:trHeight w:val="20"/>
        </w:trPr>
        <w:tc>
          <w:tcPr>
            <w:tcW w:w="2155" w:type="dxa"/>
          </w:tcPr>
          <w:p w:rsidRPr="004C7782" w:rsidR="00ED6FF7" w:rsidRDefault="00ED6FF7" w14:paraId="5180B62D" w14:textId="77777777">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12 November 2025</w:t>
            </w:r>
          </w:p>
        </w:tc>
        <w:tc>
          <w:tcPr>
            <w:tcW w:w="6861" w:type="dxa"/>
          </w:tcPr>
          <w:p w:rsidRPr="004C7782" w:rsidR="00ED6FF7" w:rsidRDefault="00ED6FF7" w14:paraId="51D9B01E" w14:textId="77777777">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Second meeting of the Appraisal Committee</w:t>
            </w:r>
          </w:p>
        </w:tc>
      </w:tr>
      <w:tr w:rsidRPr="004C7782" w:rsidR="00A7770C" w:rsidTr="003F2275" w14:paraId="507B36FF" w14:textId="77777777">
        <w:trPr>
          <w:trHeight w:val="20"/>
        </w:trPr>
        <w:tc>
          <w:tcPr>
            <w:tcW w:w="2155" w:type="dxa"/>
          </w:tcPr>
          <w:p w:rsidRPr="004C7782" w:rsidR="00ED6FF7" w:rsidRDefault="00ED6FF7" w14:paraId="4ECE876B" w14:textId="55562970">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16 April 202</w:t>
            </w:r>
            <w:r w:rsidRPr="004C7782" w:rsidR="009809FE">
              <w:rPr>
                <w:rFonts w:ascii="Arial" w:hAnsi="Arial" w:cs="Arial" w:eastAsiaTheme="minorHAnsi"/>
                <w:sz w:val="20"/>
                <w:szCs w:val="20"/>
                <w:lang w:val="en-GB"/>
              </w:rPr>
              <w:t>6</w:t>
            </w:r>
          </w:p>
        </w:tc>
        <w:tc>
          <w:tcPr>
            <w:tcW w:w="6861" w:type="dxa"/>
          </w:tcPr>
          <w:p w:rsidRPr="004C7782" w:rsidR="00ED6FF7" w:rsidRDefault="00ED6FF7" w14:paraId="642DEA1D" w14:textId="56D1D667">
            <w:pPr>
              <w:pStyle w:val="BodyText"/>
              <w:spacing w:before="40" w:after="120"/>
              <w:rPr>
                <w:rFonts w:ascii="Arial" w:hAnsi="Arial" w:cs="Arial" w:eastAsiaTheme="minorHAnsi"/>
                <w:sz w:val="20"/>
                <w:szCs w:val="20"/>
                <w:lang w:val="en-GB"/>
              </w:rPr>
            </w:pPr>
            <w:r w:rsidRPr="004C7782">
              <w:rPr>
                <w:rFonts w:ascii="Arial" w:hAnsi="Arial" w:cs="Arial" w:eastAsiaTheme="minorHAnsi"/>
                <w:sz w:val="20"/>
                <w:szCs w:val="20"/>
                <w:lang w:val="en-GB"/>
              </w:rPr>
              <w:t>FDG issued. Recommendations unchanged from those in D</w:t>
            </w:r>
            <w:r w:rsidRPr="004C7782" w:rsidR="00F756AB">
              <w:rPr>
                <w:rFonts w:ascii="Arial" w:hAnsi="Arial" w:cs="Arial" w:eastAsiaTheme="minorHAnsi"/>
                <w:sz w:val="20"/>
                <w:szCs w:val="20"/>
                <w:lang w:val="en-GB"/>
              </w:rPr>
              <w:t>raft Guidance</w:t>
            </w:r>
          </w:p>
        </w:tc>
      </w:tr>
    </w:tbl>
    <w:p w:rsidR="00FE728C" w:rsidP="00897E81" w:rsidRDefault="00FE728C" w14:paraId="2C03FE18" w14:textId="6F0C695B">
      <w:pPr>
        <w:spacing w:before="360" w:line="360" w:lineRule="auto"/>
        <w:rPr>
          <w:rFonts w:ascii="Arial" w:hAnsi="Arial" w:cs="Arial"/>
          <w:sz w:val="24"/>
          <w:szCs w:val="24"/>
        </w:rPr>
      </w:pPr>
      <w:r w:rsidRPr="00FE728C">
        <w:rPr>
          <w:rFonts w:ascii="Arial" w:hAnsi="Arial" w:cs="Arial"/>
          <w:sz w:val="24"/>
          <w:szCs w:val="24"/>
        </w:rPr>
        <w:t xml:space="preserve">While the appraisal considered both pancreatic (pNETs) and extra-pancreatic NETs (epNETs), this appeal is focused specifically on the epNET population, </w:t>
      </w:r>
      <w:r w:rsidRPr="00623509" w:rsidR="00623509">
        <w:rPr>
          <w:rFonts w:ascii="Arial" w:hAnsi="Arial" w:cs="Arial"/>
          <w:sz w:val="24"/>
          <w:szCs w:val="24"/>
        </w:rPr>
        <w:t>where treatment options remain more limited</w:t>
      </w:r>
      <w:r w:rsidR="000956FD">
        <w:rPr>
          <w:rFonts w:ascii="Arial" w:hAnsi="Arial" w:cs="Arial"/>
          <w:sz w:val="24"/>
          <w:szCs w:val="24"/>
        </w:rPr>
        <w:t>.</w:t>
      </w:r>
    </w:p>
    <w:p w:rsidRPr="009D5D3B" w:rsidR="009D5D3B" w:rsidP="009D5D3B" w:rsidRDefault="009D5D3B" w14:paraId="269B95B0" w14:textId="476EF9A8">
      <w:pPr>
        <w:spacing w:line="360" w:lineRule="auto"/>
      </w:pPr>
      <w:r>
        <w:rPr>
          <w:rFonts w:ascii="Arial" w:hAnsi="Arial" w:cs="Arial"/>
          <w:sz w:val="24"/>
          <w:szCs w:val="24"/>
        </w:rPr>
        <w:t xml:space="preserve">The basis of the appeal focuses </w:t>
      </w:r>
      <w:r w:rsidR="00F54132">
        <w:rPr>
          <w:rFonts w:ascii="Arial" w:hAnsi="Arial" w:cs="Arial"/>
          <w:sz w:val="24"/>
          <w:szCs w:val="24"/>
        </w:rPr>
        <w:t>on</w:t>
      </w:r>
      <w:r>
        <w:rPr>
          <w:rFonts w:ascii="Arial" w:hAnsi="Arial" w:cs="Arial"/>
          <w:sz w:val="24"/>
          <w:szCs w:val="24"/>
        </w:rPr>
        <w:t xml:space="preserve"> the Appraisal Committee’s conclusion on a lack of OS treatment benefit (appeal points 1(a).1, 2.1, 2.2, 2.3, 2.4) and the Appraisal Committee’s decision not to </w:t>
      </w:r>
      <w:r w:rsidRPr="00FB200C">
        <w:rPr>
          <w:rFonts w:ascii="Arial" w:hAnsi="Arial" w:cs="Arial"/>
          <w:sz w:val="24"/>
          <w:szCs w:val="24"/>
        </w:rPr>
        <w:t>consider a recommendation for the lung NETs population alone</w:t>
      </w:r>
      <w:r>
        <w:rPr>
          <w:rFonts w:ascii="Arial" w:hAnsi="Arial" w:cs="Arial"/>
          <w:sz w:val="24"/>
          <w:szCs w:val="24"/>
        </w:rPr>
        <w:t xml:space="preserve"> (appeal points 1(a).2, 2.5).</w:t>
      </w:r>
      <w:r w:rsidR="00897E81">
        <w:rPr>
          <w:rFonts w:ascii="Arial" w:hAnsi="Arial" w:cs="Arial"/>
          <w:sz w:val="24"/>
          <w:szCs w:val="24"/>
        </w:rPr>
        <w:t xml:space="preserve"> </w:t>
      </w:r>
      <w:r w:rsidR="00897E81">
        <w:rPr>
          <w:rFonts w:ascii="Arial" w:hAnsi="Arial" w:cs="Arial"/>
          <w:sz w:val="24"/>
          <w:szCs w:val="24"/>
        </w:rPr>
        <w:fldChar w:fldCharType="begin"/>
      </w:r>
      <w:r w:rsidR="00897E81">
        <w:rPr>
          <w:rFonts w:ascii="Arial" w:hAnsi="Arial" w:cs="Arial"/>
          <w:sz w:val="24"/>
          <w:szCs w:val="24"/>
        </w:rPr>
        <w:instrText xml:space="preserve"> REF _Ref227881069 \h  \* MERGEFORMAT </w:instrText>
      </w:r>
      <w:r w:rsidR="00897E81">
        <w:rPr>
          <w:rFonts w:ascii="Arial" w:hAnsi="Arial" w:cs="Arial"/>
          <w:sz w:val="24"/>
          <w:szCs w:val="24"/>
        </w:rPr>
      </w:r>
      <w:r w:rsidR="00897E81">
        <w:rPr>
          <w:rFonts w:ascii="Arial" w:hAnsi="Arial" w:cs="Arial"/>
          <w:sz w:val="24"/>
          <w:szCs w:val="24"/>
        </w:rPr>
        <w:fldChar w:fldCharType="separate"/>
      </w:r>
      <w:r w:rsidRPr="00812C00" w:rsidR="00812C00">
        <w:rPr>
          <w:rFonts w:ascii="Arial" w:hAnsi="Arial" w:cs="Arial"/>
          <w:sz w:val="24"/>
          <w:szCs w:val="24"/>
        </w:rPr>
        <w:t>Table 2</w:t>
      </w:r>
      <w:r w:rsidR="00897E81">
        <w:rPr>
          <w:rFonts w:ascii="Arial" w:hAnsi="Arial" w:cs="Arial"/>
          <w:sz w:val="24"/>
          <w:szCs w:val="24"/>
        </w:rPr>
        <w:fldChar w:fldCharType="end"/>
      </w:r>
      <w:r w:rsidR="00897E81">
        <w:rPr>
          <w:rFonts w:ascii="Arial" w:hAnsi="Arial" w:cs="Arial"/>
          <w:sz w:val="24"/>
          <w:szCs w:val="24"/>
        </w:rPr>
        <w:t xml:space="preserve"> </w:t>
      </w:r>
      <w:r w:rsidR="00F74591">
        <w:rPr>
          <w:rFonts w:ascii="Arial" w:hAnsi="Arial" w:cs="Arial"/>
          <w:sz w:val="24"/>
          <w:szCs w:val="24"/>
        </w:rPr>
        <w:t>demonstrates</w:t>
      </w:r>
      <w:r w:rsidRPr="00897E81" w:rsidR="00897E81">
        <w:rPr>
          <w:rFonts w:ascii="Arial" w:hAnsi="Arial" w:cs="Arial"/>
          <w:sz w:val="24"/>
          <w:szCs w:val="24"/>
        </w:rPr>
        <w:t xml:space="preserve"> the</w:t>
      </w:r>
      <w:r w:rsidR="00F74591">
        <w:rPr>
          <w:rFonts w:ascii="Arial" w:hAnsi="Arial" w:cs="Arial"/>
          <w:sz w:val="24"/>
          <w:szCs w:val="24"/>
        </w:rPr>
        <w:t xml:space="preserve"> cost-effectiveness impacts of these two points highlight</w:t>
      </w:r>
      <w:r w:rsidR="004710BE">
        <w:rPr>
          <w:rFonts w:ascii="Arial" w:hAnsi="Arial" w:cs="Arial"/>
          <w:sz w:val="24"/>
          <w:szCs w:val="24"/>
        </w:rPr>
        <w:t>ing that</w:t>
      </w:r>
      <w:r w:rsidR="004772A6">
        <w:rPr>
          <w:rFonts w:ascii="Arial" w:hAnsi="Arial" w:cs="Arial"/>
          <w:sz w:val="24"/>
          <w:szCs w:val="24"/>
        </w:rPr>
        <w:t>,</w:t>
      </w:r>
      <w:r w:rsidR="004710BE">
        <w:rPr>
          <w:rFonts w:ascii="Arial" w:hAnsi="Arial" w:cs="Arial"/>
          <w:sz w:val="24"/>
          <w:szCs w:val="24"/>
        </w:rPr>
        <w:t xml:space="preserve"> if the Appraisal Committee were to reconsider either conclusion</w:t>
      </w:r>
      <w:r w:rsidR="006C4675">
        <w:rPr>
          <w:rFonts w:ascii="Arial" w:hAnsi="Arial" w:cs="Arial"/>
          <w:sz w:val="24"/>
          <w:szCs w:val="24"/>
        </w:rPr>
        <w:t>, a cost-effective assessment and subsequent positive recommendation for cabozanti</w:t>
      </w:r>
      <w:r w:rsidR="00A723D5">
        <w:rPr>
          <w:rFonts w:ascii="Arial" w:hAnsi="Arial" w:cs="Arial"/>
          <w:sz w:val="24"/>
          <w:szCs w:val="24"/>
        </w:rPr>
        <w:t>nib in either the epNET or lung populations is feasible.</w:t>
      </w:r>
    </w:p>
    <w:p w:rsidRPr="00405F42" w:rsidR="00405F42" w:rsidP="00405F42" w:rsidRDefault="00405F42" w14:paraId="7E6CC7D1" w14:textId="58000653">
      <w:pPr>
        <w:pStyle w:val="Caption"/>
        <w:keepNext/>
        <w:rPr>
          <w:rFonts w:ascii="Arial" w:hAnsi="Arial" w:cs="Arial"/>
          <w:b/>
          <w:bCs/>
          <w:i w:val="0"/>
          <w:iCs w:val="0"/>
          <w:color w:val="000000" w:themeColor="text1"/>
          <w:sz w:val="24"/>
          <w:szCs w:val="24"/>
        </w:rPr>
      </w:pPr>
      <w:bookmarkStart w:name="_Ref227881069" w:id="2"/>
      <w:r w:rsidRPr="00405F42">
        <w:rPr>
          <w:rFonts w:ascii="Arial" w:hAnsi="Arial" w:cs="Arial"/>
          <w:b/>
          <w:bCs/>
          <w:i w:val="0"/>
          <w:iCs w:val="0"/>
          <w:color w:val="000000" w:themeColor="text1"/>
          <w:sz w:val="24"/>
          <w:szCs w:val="24"/>
        </w:rPr>
        <w:t xml:space="preserve">Table </w:t>
      </w:r>
      <w:r w:rsidRPr="00405F42">
        <w:rPr>
          <w:rFonts w:ascii="Arial" w:hAnsi="Arial" w:cs="Arial"/>
          <w:b/>
          <w:bCs/>
          <w:i w:val="0"/>
          <w:iCs w:val="0"/>
          <w:color w:val="000000" w:themeColor="text1"/>
          <w:sz w:val="24"/>
          <w:szCs w:val="24"/>
        </w:rPr>
        <w:fldChar w:fldCharType="begin"/>
      </w:r>
      <w:r w:rsidRPr="00405F42">
        <w:rPr>
          <w:rFonts w:ascii="Arial" w:hAnsi="Arial" w:cs="Arial"/>
          <w:b/>
          <w:bCs/>
          <w:i w:val="0"/>
          <w:iCs w:val="0"/>
          <w:color w:val="000000" w:themeColor="text1"/>
          <w:sz w:val="24"/>
          <w:szCs w:val="24"/>
        </w:rPr>
        <w:instrText xml:space="preserve"> SEQ Table \* ARABIC </w:instrText>
      </w:r>
      <w:r w:rsidRPr="00405F42">
        <w:rPr>
          <w:rFonts w:ascii="Arial" w:hAnsi="Arial" w:cs="Arial"/>
          <w:b/>
          <w:bCs/>
          <w:i w:val="0"/>
          <w:iCs w:val="0"/>
          <w:color w:val="000000" w:themeColor="text1"/>
          <w:sz w:val="24"/>
          <w:szCs w:val="24"/>
        </w:rPr>
        <w:fldChar w:fldCharType="separate"/>
      </w:r>
      <w:r w:rsidR="00812C00">
        <w:rPr>
          <w:rFonts w:ascii="Arial" w:hAnsi="Arial" w:cs="Arial"/>
          <w:b/>
          <w:bCs/>
          <w:i w:val="0"/>
          <w:iCs w:val="0"/>
          <w:noProof/>
          <w:color w:val="000000" w:themeColor="text1"/>
          <w:sz w:val="24"/>
          <w:szCs w:val="24"/>
        </w:rPr>
        <w:t>2</w:t>
      </w:r>
      <w:r w:rsidRPr="00405F42">
        <w:rPr>
          <w:rFonts w:ascii="Arial" w:hAnsi="Arial" w:cs="Arial"/>
          <w:b/>
          <w:bCs/>
          <w:i w:val="0"/>
          <w:iCs w:val="0"/>
          <w:color w:val="000000" w:themeColor="text1"/>
          <w:sz w:val="24"/>
          <w:szCs w:val="24"/>
        </w:rPr>
        <w:fldChar w:fldCharType="end"/>
      </w:r>
      <w:bookmarkEnd w:id="2"/>
      <w:r w:rsidR="00A31312">
        <w:rPr>
          <w:rFonts w:ascii="Arial" w:hAnsi="Arial" w:cs="Arial"/>
          <w:b/>
          <w:bCs/>
          <w:i w:val="0"/>
          <w:iCs w:val="0"/>
          <w:color w:val="000000" w:themeColor="text1"/>
          <w:sz w:val="24"/>
          <w:szCs w:val="24"/>
        </w:rPr>
        <w:t>:</w:t>
      </w:r>
      <w:r w:rsidRPr="00405F42">
        <w:rPr>
          <w:rFonts w:ascii="Arial" w:hAnsi="Arial" w:cs="Arial"/>
          <w:b/>
          <w:bCs/>
          <w:i w:val="0"/>
          <w:iCs w:val="0"/>
          <w:color w:val="000000" w:themeColor="text1"/>
          <w:sz w:val="24"/>
          <w:szCs w:val="24"/>
        </w:rPr>
        <w:t xml:space="preserve"> Deterministic base case and scenario analyses for cabozantinib versus </w:t>
      </w:r>
      <w:r w:rsidR="00AB0884">
        <w:rPr>
          <w:rFonts w:ascii="Arial" w:hAnsi="Arial" w:cs="Arial"/>
          <w:b/>
          <w:bCs/>
          <w:i w:val="0"/>
          <w:iCs w:val="0"/>
          <w:color w:val="000000" w:themeColor="text1"/>
          <w:sz w:val="24"/>
          <w:szCs w:val="24"/>
        </w:rPr>
        <w:t>BSC</w:t>
      </w:r>
    </w:p>
    <w:tbl>
      <w:tblPr>
        <w:tblW w:w="0" w:type="auto"/>
        <w:tblBorders>
          <w:top w:val="outset" w:color="auto" w:sz="6" w:space="0"/>
          <w:left w:val="outset" w:color="auto" w:sz="6" w:space="0"/>
          <w:bottom w:val="outset" w:color="auto" w:sz="6" w:space="0"/>
          <w:right w:val="outset" w:color="auto" w:sz="6" w:space="0"/>
        </w:tblBorders>
        <w:tblCellMar>
          <w:left w:w="57" w:type="dxa"/>
          <w:right w:w="57" w:type="dxa"/>
        </w:tblCellMar>
        <w:tblLook w:val="04A0" w:firstRow="1" w:lastRow="0" w:firstColumn="1" w:lastColumn="0" w:noHBand="0" w:noVBand="1"/>
      </w:tblPr>
      <w:tblGrid>
        <w:gridCol w:w="5642"/>
        <w:gridCol w:w="1040"/>
        <w:gridCol w:w="1051"/>
        <w:gridCol w:w="1277"/>
      </w:tblGrid>
      <w:tr w:rsidRPr="00405F42" w:rsidR="00EB0244" w14:paraId="22A08517" w14:textId="77777777">
        <w:trPr>
          <w:trHeight w:val="20"/>
        </w:trPr>
        <w:tc>
          <w:tcPr>
            <w:tcW w:w="0" w:type="auto"/>
            <w:vMerge w:val="restart"/>
            <w:tcBorders>
              <w:top w:val="single" w:color="auto" w:sz="6" w:space="0"/>
              <w:left w:val="single" w:color="auto" w:sz="6" w:space="0"/>
              <w:right w:val="single" w:color="auto" w:sz="6" w:space="0"/>
            </w:tcBorders>
            <w:shd w:val="clear" w:color="auto" w:fill="D9D9D9" w:themeFill="background1" w:themeFillShade="D9"/>
          </w:tcPr>
          <w:p w:rsidRPr="00405F42" w:rsidR="00DF25B4" w:rsidRDefault="00DF25B4" w14:paraId="6473DB58" w14:textId="212DF7CE">
            <w:pPr>
              <w:pStyle w:val="TableHeadingLeft"/>
              <w:rPr>
                <w:color w:val="auto"/>
              </w:rPr>
            </w:pPr>
            <w:r w:rsidRPr="00405F42">
              <w:rPr>
                <w:color w:val="auto"/>
              </w:rPr>
              <w:t>Scenario</w:t>
            </w:r>
          </w:p>
        </w:tc>
        <w:tc>
          <w:tcPr>
            <w:tcW w:w="0" w:type="auto"/>
            <w:gridSpan w:val="3"/>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405F42" w:rsidR="00DF25B4" w:rsidRDefault="00DF25B4" w14:paraId="4BB2BA43" w14:textId="77777777">
            <w:pPr>
              <w:pStyle w:val="TableHeadingCentred"/>
              <w:rPr>
                <w:color w:val="auto"/>
              </w:rPr>
            </w:pPr>
            <w:r w:rsidRPr="00405F42">
              <w:rPr>
                <w:color w:val="auto"/>
              </w:rPr>
              <w:t>Cabozantinib versus BSC</w:t>
            </w:r>
          </w:p>
        </w:tc>
      </w:tr>
      <w:tr w:rsidRPr="00405F42" w:rsidR="00D612C4" w14:paraId="0EE7A059" w14:textId="77777777">
        <w:trPr>
          <w:trHeight w:val="20"/>
        </w:trPr>
        <w:tc>
          <w:tcPr>
            <w:tcW w:w="0" w:type="auto"/>
            <w:vMerge/>
          </w:tcPr>
          <w:p w:rsidRPr="00405F42" w:rsidR="00DF25B4" w:rsidRDefault="00DF25B4" w14:paraId="031E9AA7" w14:textId="21BD8FD8">
            <w:pPr>
              <w:pStyle w:val="TableHeadingCentred"/>
              <w:rPr>
                <w:color w:val="auto"/>
              </w:rPr>
            </w:pPr>
          </w:p>
        </w:tc>
        <w:tc>
          <w:tcPr>
            <w:tcW w:w="0" w:type="auto"/>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405F42" w:rsidR="00DF25B4" w:rsidRDefault="00DF25B4" w14:paraId="481F9D3C" w14:textId="77777777">
            <w:pPr>
              <w:pStyle w:val="TableHeadingCentred"/>
              <w:rPr>
                <w:color w:val="auto"/>
              </w:rPr>
            </w:pPr>
            <w:r w:rsidRPr="00405F42">
              <w:rPr>
                <w:color w:val="auto"/>
              </w:rPr>
              <w:t>Incr. costs, £</w:t>
            </w:r>
          </w:p>
        </w:tc>
        <w:tc>
          <w:tcPr>
            <w:tcW w:w="0" w:type="auto"/>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405F42" w:rsidR="00DF25B4" w:rsidRDefault="00DF25B4" w14:paraId="7FDFD2D9" w14:textId="77777777">
            <w:pPr>
              <w:pStyle w:val="TableHeadingCentred"/>
              <w:rPr>
                <w:color w:val="auto"/>
              </w:rPr>
            </w:pPr>
            <w:r w:rsidRPr="00405F42">
              <w:rPr>
                <w:color w:val="auto"/>
              </w:rPr>
              <w:t>Incr. QALYs</w:t>
            </w:r>
          </w:p>
        </w:tc>
        <w:tc>
          <w:tcPr>
            <w:tcW w:w="0" w:type="auto"/>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405F42" w:rsidR="00DF25B4" w:rsidRDefault="00DF25B4" w14:paraId="48A8CDAF" w14:textId="77777777">
            <w:pPr>
              <w:pStyle w:val="TableHeadingCentred"/>
              <w:rPr>
                <w:color w:val="auto"/>
              </w:rPr>
            </w:pPr>
            <w:r w:rsidRPr="00405F42">
              <w:rPr>
                <w:color w:val="auto"/>
              </w:rPr>
              <w:t>ICER (£/QALY)</w:t>
            </w:r>
          </w:p>
        </w:tc>
      </w:tr>
      <w:tr w:rsidRPr="00405F42" w:rsidR="00A7770C" w:rsidTr="00F07731" w14:paraId="6D1EE164" w14:textId="77777777">
        <w:trPr>
          <w:trHeight w:val="20"/>
        </w:trPr>
        <w:tc>
          <w:tcPr>
            <w:tcW w:w="0" w:type="auto"/>
            <w:gridSpan w:val="4"/>
            <w:tcBorders>
              <w:top w:val="single" w:color="auto" w:sz="6" w:space="0"/>
              <w:left w:val="single" w:color="auto" w:sz="6" w:space="0"/>
              <w:bottom w:val="single" w:color="auto" w:sz="6" w:space="0"/>
              <w:right w:val="single" w:color="auto" w:sz="4" w:space="0"/>
            </w:tcBorders>
            <w:shd w:val="clear" w:color="auto" w:fill="D9D9D9" w:themeFill="background1" w:themeFillShade="D9"/>
          </w:tcPr>
          <w:p w:rsidRPr="00F07731" w:rsidR="00AB0884" w:rsidP="00AB0884" w:rsidRDefault="00AB0884" w14:paraId="20E7867B" w14:textId="228DEC06">
            <w:pPr>
              <w:pStyle w:val="TableTextCentred"/>
              <w:jc w:val="left"/>
              <w:rPr>
                <w:b/>
                <w:bCs/>
                <w:color w:val="auto"/>
              </w:rPr>
            </w:pPr>
            <w:r w:rsidRPr="00F07731">
              <w:rPr>
                <w:rStyle w:val="eop"/>
                <w:b/>
                <w:bCs/>
                <w:color w:val="auto"/>
              </w:rPr>
              <w:t>epNET population</w:t>
            </w:r>
          </w:p>
        </w:tc>
      </w:tr>
      <w:tr w:rsidRPr="00405F42" w:rsidR="003F02BA" w:rsidTr="005A6B05" w14:paraId="7D0E0C6D"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Pr="00405F42" w:rsidR="00DF25B4" w:rsidP="00DF25B4" w:rsidRDefault="00DF25B4" w14:paraId="52D94ED1" w14:textId="144E0651">
            <w:pPr>
              <w:pStyle w:val="TableTextLeft"/>
              <w:ind w:left="57"/>
              <w:rPr>
                <w:rStyle w:val="eop"/>
                <w:color w:val="auto"/>
              </w:rPr>
            </w:pPr>
            <w:r>
              <w:rPr>
                <w:rStyle w:val="eop"/>
                <w:color w:val="auto"/>
              </w:rPr>
              <w:t>Company base case</w:t>
            </w:r>
          </w:p>
        </w:tc>
        <w:tc>
          <w:tcPr>
            <w:tcW w:w="0" w:type="auto"/>
            <w:tcBorders>
              <w:top w:val="single" w:color="auto" w:sz="4" w:space="0"/>
              <w:left w:val="single" w:color="auto" w:sz="4" w:space="0"/>
              <w:bottom w:val="single" w:color="auto" w:sz="4" w:space="0"/>
              <w:right w:val="single" w:color="auto" w:sz="4" w:space="0"/>
            </w:tcBorders>
            <w:vAlign w:val="center"/>
          </w:tcPr>
          <w:p w:rsidRPr="00405F42" w:rsidR="00DF25B4" w:rsidP="005A6B05" w:rsidRDefault="00E559F7" w14:paraId="75B18AAE" w14:textId="40311401">
            <w:pPr>
              <w:pStyle w:val="TableTextCentred"/>
              <w:rPr>
                <w:rStyle w:val="CiC"/>
                <w:color w:val="auto"/>
              </w:rPr>
            </w:pPr>
            <w:proofErr w:type="spellStart"/>
            <w:r w:rsidRPr="00E559F7">
              <w:rPr>
                <w:rStyle w:val="CiC"/>
                <w:color w:val="auto"/>
                <w:highlight w:val="black"/>
              </w:rPr>
              <w:t>xxxxxx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DF25B4" w:rsidP="005A6B05" w:rsidRDefault="00E559F7" w14:paraId="37221E7C" w14:textId="5D2CA092">
            <w:pPr>
              <w:pStyle w:val="TableTextCentred"/>
              <w:rPr>
                <w:rStyle w:val="CiC"/>
                <w:color w:val="auto"/>
              </w:rPr>
            </w:pPr>
            <w:proofErr w:type="spellStart"/>
            <w:r w:rsidRPr="00E559F7">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DF25B4" w:rsidP="005A6B05" w:rsidRDefault="00DF25B4" w14:paraId="32F85CD4" w14:textId="433B91BA">
            <w:pPr>
              <w:pStyle w:val="TableTextCentred"/>
              <w:rPr>
                <w:rStyle w:val="Noredaction"/>
                <w:color w:val="auto"/>
              </w:rPr>
            </w:pPr>
            <w:r w:rsidRPr="00405F42">
              <w:rPr>
                <w:color w:val="auto"/>
              </w:rPr>
              <w:t>£8,537</w:t>
            </w:r>
          </w:p>
        </w:tc>
      </w:tr>
      <w:tr w:rsidRPr="00405F42" w:rsidR="00E559F7" w:rsidTr="00D43E8A" w14:paraId="238980A7"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7FD6EB73" w14:textId="4AE49616">
            <w:pPr>
              <w:pStyle w:val="TableTextLeft"/>
              <w:ind w:left="57"/>
              <w:rPr>
                <w:rStyle w:val="eop"/>
                <w:color w:val="auto"/>
              </w:rPr>
            </w:pPr>
            <w:r w:rsidRPr="00BB2816">
              <w:rPr>
                <w:color w:val="auto"/>
              </w:rPr>
              <w:t>Appraisal Committee</w:t>
            </w:r>
            <w:r w:rsidRPr="00405F42">
              <w:rPr>
                <w:color w:val="auto"/>
              </w:rPr>
              <w:t xml:space="preserve"> preferred assumptions*</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7313A578" w14:textId="7488C10D">
            <w:pPr>
              <w:pStyle w:val="TableTextCentred"/>
              <w:rPr>
                <w:rStyle w:val="CiC"/>
                <w:color w:val="auto"/>
              </w:rPr>
            </w:pPr>
            <w:proofErr w:type="spellStart"/>
            <w:r w:rsidRPr="009721F5">
              <w:rPr>
                <w:rStyle w:val="CiC"/>
                <w:color w:val="auto"/>
                <w:highlight w:val="black"/>
              </w:rPr>
              <w:t>xxxxxx</w:t>
            </w:r>
            <w:proofErr w:type="spellEnd"/>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53BFCED3" w14:textId="42C58BBA">
            <w:pPr>
              <w:pStyle w:val="TableTextCentred"/>
              <w:rPr>
                <w:rStyle w:val="CiC"/>
                <w:color w:val="auto"/>
              </w:rPr>
            </w:pPr>
            <w:proofErr w:type="spellStart"/>
            <w:r w:rsidRPr="00D61FE9">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006E5397" w14:textId="1DCBA348">
            <w:pPr>
              <w:pStyle w:val="TableTextCentred"/>
              <w:rPr>
                <w:color w:val="auto"/>
              </w:rPr>
            </w:pPr>
            <w:r w:rsidRPr="00405F42">
              <w:rPr>
                <w:rStyle w:val="Noredaction"/>
                <w:color w:val="auto"/>
              </w:rPr>
              <w:t>£90,297</w:t>
            </w:r>
          </w:p>
        </w:tc>
      </w:tr>
      <w:tr w:rsidRPr="00405F42" w:rsidR="00E559F7" w:rsidTr="00D43E8A" w14:paraId="1CCDC447"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Pr="00BB2816" w:rsidR="00E559F7" w:rsidP="00E559F7" w:rsidRDefault="00E559F7" w14:paraId="57437E40" w14:textId="451AD38E">
            <w:pPr>
              <w:pStyle w:val="TableTextLeft"/>
              <w:ind w:left="57"/>
              <w:rPr>
                <w:color w:val="auto"/>
              </w:rPr>
            </w:pPr>
            <w:r w:rsidRPr="00306048">
              <w:rPr>
                <w:color w:val="auto"/>
              </w:rPr>
              <w:t>Appraisal Committee preferred assumptions</w:t>
            </w:r>
            <w:r>
              <w:rPr>
                <w:color w:val="auto"/>
              </w:rPr>
              <w:t xml:space="preserve"> </w:t>
            </w:r>
            <w:r w:rsidRPr="00306048">
              <w:rPr>
                <w:color w:val="auto"/>
              </w:rPr>
              <w:t>with IPCW OS</w:t>
            </w:r>
            <w:r>
              <w:rPr>
                <w:color w:val="auto"/>
              </w:rPr>
              <w:t xml:space="preserve"> HR=</w:t>
            </w:r>
            <w:r w:rsidRPr="00E559F7">
              <w:rPr>
                <w:rStyle w:val="CiC"/>
                <w:color w:val="auto"/>
                <w:highlight w:val="black"/>
              </w:rPr>
              <w:t>xxx</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534F3179" w14:textId="1A5BA062">
            <w:pPr>
              <w:pStyle w:val="TableTextCentred"/>
              <w:rPr>
                <w:rStyle w:val="CiC"/>
                <w:color w:val="auto"/>
              </w:rPr>
            </w:pPr>
            <w:proofErr w:type="spellStart"/>
            <w:r w:rsidRPr="009721F5">
              <w:rPr>
                <w:rStyle w:val="CiC"/>
                <w:color w:val="auto"/>
                <w:highlight w:val="black"/>
              </w:rPr>
              <w:t>xxxxxx</w:t>
            </w:r>
            <w:proofErr w:type="spellEnd"/>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2029BFBB" w14:textId="7D33D008">
            <w:pPr>
              <w:pStyle w:val="TableTextCentred"/>
              <w:rPr>
                <w:rStyle w:val="CiC"/>
                <w:color w:val="auto"/>
              </w:rPr>
            </w:pPr>
            <w:proofErr w:type="spellStart"/>
            <w:r w:rsidRPr="00D61FE9">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7CAD3B6D" w14:textId="6C242E5C">
            <w:pPr>
              <w:pStyle w:val="TableTextCentred"/>
              <w:rPr>
                <w:rStyle w:val="Noredaction"/>
                <w:color w:val="auto"/>
              </w:rPr>
            </w:pPr>
            <w:r w:rsidRPr="005A6B05">
              <w:rPr>
                <w:rStyle w:val="Noredaction"/>
                <w:color w:val="auto"/>
              </w:rPr>
              <w:t>£18,637</w:t>
            </w:r>
          </w:p>
        </w:tc>
      </w:tr>
      <w:tr w:rsidRPr="00405F42" w:rsidR="00E559F7" w:rsidTr="00D43E8A" w14:paraId="35CA6F30"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059CEB7B" w14:textId="02994249">
            <w:pPr>
              <w:pStyle w:val="TableTextLeft"/>
              <w:ind w:left="57"/>
              <w:rPr>
                <w:rStyle w:val="eop"/>
                <w:color w:val="auto"/>
              </w:rPr>
            </w:pPr>
            <w:r w:rsidRPr="00BB2816">
              <w:rPr>
                <w:color w:val="auto"/>
              </w:rPr>
              <w:t>Appraisal Committee</w:t>
            </w:r>
            <w:r w:rsidRPr="00405F42">
              <w:rPr>
                <w:color w:val="auto"/>
              </w:rPr>
              <w:t xml:space="preserve"> preferred assumptions </w:t>
            </w:r>
            <w:r w:rsidRPr="002E121C">
              <w:rPr>
                <w:color w:val="000000" w:themeColor="text1"/>
              </w:rPr>
              <w:t>with OS HR=</w:t>
            </w:r>
            <w:r w:rsidRPr="00E559F7">
              <w:rPr>
                <w:rStyle w:val="CiC"/>
                <w:color w:val="auto"/>
                <w:highlight w:val="black"/>
              </w:rPr>
              <w:t>xxx</w:t>
            </w:r>
            <w:r>
              <w:rPr>
                <w:color w:val="000000" w:themeColor="text1"/>
              </w:rPr>
              <w:t xml:space="preserve"> </w:t>
            </w:r>
            <w:r w:rsidRPr="00EF50F0">
              <w:rPr>
                <w:color w:val="000000" w:themeColor="text1"/>
              </w:rPr>
              <w:t>(OS HR threshold required for £25,000 ICER)</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70027791" w14:textId="3FEA1837">
            <w:pPr>
              <w:pStyle w:val="TableTextCentred"/>
              <w:rPr>
                <w:rStyle w:val="CiC"/>
                <w:color w:val="auto"/>
              </w:rPr>
            </w:pPr>
            <w:proofErr w:type="spellStart"/>
            <w:r w:rsidRPr="009721F5">
              <w:rPr>
                <w:rStyle w:val="CiC"/>
                <w:color w:val="auto"/>
                <w:highlight w:val="black"/>
              </w:rPr>
              <w:t>xxxxxx</w:t>
            </w:r>
            <w:proofErr w:type="spellEnd"/>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29B1E41F" w14:textId="46049DC8">
            <w:pPr>
              <w:pStyle w:val="TableTextCentred"/>
              <w:rPr>
                <w:rStyle w:val="CiC"/>
                <w:color w:val="auto"/>
              </w:rPr>
            </w:pPr>
            <w:proofErr w:type="spellStart"/>
            <w:r w:rsidRPr="00D61FE9">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5A6B05" w:rsidR="00E559F7" w:rsidP="00E559F7" w:rsidRDefault="00E559F7" w14:paraId="28894936" w14:textId="6A7D8259">
            <w:pPr>
              <w:pStyle w:val="TableTextCentred"/>
              <w:rPr>
                <w:rStyle w:val="Noredaction"/>
              </w:rPr>
            </w:pPr>
            <w:r w:rsidRPr="005A6B05">
              <w:rPr>
                <w:rStyle w:val="Noredaction"/>
                <w:color w:val="auto"/>
              </w:rPr>
              <w:t>£25,000</w:t>
            </w:r>
          </w:p>
        </w:tc>
      </w:tr>
      <w:tr w:rsidRPr="00405F42" w:rsidR="00E559F7" w:rsidTr="00D43E8A" w14:paraId="602753E8"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22931158" w14:textId="61C53FEC">
            <w:pPr>
              <w:pStyle w:val="TableTextLeft"/>
              <w:ind w:left="57"/>
              <w:rPr>
                <w:rStyle w:val="eop"/>
                <w:color w:val="auto"/>
              </w:rPr>
            </w:pPr>
            <w:r w:rsidRPr="00BB2816">
              <w:rPr>
                <w:color w:val="auto"/>
              </w:rPr>
              <w:t>Appraisal Committee</w:t>
            </w:r>
            <w:r w:rsidRPr="00405F42">
              <w:rPr>
                <w:color w:val="auto"/>
              </w:rPr>
              <w:t xml:space="preserve"> preferred assumptions </w:t>
            </w:r>
            <w:r w:rsidRPr="002E121C">
              <w:rPr>
                <w:color w:val="000000" w:themeColor="text1"/>
              </w:rPr>
              <w:t>with OS HR=</w:t>
            </w:r>
            <w:r w:rsidRPr="00E559F7">
              <w:rPr>
                <w:rStyle w:val="CiC"/>
                <w:color w:val="auto"/>
                <w:highlight w:val="black"/>
              </w:rPr>
              <w:t>xxx</w:t>
            </w:r>
            <w:r>
              <w:rPr>
                <w:color w:val="000000" w:themeColor="text1"/>
              </w:rPr>
              <w:t xml:space="preserve"> (mid-point of Company and EAG approach)</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7F0D2486" w14:textId="7FC705CF">
            <w:pPr>
              <w:pStyle w:val="TableTextCentred"/>
              <w:rPr>
                <w:rStyle w:val="CiC"/>
                <w:color w:val="auto"/>
              </w:rPr>
            </w:pPr>
            <w:proofErr w:type="spellStart"/>
            <w:r w:rsidRPr="009721F5">
              <w:rPr>
                <w:rStyle w:val="CiC"/>
                <w:color w:val="auto"/>
                <w:highlight w:val="black"/>
              </w:rPr>
              <w:t>xxxxxx</w:t>
            </w:r>
            <w:proofErr w:type="spellEnd"/>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363F146D" w14:textId="5ACF7862">
            <w:pPr>
              <w:pStyle w:val="TableTextCentred"/>
              <w:rPr>
                <w:rStyle w:val="CiC"/>
                <w:color w:val="auto"/>
              </w:rPr>
            </w:pPr>
            <w:proofErr w:type="spellStart"/>
            <w:r w:rsidRPr="00D61FE9">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5A6B05" w:rsidR="00E559F7" w:rsidP="00E559F7" w:rsidRDefault="00E559F7" w14:paraId="2CFF7B3B" w14:textId="03F991A6">
            <w:pPr>
              <w:pStyle w:val="TableTextCentred"/>
              <w:rPr>
                <w:rStyle w:val="Noredaction"/>
              </w:rPr>
            </w:pPr>
            <w:r w:rsidRPr="005A6B05">
              <w:rPr>
                <w:rStyle w:val="Noredaction"/>
                <w:color w:val="auto"/>
              </w:rPr>
              <w:t>£25,595</w:t>
            </w:r>
          </w:p>
        </w:tc>
      </w:tr>
      <w:tr w:rsidRPr="00405F42" w:rsidR="00E559F7" w:rsidTr="00D43E8A" w14:paraId="63E71B5A"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582E5E65" w14:textId="14DB6B8C">
            <w:pPr>
              <w:pStyle w:val="TableTextLeft"/>
              <w:ind w:left="57"/>
              <w:rPr>
                <w:rStyle w:val="eop"/>
                <w:color w:val="auto"/>
              </w:rPr>
            </w:pPr>
            <w:r w:rsidRPr="00BB2816">
              <w:rPr>
                <w:color w:val="auto"/>
              </w:rPr>
              <w:t>Appraisal Committee</w:t>
            </w:r>
            <w:r w:rsidRPr="00405F42">
              <w:rPr>
                <w:color w:val="auto"/>
              </w:rPr>
              <w:t xml:space="preserve"> preferred assumptions with </w:t>
            </w:r>
            <w:r w:rsidRPr="002E121C">
              <w:rPr>
                <w:color w:val="000000" w:themeColor="text1"/>
              </w:rPr>
              <w:t xml:space="preserve">OS </w:t>
            </w:r>
            <w:r w:rsidRPr="00405F42">
              <w:rPr>
                <w:color w:val="auto"/>
              </w:rPr>
              <w:t>HR=</w:t>
            </w:r>
            <w:r w:rsidRPr="00E559F7">
              <w:rPr>
                <w:rStyle w:val="CiC"/>
                <w:color w:val="auto"/>
                <w:highlight w:val="black"/>
              </w:rPr>
              <w:t>xxx</w:t>
            </w:r>
            <w:r>
              <w:rPr>
                <w:color w:val="auto"/>
                <w:u w:val="single"/>
              </w:rPr>
              <w:t xml:space="preserve"> </w:t>
            </w:r>
            <w:r w:rsidRPr="00EF50F0">
              <w:rPr>
                <w:color w:val="000000" w:themeColor="text1"/>
              </w:rPr>
              <w:t>(OS HR threshold required for £</w:t>
            </w:r>
            <w:r>
              <w:rPr>
                <w:color w:val="000000" w:themeColor="text1"/>
              </w:rPr>
              <w:t>3</w:t>
            </w:r>
            <w:r w:rsidRPr="00EF50F0">
              <w:rPr>
                <w:color w:val="000000" w:themeColor="text1"/>
              </w:rPr>
              <w:t>5,000 ICER)</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05E8356B" w14:textId="7E6A6EFE">
            <w:pPr>
              <w:pStyle w:val="TableTextCentred"/>
              <w:rPr>
                <w:rStyle w:val="CiC"/>
                <w:color w:val="auto"/>
              </w:rPr>
            </w:pPr>
            <w:proofErr w:type="spellStart"/>
            <w:r w:rsidRPr="009721F5">
              <w:rPr>
                <w:rStyle w:val="CiC"/>
                <w:color w:val="auto"/>
                <w:highlight w:val="black"/>
              </w:rPr>
              <w:t>xxxxxx</w:t>
            </w:r>
            <w:proofErr w:type="spellEnd"/>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3855EC7D" w14:textId="0CEE86D6">
            <w:pPr>
              <w:pStyle w:val="TableTextCentred"/>
              <w:rPr>
                <w:rStyle w:val="CiC"/>
                <w:color w:val="auto"/>
              </w:rPr>
            </w:pPr>
            <w:proofErr w:type="spellStart"/>
            <w:r w:rsidRPr="00D61FE9">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5A6B05" w:rsidR="00E559F7" w:rsidP="00E559F7" w:rsidRDefault="00E559F7" w14:paraId="535E4E1A" w14:textId="0FDF05CC">
            <w:pPr>
              <w:pStyle w:val="TableTextCentred"/>
              <w:rPr>
                <w:rStyle w:val="Noredaction"/>
              </w:rPr>
            </w:pPr>
            <w:r w:rsidRPr="005A6B05">
              <w:rPr>
                <w:rStyle w:val="Noredaction"/>
                <w:color w:val="auto"/>
              </w:rPr>
              <w:t>£35,000</w:t>
            </w:r>
          </w:p>
        </w:tc>
      </w:tr>
      <w:tr w:rsidRPr="00405F42" w:rsidR="00A7770C" w:rsidTr="00F07731" w14:paraId="45FAC8AB" w14:textId="77777777">
        <w:trPr>
          <w:trHeight w:val="20"/>
        </w:trPr>
        <w:tc>
          <w:tcPr>
            <w:tcW w:w="0" w:type="auto"/>
            <w:gridSpan w:val="4"/>
            <w:tcBorders>
              <w:top w:val="single" w:color="auto" w:sz="6" w:space="0"/>
              <w:left w:val="single" w:color="auto" w:sz="6" w:space="0"/>
              <w:bottom w:val="single" w:color="auto" w:sz="6" w:space="0"/>
              <w:right w:val="single" w:color="auto" w:sz="4" w:space="0"/>
            </w:tcBorders>
            <w:shd w:val="clear" w:color="auto" w:fill="D9D9D9" w:themeFill="background1" w:themeFillShade="D9"/>
          </w:tcPr>
          <w:p w:rsidRPr="00F07731" w:rsidR="00AB0884" w:rsidP="00AB0884" w:rsidRDefault="00AB0884" w14:paraId="7F219269" w14:textId="10BE979A">
            <w:pPr>
              <w:pStyle w:val="TableTextCentred"/>
              <w:jc w:val="left"/>
              <w:rPr>
                <w:rStyle w:val="Noredaction"/>
                <w:b/>
                <w:bCs/>
                <w:color w:val="auto"/>
              </w:rPr>
            </w:pPr>
            <w:r w:rsidRPr="00F07731">
              <w:rPr>
                <w:rStyle w:val="eop"/>
                <w:b/>
                <w:bCs/>
                <w:color w:val="auto"/>
              </w:rPr>
              <w:t>Lung population</w:t>
            </w:r>
          </w:p>
        </w:tc>
      </w:tr>
      <w:tr w:rsidRPr="00405F42" w:rsidR="00E559F7" w:rsidTr="00F505DD" w14:paraId="51A9065D"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65E3AB96" w14:textId="62C8E616">
            <w:pPr>
              <w:pStyle w:val="TableTextLeft"/>
              <w:ind w:left="57"/>
              <w:rPr>
                <w:rStyle w:val="eop"/>
                <w:color w:val="auto"/>
              </w:rPr>
            </w:pPr>
            <w:r>
              <w:rPr>
                <w:rStyle w:val="eop"/>
                <w:color w:val="auto"/>
              </w:rPr>
              <w:t>Company base case</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6A3A8BC1" w14:textId="4CE4F83B">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63106B64" w14:textId="17CEF1F0">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07F4B3F9" w14:textId="105D361E">
            <w:pPr>
              <w:pStyle w:val="TableTextCentred"/>
              <w:rPr>
                <w:rStyle w:val="Noredaction"/>
                <w:color w:val="auto"/>
              </w:rPr>
            </w:pPr>
            <w:r w:rsidRPr="000C1ECE">
              <w:rPr>
                <w:rStyle w:val="Noredaction"/>
                <w:color w:val="auto"/>
              </w:rPr>
              <w:t>£20,554</w:t>
            </w:r>
          </w:p>
        </w:tc>
      </w:tr>
      <w:tr w:rsidRPr="00405F42" w:rsidR="00E559F7" w:rsidTr="00F505DD" w14:paraId="6A875132"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07AAD90B" w14:textId="2DC43872">
            <w:pPr>
              <w:pStyle w:val="TableTextLeft"/>
              <w:ind w:left="57"/>
              <w:rPr>
                <w:rStyle w:val="eop"/>
                <w:color w:val="auto"/>
              </w:rPr>
            </w:pPr>
            <w:r>
              <w:rPr>
                <w:rStyle w:val="eop"/>
                <w:color w:val="auto"/>
              </w:rPr>
              <w:t>EAG base case</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40552495" w14:textId="1ECF6093">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1D693AB4" w14:textId="7F5570F5">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68FDC54F" w14:textId="3DEC0AF5">
            <w:pPr>
              <w:pStyle w:val="TableTextCentred"/>
              <w:rPr>
                <w:rStyle w:val="Noredaction"/>
                <w:color w:val="auto"/>
              </w:rPr>
            </w:pPr>
            <w:r w:rsidRPr="008A6C26">
              <w:rPr>
                <w:rStyle w:val="Noredaction"/>
                <w:color w:val="auto"/>
              </w:rPr>
              <w:t>£12,737</w:t>
            </w:r>
          </w:p>
        </w:tc>
      </w:tr>
      <w:tr w:rsidRPr="00405F42" w:rsidR="00E559F7" w:rsidTr="00F505DD" w14:paraId="68C982A0"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491EA25C" w14:textId="15247C32">
            <w:pPr>
              <w:pStyle w:val="TableTextLeft"/>
              <w:ind w:left="57"/>
              <w:rPr>
                <w:rStyle w:val="eop"/>
                <w:color w:val="auto"/>
              </w:rPr>
            </w:pPr>
            <w:r w:rsidRPr="00465FB6">
              <w:rPr>
                <w:rStyle w:val="eop"/>
                <w:color w:val="auto"/>
              </w:rPr>
              <w:t>Appraisal Committee preferred epNET assumptions</w:t>
            </w:r>
            <w:r>
              <w:rPr>
                <w:rStyle w:val="eop"/>
                <w:color w:val="auto"/>
              </w:rPr>
              <w:t>**</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37477039" w14:textId="0D842897">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4AA91B84" w14:textId="7BF923A7">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54916481" w14:textId="29521DAE">
            <w:pPr>
              <w:pStyle w:val="TableTextCentred"/>
              <w:rPr>
                <w:rStyle w:val="Noredaction"/>
                <w:color w:val="auto"/>
              </w:rPr>
            </w:pPr>
            <w:r w:rsidRPr="006F221A">
              <w:rPr>
                <w:rStyle w:val="Noredaction"/>
                <w:color w:val="auto"/>
              </w:rPr>
              <w:t>£112,048</w:t>
            </w:r>
          </w:p>
        </w:tc>
      </w:tr>
      <w:tr w:rsidRPr="00405F42" w:rsidR="00E559F7" w:rsidTr="00F505DD" w14:paraId="548E564E"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Pr="00465FB6" w:rsidR="00E559F7" w:rsidP="00E559F7" w:rsidRDefault="00E559F7" w14:paraId="72C2E93C" w14:textId="70C2D242">
            <w:pPr>
              <w:pStyle w:val="TableTextLeft"/>
              <w:ind w:left="57"/>
              <w:rPr>
                <w:rStyle w:val="eop"/>
                <w:color w:val="auto"/>
              </w:rPr>
            </w:pPr>
            <w:r w:rsidRPr="00465FB6">
              <w:rPr>
                <w:rStyle w:val="eop"/>
                <w:color w:val="auto"/>
              </w:rPr>
              <w:t>Appraisal Committee preferred epNET assumptions</w:t>
            </w:r>
            <w:r>
              <w:rPr>
                <w:rStyle w:val="eop"/>
                <w:color w:val="auto"/>
              </w:rPr>
              <w:t xml:space="preserve"> with IPCW OS </w:t>
            </w:r>
            <w:r w:rsidRPr="00E559F7">
              <w:rPr>
                <w:rStyle w:val="eop"/>
                <w:color w:val="auto"/>
              </w:rPr>
              <w:t>HR=</w:t>
            </w:r>
            <w:r w:rsidRPr="00E559F7">
              <w:rPr>
                <w:rStyle w:val="CiC"/>
                <w:color w:val="auto"/>
                <w:highlight w:val="black"/>
              </w:rPr>
              <w:t>xxx</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3A7A9596" w14:textId="3A6229AF">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0BC97FD3" w14:textId="7CE621E5">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4C397D72" w14:textId="14A35050">
            <w:pPr>
              <w:pStyle w:val="TableTextCentred"/>
              <w:rPr>
                <w:rStyle w:val="Noredaction"/>
                <w:color w:val="auto"/>
              </w:rPr>
            </w:pPr>
            <w:r w:rsidRPr="00024FDB">
              <w:rPr>
                <w:rStyle w:val="Noredaction"/>
                <w:color w:val="auto"/>
              </w:rPr>
              <w:t>£15,271</w:t>
            </w:r>
          </w:p>
        </w:tc>
      </w:tr>
      <w:tr w:rsidRPr="00405F42" w:rsidR="00E559F7" w:rsidTr="00F505DD" w14:paraId="05C3FCA5"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Pr="00465FB6" w:rsidR="00E559F7" w:rsidP="00E559F7" w:rsidRDefault="00E559F7" w14:paraId="3F050381" w14:textId="62F5BB33">
            <w:pPr>
              <w:pStyle w:val="TableTextLeft"/>
              <w:ind w:left="57"/>
              <w:rPr>
                <w:rStyle w:val="eop"/>
                <w:color w:val="auto"/>
              </w:rPr>
            </w:pPr>
            <w:r w:rsidRPr="00465FB6">
              <w:rPr>
                <w:rStyle w:val="eop"/>
                <w:color w:val="auto"/>
              </w:rPr>
              <w:t>Appraisal Committee preferred epNET assumptions</w:t>
            </w:r>
            <w:r>
              <w:rPr>
                <w:rStyle w:val="eop"/>
                <w:color w:val="auto"/>
              </w:rPr>
              <w:t xml:space="preserve"> with RPSFTM OS </w:t>
            </w:r>
            <w:r w:rsidRPr="00E559F7">
              <w:rPr>
                <w:rStyle w:val="eop"/>
                <w:color w:val="auto"/>
              </w:rPr>
              <w:t>HR=</w:t>
            </w:r>
            <w:r w:rsidRPr="00E559F7">
              <w:rPr>
                <w:rStyle w:val="CiC"/>
                <w:color w:val="auto"/>
                <w:highlight w:val="black"/>
              </w:rPr>
              <w:t>xxx</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3E6442C8" w14:textId="28EB498A">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2762D81C" w14:textId="156E00E4">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160981C4" w14:textId="22F0CA64">
            <w:pPr>
              <w:pStyle w:val="TableTextCentred"/>
              <w:rPr>
                <w:rStyle w:val="Noredaction"/>
                <w:color w:val="auto"/>
              </w:rPr>
            </w:pPr>
            <w:r w:rsidRPr="00024FDB">
              <w:rPr>
                <w:rStyle w:val="Noredaction"/>
                <w:color w:val="auto"/>
              </w:rPr>
              <w:t>£15,181</w:t>
            </w:r>
          </w:p>
        </w:tc>
      </w:tr>
      <w:tr w:rsidRPr="00405F42" w:rsidR="00E559F7" w:rsidTr="00F505DD" w14:paraId="6208344F"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1DDAC2B0" w14:textId="111A5649">
            <w:pPr>
              <w:pStyle w:val="TableTextLeft"/>
              <w:ind w:left="57"/>
              <w:rPr>
                <w:rStyle w:val="eop"/>
                <w:color w:val="auto"/>
              </w:rPr>
            </w:pPr>
            <w:r w:rsidRPr="00465FB6">
              <w:rPr>
                <w:rStyle w:val="eop"/>
                <w:color w:val="auto"/>
              </w:rPr>
              <w:t>Appraisal Committee preferred epNET assumptions</w:t>
            </w:r>
            <w:r>
              <w:rPr>
                <w:rStyle w:val="eop"/>
                <w:color w:val="auto"/>
              </w:rPr>
              <w:t xml:space="preserve"> with OS HR=</w:t>
            </w:r>
            <w:r w:rsidRPr="00E559F7">
              <w:rPr>
                <w:rStyle w:val="CiC"/>
                <w:color w:val="auto"/>
                <w:highlight w:val="black"/>
              </w:rPr>
              <w:t>xxx</w:t>
            </w:r>
            <w:r>
              <w:rPr>
                <w:rStyle w:val="eop"/>
                <w:color w:val="auto"/>
              </w:rPr>
              <w:t xml:space="preserve"> (OS HR threshold required for £25,000 ICER)</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6C6B956E" w14:textId="3970C7A5">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76507F57" w14:textId="79124C46">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0932197B" w14:textId="2659C5E5">
            <w:pPr>
              <w:pStyle w:val="TableTextCentred"/>
              <w:rPr>
                <w:rStyle w:val="Noredaction"/>
                <w:color w:val="auto"/>
              </w:rPr>
            </w:pPr>
            <w:r w:rsidRPr="00024FDB">
              <w:rPr>
                <w:rStyle w:val="Noredaction"/>
                <w:color w:val="auto"/>
              </w:rPr>
              <w:t>£25,000</w:t>
            </w:r>
          </w:p>
        </w:tc>
      </w:tr>
      <w:tr w:rsidRPr="00405F42" w:rsidR="00E559F7" w:rsidTr="00F505DD" w14:paraId="3C3F44C4" w14:textId="77777777">
        <w:trPr>
          <w:trHeight w:val="20"/>
        </w:trPr>
        <w:tc>
          <w:tcPr>
            <w:tcW w:w="0" w:type="auto"/>
            <w:tcBorders>
              <w:top w:val="single" w:color="auto" w:sz="6" w:space="0"/>
              <w:left w:val="single" w:color="auto" w:sz="6" w:space="0"/>
              <w:bottom w:val="single" w:color="auto" w:sz="6" w:space="0"/>
              <w:right w:val="single" w:color="auto" w:sz="6" w:space="0"/>
            </w:tcBorders>
          </w:tcPr>
          <w:p w:rsidR="00E559F7" w:rsidP="00E559F7" w:rsidRDefault="00E559F7" w14:paraId="3D727D47" w14:textId="7CED7367">
            <w:pPr>
              <w:pStyle w:val="TableTextLeft"/>
              <w:ind w:left="57"/>
              <w:rPr>
                <w:rStyle w:val="eop"/>
                <w:color w:val="auto"/>
              </w:rPr>
            </w:pPr>
            <w:r w:rsidRPr="00465FB6">
              <w:rPr>
                <w:rStyle w:val="eop"/>
                <w:color w:val="auto"/>
              </w:rPr>
              <w:t>Appraisal Committee preferred epNET assumptions</w:t>
            </w:r>
            <w:r>
              <w:rPr>
                <w:rStyle w:val="eop"/>
                <w:color w:val="auto"/>
              </w:rPr>
              <w:t xml:space="preserve"> with OS HR=</w:t>
            </w:r>
            <w:r w:rsidRPr="00E559F7">
              <w:rPr>
                <w:rStyle w:val="CiC"/>
                <w:color w:val="auto"/>
                <w:highlight w:val="black"/>
              </w:rPr>
              <w:t>xxx</w:t>
            </w:r>
            <w:r>
              <w:rPr>
                <w:rStyle w:val="eop"/>
                <w:color w:val="auto"/>
              </w:rPr>
              <w:t xml:space="preserve"> (OS HR threshold required for £35,000 ICER)</w:t>
            </w:r>
          </w:p>
        </w:tc>
        <w:tc>
          <w:tcPr>
            <w:tcW w:w="0" w:type="auto"/>
            <w:tcBorders>
              <w:top w:val="single" w:color="auto" w:sz="4" w:space="0"/>
              <w:left w:val="single" w:color="auto" w:sz="4" w:space="0"/>
              <w:bottom w:val="single" w:color="auto" w:sz="4" w:space="0"/>
              <w:right w:val="single" w:color="auto" w:sz="4" w:space="0"/>
            </w:tcBorders>
          </w:tcPr>
          <w:p w:rsidRPr="00405F42" w:rsidR="00E559F7" w:rsidP="00E559F7" w:rsidRDefault="00E559F7" w14:paraId="6C3CEF79" w14:textId="5E0F7360">
            <w:pPr>
              <w:pStyle w:val="TableTextCentred"/>
              <w:rPr>
                <w:rStyle w:val="CiC"/>
                <w:color w:val="auto"/>
              </w:rPr>
            </w:pPr>
            <w:proofErr w:type="spellStart"/>
            <w:r w:rsidRPr="00FF60AE">
              <w:rPr>
                <w:rStyle w:val="CiC"/>
                <w:color w:val="auto"/>
                <w:highlight w:val="black"/>
              </w:rPr>
              <w:t>xxxxxx</w:t>
            </w:r>
            <w:proofErr w:type="spellEnd"/>
          </w:p>
        </w:tc>
        <w:tc>
          <w:tcPr>
            <w:tcW w:w="0" w:type="auto"/>
            <w:tcBorders>
              <w:top w:val="single" w:color="auto" w:sz="6" w:space="0"/>
              <w:left w:val="single" w:color="auto" w:sz="6" w:space="0"/>
              <w:bottom w:val="single" w:color="auto" w:sz="6" w:space="0"/>
              <w:right w:val="single" w:color="auto" w:sz="6" w:space="0"/>
            </w:tcBorders>
          </w:tcPr>
          <w:p w:rsidRPr="00405F42" w:rsidR="00E559F7" w:rsidP="00E559F7" w:rsidRDefault="00E559F7" w14:paraId="78BBD743" w14:textId="32062C6F">
            <w:pPr>
              <w:pStyle w:val="TableTextCentred"/>
              <w:rPr>
                <w:rStyle w:val="CiC"/>
                <w:color w:val="auto"/>
              </w:rPr>
            </w:pPr>
            <w:proofErr w:type="spellStart"/>
            <w:r w:rsidRPr="006422BE">
              <w:rPr>
                <w:rStyle w:val="CiC"/>
                <w:color w:val="auto"/>
                <w:highlight w:val="black"/>
              </w:rPr>
              <w:t>xxxx</w:t>
            </w:r>
            <w:proofErr w:type="spellEnd"/>
          </w:p>
        </w:tc>
        <w:tc>
          <w:tcPr>
            <w:tcW w:w="0" w:type="auto"/>
            <w:tcBorders>
              <w:top w:val="single" w:color="auto" w:sz="4" w:space="0"/>
              <w:left w:val="single" w:color="auto" w:sz="4" w:space="0"/>
              <w:bottom w:val="single" w:color="auto" w:sz="4" w:space="0"/>
              <w:right w:val="single" w:color="auto" w:sz="4" w:space="0"/>
            </w:tcBorders>
            <w:vAlign w:val="center"/>
          </w:tcPr>
          <w:p w:rsidRPr="00405F42" w:rsidR="00E559F7" w:rsidP="00E559F7" w:rsidRDefault="00E559F7" w14:paraId="593E0B2B" w14:textId="613A885A">
            <w:pPr>
              <w:pStyle w:val="TableTextCentred"/>
              <w:rPr>
                <w:rStyle w:val="Noredaction"/>
                <w:color w:val="auto"/>
              </w:rPr>
            </w:pPr>
            <w:r w:rsidRPr="00024FDB">
              <w:rPr>
                <w:rStyle w:val="Noredaction"/>
                <w:color w:val="auto"/>
              </w:rPr>
              <w:t>£35,000</w:t>
            </w:r>
          </w:p>
        </w:tc>
      </w:tr>
    </w:tbl>
    <w:p w:rsidRPr="00405F42" w:rsidR="00765576" w:rsidP="002E701A" w:rsidRDefault="002E701A" w14:paraId="6F81536D" w14:textId="4F496AAA">
      <w:pPr>
        <w:pStyle w:val="Footnotes"/>
        <w:rPr>
          <w:color w:val="auto"/>
        </w:rPr>
      </w:pPr>
      <w:r w:rsidRPr="00405F42">
        <w:rPr>
          <w:color w:val="auto"/>
        </w:rPr>
        <w:t>*Best supportive care as comparator,</w:t>
      </w:r>
      <w:r w:rsidR="008C31C8">
        <w:rPr>
          <w:color w:val="auto"/>
        </w:rPr>
        <w:t xml:space="preserve"> OS</w:t>
      </w:r>
      <w:r w:rsidRPr="00405F42">
        <w:rPr>
          <w:color w:val="auto"/>
        </w:rPr>
        <w:t xml:space="preserve"> </w:t>
      </w:r>
      <w:r w:rsidRPr="00405F42" w:rsidR="00FB0FD0">
        <w:rPr>
          <w:color w:val="auto"/>
        </w:rPr>
        <w:t xml:space="preserve">HR=1, </w:t>
      </w:r>
      <w:r w:rsidRPr="00405F42" w:rsidR="006B1529">
        <w:rPr>
          <w:color w:val="auto"/>
        </w:rPr>
        <w:t>Weibull</w:t>
      </w:r>
      <w:r w:rsidRPr="00405F42" w:rsidR="006627B3">
        <w:rPr>
          <w:color w:val="auto"/>
        </w:rPr>
        <w:t xml:space="preserve"> curve for PFS and OS, </w:t>
      </w:r>
      <w:r w:rsidRPr="00405F42" w:rsidR="00513E9B">
        <w:rPr>
          <w:color w:val="auto"/>
        </w:rPr>
        <w:t>CABINET trial data for utilities plu</w:t>
      </w:r>
      <w:r w:rsidRPr="00405F42" w:rsidR="00A2048F">
        <w:rPr>
          <w:color w:val="auto"/>
        </w:rPr>
        <w:t>s</w:t>
      </w:r>
      <w:r w:rsidRPr="00405F42" w:rsidR="00513E9B">
        <w:rPr>
          <w:color w:val="auto"/>
        </w:rPr>
        <w:t xml:space="preserve"> decrement </w:t>
      </w:r>
      <w:r w:rsidRPr="00405F42" w:rsidR="00A2048F">
        <w:rPr>
          <w:color w:val="auto"/>
        </w:rPr>
        <w:t>from RADIANT-4 for progressed disease, constant discontinuation rate,</w:t>
      </w:r>
      <w:r w:rsidRPr="00405F42" w:rsidR="00513E9B">
        <w:rPr>
          <w:color w:val="auto"/>
        </w:rPr>
        <w:t xml:space="preserve"> </w:t>
      </w:r>
      <w:r w:rsidRPr="00405F42" w:rsidR="00BA3A97">
        <w:rPr>
          <w:color w:val="auto"/>
        </w:rPr>
        <w:t xml:space="preserve">resource data from </w:t>
      </w:r>
      <w:r w:rsidRPr="00405F42" w:rsidR="00BA3A97">
        <w:rPr>
          <w:rStyle w:val="eop"/>
          <w:color w:val="auto"/>
        </w:rPr>
        <w:t xml:space="preserve">Mujica-Mota </w:t>
      </w:r>
      <w:r w:rsidRPr="00405F42" w:rsidR="00BA3A97">
        <w:rPr>
          <w:rStyle w:val="eop"/>
          <w:i/>
          <w:color w:val="auto"/>
        </w:rPr>
        <w:t>et al.</w:t>
      </w:r>
      <w:r w:rsidRPr="00405F42" w:rsidR="00BA3A97">
        <w:rPr>
          <w:rStyle w:val="eop"/>
          <w:color w:val="auto"/>
        </w:rPr>
        <w:t xml:space="preserve"> (2018), apply AEs in the first model cycle, </w:t>
      </w:r>
      <w:r w:rsidRPr="00405F42" w:rsidR="00C122AE">
        <w:rPr>
          <w:rStyle w:val="eop"/>
          <w:color w:val="auto"/>
        </w:rPr>
        <w:t>AE disutilities -0.153 (hypertension) and -0.330 (embolism).</w:t>
      </w:r>
      <w:r w:rsidRPr="00405F42" w:rsidR="00A2048F">
        <w:rPr>
          <w:color w:val="auto"/>
        </w:rPr>
        <w:t xml:space="preserve"> </w:t>
      </w:r>
      <w:r w:rsidR="00E836F5">
        <w:rPr>
          <w:color w:val="auto"/>
        </w:rPr>
        <w:br/>
      </w:r>
      <w:r w:rsidR="00E836F5">
        <w:rPr>
          <w:color w:val="auto"/>
        </w:rPr>
        <w:t>**</w:t>
      </w:r>
      <w:r w:rsidR="00E45C1F">
        <w:rPr>
          <w:color w:val="auto"/>
        </w:rPr>
        <w:t xml:space="preserve">Appraisal </w:t>
      </w:r>
      <w:r w:rsidR="00C370CB">
        <w:rPr>
          <w:color w:val="auto"/>
        </w:rPr>
        <w:t>C</w:t>
      </w:r>
      <w:r w:rsidR="00E45C1F">
        <w:rPr>
          <w:color w:val="auto"/>
        </w:rPr>
        <w:t>ommittee</w:t>
      </w:r>
      <w:r w:rsidR="00C370CB">
        <w:rPr>
          <w:color w:val="auto"/>
        </w:rPr>
        <w:t xml:space="preserve"> assumptions have been inferred as</w:t>
      </w:r>
      <w:r w:rsidR="00320AF6">
        <w:rPr>
          <w:color w:val="auto"/>
        </w:rPr>
        <w:t xml:space="preserve"> </w:t>
      </w:r>
      <w:r w:rsidR="00E45C1F">
        <w:rPr>
          <w:color w:val="auto"/>
        </w:rPr>
        <w:t xml:space="preserve">preferred model assumptions for lung population </w:t>
      </w:r>
      <w:r w:rsidR="002B67A0">
        <w:rPr>
          <w:color w:val="auto"/>
        </w:rPr>
        <w:t>were not defined</w:t>
      </w:r>
      <w:r w:rsidR="00E836F5">
        <w:rPr>
          <w:color w:val="auto"/>
        </w:rPr>
        <w:br/>
      </w:r>
      <w:r w:rsidRPr="00405F42" w:rsidR="00765576">
        <w:rPr>
          <w:color w:val="auto"/>
        </w:rPr>
        <w:t>BSC: best supportive care; epNET: extra-pancreatic neuroendocrine tumours; ICER: incremental cost-effectiveness ratio; OS: overall survival; QALY: quality-adjusted life year.</w:t>
      </w:r>
    </w:p>
    <w:p w:rsidRPr="00774B47" w:rsidR="00D64232" w:rsidP="009D5D3B" w:rsidRDefault="00D64232" w14:paraId="2CF2C98B" w14:textId="192FBE27">
      <w:pPr>
        <w:pStyle w:val="Heading1"/>
        <w:spacing w:after="240"/>
        <w:rPr>
          <w:rFonts w:ascii="Arial" w:hAnsi="Arial" w:cs="Arial"/>
        </w:rPr>
      </w:pPr>
      <w:r w:rsidRPr="00774B47">
        <w:rPr>
          <w:rFonts w:ascii="Arial" w:hAnsi="Arial" w:cs="Arial"/>
        </w:rPr>
        <w:t>Ground 1(a): NICE has failed to act fairly</w:t>
      </w:r>
    </w:p>
    <w:p w:rsidRPr="00774B47" w:rsidR="00D64232" w:rsidP="002C676C" w:rsidRDefault="00D64232" w14:paraId="792AA492" w14:textId="7332221B">
      <w:pPr>
        <w:pStyle w:val="Heading2"/>
      </w:pPr>
      <w:r w:rsidRPr="00774B47">
        <w:t>Appeal point 1(a).</w:t>
      </w:r>
      <w:r w:rsidR="00ED005C">
        <w:t>1</w:t>
      </w:r>
      <w:r w:rsidRPr="00774B47">
        <w:t>: The Appraisal Committee’s conclusion on OS in the epNET population is not aligned to past preceden</w:t>
      </w:r>
      <w:r>
        <w:t>t</w:t>
      </w:r>
      <w:r w:rsidRPr="00774B47">
        <w:t xml:space="preserve"> from NICE</w:t>
      </w:r>
      <w:r>
        <w:t xml:space="preserve"> N</w:t>
      </w:r>
      <w:r>
        <w:rPr>
          <w:lang w:val="en-US"/>
        </w:rPr>
        <w:t>ET appraisals</w:t>
      </w:r>
      <w:r w:rsidRPr="00774B47">
        <w:t xml:space="preserve"> where an OS benefit was recogni</w:t>
      </w:r>
      <w:r w:rsidR="00BC72C1">
        <w:t>s</w:t>
      </w:r>
      <w:r w:rsidRPr="00774B47">
        <w:t>ed</w:t>
      </w:r>
      <w:r>
        <w:t xml:space="preserve"> despite a non-significant treatment effect</w:t>
      </w:r>
    </w:p>
    <w:p w:rsidR="00BD16CC" w:rsidP="0080364A" w:rsidRDefault="00CB3F43" w14:paraId="4454E857" w14:textId="0E0B7B61">
      <w:pPr>
        <w:spacing w:before="120" w:line="360" w:lineRule="auto"/>
        <w:rPr>
          <w:rFonts w:ascii="Arial" w:hAnsi="Arial" w:cs="Arial"/>
          <w:sz w:val="24"/>
          <w:szCs w:val="24"/>
        </w:rPr>
      </w:pPr>
      <w:r>
        <w:rPr>
          <w:rFonts w:ascii="Arial" w:hAnsi="Arial" w:cs="Arial"/>
          <w:sz w:val="24"/>
          <w:szCs w:val="24"/>
        </w:rPr>
        <w:t xml:space="preserve">As outlined in the </w:t>
      </w:r>
      <w:r w:rsidR="00672D7F">
        <w:rPr>
          <w:rFonts w:ascii="Arial" w:hAnsi="Arial" w:cs="Arial"/>
          <w:sz w:val="24"/>
          <w:szCs w:val="24"/>
        </w:rPr>
        <w:t>‘</w:t>
      </w:r>
      <w:r>
        <w:rPr>
          <w:rFonts w:ascii="Arial" w:hAnsi="Arial" w:cs="Arial"/>
          <w:sz w:val="24"/>
          <w:szCs w:val="24"/>
        </w:rPr>
        <w:t>Background and appraisal history</w:t>
      </w:r>
      <w:r w:rsidR="00672D7F">
        <w:rPr>
          <w:rFonts w:ascii="Arial" w:hAnsi="Arial" w:cs="Arial"/>
          <w:sz w:val="24"/>
          <w:szCs w:val="24"/>
        </w:rPr>
        <w:t xml:space="preserve">’ section of this letter, </w:t>
      </w:r>
      <w:r w:rsidR="00AB763B">
        <w:rPr>
          <w:rFonts w:ascii="Arial" w:hAnsi="Arial" w:cs="Arial"/>
          <w:sz w:val="24"/>
          <w:szCs w:val="24"/>
        </w:rPr>
        <w:t xml:space="preserve">the Appraisal Committee’s </w:t>
      </w:r>
      <w:r w:rsidR="00E14467">
        <w:rPr>
          <w:rFonts w:ascii="Arial" w:hAnsi="Arial" w:cs="Arial"/>
          <w:sz w:val="24"/>
          <w:szCs w:val="24"/>
        </w:rPr>
        <w:t>conclusion</w:t>
      </w:r>
      <w:r w:rsidR="00F02406">
        <w:rPr>
          <w:rFonts w:ascii="Arial" w:hAnsi="Arial" w:cs="Arial"/>
          <w:sz w:val="24"/>
          <w:szCs w:val="24"/>
        </w:rPr>
        <w:t xml:space="preserve"> not</w:t>
      </w:r>
      <w:r w:rsidR="00BC72C1">
        <w:rPr>
          <w:rFonts w:ascii="Arial" w:hAnsi="Arial" w:cs="Arial"/>
          <w:sz w:val="24"/>
          <w:szCs w:val="24"/>
        </w:rPr>
        <w:t xml:space="preserve"> to</w:t>
      </w:r>
      <w:r w:rsidR="00F02406">
        <w:rPr>
          <w:rFonts w:ascii="Arial" w:hAnsi="Arial" w:cs="Arial"/>
          <w:sz w:val="24"/>
          <w:szCs w:val="24"/>
        </w:rPr>
        <w:t xml:space="preserve"> recogni</w:t>
      </w:r>
      <w:r w:rsidR="00FF6BC5">
        <w:rPr>
          <w:rFonts w:ascii="Arial" w:hAnsi="Arial" w:cs="Arial"/>
          <w:sz w:val="24"/>
          <w:szCs w:val="24"/>
        </w:rPr>
        <w:t>s</w:t>
      </w:r>
      <w:r w:rsidR="00F02406">
        <w:rPr>
          <w:rFonts w:ascii="Arial" w:hAnsi="Arial" w:cs="Arial"/>
          <w:sz w:val="24"/>
          <w:szCs w:val="24"/>
        </w:rPr>
        <w:t>e</w:t>
      </w:r>
      <w:r w:rsidR="006C73E6">
        <w:rPr>
          <w:rFonts w:ascii="Arial" w:hAnsi="Arial" w:cs="Arial"/>
          <w:sz w:val="24"/>
          <w:szCs w:val="24"/>
        </w:rPr>
        <w:t xml:space="preserve"> an OS benefit</w:t>
      </w:r>
      <w:r w:rsidR="00555DCB">
        <w:rPr>
          <w:rFonts w:ascii="Arial" w:hAnsi="Arial" w:cs="Arial"/>
          <w:sz w:val="24"/>
          <w:szCs w:val="24"/>
        </w:rPr>
        <w:t xml:space="preserve"> associated with cabozantinib</w:t>
      </w:r>
      <w:r w:rsidR="006C73E6">
        <w:rPr>
          <w:rFonts w:ascii="Arial" w:hAnsi="Arial" w:cs="Arial"/>
          <w:sz w:val="24"/>
          <w:szCs w:val="24"/>
        </w:rPr>
        <w:t xml:space="preserve"> for the epNET population was a </w:t>
      </w:r>
      <w:r w:rsidR="00A92D8C">
        <w:rPr>
          <w:rFonts w:ascii="Arial" w:hAnsi="Arial" w:cs="Arial"/>
          <w:sz w:val="24"/>
          <w:szCs w:val="24"/>
        </w:rPr>
        <w:t>key driver in the cost-</w:t>
      </w:r>
      <w:r w:rsidR="00070157">
        <w:rPr>
          <w:rFonts w:ascii="Arial" w:hAnsi="Arial" w:cs="Arial"/>
          <w:sz w:val="24"/>
          <w:szCs w:val="24"/>
        </w:rPr>
        <w:t>effectiveness</w:t>
      </w:r>
      <w:r w:rsidR="00E30D49">
        <w:rPr>
          <w:rFonts w:ascii="Arial" w:hAnsi="Arial" w:cs="Arial"/>
          <w:sz w:val="24"/>
          <w:szCs w:val="24"/>
        </w:rPr>
        <w:t xml:space="preserve"> evaluation </w:t>
      </w:r>
      <w:r w:rsidR="00E9672C">
        <w:rPr>
          <w:rFonts w:ascii="Arial" w:hAnsi="Arial" w:cs="Arial"/>
          <w:sz w:val="24"/>
          <w:szCs w:val="24"/>
        </w:rPr>
        <w:t>and a decis</w:t>
      </w:r>
      <w:r w:rsidR="00C63B2C">
        <w:rPr>
          <w:rFonts w:ascii="Arial" w:hAnsi="Arial" w:cs="Arial"/>
          <w:sz w:val="24"/>
          <w:szCs w:val="24"/>
        </w:rPr>
        <w:t xml:space="preserve">ive factor </w:t>
      </w:r>
      <w:r w:rsidR="00787E7E">
        <w:rPr>
          <w:rFonts w:ascii="Arial" w:hAnsi="Arial" w:cs="Arial"/>
          <w:sz w:val="24"/>
          <w:szCs w:val="24"/>
        </w:rPr>
        <w:t xml:space="preserve">in the Appraisal Committee’s </w:t>
      </w:r>
      <w:r w:rsidR="006A254D">
        <w:rPr>
          <w:rFonts w:ascii="Arial" w:hAnsi="Arial" w:cs="Arial"/>
          <w:sz w:val="24"/>
          <w:szCs w:val="24"/>
        </w:rPr>
        <w:t>eventual negative recommendation.</w:t>
      </w:r>
    </w:p>
    <w:p w:rsidRPr="0080364A" w:rsidR="00D64232" w:rsidP="0080364A" w:rsidRDefault="00D64232" w14:paraId="73F87563" w14:textId="26B349D1">
      <w:pPr>
        <w:spacing w:before="120" w:line="360" w:lineRule="auto"/>
        <w:rPr>
          <w:rFonts w:ascii="Arial" w:hAnsi="Arial" w:cs="Arial"/>
          <w:sz w:val="24"/>
          <w:szCs w:val="24"/>
        </w:rPr>
      </w:pPr>
      <w:r w:rsidRPr="0080364A">
        <w:rPr>
          <w:rFonts w:ascii="Arial" w:hAnsi="Arial" w:cs="Arial"/>
          <w:sz w:val="24"/>
          <w:szCs w:val="24"/>
        </w:rPr>
        <w:t>The Appraisal Committee’s failure to recogni</w:t>
      </w:r>
      <w:r w:rsidR="00FF6BC5">
        <w:rPr>
          <w:rFonts w:ascii="Arial" w:hAnsi="Arial" w:cs="Arial"/>
          <w:sz w:val="24"/>
          <w:szCs w:val="24"/>
        </w:rPr>
        <w:t>s</w:t>
      </w:r>
      <w:r w:rsidRPr="0080364A">
        <w:rPr>
          <w:rFonts w:ascii="Arial" w:hAnsi="Arial" w:cs="Arial"/>
          <w:sz w:val="24"/>
          <w:szCs w:val="24"/>
        </w:rPr>
        <w:t>e</w:t>
      </w:r>
      <w:r w:rsidR="00630B0A">
        <w:rPr>
          <w:rFonts w:ascii="Arial" w:hAnsi="Arial" w:cs="Arial"/>
          <w:sz w:val="24"/>
          <w:szCs w:val="24"/>
        </w:rPr>
        <w:t xml:space="preserve"> an</w:t>
      </w:r>
      <w:r w:rsidRPr="0080364A">
        <w:rPr>
          <w:rFonts w:ascii="Arial" w:hAnsi="Arial" w:cs="Arial"/>
          <w:sz w:val="24"/>
          <w:szCs w:val="24"/>
        </w:rPr>
        <w:t xml:space="preserve"> OS benefit for cabozantinib is not aligned to past precedent from previous appraisals </w:t>
      </w:r>
      <w:r w:rsidR="002C4AA5">
        <w:rPr>
          <w:rFonts w:ascii="Arial" w:hAnsi="Arial" w:cs="Arial"/>
          <w:sz w:val="24"/>
          <w:szCs w:val="24"/>
        </w:rPr>
        <w:t xml:space="preserve">in </w:t>
      </w:r>
      <w:r w:rsidR="00E961CB">
        <w:rPr>
          <w:rFonts w:ascii="Arial" w:hAnsi="Arial" w:cs="Arial"/>
          <w:sz w:val="24"/>
          <w:szCs w:val="24"/>
        </w:rPr>
        <w:t>NETs</w:t>
      </w:r>
      <w:r w:rsidRPr="5AFFF010" w:rsidR="31DB822D">
        <w:rPr>
          <w:rFonts w:ascii="Arial" w:hAnsi="Arial" w:cs="Arial"/>
          <w:sz w:val="24"/>
          <w:szCs w:val="24"/>
        </w:rPr>
        <w:t>,</w:t>
      </w:r>
      <w:r w:rsidR="00E961CB">
        <w:rPr>
          <w:rFonts w:ascii="Arial" w:hAnsi="Arial" w:cs="Arial"/>
          <w:sz w:val="24"/>
          <w:szCs w:val="24"/>
        </w:rPr>
        <w:t xml:space="preserve"> </w:t>
      </w:r>
      <w:r w:rsidRPr="0080364A">
        <w:rPr>
          <w:rFonts w:ascii="Arial" w:hAnsi="Arial" w:cs="Arial"/>
          <w:sz w:val="24"/>
          <w:szCs w:val="24"/>
        </w:rPr>
        <w:t>and represents a failure to act fairly.</w:t>
      </w:r>
    </w:p>
    <w:p w:rsidR="00DA1794" w:rsidP="0080364A" w:rsidRDefault="00D64232" w14:paraId="1FBFA705" w14:textId="14E1E96F">
      <w:pPr>
        <w:spacing w:before="120" w:line="360" w:lineRule="auto"/>
        <w:rPr>
          <w:rFonts w:ascii="Arial" w:hAnsi="Arial" w:cs="Arial"/>
          <w:sz w:val="24"/>
          <w:szCs w:val="24"/>
        </w:rPr>
      </w:pPr>
      <w:r w:rsidRPr="0080364A">
        <w:rPr>
          <w:rFonts w:ascii="Arial" w:hAnsi="Arial" w:cs="Arial"/>
          <w:sz w:val="24"/>
          <w:szCs w:val="24"/>
        </w:rPr>
        <w:t xml:space="preserve">Prior appraisals in NETs have </w:t>
      </w:r>
      <w:r w:rsidR="00534DF0">
        <w:rPr>
          <w:rFonts w:ascii="Arial" w:hAnsi="Arial" w:cs="Arial"/>
          <w:sz w:val="24"/>
          <w:szCs w:val="24"/>
        </w:rPr>
        <w:t>acknowledged</w:t>
      </w:r>
      <w:r w:rsidRPr="0080364A">
        <w:rPr>
          <w:rFonts w:ascii="Arial" w:hAnsi="Arial" w:cs="Arial"/>
          <w:sz w:val="24"/>
          <w:szCs w:val="24"/>
        </w:rPr>
        <w:t xml:space="preserve"> OS benefits for systemic therapies</w:t>
      </w:r>
      <w:r w:rsidR="005F77E0">
        <w:rPr>
          <w:rFonts w:ascii="Arial" w:hAnsi="Arial" w:cs="Arial"/>
          <w:sz w:val="24"/>
          <w:szCs w:val="24"/>
        </w:rPr>
        <w:t>,</w:t>
      </w:r>
      <w:r w:rsidRPr="0080364A">
        <w:rPr>
          <w:rFonts w:ascii="Arial" w:hAnsi="Arial" w:cs="Arial"/>
          <w:sz w:val="24"/>
          <w:szCs w:val="24"/>
        </w:rPr>
        <w:t xml:space="preserve"> despite a failure to demonstrate statistical significance in clinical trials</w:t>
      </w:r>
      <w:r w:rsidR="00745C46">
        <w:rPr>
          <w:rFonts w:ascii="Arial" w:hAnsi="Arial" w:cs="Arial"/>
          <w:sz w:val="24"/>
          <w:szCs w:val="24"/>
        </w:rPr>
        <w:t xml:space="preserve">. </w:t>
      </w:r>
      <w:r w:rsidR="003D4398">
        <w:rPr>
          <w:rFonts w:ascii="Arial" w:hAnsi="Arial" w:cs="Arial"/>
          <w:sz w:val="24"/>
          <w:szCs w:val="24"/>
        </w:rPr>
        <w:t>In RADIANT-4</w:t>
      </w:r>
      <w:r w:rsidR="000B7D4C">
        <w:rPr>
          <w:rFonts w:ascii="Arial" w:hAnsi="Arial" w:cs="Arial"/>
          <w:sz w:val="24"/>
          <w:szCs w:val="24"/>
        </w:rPr>
        <w:t xml:space="preserve">, the </w:t>
      </w:r>
      <w:r w:rsidR="00AE4A3B">
        <w:rPr>
          <w:rFonts w:ascii="Arial" w:hAnsi="Arial" w:cs="Arial"/>
          <w:sz w:val="24"/>
          <w:szCs w:val="24"/>
        </w:rPr>
        <w:t>randomised</w:t>
      </w:r>
      <w:r w:rsidR="002859C7">
        <w:rPr>
          <w:rFonts w:ascii="Arial" w:hAnsi="Arial" w:cs="Arial"/>
          <w:sz w:val="24"/>
          <w:szCs w:val="24"/>
        </w:rPr>
        <w:t xml:space="preserve">, </w:t>
      </w:r>
      <w:r w:rsidR="005A1EA2">
        <w:rPr>
          <w:rFonts w:ascii="Arial" w:hAnsi="Arial" w:cs="Arial"/>
          <w:sz w:val="24"/>
          <w:szCs w:val="24"/>
        </w:rPr>
        <w:t>placebo-controlled</w:t>
      </w:r>
      <w:r w:rsidR="002859C7">
        <w:rPr>
          <w:rFonts w:ascii="Arial" w:hAnsi="Arial" w:cs="Arial"/>
          <w:sz w:val="24"/>
          <w:szCs w:val="24"/>
        </w:rPr>
        <w:t xml:space="preserve"> </w:t>
      </w:r>
      <w:r w:rsidR="000B7D4C">
        <w:rPr>
          <w:rFonts w:ascii="Arial" w:hAnsi="Arial" w:cs="Arial"/>
          <w:sz w:val="24"/>
          <w:szCs w:val="24"/>
        </w:rPr>
        <w:t xml:space="preserve">trial assessing everolimus for the treatment of </w:t>
      </w:r>
      <w:r w:rsidRPr="005A1EA2" w:rsidR="002859C7">
        <w:rPr>
          <w:rFonts w:ascii="Arial" w:hAnsi="Arial" w:cs="Arial"/>
          <w:sz w:val="24"/>
          <w:szCs w:val="24"/>
        </w:rPr>
        <w:t xml:space="preserve">advanced, non-functional </w:t>
      </w:r>
      <w:r w:rsidR="002F0B67">
        <w:rPr>
          <w:rFonts w:ascii="Arial" w:hAnsi="Arial" w:cs="Arial"/>
          <w:sz w:val="24"/>
          <w:szCs w:val="24"/>
        </w:rPr>
        <w:t>NETs</w:t>
      </w:r>
      <w:r w:rsidRPr="005A1EA2" w:rsidR="002859C7">
        <w:rPr>
          <w:rFonts w:ascii="Arial" w:hAnsi="Arial" w:cs="Arial"/>
          <w:sz w:val="24"/>
          <w:szCs w:val="24"/>
        </w:rPr>
        <w:t xml:space="preserve"> of the lung or gastrointestinal tract</w:t>
      </w:r>
      <w:r w:rsidR="002859C7">
        <w:rPr>
          <w:rFonts w:ascii="Arial" w:hAnsi="Arial" w:cs="Arial"/>
          <w:sz w:val="24"/>
          <w:szCs w:val="24"/>
        </w:rPr>
        <w:t xml:space="preserve">, </w:t>
      </w:r>
      <w:r w:rsidR="005948FC">
        <w:rPr>
          <w:rFonts w:ascii="Arial" w:hAnsi="Arial" w:cs="Arial"/>
          <w:sz w:val="24"/>
          <w:szCs w:val="24"/>
        </w:rPr>
        <w:t>PFS</w:t>
      </w:r>
      <w:r w:rsidRPr="00B626E3" w:rsidR="00B626E3">
        <w:rPr>
          <w:rFonts w:ascii="Arial" w:hAnsi="Arial" w:cs="Arial"/>
          <w:sz w:val="24"/>
          <w:szCs w:val="24"/>
        </w:rPr>
        <w:t xml:space="preserve"> was the primary endpoint and</w:t>
      </w:r>
      <w:r w:rsidR="005948FC">
        <w:rPr>
          <w:rFonts w:ascii="Arial" w:hAnsi="Arial" w:cs="Arial"/>
          <w:sz w:val="24"/>
          <w:szCs w:val="24"/>
        </w:rPr>
        <w:t xml:space="preserve"> OS</w:t>
      </w:r>
      <w:r w:rsidRPr="00B626E3" w:rsidR="00B626E3">
        <w:rPr>
          <w:rFonts w:ascii="Arial" w:hAnsi="Arial" w:cs="Arial"/>
          <w:sz w:val="24"/>
          <w:szCs w:val="24"/>
        </w:rPr>
        <w:t xml:space="preserve"> a secondary endpoint, was subject to crossover</w:t>
      </w:r>
      <w:r w:rsidR="00B626E3">
        <w:rPr>
          <w:rFonts w:ascii="Arial" w:hAnsi="Arial" w:cs="Arial"/>
          <w:sz w:val="24"/>
          <w:szCs w:val="24"/>
        </w:rPr>
        <w:t xml:space="preserve">, </w:t>
      </w:r>
      <w:r w:rsidRPr="00B626E3" w:rsidR="00B626E3">
        <w:rPr>
          <w:rFonts w:ascii="Arial" w:hAnsi="Arial" w:cs="Arial"/>
          <w:sz w:val="24"/>
          <w:szCs w:val="24"/>
        </w:rPr>
        <w:t xml:space="preserve">consistent with the design </w:t>
      </w:r>
      <w:r w:rsidRPr="00B626E3" w:rsidR="00A76243">
        <w:rPr>
          <w:rFonts w:ascii="Arial" w:hAnsi="Arial" w:cs="Arial"/>
          <w:sz w:val="24"/>
          <w:szCs w:val="24"/>
        </w:rPr>
        <w:t xml:space="preserve">of </w:t>
      </w:r>
      <w:r w:rsidR="00A76243">
        <w:rPr>
          <w:rFonts w:ascii="Arial" w:hAnsi="Arial" w:cs="Arial"/>
          <w:sz w:val="24"/>
          <w:szCs w:val="24"/>
        </w:rPr>
        <w:t>the</w:t>
      </w:r>
      <w:r w:rsidR="00011626">
        <w:rPr>
          <w:rFonts w:ascii="Arial" w:hAnsi="Arial" w:cs="Arial"/>
          <w:sz w:val="24"/>
          <w:szCs w:val="24"/>
        </w:rPr>
        <w:t xml:space="preserve"> </w:t>
      </w:r>
      <w:r w:rsidRPr="00B626E3" w:rsidR="00B626E3">
        <w:rPr>
          <w:rFonts w:ascii="Arial" w:hAnsi="Arial" w:cs="Arial"/>
          <w:sz w:val="24"/>
          <w:szCs w:val="24"/>
        </w:rPr>
        <w:t>CABINET</w:t>
      </w:r>
      <w:r w:rsidR="005948FC">
        <w:rPr>
          <w:rFonts w:ascii="Arial" w:hAnsi="Arial" w:cs="Arial"/>
          <w:sz w:val="24"/>
          <w:szCs w:val="24"/>
        </w:rPr>
        <w:t xml:space="preserve"> </w:t>
      </w:r>
      <w:r w:rsidR="00011626">
        <w:rPr>
          <w:rFonts w:ascii="Arial" w:hAnsi="Arial" w:cs="Arial"/>
          <w:sz w:val="24"/>
          <w:szCs w:val="24"/>
        </w:rPr>
        <w:t>study</w:t>
      </w:r>
      <w:r w:rsidR="005F77E0">
        <w:rPr>
          <w:rFonts w:ascii="Arial" w:hAnsi="Arial" w:cs="Arial"/>
          <w:sz w:val="24"/>
          <w:szCs w:val="24"/>
        </w:rPr>
        <w:t>. T</w:t>
      </w:r>
      <w:r w:rsidRPr="0080364A">
        <w:rPr>
          <w:rFonts w:ascii="Arial" w:hAnsi="Arial" w:cs="Arial"/>
          <w:sz w:val="24"/>
          <w:szCs w:val="24"/>
        </w:rPr>
        <w:t xml:space="preserve">hese </w:t>
      </w:r>
      <w:r w:rsidR="00534DF0">
        <w:rPr>
          <w:rFonts w:ascii="Arial" w:hAnsi="Arial" w:cs="Arial"/>
          <w:sz w:val="24"/>
          <w:szCs w:val="24"/>
        </w:rPr>
        <w:t>recognised</w:t>
      </w:r>
      <w:r w:rsidR="00211E60">
        <w:rPr>
          <w:rFonts w:ascii="Arial" w:hAnsi="Arial" w:cs="Arial"/>
          <w:sz w:val="24"/>
          <w:szCs w:val="24"/>
        </w:rPr>
        <w:t xml:space="preserve"> </w:t>
      </w:r>
      <w:r w:rsidRPr="0080364A">
        <w:rPr>
          <w:rFonts w:ascii="Arial" w:hAnsi="Arial" w:cs="Arial"/>
          <w:sz w:val="24"/>
          <w:szCs w:val="24"/>
        </w:rPr>
        <w:t>OS benefits have informed cost-effectiveness analyses underpinning NICE recommendations for these therapies.</w:t>
      </w:r>
      <w:r w:rsidR="00353731">
        <w:rPr>
          <w:rFonts w:ascii="Arial" w:hAnsi="Arial" w:cs="Arial"/>
          <w:sz w:val="24"/>
          <w:szCs w:val="24"/>
        </w:rPr>
        <w:t xml:space="preserve"> </w:t>
      </w:r>
      <w:r w:rsidR="005F7FC0">
        <w:rPr>
          <w:rFonts w:ascii="Arial" w:hAnsi="Arial" w:cs="Arial"/>
          <w:sz w:val="24"/>
          <w:szCs w:val="24"/>
        </w:rPr>
        <w:t xml:space="preserve">For example, </w:t>
      </w:r>
      <w:r w:rsidRPr="0080364A">
        <w:rPr>
          <w:rFonts w:ascii="Arial" w:hAnsi="Arial" w:cs="Arial"/>
          <w:sz w:val="24"/>
          <w:szCs w:val="24"/>
        </w:rPr>
        <w:t>NICE previously assessed everolimus and sunitinib for treating unresectable or metastatic NETs in people with progressive disease in a multiple technology appraisal in 2017 (NICE TA449).</w:t>
      </w:r>
      <w:r w:rsidR="009F5AFE">
        <w:rPr>
          <w:rStyle w:val="FootnoteReference"/>
          <w:rFonts w:ascii="Arial" w:hAnsi="Arial" w:cs="Arial"/>
          <w:sz w:val="24"/>
          <w:szCs w:val="24"/>
        </w:rPr>
        <w:footnoteReference w:id="12"/>
      </w:r>
      <w:r w:rsidR="00044D1F">
        <w:rPr>
          <w:rFonts w:ascii="Arial" w:hAnsi="Arial" w:cs="Arial"/>
          <w:sz w:val="24"/>
          <w:szCs w:val="24"/>
        </w:rPr>
        <w:t xml:space="preserve"> </w:t>
      </w:r>
      <w:r w:rsidR="00667F35">
        <w:rPr>
          <w:rFonts w:ascii="Arial" w:hAnsi="Arial" w:cs="Arial"/>
          <w:sz w:val="24"/>
          <w:szCs w:val="24"/>
        </w:rPr>
        <w:t xml:space="preserve">As part of this appraisal, the Appraisal Committee made a </w:t>
      </w:r>
      <w:r w:rsidR="00BD2F63">
        <w:rPr>
          <w:rFonts w:ascii="Arial" w:hAnsi="Arial" w:cs="Arial"/>
          <w:sz w:val="24"/>
          <w:szCs w:val="24"/>
        </w:rPr>
        <w:t xml:space="preserve">positive </w:t>
      </w:r>
      <w:r w:rsidR="00667F35">
        <w:rPr>
          <w:rFonts w:ascii="Arial" w:hAnsi="Arial" w:cs="Arial"/>
          <w:sz w:val="24"/>
          <w:szCs w:val="24"/>
        </w:rPr>
        <w:t>recommendation on everolimus in the pNET population</w:t>
      </w:r>
      <w:r w:rsidR="00401A77">
        <w:rPr>
          <w:rFonts w:ascii="Arial" w:hAnsi="Arial" w:cs="Arial"/>
          <w:sz w:val="24"/>
          <w:szCs w:val="24"/>
        </w:rPr>
        <w:t xml:space="preserve"> </w:t>
      </w:r>
      <w:r w:rsidRPr="0080364A">
        <w:rPr>
          <w:rFonts w:ascii="Arial" w:hAnsi="Arial" w:cs="Arial"/>
          <w:sz w:val="24"/>
          <w:szCs w:val="24"/>
        </w:rPr>
        <w:t>concluding</w:t>
      </w:r>
      <w:r w:rsidR="00E85B97">
        <w:rPr>
          <w:rFonts w:ascii="Arial" w:hAnsi="Arial" w:cs="Arial"/>
          <w:sz w:val="24"/>
          <w:szCs w:val="24"/>
        </w:rPr>
        <w:t xml:space="preserve"> in Section 3.3 of the </w:t>
      </w:r>
      <w:r w:rsidR="00FA5AC0">
        <w:rPr>
          <w:rFonts w:ascii="Arial" w:hAnsi="Arial" w:cs="Arial"/>
          <w:sz w:val="24"/>
          <w:szCs w:val="24"/>
        </w:rPr>
        <w:t>FDG</w:t>
      </w:r>
      <w:r w:rsidRPr="0080364A">
        <w:rPr>
          <w:rFonts w:ascii="Arial" w:hAnsi="Arial" w:cs="Arial"/>
          <w:sz w:val="24"/>
          <w:szCs w:val="24"/>
        </w:rPr>
        <w:t xml:space="preserve"> that “</w:t>
      </w:r>
      <w:r w:rsidRPr="0080364A">
        <w:rPr>
          <w:rFonts w:ascii="Arial" w:hAnsi="Arial" w:cs="Arial"/>
          <w:i/>
          <w:iCs/>
          <w:sz w:val="24"/>
          <w:szCs w:val="24"/>
        </w:rPr>
        <w:t>despite the non-significant overall survival results and high levels of crossover, both everolimus and sunitinib are clinically effective for treating pancreatic NETs</w:t>
      </w:r>
      <w:r w:rsidRPr="0080364A">
        <w:rPr>
          <w:rFonts w:ascii="Arial" w:hAnsi="Arial" w:cs="Arial"/>
          <w:sz w:val="24"/>
          <w:szCs w:val="24"/>
        </w:rPr>
        <w:t>”</w:t>
      </w:r>
      <w:r w:rsidR="00D42C01">
        <w:rPr>
          <w:rFonts w:ascii="Arial" w:hAnsi="Arial" w:cs="Arial"/>
          <w:sz w:val="24"/>
          <w:szCs w:val="24"/>
        </w:rPr>
        <w:t>.</w:t>
      </w:r>
      <w:r w:rsidR="00DA1794">
        <w:rPr>
          <w:rFonts w:ascii="Arial" w:hAnsi="Arial" w:cs="Arial"/>
          <w:sz w:val="24"/>
          <w:szCs w:val="24"/>
        </w:rPr>
        <w:t xml:space="preserve"> </w:t>
      </w:r>
      <w:r w:rsidR="0092122C">
        <w:rPr>
          <w:rFonts w:ascii="Arial" w:hAnsi="Arial" w:cs="Arial"/>
          <w:sz w:val="24"/>
          <w:szCs w:val="24"/>
        </w:rPr>
        <w:t xml:space="preserve">The company </w:t>
      </w:r>
      <w:r w:rsidR="004D7D7B">
        <w:rPr>
          <w:rFonts w:ascii="Arial" w:hAnsi="Arial" w:cs="Arial"/>
          <w:sz w:val="24"/>
          <w:szCs w:val="24"/>
        </w:rPr>
        <w:t xml:space="preserve">highlighted this precedent in </w:t>
      </w:r>
      <w:r w:rsidR="00CB227D">
        <w:rPr>
          <w:rFonts w:ascii="Arial" w:hAnsi="Arial" w:cs="Arial"/>
          <w:sz w:val="24"/>
          <w:szCs w:val="24"/>
        </w:rPr>
        <w:t>the Company</w:t>
      </w:r>
      <w:r w:rsidR="004D7D7B">
        <w:rPr>
          <w:rFonts w:ascii="Arial" w:hAnsi="Arial" w:cs="Arial"/>
          <w:sz w:val="24"/>
          <w:szCs w:val="24"/>
        </w:rPr>
        <w:t xml:space="preserve"> Draft Guidance </w:t>
      </w:r>
      <w:r w:rsidR="00CB227D">
        <w:rPr>
          <w:rFonts w:ascii="Arial" w:hAnsi="Arial" w:cs="Arial"/>
          <w:sz w:val="24"/>
          <w:szCs w:val="24"/>
        </w:rPr>
        <w:t>R</w:t>
      </w:r>
      <w:r w:rsidR="004D7D7B">
        <w:rPr>
          <w:rFonts w:ascii="Arial" w:hAnsi="Arial" w:cs="Arial"/>
          <w:sz w:val="24"/>
          <w:szCs w:val="24"/>
        </w:rPr>
        <w:t>esponse</w:t>
      </w:r>
      <w:r w:rsidR="00DA1794">
        <w:rPr>
          <w:rFonts w:ascii="Arial" w:hAnsi="Arial" w:cs="Arial"/>
          <w:sz w:val="24"/>
          <w:szCs w:val="24"/>
        </w:rPr>
        <w:t xml:space="preserve"> (</w:t>
      </w:r>
      <w:r w:rsidR="006B1945">
        <w:rPr>
          <w:rFonts w:ascii="Arial" w:hAnsi="Arial" w:cs="Arial"/>
          <w:sz w:val="24"/>
          <w:szCs w:val="24"/>
        </w:rPr>
        <w:t>pages 10-12)</w:t>
      </w:r>
      <w:r w:rsidR="001F385F">
        <w:rPr>
          <w:rFonts w:ascii="Arial" w:hAnsi="Arial" w:cs="Arial"/>
          <w:sz w:val="24"/>
          <w:szCs w:val="24"/>
        </w:rPr>
        <w:t xml:space="preserve">. </w:t>
      </w:r>
    </w:p>
    <w:p w:rsidRPr="0080364A" w:rsidR="0092122C" w:rsidP="0080364A" w:rsidRDefault="002F2979" w14:paraId="5768E68D" w14:textId="59ADC84E">
      <w:pPr>
        <w:spacing w:before="120" w:line="360" w:lineRule="auto"/>
        <w:rPr>
          <w:rFonts w:ascii="Arial" w:hAnsi="Arial" w:cs="Arial"/>
          <w:sz w:val="24"/>
          <w:szCs w:val="24"/>
        </w:rPr>
      </w:pPr>
      <w:r>
        <w:rPr>
          <w:rFonts w:ascii="Arial" w:hAnsi="Arial" w:cs="Arial"/>
          <w:sz w:val="24"/>
          <w:szCs w:val="24"/>
        </w:rPr>
        <w:t>T</w:t>
      </w:r>
      <w:r w:rsidR="00F83B8C">
        <w:rPr>
          <w:rFonts w:ascii="Arial" w:hAnsi="Arial" w:cs="Arial"/>
          <w:sz w:val="24"/>
          <w:szCs w:val="24"/>
        </w:rPr>
        <w:t>he</w:t>
      </w:r>
      <w:r w:rsidR="00BA4078">
        <w:rPr>
          <w:rFonts w:ascii="Arial" w:hAnsi="Arial" w:cs="Arial"/>
          <w:sz w:val="24"/>
          <w:szCs w:val="24"/>
        </w:rPr>
        <w:t xml:space="preserve"> Appraisal Committee </w:t>
      </w:r>
      <w:r>
        <w:rPr>
          <w:rFonts w:ascii="Arial" w:hAnsi="Arial" w:cs="Arial"/>
          <w:sz w:val="24"/>
          <w:szCs w:val="24"/>
        </w:rPr>
        <w:t xml:space="preserve">appears to </w:t>
      </w:r>
      <w:r w:rsidR="005F77E0">
        <w:rPr>
          <w:rFonts w:ascii="Arial" w:hAnsi="Arial" w:cs="Arial"/>
          <w:sz w:val="24"/>
          <w:szCs w:val="24"/>
        </w:rPr>
        <w:t xml:space="preserve">seek to </w:t>
      </w:r>
      <w:r w:rsidR="008B003F">
        <w:rPr>
          <w:rFonts w:ascii="Arial" w:hAnsi="Arial" w:cs="Arial"/>
          <w:sz w:val="24"/>
          <w:szCs w:val="24"/>
        </w:rPr>
        <w:t>justif</w:t>
      </w:r>
      <w:r>
        <w:rPr>
          <w:rFonts w:ascii="Arial" w:hAnsi="Arial" w:cs="Arial"/>
          <w:sz w:val="24"/>
          <w:szCs w:val="24"/>
        </w:rPr>
        <w:t>y</w:t>
      </w:r>
      <w:r w:rsidR="00D72B05">
        <w:rPr>
          <w:rFonts w:ascii="Arial" w:hAnsi="Arial" w:cs="Arial"/>
          <w:sz w:val="24"/>
          <w:szCs w:val="24"/>
        </w:rPr>
        <w:t xml:space="preserve"> </w:t>
      </w:r>
      <w:r w:rsidRPr="66DD7EAF" w:rsidR="675DFDC1">
        <w:rPr>
          <w:rFonts w:ascii="Arial" w:hAnsi="Arial" w:cs="Arial"/>
          <w:sz w:val="24"/>
          <w:szCs w:val="24"/>
        </w:rPr>
        <w:t xml:space="preserve">that </w:t>
      </w:r>
      <w:r w:rsidR="00D72B05">
        <w:rPr>
          <w:rFonts w:ascii="Arial" w:hAnsi="Arial" w:cs="Arial"/>
          <w:sz w:val="24"/>
          <w:szCs w:val="24"/>
        </w:rPr>
        <w:t xml:space="preserve">this precedent </w:t>
      </w:r>
      <w:r w:rsidRPr="13AFDD67" w:rsidR="185EA461">
        <w:rPr>
          <w:rFonts w:ascii="Arial" w:hAnsi="Arial" w:cs="Arial"/>
          <w:sz w:val="24"/>
          <w:szCs w:val="24"/>
        </w:rPr>
        <w:t xml:space="preserve">is </w:t>
      </w:r>
      <w:r w:rsidR="00D72B05">
        <w:rPr>
          <w:rFonts w:ascii="Arial" w:hAnsi="Arial" w:cs="Arial"/>
          <w:sz w:val="24"/>
          <w:szCs w:val="24"/>
        </w:rPr>
        <w:t xml:space="preserve">not </w:t>
      </w:r>
      <w:r w:rsidRPr="4A60D8B3" w:rsidR="185EA461">
        <w:rPr>
          <w:rFonts w:ascii="Arial" w:hAnsi="Arial" w:cs="Arial"/>
          <w:sz w:val="24"/>
          <w:szCs w:val="24"/>
        </w:rPr>
        <w:t xml:space="preserve"> </w:t>
      </w:r>
      <w:r w:rsidRPr="1C05043E" w:rsidR="185EA461">
        <w:rPr>
          <w:rFonts w:ascii="Arial" w:hAnsi="Arial" w:cs="Arial"/>
          <w:sz w:val="24"/>
          <w:szCs w:val="24"/>
        </w:rPr>
        <w:t xml:space="preserve"> </w:t>
      </w:r>
      <w:r w:rsidRPr="09FDE8B2" w:rsidR="185EA461">
        <w:rPr>
          <w:rFonts w:ascii="Arial" w:hAnsi="Arial" w:cs="Arial"/>
          <w:sz w:val="24"/>
          <w:szCs w:val="24"/>
        </w:rPr>
        <w:t>relevant</w:t>
      </w:r>
      <w:r w:rsidRPr="608F962D" w:rsidR="20DEB82C">
        <w:rPr>
          <w:rFonts w:ascii="Arial" w:hAnsi="Arial" w:cs="Arial"/>
          <w:sz w:val="24"/>
          <w:szCs w:val="24"/>
        </w:rPr>
        <w:t xml:space="preserve"> to </w:t>
      </w:r>
      <w:r w:rsidRPr="688720F8" w:rsidR="20DEB82C">
        <w:rPr>
          <w:rFonts w:ascii="Arial" w:hAnsi="Arial" w:cs="Arial"/>
          <w:sz w:val="24"/>
          <w:szCs w:val="24"/>
        </w:rPr>
        <w:t xml:space="preserve">the </w:t>
      </w:r>
      <w:r w:rsidRPr="1DFD4DB0" w:rsidR="20DEB82C">
        <w:rPr>
          <w:rFonts w:ascii="Arial" w:hAnsi="Arial" w:cs="Arial"/>
          <w:sz w:val="24"/>
          <w:szCs w:val="24"/>
        </w:rPr>
        <w:t xml:space="preserve">appraisal of </w:t>
      </w:r>
      <w:r w:rsidRPr="041CAFAD" w:rsidR="20DEB82C">
        <w:rPr>
          <w:rFonts w:ascii="Arial" w:hAnsi="Arial" w:cs="Arial"/>
          <w:sz w:val="24"/>
          <w:szCs w:val="24"/>
        </w:rPr>
        <w:t>ID6474</w:t>
      </w:r>
      <w:r w:rsidR="0019646E">
        <w:rPr>
          <w:rFonts w:ascii="Arial" w:hAnsi="Arial" w:cs="Arial"/>
          <w:sz w:val="24"/>
          <w:szCs w:val="24"/>
        </w:rPr>
        <w:t>,</w:t>
      </w:r>
      <w:r w:rsidR="00D72B05">
        <w:rPr>
          <w:rFonts w:ascii="Arial" w:hAnsi="Arial" w:cs="Arial"/>
          <w:sz w:val="24"/>
          <w:szCs w:val="24"/>
        </w:rPr>
        <w:t xml:space="preserve"> </w:t>
      </w:r>
      <w:r w:rsidRPr="2C5FFA48" w:rsidR="26DF2B75">
        <w:rPr>
          <w:rFonts w:ascii="Arial" w:hAnsi="Arial" w:cs="Arial"/>
          <w:sz w:val="24"/>
          <w:szCs w:val="24"/>
        </w:rPr>
        <w:t>noting</w:t>
      </w:r>
      <w:r w:rsidR="00D72B05">
        <w:rPr>
          <w:rFonts w:ascii="Arial" w:hAnsi="Arial" w:cs="Arial"/>
          <w:sz w:val="24"/>
          <w:szCs w:val="24"/>
        </w:rPr>
        <w:t xml:space="preserve"> in the </w:t>
      </w:r>
      <w:r w:rsidR="00054737">
        <w:rPr>
          <w:rFonts w:ascii="Arial" w:hAnsi="Arial" w:cs="Arial"/>
          <w:sz w:val="24"/>
          <w:szCs w:val="24"/>
        </w:rPr>
        <w:t>FDG</w:t>
      </w:r>
      <w:r w:rsidR="00085A35">
        <w:rPr>
          <w:rFonts w:ascii="Arial" w:hAnsi="Arial" w:cs="Arial"/>
          <w:sz w:val="24"/>
          <w:szCs w:val="24"/>
        </w:rPr>
        <w:t xml:space="preserve"> </w:t>
      </w:r>
      <w:r w:rsidRPr="15F7A429" w:rsidR="26DF2B75">
        <w:rPr>
          <w:rFonts w:ascii="Arial" w:hAnsi="Arial" w:cs="Arial"/>
          <w:sz w:val="24"/>
          <w:szCs w:val="24"/>
        </w:rPr>
        <w:t xml:space="preserve">that this is </w:t>
      </w:r>
      <w:r w:rsidRPr="0719C73D" w:rsidR="26DF2B75">
        <w:rPr>
          <w:rFonts w:ascii="Arial" w:hAnsi="Arial" w:cs="Arial"/>
          <w:sz w:val="24"/>
          <w:szCs w:val="24"/>
        </w:rPr>
        <w:t xml:space="preserve">due to </w:t>
      </w:r>
      <w:r w:rsidRPr="113EC1A9" w:rsidR="26DF2B75">
        <w:rPr>
          <w:rFonts w:ascii="Arial" w:hAnsi="Arial" w:cs="Arial"/>
          <w:sz w:val="24"/>
          <w:szCs w:val="24"/>
        </w:rPr>
        <w:t>the fact that</w:t>
      </w:r>
      <w:r w:rsidR="00BA4078">
        <w:rPr>
          <w:rFonts w:ascii="Arial" w:hAnsi="Arial" w:cs="Arial"/>
          <w:sz w:val="24"/>
          <w:szCs w:val="24"/>
        </w:rPr>
        <w:t xml:space="preserve"> “</w:t>
      </w:r>
      <w:r w:rsidRPr="00715A70" w:rsidR="00A73054">
        <w:rPr>
          <w:rFonts w:ascii="Arial" w:hAnsi="Arial" w:cs="Arial"/>
          <w:i/>
          <w:iCs/>
          <w:sz w:val="24"/>
          <w:szCs w:val="24"/>
        </w:rPr>
        <w:t>In this evaluation, at least some of the possible HRs numerically favoured best supportive care</w:t>
      </w:r>
      <w:r w:rsidR="00A73054">
        <w:rPr>
          <w:rFonts w:ascii="Arial" w:hAnsi="Arial" w:cs="Arial"/>
          <w:sz w:val="24"/>
          <w:szCs w:val="24"/>
        </w:rPr>
        <w:t>”</w:t>
      </w:r>
      <w:r w:rsidR="00715A70">
        <w:rPr>
          <w:rFonts w:ascii="Arial" w:hAnsi="Arial" w:cs="Arial"/>
          <w:sz w:val="24"/>
          <w:szCs w:val="24"/>
        </w:rPr>
        <w:t xml:space="preserve"> (Section 3.8)</w:t>
      </w:r>
      <w:r w:rsidR="00BD04D9">
        <w:rPr>
          <w:rFonts w:ascii="Arial" w:hAnsi="Arial" w:cs="Arial"/>
          <w:sz w:val="24"/>
          <w:szCs w:val="24"/>
        </w:rPr>
        <w:t xml:space="preserve"> which the EAG also refer to as a “</w:t>
      </w:r>
      <w:r w:rsidRPr="00EF5E0B" w:rsidR="00BD04D9">
        <w:rPr>
          <w:rFonts w:ascii="Arial" w:hAnsi="Arial" w:cs="Arial"/>
          <w:i/>
          <w:iCs/>
          <w:sz w:val="24"/>
          <w:szCs w:val="24"/>
        </w:rPr>
        <w:t>crucial difference</w:t>
      </w:r>
      <w:r w:rsidR="00BD04D9">
        <w:rPr>
          <w:rFonts w:ascii="Arial" w:hAnsi="Arial" w:cs="Arial"/>
          <w:sz w:val="24"/>
          <w:szCs w:val="24"/>
        </w:rPr>
        <w:t>” (</w:t>
      </w:r>
      <w:r w:rsidRPr="00CA56F5" w:rsidR="00CA56F5">
        <w:rPr>
          <w:rFonts w:ascii="Arial" w:hAnsi="Arial" w:cs="Arial"/>
          <w:sz w:val="24"/>
          <w:szCs w:val="24"/>
        </w:rPr>
        <w:t xml:space="preserve">EAG </w:t>
      </w:r>
      <w:r w:rsidR="00FA5AC0">
        <w:rPr>
          <w:rFonts w:ascii="Arial" w:hAnsi="Arial" w:cs="Arial"/>
          <w:sz w:val="24"/>
          <w:szCs w:val="24"/>
        </w:rPr>
        <w:t>R</w:t>
      </w:r>
      <w:r w:rsidRPr="00CA56F5" w:rsidR="00CA56F5">
        <w:rPr>
          <w:rFonts w:ascii="Arial" w:hAnsi="Arial" w:cs="Arial"/>
          <w:sz w:val="24"/>
          <w:szCs w:val="24"/>
        </w:rPr>
        <w:t xml:space="preserve">esponse to </w:t>
      </w:r>
      <w:r w:rsidR="00FA5AC0">
        <w:rPr>
          <w:rFonts w:ascii="Arial" w:hAnsi="Arial" w:cs="Arial"/>
          <w:sz w:val="24"/>
          <w:szCs w:val="24"/>
        </w:rPr>
        <w:t>D</w:t>
      </w:r>
      <w:r w:rsidRPr="00CA56F5" w:rsidR="00CA56F5">
        <w:rPr>
          <w:rFonts w:ascii="Arial" w:hAnsi="Arial" w:cs="Arial"/>
          <w:sz w:val="24"/>
          <w:szCs w:val="24"/>
        </w:rPr>
        <w:t xml:space="preserve">raft </w:t>
      </w:r>
      <w:r w:rsidR="00FA5AC0">
        <w:rPr>
          <w:rFonts w:ascii="Arial" w:hAnsi="Arial" w:cs="Arial"/>
          <w:sz w:val="24"/>
          <w:szCs w:val="24"/>
        </w:rPr>
        <w:t>G</w:t>
      </w:r>
      <w:r w:rsidRPr="00CA56F5" w:rsidR="00CA56F5">
        <w:rPr>
          <w:rFonts w:ascii="Arial" w:hAnsi="Arial" w:cs="Arial"/>
          <w:sz w:val="24"/>
          <w:szCs w:val="24"/>
        </w:rPr>
        <w:t>uidance</w:t>
      </w:r>
      <w:r w:rsidR="00CA56F5">
        <w:rPr>
          <w:rFonts w:ascii="Arial" w:hAnsi="Arial" w:cs="Arial"/>
          <w:sz w:val="24"/>
          <w:szCs w:val="24"/>
        </w:rPr>
        <w:t>, page 5).</w:t>
      </w:r>
      <w:r w:rsidR="00A3706B">
        <w:rPr>
          <w:rFonts w:ascii="Arial" w:hAnsi="Arial" w:cs="Arial"/>
          <w:sz w:val="24"/>
          <w:szCs w:val="24"/>
        </w:rPr>
        <w:t xml:space="preserve"> This distinct</w:t>
      </w:r>
      <w:r w:rsidR="006E41A7">
        <w:rPr>
          <w:rFonts w:ascii="Arial" w:hAnsi="Arial" w:cs="Arial"/>
          <w:sz w:val="24"/>
          <w:szCs w:val="24"/>
        </w:rPr>
        <w:t>ion</w:t>
      </w:r>
      <w:r w:rsidR="00A3706B">
        <w:rPr>
          <w:rFonts w:ascii="Arial" w:hAnsi="Arial" w:cs="Arial"/>
          <w:sz w:val="24"/>
          <w:szCs w:val="24"/>
        </w:rPr>
        <w:t xml:space="preserve"> relies on the </w:t>
      </w:r>
      <w:r w:rsidR="00843A60">
        <w:rPr>
          <w:rFonts w:ascii="Arial" w:hAnsi="Arial" w:cs="Arial"/>
          <w:sz w:val="24"/>
          <w:szCs w:val="24"/>
        </w:rPr>
        <w:t xml:space="preserve">Appraisal Committee’s conclusion that the </w:t>
      </w:r>
      <w:r w:rsidR="00783DD9">
        <w:rPr>
          <w:rFonts w:ascii="Arial" w:hAnsi="Arial" w:cs="Arial"/>
          <w:sz w:val="24"/>
          <w:szCs w:val="24"/>
        </w:rPr>
        <w:t xml:space="preserve">IPCW </w:t>
      </w:r>
      <w:r w:rsidR="00151F1E">
        <w:rPr>
          <w:rFonts w:ascii="Arial" w:hAnsi="Arial" w:cs="Arial"/>
          <w:sz w:val="24"/>
          <w:szCs w:val="24"/>
        </w:rPr>
        <w:t xml:space="preserve">cannot be </w:t>
      </w:r>
      <w:r w:rsidR="00FD508D">
        <w:rPr>
          <w:rFonts w:ascii="Arial" w:hAnsi="Arial" w:cs="Arial"/>
          <w:sz w:val="24"/>
          <w:szCs w:val="24"/>
        </w:rPr>
        <w:t>preferred to the</w:t>
      </w:r>
      <w:r w:rsidR="007C6313">
        <w:rPr>
          <w:rFonts w:ascii="Arial" w:hAnsi="Arial" w:cs="Arial"/>
          <w:sz w:val="24"/>
          <w:szCs w:val="24"/>
        </w:rPr>
        <w:t xml:space="preserve"> RPSFTM</w:t>
      </w:r>
      <w:r w:rsidR="009C5E0F">
        <w:rPr>
          <w:rFonts w:ascii="Arial" w:hAnsi="Arial" w:cs="Arial"/>
          <w:sz w:val="24"/>
          <w:szCs w:val="24"/>
        </w:rPr>
        <w:t xml:space="preserve"> as a method to adjust for crossover</w:t>
      </w:r>
      <w:r w:rsidR="00664E3C">
        <w:rPr>
          <w:rFonts w:ascii="Arial" w:hAnsi="Arial" w:cs="Arial"/>
          <w:sz w:val="24"/>
          <w:szCs w:val="24"/>
        </w:rPr>
        <w:t xml:space="preserve">, </w:t>
      </w:r>
      <w:r w:rsidRPr="50169D81" w:rsidR="62808BD1">
        <w:rPr>
          <w:rFonts w:ascii="Arial" w:hAnsi="Arial" w:cs="Arial"/>
          <w:sz w:val="24"/>
          <w:szCs w:val="24"/>
        </w:rPr>
        <w:t xml:space="preserve">an </w:t>
      </w:r>
      <w:r w:rsidRPr="2AD62024" w:rsidR="62808BD1">
        <w:rPr>
          <w:rFonts w:ascii="Arial" w:hAnsi="Arial" w:cs="Arial"/>
          <w:sz w:val="24"/>
          <w:szCs w:val="24"/>
        </w:rPr>
        <w:t>assumption</w:t>
      </w:r>
      <w:r w:rsidR="00664E3C">
        <w:rPr>
          <w:rFonts w:ascii="Arial" w:hAnsi="Arial" w:cs="Arial"/>
          <w:sz w:val="24"/>
          <w:szCs w:val="24"/>
        </w:rPr>
        <w:t xml:space="preserve"> which the company refutes as outlined in appeal point 2.3.</w:t>
      </w:r>
    </w:p>
    <w:p w:rsidR="00C369DC" w:rsidP="0080364A" w:rsidRDefault="004010F5" w14:paraId="08EC407C" w14:textId="2F204915">
      <w:pPr>
        <w:spacing w:before="120" w:line="36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_Ref227844825 \h  \* MERGEFORMAT </w:instrText>
      </w:r>
      <w:r>
        <w:rPr>
          <w:rFonts w:ascii="Arial" w:hAnsi="Arial" w:cs="Arial"/>
          <w:sz w:val="24"/>
          <w:szCs w:val="24"/>
        </w:rPr>
      </w:r>
      <w:r>
        <w:rPr>
          <w:rFonts w:ascii="Arial" w:hAnsi="Arial" w:cs="Arial"/>
          <w:sz w:val="24"/>
          <w:szCs w:val="24"/>
        </w:rPr>
        <w:fldChar w:fldCharType="separate"/>
      </w:r>
      <w:r w:rsidRPr="00812C00" w:rsidR="00812C00">
        <w:rPr>
          <w:rFonts w:ascii="Arial" w:hAnsi="Arial" w:cs="Arial"/>
          <w:sz w:val="24"/>
          <w:szCs w:val="24"/>
        </w:rPr>
        <w:t>Table 3</w:t>
      </w:r>
      <w:r>
        <w:rPr>
          <w:rFonts w:ascii="Arial" w:hAnsi="Arial" w:cs="Arial"/>
          <w:sz w:val="24"/>
          <w:szCs w:val="24"/>
        </w:rPr>
        <w:fldChar w:fldCharType="end"/>
      </w:r>
      <w:r>
        <w:rPr>
          <w:rFonts w:ascii="Arial" w:hAnsi="Arial" w:cs="Arial"/>
          <w:sz w:val="24"/>
          <w:szCs w:val="24"/>
        </w:rPr>
        <w:t xml:space="preserve"> </w:t>
      </w:r>
      <w:r w:rsidRPr="0080364A" w:rsidR="00D64232">
        <w:rPr>
          <w:rFonts w:ascii="Arial" w:hAnsi="Arial" w:cs="Arial"/>
          <w:sz w:val="24"/>
          <w:szCs w:val="24"/>
        </w:rPr>
        <w:t xml:space="preserve">compares the PFS and OS HRs from </w:t>
      </w:r>
      <w:r w:rsidRPr="00962C4C" w:rsidR="00962C4C">
        <w:rPr>
          <w:rFonts w:ascii="Arial" w:hAnsi="Arial" w:cs="Arial"/>
          <w:sz w:val="24"/>
          <w:szCs w:val="24"/>
        </w:rPr>
        <w:t>RADIANT-3 for everolimus vs BSC in pNET</w:t>
      </w:r>
      <w:r w:rsidR="006E41A7">
        <w:rPr>
          <w:rFonts w:ascii="Arial" w:hAnsi="Arial" w:cs="Arial"/>
          <w:sz w:val="24"/>
          <w:szCs w:val="24"/>
        </w:rPr>
        <w:t>s</w:t>
      </w:r>
      <w:r w:rsidRPr="00962C4C" w:rsidR="00962C4C">
        <w:rPr>
          <w:rFonts w:ascii="Arial" w:hAnsi="Arial" w:cs="Arial"/>
          <w:sz w:val="24"/>
          <w:szCs w:val="24"/>
        </w:rPr>
        <w:t xml:space="preserve"> (TA449) and CABINET for cabozantinib vs BSC in epNETs (ID6474)</w:t>
      </w:r>
      <w:r w:rsidR="00962C4C">
        <w:rPr>
          <w:rFonts w:ascii="Arial" w:hAnsi="Arial" w:cs="Arial"/>
          <w:sz w:val="24"/>
          <w:szCs w:val="24"/>
        </w:rPr>
        <w:t>.</w:t>
      </w:r>
      <w:r w:rsidR="00B42372">
        <w:rPr>
          <w:rFonts w:ascii="Arial" w:hAnsi="Arial" w:cs="Arial"/>
          <w:sz w:val="24"/>
          <w:szCs w:val="24"/>
        </w:rPr>
        <w:t xml:space="preserve"> </w:t>
      </w:r>
      <w:r w:rsidR="00321724">
        <w:rPr>
          <w:rFonts w:ascii="Arial" w:hAnsi="Arial" w:cs="Arial"/>
          <w:sz w:val="24"/>
          <w:szCs w:val="24"/>
        </w:rPr>
        <w:t>In both appraisals, the PFS HR</w:t>
      </w:r>
      <w:r w:rsidR="0089683B">
        <w:rPr>
          <w:rFonts w:ascii="Arial" w:hAnsi="Arial" w:cs="Arial"/>
          <w:sz w:val="24"/>
          <w:szCs w:val="24"/>
        </w:rPr>
        <w:t>s</w:t>
      </w:r>
      <w:r w:rsidR="00321724">
        <w:rPr>
          <w:rFonts w:ascii="Arial" w:hAnsi="Arial" w:cs="Arial"/>
          <w:sz w:val="24"/>
          <w:szCs w:val="24"/>
        </w:rPr>
        <w:t xml:space="preserve"> are comparable (0.35 vs 0.38). </w:t>
      </w:r>
      <w:r w:rsidR="00760C8D">
        <w:rPr>
          <w:rFonts w:ascii="Arial" w:hAnsi="Arial" w:cs="Arial"/>
          <w:sz w:val="24"/>
          <w:szCs w:val="24"/>
        </w:rPr>
        <w:t xml:space="preserve">Following </w:t>
      </w:r>
      <w:r w:rsidR="005D4662">
        <w:rPr>
          <w:rFonts w:ascii="Arial" w:hAnsi="Arial" w:cs="Arial"/>
          <w:sz w:val="24"/>
          <w:szCs w:val="24"/>
        </w:rPr>
        <w:t xml:space="preserve">crossover adjustment, </w:t>
      </w:r>
      <w:r w:rsidR="00AB078E">
        <w:rPr>
          <w:rFonts w:ascii="Arial" w:hAnsi="Arial" w:cs="Arial"/>
          <w:sz w:val="24"/>
          <w:szCs w:val="24"/>
        </w:rPr>
        <w:t xml:space="preserve">whilst the treatment effect for </w:t>
      </w:r>
      <w:r w:rsidR="00FA49CC">
        <w:rPr>
          <w:rFonts w:ascii="Arial" w:hAnsi="Arial" w:cs="Arial"/>
          <w:sz w:val="24"/>
          <w:szCs w:val="24"/>
        </w:rPr>
        <w:t xml:space="preserve">everolimus </w:t>
      </w:r>
      <w:r w:rsidR="00EC622A">
        <w:rPr>
          <w:rFonts w:ascii="Arial" w:hAnsi="Arial" w:cs="Arial"/>
          <w:sz w:val="24"/>
          <w:szCs w:val="24"/>
        </w:rPr>
        <w:t xml:space="preserve">is </w:t>
      </w:r>
      <w:r w:rsidR="002D68A4">
        <w:rPr>
          <w:rFonts w:ascii="Arial" w:hAnsi="Arial" w:cs="Arial"/>
          <w:sz w:val="24"/>
          <w:szCs w:val="24"/>
        </w:rPr>
        <w:t xml:space="preserve">slightly </w:t>
      </w:r>
      <w:r w:rsidR="00EC622A">
        <w:rPr>
          <w:rFonts w:ascii="Arial" w:hAnsi="Arial" w:cs="Arial"/>
          <w:sz w:val="24"/>
          <w:szCs w:val="24"/>
        </w:rPr>
        <w:t>stronger</w:t>
      </w:r>
      <w:r w:rsidR="002D68A4">
        <w:rPr>
          <w:rFonts w:ascii="Arial" w:hAnsi="Arial" w:cs="Arial"/>
          <w:sz w:val="24"/>
          <w:szCs w:val="24"/>
        </w:rPr>
        <w:t xml:space="preserve"> than cabozantinib</w:t>
      </w:r>
      <w:r w:rsidR="00C04741">
        <w:rPr>
          <w:rFonts w:ascii="Arial" w:hAnsi="Arial" w:cs="Arial"/>
          <w:sz w:val="24"/>
          <w:szCs w:val="24"/>
        </w:rPr>
        <w:t xml:space="preserve"> (0</w:t>
      </w:r>
      <w:r w:rsidR="0070081F">
        <w:rPr>
          <w:rFonts w:ascii="Arial" w:hAnsi="Arial" w:cs="Arial"/>
          <w:sz w:val="24"/>
          <w:szCs w:val="24"/>
        </w:rPr>
        <w:t>.60 vs</w:t>
      </w:r>
      <w:r w:rsidR="00E559F7">
        <w:rPr>
          <w:rFonts w:ascii="Arial" w:hAnsi="Arial" w:cs="Arial"/>
          <w:sz w:val="24"/>
          <w:szCs w:val="24"/>
        </w:rPr>
        <w:t xml:space="preserve"> </w:t>
      </w:r>
      <w:proofErr w:type="spellStart"/>
      <w:r w:rsidRPr="00E559F7" w:rsidR="00E559F7">
        <w:rPr>
          <w:rFonts w:ascii="Arial" w:hAnsi="Arial" w:cs="Arial"/>
          <w:sz w:val="24"/>
          <w:szCs w:val="24"/>
          <w:highlight w:val="black"/>
          <w:u w:val="single"/>
        </w:rPr>
        <w:t>xxxx</w:t>
      </w:r>
      <w:proofErr w:type="spellEnd"/>
      <w:r w:rsidR="0070081F">
        <w:rPr>
          <w:rFonts w:ascii="Arial" w:hAnsi="Arial" w:cs="Arial"/>
          <w:sz w:val="24"/>
          <w:szCs w:val="24"/>
        </w:rPr>
        <w:t>)</w:t>
      </w:r>
      <w:r w:rsidR="002D68A4">
        <w:rPr>
          <w:rFonts w:ascii="Arial" w:hAnsi="Arial" w:cs="Arial"/>
          <w:sz w:val="24"/>
          <w:szCs w:val="24"/>
        </w:rPr>
        <w:t>, we note the narrower 95% confidence intervals</w:t>
      </w:r>
      <w:r w:rsidR="00AD456C">
        <w:rPr>
          <w:rFonts w:ascii="Arial" w:hAnsi="Arial" w:cs="Arial"/>
          <w:sz w:val="24"/>
          <w:szCs w:val="24"/>
        </w:rPr>
        <w:t xml:space="preserve"> (CI)</w:t>
      </w:r>
      <w:r w:rsidR="002D68A4">
        <w:rPr>
          <w:rFonts w:ascii="Arial" w:hAnsi="Arial" w:cs="Arial"/>
          <w:sz w:val="24"/>
          <w:szCs w:val="24"/>
        </w:rPr>
        <w:t xml:space="preserve"> </w:t>
      </w:r>
      <w:r w:rsidR="0033471D">
        <w:rPr>
          <w:rFonts w:ascii="Arial" w:hAnsi="Arial" w:cs="Arial"/>
          <w:sz w:val="24"/>
          <w:szCs w:val="24"/>
        </w:rPr>
        <w:t>which indicate more certainty over the treatment effect.</w:t>
      </w:r>
      <w:r w:rsidR="00A25AAB">
        <w:rPr>
          <w:rFonts w:ascii="Arial" w:hAnsi="Arial" w:cs="Arial"/>
          <w:sz w:val="24"/>
          <w:szCs w:val="24"/>
        </w:rPr>
        <w:t xml:space="preserve"> </w:t>
      </w:r>
      <w:r w:rsidRPr="00574194" w:rsidR="00574194">
        <w:rPr>
          <w:rFonts w:ascii="Arial" w:hAnsi="Arial" w:cs="Arial"/>
          <w:sz w:val="24"/>
          <w:szCs w:val="24"/>
        </w:rPr>
        <w:t>Despite this, the Appraisal Committee does not appear to have considered the greater certainty of the treatment effect, representing an overly conservative and inconsistent interpretation of the evidence, particularly in light of previous appraisals where substantially wider confidence intervals were accepted.</w:t>
      </w:r>
    </w:p>
    <w:p w:rsidRPr="00A030E5" w:rsidR="00905E35" w:rsidP="00905E35" w:rsidRDefault="00905E35" w14:paraId="1BC1704B" w14:textId="3C91D1A5">
      <w:pPr>
        <w:pStyle w:val="Caption"/>
        <w:rPr>
          <w:rFonts w:ascii="Arial" w:hAnsi="Arial" w:cs="Arial"/>
          <w:b/>
          <w:bCs/>
          <w:i w:val="0"/>
          <w:iCs w:val="0"/>
          <w:color w:val="000000" w:themeColor="text1"/>
          <w:sz w:val="24"/>
          <w:szCs w:val="24"/>
        </w:rPr>
      </w:pPr>
      <w:bookmarkStart w:name="_Ref227844825" w:id="3"/>
      <w:r w:rsidRPr="00A030E5">
        <w:rPr>
          <w:rFonts w:ascii="Arial" w:hAnsi="Arial" w:cs="Arial"/>
          <w:b/>
          <w:bCs/>
          <w:i w:val="0"/>
          <w:iCs w:val="0"/>
          <w:color w:val="000000" w:themeColor="text1"/>
          <w:sz w:val="24"/>
          <w:szCs w:val="24"/>
        </w:rPr>
        <w:t xml:space="preserve">Table </w:t>
      </w:r>
      <w:r w:rsidRPr="00A030E5">
        <w:rPr>
          <w:rFonts w:ascii="Arial" w:hAnsi="Arial" w:cs="Arial"/>
          <w:b/>
          <w:bCs/>
          <w:i w:val="0"/>
          <w:iCs w:val="0"/>
          <w:color w:val="000000" w:themeColor="text1"/>
          <w:sz w:val="24"/>
          <w:szCs w:val="24"/>
        </w:rPr>
        <w:fldChar w:fldCharType="begin"/>
      </w:r>
      <w:r w:rsidRPr="00A030E5">
        <w:rPr>
          <w:rFonts w:ascii="Arial" w:hAnsi="Arial" w:cs="Arial"/>
          <w:b/>
          <w:bCs/>
          <w:i w:val="0"/>
          <w:iCs w:val="0"/>
          <w:color w:val="000000" w:themeColor="text1"/>
          <w:sz w:val="24"/>
          <w:szCs w:val="24"/>
        </w:rPr>
        <w:instrText xml:space="preserve"> SEQ Table \* ARABIC </w:instrText>
      </w:r>
      <w:r w:rsidRPr="00A030E5">
        <w:rPr>
          <w:rFonts w:ascii="Arial" w:hAnsi="Arial" w:cs="Arial"/>
          <w:b/>
          <w:bCs/>
          <w:i w:val="0"/>
          <w:iCs w:val="0"/>
          <w:color w:val="000000" w:themeColor="text1"/>
          <w:sz w:val="24"/>
          <w:szCs w:val="24"/>
        </w:rPr>
        <w:fldChar w:fldCharType="separate"/>
      </w:r>
      <w:r w:rsidR="00812C00">
        <w:rPr>
          <w:rFonts w:ascii="Arial" w:hAnsi="Arial" w:cs="Arial"/>
          <w:b/>
          <w:bCs/>
          <w:i w:val="0"/>
          <w:iCs w:val="0"/>
          <w:noProof/>
          <w:color w:val="000000" w:themeColor="text1"/>
          <w:sz w:val="24"/>
          <w:szCs w:val="24"/>
        </w:rPr>
        <w:t>3</w:t>
      </w:r>
      <w:r w:rsidRPr="00A030E5">
        <w:rPr>
          <w:rFonts w:ascii="Arial" w:hAnsi="Arial" w:cs="Arial"/>
          <w:b/>
          <w:bCs/>
          <w:i w:val="0"/>
          <w:iCs w:val="0"/>
          <w:color w:val="000000" w:themeColor="text1"/>
          <w:sz w:val="24"/>
          <w:szCs w:val="24"/>
        </w:rPr>
        <w:fldChar w:fldCharType="end"/>
      </w:r>
      <w:bookmarkEnd w:id="3"/>
      <w:r w:rsidRPr="00A030E5">
        <w:rPr>
          <w:rFonts w:ascii="Arial" w:hAnsi="Arial" w:cs="Arial"/>
          <w:b/>
          <w:bCs/>
          <w:i w:val="0"/>
          <w:iCs w:val="0"/>
          <w:color w:val="000000" w:themeColor="text1"/>
          <w:sz w:val="24"/>
          <w:szCs w:val="24"/>
        </w:rPr>
        <w:t xml:space="preserve">: </w:t>
      </w:r>
      <w:r w:rsidRPr="00A030E5" w:rsidR="000E35C4">
        <w:rPr>
          <w:rFonts w:ascii="Arial" w:hAnsi="Arial" w:cs="Arial"/>
          <w:b/>
          <w:bCs/>
          <w:i w:val="0"/>
          <w:iCs w:val="0"/>
          <w:color w:val="000000" w:themeColor="text1"/>
          <w:sz w:val="24"/>
          <w:szCs w:val="24"/>
        </w:rPr>
        <w:t>PFS and OS HRs of</w:t>
      </w:r>
      <w:r w:rsidRPr="00A030E5" w:rsidR="00CF55F0">
        <w:rPr>
          <w:rFonts w:ascii="Arial" w:hAnsi="Arial" w:cs="Arial"/>
          <w:b/>
          <w:bCs/>
          <w:i w:val="0"/>
          <w:iCs w:val="0"/>
          <w:color w:val="000000" w:themeColor="text1"/>
          <w:sz w:val="24"/>
          <w:szCs w:val="24"/>
        </w:rPr>
        <w:t xml:space="preserve"> RADIA</w:t>
      </w:r>
      <w:r w:rsidRPr="00A030E5" w:rsidR="0057007D">
        <w:rPr>
          <w:rFonts w:ascii="Arial" w:hAnsi="Arial" w:cs="Arial"/>
          <w:b/>
          <w:bCs/>
          <w:i w:val="0"/>
          <w:iCs w:val="0"/>
          <w:color w:val="000000" w:themeColor="text1"/>
          <w:sz w:val="24"/>
          <w:szCs w:val="24"/>
        </w:rPr>
        <w:t>NT-3</w:t>
      </w:r>
      <w:r w:rsidRPr="00A030E5" w:rsidR="00752F15">
        <w:rPr>
          <w:rFonts w:ascii="Arial" w:hAnsi="Arial" w:cs="Arial"/>
          <w:b/>
          <w:bCs/>
          <w:i w:val="0"/>
          <w:iCs w:val="0"/>
          <w:color w:val="000000" w:themeColor="text1"/>
          <w:sz w:val="24"/>
          <w:szCs w:val="24"/>
        </w:rPr>
        <w:t xml:space="preserve"> </w:t>
      </w:r>
      <w:r w:rsidRPr="00A030E5" w:rsidR="00FD2521">
        <w:rPr>
          <w:rFonts w:ascii="Arial" w:hAnsi="Arial" w:cs="Arial"/>
          <w:b/>
          <w:bCs/>
          <w:i w:val="0"/>
          <w:iCs w:val="0"/>
          <w:color w:val="000000" w:themeColor="text1"/>
          <w:sz w:val="24"/>
          <w:szCs w:val="24"/>
        </w:rPr>
        <w:t>for everolimus</w:t>
      </w:r>
      <w:r w:rsidR="00F3392C">
        <w:rPr>
          <w:rFonts w:ascii="Arial" w:hAnsi="Arial" w:cs="Arial"/>
          <w:b/>
          <w:bCs/>
          <w:i w:val="0"/>
          <w:iCs w:val="0"/>
          <w:color w:val="000000" w:themeColor="text1"/>
          <w:sz w:val="24"/>
          <w:szCs w:val="24"/>
        </w:rPr>
        <w:t xml:space="preserve"> vs BSC</w:t>
      </w:r>
      <w:r w:rsidRPr="00A030E5" w:rsidR="00FD2521">
        <w:rPr>
          <w:rFonts w:ascii="Arial" w:hAnsi="Arial" w:cs="Arial"/>
          <w:b/>
          <w:bCs/>
          <w:i w:val="0"/>
          <w:iCs w:val="0"/>
          <w:color w:val="000000" w:themeColor="text1"/>
          <w:sz w:val="24"/>
          <w:szCs w:val="24"/>
        </w:rPr>
        <w:t xml:space="preserve"> in pNET</w:t>
      </w:r>
      <w:r w:rsidR="0089683B">
        <w:rPr>
          <w:rFonts w:ascii="Arial" w:hAnsi="Arial" w:cs="Arial"/>
          <w:b/>
          <w:bCs/>
          <w:i w:val="0"/>
          <w:iCs w:val="0"/>
          <w:color w:val="000000" w:themeColor="text1"/>
          <w:sz w:val="24"/>
          <w:szCs w:val="24"/>
        </w:rPr>
        <w:t>s</w:t>
      </w:r>
      <w:r w:rsidRPr="00A030E5" w:rsidR="00FD2521">
        <w:rPr>
          <w:rFonts w:ascii="Arial" w:hAnsi="Arial" w:cs="Arial"/>
          <w:b/>
          <w:bCs/>
          <w:i w:val="0"/>
          <w:iCs w:val="0"/>
          <w:color w:val="000000" w:themeColor="text1"/>
          <w:sz w:val="24"/>
          <w:szCs w:val="24"/>
        </w:rPr>
        <w:t xml:space="preserve"> (TA449) and CABINET for cabozantinib</w:t>
      </w:r>
      <w:r w:rsidR="00F3392C">
        <w:rPr>
          <w:rFonts w:ascii="Arial" w:hAnsi="Arial" w:cs="Arial"/>
          <w:b/>
          <w:bCs/>
          <w:i w:val="0"/>
          <w:iCs w:val="0"/>
          <w:color w:val="000000" w:themeColor="text1"/>
          <w:sz w:val="24"/>
          <w:szCs w:val="24"/>
        </w:rPr>
        <w:t xml:space="preserve"> vs BSC</w:t>
      </w:r>
      <w:r w:rsidRPr="00A030E5" w:rsidR="00FD2521">
        <w:rPr>
          <w:rFonts w:ascii="Arial" w:hAnsi="Arial" w:cs="Arial"/>
          <w:b/>
          <w:bCs/>
          <w:i w:val="0"/>
          <w:iCs w:val="0"/>
          <w:color w:val="000000" w:themeColor="text1"/>
          <w:sz w:val="24"/>
          <w:szCs w:val="24"/>
        </w:rPr>
        <w:t xml:space="preserve"> in</w:t>
      </w:r>
      <w:r w:rsidRPr="00A030E5" w:rsidR="00CB634B">
        <w:rPr>
          <w:rFonts w:ascii="Arial" w:hAnsi="Arial" w:cs="Arial"/>
          <w:b/>
          <w:bCs/>
          <w:i w:val="0"/>
          <w:iCs w:val="0"/>
          <w:color w:val="000000" w:themeColor="text1"/>
          <w:sz w:val="24"/>
          <w:szCs w:val="24"/>
        </w:rPr>
        <w:t xml:space="preserve"> epNETs (ID</w:t>
      </w:r>
      <w:r w:rsidRPr="00A030E5" w:rsidR="000E0A5C">
        <w:rPr>
          <w:rFonts w:ascii="Arial" w:hAnsi="Arial" w:cs="Arial"/>
          <w:b/>
          <w:bCs/>
          <w:i w:val="0"/>
          <w:iCs w:val="0"/>
          <w:color w:val="000000" w:themeColor="text1"/>
          <w:sz w:val="24"/>
          <w:szCs w:val="24"/>
        </w:rPr>
        <w:t>6</w:t>
      </w:r>
      <w:r w:rsidRPr="00A030E5" w:rsidR="006764BA">
        <w:rPr>
          <w:rFonts w:ascii="Arial" w:hAnsi="Arial" w:cs="Arial"/>
          <w:b/>
          <w:bCs/>
          <w:i w:val="0"/>
          <w:iCs w:val="0"/>
          <w:color w:val="000000" w:themeColor="text1"/>
          <w:sz w:val="24"/>
          <w:szCs w:val="24"/>
        </w:rPr>
        <w:t>474)</w:t>
      </w:r>
    </w:p>
    <w:tbl>
      <w:tblPr>
        <w:tblStyle w:val="TableGrid"/>
        <w:tblW w:w="0" w:type="auto"/>
        <w:tblLook w:val="04A0" w:firstRow="1" w:lastRow="0" w:firstColumn="1" w:lastColumn="0" w:noHBand="0" w:noVBand="1"/>
      </w:tblPr>
      <w:tblGrid>
        <w:gridCol w:w="3005"/>
        <w:gridCol w:w="3005"/>
        <w:gridCol w:w="3006"/>
      </w:tblGrid>
      <w:tr w:rsidRPr="006E40AA" w:rsidR="00A7770C" w:rsidTr="004C7782" w14:paraId="3BA50917" w14:textId="77777777">
        <w:tc>
          <w:tcPr>
            <w:tcW w:w="3005" w:type="dxa"/>
            <w:shd w:val="clear" w:color="auto" w:fill="D9D9D9" w:themeFill="background1" w:themeFillShade="D9"/>
          </w:tcPr>
          <w:p w:rsidRPr="006E40AA" w:rsidR="00D64232" w:rsidRDefault="00D64232" w14:paraId="3957B4CA" w14:textId="77777777">
            <w:pPr>
              <w:spacing w:before="120" w:line="240" w:lineRule="auto"/>
              <w:rPr>
                <w:rFonts w:ascii="Arial" w:hAnsi="Arial" w:cs="Arial"/>
                <w:sz w:val="20"/>
                <w:szCs w:val="20"/>
                <w:lang w:val="en-US"/>
              </w:rPr>
            </w:pPr>
          </w:p>
        </w:tc>
        <w:tc>
          <w:tcPr>
            <w:tcW w:w="3005" w:type="dxa"/>
            <w:shd w:val="clear" w:color="auto" w:fill="D9D9D9" w:themeFill="background1" w:themeFillShade="D9"/>
          </w:tcPr>
          <w:p w:rsidRPr="006E40AA" w:rsidR="00D64232" w:rsidRDefault="00D64232" w14:paraId="74BF75E2" w14:textId="77777777">
            <w:pPr>
              <w:spacing w:before="120" w:line="240" w:lineRule="auto"/>
              <w:jc w:val="center"/>
              <w:rPr>
                <w:rFonts w:ascii="Arial" w:hAnsi="Arial" w:cs="Arial"/>
                <w:b/>
                <w:bCs/>
                <w:sz w:val="20"/>
                <w:szCs w:val="20"/>
              </w:rPr>
            </w:pPr>
            <w:r w:rsidRPr="006E40AA">
              <w:rPr>
                <w:rFonts w:ascii="Arial" w:hAnsi="Arial" w:cs="Arial"/>
                <w:b/>
                <w:bCs/>
                <w:sz w:val="20"/>
                <w:szCs w:val="20"/>
              </w:rPr>
              <w:t>PFS HR (95% CI)</w:t>
            </w:r>
          </w:p>
        </w:tc>
        <w:tc>
          <w:tcPr>
            <w:tcW w:w="3006" w:type="dxa"/>
            <w:shd w:val="clear" w:color="auto" w:fill="D9D9D9" w:themeFill="background1" w:themeFillShade="D9"/>
          </w:tcPr>
          <w:p w:rsidRPr="00A7770C" w:rsidR="00D64232" w:rsidRDefault="00D64232" w14:paraId="701A4A65" w14:textId="1144B614">
            <w:pPr>
              <w:spacing w:before="120" w:line="240" w:lineRule="auto"/>
              <w:jc w:val="center"/>
              <w:rPr>
                <w:rFonts w:ascii="Arial" w:hAnsi="Arial" w:cs="Arial"/>
                <w:b/>
                <w:bCs/>
                <w:sz w:val="20"/>
                <w:szCs w:val="20"/>
                <w:lang w:val="en-US"/>
              </w:rPr>
            </w:pPr>
            <w:r w:rsidRPr="006E40AA">
              <w:rPr>
                <w:rFonts w:ascii="Arial" w:hAnsi="Arial" w:cs="Arial"/>
                <w:b/>
                <w:bCs/>
                <w:sz w:val="20"/>
                <w:szCs w:val="20"/>
                <w:lang w:val="en-US"/>
              </w:rPr>
              <w:t>Crossover adjusted OS HR (95% CI)</w:t>
            </w:r>
            <w:r w:rsidR="00A7770C">
              <w:rPr>
                <w:rFonts w:ascii="Arial" w:hAnsi="Arial" w:cs="Arial"/>
                <w:color w:val="auto"/>
                <w:szCs w:val="16"/>
                <w:lang w:val="en-US"/>
              </w:rPr>
              <w:t>*</w:t>
            </w:r>
          </w:p>
        </w:tc>
      </w:tr>
      <w:tr w:rsidRPr="006E40AA" w:rsidR="00A7770C" w14:paraId="34A0DD86" w14:textId="77777777">
        <w:tc>
          <w:tcPr>
            <w:tcW w:w="3005" w:type="dxa"/>
          </w:tcPr>
          <w:p w:rsidRPr="006E40AA" w:rsidR="00D64232" w:rsidRDefault="00D64232" w14:paraId="455A8FB2" w14:textId="77777777">
            <w:pPr>
              <w:spacing w:before="120" w:line="240" w:lineRule="auto"/>
              <w:jc w:val="left"/>
              <w:rPr>
                <w:rFonts w:ascii="Arial" w:hAnsi="Arial" w:cs="Arial"/>
                <w:sz w:val="20"/>
                <w:szCs w:val="20"/>
              </w:rPr>
            </w:pPr>
            <w:r w:rsidRPr="006E40AA">
              <w:rPr>
                <w:rFonts w:ascii="Arial" w:hAnsi="Arial" w:cs="Arial"/>
                <w:sz w:val="20"/>
                <w:szCs w:val="20"/>
              </w:rPr>
              <w:t>RADIANT-3 (everolimus vs BSC</w:t>
            </w:r>
            <w:r>
              <w:rPr>
                <w:rFonts w:ascii="Arial" w:hAnsi="Arial" w:cs="Arial"/>
                <w:sz w:val="20"/>
                <w:szCs w:val="20"/>
              </w:rPr>
              <w:t>, pNET population</w:t>
            </w:r>
            <w:r w:rsidRPr="006E40AA">
              <w:rPr>
                <w:rFonts w:ascii="Arial" w:hAnsi="Arial" w:cs="Arial"/>
                <w:sz w:val="20"/>
                <w:szCs w:val="20"/>
              </w:rPr>
              <w:t>)</w:t>
            </w:r>
          </w:p>
        </w:tc>
        <w:tc>
          <w:tcPr>
            <w:tcW w:w="3005" w:type="dxa"/>
          </w:tcPr>
          <w:p w:rsidRPr="006E40AA" w:rsidR="00D64232" w:rsidRDefault="00D64232" w14:paraId="3E477F6C" w14:textId="77777777">
            <w:pPr>
              <w:spacing w:before="120" w:line="240" w:lineRule="auto"/>
              <w:jc w:val="center"/>
              <w:rPr>
                <w:rFonts w:ascii="Arial" w:hAnsi="Arial" w:cs="Arial"/>
                <w:sz w:val="20"/>
                <w:szCs w:val="20"/>
              </w:rPr>
            </w:pPr>
            <w:r w:rsidRPr="006E40AA">
              <w:rPr>
                <w:rFonts w:ascii="Arial" w:hAnsi="Arial" w:cs="Arial"/>
                <w:sz w:val="20"/>
                <w:szCs w:val="20"/>
              </w:rPr>
              <w:t>0.35 (0.27 to 0.45)</w:t>
            </w:r>
          </w:p>
        </w:tc>
        <w:tc>
          <w:tcPr>
            <w:tcW w:w="3006" w:type="dxa"/>
          </w:tcPr>
          <w:p w:rsidRPr="006E40AA" w:rsidR="00D64232" w:rsidRDefault="00D64232" w14:paraId="57F03151" w14:textId="77777777">
            <w:pPr>
              <w:spacing w:before="120" w:line="240" w:lineRule="auto"/>
              <w:jc w:val="center"/>
              <w:rPr>
                <w:rFonts w:ascii="Arial" w:hAnsi="Arial" w:cs="Arial"/>
                <w:sz w:val="20"/>
                <w:szCs w:val="20"/>
              </w:rPr>
            </w:pPr>
            <w:r w:rsidRPr="006E40AA">
              <w:rPr>
                <w:rFonts w:ascii="Arial" w:hAnsi="Arial" w:cs="Arial"/>
                <w:sz w:val="20"/>
                <w:szCs w:val="20"/>
              </w:rPr>
              <w:t xml:space="preserve">0.60 (0.09 </w:t>
            </w:r>
            <w:r>
              <w:rPr>
                <w:rFonts w:ascii="Arial" w:hAnsi="Arial" w:cs="Arial"/>
                <w:sz w:val="20"/>
                <w:szCs w:val="20"/>
              </w:rPr>
              <w:t>to</w:t>
            </w:r>
            <w:r w:rsidRPr="006E40AA">
              <w:rPr>
                <w:rFonts w:ascii="Arial" w:hAnsi="Arial" w:cs="Arial"/>
                <w:sz w:val="20"/>
                <w:szCs w:val="20"/>
              </w:rPr>
              <w:t xml:space="preserve"> 3.95)</w:t>
            </w:r>
          </w:p>
        </w:tc>
      </w:tr>
      <w:tr w:rsidRPr="006E40AA" w:rsidR="00A7770C" w14:paraId="3AF3020C" w14:textId="77777777">
        <w:tc>
          <w:tcPr>
            <w:tcW w:w="3005" w:type="dxa"/>
          </w:tcPr>
          <w:p w:rsidRPr="00253E1E" w:rsidR="00D64232" w:rsidP="008E5528" w:rsidRDefault="00D64232" w14:paraId="1A5F2324" w14:textId="77777777">
            <w:pPr>
              <w:spacing w:before="120" w:line="240" w:lineRule="auto"/>
              <w:rPr>
                <w:rFonts w:ascii="Arial" w:hAnsi="Arial" w:cs="Arial"/>
                <w:sz w:val="20"/>
                <w:szCs w:val="20"/>
              </w:rPr>
            </w:pPr>
            <w:r w:rsidRPr="00253E1E">
              <w:rPr>
                <w:rFonts w:ascii="Arial" w:hAnsi="Arial" w:cs="Arial"/>
                <w:sz w:val="20"/>
                <w:szCs w:val="20"/>
              </w:rPr>
              <w:t>CABINET (cabozantinib vs BSC, epNET p</w:t>
            </w:r>
            <w:r>
              <w:rPr>
                <w:rFonts w:ascii="Arial" w:hAnsi="Arial" w:cs="Arial"/>
                <w:sz w:val="20"/>
                <w:szCs w:val="20"/>
              </w:rPr>
              <w:t>opulation)</w:t>
            </w:r>
          </w:p>
        </w:tc>
        <w:tc>
          <w:tcPr>
            <w:tcW w:w="3005" w:type="dxa"/>
          </w:tcPr>
          <w:p w:rsidRPr="006E40AA" w:rsidR="00D64232" w:rsidRDefault="00D64232" w14:paraId="4ED3DE2A" w14:textId="77777777">
            <w:pPr>
              <w:spacing w:before="120" w:line="240" w:lineRule="auto"/>
              <w:jc w:val="center"/>
              <w:rPr>
                <w:rFonts w:ascii="Arial" w:hAnsi="Arial" w:cs="Arial"/>
                <w:sz w:val="20"/>
                <w:szCs w:val="20"/>
              </w:rPr>
            </w:pPr>
            <w:r w:rsidRPr="006E40AA">
              <w:rPr>
                <w:rFonts w:ascii="Arial" w:hAnsi="Arial" w:cs="Arial"/>
                <w:sz w:val="20"/>
                <w:szCs w:val="20"/>
              </w:rPr>
              <w:t>0.38 (0.25 to 0.58)</w:t>
            </w:r>
          </w:p>
        </w:tc>
        <w:tc>
          <w:tcPr>
            <w:tcW w:w="3006" w:type="dxa"/>
          </w:tcPr>
          <w:p w:rsidRPr="00EB0244" w:rsidR="00E559F7" w:rsidRDefault="00E559F7" w14:paraId="30FED30A" w14:textId="680E0108">
            <w:pPr>
              <w:spacing w:before="120" w:line="240" w:lineRule="auto"/>
              <w:jc w:val="center"/>
              <w:rPr>
                <w:rFonts w:ascii="Arial" w:hAnsi="Arial" w:cs="Arial"/>
                <w:sz w:val="20"/>
                <w:szCs w:val="20"/>
                <w:u w:val="single"/>
              </w:rPr>
            </w:pPr>
            <w:proofErr w:type="spellStart"/>
            <w:r w:rsidRPr="00E559F7">
              <w:rPr>
                <w:rFonts w:ascii="Arial" w:hAnsi="Arial" w:cs="Arial"/>
                <w:sz w:val="20"/>
                <w:szCs w:val="20"/>
                <w:highlight w:val="black"/>
                <w:u w:val="single"/>
              </w:rPr>
              <w:t>xxxxxxxxxxxxxxxx</w:t>
            </w:r>
            <w:proofErr w:type="spellEnd"/>
          </w:p>
        </w:tc>
      </w:tr>
    </w:tbl>
    <w:p w:rsidRPr="00204EB5" w:rsidR="00497F15" w:rsidP="00204EB5" w:rsidRDefault="00FE1046" w14:paraId="22A29BF0" w14:textId="77777777">
      <w:pPr>
        <w:spacing w:after="0" w:line="240" w:lineRule="auto"/>
        <w:rPr>
          <w:rFonts w:ascii="Arial" w:hAnsi="Arial" w:cs="Arial"/>
          <w:color w:val="auto"/>
          <w:sz w:val="18"/>
          <w:szCs w:val="18"/>
        </w:rPr>
      </w:pPr>
      <w:r w:rsidRPr="00204EB5">
        <w:rPr>
          <w:rFonts w:ascii="Arial" w:hAnsi="Arial" w:cs="Arial"/>
          <w:color w:val="auto"/>
          <w:sz w:val="18"/>
          <w:szCs w:val="18"/>
        </w:rPr>
        <w:t xml:space="preserve">BSC: best </w:t>
      </w:r>
      <w:r w:rsidRPr="00204EB5" w:rsidR="004D700D">
        <w:rPr>
          <w:rFonts w:ascii="Arial" w:hAnsi="Arial" w:cs="Arial"/>
          <w:color w:val="auto"/>
          <w:sz w:val="18"/>
          <w:szCs w:val="18"/>
        </w:rPr>
        <w:t>s</w:t>
      </w:r>
      <w:r w:rsidRPr="00204EB5">
        <w:rPr>
          <w:rFonts w:ascii="Arial" w:hAnsi="Arial" w:cs="Arial"/>
          <w:color w:val="auto"/>
          <w:sz w:val="18"/>
          <w:szCs w:val="18"/>
        </w:rPr>
        <w:t xml:space="preserve">upportive care; </w:t>
      </w:r>
      <w:r w:rsidRPr="00204EB5" w:rsidR="004D700D">
        <w:rPr>
          <w:rFonts w:ascii="Arial" w:hAnsi="Arial" w:cs="Arial"/>
          <w:color w:val="auto"/>
          <w:sz w:val="18"/>
          <w:szCs w:val="18"/>
        </w:rPr>
        <w:t xml:space="preserve">epNET: extra-pancreatic neuroendocrine tumour; </w:t>
      </w:r>
      <w:r w:rsidRPr="00204EB5" w:rsidR="008D6FB0">
        <w:rPr>
          <w:rFonts w:ascii="Arial" w:hAnsi="Arial" w:cs="Arial"/>
          <w:color w:val="auto"/>
          <w:sz w:val="18"/>
          <w:szCs w:val="18"/>
        </w:rPr>
        <w:t>HR: hazard ratio</w:t>
      </w:r>
      <w:r w:rsidRPr="00204EB5" w:rsidR="002550AE">
        <w:rPr>
          <w:rFonts w:ascii="Arial" w:hAnsi="Arial" w:cs="Arial"/>
          <w:color w:val="auto"/>
          <w:sz w:val="18"/>
          <w:szCs w:val="18"/>
        </w:rPr>
        <w:t xml:space="preserve">; </w:t>
      </w:r>
      <w:r w:rsidRPr="00204EB5">
        <w:rPr>
          <w:rFonts w:ascii="Arial" w:hAnsi="Arial" w:cs="Arial"/>
          <w:color w:val="auto"/>
          <w:sz w:val="18"/>
          <w:szCs w:val="18"/>
        </w:rPr>
        <w:t xml:space="preserve">PFS: progression-free survival; </w:t>
      </w:r>
      <w:r w:rsidRPr="00204EB5" w:rsidR="004D700D">
        <w:rPr>
          <w:rFonts w:ascii="Arial" w:hAnsi="Arial" w:cs="Arial"/>
          <w:color w:val="auto"/>
          <w:sz w:val="18"/>
          <w:szCs w:val="18"/>
        </w:rPr>
        <w:t xml:space="preserve">pNET: pancreatic neuroendocrine tumour; </w:t>
      </w:r>
      <w:r w:rsidRPr="00204EB5">
        <w:rPr>
          <w:rFonts w:ascii="Arial" w:hAnsi="Arial" w:cs="Arial"/>
          <w:color w:val="auto"/>
          <w:sz w:val="18"/>
          <w:szCs w:val="18"/>
        </w:rPr>
        <w:t>OS: overall survival</w:t>
      </w:r>
    </w:p>
    <w:p w:rsidRPr="00204EB5" w:rsidR="00D64232" w:rsidP="00B67B1D" w:rsidRDefault="00A7770C" w14:paraId="4906F095" w14:textId="1677E97A">
      <w:pPr>
        <w:spacing w:line="240" w:lineRule="auto"/>
        <w:rPr>
          <w:rFonts w:ascii="Arial" w:hAnsi="Arial" w:cs="Arial"/>
          <w:color w:val="auto"/>
          <w:sz w:val="18"/>
          <w:szCs w:val="18"/>
        </w:rPr>
      </w:pPr>
      <w:r>
        <w:rPr>
          <w:rFonts w:ascii="Arial" w:hAnsi="Arial" w:cs="Arial"/>
          <w:color w:val="auto"/>
          <w:sz w:val="18"/>
          <w:szCs w:val="18"/>
        </w:rPr>
        <w:t>*</w:t>
      </w:r>
      <w:r w:rsidRPr="00204EB5" w:rsidR="00B96C94">
        <w:rPr>
          <w:rFonts w:ascii="Arial" w:hAnsi="Arial" w:cs="Arial"/>
          <w:color w:val="auto"/>
          <w:sz w:val="18"/>
          <w:szCs w:val="18"/>
        </w:rPr>
        <w:t>RPSFTM</w:t>
      </w:r>
      <w:r w:rsidRPr="00204EB5" w:rsidR="00307397">
        <w:rPr>
          <w:rFonts w:ascii="Arial" w:hAnsi="Arial" w:cs="Arial"/>
          <w:color w:val="auto"/>
          <w:sz w:val="18"/>
          <w:szCs w:val="18"/>
        </w:rPr>
        <w:t xml:space="preserve"> crossover analysis used in TA449</w:t>
      </w:r>
      <w:r w:rsidRPr="00204EB5" w:rsidR="004D700D">
        <w:rPr>
          <w:rFonts w:ascii="Arial" w:hAnsi="Arial" w:cs="Arial"/>
          <w:color w:val="auto"/>
          <w:sz w:val="18"/>
          <w:szCs w:val="18"/>
        </w:rPr>
        <w:t xml:space="preserve"> and IPCW crossover analysis used in ID6474</w:t>
      </w:r>
    </w:p>
    <w:p w:rsidRPr="00D70BC1" w:rsidR="00497F15" w:rsidP="2321F834" w:rsidRDefault="006F4974" w14:paraId="3678234B" w14:textId="3DADD62D">
      <w:pPr>
        <w:spacing w:after="240" w:line="360" w:lineRule="auto"/>
        <w:rPr>
          <w:rFonts w:ascii="Arial" w:hAnsi="Arial" w:cs="Arial"/>
          <w:sz w:val="24"/>
          <w:szCs w:val="24"/>
        </w:rPr>
      </w:pPr>
      <w:r>
        <w:rPr>
          <w:rFonts w:ascii="Arial" w:hAnsi="Arial" w:cs="Arial"/>
          <w:sz w:val="24"/>
          <w:szCs w:val="24"/>
        </w:rPr>
        <w:t>T</w:t>
      </w:r>
      <w:r w:rsidRPr="0040226B" w:rsidR="0040226B">
        <w:rPr>
          <w:rFonts w:ascii="Arial" w:hAnsi="Arial" w:cs="Arial"/>
          <w:sz w:val="24"/>
          <w:szCs w:val="24"/>
        </w:rPr>
        <w:t>he evidence provided</w:t>
      </w:r>
      <w:r>
        <w:rPr>
          <w:rFonts w:ascii="Arial" w:hAnsi="Arial" w:cs="Arial"/>
          <w:sz w:val="24"/>
          <w:szCs w:val="24"/>
        </w:rPr>
        <w:t xml:space="preserve"> in the current appraisal (ID6474)</w:t>
      </w:r>
      <w:r w:rsidR="00AF0614">
        <w:rPr>
          <w:rFonts w:ascii="Arial" w:hAnsi="Arial" w:cs="Arial"/>
          <w:sz w:val="24"/>
          <w:szCs w:val="24"/>
        </w:rPr>
        <w:t xml:space="preserve"> is consistent with the evidence provided for everolimus in TA4</w:t>
      </w:r>
      <w:r w:rsidR="00C1519D">
        <w:rPr>
          <w:rFonts w:ascii="Arial" w:hAnsi="Arial" w:cs="Arial"/>
          <w:sz w:val="24"/>
          <w:szCs w:val="24"/>
        </w:rPr>
        <w:t>4</w:t>
      </w:r>
      <w:r w:rsidR="00AF0614">
        <w:rPr>
          <w:rFonts w:ascii="Arial" w:hAnsi="Arial" w:cs="Arial"/>
          <w:sz w:val="24"/>
          <w:szCs w:val="24"/>
        </w:rPr>
        <w:t>9, which also represents the same therapy area</w:t>
      </w:r>
      <w:r w:rsidR="002D5387">
        <w:rPr>
          <w:rFonts w:ascii="Arial" w:hAnsi="Arial" w:cs="Arial"/>
          <w:sz w:val="24"/>
          <w:szCs w:val="24"/>
        </w:rPr>
        <w:t xml:space="preserve">. </w:t>
      </w:r>
      <w:r w:rsidRPr="00D70BC1" w:rsidR="002D5387">
        <w:rPr>
          <w:rFonts w:ascii="Arial" w:hAnsi="Arial" w:cs="Arial"/>
          <w:sz w:val="24"/>
          <w:szCs w:val="24"/>
        </w:rPr>
        <w:t>Given a</w:t>
      </w:r>
      <w:r w:rsidR="002D5387">
        <w:rPr>
          <w:rFonts w:ascii="Arial" w:hAnsi="Arial" w:cs="Arial"/>
          <w:sz w:val="24"/>
          <w:szCs w:val="24"/>
        </w:rPr>
        <w:t>n</w:t>
      </w:r>
      <w:r w:rsidRPr="00D70BC1" w:rsidR="002D5387">
        <w:rPr>
          <w:rFonts w:ascii="Arial" w:hAnsi="Arial" w:cs="Arial"/>
          <w:sz w:val="24"/>
          <w:szCs w:val="24"/>
        </w:rPr>
        <w:t xml:space="preserve"> OS HR=1 was assumed in the current appraisal</w:t>
      </w:r>
      <w:r w:rsidR="002D5387">
        <w:rPr>
          <w:rFonts w:ascii="Arial" w:hAnsi="Arial" w:cs="Arial"/>
          <w:sz w:val="24"/>
          <w:szCs w:val="24"/>
        </w:rPr>
        <w:t xml:space="preserve"> (ID6474)</w:t>
      </w:r>
      <w:r w:rsidRPr="00D70BC1" w:rsidR="002D5387">
        <w:rPr>
          <w:rFonts w:ascii="Arial" w:hAnsi="Arial" w:cs="Arial"/>
          <w:sz w:val="24"/>
          <w:szCs w:val="24"/>
        </w:rPr>
        <w:t>,</w:t>
      </w:r>
      <w:r w:rsidR="002D5387">
        <w:rPr>
          <w:rFonts w:ascii="Arial" w:hAnsi="Arial" w:cs="Arial"/>
          <w:sz w:val="24"/>
          <w:szCs w:val="24"/>
        </w:rPr>
        <w:t xml:space="preserve"> this demonstrates </w:t>
      </w:r>
      <w:r w:rsidRPr="0040226B" w:rsidR="0040226B">
        <w:rPr>
          <w:rFonts w:ascii="Arial" w:hAnsi="Arial" w:cs="Arial"/>
          <w:sz w:val="24"/>
          <w:szCs w:val="24"/>
        </w:rPr>
        <w:t xml:space="preserve">the </w:t>
      </w:r>
      <w:r w:rsidR="00206AA3">
        <w:rPr>
          <w:rFonts w:ascii="Arial" w:hAnsi="Arial" w:cs="Arial"/>
          <w:sz w:val="24"/>
          <w:szCs w:val="24"/>
        </w:rPr>
        <w:t>Appraisal C</w:t>
      </w:r>
      <w:r w:rsidRPr="0040226B" w:rsidR="0040226B">
        <w:rPr>
          <w:rFonts w:ascii="Arial" w:hAnsi="Arial" w:cs="Arial"/>
          <w:sz w:val="24"/>
          <w:szCs w:val="24"/>
        </w:rPr>
        <w:t>ommittee ha</w:t>
      </w:r>
      <w:r w:rsidR="005E67AB">
        <w:rPr>
          <w:rFonts w:ascii="Arial" w:hAnsi="Arial" w:cs="Arial"/>
          <w:sz w:val="24"/>
          <w:szCs w:val="24"/>
        </w:rPr>
        <w:t>s</w:t>
      </w:r>
      <w:r w:rsidRPr="0040226B" w:rsidR="0040226B">
        <w:rPr>
          <w:rFonts w:ascii="Arial" w:hAnsi="Arial" w:cs="Arial"/>
          <w:sz w:val="24"/>
          <w:szCs w:val="24"/>
        </w:rPr>
        <w:t xml:space="preserve"> been overly conservative in their assumption </w:t>
      </w:r>
      <w:r w:rsidR="0063592D">
        <w:rPr>
          <w:rFonts w:ascii="Arial" w:hAnsi="Arial" w:cs="Arial"/>
          <w:sz w:val="24"/>
          <w:szCs w:val="24"/>
        </w:rPr>
        <w:t>and that this approach is aligned to past NICE precedent</w:t>
      </w:r>
      <w:r w:rsidRPr="00D70BC1" w:rsidR="00311DF2">
        <w:rPr>
          <w:rFonts w:ascii="Arial" w:hAnsi="Arial" w:cs="Arial"/>
          <w:sz w:val="24"/>
          <w:szCs w:val="24"/>
        </w:rPr>
        <w:t>.</w:t>
      </w:r>
      <w:r w:rsidRPr="00D70BC1" w:rsidR="00CE4C53">
        <w:rPr>
          <w:rFonts w:ascii="Arial" w:hAnsi="Arial" w:cs="Arial"/>
          <w:sz w:val="24"/>
          <w:szCs w:val="24"/>
        </w:rPr>
        <w:t xml:space="preserve"> </w:t>
      </w:r>
    </w:p>
    <w:p w:rsidRPr="00D70BC1" w:rsidR="00497F15" w:rsidP="00D70BC1" w:rsidRDefault="00B2000B" w14:paraId="5CB9D71A" w14:textId="05E2CD1B">
      <w:pPr>
        <w:spacing w:after="240" w:line="360" w:lineRule="auto"/>
        <w:rPr>
          <w:rFonts w:ascii="Arial" w:hAnsi="Arial" w:cs="Arial"/>
          <w:sz w:val="24"/>
          <w:szCs w:val="24"/>
        </w:rPr>
      </w:pPr>
      <w:r>
        <w:rPr>
          <w:rFonts w:ascii="Arial" w:hAnsi="Arial" w:cs="Arial"/>
          <w:sz w:val="24"/>
          <w:szCs w:val="24"/>
        </w:rPr>
        <w:t xml:space="preserve">As per the </w:t>
      </w:r>
      <w:r w:rsidR="43DF4519">
        <w:rPr>
          <w:rFonts w:ascii="Arial" w:hAnsi="Arial" w:cs="Arial"/>
          <w:sz w:val="24"/>
          <w:szCs w:val="24"/>
        </w:rPr>
        <w:t xml:space="preserve">findings in the </w:t>
      </w:r>
      <w:r>
        <w:rPr>
          <w:rFonts w:ascii="Arial" w:hAnsi="Arial" w:cs="Arial"/>
          <w:sz w:val="24"/>
          <w:szCs w:val="24"/>
        </w:rPr>
        <w:t>Appeal</w:t>
      </w:r>
      <w:r w:rsidR="002D5387">
        <w:rPr>
          <w:rFonts w:ascii="Arial" w:hAnsi="Arial" w:cs="Arial"/>
          <w:sz w:val="24"/>
          <w:szCs w:val="24"/>
        </w:rPr>
        <w:t xml:space="preserve"> </w:t>
      </w:r>
      <w:r>
        <w:rPr>
          <w:rFonts w:ascii="Arial" w:hAnsi="Arial" w:cs="Arial"/>
          <w:sz w:val="24"/>
          <w:szCs w:val="24"/>
        </w:rPr>
        <w:t xml:space="preserve">TA962, </w:t>
      </w:r>
      <w:r w:rsidR="3AD4C6B9">
        <w:rPr>
          <w:rFonts w:ascii="Arial" w:hAnsi="Arial" w:cs="Arial"/>
          <w:sz w:val="24"/>
          <w:szCs w:val="24"/>
        </w:rPr>
        <w:t xml:space="preserve">we understand that </w:t>
      </w:r>
      <w:r w:rsidR="00967F73">
        <w:rPr>
          <w:rFonts w:ascii="Arial" w:hAnsi="Arial" w:cs="Arial"/>
          <w:sz w:val="24"/>
          <w:szCs w:val="24"/>
        </w:rPr>
        <w:t>Appraisal</w:t>
      </w:r>
      <w:r>
        <w:rPr>
          <w:rFonts w:ascii="Arial" w:hAnsi="Arial" w:cs="Arial"/>
          <w:sz w:val="24"/>
          <w:szCs w:val="24"/>
        </w:rPr>
        <w:t xml:space="preserve"> Committees “</w:t>
      </w:r>
      <w:r w:rsidRPr="00967F73" w:rsidR="00803A54">
        <w:rPr>
          <w:rFonts w:ascii="Arial" w:hAnsi="Arial" w:cs="Arial"/>
          <w:i/>
          <w:iCs/>
          <w:sz w:val="24"/>
          <w:szCs w:val="24"/>
        </w:rPr>
        <w:t>should ensure, as far as possible, that their judgements regarding the cost-effective use of NHS resources are consistently applied between appraisals</w:t>
      </w:r>
      <w:r>
        <w:rPr>
          <w:rFonts w:ascii="Arial" w:hAnsi="Arial" w:cs="Arial"/>
          <w:sz w:val="24"/>
          <w:szCs w:val="24"/>
        </w:rPr>
        <w:t>”</w:t>
      </w:r>
      <w:r w:rsidR="00967F73">
        <w:rPr>
          <w:rFonts w:ascii="Arial" w:hAnsi="Arial" w:cs="Arial"/>
          <w:sz w:val="24"/>
          <w:szCs w:val="24"/>
        </w:rPr>
        <w:t xml:space="preserve"> (Section 33).</w:t>
      </w:r>
      <w:r w:rsidR="00C75301">
        <w:rPr>
          <w:rStyle w:val="FootnoteReference"/>
          <w:rFonts w:ascii="Arial" w:hAnsi="Arial" w:cs="Arial"/>
          <w:sz w:val="24"/>
          <w:szCs w:val="24"/>
        </w:rPr>
        <w:footnoteReference w:id="13"/>
      </w:r>
      <w:r w:rsidR="00816889">
        <w:rPr>
          <w:rFonts w:ascii="Arial" w:hAnsi="Arial" w:cs="Arial"/>
          <w:sz w:val="24"/>
          <w:szCs w:val="24"/>
        </w:rPr>
        <w:t xml:space="preserve"> </w:t>
      </w:r>
      <w:r w:rsidRPr="00816889" w:rsidR="00816889">
        <w:rPr>
          <w:rFonts w:ascii="Arial" w:hAnsi="Arial" w:cs="Arial"/>
          <w:sz w:val="24"/>
          <w:szCs w:val="24"/>
        </w:rPr>
        <w:t>Where the subject matter of two appraisals is “</w:t>
      </w:r>
      <w:r w:rsidRPr="00816889" w:rsidR="00816889">
        <w:rPr>
          <w:rFonts w:ascii="Arial" w:hAnsi="Arial" w:cs="Arial"/>
          <w:i/>
          <w:iCs/>
          <w:sz w:val="24"/>
          <w:szCs w:val="24"/>
        </w:rPr>
        <w:t>sufficiently similar</w:t>
      </w:r>
      <w:r w:rsidRPr="00816889" w:rsidR="00816889">
        <w:rPr>
          <w:rFonts w:ascii="Arial" w:hAnsi="Arial" w:cs="Arial"/>
          <w:sz w:val="24"/>
          <w:szCs w:val="24"/>
        </w:rPr>
        <w:t>,” Appeal Panels have held that a “</w:t>
      </w:r>
      <w:r w:rsidRPr="00816889" w:rsidR="00816889">
        <w:rPr>
          <w:rFonts w:ascii="Arial" w:hAnsi="Arial" w:cs="Arial"/>
          <w:i/>
          <w:iCs/>
          <w:sz w:val="24"/>
          <w:szCs w:val="24"/>
        </w:rPr>
        <w:t>meaningful expectation of consistency</w:t>
      </w:r>
      <w:r w:rsidRPr="00816889" w:rsidR="00816889">
        <w:rPr>
          <w:rFonts w:ascii="Arial" w:hAnsi="Arial" w:cs="Arial"/>
          <w:sz w:val="24"/>
          <w:szCs w:val="24"/>
        </w:rPr>
        <w:t xml:space="preserve">” applies. </w:t>
      </w:r>
      <w:r w:rsidR="0006660D">
        <w:rPr>
          <w:rFonts w:ascii="Arial" w:hAnsi="Arial" w:cs="Arial"/>
          <w:sz w:val="24"/>
          <w:szCs w:val="24"/>
        </w:rPr>
        <w:t>Given the treatment landscape and evidence base</w:t>
      </w:r>
      <w:r w:rsidR="005A3D0C">
        <w:rPr>
          <w:rFonts w:ascii="Arial" w:hAnsi="Arial" w:cs="Arial"/>
          <w:sz w:val="24"/>
          <w:szCs w:val="24"/>
        </w:rPr>
        <w:t xml:space="preserve"> have not changed radically between</w:t>
      </w:r>
      <w:r w:rsidR="00EA0B73">
        <w:rPr>
          <w:rFonts w:ascii="Arial" w:hAnsi="Arial" w:cs="Arial"/>
          <w:sz w:val="24"/>
          <w:szCs w:val="24"/>
        </w:rPr>
        <w:t xml:space="preserve"> </w:t>
      </w:r>
      <w:r w:rsidR="005A3D0C">
        <w:rPr>
          <w:rFonts w:ascii="Arial" w:hAnsi="Arial" w:cs="Arial"/>
          <w:sz w:val="24"/>
          <w:szCs w:val="24"/>
        </w:rPr>
        <w:t xml:space="preserve">TA449 and the current appraisal, the two should be considered sufficiently similar. </w:t>
      </w:r>
      <w:r w:rsidRPr="00D70BC1" w:rsidR="005B2AE0">
        <w:rPr>
          <w:rFonts w:ascii="Arial" w:hAnsi="Arial" w:cs="Arial"/>
          <w:sz w:val="24"/>
          <w:szCs w:val="24"/>
        </w:rPr>
        <w:t>To ensure consistency and fairness</w:t>
      </w:r>
      <w:r w:rsidRPr="00D70BC1" w:rsidR="00CE4C53">
        <w:rPr>
          <w:rFonts w:ascii="Arial" w:hAnsi="Arial" w:cs="Arial"/>
          <w:sz w:val="24"/>
          <w:szCs w:val="24"/>
        </w:rPr>
        <w:t>, t</w:t>
      </w:r>
      <w:r w:rsidRPr="00D70BC1" w:rsidR="005A7027">
        <w:rPr>
          <w:rFonts w:ascii="Arial" w:hAnsi="Arial" w:cs="Arial"/>
          <w:sz w:val="24"/>
          <w:szCs w:val="24"/>
        </w:rPr>
        <w:t xml:space="preserve">he Appraisal Committee should reconsider its conclusion on OS </w:t>
      </w:r>
      <w:r w:rsidRPr="00D70BC1" w:rsidR="00CE4C53">
        <w:rPr>
          <w:rFonts w:ascii="Arial" w:hAnsi="Arial" w:cs="Arial"/>
          <w:sz w:val="24"/>
          <w:szCs w:val="24"/>
        </w:rPr>
        <w:t>in the current appraisal.</w:t>
      </w:r>
      <w:r w:rsidRPr="00D70BC1" w:rsidR="00C95DD1">
        <w:rPr>
          <w:rFonts w:ascii="Arial" w:hAnsi="Arial" w:cs="Arial"/>
          <w:sz w:val="24"/>
          <w:szCs w:val="24"/>
        </w:rPr>
        <w:t xml:space="preserve"> </w:t>
      </w:r>
    </w:p>
    <w:p w:rsidRPr="00774B47" w:rsidR="00D64232" w:rsidP="002C676C" w:rsidRDefault="00D64232" w14:paraId="2A485A39" w14:textId="24AC0F01">
      <w:pPr>
        <w:pStyle w:val="Heading2"/>
      </w:pPr>
      <w:r w:rsidRPr="00774B47">
        <w:t>Appeal point 1(a).</w:t>
      </w:r>
      <w:r w:rsidR="00C8537D">
        <w:t>2</w:t>
      </w:r>
      <w:r w:rsidRPr="00774B47">
        <w:t>: The Appraisal Committee’s conclusion that “</w:t>
      </w:r>
      <w:r w:rsidRPr="00774B47">
        <w:rPr>
          <w:i/>
          <w:iCs/>
        </w:rPr>
        <w:t>it would not be appropriate to consider a recommendation for the lung NETs population alone</w:t>
      </w:r>
      <w:r w:rsidRPr="00774B47">
        <w:t xml:space="preserve">” is not aligned </w:t>
      </w:r>
      <w:r w:rsidR="00FC0B5B">
        <w:t>with</w:t>
      </w:r>
      <w:r w:rsidRPr="00774B47">
        <w:t xml:space="preserve"> past preceden</w:t>
      </w:r>
      <w:r>
        <w:t>t</w:t>
      </w:r>
      <w:r w:rsidRPr="00774B47">
        <w:t xml:space="preserve"> from NICE TA449 where separate recommendations for gastrointestinal and lung NETs were considered appropriate for decision</w:t>
      </w:r>
      <w:r w:rsidR="003F0D18">
        <w:t>-</w:t>
      </w:r>
      <w:r w:rsidRPr="00774B47">
        <w:t>making</w:t>
      </w:r>
    </w:p>
    <w:p w:rsidRPr="0014793B" w:rsidR="00D64232" w:rsidP="0014793B" w:rsidRDefault="00D64232" w14:paraId="34BA0B3C" w14:textId="76DA1D8F">
      <w:pPr>
        <w:spacing w:before="120" w:line="360" w:lineRule="auto"/>
        <w:rPr>
          <w:rFonts w:ascii="Arial" w:hAnsi="Arial" w:cs="Arial"/>
          <w:sz w:val="24"/>
          <w:szCs w:val="24"/>
        </w:rPr>
      </w:pPr>
      <w:r w:rsidRPr="0014793B">
        <w:rPr>
          <w:rFonts w:ascii="Arial" w:hAnsi="Arial" w:cs="Arial"/>
          <w:sz w:val="24"/>
          <w:szCs w:val="24"/>
        </w:rPr>
        <w:t xml:space="preserve">Section 3.5 of the </w:t>
      </w:r>
      <w:r w:rsidRPr="0014793B" w:rsidR="009501AE">
        <w:rPr>
          <w:rFonts w:ascii="Arial" w:hAnsi="Arial" w:cs="Arial"/>
          <w:sz w:val="24"/>
          <w:szCs w:val="24"/>
        </w:rPr>
        <w:t>Final Guidance Document</w:t>
      </w:r>
      <w:r w:rsidRPr="0014793B">
        <w:rPr>
          <w:rFonts w:ascii="Arial" w:hAnsi="Arial" w:cs="Arial"/>
          <w:sz w:val="24"/>
          <w:szCs w:val="24"/>
        </w:rPr>
        <w:t xml:space="preserve"> outlines the Appraisal Committee’s conclusion not to consider the lung population for an optimised recommendation.</w:t>
      </w:r>
      <w:r w:rsidR="00715C0F">
        <w:rPr>
          <w:rFonts w:ascii="Arial" w:hAnsi="Arial" w:cs="Arial"/>
          <w:sz w:val="24"/>
          <w:szCs w:val="24"/>
        </w:rPr>
        <w:t xml:space="preserve"> </w:t>
      </w:r>
      <w:r w:rsidRPr="00B032A8" w:rsidR="00715C0F">
        <w:rPr>
          <w:rFonts w:ascii="Arial" w:hAnsi="Arial" w:cs="Arial"/>
          <w:sz w:val="24"/>
          <w:szCs w:val="24"/>
        </w:rPr>
        <w:t>As outlined in the ‘Background and appraisal history’ section of this letter</w:t>
      </w:r>
      <w:r w:rsidR="00021CEE">
        <w:rPr>
          <w:rFonts w:ascii="Arial" w:hAnsi="Arial" w:cs="Arial"/>
          <w:sz w:val="24"/>
          <w:szCs w:val="24"/>
        </w:rPr>
        <w:t>,</w:t>
      </w:r>
      <w:r w:rsidR="007D3406">
        <w:rPr>
          <w:rFonts w:ascii="Arial" w:hAnsi="Arial" w:cs="Arial"/>
          <w:sz w:val="24"/>
          <w:szCs w:val="24"/>
        </w:rPr>
        <w:t xml:space="preserve"> the appraisal demonstrate</w:t>
      </w:r>
      <w:r w:rsidR="00FC0B5B">
        <w:rPr>
          <w:rFonts w:ascii="Arial" w:hAnsi="Arial" w:cs="Arial"/>
          <w:sz w:val="24"/>
          <w:szCs w:val="24"/>
        </w:rPr>
        <w:t>s</w:t>
      </w:r>
      <w:r w:rsidR="007D3406">
        <w:rPr>
          <w:rFonts w:ascii="Arial" w:hAnsi="Arial" w:cs="Arial"/>
          <w:sz w:val="24"/>
          <w:szCs w:val="24"/>
        </w:rPr>
        <w:t xml:space="preserve"> a</w:t>
      </w:r>
      <w:r w:rsidR="00021CEE">
        <w:rPr>
          <w:rFonts w:ascii="Arial" w:hAnsi="Arial" w:cs="Arial"/>
          <w:sz w:val="24"/>
          <w:szCs w:val="24"/>
        </w:rPr>
        <w:t xml:space="preserve"> strong treatment effect in the lung population of CABINET and </w:t>
      </w:r>
      <w:r w:rsidR="00E13E8B">
        <w:rPr>
          <w:rFonts w:ascii="Arial" w:hAnsi="Arial" w:cs="Arial"/>
          <w:sz w:val="24"/>
          <w:szCs w:val="24"/>
        </w:rPr>
        <w:t xml:space="preserve">the </w:t>
      </w:r>
      <w:r w:rsidR="00F53A37">
        <w:rPr>
          <w:rFonts w:ascii="Arial" w:hAnsi="Arial" w:cs="Arial"/>
          <w:sz w:val="24"/>
          <w:szCs w:val="24"/>
        </w:rPr>
        <w:t>analysis demonstrate</w:t>
      </w:r>
      <w:r w:rsidR="00D415CC">
        <w:rPr>
          <w:rFonts w:ascii="Arial" w:hAnsi="Arial" w:cs="Arial"/>
          <w:sz w:val="24"/>
          <w:szCs w:val="24"/>
        </w:rPr>
        <w:t>s</w:t>
      </w:r>
      <w:r w:rsidR="00F53A37">
        <w:rPr>
          <w:rFonts w:ascii="Arial" w:hAnsi="Arial" w:cs="Arial"/>
          <w:sz w:val="24"/>
          <w:szCs w:val="24"/>
        </w:rPr>
        <w:t xml:space="preserve"> the lung population was</w:t>
      </w:r>
      <w:r w:rsidR="00021CEE">
        <w:rPr>
          <w:rFonts w:ascii="Arial" w:hAnsi="Arial" w:cs="Arial"/>
          <w:sz w:val="24"/>
          <w:szCs w:val="24"/>
        </w:rPr>
        <w:t xml:space="preserve"> </w:t>
      </w:r>
      <w:r w:rsidR="00E17B27">
        <w:rPr>
          <w:rFonts w:ascii="Arial" w:hAnsi="Arial" w:cs="Arial"/>
          <w:sz w:val="24"/>
          <w:szCs w:val="24"/>
        </w:rPr>
        <w:t>cost-effective</w:t>
      </w:r>
      <w:r w:rsidR="00F53A37">
        <w:rPr>
          <w:rFonts w:ascii="Arial" w:hAnsi="Arial" w:cs="Arial"/>
          <w:sz w:val="24"/>
          <w:szCs w:val="24"/>
        </w:rPr>
        <w:t>.</w:t>
      </w:r>
    </w:p>
    <w:p w:rsidRPr="0014793B" w:rsidR="00D64232" w:rsidP="0014793B" w:rsidRDefault="009501AE" w14:paraId="2181274F" w14:textId="7A939A8C">
      <w:pPr>
        <w:spacing w:before="120" w:line="360" w:lineRule="auto"/>
        <w:rPr>
          <w:rFonts w:ascii="Arial" w:hAnsi="Arial" w:cs="Arial"/>
          <w:sz w:val="24"/>
          <w:szCs w:val="24"/>
        </w:rPr>
      </w:pPr>
      <w:r>
        <w:rPr>
          <w:rFonts w:ascii="Arial" w:hAnsi="Arial" w:cs="Arial"/>
          <w:sz w:val="24"/>
          <w:szCs w:val="24"/>
        </w:rPr>
        <w:t>The Appraisal Committee’s decision not to consider an optimised recommendation in the lung population does not align with the Appraisal Committee’s recommendation in TA449</w:t>
      </w:r>
      <w:r w:rsidR="00CB7A48">
        <w:rPr>
          <w:rFonts w:ascii="Arial" w:hAnsi="Arial" w:cs="Arial"/>
          <w:sz w:val="24"/>
          <w:szCs w:val="24"/>
        </w:rPr>
        <w:t xml:space="preserve"> where</w:t>
      </w:r>
      <w:r w:rsidR="004A444A">
        <w:rPr>
          <w:rFonts w:ascii="Arial" w:hAnsi="Arial" w:cs="Arial"/>
          <w:sz w:val="24"/>
          <w:szCs w:val="24"/>
        </w:rPr>
        <w:t xml:space="preserve"> </w:t>
      </w:r>
      <w:r w:rsidRPr="004A444A" w:rsidR="004A444A">
        <w:rPr>
          <w:rFonts w:ascii="Arial" w:hAnsi="Arial" w:cs="Arial"/>
          <w:sz w:val="24"/>
          <w:szCs w:val="24"/>
        </w:rPr>
        <w:t>separate recommendations for</w:t>
      </w:r>
      <w:r w:rsidR="00E95ABF">
        <w:rPr>
          <w:rFonts w:ascii="Arial" w:hAnsi="Arial" w:cs="Arial"/>
          <w:sz w:val="24"/>
          <w:szCs w:val="24"/>
        </w:rPr>
        <w:t xml:space="preserve"> everolimus in the</w:t>
      </w:r>
      <w:r w:rsidRPr="004A444A" w:rsidR="004A444A">
        <w:rPr>
          <w:rFonts w:ascii="Arial" w:hAnsi="Arial" w:cs="Arial"/>
          <w:sz w:val="24"/>
          <w:szCs w:val="24"/>
        </w:rPr>
        <w:t xml:space="preserve"> gastrointestinal and lung NETs </w:t>
      </w:r>
      <w:r w:rsidR="00945F8D">
        <w:rPr>
          <w:rFonts w:ascii="Arial" w:hAnsi="Arial" w:cs="Arial"/>
          <w:sz w:val="24"/>
          <w:szCs w:val="24"/>
        </w:rPr>
        <w:t xml:space="preserve">populations </w:t>
      </w:r>
      <w:r w:rsidRPr="004A444A" w:rsidR="004A444A">
        <w:rPr>
          <w:rFonts w:ascii="Arial" w:hAnsi="Arial" w:cs="Arial"/>
          <w:sz w:val="24"/>
          <w:szCs w:val="24"/>
        </w:rPr>
        <w:t>were considered appropriate for decision</w:t>
      </w:r>
      <w:r w:rsidR="003F0D18">
        <w:rPr>
          <w:rFonts w:ascii="Arial" w:hAnsi="Arial" w:cs="Arial"/>
          <w:sz w:val="24"/>
          <w:szCs w:val="24"/>
        </w:rPr>
        <w:t>-</w:t>
      </w:r>
      <w:r w:rsidRPr="004A444A" w:rsidR="004A444A">
        <w:rPr>
          <w:rFonts w:ascii="Arial" w:hAnsi="Arial" w:cs="Arial"/>
          <w:sz w:val="24"/>
          <w:szCs w:val="24"/>
        </w:rPr>
        <w:t>making</w:t>
      </w:r>
      <w:r w:rsidR="00945F8D">
        <w:rPr>
          <w:rFonts w:ascii="Arial" w:hAnsi="Arial" w:cs="Arial"/>
          <w:sz w:val="24"/>
          <w:szCs w:val="24"/>
        </w:rPr>
        <w:t xml:space="preserve">. </w:t>
      </w:r>
      <w:r w:rsidRPr="0014793B" w:rsidR="00D64232">
        <w:rPr>
          <w:rFonts w:ascii="Arial" w:hAnsi="Arial" w:cs="Arial"/>
          <w:sz w:val="24"/>
          <w:szCs w:val="24"/>
        </w:rPr>
        <w:t xml:space="preserve">Section 3.11 of the </w:t>
      </w:r>
      <w:r w:rsidRPr="0014793B" w:rsidR="00CB7A48">
        <w:rPr>
          <w:rFonts w:ascii="Arial" w:hAnsi="Arial" w:cs="Arial"/>
          <w:sz w:val="24"/>
          <w:szCs w:val="24"/>
        </w:rPr>
        <w:t>TA449</w:t>
      </w:r>
      <w:r w:rsidR="00CB7A48">
        <w:rPr>
          <w:rFonts w:ascii="Arial" w:hAnsi="Arial" w:cs="Arial"/>
          <w:sz w:val="24"/>
          <w:szCs w:val="24"/>
        </w:rPr>
        <w:t xml:space="preserve"> </w:t>
      </w:r>
      <w:r w:rsidRPr="0014793B" w:rsidR="00D64232">
        <w:rPr>
          <w:rFonts w:ascii="Arial" w:hAnsi="Arial" w:cs="Arial"/>
          <w:sz w:val="24"/>
          <w:szCs w:val="24"/>
        </w:rPr>
        <w:t>Final Guidance Document for NICE states that for everolimus “</w:t>
      </w:r>
      <w:r w:rsidRPr="0014793B" w:rsidR="00D64232">
        <w:rPr>
          <w:rFonts w:ascii="Arial" w:hAnsi="Arial" w:cs="Arial"/>
          <w:i/>
          <w:iCs/>
          <w:sz w:val="24"/>
          <w:szCs w:val="24"/>
        </w:rPr>
        <w:t>Separate cost-effectiveness analyses for gastrointestinal and lung NETs are appropriate for decision-making: For gastrointestinal and lung NETs, the committee also considered 3 sets of cost-effectiveness analyses: an analysis with gastrointestinal and lung NETs combined and separate analyses for each tumour site (based on subgroup data from RADIANT-4 provided by the company). The committee understood that prognosis and quality of life can differ by tumour site and agreed that these factors are likely to affect the cost-effectiveness estimates. The committee concluded that the analyses specific to each tumour site were more appropriate for decision-making.</w:t>
      </w:r>
      <w:r w:rsidRPr="0014793B" w:rsidR="00D64232">
        <w:rPr>
          <w:rFonts w:ascii="Arial" w:hAnsi="Arial" w:cs="Arial"/>
          <w:sz w:val="24"/>
          <w:szCs w:val="24"/>
        </w:rPr>
        <w:t>”</w:t>
      </w:r>
    </w:p>
    <w:p w:rsidR="007223FE" w:rsidP="0014793B" w:rsidRDefault="00D53725" w14:paraId="3D86ACEA" w14:textId="16BA423F">
      <w:pPr>
        <w:spacing w:before="120" w:line="360" w:lineRule="auto"/>
        <w:rPr>
          <w:rFonts w:ascii="Arial" w:hAnsi="Arial" w:cs="Arial"/>
          <w:sz w:val="24"/>
          <w:szCs w:val="24"/>
        </w:rPr>
      </w:pPr>
      <w:r w:rsidRPr="00D53725">
        <w:rPr>
          <w:rFonts w:ascii="Arial" w:hAnsi="Arial" w:cs="Arial"/>
          <w:sz w:val="24"/>
          <w:szCs w:val="24"/>
        </w:rPr>
        <w:t xml:space="preserve">In direct contrast, the Appraisal Committee in the current appraisal (ID6474) has concluded that a recommendation for the lung NET population cannot be made due to the small sample size in CABINET. Whilst the lung NET subgroup population is smaller compared to RADIANT-4 (n=49 vs n=90), we note the stronger treatment effect and narrower 95% confidence intervals (CIs) observed in CABINET, indicating greater certainty in the estimated treatment effect. </w:t>
      </w:r>
      <w:r w:rsidRPr="00D215BA" w:rsidR="00D215BA">
        <w:t xml:space="preserve"> </w:t>
      </w:r>
      <w:r w:rsidRPr="00D215BA" w:rsidR="00D215BA">
        <w:rPr>
          <w:rFonts w:ascii="Arial" w:hAnsi="Arial" w:cs="Arial"/>
          <w:sz w:val="24"/>
          <w:szCs w:val="24"/>
        </w:rPr>
        <w:t xml:space="preserve">It is also notable, when considering these appeal points, that recently published clinical guidance </w:t>
      </w:r>
      <w:r w:rsidRPr="005831CF" w:rsidR="00D215BA">
        <w:rPr>
          <w:rFonts w:ascii="Arial" w:hAnsi="Arial" w:cs="Arial"/>
          <w:sz w:val="24"/>
          <w:szCs w:val="24"/>
        </w:rPr>
        <w:t xml:space="preserve">the European Neuroendocrine </w:t>
      </w:r>
      <w:proofErr w:type="spellStart"/>
      <w:r w:rsidRPr="005831CF" w:rsidR="00D215BA">
        <w:rPr>
          <w:rFonts w:ascii="Arial" w:hAnsi="Arial" w:cs="Arial"/>
          <w:sz w:val="24"/>
          <w:szCs w:val="24"/>
        </w:rPr>
        <w:t>Tumor</w:t>
      </w:r>
      <w:proofErr w:type="spellEnd"/>
      <w:r w:rsidRPr="005831CF" w:rsidR="00D215BA">
        <w:rPr>
          <w:rFonts w:ascii="Arial" w:hAnsi="Arial" w:cs="Arial"/>
          <w:sz w:val="24"/>
          <w:szCs w:val="24"/>
        </w:rPr>
        <w:t xml:space="preserve"> Society (ENETS) </w:t>
      </w:r>
      <w:r w:rsidRPr="00D215BA" w:rsidR="00D215BA">
        <w:rPr>
          <w:rFonts w:ascii="Arial" w:hAnsi="Arial" w:cs="Arial"/>
          <w:sz w:val="24"/>
          <w:szCs w:val="24"/>
        </w:rPr>
        <w:t xml:space="preserve">within this therapeutic area has considered the CABINET trial data to be sufficiently robust to inform </w:t>
      </w:r>
      <w:r w:rsidRPr="005831CF" w:rsidR="005831CF">
        <w:rPr>
          <w:rFonts w:ascii="Arial" w:hAnsi="Arial" w:cs="Arial"/>
          <w:sz w:val="24"/>
          <w:szCs w:val="24"/>
        </w:rPr>
        <w:t>an update to their clinical guidelines, recommending cabozantinib as a treatment option for lung NETs (April 2026)</w:t>
      </w:r>
      <w:r w:rsidR="005831CF">
        <w:rPr>
          <w:rFonts w:ascii="Arial" w:hAnsi="Arial" w:cs="Arial"/>
          <w:sz w:val="24"/>
          <w:szCs w:val="24"/>
        </w:rPr>
        <w:t>.</w:t>
      </w:r>
      <w:r w:rsidR="00B0240D">
        <w:rPr>
          <w:rStyle w:val="FootnoteReference"/>
          <w:rFonts w:ascii="Arial" w:hAnsi="Arial" w:cs="Arial"/>
          <w:sz w:val="24"/>
          <w:szCs w:val="24"/>
        </w:rPr>
        <w:footnoteReference w:id="14"/>
      </w:r>
    </w:p>
    <w:p w:rsidR="00D64232" w:rsidP="0014793B" w:rsidRDefault="006172CC" w14:paraId="59F40246" w14:textId="03CC967F">
      <w:pPr>
        <w:spacing w:before="120" w:line="360" w:lineRule="auto"/>
        <w:rPr>
          <w:rFonts w:ascii="Arial" w:hAnsi="Arial" w:cs="Arial"/>
          <w:sz w:val="24"/>
          <w:szCs w:val="24"/>
        </w:rPr>
      </w:pPr>
      <w:r>
        <w:rPr>
          <w:rFonts w:ascii="Arial" w:hAnsi="Arial" w:cs="Arial"/>
          <w:sz w:val="24"/>
          <w:szCs w:val="24"/>
        </w:rPr>
        <w:t>As outlined in appeal point 1(a).</w:t>
      </w:r>
      <w:r w:rsidR="00C8537D">
        <w:rPr>
          <w:rFonts w:ascii="Arial" w:hAnsi="Arial" w:cs="Arial"/>
          <w:sz w:val="24"/>
          <w:szCs w:val="24"/>
        </w:rPr>
        <w:t>1</w:t>
      </w:r>
      <w:r>
        <w:rPr>
          <w:rFonts w:ascii="Arial" w:hAnsi="Arial" w:cs="Arial"/>
          <w:sz w:val="24"/>
          <w:szCs w:val="24"/>
        </w:rPr>
        <w:t>, g</w:t>
      </w:r>
      <w:r w:rsidRPr="006172CC">
        <w:rPr>
          <w:rFonts w:ascii="Arial" w:hAnsi="Arial" w:cs="Arial"/>
          <w:sz w:val="24"/>
          <w:szCs w:val="24"/>
        </w:rPr>
        <w:t xml:space="preserve">iven </w:t>
      </w:r>
      <w:r w:rsidRPr="5892C2B9" w:rsidR="70EAC662">
        <w:rPr>
          <w:rFonts w:ascii="Arial" w:hAnsi="Arial" w:cs="Arial"/>
          <w:sz w:val="24"/>
          <w:szCs w:val="24"/>
        </w:rPr>
        <w:t xml:space="preserve">that </w:t>
      </w:r>
      <w:r w:rsidRPr="7939B323" w:rsidR="70EAC662">
        <w:rPr>
          <w:rFonts w:ascii="Arial" w:hAnsi="Arial" w:cs="Arial"/>
          <w:sz w:val="24"/>
          <w:szCs w:val="24"/>
        </w:rPr>
        <w:t xml:space="preserve">neither </w:t>
      </w:r>
      <w:r w:rsidRPr="7939B323">
        <w:rPr>
          <w:rFonts w:ascii="Arial" w:hAnsi="Arial" w:cs="Arial"/>
          <w:sz w:val="24"/>
          <w:szCs w:val="24"/>
        </w:rPr>
        <w:t>the</w:t>
      </w:r>
      <w:r w:rsidRPr="006172CC">
        <w:rPr>
          <w:rFonts w:ascii="Arial" w:hAnsi="Arial" w:cs="Arial"/>
          <w:sz w:val="24"/>
          <w:szCs w:val="24"/>
        </w:rPr>
        <w:t xml:space="preserve"> treatment landscape </w:t>
      </w:r>
      <w:r w:rsidRPr="5267CCCA" w:rsidR="152996E6">
        <w:rPr>
          <w:rFonts w:ascii="Arial" w:hAnsi="Arial" w:cs="Arial"/>
          <w:sz w:val="24"/>
          <w:szCs w:val="24"/>
        </w:rPr>
        <w:t>nor</w:t>
      </w:r>
      <w:r w:rsidRPr="006172CC">
        <w:rPr>
          <w:rFonts w:ascii="Arial" w:hAnsi="Arial" w:cs="Arial"/>
          <w:sz w:val="24"/>
          <w:szCs w:val="24"/>
        </w:rPr>
        <w:t xml:space="preserve"> evidence base have changed radically between TA449 and the current appraisal</w:t>
      </w:r>
      <w:r w:rsidRPr="338ACEF5" w:rsidR="52E0EBEC">
        <w:rPr>
          <w:rFonts w:ascii="Arial" w:hAnsi="Arial" w:cs="Arial"/>
          <w:sz w:val="24"/>
          <w:szCs w:val="24"/>
        </w:rPr>
        <w:t xml:space="preserve"> </w:t>
      </w:r>
      <w:r w:rsidRPr="1D7DFA4D" w:rsidR="52E0EBEC">
        <w:rPr>
          <w:rFonts w:ascii="Arial" w:hAnsi="Arial" w:cs="Arial"/>
          <w:sz w:val="24"/>
          <w:szCs w:val="24"/>
        </w:rPr>
        <w:t>(ID</w:t>
      </w:r>
      <w:r w:rsidR="00414BFE">
        <w:rPr>
          <w:rFonts w:ascii="Arial" w:hAnsi="Arial" w:cs="Arial"/>
          <w:sz w:val="24"/>
          <w:szCs w:val="24"/>
        </w:rPr>
        <w:t>6474</w:t>
      </w:r>
      <w:r w:rsidRPr="1D7DFA4D" w:rsidR="52E0EBEC">
        <w:rPr>
          <w:rFonts w:ascii="Arial" w:hAnsi="Arial" w:cs="Arial"/>
          <w:sz w:val="24"/>
          <w:szCs w:val="24"/>
        </w:rPr>
        <w:t>)</w:t>
      </w:r>
      <w:r w:rsidRPr="1D7DFA4D">
        <w:rPr>
          <w:rFonts w:ascii="Arial" w:hAnsi="Arial" w:cs="Arial"/>
          <w:sz w:val="24"/>
          <w:szCs w:val="24"/>
        </w:rPr>
        <w:t>,</w:t>
      </w:r>
      <w:r w:rsidRPr="006172CC">
        <w:rPr>
          <w:rFonts w:ascii="Arial" w:hAnsi="Arial" w:cs="Arial"/>
          <w:sz w:val="24"/>
          <w:szCs w:val="24"/>
        </w:rPr>
        <w:t xml:space="preserve"> the two should be considered sufficiently similar.</w:t>
      </w:r>
      <w:r w:rsidR="0034701E">
        <w:rPr>
          <w:rFonts w:ascii="Arial" w:hAnsi="Arial" w:cs="Arial"/>
          <w:sz w:val="24"/>
          <w:szCs w:val="24"/>
        </w:rPr>
        <w:t xml:space="preserve"> Therefore, t</w:t>
      </w:r>
      <w:r w:rsidRPr="0014793B" w:rsidR="00D64232">
        <w:rPr>
          <w:rFonts w:ascii="Arial" w:hAnsi="Arial" w:cs="Arial"/>
          <w:sz w:val="24"/>
          <w:szCs w:val="24"/>
        </w:rPr>
        <w:t xml:space="preserve">he conclusion of the Appraisal Committee in the current appraisal is </w:t>
      </w:r>
      <w:r w:rsidRPr="05A8AF43" w:rsidR="0E41210A">
        <w:rPr>
          <w:rFonts w:ascii="Arial" w:hAnsi="Arial" w:cs="Arial"/>
          <w:sz w:val="24"/>
          <w:szCs w:val="24"/>
        </w:rPr>
        <w:t>inconsistent</w:t>
      </w:r>
      <w:r w:rsidR="001C4521">
        <w:rPr>
          <w:rFonts w:ascii="Arial" w:hAnsi="Arial" w:cs="Arial"/>
          <w:sz w:val="24"/>
          <w:szCs w:val="24"/>
        </w:rPr>
        <w:t xml:space="preserve"> </w:t>
      </w:r>
      <w:r w:rsidRPr="0014793B" w:rsidR="00D64232">
        <w:rPr>
          <w:rFonts w:ascii="Arial" w:hAnsi="Arial" w:cs="Arial"/>
          <w:sz w:val="24"/>
          <w:szCs w:val="24"/>
        </w:rPr>
        <w:t>as it does not align with the precedent set for everolimus where the lung population was considered separate</w:t>
      </w:r>
      <w:r w:rsidR="005B4E03">
        <w:rPr>
          <w:rFonts w:ascii="Arial" w:hAnsi="Arial" w:cs="Arial"/>
          <w:sz w:val="24"/>
          <w:szCs w:val="24"/>
        </w:rPr>
        <w:t>ly</w:t>
      </w:r>
      <w:r w:rsidRPr="0014793B" w:rsidR="00D64232">
        <w:rPr>
          <w:rFonts w:ascii="Arial" w:hAnsi="Arial" w:cs="Arial"/>
          <w:sz w:val="24"/>
          <w:szCs w:val="24"/>
        </w:rPr>
        <w:t xml:space="preserve"> for decision</w:t>
      </w:r>
      <w:r w:rsidR="003F0D18">
        <w:rPr>
          <w:rFonts w:ascii="Arial" w:hAnsi="Arial" w:cs="Arial"/>
          <w:sz w:val="24"/>
          <w:szCs w:val="24"/>
        </w:rPr>
        <w:t>-</w:t>
      </w:r>
      <w:r w:rsidRPr="0014793B" w:rsidR="00D64232">
        <w:rPr>
          <w:rFonts w:ascii="Arial" w:hAnsi="Arial" w:cs="Arial"/>
          <w:sz w:val="24"/>
          <w:szCs w:val="24"/>
        </w:rPr>
        <w:t>making and approved.</w:t>
      </w:r>
    </w:p>
    <w:p w:rsidRPr="00591B8D" w:rsidR="00591B8D" w:rsidP="00591B8D" w:rsidRDefault="00591B8D" w14:paraId="07693946" w14:textId="7EA61CEB">
      <w:pPr>
        <w:pStyle w:val="Caption"/>
        <w:rPr>
          <w:rFonts w:ascii="Arial" w:hAnsi="Arial" w:cs="Arial"/>
          <w:b/>
          <w:bCs/>
          <w:i w:val="0"/>
          <w:iCs w:val="0"/>
          <w:color w:val="000000" w:themeColor="text1"/>
          <w:sz w:val="24"/>
          <w:szCs w:val="24"/>
        </w:rPr>
      </w:pPr>
      <w:r w:rsidRPr="00591B8D">
        <w:rPr>
          <w:rFonts w:ascii="Arial" w:hAnsi="Arial" w:cs="Arial"/>
          <w:b/>
          <w:bCs/>
          <w:i w:val="0"/>
          <w:iCs w:val="0"/>
          <w:color w:val="000000" w:themeColor="text1"/>
          <w:sz w:val="24"/>
          <w:szCs w:val="24"/>
        </w:rPr>
        <w:t xml:space="preserve">Table </w:t>
      </w:r>
      <w:r w:rsidRPr="00591B8D">
        <w:rPr>
          <w:rFonts w:ascii="Arial" w:hAnsi="Arial" w:cs="Arial"/>
          <w:b/>
          <w:bCs/>
          <w:i w:val="0"/>
          <w:iCs w:val="0"/>
          <w:color w:val="000000" w:themeColor="text1"/>
          <w:sz w:val="24"/>
          <w:szCs w:val="24"/>
        </w:rPr>
        <w:fldChar w:fldCharType="begin"/>
      </w:r>
      <w:r w:rsidRPr="00591B8D">
        <w:rPr>
          <w:rFonts w:ascii="Arial" w:hAnsi="Arial" w:cs="Arial"/>
          <w:b/>
          <w:bCs/>
          <w:i w:val="0"/>
          <w:iCs w:val="0"/>
          <w:color w:val="000000" w:themeColor="text1"/>
          <w:sz w:val="24"/>
          <w:szCs w:val="24"/>
        </w:rPr>
        <w:instrText xml:space="preserve"> SEQ Table \* ARABIC </w:instrText>
      </w:r>
      <w:r w:rsidRPr="00591B8D">
        <w:rPr>
          <w:rFonts w:ascii="Arial" w:hAnsi="Arial" w:cs="Arial"/>
          <w:b/>
          <w:bCs/>
          <w:i w:val="0"/>
          <w:iCs w:val="0"/>
          <w:color w:val="000000" w:themeColor="text1"/>
          <w:sz w:val="24"/>
          <w:szCs w:val="24"/>
        </w:rPr>
        <w:fldChar w:fldCharType="separate"/>
      </w:r>
      <w:r w:rsidR="00812C00">
        <w:rPr>
          <w:rFonts w:ascii="Arial" w:hAnsi="Arial" w:cs="Arial"/>
          <w:b/>
          <w:bCs/>
          <w:i w:val="0"/>
          <w:iCs w:val="0"/>
          <w:noProof/>
          <w:color w:val="000000" w:themeColor="text1"/>
          <w:sz w:val="24"/>
          <w:szCs w:val="24"/>
        </w:rPr>
        <w:t>4</w:t>
      </w:r>
      <w:r w:rsidRPr="00591B8D">
        <w:rPr>
          <w:rFonts w:ascii="Arial" w:hAnsi="Arial" w:cs="Arial"/>
          <w:b/>
          <w:bCs/>
          <w:i w:val="0"/>
          <w:iCs w:val="0"/>
          <w:color w:val="000000" w:themeColor="text1"/>
          <w:sz w:val="24"/>
          <w:szCs w:val="24"/>
        </w:rPr>
        <w:fldChar w:fldCharType="end"/>
      </w:r>
      <w:r w:rsidRPr="00591B8D">
        <w:rPr>
          <w:rFonts w:ascii="Arial" w:hAnsi="Arial" w:cs="Arial"/>
          <w:b/>
          <w:bCs/>
          <w:i w:val="0"/>
          <w:iCs w:val="0"/>
          <w:color w:val="000000" w:themeColor="text1"/>
          <w:sz w:val="24"/>
          <w:szCs w:val="24"/>
        </w:rPr>
        <w:t xml:space="preserve">: </w:t>
      </w:r>
      <w:r w:rsidRPr="00A030E5">
        <w:rPr>
          <w:rFonts w:ascii="Arial" w:hAnsi="Arial" w:cs="Arial"/>
          <w:b/>
          <w:bCs/>
          <w:i w:val="0"/>
          <w:iCs w:val="0"/>
          <w:color w:val="000000" w:themeColor="text1"/>
          <w:sz w:val="24"/>
          <w:szCs w:val="24"/>
        </w:rPr>
        <w:t>PFS and OS HRs of RADIANT-</w:t>
      </w:r>
      <w:r w:rsidR="00C0386B">
        <w:rPr>
          <w:rFonts w:ascii="Arial" w:hAnsi="Arial" w:cs="Arial"/>
          <w:b/>
          <w:bCs/>
          <w:i w:val="0"/>
          <w:iCs w:val="0"/>
          <w:color w:val="000000" w:themeColor="text1"/>
          <w:sz w:val="24"/>
          <w:szCs w:val="24"/>
        </w:rPr>
        <w:t>4</w:t>
      </w:r>
      <w:r w:rsidRPr="00A030E5">
        <w:rPr>
          <w:rFonts w:ascii="Arial" w:hAnsi="Arial" w:cs="Arial"/>
          <w:b/>
          <w:bCs/>
          <w:i w:val="0"/>
          <w:iCs w:val="0"/>
          <w:color w:val="000000" w:themeColor="text1"/>
          <w:sz w:val="24"/>
          <w:szCs w:val="24"/>
        </w:rPr>
        <w:t xml:space="preserve"> for everolimus</w:t>
      </w:r>
      <w:r>
        <w:rPr>
          <w:rFonts w:ascii="Arial" w:hAnsi="Arial" w:cs="Arial"/>
          <w:b/>
          <w:bCs/>
          <w:i w:val="0"/>
          <w:iCs w:val="0"/>
          <w:color w:val="000000" w:themeColor="text1"/>
          <w:sz w:val="24"/>
          <w:szCs w:val="24"/>
        </w:rPr>
        <w:t xml:space="preserve"> vs BSC</w:t>
      </w:r>
      <w:r w:rsidRPr="00A030E5">
        <w:rPr>
          <w:rFonts w:ascii="Arial" w:hAnsi="Arial" w:cs="Arial"/>
          <w:b/>
          <w:bCs/>
          <w:i w:val="0"/>
          <w:iCs w:val="0"/>
          <w:color w:val="000000" w:themeColor="text1"/>
          <w:sz w:val="24"/>
          <w:szCs w:val="24"/>
        </w:rPr>
        <w:t xml:space="preserve"> in </w:t>
      </w:r>
      <w:r w:rsidR="006A1AC0">
        <w:rPr>
          <w:rFonts w:ascii="Arial" w:hAnsi="Arial" w:cs="Arial"/>
          <w:b/>
          <w:bCs/>
          <w:i w:val="0"/>
          <w:iCs w:val="0"/>
          <w:color w:val="000000" w:themeColor="text1"/>
          <w:sz w:val="24"/>
          <w:szCs w:val="24"/>
        </w:rPr>
        <w:t xml:space="preserve">lung </w:t>
      </w:r>
      <w:r w:rsidRPr="00A030E5">
        <w:rPr>
          <w:rFonts w:ascii="Arial" w:hAnsi="Arial" w:cs="Arial"/>
          <w:b/>
          <w:bCs/>
          <w:i w:val="0"/>
          <w:iCs w:val="0"/>
          <w:color w:val="000000" w:themeColor="text1"/>
          <w:sz w:val="24"/>
          <w:szCs w:val="24"/>
        </w:rPr>
        <w:t>NET</w:t>
      </w:r>
      <w:r w:rsidR="009A6477">
        <w:rPr>
          <w:rFonts w:ascii="Arial" w:hAnsi="Arial" w:cs="Arial"/>
          <w:b/>
          <w:bCs/>
          <w:i w:val="0"/>
          <w:iCs w:val="0"/>
          <w:color w:val="000000" w:themeColor="text1"/>
          <w:sz w:val="24"/>
          <w:szCs w:val="24"/>
        </w:rPr>
        <w:t>s</w:t>
      </w:r>
      <w:r w:rsidRPr="00A030E5">
        <w:rPr>
          <w:rFonts w:ascii="Arial" w:hAnsi="Arial" w:cs="Arial"/>
          <w:b/>
          <w:bCs/>
          <w:i w:val="0"/>
          <w:iCs w:val="0"/>
          <w:color w:val="000000" w:themeColor="text1"/>
          <w:sz w:val="24"/>
          <w:szCs w:val="24"/>
        </w:rPr>
        <w:t xml:space="preserve"> (TA449) and CABINET for cabozantinib</w:t>
      </w:r>
      <w:r>
        <w:rPr>
          <w:rFonts w:ascii="Arial" w:hAnsi="Arial" w:cs="Arial"/>
          <w:b/>
          <w:bCs/>
          <w:i w:val="0"/>
          <w:iCs w:val="0"/>
          <w:color w:val="000000" w:themeColor="text1"/>
          <w:sz w:val="24"/>
          <w:szCs w:val="24"/>
        </w:rPr>
        <w:t xml:space="preserve"> vs BSC</w:t>
      </w:r>
      <w:r w:rsidRPr="00A030E5">
        <w:rPr>
          <w:rFonts w:ascii="Arial" w:hAnsi="Arial" w:cs="Arial"/>
          <w:b/>
          <w:bCs/>
          <w:i w:val="0"/>
          <w:iCs w:val="0"/>
          <w:color w:val="000000" w:themeColor="text1"/>
          <w:sz w:val="24"/>
          <w:szCs w:val="24"/>
        </w:rPr>
        <w:t xml:space="preserve"> in </w:t>
      </w:r>
      <w:r w:rsidR="006A1AC0">
        <w:rPr>
          <w:rFonts w:ascii="Arial" w:hAnsi="Arial" w:cs="Arial"/>
          <w:b/>
          <w:bCs/>
          <w:i w:val="0"/>
          <w:iCs w:val="0"/>
          <w:color w:val="000000" w:themeColor="text1"/>
          <w:sz w:val="24"/>
          <w:szCs w:val="24"/>
        </w:rPr>
        <w:t xml:space="preserve">lung </w:t>
      </w:r>
      <w:r w:rsidRPr="00A030E5">
        <w:rPr>
          <w:rFonts w:ascii="Arial" w:hAnsi="Arial" w:cs="Arial"/>
          <w:b/>
          <w:bCs/>
          <w:i w:val="0"/>
          <w:iCs w:val="0"/>
          <w:color w:val="000000" w:themeColor="text1"/>
          <w:sz w:val="24"/>
          <w:szCs w:val="24"/>
        </w:rPr>
        <w:t>NETs (ID6474)</w:t>
      </w:r>
    </w:p>
    <w:tbl>
      <w:tblPr>
        <w:tblStyle w:val="TableGrid"/>
        <w:tblW w:w="0" w:type="auto"/>
        <w:tblLook w:val="04A0" w:firstRow="1" w:lastRow="0" w:firstColumn="1" w:lastColumn="0" w:noHBand="0" w:noVBand="1"/>
      </w:tblPr>
      <w:tblGrid>
        <w:gridCol w:w="3005"/>
        <w:gridCol w:w="3005"/>
        <w:gridCol w:w="3006"/>
      </w:tblGrid>
      <w:tr w:rsidRPr="00253E1E" w:rsidR="00A7770C" w:rsidTr="004C7782" w14:paraId="05F99281" w14:textId="77777777">
        <w:tc>
          <w:tcPr>
            <w:tcW w:w="3005" w:type="dxa"/>
            <w:shd w:val="clear" w:color="auto" w:fill="D9D9D9" w:themeFill="background1" w:themeFillShade="D9"/>
          </w:tcPr>
          <w:p w:rsidRPr="00253E1E" w:rsidR="00D64232" w:rsidRDefault="00D64232" w14:paraId="01082DBF" w14:textId="77777777">
            <w:pPr>
              <w:spacing w:before="120" w:line="240" w:lineRule="auto"/>
              <w:rPr>
                <w:rFonts w:ascii="Arial" w:hAnsi="Arial" w:cs="Arial"/>
                <w:sz w:val="20"/>
                <w:szCs w:val="20"/>
                <w:lang w:val="en-GB"/>
              </w:rPr>
            </w:pPr>
          </w:p>
        </w:tc>
        <w:tc>
          <w:tcPr>
            <w:tcW w:w="3005" w:type="dxa"/>
            <w:shd w:val="clear" w:color="auto" w:fill="D9D9D9" w:themeFill="background1" w:themeFillShade="D9"/>
          </w:tcPr>
          <w:p w:rsidRPr="00253E1E" w:rsidR="00D64232" w:rsidRDefault="00D64232" w14:paraId="31CFA498" w14:textId="77777777">
            <w:pPr>
              <w:spacing w:before="120" w:line="240" w:lineRule="auto"/>
              <w:jc w:val="center"/>
              <w:rPr>
                <w:rFonts w:ascii="Arial" w:hAnsi="Arial" w:cs="Arial"/>
                <w:b/>
                <w:bCs/>
                <w:sz w:val="20"/>
                <w:szCs w:val="20"/>
                <w:lang w:val="en-GB"/>
              </w:rPr>
            </w:pPr>
            <w:r w:rsidRPr="00253E1E">
              <w:rPr>
                <w:rFonts w:ascii="Arial" w:hAnsi="Arial" w:cs="Arial"/>
                <w:b/>
                <w:bCs/>
                <w:sz w:val="20"/>
                <w:szCs w:val="20"/>
                <w:lang w:val="en-GB"/>
              </w:rPr>
              <w:t>PFS HR (95% CI)</w:t>
            </w:r>
          </w:p>
        </w:tc>
        <w:tc>
          <w:tcPr>
            <w:tcW w:w="3006" w:type="dxa"/>
            <w:shd w:val="clear" w:color="auto" w:fill="D9D9D9" w:themeFill="background1" w:themeFillShade="D9"/>
          </w:tcPr>
          <w:p w:rsidRPr="00253E1E" w:rsidR="00D64232" w:rsidRDefault="00D64232" w14:paraId="05EA3B82" w14:textId="742854A8">
            <w:pPr>
              <w:spacing w:before="120" w:line="240" w:lineRule="auto"/>
              <w:jc w:val="center"/>
              <w:rPr>
                <w:rFonts w:ascii="Arial" w:hAnsi="Arial" w:cs="Arial"/>
                <w:b/>
                <w:bCs/>
                <w:sz w:val="20"/>
                <w:szCs w:val="20"/>
                <w:lang w:val="en-GB"/>
              </w:rPr>
            </w:pPr>
            <w:r w:rsidRPr="00253E1E">
              <w:rPr>
                <w:rFonts w:ascii="Arial" w:hAnsi="Arial" w:cs="Arial"/>
                <w:b/>
                <w:bCs/>
                <w:sz w:val="20"/>
                <w:szCs w:val="20"/>
                <w:lang w:val="en-GB"/>
              </w:rPr>
              <w:t>Crossover adjusted OS HR (95% CI)</w:t>
            </w:r>
            <w:r w:rsidR="00B74E36">
              <w:rPr>
                <w:rFonts w:ascii="Arial" w:hAnsi="Arial" w:cs="Arial"/>
                <w:b/>
                <w:bCs/>
                <w:sz w:val="20"/>
                <w:szCs w:val="20"/>
                <w:lang w:val="en-GB"/>
              </w:rPr>
              <w:t>*</w:t>
            </w:r>
          </w:p>
        </w:tc>
      </w:tr>
      <w:tr w:rsidRPr="00253E1E" w:rsidR="00A7770C" w14:paraId="0122450E" w14:textId="77777777">
        <w:tc>
          <w:tcPr>
            <w:tcW w:w="3005" w:type="dxa"/>
          </w:tcPr>
          <w:p w:rsidRPr="00253E1E" w:rsidR="00D64232" w:rsidRDefault="00D64232" w14:paraId="52761765" w14:textId="77777777">
            <w:pPr>
              <w:spacing w:before="120" w:line="240" w:lineRule="auto"/>
              <w:jc w:val="left"/>
              <w:rPr>
                <w:rFonts w:ascii="Arial" w:hAnsi="Arial" w:cs="Arial"/>
                <w:sz w:val="20"/>
                <w:szCs w:val="20"/>
                <w:lang w:val="en-GB"/>
              </w:rPr>
            </w:pPr>
            <w:r w:rsidRPr="00253E1E">
              <w:rPr>
                <w:rFonts w:ascii="Arial" w:hAnsi="Arial" w:cs="Arial"/>
                <w:sz w:val="20"/>
                <w:szCs w:val="20"/>
                <w:lang w:val="en-GB"/>
              </w:rPr>
              <w:t>RADIANT-4 (everolimus vs BSC, lung population)</w:t>
            </w:r>
          </w:p>
        </w:tc>
        <w:tc>
          <w:tcPr>
            <w:tcW w:w="3005" w:type="dxa"/>
          </w:tcPr>
          <w:p w:rsidRPr="00253E1E" w:rsidR="00D64232" w:rsidRDefault="00D64232" w14:paraId="176C6C8D" w14:textId="77777777">
            <w:pPr>
              <w:spacing w:before="120" w:line="240" w:lineRule="auto"/>
              <w:jc w:val="center"/>
              <w:rPr>
                <w:rFonts w:ascii="Arial" w:hAnsi="Arial" w:cs="Arial"/>
                <w:sz w:val="20"/>
                <w:szCs w:val="20"/>
                <w:lang w:val="en-GB"/>
              </w:rPr>
            </w:pPr>
            <w:r w:rsidRPr="00253E1E">
              <w:rPr>
                <w:rFonts w:ascii="Arial" w:hAnsi="Arial" w:cs="Arial"/>
                <w:sz w:val="20"/>
                <w:szCs w:val="20"/>
                <w:lang w:val="en-GB"/>
              </w:rPr>
              <w:t>0.50 (0.28 to 0.88)</w:t>
            </w:r>
          </w:p>
        </w:tc>
        <w:tc>
          <w:tcPr>
            <w:tcW w:w="3006" w:type="dxa"/>
          </w:tcPr>
          <w:p w:rsidRPr="00253E1E" w:rsidR="00D64232" w:rsidRDefault="000852BF" w14:paraId="358D19C4" w14:textId="54698CEF">
            <w:pPr>
              <w:spacing w:before="120" w:line="240" w:lineRule="auto"/>
              <w:jc w:val="center"/>
              <w:rPr>
                <w:rFonts w:ascii="Arial" w:hAnsi="Arial" w:cs="Arial"/>
                <w:sz w:val="20"/>
                <w:szCs w:val="20"/>
                <w:lang w:val="en-GB"/>
              </w:rPr>
            </w:pPr>
            <w:r>
              <w:rPr>
                <w:rFonts w:ascii="Arial" w:hAnsi="Arial" w:cs="Arial"/>
                <w:sz w:val="20"/>
                <w:szCs w:val="20"/>
                <w:lang w:val="en-GB"/>
              </w:rPr>
              <w:t>Redacted in appraisal</w:t>
            </w:r>
          </w:p>
        </w:tc>
      </w:tr>
      <w:tr w:rsidRPr="00253E1E" w:rsidR="00A7770C" w14:paraId="0FF0BA83" w14:textId="77777777">
        <w:tc>
          <w:tcPr>
            <w:tcW w:w="3005" w:type="dxa"/>
          </w:tcPr>
          <w:p w:rsidRPr="00253E1E" w:rsidR="00D64232" w:rsidRDefault="00D64232" w14:paraId="1ABFDD31" w14:textId="77777777">
            <w:pPr>
              <w:spacing w:before="120" w:line="240" w:lineRule="auto"/>
              <w:jc w:val="left"/>
              <w:rPr>
                <w:rFonts w:ascii="Arial" w:hAnsi="Arial" w:cs="Arial"/>
                <w:sz w:val="20"/>
                <w:szCs w:val="20"/>
                <w:lang w:val="en-GB"/>
              </w:rPr>
            </w:pPr>
            <w:r w:rsidRPr="00253E1E">
              <w:rPr>
                <w:rFonts w:ascii="Arial" w:hAnsi="Arial" w:cs="Arial"/>
                <w:sz w:val="20"/>
                <w:szCs w:val="20"/>
                <w:lang w:val="en-GB"/>
              </w:rPr>
              <w:t>CABINET (cabozantinib vs BSC, lung population)</w:t>
            </w:r>
          </w:p>
        </w:tc>
        <w:tc>
          <w:tcPr>
            <w:tcW w:w="3005" w:type="dxa"/>
          </w:tcPr>
          <w:p w:rsidRPr="00253E1E" w:rsidR="00D64232" w:rsidRDefault="00E559F7" w14:paraId="4D954FA2" w14:textId="73714300">
            <w:pPr>
              <w:spacing w:before="120" w:line="240" w:lineRule="auto"/>
              <w:jc w:val="center"/>
              <w:rPr>
                <w:rFonts w:ascii="Arial" w:hAnsi="Arial" w:cs="Arial"/>
                <w:sz w:val="20"/>
                <w:szCs w:val="20"/>
                <w:lang w:val="en-GB"/>
              </w:rPr>
            </w:pPr>
            <w:proofErr w:type="spellStart"/>
            <w:r w:rsidRPr="00E559F7">
              <w:rPr>
                <w:rFonts w:ascii="Arial" w:hAnsi="Arial" w:cs="Arial"/>
                <w:sz w:val="20"/>
                <w:szCs w:val="20"/>
                <w:highlight w:val="black"/>
                <w:u w:val="single"/>
              </w:rPr>
              <w:t>xxxxxxxxxxxxxxxx</w:t>
            </w:r>
            <w:proofErr w:type="spellEnd"/>
          </w:p>
        </w:tc>
        <w:tc>
          <w:tcPr>
            <w:tcW w:w="3006" w:type="dxa"/>
          </w:tcPr>
          <w:p w:rsidRPr="00253E1E" w:rsidR="00D64232" w:rsidRDefault="00E559F7" w14:paraId="741CCCFB" w14:textId="1B354305">
            <w:pPr>
              <w:spacing w:before="120" w:line="240" w:lineRule="auto"/>
              <w:jc w:val="center"/>
              <w:rPr>
                <w:rFonts w:ascii="Arial" w:hAnsi="Arial" w:cs="Arial"/>
                <w:sz w:val="20"/>
                <w:szCs w:val="20"/>
                <w:lang w:val="en-GB"/>
              </w:rPr>
            </w:pPr>
            <w:proofErr w:type="spellStart"/>
            <w:r w:rsidRPr="00E559F7">
              <w:rPr>
                <w:rFonts w:ascii="Arial" w:hAnsi="Arial" w:cs="Arial"/>
                <w:sz w:val="20"/>
                <w:szCs w:val="20"/>
                <w:highlight w:val="black"/>
                <w:u w:val="single"/>
              </w:rPr>
              <w:t>xxxxxxxxxxxxxxxx</w:t>
            </w:r>
            <w:proofErr w:type="spellEnd"/>
          </w:p>
        </w:tc>
      </w:tr>
    </w:tbl>
    <w:p w:rsidRPr="00606227" w:rsidR="00113BC6" w:rsidP="00204EB5" w:rsidRDefault="00113BC6" w14:paraId="4A30D0FA" w14:textId="0F473F6F">
      <w:pPr>
        <w:spacing w:after="0" w:line="240" w:lineRule="auto"/>
        <w:rPr>
          <w:rFonts w:ascii="Arial" w:hAnsi="Arial" w:cs="Arial"/>
          <w:color w:val="auto"/>
          <w:sz w:val="18"/>
          <w:szCs w:val="18"/>
        </w:rPr>
      </w:pPr>
      <w:r w:rsidRPr="00606227">
        <w:rPr>
          <w:rFonts w:ascii="Arial" w:hAnsi="Arial" w:cs="Arial"/>
          <w:color w:val="auto"/>
          <w:sz w:val="18"/>
          <w:szCs w:val="18"/>
        </w:rPr>
        <w:t>BSC: best supportive care; HR: hazard ratio; PFS: progression-free survival; NET: neuroendocrine tumour; OS: overall survival</w:t>
      </w:r>
    </w:p>
    <w:p w:rsidRPr="00606227" w:rsidR="00113BC6" w:rsidP="00204EB5" w:rsidRDefault="00DA18C2" w14:paraId="1940134B" w14:textId="5D4CF30D">
      <w:pPr>
        <w:spacing w:after="240" w:line="240" w:lineRule="auto"/>
        <w:rPr>
          <w:rFonts w:ascii="Arial" w:hAnsi="Arial" w:cs="Arial"/>
          <w:color w:val="auto"/>
          <w:sz w:val="18"/>
          <w:szCs w:val="18"/>
        </w:rPr>
      </w:pPr>
      <w:r w:rsidRPr="00606227">
        <w:rPr>
          <w:rFonts w:ascii="Arial" w:hAnsi="Arial" w:cs="Arial"/>
          <w:color w:val="auto"/>
          <w:sz w:val="18"/>
          <w:szCs w:val="18"/>
        </w:rPr>
        <w:t>*</w:t>
      </w:r>
      <w:r w:rsidRPr="00606227" w:rsidR="00113BC6">
        <w:rPr>
          <w:rFonts w:ascii="Arial" w:hAnsi="Arial" w:cs="Arial"/>
          <w:color w:val="auto"/>
          <w:sz w:val="18"/>
          <w:szCs w:val="18"/>
        </w:rPr>
        <w:t>RPSFTM crossover analysis used in TA449 and IPCW crossover analysis used in ID6474</w:t>
      </w:r>
    </w:p>
    <w:p w:rsidRPr="00774B47" w:rsidR="00D64232" w:rsidP="00D64232" w:rsidRDefault="00D64232" w14:paraId="212FFAD9" w14:textId="77750C34">
      <w:pPr>
        <w:pStyle w:val="Heading1"/>
        <w:rPr>
          <w:rFonts w:ascii="Arial" w:hAnsi="Arial" w:cs="Arial"/>
        </w:rPr>
      </w:pPr>
      <w:r w:rsidRPr="00774B47">
        <w:rPr>
          <w:rFonts w:ascii="Arial" w:hAnsi="Arial" w:cs="Arial"/>
        </w:rPr>
        <w:t>Ground 2: The recommendation is unreasonable in light of the evidence submitted to NICE</w:t>
      </w:r>
    </w:p>
    <w:p w:rsidRPr="00774B47" w:rsidR="00D64232" w:rsidP="00D64232" w:rsidRDefault="00D64232" w14:paraId="48B726B5" w14:textId="77777777">
      <w:pPr>
        <w:rPr>
          <w:rFonts w:ascii="Arial" w:hAnsi="Arial" w:cs="Arial"/>
        </w:rPr>
      </w:pPr>
    </w:p>
    <w:p w:rsidRPr="00774B47" w:rsidR="00D64232" w:rsidP="002C676C" w:rsidRDefault="00D64232" w14:paraId="3554B95C" w14:textId="3A7E23F2">
      <w:pPr>
        <w:pStyle w:val="Heading2"/>
      </w:pPr>
      <w:r w:rsidRPr="00774B47">
        <w:t xml:space="preserve">Appeal point 2.1: The </w:t>
      </w:r>
      <w:r>
        <w:t>Appraisal C</w:t>
      </w:r>
      <w:r w:rsidRPr="00774B47">
        <w:t>ommittee’s conclusion that there is no OS benefit associated with cabozantinib in the epNET population is</w:t>
      </w:r>
      <w:r w:rsidR="00163467">
        <w:t xml:space="preserve"> implausibl</w:t>
      </w:r>
      <w:r w:rsidR="00A53D2B">
        <w:t>e</w:t>
      </w:r>
      <w:r>
        <w:t xml:space="preserve"> and</w:t>
      </w:r>
      <w:r w:rsidRPr="00774B47">
        <w:t xml:space="preserve"> </w:t>
      </w:r>
      <w:r>
        <w:t xml:space="preserve">inconsistent with the available evidence </w:t>
      </w:r>
    </w:p>
    <w:p w:rsidRPr="00935839" w:rsidR="00D64232" w:rsidP="00935839" w:rsidRDefault="003C16E7" w14:paraId="56E5E3FE" w14:textId="1D933947">
      <w:pPr>
        <w:spacing w:before="120" w:line="360" w:lineRule="auto"/>
        <w:rPr>
          <w:rFonts w:ascii="Arial" w:hAnsi="Arial" w:cs="Arial"/>
          <w:sz w:val="24"/>
          <w:szCs w:val="24"/>
        </w:rPr>
      </w:pPr>
      <w:r>
        <w:rPr>
          <w:rFonts w:ascii="Arial" w:hAnsi="Arial" w:cs="Arial"/>
          <w:sz w:val="24"/>
          <w:szCs w:val="24"/>
        </w:rPr>
        <w:t xml:space="preserve">The Appraisal Committee conclusion that there is no OS </w:t>
      </w:r>
      <w:r w:rsidR="00891486">
        <w:rPr>
          <w:rFonts w:ascii="Arial" w:hAnsi="Arial" w:cs="Arial"/>
          <w:sz w:val="24"/>
          <w:szCs w:val="24"/>
        </w:rPr>
        <w:t xml:space="preserve">benefit associated with cabozantinib in the epNET population </w:t>
      </w:r>
      <w:r w:rsidR="00167D6E">
        <w:rPr>
          <w:rFonts w:ascii="Arial" w:hAnsi="Arial" w:cs="Arial"/>
          <w:sz w:val="24"/>
          <w:szCs w:val="24"/>
        </w:rPr>
        <w:t>(</w:t>
      </w:r>
      <w:r w:rsidRPr="00935839" w:rsidR="00D64232">
        <w:rPr>
          <w:rFonts w:ascii="Arial" w:hAnsi="Arial" w:cs="Arial"/>
          <w:sz w:val="24"/>
          <w:szCs w:val="24"/>
        </w:rPr>
        <w:t>assumption of OS HR=1</w:t>
      </w:r>
      <w:r w:rsidR="00167D6E">
        <w:rPr>
          <w:rFonts w:ascii="Arial" w:hAnsi="Arial" w:cs="Arial"/>
          <w:sz w:val="24"/>
          <w:szCs w:val="24"/>
        </w:rPr>
        <w:t>)</w:t>
      </w:r>
      <w:r w:rsidRPr="00935839" w:rsidR="00D64232">
        <w:rPr>
          <w:rFonts w:ascii="Arial" w:hAnsi="Arial" w:cs="Arial"/>
          <w:sz w:val="24"/>
          <w:szCs w:val="24"/>
        </w:rPr>
        <w:t xml:space="preserve"> represents an extreme</w:t>
      </w:r>
      <w:r w:rsidR="0078592D">
        <w:rPr>
          <w:rFonts w:ascii="Arial" w:hAnsi="Arial" w:cs="Arial"/>
          <w:sz w:val="24"/>
          <w:szCs w:val="24"/>
        </w:rPr>
        <w:t>ly</w:t>
      </w:r>
      <w:r w:rsidRPr="00935839" w:rsidR="00D64232">
        <w:rPr>
          <w:rFonts w:ascii="Arial" w:hAnsi="Arial" w:cs="Arial"/>
          <w:sz w:val="24"/>
          <w:szCs w:val="24"/>
        </w:rPr>
        <w:t xml:space="preserve"> conservative assumption</w:t>
      </w:r>
      <w:r w:rsidR="00A10D1B">
        <w:rPr>
          <w:rFonts w:ascii="Arial" w:hAnsi="Arial" w:cs="Arial"/>
          <w:sz w:val="24"/>
          <w:szCs w:val="24"/>
        </w:rPr>
        <w:t xml:space="preserve">. Given the totality of evidence considered across the appraisal, </w:t>
      </w:r>
      <w:r w:rsidR="006D1FBC">
        <w:rPr>
          <w:rFonts w:ascii="Arial" w:hAnsi="Arial" w:cs="Arial"/>
          <w:sz w:val="24"/>
          <w:szCs w:val="24"/>
        </w:rPr>
        <w:t xml:space="preserve">in particular the strong PFS data, </w:t>
      </w:r>
      <w:r w:rsidR="00A10D1B">
        <w:rPr>
          <w:rFonts w:ascii="Arial" w:hAnsi="Arial" w:cs="Arial"/>
          <w:sz w:val="24"/>
          <w:szCs w:val="24"/>
        </w:rPr>
        <w:t>this conclusion</w:t>
      </w:r>
      <w:r w:rsidRPr="00935839" w:rsidR="00D64232">
        <w:rPr>
          <w:rFonts w:ascii="Arial" w:hAnsi="Arial" w:cs="Arial"/>
          <w:sz w:val="24"/>
          <w:szCs w:val="24"/>
        </w:rPr>
        <w:t xml:space="preserve"> is not considered clinically plausible</w:t>
      </w:r>
      <w:r w:rsidR="002B7191">
        <w:rPr>
          <w:rFonts w:ascii="Arial" w:hAnsi="Arial" w:cs="Arial"/>
          <w:sz w:val="24"/>
          <w:szCs w:val="24"/>
        </w:rPr>
        <w:t>.</w:t>
      </w:r>
    </w:p>
    <w:p w:rsidR="00545A4F" w:rsidP="00935839" w:rsidRDefault="00D64232" w14:paraId="6D8394AD" w14:textId="5F31E291">
      <w:pPr>
        <w:spacing w:before="120" w:line="360" w:lineRule="auto"/>
        <w:rPr>
          <w:rFonts w:ascii="Arial" w:hAnsi="Arial" w:cs="Arial"/>
          <w:sz w:val="24"/>
          <w:szCs w:val="24"/>
        </w:rPr>
      </w:pPr>
      <w:r w:rsidRPr="00935839">
        <w:rPr>
          <w:rFonts w:ascii="Arial" w:hAnsi="Arial" w:cs="Arial"/>
          <w:sz w:val="24"/>
          <w:szCs w:val="24"/>
        </w:rPr>
        <w:t xml:space="preserve">The FDG notes a lack of statistical significance of the CABINET study and </w:t>
      </w:r>
      <w:r w:rsidR="00CB2807">
        <w:rPr>
          <w:rFonts w:ascii="Arial" w:hAnsi="Arial" w:cs="Arial"/>
          <w:sz w:val="24"/>
          <w:szCs w:val="24"/>
        </w:rPr>
        <w:t xml:space="preserve">the associated </w:t>
      </w:r>
      <w:r w:rsidRPr="00935839">
        <w:rPr>
          <w:rFonts w:ascii="Arial" w:hAnsi="Arial" w:cs="Arial"/>
          <w:sz w:val="24"/>
          <w:szCs w:val="24"/>
        </w:rPr>
        <w:t xml:space="preserve">crossover analysis </w:t>
      </w:r>
      <w:r w:rsidR="00256BE9">
        <w:rPr>
          <w:rFonts w:ascii="Arial" w:hAnsi="Arial" w:cs="Arial"/>
          <w:sz w:val="24"/>
          <w:szCs w:val="24"/>
        </w:rPr>
        <w:t>(</w:t>
      </w:r>
      <w:r w:rsidRPr="00935839">
        <w:rPr>
          <w:rFonts w:ascii="Arial" w:hAnsi="Arial" w:cs="Arial"/>
          <w:sz w:val="24"/>
          <w:szCs w:val="24"/>
        </w:rPr>
        <w:t>Sections 3.6–3.8</w:t>
      </w:r>
      <w:r w:rsidR="00256BE9">
        <w:rPr>
          <w:rFonts w:ascii="Arial" w:hAnsi="Arial" w:cs="Arial"/>
          <w:sz w:val="24"/>
          <w:szCs w:val="24"/>
        </w:rPr>
        <w:t>)</w:t>
      </w:r>
      <w:r w:rsidR="000C5280">
        <w:rPr>
          <w:rFonts w:ascii="Arial" w:hAnsi="Arial" w:cs="Arial"/>
          <w:sz w:val="24"/>
          <w:szCs w:val="24"/>
        </w:rPr>
        <w:t>. It</w:t>
      </w:r>
      <w:r w:rsidRPr="00935839">
        <w:rPr>
          <w:rFonts w:ascii="Arial" w:hAnsi="Arial" w:cs="Arial"/>
          <w:sz w:val="24"/>
          <w:szCs w:val="24"/>
        </w:rPr>
        <w:t xml:space="preserve"> cites this lack of statistical significance as justification for an OS HR=1</w:t>
      </w:r>
      <w:r w:rsidR="007357E3">
        <w:rPr>
          <w:rFonts w:ascii="Arial" w:hAnsi="Arial" w:cs="Arial"/>
          <w:sz w:val="24"/>
          <w:szCs w:val="24"/>
        </w:rPr>
        <w:t>; t</w:t>
      </w:r>
      <w:r w:rsidRPr="00935839">
        <w:rPr>
          <w:rFonts w:ascii="Arial" w:hAnsi="Arial" w:cs="Arial"/>
          <w:sz w:val="24"/>
          <w:szCs w:val="24"/>
        </w:rPr>
        <w:t>his</w:t>
      </w:r>
      <w:r w:rsidR="007C43F3">
        <w:rPr>
          <w:rFonts w:ascii="Arial" w:hAnsi="Arial" w:cs="Arial"/>
          <w:sz w:val="24"/>
          <w:szCs w:val="24"/>
        </w:rPr>
        <w:t xml:space="preserve"> conclusion is misleading</w:t>
      </w:r>
      <w:r w:rsidR="00421683">
        <w:rPr>
          <w:rFonts w:ascii="Arial" w:hAnsi="Arial" w:cs="Arial"/>
          <w:sz w:val="24"/>
          <w:szCs w:val="24"/>
        </w:rPr>
        <w:t>,</w:t>
      </w:r>
      <w:r w:rsidR="007C43F3">
        <w:rPr>
          <w:rFonts w:ascii="Arial" w:hAnsi="Arial" w:cs="Arial"/>
          <w:sz w:val="24"/>
          <w:szCs w:val="24"/>
        </w:rPr>
        <w:t xml:space="preserve"> as it</w:t>
      </w:r>
      <w:r w:rsidR="003F54D1">
        <w:rPr>
          <w:rFonts w:ascii="Arial" w:hAnsi="Arial" w:cs="Arial"/>
          <w:sz w:val="24"/>
          <w:szCs w:val="24"/>
        </w:rPr>
        <w:t xml:space="preserve"> </w:t>
      </w:r>
      <w:r w:rsidR="00A8433C">
        <w:rPr>
          <w:rFonts w:ascii="Arial" w:hAnsi="Arial" w:cs="Arial"/>
          <w:sz w:val="24"/>
          <w:szCs w:val="24"/>
        </w:rPr>
        <w:t>fails to</w:t>
      </w:r>
      <w:r w:rsidRPr="00935839">
        <w:rPr>
          <w:rFonts w:ascii="Arial" w:hAnsi="Arial" w:cs="Arial"/>
          <w:sz w:val="24"/>
          <w:szCs w:val="24"/>
        </w:rPr>
        <w:t xml:space="preserve"> acknowledge that the CABINET trial was not powered to detect</w:t>
      </w:r>
      <w:r w:rsidR="00421683">
        <w:rPr>
          <w:rFonts w:ascii="Arial" w:hAnsi="Arial" w:cs="Arial"/>
          <w:sz w:val="24"/>
          <w:szCs w:val="24"/>
        </w:rPr>
        <w:t xml:space="preserve"> an</w:t>
      </w:r>
      <w:r w:rsidRPr="00935839">
        <w:rPr>
          <w:rFonts w:ascii="Arial" w:hAnsi="Arial" w:cs="Arial"/>
          <w:sz w:val="24"/>
          <w:szCs w:val="24"/>
        </w:rPr>
        <w:t xml:space="preserve"> OS benefit</w:t>
      </w:r>
      <w:r w:rsidR="004808E7">
        <w:rPr>
          <w:rFonts w:ascii="Arial" w:hAnsi="Arial" w:cs="Arial"/>
          <w:sz w:val="24"/>
          <w:szCs w:val="24"/>
        </w:rPr>
        <w:t>.</w:t>
      </w:r>
      <w:r w:rsidR="00C226CF">
        <w:rPr>
          <w:rFonts w:ascii="Arial" w:hAnsi="Arial" w:cs="Arial"/>
          <w:sz w:val="24"/>
          <w:szCs w:val="24"/>
        </w:rPr>
        <w:t xml:space="preserve"> As outlined in the </w:t>
      </w:r>
      <w:r w:rsidR="00CB227D">
        <w:rPr>
          <w:rFonts w:ascii="Arial" w:hAnsi="Arial" w:cs="Arial"/>
          <w:sz w:val="24"/>
          <w:szCs w:val="24"/>
        </w:rPr>
        <w:t>Company Draft Guidance Response</w:t>
      </w:r>
      <w:r w:rsidR="00F8561C">
        <w:rPr>
          <w:rFonts w:ascii="Arial" w:hAnsi="Arial" w:cs="Arial"/>
          <w:sz w:val="24"/>
          <w:szCs w:val="24"/>
        </w:rPr>
        <w:t xml:space="preserve"> (page 9)</w:t>
      </w:r>
      <w:r w:rsidR="00BB143A">
        <w:rPr>
          <w:rFonts w:ascii="Arial" w:hAnsi="Arial" w:cs="Arial"/>
          <w:sz w:val="24"/>
          <w:szCs w:val="24"/>
        </w:rPr>
        <w:t xml:space="preserve"> </w:t>
      </w:r>
      <w:r w:rsidR="00D9473B">
        <w:rPr>
          <w:rFonts w:ascii="Arial" w:hAnsi="Arial" w:cs="Arial"/>
          <w:sz w:val="24"/>
          <w:szCs w:val="24"/>
        </w:rPr>
        <w:t>c</w:t>
      </w:r>
      <w:r w:rsidRPr="00F8561C" w:rsidR="00D9473B">
        <w:rPr>
          <w:rFonts w:ascii="Arial" w:hAnsi="Arial" w:cs="Arial"/>
          <w:sz w:val="24"/>
          <w:szCs w:val="24"/>
        </w:rPr>
        <w:t>hallenges</w:t>
      </w:r>
      <w:r w:rsidR="00C8537D">
        <w:rPr>
          <w:rFonts w:ascii="Arial" w:hAnsi="Arial" w:cs="Arial"/>
          <w:sz w:val="24"/>
          <w:szCs w:val="24"/>
        </w:rPr>
        <w:t xml:space="preserve"> in</w:t>
      </w:r>
      <w:r w:rsidRPr="00F8561C" w:rsidR="00D9473B">
        <w:rPr>
          <w:rFonts w:ascii="Arial" w:hAnsi="Arial" w:cs="Arial"/>
          <w:sz w:val="24"/>
          <w:szCs w:val="24"/>
        </w:rPr>
        <w:t xml:space="preserve"> demonstrating an OS benefit are common </w:t>
      </w:r>
      <w:r w:rsidR="006A15E3">
        <w:rPr>
          <w:rFonts w:ascii="Arial" w:hAnsi="Arial" w:cs="Arial"/>
          <w:sz w:val="24"/>
          <w:szCs w:val="24"/>
        </w:rPr>
        <w:t xml:space="preserve">and </w:t>
      </w:r>
      <w:r w:rsidR="00D9473B">
        <w:rPr>
          <w:rFonts w:ascii="Arial" w:hAnsi="Arial" w:cs="Arial"/>
          <w:sz w:val="24"/>
          <w:szCs w:val="24"/>
        </w:rPr>
        <w:t>well</w:t>
      </w:r>
      <w:r w:rsidR="006A15E3">
        <w:rPr>
          <w:rFonts w:ascii="Arial" w:hAnsi="Arial" w:cs="Arial"/>
          <w:sz w:val="24"/>
          <w:szCs w:val="24"/>
        </w:rPr>
        <w:t>-</w:t>
      </w:r>
      <w:r w:rsidR="00D9473B">
        <w:rPr>
          <w:rFonts w:ascii="Arial" w:hAnsi="Arial" w:cs="Arial"/>
          <w:sz w:val="24"/>
          <w:szCs w:val="24"/>
        </w:rPr>
        <w:t>evidenced</w:t>
      </w:r>
      <w:r w:rsidR="006A15E3">
        <w:rPr>
          <w:rFonts w:ascii="Arial" w:hAnsi="Arial" w:cs="Arial"/>
          <w:sz w:val="24"/>
          <w:szCs w:val="24"/>
        </w:rPr>
        <w:t xml:space="preserve"> </w:t>
      </w:r>
      <w:r w:rsidRPr="00F8561C" w:rsidR="006A15E3">
        <w:rPr>
          <w:rFonts w:ascii="Arial" w:hAnsi="Arial" w:cs="Arial"/>
          <w:sz w:val="24"/>
          <w:szCs w:val="24"/>
        </w:rPr>
        <w:t xml:space="preserve">in </w:t>
      </w:r>
      <w:r w:rsidR="006A15E3">
        <w:rPr>
          <w:rFonts w:ascii="Arial" w:hAnsi="Arial" w:cs="Arial"/>
          <w:sz w:val="24"/>
          <w:szCs w:val="24"/>
        </w:rPr>
        <w:t xml:space="preserve">NETs </w:t>
      </w:r>
      <w:r w:rsidRPr="00F8561C" w:rsidR="006A15E3">
        <w:rPr>
          <w:rFonts w:ascii="Arial" w:hAnsi="Arial" w:cs="Arial"/>
          <w:sz w:val="24"/>
          <w:szCs w:val="24"/>
        </w:rPr>
        <w:t>clinical trials</w:t>
      </w:r>
      <w:r w:rsidR="00D9473B">
        <w:rPr>
          <w:rFonts w:ascii="Arial" w:hAnsi="Arial" w:cs="Arial"/>
          <w:sz w:val="24"/>
          <w:szCs w:val="24"/>
        </w:rPr>
        <w:t xml:space="preserve"> due to </w:t>
      </w:r>
      <w:r w:rsidR="00545A4F">
        <w:rPr>
          <w:rFonts w:ascii="Arial" w:hAnsi="Arial" w:cs="Arial"/>
          <w:sz w:val="24"/>
          <w:szCs w:val="24"/>
        </w:rPr>
        <w:t xml:space="preserve">the </w:t>
      </w:r>
      <w:r w:rsidRPr="002B0233" w:rsidR="00545A4F">
        <w:rPr>
          <w:rFonts w:ascii="Arial" w:hAnsi="Arial" w:cs="Arial"/>
          <w:sz w:val="24"/>
          <w:szCs w:val="24"/>
        </w:rPr>
        <w:t>complexity and individualised nature of the disease pathway</w:t>
      </w:r>
      <w:r w:rsidR="00545A4F">
        <w:rPr>
          <w:rFonts w:ascii="Arial" w:hAnsi="Arial" w:cs="Arial"/>
          <w:sz w:val="24"/>
          <w:szCs w:val="24"/>
        </w:rPr>
        <w:t xml:space="preserve">; </w:t>
      </w:r>
      <w:r w:rsidRPr="004662BD" w:rsidR="00545A4F">
        <w:rPr>
          <w:rFonts w:ascii="Arial" w:hAnsi="Arial" w:cs="Arial"/>
          <w:sz w:val="24"/>
          <w:szCs w:val="24"/>
        </w:rPr>
        <w:t>clinical</w:t>
      </w:r>
      <w:r w:rsidR="00545A4F">
        <w:rPr>
          <w:rFonts w:ascii="Arial" w:hAnsi="Arial" w:cs="Arial"/>
          <w:sz w:val="24"/>
          <w:szCs w:val="24"/>
        </w:rPr>
        <w:t xml:space="preserve"> </w:t>
      </w:r>
      <w:r w:rsidRPr="004662BD" w:rsidR="00545A4F">
        <w:rPr>
          <w:rFonts w:ascii="Arial" w:hAnsi="Arial" w:cs="Arial"/>
          <w:sz w:val="24"/>
          <w:szCs w:val="24"/>
        </w:rPr>
        <w:t xml:space="preserve">trials </w:t>
      </w:r>
      <w:r w:rsidR="00545A4F">
        <w:rPr>
          <w:rFonts w:ascii="Arial" w:hAnsi="Arial" w:cs="Arial"/>
          <w:sz w:val="24"/>
          <w:szCs w:val="24"/>
        </w:rPr>
        <w:t>being</w:t>
      </w:r>
      <w:r w:rsidRPr="004662BD" w:rsidR="00545A4F">
        <w:rPr>
          <w:rFonts w:ascii="Arial" w:hAnsi="Arial" w:cs="Arial"/>
          <w:sz w:val="24"/>
          <w:szCs w:val="24"/>
        </w:rPr>
        <w:t xml:space="preserve"> typically designed to permit crossover</w:t>
      </w:r>
      <w:r w:rsidR="00545A4F">
        <w:rPr>
          <w:rFonts w:ascii="Arial" w:hAnsi="Arial" w:cs="Arial"/>
          <w:sz w:val="24"/>
          <w:szCs w:val="24"/>
        </w:rPr>
        <w:t>; and</w:t>
      </w:r>
      <w:r w:rsidRPr="004662BD" w:rsidR="00545A4F">
        <w:rPr>
          <w:rFonts w:ascii="Arial" w:hAnsi="Arial" w:cs="Arial"/>
          <w:sz w:val="24"/>
          <w:szCs w:val="24"/>
        </w:rPr>
        <w:t xml:space="preserve"> </w:t>
      </w:r>
      <w:r w:rsidR="00545A4F">
        <w:rPr>
          <w:rFonts w:ascii="Arial" w:hAnsi="Arial" w:cs="Arial"/>
          <w:sz w:val="24"/>
          <w:szCs w:val="24"/>
        </w:rPr>
        <w:t xml:space="preserve">high variation </w:t>
      </w:r>
      <w:r w:rsidRPr="004662BD" w:rsidR="00545A4F">
        <w:rPr>
          <w:rFonts w:ascii="Arial" w:hAnsi="Arial" w:cs="Arial"/>
          <w:sz w:val="24"/>
          <w:szCs w:val="24"/>
        </w:rPr>
        <w:t>in subsequent treatments following progression</w:t>
      </w:r>
      <w:r w:rsidR="006A15E3">
        <w:rPr>
          <w:rFonts w:ascii="Arial" w:hAnsi="Arial" w:cs="Arial"/>
          <w:sz w:val="24"/>
          <w:szCs w:val="24"/>
        </w:rPr>
        <w:t xml:space="preserve">. As such, the investigator-led CABINET trial was designed </w:t>
      </w:r>
      <w:r w:rsidR="007D778E">
        <w:rPr>
          <w:rFonts w:ascii="Arial" w:hAnsi="Arial" w:cs="Arial"/>
          <w:sz w:val="24"/>
          <w:szCs w:val="24"/>
        </w:rPr>
        <w:t xml:space="preserve">and powered to detect a difference in PFS which is considered the clinically relevant </w:t>
      </w:r>
      <w:r w:rsidRPr="652F5794" w:rsidR="007D778E">
        <w:rPr>
          <w:rFonts w:ascii="Arial" w:hAnsi="Arial" w:cs="Arial"/>
          <w:sz w:val="24"/>
          <w:szCs w:val="24"/>
        </w:rPr>
        <w:t>endpoint</w:t>
      </w:r>
      <w:r w:rsidRPr="652F5794" w:rsidR="00E2678C">
        <w:rPr>
          <w:rFonts w:ascii="Arial" w:hAnsi="Arial" w:cs="Arial"/>
          <w:sz w:val="24"/>
          <w:szCs w:val="24"/>
        </w:rPr>
        <w:t>.</w:t>
      </w:r>
      <w:r w:rsidR="00E2678C">
        <w:rPr>
          <w:rFonts w:ascii="Arial" w:hAnsi="Arial" w:cs="Arial"/>
          <w:sz w:val="24"/>
          <w:szCs w:val="24"/>
        </w:rPr>
        <w:t xml:space="preserve"> This is consistent with previous trials in NETs</w:t>
      </w:r>
      <w:r w:rsidR="008200D5">
        <w:rPr>
          <w:rFonts w:ascii="Arial" w:hAnsi="Arial" w:cs="Arial"/>
          <w:sz w:val="24"/>
          <w:szCs w:val="24"/>
        </w:rPr>
        <w:t xml:space="preserve"> as outlined in appeal point </w:t>
      </w:r>
      <w:r w:rsidR="000E5B8E">
        <w:rPr>
          <w:rFonts w:ascii="Arial" w:hAnsi="Arial" w:cs="Arial"/>
          <w:sz w:val="24"/>
          <w:szCs w:val="24"/>
        </w:rPr>
        <w:t>1(a).2</w:t>
      </w:r>
      <w:r w:rsidR="00233427">
        <w:rPr>
          <w:rFonts w:ascii="Arial" w:hAnsi="Arial" w:cs="Arial"/>
          <w:sz w:val="24"/>
          <w:szCs w:val="24"/>
        </w:rPr>
        <w:t xml:space="preserve"> </w:t>
      </w:r>
      <w:r w:rsidRPr="00233427" w:rsidR="00233427">
        <w:rPr>
          <w:rFonts w:ascii="Arial" w:hAnsi="Arial" w:cs="Arial"/>
          <w:sz w:val="24"/>
          <w:szCs w:val="24"/>
        </w:rPr>
        <w:t>and with external methodological guidance, including recommendations from the National Cancer Institute, which identify PFS as an appropriate primary endpoint for phase III studies in well-differentiated NETs</w:t>
      </w:r>
      <w:r w:rsidR="000E5B8E">
        <w:rPr>
          <w:rFonts w:ascii="Arial" w:hAnsi="Arial" w:cs="Arial"/>
          <w:sz w:val="24"/>
          <w:szCs w:val="24"/>
        </w:rPr>
        <w:t>.</w:t>
      </w:r>
      <w:r w:rsidR="005919F1">
        <w:rPr>
          <w:rStyle w:val="FootnoteReference"/>
          <w:rFonts w:ascii="Arial" w:hAnsi="Arial" w:cs="Arial"/>
          <w:sz w:val="24"/>
          <w:szCs w:val="24"/>
        </w:rPr>
        <w:footnoteReference w:id="15"/>
      </w:r>
      <w:r w:rsidR="000E5B8E">
        <w:rPr>
          <w:rFonts w:ascii="Arial" w:hAnsi="Arial" w:cs="Arial"/>
          <w:sz w:val="24"/>
          <w:szCs w:val="24"/>
        </w:rPr>
        <w:t xml:space="preserve"> The </w:t>
      </w:r>
      <w:r w:rsidR="00EB78C9">
        <w:rPr>
          <w:rFonts w:ascii="Arial" w:hAnsi="Arial" w:cs="Arial"/>
          <w:sz w:val="24"/>
          <w:szCs w:val="24"/>
        </w:rPr>
        <w:t>Appraisal C</w:t>
      </w:r>
      <w:r w:rsidR="000E5B8E">
        <w:rPr>
          <w:rFonts w:ascii="Arial" w:hAnsi="Arial" w:cs="Arial"/>
          <w:sz w:val="24"/>
          <w:szCs w:val="24"/>
        </w:rPr>
        <w:t>ommittee</w:t>
      </w:r>
      <w:r w:rsidR="00EB78C9">
        <w:rPr>
          <w:rFonts w:ascii="Arial" w:hAnsi="Arial" w:cs="Arial"/>
          <w:sz w:val="24"/>
          <w:szCs w:val="24"/>
        </w:rPr>
        <w:t>’</w:t>
      </w:r>
      <w:r w:rsidR="000E5B8E">
        <w:rPr>
          <w:rFonts w:ascii="Arial" w:hAnsi="Arial" w:cs="Arial"/>
          <w:sz w:val="24"/>
          <w:szCs w:val="24"/>
        </w:rPr>
        <w:t xml:space="preserve">s </w:t>
      </w:r>
      <w:r w:rsidR="00A80D19">
        <w:rPr>
          <w:rFonts w:ascii="Arial" w:hAnsi="Arial" w:cs="Arial"/>
          <w:sz w:val="24"/>
          <w:szCs w:val="24"/>
        </w:rPr>
        <w:t xml:space="preserve">use of </w:t>
      </w:r>
      <w:r w:rsidR="00A30B4C">
        <w:rPr>
          <w:rFonts w:ascii="Arial" w:hAnsi="Arial" w:cs="Arial"/>
          <w:sz w:val="24"/>
          <w:szCs w:val="24"/>
        </w:rPr>
        <w:t>the lack of statistical significance in the OS analyses</w:t>
      </w:r>
      <w:r w:rsidR="00AA2186">
        <w:rPr>
          <w:rFonts w:ascii="Arial" w:hAnsi="Arial" w:cs="Arial"/>
          <w:sz w:val="24"/>
          <w:szCs w:val="24"/>
        </w:rPr>
        <w:t xml:space="preserve"> demonstrates a fundamental </w:t>
      </w:r>
      <w:r w:rsidR="00151747">
        <w:rPr>
          <w:rFonts w:ascii="Arial" w:hAnsi="Arial" w:cs="Arial"/>
          <w:sz w:val="24"/>
          <w:szCs w:val="24"/>
        </w:rPr>
        <w:t xml:space="preserve">misunderstanding </w:t>
      </w:r>
      <w:r w:rsidR="00C606CA">
        <w:rPr>
          <w:rFonts w:ascii="Arial" w:hAnsi="Arial" w:cs="Arial"/>
          <w:sz w:val="24"/>
          <w:szCs w:val="24"/>
        </w:rPr>
        <w:t xml:space="preserve">of the evidence challenges in </w:t>
      </w:r>
      <w:r w:rsidR="00B04A22">
        <w:rPr>
          <w:rFonts w:ascii="Arial" w:hAnsi="Arial" w:cs="Arial"/>
          <w:sz w:val="24"/>
          <w:szCs w:val="24"/>
        </w:rPr>
        <w:t xml:space="preserve">NETs and is misaligned </w:t>
      </w:r>
      <w:r w:rsidR="00A3170E">
        <w:rPr>
          <w:rFonts w:ascii="Arial" w:hAnsi="Arial" w:cs="Arial"/>
          <w:sz w:val="24"/>
          <w:szCs w:val="24"/>
        </w:rPr>
        <w:t>with</w:t>
      </w:r>
      <w:r w:rsidR="00B04A22">
        <w:rPr>
          <w:rFonts w:ascii="Arial" w:hAnsi="Arial" w:cs="Arial"/>
          <w:sz w:val="24"/>
          <w:szCs w:val="24"/>
        </w:rPr>
        <w:t xml:space="preserve"> the </w:t>
      </w:r>
      <w:r w:rsidR="00F066A6">
        <w:rPr>
          <w:rFonts w:ascii="Arial" w:hAnsi="Arial" w:cs="Arial"/>
          <w:sz w:val="24"/>
          <w:szCs w:val="24"/>
        </w:rPr>
        <w:t xml:space="preserve">consensus of the clinical community. </w:t>
      </w:r>
      <w:r w:rsidR="00E2678C">
        <w:rPr>
          <w:rFonts w:ascii="Arial" w:hAnsi="Arial" w:cs="Arial"/>
          <w:sz w:val="24"/>
          <w:szCs w:val="24"/>
        </w:rPr>
        <w:t xml:space="preserve"> </w:t>
      </w:r>
      <w:r w:rsidR="00643626">
        <w:rPr>
          <w:rFonts w:ascii="Arial" w:hAnsi="Arial" w:cs="Arial"/>
          <w:sz w:val="24"/>
          <w:szCs w:val="24"/>
        </w:rPr>
        <w:t xml:space="preserve">We note </w:t>
      </w:r>
      <w:r w:rsidR="00A3170E">
        <w:rPr>
          <w:rFonts w:ascii="Arial" w:hAnsi="Arial" w:cs="Arial"/>
          <w:sz w:val="24"/>
          <w:szCs w:val="24"/>
        </w:rPr>
        <w:t xml:space="preserve">that </w:t>
      </w:r>
      <w:r w:rsidR="00643626">
        <w:rPr>
          <w:rFonts w:ascii="Arial" w:hAnsi="Arial" w:cs="Arial"/>
          <w:sz w:val="24"/>
          <w:szCs w:val="24"/>
        </w:rPr>
        <w:t>the Appraisal Committee has accepted these well-evidence</w:t>
      </w:r>
      <w:r w:rsidR="005E5C71">
        <w:rPr>
          <w:rFonts w:ascii="Arial" w:hAnsi="Arial" w:cs="Arial"/>
          <w:sz w:val="24"/>
          <w:szCs w:val="24"/>
        </w:rPr>
        <w:t>d</w:t>
      </w:r>
      <w:r w:rsidR="00643626">
        <w:rPr>
          <w:rFonts w:ascii="Arial" w:hAnsi="Arial" w:cs="Arial"/>
          <w:sz w:val="24"/>
          <w:szCs w:val="24"/>
        </w:rPr>
        <w:t xml:space="preserve"> challenges but</w:t>
      </w:r>
      <w:r w:rsidR="00A3170E">
        <w:rPr>
          <w:rFonts w:ascii="Arial" w:hAnsi="Arial" w:cs="Arial"/>
          <w:sz w:val="24"/>
          <w:szCs w:val="24"/>
        </w:rPr>
        <w:t>,</w:t>
      </w:r>
      <w:r w:rsidR="00643626">
        <w:rPr>
          <w:rFonts w:ascii="Arial" w:hAnsi="Arial" w:cs="Arial"/>
          <w:sz w:val="24"/>
          <w:szCs w:val="24"/>
        </w:rPr>
        <w:t xml:space="preserve"> by assuming OS HR=</w:t>
      </w:r>
      <w:r w:rsidR="00A3170E">
        <w:rPr>
          <w:rFonts w:ascii="Arial" w:hAnsi="Arial" w:cs="Arial"/>
          <w:sz w:val="24"/>
          <w:szCs w:val="24"/>
        </w:rPr>
        <w:t>1</w:t>
      </w:r>
      <w:r w:rsidR="005E5C71">
        <w:rPr>
          <w:rFonts w:ascii="Arial" w:hAnsi="Arial" w:cs="Arial"/>
          <w:sz w:val="24"/>
          <w:szCs w:val="24"/>
        </w:rPr>
        <w:t>,</w:t>
      </w:r>
      <w:r w:rsidR="00643626">
        <w:rPr>
          <w:rFonts w:ascii="Arial" w:hAnsi="Arial" w:cs="Arial"/>
          <w:sz w:val="24"/>
          <w:szCs w:val="24"/>
        </w:rPr>
        <w:t xml:space="preserve"> has failed to incorporate them into the cost-effectiveness modelling considerations.</w:t>
      </w:r>
    </w:p>
    <w:p w:rsidRPr="00935839" w:rsidR="00D64232" w:rsidP="00935839" w:rsidRDefault="00D64232" w14:paraId="5A7991AE" w14:textId="4DD71422">
      <w:pPr>
        <w:spacing w:before="120" w:line="360" w:lineRule="auto"/>
        <w:rPr>
          <w:rFonts w:ascii="Arial" w:hAnsi="Arial" w:cs="Arial"/>
          <w:sz w:val="24"/>
          <w:szCs w:val="24"/>
        </w:rPr>
      </w:pPr>
      <w:r w:rsidRPr="00935839">
        <w:rPr>
          <w:rFonts w:ascii="Arial" w:hAnsi="Arial" w:cs="Arial"/>
          <w:sz w:val="24"/>
          <w:szCs w:val="24"/>
        </w:rPr>
        <w:t>The assumption of OS HR=1</w:t>
      </w:r>
      <w:r w:rsidR="00D65E9A">
        <w:rPr>
          <w:rFonts w:ascii="Arial" w:hAnsi="Arial" w:cs="Arial"/>
          <w:sz w:val="24"/>
          <w:szCs w:val="24"/>
        </w:rPr>
        <w:t xml:space="preserve"> does not reflect the evidence provided across the appraisal</w:t>
      </w:r>
      <w:r w:rsidR="002212E1">
        <w:rPr>
          <w:rFonts w:ascii="Arial" w:hAnsi="Arial" w:cs="Arial"/>
          <w:sz w:val="24"/>
          <w:szCs w:val="24"/>
        </w:rPr>
        <w:t>,</w:t>
      </w:r>
      <w:r w:rsidR="00D65E9A">
        <w:rPr>
          <w:rFonts w:ascii="Arial" w:hAnsi="Arial" w:cs="Arial"/>
          <w:sz w:val="24"/>
          <w:szCs w:val="24"/>
        </w:rPr>
        <w:t xml:space="preserve"> as it:</w:t>
      </w:r>
    </w:p>
    <w:p w:rsidRPr="00774B47" w:rsidR="00D64232" w:rsidP="00EB2CBA" w:rsidRDefault="00EB2CBA" w14:paraId="04D6B481" w14:textId="717B4C74">
      <w:pPr>
        <w:pStyle w:val="ListParagraph"/>
        <w:numPr>
          <w:ilvl w:val="0"/>
          <w:numId w:val="24"/>
        </w:numPr>
        <w:spacing w:before="120" w:line="360" w:lineRule="auto"/>
        <w:rPr>
          <w:rFonts w:ascii="Arial" w:hAnsi="Arial" w:cs="Arial"/>
          <w:sz w:val="24"/>
          <w:szCs w:val="24"/>
        </w:rPr>
      </w:pPr>
      <w:r>
        <w:rPr>
          <w:rFonts w:ascii="Arial" w:hAnsi="Arial" w:cs="Arial"/>
          <w:sz w:val="24"/>
          <w:szCs w:val="24"/>
        </w:rPr>
        <w:t>D</w:t>
      </w:r>
      <w:r w:rsidRPr="00774B47" w:rsidR="00D64232">
        <w:rPr>
          <w:rFonts w:ascii="Arial" w:hAnsi="Arial" w:cs="Arial"/>
          <w:sz w:val="24"/>
          <w:szCs w:val="24"/>
        </w:rPr>
        <w:t>oes not reflect the</w:t>
      </w:r>
      <w:r w:rsidR="00BA6FB5">
        <w:rPr>
          <w:rFonts w:ascii="Arial" w:hAnsi="Arial" w:cs="Arial"/>
          <w:sz w:val="24"/>
          <w:szCs w:val="24"/>
        </w:rPr>
        <w:t xml:space="preserve"> </w:t>
      </w:r>
      <w:r w:rsidR="004D07BD">
        <w:rPr>
          <w:rFonts w:ascii="Arial" w:hAnsi="Arial" w:cs="Arial"/>
          <w:sz w:val="24"/>
          <w:szCs w:val="24"/>
        </w:rPr>
        <w:t>unanimous</w:t>
      </w:r>
      <w:r w:rsidRPr="00774B47" w:rsidR="00D64232">
        <w:rPr>
          <w:rFonts w:ascii="Arial" w:hAnsi="Arial" w:cs="Arial"/>
          <w:sz w:val="24"/>
          <w:szCs w:val="24"/>
        </w:rPr>
        <w:t xml:space="preserve"> view of clinical experts</w:t>
      </w:r>
      <w:r w:rsidR="004D07BD">
        <w:rPr>
          <w:rFonts w:ascii="Arial" w:hAnsi="Arial" w:cs="Arial"/>
          <w:sz w:val="24"/>
          <w:szCs w:val="24"/>
        </w:rPr>
        <w:t xml:space="preserve"> that there would be OS benefit associated with cabozantinib</w:t>
      </w:r>
      <w:r w:rsidR="002212E1">
        <w:rPr>
          <w:rFonts w:ascii="Arial" w:hAnsi="Arial" w:cs="Arial"/>
          <w:sz w:val="24"/>
          <w:szCs w:val="24"/>
        </w:rPr>
        <w:t>,</w:t>
      </w:r>
      <w:r w:rsidRPr="00774B47" w:rsidR="00D64232">
        <w:rPr>
          <w:rFonts w:ascii="Arial" w:hAnsi="Arial" w:cs="Arial"/>
          <w:sz w:val="24"/>
          <w:szCs w:val="24"/>
        </w:rPr>
        <w:t xml:space="preserve"> as outlined in appeal point 2.</w:t>
      </w:r>
      <w:r w:rsidR="00D64232">
        <w:rPr>
          <w:rFonts w:ascii="Arial" w:hAnsi="Arial" w:cs="Arial"/>
          <w:sz w:val="24"/>
          <w:szCs w:val="24"/>
        </w:rPr>
        <w:t>2</w:t>
      </w:r>
      <w:r>
        <w:rPr>
          <w:rFonts w:ascii="Arial" w:hAnsi="Arial" w:cs="Arial"/>
          <w:sz w:val="24"/>
          <w:szCs w:val="24"/>
        </w:rPr>
        <w:t>.</w:t>
      </w:r>
    </w:p>
    <w:p w:rsidRPr="00774B47" w:rsidR="00D64232" w:rsidP="00EB2CBA" w:rsidRDefault="00EB2CBA" w14:paraId="3BD768BE" w14:textId="2CD479A5">
      <w:pPr>
        <w:pStyle w:val="ListParagraph"/>
        <w:numPr>
          <w:ilvl w:val="0"/>
          <w:numId w:val="24"/>
        </w:numPr>
        <w:spacing w:before="120" w:line="360" w:lineRule="auto"/>
        <w:rPr>
          <w:rFonts w:ascii="Arial" w:hAnsi="Arial" w:cs="Arial"/>
          <w:sz w:val="24"/>
          <w:szCs w:val="24"/>
        </w:rPr>
      </w:pPr>
      <w:r>
        <w:rPr>
          <w:rFonts w:ascii="Arial" w:hAnsi="Arial" w:cs="Arial"/>
          <w:sz w:val="24"/>
          <w:szCs w:val="24"/>
        </w:rPr>
        <w:t>D</w:t>
      </w:r>
      <w:r w:rsidRPr="00774B47" w:rsidR="00D64232">
        <w:rPr>
          <w:rFonts w:ascii="Arial" w:hAnsi="Arial" w:cs="Arial"/>
          <w:sz w:val="24"/>
          <w:szCs w:val="24"/>
        </w:rPr>
        <w:t>oes not reflect the CABINET trial data, when adequately adjusted for crossover analysis</w:t>
      </w:r>
      <w:r w:rsidR="00584BC5">
        <w:rPr>
          <w:rFonts w:ascii="Arial" w:hAnsi="Arial" w:cs="Arial"/>
          <w:sz w:val="24"/>
          <w:szCs w:val="24"/>
        </w:rPr>
        <w:t xml:space="preserve"> using the IPCW methodology which</w:t>
      </w:r>
      <w:r w:rsidRPr="00584BC5" w:rsidR="00584BC5">
        <w:t xml:space="preserve"> </w:t>
      </w:r>
      <w:r w:rsidRPr="00584BC5" w:rsidR="00584BC5">
        <w:rPr>
          <w:rFonts w:ascii="Arial" w:hAnsi="Arial" w:cs="Arial"/>
          <w:sz w:val="24"/>
          <w:szCs w:val="24"/>
        </w:rPr>
        <w:t>numerically favoured</w:t>
      </w:r>
      <w:r w:rsidR="00584BC5">
        <w:rPr>
          <w:rFonts w:ascii="Arial" w:hAnsi="Arial" w:cs="Arial"/>
          <w:sz w:val="24"/>
          <w:szCs w:val="24"/>
        </w:rPr>
        <w:t xml:space="preserve"> cabozantinib</w:t>
      </w:r>
      <w:r w:rsidR="002212E1">
        <w:rPr>
          <w:rFonts w:ascii="Arial" w:hAnsi="Arial" w:cs="Arial"/>
          <w:sz w:val="24"/>
          <w:szCs w:val="24"/>
        </w:rPr>
        <w:t>,</w:t>
      </w:r>
      <w:r w:rsidR="00584BC5">
        <w:rPr>
          <w:rFonts w:ascii="Arial" w:hAnsi="Arial" w:cs="Arial"/>
          <w:sz w:val="24"/>
          <w:szCs w:val="24"/>
        </w:rPr>
        <w:t xml:space="preserve"> </w:t>
      </w:r>
      <w:r w:rsidRPr="00774B47" w:rsidR="00D64232">
        <w:rPr>
          <w:rFonts w:ascii="Arial" w:hAnsi="Arial" w:cs="Arial"/>
          <w:sz w:val="24"/>
          <w:szCs w:val="24"/>
        </w:rPr>
        <w:t>as outlined in appeal point 2.</w:t>
      </w:r>
      <w:r w:rsidR="00D64232">
        <w:rPr>
          <w:rFonts w:ascii="Arial" w:hAnsi="Arial" w:cs="Arial"/>
          <w:sz w:val="24"/>
          <w:szCs w:val="24"/>
        </w:rPr>
        <w:t>3</w:t>
      </w:r>
      <w:r>
        <w:rPr>
          <w:rFonts w:ascii="Arial" w:hAnsi="Arial" w:cs="Arial"/>
          <w:sz w:val="24"/>
          <w:szCs w:val="24"/>
        </w:rPr>
        <w:t>.</w:t>
      </w:r>
    </w:p>
    <w:p w:rsidRPr="00774B47" w:rsidR="00D64232" w:rsidP="00EB2CBA" w:rsidRDefault="00EB2CBA" w14:paraId="51DA1D7C" w14:textId="7FAB35EB">
      <w:pPr>
        <w:pStyle w:val="ListParagraph"/>
        <w:numPr>
          <w:ilvl w:val="0"/>
          <w:numId w:val="24"/>
        </w:numPr>
        <w:spacing w:before="120" w:line="360" w:lineRule="auto"/>
        <w:rPr>
          <w:rFonts w:ascii="Arial" w:hAnsi="Arial" w:cs="Arial"/>
          <w:sz w:val="24"/>
          <w:szCs w:val="24"/>
        </w:rPr>
      </w:pPr>
      <w:r>
        <w:rPr>
          <w:rFonts w:ascii="Arial" w:hAnsi="Arial" w:cs="Arial"/>
          <w:sz w:val="24"/>
          <w:szCs w:val="24"/>
        </w:rPr>
        <w:t>D</w:t>
      </w:r>
      <w:r w:rsidRPr="00774B47" w:rsidR="00D64232">
        <w:rPr>
          <w:rFonts w:ascii="Arial" w:hAnsi="Arial" w:cs="Arial"/>
          <w:sz w:val="24"/>
          <w:szCs w:val="24"/>
        </w:rPr>
        <w:t>oes not reflect the evidence on the surrogacy relationship between PFS and OS</w:t>
      </w:r>
      <w:r w:rsidR="002212E1">
        <w:rPr>
          <w:rFonts w:ascii="Arial" w:hAnsi="Arial" w:cs="Arial"/>
          <w:sz w:val="24"/>
          <w:szCs w:val="24"/>
        </w:rPr>
        <w:t>,</w:t>
      </w:r>
      <w:r w:rsidRPr="00774B47" w:rsidR="00D64232">
        <w:rPr>
          <w:rFonts w:ascii="Arial" w:hAnsi="Arial" w:cs="Arial"/>
          <w:sz w:val="24"/>
          <w:szCs w:val="24"/>
        </w:rPr>
        <w:t xml:space="preserve"> as outlined in appeal point 2.</w:t>
      </w:r>
      <w:r w:rsidR="00D64232">
        <w:rPr>
          <w:rFonts w:ascii="Arial" w:hAnsi="Arial" w:cs="Arial"/>
          <w:sz w:val="24"/>
          <w:szCs w:val="24"/>
        </w:rPr>
        <w:t>4</w:t>
      </w:r>
      <w:r>
        <w:rPr>
          <w:rFonts w:ascii="Arial" w:hAnsi="Arial" w:cs="Arial"/>
          <w:sz w:val="24"/>
          <w:szCs w:val="24"/>
        </w:rPr>
        <w:t>.</w:t>
      </w:r>
    </w:p>
    <w:p w:rsidR="00D64232" w:rsidP="00935839" w:rsidRDefault="00D64232" w14:paraId="37A9FD6E" w14:textId="19CE3A92">
      <w:pPr>
        <w:spacing w:before="120" w:line="360" w:lineRule="auto"/>
        <w:rPr>
          <w:rFonts w:ascii="Arial" w:hAnsi="Arial" w:cs="Arial"/>
          <w:sz w:val="24"/>
          <w:szCs w:val="24"/>
        </w:rPr>
      </w:pPr>
      <w:r w:rsidRPr="00935839">
        <w:rPr>
          <w:rFonts w:ascii="Arial" w:hAnsi="Arial" w:cs="Arial"/>
          <w:sz w:val="24"/>
          <w:szCs w:val="24"/>
        </w:rPr>
        <w:t>In order to reach this assumption, the Appraisal Committee has consistently selected the most conservative assumptions and used the most inflexible interpretations of uncertainty</w:t>
      </w:r>
      <w:r w:rsidR="00EF140C">
        <w:rPr>
          <w:rFonts w:ascii="Arial" w:hAnsi="Arial" w:cs="Arial"/>
          <w:sz w:val="24"/>
          <w:szCs w:val="24"/>
        </w:rPr>
        <w:t xml:space="preserve">. </w:t>
      </w:r>
      <w:r w:rsidR="00B64D3A">
        <w:rPr>
          <w:rFonts w:ascii="Arial" w:hAnsi="Arial" w:cs="Arial"/>
          <w:sz w:val="24"/>
          <w:szCs w:val="24"/>
        </w:rPr>
        <w:t xml:space="preserve">The Appraisal Committee does consider </w:t>
      </w:r>
      <w:r w:rsidR="006B643C">
        <w:rPr>
          <w:rFonts w:ascii="Arial" w:hAnsi="Arial" w:cs="Arial"/>
          <w:sz w:val="24"/>
          <w:szCs w:val="24"/>
        </w:rPr>
        <w:t>OS treatment benefit to be plausible</w:t>
      </w:r>
      <w:r w:rsidR="00303B76">
        <w:rPr>
          <w:rFonts w:ascii="Arial" w:hAnsi="Arial" w:cs="Arial"/>
          <w:sz w:val="24"/>
          <w:szCs w:val="24"/>
        </w:rPr>
        <w:t xml:space="preserve"> (FDG, Section 3.8)</w:t>
      </w:r>
      <w:r w:rsidR="00C8537D">
        <w:rPr>
          <w:rFonts w:ascii="Arial" w:hAnsi="Arial" w:cs="Arial"/>
          <w:sz w:val="24"/>
          <w:szCs w:val="24"/>
        </w:rPr>
        <w:t>;</w:t>
      </w:r>
      <w:r w:rsidR="00303B76">
        <w:rPr>
          <w:rFonts w:ascii="Arial" w:hAnsi="Arial" w:cs="Arial"/>
          <w:sz w:val="24"/>
          <w:szCs w:val="24"/>
        </w:rPr>
        <w:t xml:space="preserve"> however</w:t>
      </w:r>
      <w:r w:rsidR="00707CF2">
        <w:rPr>
          <w:rFonts w:ascii="Arial" w:hAnsi="Arial" w:cs="Arial"/>
          <w:sz w:val="24"/>
          <w:szCs w:val="24"/>
        </w:rPr>
        <w:t>, it</w:t>
      </w:r>
      <w:r w:rsidR="00BA6BE4">
        <w:rPr>
          <w:rFonts w:ascii="Arial" w:hAnsi="Arial" w:cs="Arial"/>
          <w:sz w:val="24"/>
          <w:szCs w:val="24"/>
        </w:rPr>
        <w:t xml:space="preserve"> fails to </w:t>
      </w:r>
      <w:r w:rsidR="003370CE">
        <w:rPr>
          <w:rFonts w:ascii="Arial" w:hAnsi="Arial" w:cs="Arial"/>
          <w:sz w:val="24"/>
          <w:szCs w:val="24"/>
        </w:rPr>
        <w:t xml:space="preserve">adequately </w:t>
      </w:r>
      <w:r w:rsidR="00BA6BE4">
        <w:rPr>
          <w:rFonts w:ascii="Arial" w:hAnsi="Arial" w:cs="Arial"/>
          <w:sz w:val="24"/>
          <w:szCs w:val="24"/>
        </w:rPr>
        <w:t xml:space="preserve">distinguish between </w:t>
      </w:r>
      <w:r w:rsidR="0094414A">
        <w:rPr>
          <w:rFonts w:ascii="Arial" w:hAnsi="Arial" w:cs="Arial"/>
          <w:sz w:val="24"/>
          <w:szCs w:val="24"/>
        </w:rPr>
        <w:t>no treatment effect</w:t>
      </w:r>
      <w:r w:rsidR="00595954">
        <w:rPr>
          <w:rFonts w:ascii="Arial" w:hAnsi="Arial" w:cs="Arial"/>
          <w:sz w:val="24"/>
          <w:szCs w:val="24"/>
        </w:rPr>
        <w:t xml:space="preserve"> and a benefit of uncertain magnitude.</w:t>
      </w:r>
    </w:p>
    <w:p w:rsidR="00A76E13" w:rsidP="00935839" w:rsidRDefault="00A76E13" w14:paraId="2E5873D2" w14:textId="41AE6507">
      <w:pPr>
        <w:spacing w:before="120" w:line="360" w:lineRule="auto"/>
        <w:rPr>
          <w:rFonts w:ascii="Arial" w:hAnsi="Arial" w:cs="Arial"/>
          <w:sz w:val="24"/>
          <w:szCs w:val="24"/>
        </w:rPr>
      </w:pPr>
      <w:r w:rsidRPr="00935839">
        <w:rPr>
          <w:rFonts w:ascii="Arial" w:hAnsi="Arial" w:cs="Arial"/>
          <w:sz w:val="24"/>
          <w:szCs w:val="24"/>
        </w:rPr>
        <w:t xml:space="preserve">In response to uncertainty over the magnitude of OS benefit, the Appraisal Committee failed </w:t>
      </w:r>
      <w:r>
        <w:rPr>
          <w:rFonts w:ascii="Arial" w:hAnsi="Arial" w:cs="Arial"/>
          <w:sz w:val="24"/>
          <w:szCs w:val="24"/>
        </w:rPr>
        <w:t xml:space="preserve">adequately </w:t>
      </w:r>
      <w:r w:rsidR="00585833">
        <w:rPr>
          <w:rFonts w:ascii="Arial" w:hAnsi="Arial" w:cs="Arial"/>
          <w:sz w:val="24"/>
          <w:szCs w:val="24"/>
        </w:rPr>
        <w:t xml:space="preserve">to </w:t>
      </w:r>
      <w:r w:rsidRPr="00935839">
        <w:rPr>
          <w:rFonts w:ascii="Arial" w:hAnsi="Arial" w:cs="Arial"/>
          <w:sz w:val="24"/>
          <w:szCs w:val="24"/>
        </w:rPr>
        <w:t>explore a range of more conservative assumptions on OS</w:t>
      </w:r>
      <w:r w:rsidR="00707CF2">
        <w:rPr>
          <w:rFonts w:ascii="Arial" w:hAnsi="Arial" w:cs="Arial"/>
          <w:sz w:val="24"/>
          <w:szCs w:val="24"/>
        </w:rPr>
        <w:t>,</w:t>
      </w:r>
      <w:r w:rsidRPr="00935839">
        <w:rPr>
          <w:rFonts w:ascii="Arial" w:hAnsi="Arial" w:cs="Arial"/>
          <w:sz w:val="24"/>
          <w:szCs w:val="24"/>
        </w:rPr>
        <w:t xml:space="preserve"> including a “mid-point” HR</w:t>
      </w:r>
      <w:r w:rsidR="00707CF2">
        <w:rPr>
          <w:rFonts w:ascii="Arial" w:hAnsi="Arial" w:cs="Arial"/>
          <w:sz w:val="24"/>
          <w:szCs w:val="24"/>
        </w:rPr>
        <w:t>,</w:t>
      </w:r>
      <w:r w:rsidRPr="00935839">
        <w:rPr>
          <w:rFonts w:ascii="Arial" w:hAnsi="Arial" w:cs="Arial"/>
          <w:sz w:val="24"/>
          <w:szCs w:val="24"/>
        </w:rPr>
        <w:t xml:space="preserve"> which would have led to a positive recommendation.</w:t>
      </w:r>
      <w:r>
        <w:rPr>
          <w:rFonts w:ascii="Arial" w:hAnsi="Arial" w:cs="Arial"/>
          <w:sz w:val="24"/>
          <w:szCs w:val="24"/>
        </w:rPr>
        <w:t xml:space="preserve"> </w:t>
      </w:r>
      <w:r w:rsidRPr="00935839">
        <w:rPr>
          <w:rFonts w:ascii="Arial" w:hAnsi="Arial" w:cs="Arial"/>
          <w:sz w:val="24"/>
          <w:szCs w:val="24"/>
        </w:rPr>
        <w:t xml:space="preserve">The IPCW crossover analysis estimated an OS HR of 0.65 and </w:t>
      </w:r>
      <w:proofErr w:type="spellStart"/>
      <w:r w:rsidRPr="00E559F7" w:rsidR="00E559F7">
        <w:rPr>
          <w:rFonts w:ascii="Arial" w:hAnsi="Arial" w:cs="Arial"/>
          <w:sz w:val="24"/>
          <w:szCs w:val="24"/>
          <w:highlight w:val="black"/>
          <w:u w:val="single"/>
        </w:rPr>
        <w:t>xxxx</w:t>
      </w:r>
      <w:proofErr w:type="spellEnd"/>
      <w:r w:rsidRPr="00935839">
        <w:rPr>
          <w:rFonts w:ascii="Arial" w:hAnsi="Arial" w:cs="Arial"/>
          <w:sz w:val="24"/>
          <w:szCs w:val="24"/>
        </w:rPr>
        <w:t xml:space="preserve"> in the August 2023 and August 2024 data cuts respectively. A threshold analysis indicates that</w:t>
      </w:r>
      <w:r w:rsidR="00585833">
        <w:rPr>
          <w:rFonts w:ascii="Arial" w:hAnsi="Arial" w:cs="Arial"/>
          <w:sz w:val="24"/>
          <w:szCs w:val="24"/>
        </w:rPr>
        <w:t>,</w:t>
      </w:r>
      <w:r w:rsidRPr="00935839">
        <w:rPr>
          <w:rFonts w:ascii="Arial" w:hAnsi="Arial" w:cs="Arial"/>
          <w:sz w:val="24"/>
          <w:szCs w:val="24"/>
        </w:rPr>
        <w:t xml:space="preserve"> under Appraisal Committee base case assumptions</w:t>
      </w:r>
      <w:r w:rsidR="00EC66F4">
        <w:rPr>
          <w:rFonts w:ascii="Arial" w:hAnsi="Arial" w:cs="Arial"/>
          <w:sz w:val="24"/>
          <w:szCs w:val="24"/>
        </w:rPr>
        <w:t xml:space="preserve"> for the epNET population</w:t>
      </w:r>
      <w:r w:rsidRPr="00935839">
        <w:rPr>
          <w:rFonts w:ascii="Arial" w:hAnsi="Arial" w:cs="Arial"/>
          <w:sz w:val="24"/>
          <w:szCs w:val="24"/>
        </w:rPr>
        <w:t>,</w:t>
      </w:r>
      <w:r w:rsidR="00EC66F4">
        <w:rPr>
          <w:rFonts w:ascii="Arial" w:hAnsi="Arial" w:cs="Arial"/>
          <w:sz w:val="24"/>
          <w:szCs w:val="24"/>
        </w:rPr>
        <w:t xml:space="preserve"> by only changing the</w:t>
      </w:r>
      <w:r w:rsidRPr="00935839">
        <w:rPr>
          <w:rFonts w:ascii="Arial" w:hAnsi="Arial" w:cs="Arial"/>
          <w:sz w:val="24"/>
          <w:szCs w:val="24"/>
        </w:rPr>
        <w:t xml:space="preserve"> OS HR</w:t>
      </w:r>
      <w:r w:rsidR="00EC66F4">
        <w:rPr>
          <w:rFonts w:ascii="Arial" w:hAnsi="Arial" w:cs="Arial"/>
          <w:sz w:val="24"/>
          <w:szCs w:val="24"/>
        </w:rPr>
        <w:t>, HRs</w:t>
      </w:r>
      <w:r w:rsidRPr="00935839">
        <w:rPr>
          <w:rFonts w:ascii="Arial" w:hAnsi="Arial" w:cs="Arial"/>
          <w:sz w:val="24"/>
          <w:szCs w:val="24"/>
        </w:rPr>
        <w:t xml:space="preserve"> of </w:t>
      </w:r>
      <w:proofErr w:type="spellStart"/>
      <w:r w:rsidRPr="00E559F7" w:rsidR="00E559F7">
        <w:rPr>
          <w:rFonts w:ascii="Arial" w:hAnsi="Arial" w:cs="Arial"/>
          <w:sz w:val="24"/>
          <w:szCs w:val="24"/>
          <w:highlight w:val="black"/>
          <w:u w:val="single"/>
        </w:rPr>
        <w:t>xxxx</w:t>
      </w:r>
      <w:proofErr w:type="spellEnd"/>
      <w:r w:rsidRPr="00935839">
        <w:rPr>
          <w:rFonts w:ascii="Arial" w:hAnsi="Arial" w:cs="Arial"/>
          <w:sz w:val="24"/>
          <w:szCs w:val="24"/>
        </w:rPr>
        <w:t xml:space="preserve"> and </w:t>
      </w:r>
      <w:proofErr w:type="spellStart"/>
      <w:r w:rsidRPr="00E559F7" w:rsidR="00E559F7">
        <w:rPr>
          <w:rFonts w:ascii="Arial" w:hAnsi="Arial" w:cs="Arial"/>
          <w:sz w:val="24"/>
          <w:szCs w:val="24"/>
          <w:highlight w:val="black"/>
          <w:u w:val="single"/>
        </w:rPr>
        <w:t>xxxx</w:t>
      </w:r>
      <w:proofErr w:type="spellEnd"/>
      <w:r w:rsidRPr="00935839">
        <w:rPr>
          <w:rFonts w:ascii="Arial" w:hAnsi="Arial" w:cs="Arial"/>
          <w:sz w:val="24"/>
          <w:szCs w:val="24"/>
        </w:rPr>
        <w:t xml:space="preserve"> would be required to be cost-effective at thresholds of £25,000 and £35,000 respectively.</w:t>
      </w:r>
    </w:p>
    <w:p w:rsidRPr="00173D5D" w:rsidR="00173D5D" w:rsidP="00173D5D" w:rsidRDefault="00D64232" w14:paraId="7DD5D476" w14:textId="44A0A15B">
      <w:pPr>
        <w:spacing w:before="120" w:line="360" w:lineRule="auto"/>
        <w:rPr>
          <w:rFonts w:ascii="Arial" w:hAnsi="Arial" w:cs="Arial"/>
          <w:sz w:val="24"/>
          <w:szCs w:val="24"/>
        </w:rPr>
      </w:pPr>
      <w:r w:rsidRPr="00935839">
        <w:rPr>
          <w:rFonts w:ascii="Arial" w:hAnsi="Arial" w:cs="Arial"/>
          <w:sz w:val="24"/>
          <w:szCs w:val="24"/>
        </w:rPr>
        <w:t>This</w:t>
      </w:r>
      <w:r w:rsidR="000D235A">
        <w:rPr>
          <w:rFonts w:ascii="Arial" w:hAnsi="Arial" w:cs="Arial"/>
          <w:sz w:val="24"/>
          <w:szCs w:val="24"/>
        </w:rPr>
        <w:t xml:space="preserve"> </w:t>
      </w:r>
      <w:r w:rsidRPr="00173D5D" w:rsidR="00173D5D">
        <w:rPr>
          <w:rFonts w:ascii="Arial" w:hAnsi="Arial" w:cs="Arial"/>
          <w:sz w:val="24"/>
          <w:szCs w:val="24"/>
        </w:rPr>
        <w:t>conservative approach is especially disappointing</w:t>
      </w:r>
      <w:r w:rsidR="00173D5D">
        <w:rPr>
          <w:rFonts w:ascii="Arial" w:hAnsi="Arial" w:cs="Arial"/>
          <w:sz w:val="24"/>
          <w:szCs w:val="24"/>
        </w:rPr>
        <w:t xml:space="preserve"> </w:t>
      </w:r>
      <w:r w:rsidRPr="00935839" w:rsidR="00173D5D">
        <w:rPr>
          <w:rFonts w:ascii="Arial" w:hAnsi="Arial" w:cs="Arial"/>
          <w:sz w:val="24"/>
          <w:szCs w:val="24"/>
        </w:rPr>
        <w:t>in the context of NETs, a rare severe disease with high unmet need</w:t>
      </w:r>
      <w:r w:rsidR="00F43515">
        <w:rPr>
          <w:rFonts w:ascii="Arial" w:hAnsi="Arial" w:cs="Arial"/>
          <w:sz w:val="24"/>
          <w:szCs w:val="24"/>
        </w:rPr>
        <w:t xml:space="preserve">. The approach fails to apply NICE’s own </w:t>
      </w:r>
      <w:r w:rsidR="006D319E">
        <w:rPr>
          <w:rFonts w:ascii="Arial" w:hAnsi="Arial" w:cs="Arial"/>
          <w:sz w:val="24"/>
          <w:szCs w:val="24"/>
        </w:rPr>
        <w:t xml:space="preserve">stated </w:t>
      </w:r>
      <w:r w:rsidR="000D44BB">
        <w:rPr>
          <w:rFonts w:ascii="Arial" w:hAnsi="Arial" w:cs="Arial"/>
          <w:sz w:val="24"/>
          <w:szCs w:val="24"/>
        </w:rPr>
        <w:t>methodology for additional flexibility for rare diseases</w:t>
      </w:r>
      <w:r w:rsidR="00D75569">
        <w:rPr>
          <w:rFonts w:ascii="Arial" w:hAnsi="Arial" w:cs="Arial"/>
          <w:sz w:val="24"/>
          <w:szCs w:val="24"/>
        </w:rPr>
        <w:t xml:space="preserve">, for which we note </w:t>
      </w:r>
      <w:r w:rsidRPr="00173D5D" w:rsidR="00173D5D">
        <w:rPr>
          <w:rFonts w:ascii="Arial" w:hAnsi="Arial" w:cs="Arial"/>
          <w:sz w:val="24"/>
          <w:szCs w:val="24"/>
        </w:rPr>
        <w:t xml:space="preserve">Section 6.2.33 of the </w:t>
      </w:r>
      <w:r w:rsidRPr="00554A96" w:rsidR="00554A96">
        <w:rPr>
          <w:rFonts w:ascii="Arial" w:hAnsi="Arial" w:cs="Arial"/>
          <w:sz w:val="24"/>
          <w:szCs w:val="24"/>
        </w:rPr>
        <w:t xml:space="preserve">NICE Methods and Processes Manual </w:t>
      </w:r>
      <w:r w:rsidRPr="00173D5D" w:rsidR="00173D5D">
        <w:rPr>
          <w:rFonts w:ascii="Arial" w:hAnsi="Arial" w:cs="Arial"/>
          <w:sz w:val="24"/>
          <w:szCs w:val="24"/>
        </w:rPr>
        <w:t>states</w:t>
      </w:r>
      <w:r w:rsidR="003C6DAD">
        <w:rPr>
          <w:rFonts w:ascii="Arial" w:hAnsi="Arial" w:cs="Arial"/>
          <w:sz w:val="24"/>
          <w:szCs w:val="24"/>
        </w:rPr>
        <w:t>,</w:t>
      </w:r>
      <w:r w:rsidRPr="00173D5D" w:rsidR="00173D5D">
        <w:rPr>
          <w:rFonts w:ascii="Arial" w:hAnsi="Arial" w:cs="Arial"/>
          <w:sz w:val="24"/>
          <w:szCs w:val="24"/>
        </w:rPr>
        <w:t xml:space="preserve"> in reference to rare diseases that “</w:t>
      </w:r>
      <w:r w:rsidRPr="00173D5D" w:rsidR="00173D5D">
        <w:rPr>
          <w:rFonts w:ascii="Arial" w:hAnsi="Arial" w:cs="Arial"/>
          <w:i/>
          <w:iCs/>
          <w:sz w:val="24"/>
          <w:szCs w:val="24"/>
        </w:rPr>
        <w:t>the committee will be mindful that there are certain technologies or populations for which evidence generation is particularly difficult. […] In these specific circumstances, the committee may be able to make recommendations accepting a higher degree of uncertainty. The committee will consider how the nature of the condition or technology(s) affects the ability to generate high-quality evidence before applying greater flexibility</w:t>
      </w:r>
      <w:r w:rsidRPr="00173D5D" w:rsidR="00173D5D">
        <w:rPr>
          <w:rFonts w:ascii="Arial" w:hAnsi="Arial" w:cs="Arial"/>
          <w:sz w:val="24"/>
          <w:szCs w:val="24"/>
        </w:rPr>
        <w:t>”</w:t>
      </w:r>
      <w:r w:rsidR="005550E3">
        <w:rPr>
          <w:rFonts w:ascii="Arial" w:hAnsi="Arial" w:cs="Arial"/>
          <w:sz w:val="24"/>
          <w:szCs w:val="24"/>
        </w:rPr>
        <w:t>.</w:t>
      </w:r>
      <w:r w:rsidR="00887690">
        <w:rPr>
          <w:rStyle w:val="FootnoteReference"/>
          <w:rFonts w:ascii="Arial" w:hAnsi="Arial" w:cs="Arial"/>
          <w:sz w:val="24"/>
          <w:szCs w:val="24"/>
        </w:rPr>
        <w:footnoteReference w:id="16"/>
      </w:r>
      <w:r w:rsidR="00ED005C">
        <w:rPr>
          <w:rFonts w:ascii="Arial" w:hAnsi="Arial" w:cs="Arial"/>
          <w:sz w:val="24"/>
          <w:szCs w:val="24"/>
        </w:rPr>
        <w:t xml:space="preserve">  </w:t>
      </w:r>
    </w:p>
    <w:p w:rsidRPr="00935839" w:rsidR="005B778A" w:rsidP="00935839" w:rsidRDefault="005B778A" w14:paraId="75ED3388" w14:textId="2C67AE3F">
      <w:pPr>
        <w:spacing w:before="120" w:line="360" w:lineRule="auto"/>
        <w:rPr>
          <w:rFonts w:ascii="Arial" w:hAnsi="Arial" w:cs="Arial"/>
          <w:sz w:val="24"/>
          <w:szCs w:val="24"/>
        </w:rPr>
      </w:pPr>
      <w:r w:rsidRPr="00935839">
        <w:rPr>
          <w:rFonts w:ascii="Arial" w:hAnsi="Arial" w:cs="Arial"/>
          <w:sz w:val="24"/>
          <w:szCs w:val="24"/>
        </w:rPr>
        <w:t>In short, a HR of 1 is simply implausible. The only reasonable interpretation</w:t>
      </w:r>
      <w:r w:rsidR="00CB64E6">
        <w:rPr>
          <w:rFonts w:ascii="Arial" w:hAnsi="Arial" w:cs="Arial"/>
          <w:sz w:val="24"/>
          <w:szCs w:val="24"/>
        </w:rPr>
        <w:t>,</w:t>
      </w:r>
      <w:r w:rsidRPr="00935839">
        <w:rPr>
          <w:rFonts w:ascii="Arial" w:hAnsi="Arial" w:cs="Arial"/>
          <w:sz w:val="24"/>
          <w:szCs w:val="24"/>
        </w:rPr>
        <w:t xml:space="preserve"> based on the evidence put forward</w:t>
      </w:r>
      <w:r w:rsidR="00CB64E6">
        <w:rPr>
          <w:rFonts w:ascii="Arial" w:hAnsi="Arial" w:cs="Arial"/>
          <w:sz w:val="24"/>
          <w:szCs w:val="24"/>
        </w:rPr>
        <w:t>,</w:t>
      </w:r>
      <w:r w:rsidRPr="00935839">
        <w:rPr>
          <w:rFonts w:ascii="Arial" w:hAnsi="Arial" w:cs="Arial"/>
          <w:sz w:val="24"/>
          <w:szCs w:val="24"/>
        </w:rPr>
        <w:t xml:space="preserve"> points to the HR being less than 1. </w:t>
      </w:r>
      <w:r w:rsidR="00BE3B2F">
        <w:rPr>
          <w:rFonts w:ascii="Arial" w:hAnsi="Arial" w:cs="Arial"/>
          <w:sz w:val="24"/>
          <w:szCs w:val="24"/>
        </w:rPr>
        <w:t>An assumption of an OS HR=1 implies a series of clinically implausible</w:t>
      </w:r>
      <w:r w:rsidR="004007AE">
        <w:rPr>
          <w:rFonts w:ascii="Arial" w:hAnsi="Arial" w:cs="Arial"/>
          <w:sz w:val="24"/>
          <w:szCs w:val="24"/>
        </w:rPr>
        <w:t xml:space="preserve"> conservative assumptions</w:t>
      </w:r>
      <w:r w:rsidR="006D1FBC">
        <w:rPr>
          <w:rFonts w:ascii="Arial" w:hAnsi="Arial" w:cs="Arial"/>
          <w:sz w:val="24"/>
          <w:szCs w:val="24"/>
        </w:rPr>
        <w:t xml:space="preserve"> that are illogical</w:t>
      </w:r>
      <w:r w:rsidR="00585833">
        <w:rPr>
          <w:rFonts w:ascii="Arial" w:hAnsi="Arial" w:cs="Arial"/>
          <w:sz w:val="24"/>
          <w:szCs w:val="24"/>
        </w:rPr>
        <w:t>,</w:t>
      </w:r>
      <w:r w:rsidR="006D1FBC">
        <w:rPr>
          <w:rFonts w:ascii="Arial" w:hAnsi="Arial" w:cs="Arial"/>
          <w:sz w:val="24"/>
          <w:szCs w:val="24"/>
        </w:rPr>
        <w:t xml:space="preserve"> hence the recommendation is unreasonable</w:t>
      </w:r>
      <w:r w:rsidR="008C5FCD">
        <w:rPr>
          <w:rFonts w:ascii="Arial" w:hAnsi="Arial" w:cs="Arial"/>
          <w:sz w:val="24"/>
          <w:szCs w:val="24"/>
        </w:rPr>
        <w:t xml:space="preserve"> per the principles established in </w:t>
      </w:r>
      <w:r w:rsidR="008C5FCD">
        <w:rPr>
          <w:rFonts w:ascii="Arial" w:hAnsi="Arial" w:cs="Arial"/>
          <w:i/>
          <w:iCs/>
          <w:sz w:val="24"/>
          <w:szCs w:val="24"/>
        </w:rPr>
        <w:t xml:space="preserve">ex </w:t>
      </w:r>
      <w:proofErr w:type="spellStart"/>
      <w:r w:rsidR="008C5FCD">
        <w:rPr>
          <w:rFonts w:ascii="Arial" w:hAnsi="Arial" w:cs="Arial"/>
          <w:i/>
          <w:iCs/>
          <w:sz w:val="24"/>
          <w:szCs w:val="24"/>
        </w:rPr>
        <w:t>parte</w:t>
      </w:r>
      <w:proofErr w:type="spellEnd"/>
      <w:r w:rsidR="008C5FCD">
        <w:rPr>
          <w:rFonts w:ascii="Arial" w:hAnsi="Arial" w:cs="Arial"/>
          <w:i/>
          <w:iCs/>
          <w:sz w:val="24"/>
          <w:szCs w:val="24"/>
        </w:rPr>
        <w:t xml:space="preserve"> Balchin</w:t>
      </w:r>
      <w:r w:rsidR="008C5FCD">
        <w:rPr>
          <w:rFonts w:ascii="Arial" w:hAnsi="Arial" w:cs="Arial"/>
          <w:sz w:val="24"/>
          <w:szCs w:val="24"/>
        </w:rPr>
        <w:t>.</w:t>
      </w:r>
      <w:r w:rsidR="00386B8D">
        <w:rPr>
          <w:rStyle w:val="FootnoteReference"/>
          <w:rFonts w:ascii="Arial" w:hAnsi="Arial" w:cs="Arial"/>
          <w:sz w:val="24"/>
          <w:szCs w:val="24"/>
        </w:rPr>
        <w:footnoteReference w:id="17"/>
      </w:r>
    </w:p>
    <w:p w:rsidRPr="00774B47" w:rsidR="00D64232" w:rsidP="002C676C" w:rsidRDefault="00D64232" w14:paraId="15324555" w14:textId="77777777">
      <w:pPr>
        <w:pStyle w:val="Heading2"/>
      </w:pPr>
      <w:r w:rsidRPr="00774B47">
        <w:t>Appeal point 2.</w:t>
      </w:r>
      <w:r>
        <w:t>2</w:t>
      </w:r>
      <w:r w:rsidRPr="00774B47">
        <w:t xml:space="preserve">: The </w:t>
      </w:r>
      <w:r>
        <w:t>Appraisal C</w:t>
      </w:r>
      <w:r w:rsidRPr="00774B47">
        <w:t>ommittee’s conclusion on OS in the epNET population disregards the unanimous opinion of 11 clinical experts consulted across the appraisal who all stated they would expect to see OS benefit associated with cabozantinib</w:t>
      </w:r>
    </w:p>
    <w:p w:rsidRPr="00E77601" w:rsidR="00D64232" w:rsidP="00E77601" w:rsidRDefault="00D64232" w14:paraId="75C338D7" w14:textId="595A6B57">
      <w:pPr>
        <w:spacing w:before="120" w:line="360" w:lineRule="auto"/>
        <w:rPr>
          <w:rFonts w:ascii="Arial" w:hAnsi="Arial" w:cs="Arial"/>
          <w:sz w:val="24"/>
          <w:szCs w:val="24"/>
        </w:rPr>
      </w:pPr>
      <w:r w:rsidRPr="00E77601">
        <w:rPr>
          <w:rFonts w:ascii="Arial" w:hAnsi="Arial" w:cs="Arial"/>
          <w:sz w:val="24"/>
          <w:szCs w:val="24"/>
        </w:rPr>
        <w:t>NICE Decision Support Unit (DSU) Technical Support Document (TSD) 26 highlights that decision-makers must rely on alternative sources of evidence to fill knowledge gaps, typically using expert knowledge, in cases where robust evidence generation is challenging, such as rare diseases.</w:t>
      </w:r>
      <w:r w:rsidRPr="00943B15">
        <w:rPr>
          <w:rFonts w:ascii="Arial" w:hAnsi="Arial" w:cs="Arial"/>
          <w:vertAlign w:val="superscript"/>
        </w:rPr>
        <w:footnoteReference w:id="18"/>
      </w:r>
      <w:r w:rsidR="005925B7">
        <w:rPr>
          <w:rFonts w:ascii="Arial" w:hAnsi="Arial" w:cs="Arial"/>
          <w:sz w:val="24"/>
          <w:szCs w:val="24"/>
        </w:rPr>
        <w:t xml:space="preserve"> </w:t>
      </w:r>
      <w:r w:rsidRPr="00E77601">
        <w:rPr>
          <w:rFonts w:ascii="Arial" w:hAnsi="Arial" w:cs="Arial"/>
          <w:sz w:val="24"/>
          <w:szCs w:val="24"/>
        </w:rPr>
        <w:t>Given the rare and heterogeneous nature of NETs, challenges</w:t>
      </w:r>
      <w:r w:rsidR="00CB64E6">
        <w:rPr>
          <w:rFonts w:ascii="Arial" w:hAnsi="Arial" w:cs="Arial"/>
          <w:sz w:val="24"/>
          <w:szCs w:val="24"/>
        </w:rPr>
        <w:t xml:space="preserve"> in</w:t>
      </w:r>
      <w:r w:rsidRPr="00E77601">
        <w:rPr>
          <w:rFonts w:ascii="Arial" w:hAnsi="Arial" w:cs="Arial"/>
          <w:sz w:val="24"/>
          <w:szCs w:val="24"/>
        </w:rPr>
        <w:t xml:space="preserve"> demonstrating a clear OS benefit are well documented. </w:t>
      </w:r>
      <w:r w:rsidRPr="005925B7" w:rsidR="005925B7">
        <w:rPr>
          <w:rFonts w:ascii="Arial" w:hAnsi="Arial" w:cs="Arial"/>
          <w:sz w:val="24"/>
          <w:szCs w:val="24"/>
        </w:rPr>
        <w:t xml:space="preserve">The </w:t>
      </w:r>
      <w:r w:rsidRPr="00D315B8" w:rsidR="00D315B8">
        <w:rPr>
          <w:rFonts w:ascii="Arial" w:hAnsi="Arial" w:cs="Arial"/>
          <w:sz w:val="24"/>
          <w:szCs w:val="24"/>
        </w:rPr>
        <w:t>Appraisal Committee</w:t>
      </w:r>
      <w:r w:rsidRPr="005925B7" w:rsidR="005925B7">
        <w:rPr>
          <w:rFonts w:ascii="Arial" w:hAnsi="Arial" w:cs="Arial"/>
          <w:sz w:val="24"/>
          <w:szCs w:val="24"/>
        </w:rPr>
        <w:t xml:space="preserve"> explicitly acknowledged that demonstrating OS benefit in this appraisal is challenging due to crossover, small sample size, and immature data. In such circumstances, NICE methodology requires that expert judgement is given appropriate weight.</w:t>
      </w:r>
    </w:p>
    <w:p w:rsidRPr="00E77601" w:rsidR="00D64232" w:rsidP="00E77601" w:rsidRDefault="00D64232" w14:paraId="0EDC9F61" w14:textId="70365527">
      <w:pPr>
        <w:spacing w:before="120" w:line="360" w:lineRule="auto"/>
        <w:rPr>
          <w:rFonts w:ascii="Arial" w:hAnsi="Arial" w:cs="Arial"/>
          <w:sz w:val="24"/>
          <w:szCs w:val="24"/>
        </w:rPr>
      </w:pPr>
      <w:r w:rsidRPr="00E77601">
        <w:rPr>
          <w:rFonts w:ascii="Arial" w:hAnsi="Arial" w:cs="Arial"/>
          <w:sz w:val="24"/>
          <w:szCs w:val="24"/>
        </w:rPr>
        <w:t>Throughout the appraisal, 11 clinical experts were asked to evaluate the OS benefit associated with cabozantinib in the epNET population. All 11 clinical experts indicated they expected cabozantinib to be associated with OS benefit</w:t>
      </w:r>
      <w:r w:rsidR="00CE1512">
        <w:rPr>
          <w:rFonts w:ascii="Arial" w:hAnsi="Arial" w:cs="Arial"/>
          <w:sz w:val="24"/>
          <w:szCs w:val="24"/>
        </w:rPr>
        <w:t>.</w:t>
      </w:r>
    </w:p>
    <w:p w:rsidR="0072521E" w:rsidP="00AB6D76" w:rsidRDefault="00D64232" w14:paraId="06F454A7" w14:textId="344E93B9">
      <w:pPr>
        <w:spacing w:before="120" w:line="360" w:lineRule="auto"/>
        <w:rPr>
          <w:rFonts w:ascii="Arial" w:hAnsi="Arial" w:cs="Arial"/>
          <w:sz w:val="24"/>
          <w:szCs w:val="24"/>
        </w:rPr>
      </w:pPr>
      <w:r w:rsidRPr="00AB6D76">
        <w:rPr>
          <w:rFonts w:ascii="Arial" w:hAnsi="Arial" w:cs="Arial"/>
          <w:sz w:val="24"/>
          <w:szCs w:val="24"/>
        </w:rPr>
        <w:t>First, the company conducted a structured expert elicitation exercise</w:t>
      </w:r>
      <w:r w:rsidR="008E2262">
        <w:rPr>
          <w:rFonts w:ascii="Arial" w:hAnsi="Arial" w:cs="Arial"/>
          <w:sz w:val="24"/>
          <w:szCs w:val="24"/>
        </w:rPr>
        <w:t xml:space="preserve"> (SEE;</w:t>
      </w:r>
      <w:r w:rsidRPr="00AB6D76">
        <w:rPr>
          <w:rFonts w:ascii="Arial" w:hAnsi="Arial" w:cs="Arial"/>
          <w:sz w:val="24"/>
          <w:szCs w:val="24"/>
        </w:rPr>
        <w:t xml:space="preserve"> n=5). For epNET</w:t>
      </w:r>
      <w:r w:rsidR="00BA05C6">
        <w:rPr>
          <w:rFonts w:ascii="Arial" w:hAnsi="Arial" w:cs="Arial"/>
          <w:sz w:val="24"/>
          <w:szCs w:val="24"/>
        </w:rPr>
        <w:t>s</w:t>
      </w:r>
      <w:r w:rsidRPr="00AB6D76">
        <w:rPr>
          <w:rFonts w:ascii="Arial" w:hAnsi="Arial" w:cs="Arial"/>
          <w:sz w:val="24"/>
          <w:szCs w:val="24"/>
        </w:rPr>
        <w:t>, the clinical experts estimated 5-year OS between 5.8% and 15% for BSC and between 12.3% and 24.0% for cabozantinib.</w:t>
      </w:r>
      <w:r w:rsidR="003251BF">
        <w:rPr>
          <w:rFonts w:ascii="Arial" w:hAnsi="Arial" w:cs="Arial"/>
          <w:sz w:val="24"/>
          <w:szCs w:val="24"/>
        </w:rPr>
        <w:t xml:space="preserve"> </w:t>
      </w:r>
      <w:r w:rsidR="00CE1512">
        <w:rPr>
          <w:rFonts w:ascii="Arial" w:hAnsi="Arial" w:cs="Arial"/>
          <w:sz w:val="24"/>
          <w:szCs w:val="24"/>
        </w:rPr>
        <w:t xml:space="preserve">The FDG outlined </w:t>
      </w:r>
      <w:r w:rsidR="004852CF">
        <w:rPr>
          <w:rFonts w:ascii="Arial" w:hAnsi="Arial" w:cs="Arial"/>
          <w:sz w:val="24"/>
          <w:szCs w:val="24"/>
        </w:rPr>
        <w:t>“</w:t>
      </w:r>
      <w:r w:rsidRPr="00C25D0D" w:rsidR="004852CF">
        <w:rPr>
          <w:rFonts w:ascii="Arial" w:hAnsi="Arial" w:cs="Arial"/>
          <w:i/>
          <w:iCs/>
          <w:sz w:val="24"/>
          <w:szCs w:val="24"/>
        </w:rPr>
        <w:t>the wide variation in clinical expert estimates and the issues identified by the EAG with the expert elicitation methodology</w:t>
      </w:r>
      <w:r w:rsidR="004852CF">
        <w:rPr>
          <w:rFonts w:ascii="Arial" w:hAnsi="Arial" w:cs="Arial"/>
          <w:sz w:val="24"/>
          <w:szCs w:val="24"/>
        </w:rPr>
        <w:t>” (Section 3.8) as limitations of this methodology.</w:t>
      </w:r>
      <w:r w:rsidR="00544153">
        <w:rPr>
          <w:rFonts w:ascii="Arial" w:hAnsi="Arial" w:cs="Arial"/>
          <w:sz w:val="24"/>
          <w:szCs w:val="24"/>
        </w:rPr>
        <w:t xml:space="preserve"> </w:t>
      </w:r>
      <w:r w:rsidR="0072521E">
        <w:rPr>
          <w:rFonts w:ascii="Arial" w:hAnsi="Arial" w:cs="Arial"/>
          <w:sz w:val="24"/>
          <w:szCs w:val="24"/>
        </w:rPr>
        <w:t>We address these both in turn:</w:t>
      </w:r>
    </w:p>
    <w:p w:rsidR="00DA020E" w:rsidP="0072521E" w:rsidRDefault="0072521E" w14:paraId="4AAD7C9C" w14:textId="3A90E287">
      <w:pPr>
        <w:pStyle w:val="ListParagraph"/>
        <w:numPr>
          <w:ilvl w:val="0"/>
          <w:numId w:val="28"/>
        </w:numPr>
        <w:spacing w:before="120" w:line="360" w:lineRule="auto"/>
        <w:rPr>
          <w:rFonts w:ascii="Arial" w:hAnsi="Arial" w:cs="Arial"/>
          <w:sz w:val="24"/>
          <w:szCs w:val="24"/>
        </w:rPr>
      </w:pPr>
      <w:r w:rsidRPr="000943A3">
        <w:rPr>
          <w:rFonts w:ascii="Arial" w:hAnsi="Arial" w:cs="Arial"/>
          <w:i/>
          <w:iCs/>
          <w:sz w:val="24"/>
          <w:szCs w:val="24"/>
        </w:rPr>
        <w:t>Variation</w:t>
      </w:r>
      <w:r>
        <w:rPr>
          <w:rFonts w:ascii="Arial" w:hAnsi="Arial" w:cs="Arial"/>
          <w:sz w:val="24"/>
          <w:szCs w:val="24"/>
        </w:rPr>
        <w:t xml:space="preserve">: </w:t>
      </w:r>
      <w:r w:rsidRPr="0072521E" w:rsidR="00544153">
        <w:rPr>
          <w:rFonts w:ascii="Arial" w:hAnsi="Arial" w:cs="Arial"/>
          <w:sz w:val="24"/>
          <w:szCs w:val="24"/>
        </w:rPr>
        <w:t>As</w:t>
      </w:r>
      <w:r w:rsidRPr="0072521E" w:rsidR="00442E6B">
        <w:rPr>
          <w:rFonts w:ascii="Arial" w:hAnsi="Arial" w:cs="Arial"/>
          <w:sz w:val="24"/>
          <w:szCs w:val="24"/>
        </w:rPr>
        <w:t xml:space="preserve"> noted previously in the FDG</w:t>
      </w:r>
      <w:r w:rsidRPr="0072521E" w:rsidR="002634F3">
        <w:rPr>
          <w:rFonts w:ascii="Arial" w:hAnsi="Arial" w:cs="Arial"/>
          <w:sz w:val="24"/>
          <w:szCs w:val="24"/>
        </w:rPr>
        <w:t xml:space="preserve">, </w:t>
      </w:r>
      <w:r w:rsidRPr="0072521E" w:rsidR="00544153">
        <w:rPr>
          <w:rFonts w:ascii="Arial" w:hAnsi="Arial" w:cs="Arial"/>
          <w:sz w:val="24"/>
          <w:szCs w:val="24"/>
        </w:rPr>
        <w:t>the variation</w:t>
      </w:r>
      <w:r w:rsidRPr="0072521E" w:rsidR="002634F3">
        <w:rPr>
          <w:rFonts w:ascii="Arial" w:hAnsi="Arial" w:cs="Arial"/>
          <w:sz w:val="24"/>
          <w:szCs w:val="24"/>
        </w:rPr>
        <w:t xml:space="preserve"> in clinical responses</w:t>
      </w:r>
      <w:r w:rsidRPr="0072521E" w:rsidR="00544153">
        <w:rPr>
          <w:rFonts w:ascii="Arial" w:hAnsi="Arial" w:cs="Arial"/>
          <w:sz w:val="24"/>
          <w:szCs w:val="24"/>
        </w:rPr>
        <w:t xml:space="preserve"> is</w:t>
      </w:r>
      <w:r w:rsidRPr="0072521E" w:rsidR="006D0D69">
        <w:rPr>
          <w:rFonts w:ascii="Arial" w:hAnsi="Arial" w:cs="Arial"/>
          <w:sz w:val="24"/>
          <w:szCs w:val="24"/>
        </w:rPr>
        <w:t xml:space="preserve"> to be expected </w:t>
      </w:r>
      <w:r w:rsidRPr="0072521E" w:rsidR="00731FB0">
        <w:rPr>
          <w:rFonts w:ascii="Arial" w:hAnsi="Arial" w:cs="Arial"/>
          <w:sz w:val="24"/>
          <w:szCs w:val="24"/>
        </w:rPr>
        <w:t>given the “</w:t>
      </w:r>
      <w:r w:rsidRPr="0072521E" w:rsidR="006D0D69">
        <w:rPr>
          <w:rFonts w:ascii="Arial" w:hAnsi="Arial" w:cs="Arial"/>
          <w:i/>
          <w:iCs/>
          <w:sz w:val="24"/>
          <w:szCs w:val="24"/>
        </w:rPr>
        <w:t>heterogeneity within NETs and within the subgroup of NETs each healthcare professional may regularly encounter based on their expertise and their centre’s expertise</w:t>
      </w:r>
      <w:r w:rsidRPr="0072521E" w:rsidR="00731FB0">
        <w:rPr>
          <w:rFonts w:ascii="Arial" w:hAnsi="Arial" w:cs="Arial"/>
          <w:sz w:val="24"/>
          <w:szCs w:val="24"/>
        </w:rPr>
        <w:t>” (Section 3.8).</w:t>
      </w:r>
      <w:r w:rsidRPr="0072521E" w:rsidR="00E550BC">
        <w:rPr>
          <w:rFonts w:ascii="Arial" w:hAnsi="Arial" w:cs="Arial"/>
          <w:sz w:val="24"/>
          <w:szCs w:val="24"/>
        </w:rPr>
        <w:t xml:space="preserve"> Despite variation, the results </w:t>
      </w:r>
      <w:r w:rsidRPr="0072521E" w:rsidR="00660EFA">
        <w:rPr>
          <w:rFonts w:ascii="Arial" w:hAnsi="Arial" w:cs="Arial"/>
          <w:sz w:val="24"/>
          <w:szCs w:val="24"/>
        </w:rPr>
        <w:t xml:space="preserve">demonstrate </w:t>
      </w:r>
      <w:r w:rsidR="00A50498">
        <w:rPr>
          <w:rFonts w:ascii="Arial" w:hAnsi="Arial" w:cs="Arial"/>
          <w:sz w:val="24"/>
          <w:szCs w:val="24"/>
        </w:rPr>
        <w:t xml:space="preserve">that </w:t>
      </w:r>
      <w:r w:rsidRPr="0072521E" w:rsidR="002A517B">
        <w:rPr>
          <w:rFonts w:ascii="Arial" w:hAnsi="Arial" w:cs="Arial"/>
          <w:sz w:val="24"/>
          <w:szCs w:val="24"/>
        </w:rPr>
        <w:t xml:space="preserve">clinical experts anticipate a clear treatment benefit associated with </w:t>
      </w:r>
      <w:r w:rsidRPr="0072521E" w:rsidR="00C25D0D">
        <w:rPr>
          <w:rFonts w:ascii="Arial" w:hAnsi="Arial" w:cs="Arial"/>
          <w:sz w:val="24"/>
          <w:szCs w:val="24"/>
        </w:rPr>
        <w:t>cabozantinib.</w:t>
      </w:r>
    </w:p>
    <w:p w:rsidR="001720C3" w:rsidRDefault="000943A3" w14:paraId="03EEB8D7" w14:textId="6689A80A">
      <w:pPr>
        <w:pStyle w:val="ListParagraph"/>
        <w:numPr>
          <w:ilvl w:val="0"/>
          <w:numId w:val="28"/>
        </w:numPr>
        <w:spacing w:before="120" w:line="360" w:lineRule="auto"/>
        <w:rPr>
          <w:rFonts w:ascii="Arial" w:hAnsi="Arial" w:cs="Arial"/>
          <w:sz w:val="24"/>
          <w:szCs w:val="24"/>
        </w:rPr>
      </w:pPr>
      <w:r w:rsidRPr="007B21D7">
        <w:rPr>
          <w:rFonts w:ascii="Arial" w:hAnsi="Arial" w:cs="Arial"/>
          <w:i/>
          <w:iCs/>
          <w:sz w:val="24"/>
          <w:szCs w:val="24"/>
        </w:rPr>
        <w:t>Issues identified by the EAG</w:t>
      </w:r>
      <w:r w:rsidRPr="007B21D7">
        <w:rPr>
          <w:rFonts w:ascii="Arial" w:hAnsi="Arial" w:cs="Arial"/>
          <w:sz w:val="24"/>
          <w:szCs w:val="24"/>
        </w:rPr>
        <w:t>: We note th</w:t>
      </w:r>
      <w:r w:rsidRPr="007B21D7" w:rsidR="00300054">
        <w:rPr>
          <w:rFonts w:ascii="Arial" w:hAnsi="Arial" w:cs="Arial"/>
          <w:sz w:val="24"/>
          <w:szCs w:val="24"/>
        </w:rPr>
        <w:t>at both the</w:t>
      </w:r>
      <w:r w:rsidRPr="007B21D7">
        <w:rPr>
          <w:rFonts w:ascii="Arial" w:hAnsi="Arial" w:cs="Arial"/>
          <w:sz w:val="24"/>
          <w:szCs w:val="24"/>
        </w:rPr>
        <w:t xml:space="preserve"> EAG </w:t>
      </w:r>
      <w:r w:rsidRPr="007B21D7" w:rsidR="00300054">
        <w:rPr>
          <w:rFonts w:ascii="Arial" w:hAnsi="Arial" w:cs="Arial"/>
          <w:sz w:val="24"/>
          <w:szCs w:val="24"/>
        </w:rPr>
        <w:t>R</w:t>
      </w:r>
      <w:r w:rsidRPr="007B21D7">
        <w:rPr>
          <w:rFonts w:ascii="Arial" w:hAnsi="Arial" w:cs="Arial"/>
          <w:sz w:val="24"/>
          <w:szCs w:val="24"/>
        </w:rPr>
        <w:t xml:space="preserve">eport </w:t>
      </w:r>
      <w:r w:rsidRPr="007B21D7" w:rsidR="008E2262">
        <w:rPr>
          <w:rFonts w:ascii="Arial" w:hAnsi="Arial" w:cs="Arial"/>
          <w:sz w:val="24"/>
          <w:szCs w:val="24"/>
        </w:rPr>
        <w:t xml:space="preserve">and the </w:t>
      </w:r>
      <w:r w:rsidRPr="007B21D7" w:rsidR="00300054">
        <w:rPr>
          <w:rFonts w:ascii="Arial" w:hAnsi="Arial" w:cs="Arial"/>
          <w:sz w:val="24"/>
          <w:szCs w:val="24"/>
        </w:rPr>
        <w:t>F</w:t>
      </w:r>
      <w:r w:rsidRPr="007B21D7" w:rsidR="008E2262">
        <w:rPr>
          <w:rFonts w:ascii="Arial" w:hAnsi="Arial" w:cs="Arial"/>
          <w:sz w:val="24"/>
          <w:szCs w:val="24"/>
        </w:rPr>
        <w:t xml:space="preserve">irst Appraisal Committee Meeting </w:t>
      </w:r>
      <w:r w:rsidRPr="007B21D7">
        <w:rPr>
          <w:rFonts w:ascii="Arial" w:hAnsi="Arial" w:cs="Arial"/>
          <w:sz w:val="24"/>
          <w:szCs w:val="24"/>
        </w:rPr>
        <w:t>did not contain a critique of</w:t>
      </w:r>
      <w:r w:rsidRPr="007B21D7" w:rsidR="008E2262">
        <w:rPr>
          <w:rFonts w:ascii="Arial" w:hAnsi="Arial" w:cs="Arial"/>
          <w:sz w:val="24"/>
          <w:szCs w:val="24"/>
        </w:rPr>
        <w:t xml:space="preserve"> </w:t>
      </w:r>
      <w:r w:rsidRPr="007B21D7" w:rsidR="009359F1">
        <w:rPr>
          <w:rFonts w:ascii="Arial" w:hAnsi="Arial" w:cs="Arial"/>
          <w:sz w:val="24"/>
          <w:szCs w:val="24"/>
        </w:rPr>
        <w:t xml:space="preserve">the SEE. </w:t>
      </w:r>
      <w:r w:rsidRPr="007B21D7" w:rsidR="004023FE">
        <w:rPr>
          <w:rFonts w:ascii="Arial" w:hAnsi="Arial" w:cs="Arial"/>
          <w:sz w:val="24"/>
          <w:szCs w:val="24"/>
        </w:rPr>
        <w:t xml:space="preserve">The EAG Response to Draft Guidance </w:t>
      </w:r>
      <w:r w:rsidRPr="007B21D7" w:rsidR="00991E01">
        <w:rPr>
          <w:rFonts w:ascii="Arial" w:hAnsi="Arial" w:cs="Arial"/>
          <w:sz w:val="24"/>
          <w:szCs w:val="24"/>
        </w:rPr>
        <w:t>“</w:t>
      </w:r>
      <w:r w:rsidRPr="007B21D7" w:rsidR="00991E01">
        <w:rPr>
          <w:rFonts w:ascii="Arial" w:hAnsi="Arial" w:cs="Arial"/>
          <w:i/>
          <w:iCs/>
          <w:sz w:val="24"/>
          <w:szCs w:val="24"/>
        </w:rPr>
        <w:t>acknowledges the use of SEEs in cases, such as those highlighted by the company, where there is limited evidence and it may be difficult to generate robust evidence to demonstrate an OS benefit. This method is in accordance with the guidance provided in NICE DSU TSD 26</w:t>
      </w:r>
      <w:r w:rsidRPr="007B21D7" w:rsidR="00991E01">
        <w:rPr>
          <w:rFonts w:ascii="Arial" w:hAnsi="Arial" w:cs="Arial"/>
          <w:sz w:val="24"/>
          <w:szCs w:val="24"/>
        </w:rPr>
        <w:t>” (page 3).</w:t>
      </w:r>
      <w:r w:rsidR="00A77739">
        <w:rPr>
          <w:rFonts w:ascii="Arial" w:hAnsi="Arial" w:cs="Arial"/>
          <w:sz w:val="24"/>
          <w:szCs w:val="24"/>
        </w:rPr>
        <w:t xml:space="preserve"> The </w:t>
      </w:r>
      <w:r w:rsidR="00FE144F">
        <w:rPr>
          <w:rFonts w:ascii="Arial" w:hAnsi="Arial" w:cs="Arial"/>
          <w:sz w:val="24"/>
          <w:szCs w:val="24"/>
        </w:rPr>
        <w:t xml:space="preserve">limitation of the </w:t>
      </w:r>
      <w:r w:rsidR="00F33A11">
        <w:rPr>
          <w:rFonts w:ascii="Arial" w:hAnsi="Arial" w:cs="Arial"/>
          <w:sz w:val="24"/>
          <w:szCs w:val="24"/>
        </w:rPr>
        <w:t>SEE highlighted by the EAG i</w:t>
      </w:r>
      <w:r w:rsidR="001720C3">
        <w:rPr>
          <w:rFonts w:ascii="Arial" w:hAnsi="Arial" w:cs="Arial"/>
          <w:sz w:val="24"/>
          <w:szCs w:val="24"/>
        </w:rPr>
        <w:t xml:space="preserve">n the </w:t>
      </w:r>
      <w:r w:rsidRPr="007B21D7" w:rsidR="001720C3">
        <w:rPr>
          <w:rFonts w:ascii="Arial" w:hAnsi="Arial" w:cs="Arial"/>
          <w:sz w:val="24"/>
          <w:szCs w:val="24"/>
        </w:rPr>
        <w:t>Response to Draft Guidance</w:t>
      </w:r>
      <w:r w:rsidR="001720C3">
        <w:rPr>
          <w:rFonts w:ascii="Arial" w:hAnsi="Arial" w:cs="Arial"/>
          <w:sz w:val="24"/>
          <w:szCs w:val="24"/>
        </w:rPr>
        <w:t xml:space="preserve"> is that clinicians were not provided with the </w:t>
      </w:r>
      <w:r w:rsidR="00FC75C3">
        <w:rPr>
          <w:rFonts w:ascii="Arial" w:hAnsi="Arial" w:cs="Arial"/>
          <w:sz w:val="24"/>
          <w:szCs w:val="24"/>
        </w:rPr>
        <w:t>latter</w:t>
      </w:r>
      <w:r w:rsidR="001720C3">
        <w:rPr>
          <w:rFonts w:ascii="Arial" w:hAnsi="Arial" w:cs="Arial"/>
          <w:sz w:val="24"/>
          <w:szCs w:val="24"/>
        </w:rPr>
        <w:t xml:space="preserve"> data cut of CABINET</w:t>
      </w:r>
      <w:r w:rsidR="009F4309">
        <w:rPr>
          <w:rFonts w:ascii="Arial" w:hAnsi="Arial" w:cs="Arial"/>
          <w:sz w:val="24"/>
          <w:szCs w:val="24"/>
        </w:rPr>
        <w:t>.</w:t>
      </w:r>
      <w:r w:rsidR="00D909FE">
        <w:rPr>
          <w:rFonts w:ascii="Arial" w:hAnsi="Arial" w:cs="Arial"/>
          <w:sz w:val="24"/>
          <w:szCs w:val="24"/>
        </w:rPr>
        <w:t xml:space="preserve"> Th</w:t>
      </w:r>
      <w:r w:rsidR="004E5FC2">
        <w:rPr>
          <w:rFonts w:ascii="Arial" w:hAnsi="Arial" w:cs="Arial"/>
          <w:sz w:val="24"/>
          <w:szCs w:val="24"/>
        </w:rPr>
        <w:t>e</w:t>
      </w:r>
      <w:r w:rsidR="00D909FE">
        <w:rPr>
          <w:rFonts w:ascii="Arial" w:hAnsi="Arial" w:cs="Arial"/>
          <w:sz w:val="24"/>
          <w:szCs w:val="24"/>
        </w:rPr>
        <w:t xml:space="preserve"> Company maintains that given the magnitude of the treatment benefit</w:t>
      </w:r>
      <w:r w:rsidR="004E5FC2">
        <w:rPr>
          <w:rFonts w:ascii="Arial" w:hAnsi="Arial" w:cs="Arial"/>
          <w:sz w:val="24"/>
          <w:szCs w:val="24"/>
        </w:rPr>
        <w:t xml:space="preserve"> estimated by clinicians, </w:t>
      </w:r>
      <w:r w:rsidR="00F1086D">
        <w:rPr>
          <w:rFonts w:ascii="Arial" w:hAnsi="Arial" w:cs="Arial"/>
          <w:sz w:val="24"/>
          <w:szCs w:val="24"/>
        </w:rPr>
        <w:t xml:space="preserve">the </w:t>
      </w:r>
      <w:r w:rsidR="004E5FC2">
        <w:rPr>
          <w:rFonts w:ascii="Arial" w:hAnsi="Arial" w:cs="Arial"/>
          <w:sz w:val="24"/>
          <w:szCs w:val="24"/>
        </w:rPr>
        <w:t>results of the SEE should be factored into Appraisal Committee decision-making.</w:t>
      </w:r>
      <w:r w:rsidR="00D909FE">
        <w:rPr>
          <w:rFonts w:ascii="Arial" w:hAnsi="Arial" w:cs="Arial"/>
          <w:sz w:val="24"/>
          <w:szCs w:val="24"/>
        </w:rPr>
        <w:t xml:space="preserve"> </w:t>
      </w:r>
      <w:r w:rsidR="00B0142D">
        <w:rPr>
          <w:rFonts w:ascii="Arial" w:hAnsi="Arial" w:cs="Arial"/>
          <w:sz w:val="24"/>
          <w:szCs w:val="24"/>
        </w:rPr>
        <w:t xml:space="preserve"> Regardless, t</w:t>
      </w:r>
      <w:r w:rsidR="009F4309">
        <w:rPr>
          <w:rFonts w:ascii="Arial" w:hAnsi="Arial" w:cs="Arial"/>
          <w:sz w:val="24"/>
          <w:szCs w:val="24"/>
        </w:rPr>
        <w:t xml:space="preserve">he Company </w:t>
      </w:r>
      <w:r w:rsidR="00D63CFF">
        <w:rPr>
          <w:rFonts w:ascii="Arial" w:hAnsi="Arial" w:cs="Arial"/>
          <w:sz w:val="24"/>
          <w:szCs w:val="24"/>
        </w:rPr>
        <w:t xml:space="preserve">has </w:t>
      </w:r>
      <w:r w:rsidR="009F4309">
        <w:rPr>
          <w:rFonts w:ascii="Arial" w:hAnsi="Arial" w:cs="Arial"/>
          <w:sz w:val="24"/>
          <w:szCs w:val="24"/>
        </w:rPr>
        <w:t xml:space="preserve">offered to address this </w:t>
      </w:r>
      <w:r w:rsidR="00D63CFF">
        <w:rPr>
          <w:rFonts w:ascii="Arial" w:hAnsi="Arial" w:cs="Arial"/>
          <w:sz w:val="24"/>
          <w:szCs w:val="24"/>
        </w:rPr>
        <w:t>by providing an updated SEE to inform a potential third Appraisal Committee Meeting</w:t>
      </w:r>
      <w:r w:rsidR="009F65DE">
        <w:rPr>
          <w:rFonts w:ascii="Arial" w:hAnsi="Arial" w:cs="Arial"/>
          <w:sz w:val="24"/>
          <w:szCs w:val="24"/>
        </w:rPr>
        <w:t>,</w:t>
      </w:r>
      <w:r w:rsidR="00D63CFF">
        <w:rPr>
          <w:rFonts w:ascii="Arial" w:hAnsi="Arial" w:cs="Arial"/>
          <w:sz w:val="24"/>
          <w:szCs w:val="24"/>
        </w:rPr>
        <w:t xml:space="preserve"> should this appeal be successful.</w:t>
      </w:r>
    </w:p>
    <w:p w:rsidRPr="00AB6D76" w:rsidR="00D64232" w:rsidP="00AB6D76" w:rsidRDefault="00D64232" w14:paraId="2CD2FE2E" w14:textId="310CD00B">
      <w:pPr>
        <w:spacing w:before="120" w:line="360" w:lineRule="auto"/>
        <w:rPr>
          <w:rFonts w:ascii="Arial" w:hAnsi="Arial" w:cs="Arial"/>
          <w:sz w:val="24"/>
          <w:szCs w:val="24"/>
        </w:rPr>
      </w:pPr>
      <w:r w:rsidRPr="00AB6D76">
        <w:rPr>
          <w:rFonts w:ascii="Arial" w:hAnsi="Arial" w:cs="Arial"/>
          <w:sz w:val="24"/>
          <w:szCs w:val="24"/>
        </w:rPr>
        <w:t xml:space="preserve">Second, at the </w:t>
      </w:r>
      <w:r w:rsidR="000F6872">
        <w:rPr>
          <w:rFonts w:ascii="Arial" w:hAnsi="Arial" w:cs="Arial"/>
          <w:sz w:val="24"/>
          <w:szCs w:val="24"/>
        </w:rPr>
        <w:t>Draft Guidance</w:t>
      </w:r>
      <w:r w:rsidRPr="00AB6D76">
        <w:rPr>
          <w:rFonts w:ascii="Arial" w:hAnsi="Arial" w:cs="Arial"/>
          <w:sz w:val="24"/>
          <w:szCs w:val="24"/>
        </w:rPr>
        <w:t xml:space="preserve"> stage, the company interviewed</w:t>
      </w:r>
      <w:r w:rsidR="00F21641">
        <w:rPr>
          <w:rFonts w:ascii="Arial" w:hAnsi="Arial" w:cs="Arial"/>
          <w:sz w:val="24"/>
          <w:szCs w:val="24"/>
        </w:rPr>
        <w:t xml:space="preserve"> a further </w:t>
      </w:r>
      <w:r w:rsidR="00A50498">
        <w:rPr>
          <w:rFonts w:ascii="Arial" w:hAnsi="Arial" w:cs="Arial"/>
          <w:sz w:val="24"/>
          <w:szCs w:val="24"/>
        </w:rPr>
        <w:t>four</w:t>
      </w:r>
      <w:r w:rsidR="00F21641">
        <w:rPr>
          <w:rFonts w:ascii="Arial" w:hAnsi="Arial" w:cs="Arial"/>
          <w:sz w:val="24"/>
          <w:szCs w:val="24"/>
        </w:rPr>
        <w:t xml:space="preserve"> </w:t>
      </w:r>
      <w:r w:rsidRPr="00AB6D76">
        <w:rPr>
          <w:rFonts w:ascii="Arial" w:hAnsi="Arial" w:cs="Arial"/>
          <w:sz w:val="24"/>
          <w:szCs w:val="24"/>
        </w:rPr>
        <w:t>clinical experts, all of whom confirmed they would anticipate an OS benefit</w:t>
      </w:r>
      <w:r w:rsidR="00C42E37">
        <w:rPr>
          <w:rFonts w:ascii="Arial" w:hAnsi="Arial" w:cs="Arial"/>
          <w:sz w:val="24"/>
          <w:szCs w:val="24"/>
        </w:rPr>
        <w:t xml:space="preserve"> associated with cabozantinib in the epNET population.</w:t>
      </w:r>
    </w:p>
    <w:p w:rsidRPr="00AB6D76" w:rsidR="00D64232" w:rsidP="00AB6D76" w:rsidRDefault="00D64232" w14:paraId="356DF20B" w14:textId="1A74E453">
      <w:pPr>
        <w:spacing w:before="120" w:line="360" w:lineRule="auto"/>
        <w:rPr>
          <w:rFonts w:ascii="Arial" w:hAnsi="Arial" w:cs="Arial"/>
          <w:sz w:val="24"/>
          <w:szCs w:val="24"/>
        </w:rPr>
      </w:pPr>
      <w:r w:rsidRPr="00AB6D76">
        <w:rPr>
          <w:rFonts w:ascii="Arial" w:hAnsi="Arial" w:cs="Arial"/>
          <w:sz w:val="24"/>
          <w:szCs w:val="24"/>
        </w:rPr>
        <w:t xml:space="preserve">Third, </w:t>
      </w:r>
      <w:r w:rsidR="002D49C0">
        <w:rPr>
          <w:rFonts w:ascii="Arial" w:hAnsi="Arial" w:cs="Arial"/>
          <w:sz w:val="24"/>
          <w:szCs w:val="24"/>
        </w:rPr>
        <w:t>across the</w:t>
      </w:r>
      <w:r w:rsidRPr="00AB6D76">
        <w:rPr>
          <w:rFonts w:ascii="Arial" w:hAnsi="Arial" w:cs="Arial"/>
          <w:sz w:val="24"/>
          <w:szCs w:val="24"/>
        </w:rPr>
        <w:t xml:space="preserve"> Appraisal Committee </w:t>
      </w:r>
      <w:r w:rsidR="002D49C0">
        <w:rPr>
          <w:rFonts w:ascii="Arial" w:hAnsi="Arial" w:cs="Arial"/>
          <w:sz w:val="24"/>
          <w:szCs w:val="24"/>
        </w:rPr>
        <w:t>M</w:t>
      </w:r>
      <w:r w:rsidRPr="00AB6D76">
        <w:rPr>
          <w:rFonts w:ascii="Arial" w:hAnsi="Arial" w:cs="Arial"/>
          <w:sz w:val="24"/>
          <w:szCs w:val="24"/>
        </w:rPr>
        <w:t>eeting</w:t>
      </w:r>
      <w:r w:rsidR="002D49C0">
        <w:rPr>
          <w:rFonts w:ascii="Arial" w:hAnsi="Arial" w:cs="Arial"/>
          <w:sz w:val="24"/>
          <w:szCs w:val="24"/>
        </w:rPr>
        <w:t>s</w:t>
      </w:r>
      <w:r w:rsidRPr="00AB6D76">
        <w:rPr>
          <w:rFonts w:ascii="Arial" w:hAnsi="Arial" w:cs="Arial"/>
          <w:sz w:val="24"/>
          <w:szCs w:val="24"/>
        </w:rPr>
        <w:t>, the clinical experts (n=2) confirmed they would expect an OS benefit</w:t>
      </w:r>
      <w:r w:rsidR="00240B02">
        <w:rPr>
          <w:rFonts w:ascii="Arial" w:hAnsi="Arial" w:cs="Arial"/>
          <w:sz w:val="24"/>
          <w:szCs w:val="24"/>
        </w:rPr>
        <w:t xml:space="preserve"> associated with cabozantinib</w:t>
      </w:r>
      <w:r w:rsidRPr="00AB6D76">
        <w:rPr>
          <w:rFonts w:ascii="Arial" w:hAnsi="Arial" w:cs="Arial"/>
          <w:sz w:val="24"/>
          <w:szCs w:val="24"/>
        </w:rPr>
        <w:t>. When asked, they estimated the magnitude of this OS benefit</w:t>
      </w:r>
      <w:r w:rsidR="009F65DE">
        <w:rPr>
          <w:rFonts w:ascii="Arial" w:hAnsi="Arial" w:cs="Arial"/>
          <w:sz w:val="24"/>
          <w:szCs w:val="24"/>
        </w:rPr>
        <w:t>,</w:t>
      </w:r>
      <w:r w:rsidRPr="00AB6D76">
        <w:rPr>
          <w:rFonts w:ascii="Arial" w:hAnsi="Arial" w:cs="Arial"/>
          <w:sz w:val="24"/>
          <w:szCs w:val="24"/>
        </w:rPr>
        <w:t xml:space="preserve"> relative to BSC</w:t>
      </w:r>
      <w:r w:rsidR="009F65DE">
        <w:rPr>
          <w:rFonts w:ascii="Arial" w:hAnsi="Arial" w:cs="Arial"/>
          <w:sz w:val="24"/>
          <w:szCs w:val="24"/>
        </w:rPr>
        <w:t>,</w:t>
      </w:r>
      <w:r w:rsidRPr="00AB6D76">
        <w:rPr>
          <w:rFonts w:ascii="Arial" w:hAnsi="Arial" w:cs="Arial"/>
          <w:sz w:val="24"/>
          <w:szCs w:val="24"/>
        </w:rPr>
        <w:t xml:space="preserve"> would be comparable to existing treatments (</w:t>
      </w:r>
      <w:r w:rsidR="009E72D1">
        <w:rPr>
          <w:rFonts w:ascii="Arial" w:hAnsi="Arial" w:cs="Arial"/>
          <w:sz w:val="24"/>
          <w:szCs w:val="24"/>
        </w:rPr>
        <w:t xml:space="preserve">e.g. </w:t>
      </w:r>
      <w:r w:rsidRPr="00AB6D76">
        <w:rPr>
          <w:rFonts w:ascii="Arial" w:hAnsi="Arial" w:cs="Arial"/>
          <w:sz w:val="24"/>
          <w:szCs w:val="24"/>
        </w:rPr>
        <w:t>everolimus, sunitinib</w:t>
      </w:r>
      <w:r w:rsidR="005A363F">
        <w:rPr>
          <w:rFonts w:ascii="Arial" w:hAnsi="Arial" w:cs="Arial"/>
          <w:sz w:val="24"/>
          <w:szCs w:val="24"/>
        </w:rPr>
        <w:t>,</w:t>
      </w:r>
      <w:r w:rsidRPr="00AB6D76">
        <w:rPr>
          <w:rFonts w:ascii="Arial" w:hAnsi="Arial" w:cs="Arial"/>
          <w:sz w:val="24"/>
          <w:szCs w:val="24"/>
        </w:rPr>
        <w:t xml:space="preserve"> and PRRT).</w:t>
      </w:r>
    </w:p>
    <w:p w:rsidRPr="00F21641" w:rsidR="00D64232" w:rsidP="00F21641" w:rsidRDefault="002C3A01" w14:paraId="02771846" w14:textId="64EFE138">
      <w:pPr>
        <w:spacing w:before="120" w:line="360" w:lineRule="auto"/>
        <w:rPr>
          <w:rFonts w:ascii="Arial" w:hAnsi="Arial" w:cs="Arial"/>
          <w:sz w:val="24"/>
          <w:szCs w:val="24"/>
        </w:rPr>
      </w:pPr>
      <w:r>
        <w:rPr>
          <w:rFonts w:ascii="Arial" w:hAnsi="Arial" w:cs="Arial"/>
          <w:sz w:val="24"/>
          <w:szCs w:val="24"/>
        </w:rPr>
        <w:t>In summary, t</w:t>
      </w:r>
      <w:r w:rsidRPr="00E77601" w:rsidR="00D64232">
        <w:rPr>
          <w:rFonts w:ascii="Arial" w:hAnsi="Arial" w:cs="Arial"/>
          <w:sz w:val="24"/>
          <w:szCs w:val="24"/>
        </w:rPr>
        <w:t xml:space="preserve">he Appraisal Committee’s assumption of an OS HR=1 is in direct contradiction </w:t>
      </w:r>
      <w:r w:rsidR="005A363F">
        <w:rPr>
          <w:rFonts w:ascii="Arial" w:hAnsi="Arial" w:cs="Arial"/>
          <w:sz w:val="24"/>
          <w:szCs w:val="24"/>
        </w:rPr>
        <w:t>with</w:t>
      </w:r>
      <w:r w:rsidRPr="00E77601" w:rsidR="00D64232">
        <w:rPr>
          <w:rFonts w:ascii="Arial" w:hAnsi="Arial" w:cs="Arial"/>
          <w:sz w:val="24"/>
          <w:szCs w:val="24"/>
        </w:rPr>
        <w:t xml:space="preserve"> all 11 clinical experts asked through the appraisal process, </w:t>
      </w:r>
      <w:r w:rsidR="00F93C66">
        <w:rPr>
          <w:rFonts w:ascii="Arial" w:hAnsi="Arial" w:cs="Arial"/>
          <w:sz w:val="24"/>
          <w:szCs w:val="24"/>
        </w:rPr>
        <w:t>each</w:t>
      </w:r>
      <w:r w:rsidRPr="00E77601" w:rsidR="00D64232">
        <w:rPr>
          <w:rFonts w:ascii="Arial" w:hAnsi="Arial" w:cs="Arial"/>
          <w:sz w:val="24"/>
          <w:szCs w:val="24"/>
        </w:rPr>
        <w:t xml:space="preserve"> of whom indicated they would anticipate an OS benefit associated with cabozantinib.</w:t>
      </w:r>
      <w:r w:rsidR="001A1BA2">
        <w:rPr>
          <w:rFonts w:ascii="Arial" w:hAnsi="Arial" w:cs="Arial"/>
          <w:sz w:val="24"/>
          <w:szCs w:val="24"/>
        </w:rPr>
        <w:t xml:space="preserve"> </w:t>
      </w:r>
      <w:r w:rsidRPr="00E77601" w:rsidR="00D64232">
        <w:rPr>
          <w:rFonts w:ascii="Arial" w:hAnsi="Arial" w:cs="Arial"/>
          <w:sz w:val="24"/>
          <w:szCs w:val="24"/>
        </w:rPr>
        <w:t>Where clinicians unanimously believe</w:t>
      </w:r>
      <w:r w:rsidR="00A1589A">
        <w:rPr>
          <w:rFonts w:ascii="Arial" w:hAnsi="Arial" w:cs="Arial"/>
          <w:sz w:val="24"/>
          <w:szCs w:val="24"/>
        </w:rPr>
        <w:t xml:space="preserve"> </w:t>
      </w:r>
      <w:r w:rsidRPr="00E77601" w:rsidR="00D64232">
        <w:rPr>
          <w:rFonts w:ascii="Arial" w:hAnsi="Arial" w:cs="Arial"/>
          <w:sz w:val="24"/>
          <w:szCs w:val="24"/>
        </w:rPr>
        <w:t>an</w:t>
      </w:r>
      <w:r w:rsidR="00A1589A">
        <w:rPr>
          <w:rFonts w:ascii="Arial" w:hAnsi="Arial" w:cs="Arial"/>
          <w:sz w:val="24"/>
          <w:szCs w:val="24"/>
        </w:rPr>
        <w:t xml:space="preserve"> OS treatment</w:t>
      </w:r>
      <w:r w:rsidRPr="00E77601" w:rsidR="00D64232">
        <w:rPr>
          <w:rFonts w:ascii="Arial" w:hAnsi="Arial" w:cs="Arial"/>
          <w:sz w:val="24"/>
          <w:szCs w:val="24"/>
        </w:rPr>
        <w:t xml:space="preserve"> effect is likely, NICE should not treat this plausibility as speculative, and the conclusion of the Appraisal Committee cannot reasonably be justified.</w:t>
      </w:r>
      <w:r w:rsidR="00A1589A">
        <w:rPr>
          <w:rFonts w:ascii="Arial" w:hAnsi="Arial" w:cs="Arial"/>
          <w:sz w:val="24"/>
          <w:szCs w:val="24"/>
        </w:rPr>
        <w:t xml:space="preserve"> Especially when considered </w:t>
      </w:r>
      <w:r w:rsidR="0099634D">
        <w:rPr>
          <w:rFonts w:ascii="Arial" w:hAnsi="Arial" w:cs="Arial"/>
          <w:sz w:val="24"/>
          <w:szCs w:val="24"/>
        </w:rPr>
        <w:t xml:space="preserve">in conjunction with </w:t>
      </w:r>
      <w:r w:rsidR="005623F8">
        <w:rPr>
          <w:rFonts w:ascii="Arial" w:hAnsi="Arial" w:cs="Arial"/>
          <w:sz w:val="24"/>
          <w:szCs w:val="24"/>
        </w:rPr>
        <w:t>appeal points 2.3 and 2.4.</w:t>
      </w:r>
    </w:p>
    <w:p w:rsidRPr="00774B47" w:rsidR="00D64232" w:rsidP="002C676C" w:rsidRDefault="00D64232" w14:paraId="2DEAF4AC" w14:textId="77777777">
      <w:pPr>
        <w:pStyle w:val="Heading2"/>
      </w:pPr>
      <w:r w:rsidRPr="00774B47">
        <w:t>Appeal point 2.</w:t>
      </w:r>
      <w:r>
        <w:t>3</w:t>
      </w:r>
      <w:r w:rsidRPr="00774B47">
        <w:t xml:space="preserve">: The </w:t>
      </w:r>
      <w:r>
        <w:t>Appraisal C</w:t>
      </w:r>
      <w:r w:rsidRPr="00774B47">
        <w:t>ommittee’s conclusion, in reference to the IPCW and RPSFTM methodologies, that “</w:t>
      </w:r>
      <w:r w:rsidRPr="00774B47">
        <w:rPr>
          <w:i/>
          <w:iCs/>
        </w:rPr>
        <w:t>neither method could be considered better than the other</w:t>
      </w:r>
      <w:r w:rsidRPr="00774B47">
        <w:t>” is unreasonable in light of the evidence provided</w:t>
      </w:r>
    </w:p>
    <w:p w:rsidR="0066795B" w:rsidP="002E0199" w:rsidRDefault="002E0199" w14:paraId="6F9CB329" w14:textId="296B2D30">
      <w:pPr>
        <w:spacing w:before="120" w:line="360" w:lineRule="auto"/>
        <w:rPr>
          <w:rFonts w:ascii="Arial" w:hAnsi="Arial" w:cs="Arial"/>
          <w:sz w:val="24"/>
          <w:szCs w:val="24"/>
        </w:rPr>
      </w:pPr>
      <w:r w:rsidRPr="0035464A">
        <w:rPr>
          <w:rFonts w:ascii="Arial" w:hAnsi="Arial" w:cs="Arial"/>
          <w:sz w:val="24"/>
          <w:szCs w:val="24"/>
        </w:rPr>
        <w:t>Section 3.6 of the FDG summarise</w:t>
      </w:r>
      <w:r w:rsidR="003F44D5">
        <w:rPr>
          <w:rFonts w:ascii="Arial" w:hAnsi="Arial" w:cs="Arial"/>
          <w:sz w:val="24"/>
          <w:szCs w:val="24"/>
        </w:rPr>
        <w:t>s</w:t>
      </w:r>
      <w:r w:rsidRPr="0035464A">
        <w:rPr>
          <w:rFonts w:ascii="Arial" w:hAnsi="Arial" w:cs="Arial"/>
          <w:sz w:val="24"/>
          <w:szCs w:val="24"/>
        </w:rPr>
        <w:t xml:space="preserve"> the crossover analysis explored across the appraisal and concludes</w:t>
      </w:r>
      <w:r>
        <w:rPr>
          <w:rFonts w:ascii="Arial" w:hAnsi="Arial" w:cs="Arial"/>
          <w:sz w:val="24"/>
          <w:szCs w:val="24"/>
        </w:rPr>
        <w:t xml:space="preserve"> </w:t>
      </w:r>
      <w:r w:rsidRPr="0035464A">
        <w:rPr>
          <w:rFonts w:ascii="Arial" w:hAnsi="Arial" w:cs="Arial"/>
          <w:sz w:val="24"/>
          <w:szCs w:val="24"/>
        </w:rPr>
        <w:t xml:space="preserve">that </w:t>
      </w:r>
      <w:r w:rsidR="000C5ECF">
        <w:rPr>
          <w:rFonts w:ascii="Arial" w:hAnsi="Arial" w:cs="Arial"/>
          <w:sz w:val="24"/>
          <w:szCs w:val="24"/>
        </w:rPr>
        <w:t xml:space="preserve">due to the limitations of both methodologies, </w:t>
      </w:r>
      <w:r w:rsidRPr="0035464A">
        <w:rPr>
          <w:rFonts w:ascii="Arial" w:hAnsi="Arial" w:cs="Arial"/>
          <w:sz w:val="24"/>
          <w:szCs w:val="24"/>
        </w:rPr>
        <w:t xml:space="preserve">neither the IPCW </w:t>
      </w:r>
      <w:r w:rsidR="00416206">
        <w:rPr>
          <w:rFonts w:ascii="Arial" w:hAnsi="Arial" w:cs="Arial"/>
          <w:sz w:val="24"/>
          <w:szCs w:val="24"/>
        </w:rPr>
        <w:t>n</w:t>
      </w:r>
      <w:r w:rsidRPr="0035464A">
        <w:rPr>
          <w:rFonts w:ascii="Arial" w:hAnsi="Arial" w:cs="Arial"/>
          <w:sz w:val="24"/>
          <w:szCs w:val="24"/>
        </w:rPr>
        <w:t>or RPSFTM method could be consider</w:t>
      </w:r>
      <w:r w:rsidR="00416206">
        <w:rPr>
          <w:rFonts w:ascii="Arial" w:hAnsi="Arial" w:cs="Arial"/>
          <w:sz w:val="24"/>
          <w:szCs w:val="24"/>
        </w:rPr>
        <w:t>ed</w:t>
      </w:r>
      <w:r w:rsidRPr="0035464A">
        <w:rPr>
          <w:rFonts w:ascii="Arial" w:hAnsi="Arial" w:cs="Arial"/>
          <w:sz w:val="24"/>
          <w:szCs w:val="24"/>
        </w:rPr>
        <w:t xml:space="preserve"> better than the other. The company notes </w:t>
      </w:r>
      <w:r>
        <w:rPr>
          <w:rFonts w:ascii="Arial" w:hAnsi="Arial" w:cs="Arial"/>
          <w:sz w:val="24"/>
          <w:szCs w:val="24"/>
        </w:rPr>
        <w:t>t</w:t>
      </w:r>
      <w:r w:rsidRPr="0035464A">
        <w:rPr>
          <w:rFonts w:ascii="Arial" w:hAnsi="Arial" w:cs="Arial"/>
          <w:sz w:val="24"/>
          <w:szCs w:val="24"/>
        </w:rPr>
        <w:t xml:space="preserve">his conclusion is subsequently used to justify an assumption of no overall survival </w:t>
      </w:r>
      <w:r>
        <w:rPr>
          <w:rFonts w:ascii="Arial" w:hAnsi="Arial" w:cs="Arial"/>
          <w:sz w:val="24"/>
          <w:szCs w:val="24"/>
        </w:rPr>
        <w:t>benefit (</w:t>
      </w:r>
      <w:r w:rsidRPr="0035464A">
        <w:rPr>
          <w:rFonts w:ascii="Arial" w:hAnsi="Arial" w:cs="Arial"/>
          <w:sz w:val="24"/>
          <w:szCs w:val="24"/>
        </w:rPr>
        <w:t>OS HR=1</w:t>
      </w:r>
      <w:r>
        <w:rPr>
          <w:rFonts w:ascii="Arial" w:hAnsi="Arial" w:cs="Arial"/>
          <w:sz w:val="24"/>
          <w:szCs w:val="24"/>
        </w:rPr>
        <w:t>)</w:t>
      </w:r>
      <w:r w:rsidRPr="0035464A">
        <w:rPr>
          <w:rFonts w:ascii="Arial" w:hAnsi="Arial" w:cs="Arial"/>
          <w:sz w:val="24"/>
          <w:szCs w:val="24"/>
        </w:rPr>
        <w:t xml:space="preserve"> in Section 3.8</w:t>
      </w:r>
      <w:r w:rsidR="008C5FCD">
        <w:rPr>
          <w:rFonts w:ascii="Arial" w:hAnsi="Arial" w:cs="Arial"/>
          <w:sz w:val="24"/>
          <w:szCs w:val="24"/>
        </w:rPr>
        <w:t>.</w:t>
      </w:r>
      <w:r w:rsidR="00C87947">
        <w:rPr>
          <w:rFonts w:ascii="Arial" w:hAnsi="Arial" w:cs="Arial"/>
          <w:sz w:val="24"/>
          <w:szCs w:val="24"/>
        </w:rPr>
        <w:t xml:space="preserve"> </w:t>
      </w:r>
    </w:p>
    <w:p w:rsidR="006C6E0B" w:rsidP="002E0199" w:rsidRDefault="005B2895" w14:paraId="6FEC1EA6" w14:textId="28EF47E1">
      <w:pPr>
        <w:spacing w:before="120" w:line="360" w:lineRule="auto"/>
        <w:rPr>
          <w:rFonts w:ascii="Arial" w:hAnsi="Arial" w:cs="Arial"/>
          <w:sz w:val="24"/>
          <w:szCs w:val="24"/>
        </w:rPr>
      </w:pPr>
      <w:r>
        <w:rPr>
          <w:rFonts w:ascii="Arial" w:hAnsi="Arial" w:cs="Arial"/>
          <w:sz w:val="24"/>
          <w:szCs w:val="24"/>
        </w:rPr>
        <w:t xml:space="preserve">The limitations of the IPCW and RPSFTM methodologies are discussed in the </w:t>
      </w:r>
      <w:r w:rsidR="003D53BC">
        <w:rPr>
          <w:rFonts w:ascii="Arial" w:hAnsi="Arial" w:cs="Arial"/>
          <w:sz w:val="24"/>
          <w:szCs w:val="24"/>
        </w:rPr>
        <w:t xml:space="preserve">EAG Report, </w:t>
      </w:r>
      <w:r>
        <w:rPr>
          <w:rFonts w:ascii="Arial" w:hAnsi="Arial" w:cs="Arial"/>
          <w:sz w:val="24"/>
          <w:szCs w:val="24"/>
        </w:rPr>
        <w:t>Company Response to Draft Guidance</w:t>
      </w:r>
      <w:r w:rsidR="00813967">
        <w:rPr>
          <w:rFonts w:ascii="Arial" w:hAnsi="Arial" w:cs="Arial"/>
          <w:sz w:val="24"/>
          <w:szCs w:val="24"/>
        </w:rPr>
        <w:t xml:space="preserve"> (</w:t>
      </w:r>
      <w:r w:rsidR="009F65DE">
        <w:rPr>
          <w:rFonts w:ascii="Arial" w:hAnsi="Arial" w:cs="Arial"/>
          <w:sz w:val="24"/>
          <w:szCs w:val="24"/>
        </w:rPr>
        <w:t>pp</w:t>
      </w:r>
      <w:r w:rsidR="00813967">
        <w:rPr>
          <w:rFonts w:ascii="Arial" w:hAnsi="Arial" w:cs="Arial"/>
          <w:sz w:val="24"/>
          <w:szCs w:val="24"/>
        </w:rPr>
        <w:t xml:space="preserve"> 13-18)</w:t>
      </w:r>
      <w:r>
        <w:rPr>
          <w:rFonts w:ascii="Arial" w:hAnsi="Arial" w:cs="Arial"/>
          <w:sz w:val="24"/>
          <w:szCs w:val="24"/>
        </w:rPr>
        <w:t xml:space="preserve"> and the </w:t>
      </w:r>
      <w:r w:rsidRPr="005B2895">
        <w:rPr>
          <w:rFonts w:ascii="Arial" w:hAnsi="Arial" w:cs="Arial"/>
          <w:sz w:val="24"/>
          <w:szCs w:val="24"/>
        </w:rPr>
        <w:t>Addendum to EAG Response to Draft Guidance</w:t>
      </w:r>
      <w:r>
        <w:rPr>
          <w:rFonts w:ascii="Arial" w:hAnsi="Arial" w:cs="Arial"/>
          <w:sz w:val="24"/>
          <w:szCs w:val="24"/>
        </w:rPr>
        <w:t>.</w:t>
      </w:r>
      <w:r w:rsidR="00A07B50">
        <w:rPr>
          <w:rFonts w:ascii="Arial" w:hAnsi="Arial" w:cs="Arial"/>
          <w:sz w:val="24"/>
          <w:szCs w:val="24"/>
        </w:rPr>
        <w:t xml:space="preserve"> </w:t>
      </w:r>
      <w:r w:rsidR="009F65DE">
        <w:rPr>
          <w:rFonts w:ascii="Arial" w:hAnsi="Arial" w:cs="Arial"/>
          <w:sz w:val="24"/>
          <w:szCs w:val="24"/>
        </w:rPr>
        <w:t>They</w:t>
      </w:r>
      <w:r w:rsidR="006C6E0B">
        <w:rPr>
          <w:rFonts w:ascii="Arial" w:hAnsi="Arial" w:cs="Arial"/>
          <w:sz w:val="24"/>
          <w:szCs w:val="24"/>
        </w:rPr>
        <w:t xml:space="preserve"> are summarised below</w:t>
      </w:r>
      <w:r w:rsidR="00CA1F1B">
        <w:rPr>
          <w:rFonts w:ascii="Arial" w:hAnsi="Arial" w:cs="Arial"/>
          <w:sz w:val="24"/>
          <w:szCs w:val="24"/>
        </w:rPr>
        <w:t xml:space="preserve"> in </w:t>
      </w:r>
      <w:r w:rsidR="00416206">
        <w:rPr>
          <w:rFonts w:ascii="Arial" w:hAnsi="Arial" w:cs="Arial"/>
          <w:sz w:val="24"/>
          <w:szCs w:val="24"/>
        </w:rPr>
        <w:fldChar w:fldCharType="begin"/>
      </w:r>
      <w:r w:rsidR="00416206">
        <w:rPr>
          <w:rFonts w:ascii="Arial" w:hAnsi="Arial" w:cs="Arial"/>
          <w:sz w:val="24"/>
          <w:szCs w:val="24"/>
        </w:rPr>
        <w:instrText xml:space="preserve"> REF _Ref227882340 \h  \* MERGEFORMAT </w:instrText>
      </w:r>
      <w:r w:rsidR="00416206">
        <w:rPr>
          <w:rFonts w:ascii="Arial" w:hAnsi="Arial" w:cs="Arial"/>
          <w:sz w:val="24"/>
          <w:szCs w:val="24"/>
        </w:rPr>
      </w:r>
      <w:r w:rsidR="00416206">
        <w:rPr>
          <w:rFonts w:ascii="Arial" w:hAnsi="Arial" w:cs="Arial"/>
          <w:sz w:val="24"/>
          <w:szCs w:val="24"/>
        </w:rPr>
        <w:fldChar w:fldCharType="separate"/>
      </w:r>
      <w:r w:rsidRPr="00812C00" w:rsidR="00812C00">
        <w:rPr>
          <w:rFonts w:ascii="Arial" w:hAnsi="Arial" w:cs="Arial"/>
          <w:sz w:val="24"/>
          <w:szCs w:val="24"/>
        </w:rPr>
        <w:t>Table 5</w:t>
      </w:r>
      <w:r w:rsidR="00416206">
        <w:rPr>
          <w:rFonts w:ascii="Arial" w:hAnsi="Arial" w:cs="Arial"/>
          <w:sz w:val="24"/>
          <w:szCs w:val="24"/>
        </w:rPr>
        <w:fldChar w:fldCharType="end"/>
      </w:r>
      <w:r w:rsidR="00416206">
        <w:rPr>
          <w:rFonts w:ascii="Arial" w:hAnsi="Arial" w:cs="Arial"/>
          <w:sz w:val="24"/>
          <w:szCs w:val="24"/>
        </w:rPr>
        <w:t xml:space="preserve"> and </w:t>
      </w:r>
      <w:r w:rsidR="00416206">
        <w:rPr>
          <w:rFonts w:ascii="Arial" w:hAnsi="Arial" w:cs="Arial"/>
          <w:sz w:val="24"/>
          <w:szCs w:val="24"/>
        </w:rPr>
        <w:fldChar w:fldCharType="begin"/>
      </w:r>
      <w:r w:rsidR="00416206">
        <w:rPr>
          <w:rFonts w:ascii="Arial" w:hAnsi="Arial" w:cs="Arial"/>
          <w:sz w:val="24"/>
          <w:szCs w:val="24"/>
        </w:rPr>
        <w:instrText xml:space="preserve"> REF _Ref227882347 \h  \* MERGEFORMAT </w:instrText>
      </w:r>
      <w:r w:rsidR="00416206">
        <w:rPr>
          <w:rFonts w:ascii="Arial" w:hAnsi="Arial" w:cs="Arial"/>
          <w:sz w:val="24"/>
          <w:szCs w:val="24"/>
        </w:rPr>
      </w:r>
      <w:r w:rsidR="00416206">
        <w:rPr>
          <w:rFonts w:ascii="Arial" w:hAnsi="Arial" w:cs="Arial"/>
          <w:sz w:val="24"/>
          <w:szCs w:val="24"/>
        </w:rPr>
        <w:fldChar w:fldCharType="separate"/>
      </w:r>
      <w:r w:rsidRPr="00812C00" w:rsidR="00812C00">
        <w:rPr>
          <w:rFonts w:ascii="Arial" w:hAnsi="Arial" w:cs="Arial"/>
          <w:sz w:val="24"/>
          <w:szCs w:val="24"/>
        </w:rPr>
        <w:t>Table 6</w:t>
      </w:r>
      <w:r w:rsidR="00416206">
        <w:rPr>
          <w:rFonts w:ascii="Arial" w:hAnsi="Arial" w:cs="Arial"/>
          <w:sz w:val="24"/>
          <w:szCs w:val="24"/>
        </w:rPr>
        <w:fldChar w:fldCharType="end"/>
      </w:r>
      <w:r w:rsidR="00416206">
        <w:rPr>
          <w:rFonts w:ascii="Arial" w:hAnsi="Arial" w:cs="Arial"/>
          <w:sz w:val="24"/>
          <w:szCs w:val="24"/>
        </w:rPr>
        <w:t>.</w:t>
      </w:r>
    </w:p>
    <w:p w:rsidRPr="009B742B" w:rsidR="0090463F" w:rsidP="000657E8" w:rsidRDefault="000657E8" w14:paraId="464828BB" w14:textId="1586B1D6">
      <w:pPr>
        <w:pStyle w:val="Caption"/>
        <w:rPr>
          <w:rFonts w:ascii="Arial" w:hAnsi="Arial" w:cs="Arial"/>
          <w:b/>
          <w:bCs/>
          <w:i w:val="0"/>
          <w:iCs w:val="0"/>
          <w:color w:val="000000" w:themeColor="text1"/>
          <w:sz w:val="24"/>
          <w:szCs w:val="24"/>
        </w:rPr>
      </w:pPr>
      <w:bookmarkStart w:name="_Ref227882340" w:id="4"/>
      <w:r w:rsidRPr="009B742B">
        <w:rPr>
          <w:rFonts w:ascii="Arial" w:hAnsi="Arial" w:cs="Arial"/>
          <w:b/>
          <w:bCs/>
          <w:i w:val="0"/>
          <w:iCs w:val="0"/>
          <w:color w:val="000000" w:themeColor="text1"/>
          <w:sz w:val="24"/>
          <w:szCs w:val="24"/>
        </w:rPr>
        <w:t xml:space="preserve">Table </w:t>
      </w:r>
      <w:r w:rsidRPr="009B742B">
        <w:rPr>
          <w:rFonts w:ascii="Arial" w:hAnsi="Arial" w:cs="Arial"/>
          <w:b/>
          <w:bCs/>
          <w:i w:val="0"/>
          <w:iCs w:val="0"/>
          <w:color w:val="000000" w:themeColor="text1"/>
          <w:sz w:val="24"/>
          <w:szCs w:val="24"/>
        </w:rPr>
        <w:fldChar w:fldCharType="begin"/>
      </w:r>
      <w:r w:rsidRPr="009B742B">
        <w:rPr>
          <w:rFonts w:ascii="Arial" w:hAnsi="Arial" w:cs="Arial"/>
          <w:b/>
          <w:bCs/>
          <w:i w:val="0"/>
          <w:iCs w:val="0"/>
          <w:color w:val="000000" w:themeColor="text1"/>
          <w:sz w:val="24"/>
          <w:szCs w:val="24"/>
        </w:rPr>
        <w:instrText xml:space="preserve"> SEQ Table \* ARABIC </w:instrText>
      </w:r>
      <w:r w:rsidRPr="009B742B">
        <w:rPr>
          <w:rFonts w:ascii="Arial" w:hAnsi="Arial" w:cs="Arial"/>
          <w:b/>
          <w:bCs/>
          <w:i w:val="0"/>
          <w:iCs w:val="0"/>
          <w:color w:val="000000" w:themeColor="text1"/>
          <w:sz w:val="24"/>
          <w:szCs w:val="24"/>
        </w:rPr>
        <w:fldChar w:fldCharType="separate"/>
      </w:r>
      <w:r w:rsidR="00812C00">
        <w:rPr>
          <w:rFonts w:ascii="Arial" w:hAnsi="Arial" w:cs="Arial"/>
          <w:b/>
          <w:bCs/>
          <w:i w:val="0"/>
          <w:iCs w:val="0"/>
          <w:noProof/>
          <w:color w:val="000000" w:themeColor="text1"/>
          <w:sz w:val="24"/>
          <w:szCs w:val="24"/>
        </w:rPr>
        <w:t>5</w:t>
      </w:r>
      <w:r w:rsidRPr="009B742B">
        <w:rPr>
          <w:rFonts w:ascii="Arial" w:hAnsi="Arial" w:cs="Arial"/>
          <w:b/>
          <w:bCs/>
          <w:i w:val="0"/>
          <w:iCs w:val="0"/>
          <w:color w:val="000000" w:themeColor="text1"/>
          <w:sz w:val="24"/>
          <w:szCs w:val="24"/>
        </w:rPr>
        <w:fldChar w:fldCharType="end"/>
      </w:r>
      <w:bookmarkEnd w:id="4"/>
      <w:r w:rsidRPr="009B742B">
        <w:rPr>
          <w:rFonts w:ascii="Arial" w:hAnsi="Arial" w:cs="Arial"/>
          <w:b/>
          <w:bCs/>
          <w:i w:val="0"/>
          <w:iCs w:val="0"/>
          <w:color w:val="000000" w:themeColor="text1"/>
          <w:sz w:val="24"/>
          <w:szCs w:val="24"/>
        </w:rPr>
        <w:t>: Summary of appraisal limitations of IPCW crossover analysis</w:t>
      </w:r>
    </w:p>
    <w:tbl>
      <w:tblPr>
        <w:tblStyle w:val="TableGrid"/>
        <w:tblW w:w="0" w:type="auto"/>
        <w:tblLook w:val="04A0" w:firstRow="1" w:lastRow="0" w:firstColumn="1" w:lastColumn="0" w:noHBand="0" w:noVBand="1"/>
      </w:tblPr>
      <w:tblGrid>
        <w:gridCol w:w="2875"/>
        <w:gridCol w:w="3454"/>
        <w:gridCol w:w="2687"/>
      </w:tblGrid>
      <w:tr w:rsidRPr="0090463F" w:rsidR="004D4733" w:rsidTr="00EB2CBA" w14:paraId="46E246EF" w14:textId="77777777">
        <w:tc>
          <w:tcPr>
            <w:tcW w:w="287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0463F" w:rsidR="0090463F" w:rsidP="0090463F" w:rsidRDefault="0090463F" w14:paraId="06802AF0" w14:textId="77777777">
            <w:pPr>
              <w:spacing w:before="120" w:line="360" w:lineRule="auto"/>
              <w:jc w:val="left"/>
              <w:rPr>
                <w:rFonts w:ascii="Arial" w:hAnsi="Arial" w:cs="Arial"/>
                <w:b/>
                <w:bCs/>
                <w:sz w:val="20"/>
                <w:szCs w:val="20"/>
                <w:lang w:val="en-GB"/>
              </w:rPr>
            </w:pPr>
            <w:r w:rsidRPr="0090463F">
              <w:rPr>
                <w:rFonts w:ascii="Arial" w:hAnsi="Arial" w:cs="Arial"/>
                <w:b/>
                <w:bCs/>
                <w:sz w:val="20"/>
                <w:szCs w:val="20"/>
                <w:lang w:val="en-GB"/>
              </w:rPr>
              <w:t>Limitation of IPCW methodology</w:t>
            </w:r>
          </w:p>
        </w:tc>
        <w:tc>
          <w:tcPr>
            <w:tcW w:w="345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0463F" w:rsidR="0090463F" w:rsidP="0090463F" w:rsidRDefault="0090463F" w14:paraId="7DFBE2C5" w14:textId="77777777">
            <w:pPr>
              <w:spacing w:before="120" w:line="360" w:lineRule="auto"/>
              <w:jc w:val="left"/>
              <w:rPr>
                <w:rFonts w:ascii="Arial" w:hAnsi="Arial" w:cs="Arial"/>
                <w:b/>
                <w:bCs/>
                <w:sz w:val="20"/>
                <w:szCs w:val="20"/>
                <w:lang w:val="en-GB"/>
              </w:rPr>
            </w:pPr>
            <w:r w:rsidRPr="0090463F">
              <w:rPr>
                <w:rFonts w:ascii="Arial" w:hAnsi="Arial" w:cs="Arial"/>
                <w:b/>
                <w:bCs/>
                <w:sz w:val="20"/>
                <w:szCs w:val="20"/>
                <w:lang w:val="en-GB"/>
              </w:rPr>
              <w:t>Mitigation provided by the Company</w:t>
            </w:r>
          </w:p>
        </w:tc>
        <w:tc>
          <w:tcPr>
            <w:tcW w:w="268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0463F" w:rsidR="0090463F" w:rsidP="0090463F" w:rsidRDefault="0090463F" w14:paraId="43379880" w14:textId="77777777">
            <w:pPr>
              <w:spacing w:before="120" w:line="360" w:lineRule="auto"/>
              <w:jc w:val="left"/>
              <w:rPr>
                <w:rFonts w:ascii="Arial" w:hAnsi="Arial" w:cs="Arial"/>
                <w:b/>
                <w:bCs/>
                <w:sz w:val="20"/>
                <w:szCs w:val="20"/>
                <w:lang w:val="en-GB"/>
              </w:rPr>
            </w:pPr>
            <w:r w:rsidRPr="0090463F">
              <w:rPr>
                <w:rFonts w:ascii="Arial" w:hAnsi="Arial" w:cs="Arial"/>
                <w:b/>
                <w:bCs/>
                <w:sz w:val="20"/>
                <w:szCs w:val="20"/>
                <w:lang w:val="en-GB"/>
              </w:rPr>
              <w:t>Response from the EAG</w:t>
            </w:r>
          </w:p>
        </w:tc>
      </w:tr>
      <w:tr w:rsidRPr="0090463F" w:rsidR="004D4733" w:rsidTr="0090463F" w14:paraId="2C9ABF12" w14:textId="77777777">
        <w:tc>
          <w:tcPr>
            <w:tcW w:w="2875" w:type="dxa"/>
            <w:tcBorders>
              <w:top w:val="single" w:color="auto" w:sz="4" w:space="0"/>
              <w:left w:val="single" w:color="auto" w:sz="4" w:space="0"/>
              <w:bottom w:val="single" w:color="auto" w:sz="4" w:space="0"/>
              <w:right w:val="single" w:color="auto" w:sz="4" w:space="0"/>
            </w:tcBorders>
            <w:hideMark/>
          </w:tcPr>
          <w:p w:rsidRPr="0090463F" w:rsidR="0090463F" w:rsidP="0090463F" w:rsidRDefault="0090463F" w14:paraId="71C80FE5" w14:textId="77777777">
            <w:pPr>
              <w:spacing w:before="120" w:line="360" w:lineRule="auto"/>
              <w:jc w:val="left"/>
              <w:rPr>
                <w:rFonts w:ascii="Arial" w:hAnsi="Arial" w:cs="Arial"/>
                <w:sz w:val="20"/>
                <w:szCs w:val="20"/>
                <w:lang w:val="en-GB"/>
              </w:rPr>
            </w:pPr>
            <w:r w:rsidRPr="0090463F">
              <w:rPr>
                <w:rFonts w:ascii="Arial" w:hAnsi="Arial" w:cs="Arial"/>
                <w:sz w:val="20"/>
                <w:szCs w:val="20"/>
                <w:lang w:val="en-GB"/>
              </w:rPr>
              <w:t>Insufficient evidence of the no unmeasured confounder assumption</w:t>
            </w:r>
          </w:p>
        </w:tc>
        <w:tc>
          <w:tcPr>
            <w:tcW w:w="3454" w:type="dxa"/>
            <w:tcBorders>
              <w:top w:val="single" w:color="auto" w:sz="4" w:space="0"/>
              <w:left w:val="single" w:color="auto" w:sz="4" w:space="0"/>
              <w:bottom w:val="single" w:color="auto" w:sz="4" w:space="0"/>
              <w:right w:val="single" w:color="auto" w:sz="4" w:space="0"/>
            </w:tcBorders>
            <w:hideMark/>
          </w:tcPr>
          <w:p w:rsidRPr="0090463F" w:rsidR="0090463F" w:rsidP="0090463F" w:rsidRDefault="0090463F" w14:paraId="2316B290" w14:textId="7DB5629E">
            <w:pPr>
              <w:spacing w:before="120" w:line="360" w:lineRule="auto"/>
              <w:jc w:val="left"/>
              <w:rPr>
                <w:rFonts w:ascii="Arial" w:hAnsi="Arial" w:cs="Arial"/>
                <w:sz w:val="20"/>
                <w:szCs w:val="20"/>
                <w:lang w:val="en-GB"/>
              </w:rPr>
            </w:pPr>
            <w:r w:rsidRPr="0090463F">
              <w:rPr>
                <w:rFonts w:ascii="Arial" w:hAnsi="Arial" w:cs="Arial"/>
                <w:sz w:val="20"/>
                <w:szCs w:val="20"/>
                <w:lang w:val="en-GB"/>
              </w:rPr>
              <w:t>No evidence of unmeasured confounders with covariates derived through clinician input resulting in a model that included all major prognostic factor</w:t>
            </w:r>
            <w:r w:rsidR="00A7342E">
              <w:rPr>
                <w:rFonts w:ascii="Arial" w:hAnsi="Arial" w:cs="Arial"/>
                <w:sz w:val="20"/>
                <w:szCs w:val="20"/>
                <w:lang w:val="en-GB"/>
              </w:rPr>
              <w:t>s</w:t>
            </w:r>
          </w:p>
        </w:tc>
        <w:tc>
          <w:tcPr>
            <w:tcW w:w="2687" w:type="dxa"/>
            <w:tcBorders>
              <w:top w:val="single" w:color="auto" w:sz="4" w:space="0"/>
              <w:left w:val="single" w:color="auto" w:sz="4" w:space="0"/>
              <w:bottom w:val="single" w:color="auto" w:sz="4" w:space="0"/>
              <w:right w:val="single" w:color="auto" w:sz="4" w:space="0"/>
            </w:tcBorders>
            <w:hideMark/>
          </w:tcPr>
          <w:p w:rsidRPr="0090463F" w:rsidR="0090463F" w:rsidP="0090463F" w:rsidRDefault="0090463F" w14:paraId="38CD0738" w14:textId="77777777">
            <w:pPr>
              <w:spacing w:before="120" w:line="360" w:lineRule="auto"/>
              <w:jc w:val="left"/>
              <w:rPr>
                <w:rFonts w:ascii="Arial" w:hAnsi="Arial" w:cs="Arial"/>
                <w:sz w:val="20"/>
                <w:szCs w:val="20"/>
                <w:lang w:val="en-GB"/>
              </w:rPr>
            </w:pPr>
            <w:r w:rsidRPr="0090463F">
              <w:rPr>
                <w:rFonts w:ascii="Arial" w:hAnsi="Arial" w:cs="Arial"/>
                <w:sz w:val="20"/>
                <w:szCs w:val="20"/>
                <w:lang w:val="en-GB"/>
              </w:rPr>
              <w:t>The EAG considers that this is a reasonable but untestable claim</w:t>
            </w:r>
          </w:p>
        </w:tc>
      </w:tr>
      <w:tr w:rsidRPr="0090463F" w:rsidR="004D4733" w:rsidTr="0090463F" w14:paraId="45D60EEC" w14:textId="77777777">
        <w:tc>
          <w:tcPr>
            <w:tcW w:w="2875" w:type="dxa"/>
            <w:tcBorders>
              <w:top w:val="single" w:color="auto" w:sz="4" w:space="0"/>
              <w:left w:val="single" w:color="auto" w:sz="4" w:space="0"/>
              <w:bottom w:val="single" w:color="auto" w:sz="4" w:space="0"/>
              <w:right w:val="single" w:color="auto" w:sz="4" w:space="0"/>
            </w:tcBorders>
            <w:hideMark/>
          </w:tcPr>
          <w:p w:rsidRPr="0090463F" w:rsidR="0090463F" w:rsidP="0090463F" w:rsidRDefault="00A72FF5" w14:paraId="536E5117" w14:textId="7B17441A">
            <w:pPr>
              <w:spacing w:before="120" w:line="360" w:lineRule="auto"/>
              <w:jc w:val="left"/>
              <w:rPr>
                <w:rFonts w:ascii="Arial" w:hAnsi="Arial" w:cs="Arial"/>
                <w:sz w:val="20"/>
                <w:szCs w:val="20"/>
                <w:lang w:val="en-GB"/>
              </w:rPr>
            </w:pPr>
            <w:r w:rsidRPr="0090463F">
              <w:rPr>
                <w:rFonts w:ascii="Arial" w:hAnsi="Arial" w:cs="Arial"/>
                <w:sz w:val="20"/>
                <w:szCs w:val="20"/>
                <w:lang w:val="en-GB"/>
              </w:rPr>
              <w:t>Small number of patients crossing over means that it is likely that the IPCW weights will be unstable and highly uncertain</w:t>
            </w:r>
          </w:p>
        </w:tc>
        <w:tc>
          <w:tcPr>
            <w:tcW w:w="3454" w:type="dxa"/>
            <w:tcBorders>
              <w:top w:val="single" w:color="auto" w:sz="4" w:space="0"/>
              <w:left w:val="single" w:color="auto" w:sz="4" w:space="0"/>
              <w:bottom w:val="single" w:color="auto" w:sz="4" w:space="0"/>
              <w:right w:val="single" w:color="auto" w:sz="4" w:space="0"/>
            </w:tcBorders>
            <w:hideMark/>
          </w:tcPr>
          <w:p w:rsidR="0056541A" w:rsidP="0056541A" w:rsidRDefault="0056541A" w14:paraId="0AC04F61" w14:textId="77777777">
            <w:pPr>
              <w:spacing w:before="120" w:line="360" w:lineRule="auto"/>
              <w:jc w:val="left"/>
              <w:rPr>
                <w:rFonts w:ascii="Arial" w:hAnsi="Arial" w:cs="Arial"/>
                <w:sz w:val="20"/>
                <w:szCs w:val="20"/>
                <w:lang w:val="en-GB"/>
              </w:rPr>
            </w:pPr>
            <w:r w:rsidRPr="0056541A">
              <w:rPr>
                <w:rFonts w:ascii="Arial" w:hAnsi="Arial" w:cs="Arial"/>
                <w:sz w:val="20"/>
                <w:szCs w:val="20"/>
                <w:lang w:val="en-GB"/>
              </w:rPr>
              <w:t>IPCW weights were highly stable and the</w:t>
            </w:r>
            <w:r>
              <w:rPr>
                <w:rFonts w:ascii="Arial" w:hAnsi="Arial" w:cs="Arial"/>
                <w:sz w:val="20"/>
                <w:szCs w:val="20"/>
                <w:lang w:val="en-GB"/>
              </w:rPr>
              <w:t xml:space="preserve"> </w:t>
            </w:r>
            <w:r w:rsidRPr="0056541A">
              <w:rPr>
                <w:rFonts w:ascii="Arial" w:hAnsi="Arial" w:cs="Arial"/>
                <w:sz w:val="20"/>
                <w:szCs w:val="20"/>
                <w:lang w:val="en-GB"/>
              </w:rPr>
              <w:t>EAG’s assertion that IPCW weights were unstable because of small patient</w:t>
            </w:r>
            <w:r>
              <w:rPr>
                <w:rFonts w:ascii="Arial" w:hAnsi="Arial" w:cs="Arial"/>
                <w:sz w:val="20"/>
                <w:szCs w:val="20"/>
                <w:lang w:val="en-GB"/>
              </w:rPr>
              <w:t xml:space="preserve"> </w:t>
            </w:r>
            <w:r w:rsidRPr="0056541A">
              <w:rPr>
                <w:rFonts w:ascii="Arial" w:hAnsi="Arial" w:cs="Arial"/>
                <w:sz w:val="20"/>
                <w:szCs w:val="20"/>
                <w:lang w:val="en-GB"/>
              </w:rPr>
              <w:t>numbers and a high percentage of people crossing over is factually</w:t>
            </w:r>
            <w:r>
              <w:rPr>
                <w:rFonts w:ascii="Arial" w:hAnsi="Arial" w:cs="Arial"/>
                <w:sz w:val="20"/>
                <w:szCs w:val="20"/>
                <w:lang w:val="en-GB"/>
              </w:rPr>
              <w:t xml:space="preserve"> </w:t>
            </w:r>
            <w:r w:rsidRPr="0056541A">
              <w:rPr>
                <w:rFonts w:ascii="Arial" w:hAnsi="Arial" w:cs="Arial"/>
                <w:sz w:val="20"/>
                <w:szCs w:val="20"/>
                <w:lang w:val="en-GB"/>
              </w:rPr>
              <w:t>inaccurate</w:t>
            </w:r>
            <w:r w:rsidR="00AC134E">
              <w:rPr>
                <w:rFonts w:ascii="Arial" w:hAnsi="Arial" w:cs="Arial"/>
                <w:sz w:val="20"/>
                <w:szCs w:val="20"/>
                <w:lang w:val="en-GB"/>
              </w:rPr>
              <w:t>.</w:t>
            </w:r>
          </w:p>
          <w:p w:rsidRPr="0090463F" w:rsidR="00AC134E" w:rsidP="00AC134E" w:rsidRDefault="00AC134E" w14:paraId="4A29D2D2" w14:textId="217019F1">
            <w:pPr>
              <w:spacing w:before="120" w:line="360" w:lineRule="auto"/>
              <w:jc w:val="left"/>
              <w:rPr>
                <w:rFonts w:ascii="Arial" w:hAnsi="Arial" w:cs="Arial"/>
                <w:sz w:val="20"/>
                <w:szCs w:val="20"/>
                <w:lang w:val="en-GB"/>
              </w:rPr>
            </w:pPr>
            <w:r w:rsidRPr="00AC134E">
              <w:rPr>
                <w:rFonts w:ascii="Arial" w:hAnsi="Arial" w:cs="Arial"/>
                <w:sz w:val="20"/>
                <w:szCs w:val="20"/>
                <w:lang w:val="en-GB"/>
              </w:rPr>
              <w:t>There is no evidence that the IPCW analysis of CABINET is associated with</w:t>
            </w:r>
            <w:r>
              <w:rPr>
                <w:rFonts w:ascii="Arial" w:hAnsi="Arial" w:cs="Arial"/>
                <w:sz w:val="20"/>
                <w:szCs w:val="20"/>
                <w:lang w:val="en-GB"/>
              </w:rPr>
              <w:t xml:space="preserve"> </w:t>
            </w:r>
            <w:r w:rsidRPr="00AC134E">
              <w:rPr>
                <w:rFonts w:ascii="Arial" w:hAnsi="Arial" w:cs="Arial"/>
                <w:sz w:val="20"/>
                <w:szCs w:val="20"/>
                <w:lang w:val="en-GB"/>
              </w:rPr>
              <w:t>greater uncertainty or risk of bias than other approaches, such as RPSFTM, nor is</w:t>
            </w:r>
            <w:r>
              <w:rPr>
                <w:rFonts w:ascii="Arial" w:hAnsi="Arial" w:cs="Arial"/>
                <w:sz w:val="20"/>
                <w:szCs w:val="20"/>
                <w:lang w:val="en-GB"/>
              </w:rPr>
              <w:t xml:space="preserve"> </w:t>
            </w:r>
            <w:r w:rsidRPr="00AC134E">
              <w:rPr>
                <w:rFonts w:ascii="Arial" w:hAnsi="Arial" w:cs="Arial"/>
                <w:sz w:val="20"/>
                <w:szCs w:val="20"/>
                <w:lang w:val="en-GB"/>
              </w:rPr>
              <w:t>there evidence for the direction of any potential bias</w:t>
            </w:r>
          </w:p>
        </w:tc>
        <w:tc>
          <w:tcPr>
            <w:tcW w:w="2687" w:type="dxa"/>
            <w:tcBorders>
              <w:top w:val="single" w:color="auto" w:sz="4" w:space="0"/>
              <w:left w:val="single" w:color="auto" w:sz="4" w:space="0"/>
              <w:bottom w:val="single" w:color="auto" w:sz="4" w:space="0"/>
              <w:right w:val="single" w:color="auto" w:sz="4" w:space="0"/>
            </w:tcBorders>
            <w:hideMark/>
          </w:tcPr>
          <w:p w:rsidR="006D6D4B" w:rsidP="0090463F" w:rsidRDefault="006D6D4B" w14:paraId="27C8E15D" w14:textId="77777777">
            <w:pPr>
              <w:spacing w:before="120" w:line="360" w:lineRule="auto"/>
              <w:jc w:val="left"/>
              <w:rPr>
                <w:rFonts w:ascii="Arial" w:hAnsi="Arial" w:cs="Arial"/>
                <w:sz w:val="20"/>
                <w:szCs w:val="20"/>
                <w:lang w:val="en-GB"/>
              </w:rPr>
            </w:pPr>
            <w:r w:rsidRPr="0090463F">
              <w:rPr>
                <w:rFonts w:ascii="Arial" w:hAnsi="Arial" w:cs="Arial"/>
                <w:sz w:val="20"/>
                <w:szCs w:val="20"/>
                <w:lang w:val="en-GB"/>
              </w:rPr>
              <w:t>The EAG accepts the additional evidence provided as showing the stability of weights over time.</w:t>
            </w:r>
          </w:p>
          <w:p w:rsidRPr="0090463F" w:rsidR="0090463F" w:rsidP="0090463F" w:rsidRDefault="006D6D4B" w14:paraId="56B055BD" w14:textId="5380A85A">
            <w:pPr>
              <w:spacing w:before="120" w:line="360" w:lineRule="auto"/>
              <w:jc w:val="left"/>
              <w:rPr>
                <w:rFonts w:ascii="Arial" w:hAnsi="Arial" w:cs="Arial"/>
                <w:sz w:val="20"/>
                <w:szCs w:val="20"/>
                <w:lang w:val="en-GB"/>
              </w:rPr>
            </w:pPr>
            <w:r>
              <w:rPr>
                <w:rFonts w:ascii="Arial" w:hAnsi="Arial" w:cs="Arial"/>
                <w:sz w:val="20"/>
                <w:szCs w:val="20"/>
                <w:lang w:val="en-GB"/>
              </w:rPr>
              <w:t>W</w:t>
            </w:r>
            <w:r w:rsidRPr="0090463F" w:rsidR="0090463F">
              <w:rPr>
                <w:rFonts w:ascii="Arial" w:hAnsi="Arial" w:cs="Arial"/>
                <w:sz w:val="20"/>
                <w:szCs w:val="20"/>
                <w:lang w:val="en-GB"/>
              </w:rPr>
              <w:t>hile diagnostic data for the IPCW implementation are not concerning, the small number of switchers relative to model complexity means the analysis is subject to considerable statistical uncertainty, and the results should be interpreted with caution</w:t>
            </w:r>
            <w:r w:rsidR="000D6581">
              <w:rPr>
                <w:rFonts w:ascii="Arial" w:hAnsi="Arial" w:cs="Arial"/>
                <w:sz w:val="20"/>
                <w:szCs w:val="20"/>
                <w:lang w:val="en-GB"/>
              </w:rPr>
              <w:t xml:space="preserve"> </w:t>
            </w:r>
            <w:r w:rsidRPr="0090463F" w:rsidR="0090463F">
              <w:rPr>
                <w:rFonts w:ascii="Arial" w:hAnsi="Arial" w:cs="Arial"/>
                <w:sz w:val="20"/>
                <w:szCs w:val="20"/>
                <w:lang w:val="en-GB"/>
              </w:rPr>
              <w:t>despite the absence of extreme weights</w:t>
            </w:r>
          </w:p>
        </w:tc>
      </w:tr>
    </w:tbl>
    <w:p w:rsidRPr="00204EB5" w:rsidR="0090463F" w:rsidP="00204EB5" w:rsidRDefault="006B45A3" w14:paraId="6776580E" w14:textId="61908588">
      <w:pPr>
        <w:spacing w:line="240" w:lineRule="auto"/>
        <w:rPr>
          <w:rFonts w:ascii="Arial" w:hAnsi="Arial" w:cs="Arial"/>
          <w:sz w:val="18"/>
          <w:szCs w:val="18"/>
          <w:lang w:val="en-US"/>
        </w:rPr>
      </w:pPr>
      <w:r w:rsidRPr="00204EB5">
        <w:rPr>
          <w:rFonts w:ascii="Arial" w:hAnsi="Arial" w:cs="Arial"/>
          <w:color w:val="auto"/>
          <w:sz w:val="18"/>
          <w:szCs w:val="18"/>
        </w:rPr>
        <w:t xml:space="preserve">EAG: Evidence Assessment Group; </w:t>
      </w:r>
      <w:r w:rsidRPr="00204EB5" w:rsidR="0064169E">
        <w:rPr>
          <w:rFonts w:ascii="Arial" w:hAnsi="Arial" w:cs="Arial"/>
          <w:color w:val="auto"/>
          <w:sz w:val="18"/>
          <w:szCs w:val="18"/>
        </w:rPr>
        <w:t xml:space="preserve">IPCW: Inverse Probability of Censoring Weighting; </w:t>
      </w:r>
      <w:r w:rsidRPr="00204EB5" w:rsidR="00694469">
        <w:rPr>
          <w:rFonts w:ascii="Arial" w:hAnsi="Arial" w:cs="Arial"/>
          <w:color w:val="auto"/>
          <w:sz w:val="18"/>
          <w:szCs w:val="18"/>
        </w:rPr>
        <w:t>RPSFTM: Rank Preserving Structural Failure Time Model</w:t>
      </w:r>
    </w:p>
    <w:p w:rsidRPr="009B742B" w:rsidR="000657E8" w:rsidP="000657E8" w:rsidRDefault="000657E8" w14:paraId="11B1C826" w14:textId="2176F381">
      <w:pPr>
        <w:pStyle w:val="Caption"/>
        <w:rPr>
          <w:rFonts w:ascii="Arial" w:hAnsi="Arial" w:cs="Arial"/>
          <w:b/>
          <w:bCs/>
          <w:i w:val="0"/>
          <w:iCs w:val="0"/>
          <w:color w:val="000000" w:themeColor="text1"/>
          <w:sz w:val="24"/>
          <w:szCs w:val="24"/>
        </w:rPr>
      </w:pPr>
      <w:bookmarkStart w:name="_Ref227882347" w:id="5"/>
      <w:r w:rsidRPr="009B742B">
        <w:rPr>
          <w:rFonts w:ascii="Arial" w:hAnsi="Arial" w:cs="Arial"/>
          <w:b/>
          <w:bCs/>
          <w:i w:val="0"/>
          <w:iCs w:val="0"/>
          <w:color w:val="000000" w:themeColor="text1"/>
          <w:sz w:val="24"/>
          <w:szCs w:val="24"/>
        </w:rPr>
        <w:t xml:space="preserve">Table </w:t>
      </w:r>
      <w:r w:rsidRPr="009B742B">
        <w:rPr>
          <w:rFonts w:ascii="Arial" w:hAnsi="Arial" w:cs="Arial"/>
          <w:b/>
          <w:bCs/>
          <w:i w:val="0"/>
          <w:iCs w:val="0"/>
          <w:color w:val="000000" w:themeColor="text1"/>
          <w:sz w:val="24"/>
          <w:szCs w:val="24"/>
        </w:rPr>
        <w:fldChar w:fldCharType="begin"/>
      </w:r>
      <w:r w:rsidRPr="009B742B">
        <w:rPr>
          <w:rFonts w:ascii="Arial" w:hAnsi="Arial" w:cs="Arial"/>
          <w:b/>
          <w:bCs/>
          <w:i w:val="0"/>
          <w:iCs w:val="0"/>
          <w:color w:val="000000" w:themeColor="text1"/>
          <w:sz w:val="24"/>
          <w:szCs w:val="24"/>
        </w:rPr>
        <w:instrText xml:space="preserve"> SEQ Table \* ARABIC </w:instrText>
      </w:r>
      <w:r w:rsidRPr="009B742B">
        <w:rPr>
          <w:rFonts w:ascii="Arial" w:hAnsi="Arial" w:cs="Arial"/>
          <w:b/>
          <w:bCs/>
          <w:i w:val="0"/>
          <w:iCs w:val="0"/>
          <w:color w:val="000000" w:themeColor="text1"/>
          <w:sz w:val="24"/>
          <w:szCs w:val="24"/>
        </w:rPr>
        <w:fldChar w:fldCharType="separate"/>
      </w:r>
      <w:r w:rsidR="00812C00">
        <w:rPr>
          <w:rFonts w:ascii="Arial" w:hAnsi="Arial" w:cs="Arial"/>
          <w:b/>
          <w:bCs/>
          <w:i w:val="0"/>
          <w:iCs w:val="0"/>
          <w:noProof/>
          <w:color w:val="000000" w:themeColor="text1"/>
          <w:sz w:val="24"/>
          <w:szCs w:val="24"/>
        </w:rPr>
        <w:t>6</w:t>
      </w:r>
      <w:r w:rsidRPr="009B742B">
        <w:rPr>
          <w:rFonts w:ascii="Arial" w:hAnsi="Arial" w:cs="Arial"/>
          <w:b/>
          <w:bCs/>
          <w:i w:val="0"/>
          <w:iCs w:val="0"/>
          <w:color w:val="000000" w:themeColor="text1"/>
          <w:sz w:val="24"/>
          <w:szCs w:val="24"/>
        </w:rPr>
        <w:fldChar w:fldCharType="end"/>
      </w:r>
      <w:bookmarkEnd w:id="5"/>
      <w:r w:rsidRPr="009B742B">
        <w:rPr>
          <w:rFonts w:ascii="Arial" w:hAnsi="Arial" w:cs="Arial"/>
          <w:b/>
          <w:bCs/>
          <w:i w:val="0"/>
          <w:iCs w:val="0"/>
          <w:color w:val="000000" w:themeColor="text1"/>
          <w:sz w:val="24"/>
          <w:szCs w:val="24"/>
        </w:rPr>
        <w:t xml:space="preserve">: </w:t>
      </w:r>
      <w:r w:rsidRPr="009B742B" w:rsidR="009B742B">
        <w:rPr>
          <w:rFonts w:ascii="Arial" w:hAnsi="Arial" w:cs="Arial"/>
          <w:b/>
          <w:bCs/>
          <w:i w:val="0"/>
          <w:iCs w:val="0"/>
          <w:color w:val="000000" w:themeColor="text1"/>
          <w:sz w:val="24"/>
          <w:szCs w:val="24"/>
        </w:rPr>
        <w:t xml:space="preserve">Summary of appraisal limitations of </w:t>
      </w:r>
      <w:r w:rsidR="00D74857">
        <w:rPr>
          <w:rFonts w:ascii="Arial" w:hAnsi="Arial" w:cs="Arial"/>
          <w:b/>
          <w:bCs/>
          <w:i w:val="0"/>
          <w:iCs w:val="0"/>
          <w:color w:val="000000" w:themeColor="text1"/>
          <w:sz w:val="24"/>
          <w:szCs w:val="24"/>
        </w:rPr>
        <w:t>RPSFTM</w:t>
      </w:r>
      <w:r w:rsidRPr="009B742B" w:rsidR="009B742B">
        <w:rPr>
          <w:rFonts w:ascii="Arial" w:hAnsi="Arial" w:cs="Arial"/>
          <w:b/>
          <w:bCs/>
          <w:i w:val="0"/>
          <w:iCs w:val="0"/>
          <w:color w:val="000000" w:themeColor="text1"/>
          <w:sz w:val="24"/>
          <w:szCs w:val="24"/>
        </w:rPr>
        <w:t xml:space="preserve"> crossover analysis</w:t>
      </w:r>
    </w:p>
    <w:tbl>
      <w:tblPr>
        <w:tblStyle w:val="TableGrid"/>
        <w:tblW w:w="9067" w:type="dxa"/>
        <w:tblLook w:val="04A0" w:firstRow="1" w:lastRow="0" w:firstColumn="1" w:lastColumn="0" w:noHBand="0" w:noVBand="1"/>
      </w:tblPr>
      <w:tblGrid>
        <w:gridCol w:w="4407"/>
        <w:gridCol w:w="4660"/>
      </w:tblGrid>
      <w:tr w:rsidRPr="00E6160D" w:rsidR="004D4733" w:rsidTr="00EB2CBA" w14:paraId="040FC327" w14:textId="77777777">
        <w:tc>
          <w:tcPr>
            <w:tcW w:w="4407" w:type="dxa"/>
            <w:shd w:val="clear" w:color="auto" w:fill="D9D9D9" w:themeFill="background1" w:themeFillShade="D9"/>
            <w:hideMark/>
          </w:tcPr>
          <w:p w:rsidRPr="00E6160D" w:rsidR="00E6160D" w:rsidP="00E6160D" w:rsidRDefault="00E6160D" w14:paraId="632F6BC6" w14:textId="77777777">
            <w:pPr>
              <w:spacing w:before="120" w:line="360" w:lineRule="auto"/>
              <w:rPr>
                <w:rFonts w:ascii="Arial" w:hAnsi="Arial" w:cs="Arial"/>
                <w:b/>
                <w:bCs/>
                <w:noProof/>
                <w:sz w:val="20"/>
                <w:szCs w:val="20"/>
                <w:lang w:val="en-GB"/>
              </w:rPr>
            </w:pPr>
            <w:r w:rsidRPr="00E6160D">
              <w:rPr>
                <w:rFonts w:ascii="Arial" w:hAnsi="Arial" w:cs="Arial"/>
                <w:b/>
                <w:bCs/>
                <w:noProof/>
                <w:sz w:val="20"/>
                <w:szCs w:val="20"/>
                <w:lang w:val="en-GB"/>
              </w:rPr>
              <w:t>Limitation of RPSFTM methodology</w:t>
            </w:r>
          </w:p>
        </w:tc>
        <w:tc>
          <w:tcPr>
            <w:tcW w:w="4660" w:type="dxa"/>
            <w:shd w:val="clear" w:color="auto" w:fill="D9D9D9" w:themeFill="background1" w:themeFillShade="D9"/>
            <w:hideMark/>
          </w:tcPr>
          <w:p w:rsidRPr="00E6160D" w:rsidR="00E6160D" w:rsidP="00E6160D" w:rsidRDefault="00E6160D" w14:paraId="2D467BFF" w14:textId="77777777">
            <w:pPr>
              <w:spacing w:before="120" w:line="360" w:lineRule="auto"/>
              <w:rPr>
                <w:rFonts w:ascii="Arial" w:hAnsi="Arial" w:cs="Arial"/>
                <w:b/>
                <w:bCs/>
                <w:noProof/>
                <w:sz w:val="20"/>
                <w:szCs w:val="20"/>
                <w:lang w:val="en-GB"/>
              </w:rPr>
            </w:pPr>
            <w:r w:rsidRPr="00E6160D">
              <w:rPr>
                <w:rFonts w:ascii="Arial" w:hAnsi="Arial" w:cs="Arial"/>
                <w:b/>
                <w:bCs/>
                <w:noProof/>
                <w:sz w:val="20"/>
                <w:szCs w:val="20"/>
                <w:lang w:val="en-GB"/>
              </w:rPr>
              <w:t>Mitigation provided by the EAG</w:t>
            </w:r>
          </w:p>
        </w:tc>
      </w:tr>
      <w:tr w:rsidRPr="00E6160D" w:rsidR="004D4733" w:rsidTr="00235B3E" w14:paraId="633CA311" w14:textId="77777777">
        <w:tc>
          <w:tcPr>
            <w:tcW w:w="4407" w:type="dxa"/>
            <w:hideMark/>
          </w:tcPr>
          <w:p w:rsidRPr="00E6160D" w:rsidR="00E6160D" w:rsidP="000657E8" w:rsidRDefault="00E6160D" w14:paraId="6BBE56A7" w14:textId="16719ADA">
            <w:pPr>
              <w:spacing w:before="120" w:line="360" w:lineRule="auto"/>
              <w:jc w:val="left"/>
              <w:rPr>
                <w:rFonts w:ascii="Arial" w:hAnsi="Arial" w:cs="Arial"/>
                <w:noProof/>
                <w:sz w:val="20"/>
                <w:szCs w:val="20"/>
                <w:lang w:val="en-GB"/>
              </w:rPr>
            </w:pPr>
            <w:r w:rsidRPr="00E6160D">
              <w:rPr>
                <w:rFonts w:ascii="Arial" w:hAnsi="Arial" w:cs="Arial"/>
                <w:noProof/>
                <w:sz w:val="20"/>
                <w:szCs w:val="20"/>
                <w:lang w:val="en-GB"/>
              </w:rPr>
              <w:t>RPSFTM becomes less reliable when the ITT hazard ratio is close to 1 because there is little observed difference in survival between treatment arms.</w:t>
            </w:r>
            <w:r w:rsidR="00646A37">
              <w:rPr>
                <w:rStyle w:val="FootnoteReference"/>
                <w:rFonts w:ascii="Arial" w:hAnsi="Arial" w:cs="Arial"/>
                <w:noProof/>
                <w:sz w:val="20"/>
                <w:szCs w:val="20"/>
                <w:lang w:val="en-GB"/>
              </w:rPr>
              <w:footnoteReference w:id="19"/>
            </w:r>
            <w:r w:rsidRPr="00E6160D">
              <w:rPr>
                <w:rFonts w:ascii="Arial" w:hAnsi="Arial" w:cs="Arial"/>
                <w:noProof/>
                <w:sz w:val="20"/>
                <w:szCs w:val="20"/>
                <w:lang w:val="en-GB"/>
              </w:rPr>
              <w:t xml:space="preserve"> As a result, the method may estimate clinically implausible results (e.g.</w:t>
            </w:r>
            <w:r w:rsidR="006D0856">
              <w:rPr>
                <w:rFonts w:ascii="Arial" w:hAnsi="Arial" w:cs="Arial"/>
                <w:noProof/>
                <w:sz w:val="20"/>
                <w:szCs w:val="20"/>
                <w:lang w:val="en-GB"/>
              </w:rPr>
              <w:t xml:space="preserve"> </w:t>
            </w:r>
            <w:r w:rsidRPr="00E6160D">
              <w:rPr>
                <w:rFonts w:ascii="Arial" w:hAnsi="Arial" w:cs="Arial"/>
                <w:noProof/>
                <w:sz w:val="20"/>
                <w:szCs w:val="20"/>
                <w:lang w:val="en-GB"/>
              </w:rPr>
              <w:t>hazard ratios favouring placebo over</w:t>
            </w:r>
            <w:r w:rsidR="00FD1E2D">
              <w:rPr>
                <w:rFonts w:ascii="Arial" w:hAnsi="Arial" w:cs="Arial"/>
                <w:noProof/>
                <w:sz w:val="20"/>
                <w:szCs w:val="20"/>
                <w:lang w:val="en-GB"/>
              </w:rPr>
              <w:t xml:space="preserve"> </w:t>
            </w:r>
            <w:r w:rsidRPr="00E6160D">
              <w:rPr>
                <w:rFonts w:ascii="Arial" w:hAnsi="Arial" w:cs="Arial"/>
                <w:noProof/>
                <w:sz w:val="20"/>
                <w:szCs w:val="20"/>
                <w:lang w:val="en-GB"/>
              </w:rPr>
              <w:t>active treatment) regardless of any true underlying benefit</w:t>
            </w:r>
          </w:p>
        </w:tc>
        <w:tc>
          <w:tcPr>
            <w:tcW w:w="4660" w:type="dxa"/>
          </w:tcPr>
          <w:p w:rsidRPr="00E6160D" w:rsidR="00E6160D" w:rsidP="000657E8" w:rsidRDefault="00EC0AE4" w14:paraId="000F3A4F" w14:textId="0A4D67EB">
            <w:pPr>
              <w:spacing w:before="120" w:line="360" w:lineRule="auto"/>
              <w:jc w:val="left"/>
              <w:rPr>
                <w:rFonts w:ascii="Arial" w:hAnsi="Arial" w:cs="Arial"/>
                <w:noProof/>
                <w:sz w:val="20"/>
                <w:szCs w:val="20"/>
                <w:lang w:val="en-GB"/>
              </w:rPr>
            </w:pPr>
            <w:r w:rsidRPr="00DE1F74">
              <w:rPr>
                <w:rFonts w:ascii="Arial" w:hAnsi="Arial" w:cs="Arial"/>
                <w:noProof/>
                <w:sz w:val="20"/>
                <w:szCs w:val="20"/>
                <w:lang w:val="en-GB"/>
              </w:rPr>
              <w:t>No mitigation provided</w:t>
            </w:r>
          </w:p>
        </w:tc>
      </w:tr>
      <w:tr w:rsidRPr="00E6160D" w:rsidR="004D4733" w:rsidTr="00235B3E" w14:paraId="26EE6B99" w14:textId="77777777">
        <w:tc>
          <w:tcPr>
            <w:tcW w:w="4407" w:type="dxa"/>
            <w:hideMark/>
          </w:tcPr>
          <w:p w:rsidRPr="00E6160D" w:rsidR="00E6160D" w:rsidP="000657E8" w:rsidRDefault="00E6160D" w14:paraId="2848B020" w14:textId="131C1148">
            <w:pPr>
              <w:spacing w:before="120" w:line="360" w:lineRule="auto"/>
              <w:jc w:val="left"/>
              <w:rPr>
                <w:rFonts w:ascii="Arial" w:hAnsi="Arial" w:cs="Arial"/>
                <w:noProof/>
                <w:sz w:val="20"/>
                <w:szCs w:val="20"/>
                <w:lang w:val="en-GB"/>
              </w:rPr>
            </w:pPr>
            <w:r w:rsidRPr="00E6160D">
              <w:rPr>
                <w:rFonts w:ascii="Arial" w:hAnsi="Arial" w:cs="Arial"/>
                <w:noProof/>
                <w:sz w:val="20"/>
                <w:szCs w:val="20"/>
                <w:lang w:val="en-GB"/>
              </w:rPr>
              <w:t xml:space="preserve">The RPSFTM produces clinically </w:t>
            </w:r>
            <w:r w:rsidRPr="00DE1F74" w:rsidR="000657E8">
              <w:rPr>
                <w:rFonts w:ascii="Arial" w:hAnsi="Arial" w:cs="Arial"/>
                <w:noProof/>
                <w:sz w:val="20"/>
                <w:szCs w:val="20"/>
                <w:lang w:val="en-GB"/>
              </w:rPr>
              <w:t>im</w:t>
            </w:r>
            <w:r w:rsidRPr="00E6160D">
              <w:rPr>
                <w:rFonts w:ascii="Arial" w:hAnsi="Arial" w:cs="Arial"/>
                <w:noProof/>
                <w:sz w:val="20"/>
                <w:szCs w:val="20"/>
                <w:lang w:val="en-GB"/>
              </w:rPr>
              <w:t>plausible results</w:t>
            </w:r>
          </w:p>
        </w:tc>
        <w:tc>
          <w:tcPr>
            <w:tcW w:w="4660" w:type="dxa"/>
            <w:hideMark/>
          </w:tcPr>
          <w:p w:rsidRPr="00E6160D" w:rsidR="00E6160D" w:rsidP="000657E8" w:rsidRDefault="00E6160D" w14:paraId="079980CA" w14:textId="77777777">
            <w:pPr>
              <w:spacing w:before="120" w:line="360" w:lineRule="auto"/>
              <w:jc w:val="left"/>
              <w:rPr>
                <w:rFonts w:ascii="Arial" w:hAnsi="Arial" w:cs="Arial"/>
                <w:noProof/>
                <w:sz w:val="20"/>
                <w:szCs w:val="20"/>
                <w:lang w:val="en-GB"/>
              </w:rPr>
            </w:pPr>
            <w:r w:rsidRPr="00E6160D">
              <w:rPr>
                <w:rFonts w:ascii="Arial" w:hAnsi="Arial" w:cs="Arial"/>
                <w:noProof/>
                <w:sz w:val="20"/>
                <w:szCs w:val="20"/>
                <w:lang w:val="en-GB"/>
              </w:rPr>
              <w:t>The company’s argument that the RPSFTM methodology should be rejected on the grounds of clinical implausibility is at odds with the pNET data which shows no benefit regardless of crossover adjustment used</w:t>
            </w:r>
          </w:p>
        </w:tc>
      </w:tr>
    </w:tbl>
    <w:p w:rsidRPr="00204EB5" w:rsidR="00A57A83" w:rsidP="00204EB5" w:rsidRDefault="00694469" w14:paraId="17EA19AF" w14:textId="01CA0243">
      <w:pPr>
        <w:spacing w:line="240" w:lineRule="auto"/>
        <w:rPr>
          <w:rFonts w:ascii="Arial" w:hAnsi="Arial" w:cs="Arial"/>
          <w:sz w:val="18"/>
          <w:szCs w:val="18"/>
          <w:lang w:val="en-US"/>
        </w:rPr>
      </w:pPr>
      <w:r w:rsidRPr="00204EB5">
        <w:rPr>
          <w:rFonts w:ascii="Arial" w:hAnsi="Arial" w:cs="Arial"/>
          <w:color w:val="auto"/>
          <w:sz w:val="18"/>
          <w:szCs w:val="18"/>
        </w:rPr>
        <w:t>EAG: Evidence Assessment Group; ITT: Intention to treat; RPSFTM: Rank Preserving Structural Failure Time Model</w:t>
      </w:r>
    </w:p>
    <w:p w:rsidR="0028625E" w:rsidP="00E6160D" w:rsidRDefault="00A57A83" w14:paraId="7C4B2C32" w14:textId="0FB15CB6">
      <w:pPr>
        <w:spacing w:before="120" w:line="360" w:lineRule="auto"/>
        <w:rPr>
          <w:rFonts w:ascii="Arial" w:hAnsi="Arial" w:cs="Arial"/>
          <w:sz w:val="24"/>
          <w:szCs w:val="24"/>
        </w:rPr>
      </w:pPr>
      <w:r>
        <w:rPr>
          <w:rFonts w:ascii="Arial" w:hAnsi="Arial" w:cs="Arial"/>
          <w:sz w:val="24"/>
          <w:szCs w:val="24"/>
          <w:lang w:val="en-US"/>
        </w:rPr>
        <w:t xml:space="preserve">The Company </w:t>
      </w:r>
      <w:r w:rsidR="00B10EC6">
        <w:rPr>
          <w:rFonts w:ascii="Arial" w:hAnsi="Arial" w:cs="Arial"/>
          <w:sz w:val="24"/>
          <w:szCs w:val="24"/>
          <w:lang w:val="en-US"/>
        </w:rPr>
        <w:t xml:space="preserve">contests the Appraisal Committee’s claim </w:t>
      </w:r>
      <w:r w:rsidR="00087B20">
        <w:rPr>
          <w:rFonts w:ascii="Arial" w:hAnsi="Arial" w:cs="Arial"/>
          <w:sz w:val="24"/>
          <w:szCs w:val="24"/>
          <w:lang w:val="en-US"/>
        </w:rPr>
        <w:t>that</w:t>
      </w:r>
      <w:r w:rsidRPr="00087B20" w:rsidR="00087B20">
        <w:rPr>
          <w:rFonts w:ascii="Arial" w:hAnsi="Arial" w:cs="Arial"/>
          <w:sz w:val="24"/>
          <w:szCs w:val="24"/>
          <w:lang w:val="en-US"/>
        </w:rPr>
        <w:t xml:space="preserve"> neither method could be considered better than the other</w:t>
      </w:r>
      <w:r w:rsidR="0036432F">
        <w:rPr>
          <w:rFonts w:ascii="Arial" w:hAnsi="Arial" w:cs="Arial"/>
          <w:sz w:val="24"/>
          <w:szCs w:val="24"/>
          <w:lang w:val="en-US"/>
        </w:rPr>
        <w:t xml:space="preserve"> as this </w:t>
      </w:r>
      <w:r w:rsidRPr="64389DBB" w:rsidR="0905B2A4">
        <w:rPr>
          <w:rFonts w:ascii="Arial" w:hAnsi="Arial" w:cs="Arial"/>
          <w:sz w:val="24"/>
          <w:szCs w:val="24"/>
          <w:lang w:val="en-US"/>
        </w:rPr>
        <w:t xml:space="preserve">falsely </w:t>
      </w:r>
      <w:r w:rsidRPr="64389DBB" w:rsidR="0036432F">
        <w:rPr>
          <w:rFonts w:ascii="Arial" w:hAnsi="Arial" w:cs="Arial"/>
          <w:sz w:val="24"/>
          <w:szCs w:val="24"/>
          <w:lang w:val="en-US"/>
        </w:rPr>
        <w:t>implies</w:t>
      </w:r>
      <w:r w:rsidR="0036432F">
        <w:rPr>
          <w:rFonts w:ascii="Arial" w:hAnsi="Arial" w:cs="Arial"/>
          <w:sz w:val="24"/>
          <w:szCs w:val="24"/>
          <w:lang w:val="en-US"/>
        </w:rPr>
        <w:t xml:space="preserve"> equivalence </w:t>
      </w:r>
      <w:r w:rsidRPr="0035464A" w:rsidR="0036432F">
        <w:rPr>
          <w:rFonts w:ascii="Arial" w:hAnsi="Arial" w:cs="Arial"/>
          <w:sz w:val="24"/>
          <w:szCs w:val="24"/>
        </w:rPr>
        <w:t>of the limitations of each methodology</w:t>
      </w:r>
      <w:r w:rsidR="0036432F">
        <w:rPr>
          <w:rFonts w:ascii="Arial" w:hAnsi="Arial" w:cs="Arial"/>
          <w:sz w:val="24"/>
          <w:szCs w:val="24"/>
        </w:rPr>
        <w:t>.</w:t>
      </w:r>
      <w:r w:rsidR="0009699D">
        <w:rPr>
          <w:rFonts w:ascii="Arial" w:hAnsi="Arial" w:cs="Arial"/>
          <w:sz w:val="24"/>
          <w:szCs w:val="24"/>
        </w:rPr>
        <w:t xml:space="preserve"> </w:t>
      </w:r>
    </w:p>
    <w:p w:rsidRPr="003E121B" w:rsidR="002E0199" w:rsidP="002E0199" w:rsidRDefault="0009699D" w14:paraId="026CBC4E" w14:textId="223E7687">
      <w:pPr>
        <w:spacing w:before="120" w:line="360" w:lineRule="auto"/>
        <w:rPr>
          <w:rFonts w:ascii="Arial" w:hAnsi="Arial" w:cs="Arial"/>
          <w:sz w:val="24"/>
          <w:szCs w:val="24"/>
          <w:lang w:val="en-US"/>
        </w:rPr>
      </w:pPr>
      <w:r>
        <w:rPr>
          <w:rFonts w:ascii="Arial" w:hAnsi="Arial" w:cs="Arial"/>
          <w:sz w:val="24"/>
          <w:szCs w:val="24"/>
        </w:rPr>
        <w:t>It</w:t>
      </w:r>
      <w:r w:rsidR="001D2256">
        <w:rPr>
          <w:rFonts w:ascii="Arial" w:hAnsi="Arial" w:cs="Arial"/>
          <w:sz w:val="24"/>
          <w:szCs w:val="24"/>
        </w:rPr>
        <w:t xml:space="preserve"> i</w:t>
      </w:r>
      <w:r>
        <w:rPr>
          <w:rFonts w:ascii="Arial" w:hAnsi="Arial" w:cs="Arial"/>
          <w:sz w:val="24"/>
          <w:szCs w:val="24"/>
        </w:rPr>
        <w:t xml:space="preserve">s noted that </w:t>
      </w:r>
      <w:r w:rsidR="003E121B">
        <w:rPr>
          <w:rFonts w:ascii="Arial" w:hAnsi="Arial" w:cs="Arial"/>
          <w:sz w:val="24"/>
          <w:szCs w:val="24"/>
        </w:rPr>
        <w:t>t</w:t>
      </w:r>
      <w:r w:rsidR="00C41FB3">
        <w:rPr>
          <w:rFonts w:ascii="Arial" w:hAnsi="Arial" w:cs="Arial"/>
          <w:sz w:val="24"/>
          <w:szCs w:val="24"/>
        </w:rPr>
        <w:t xml:space="preserve">he </w:t>
      </w:r>
      <w:r w:rsidR="00926366">
        <w:rPr>
          <w:rFonts w:ascii="Arial" w:hAnsi="Arial" w:cs="Arial"/>
          <w:sz w:val="24"/>
          <w:szCs w:val="24"/>
        </w:rPr>
        <w:t>results of the IPCW align in direction and</w:t>
      </w:r>
      <w:r w:rsidR="00B1228C">
        <w:rPr>
          <w:rFonts w:ascii="Arial" w:hAnsi="Arial" w:cs="Arial"/>
          <w:sz w:val="24"/>
          <w:szCs w:val="24"/>
        </w:rPr>
        <w:t xml:space="preserve"> </w:t>
      </w:r>
      <w:r w:rsidR="006F1BA6">
        <w:rPr>
          <w:rFonts w:ascii="Arial" w:hAnsi="Arial" w:cs="Arial"/>
          <w:sz w:val="24"/>
          <w:szCs w:val="24"/>
        </w:rPr>
        <w:t>are comparable in</w:t>
      </w:r>
      <w:r w:rsidR="00926366">
        <w:rPr>
          <w:rFonts w:ascii="Arial" w:hAnsi="Arial" w:cs="Arial"/>
          <w:sz w:val="24"/>
          <w:szCs w:val="24"/>
        </w:rPr>
        <w:t xml:space="preserve"> magnitude to</w:t>
      </w:r>
      <w:r w:rsidR="007815BE">
        <w:rPr>
          <w:rFonts w:ascii="Arial" w:hAnsi="Arial" w:cs="Arial"/>
          <w:sz w:val="24"/>
          <w:szCs w:val="24"/>
        </w:rPr>
        <w:t xml:space="preserve"> views of the </w:t>
      </w:r>
      <w:r w:rsidR="00CA1193">
        <w:rPr>
          <w:rFonts w:ascii="Arial" w:hAnsi="Arial" w:cs="Arial"/>
          <w:sz w:val="24"/>
          <w:szCs w:val="24"/>
        </w:rPr>
        <w:t>11 clinical experts</w:t>
      </w:r>
      <w:r w:rsidR="007815BE">
        <w:rPr>
          <w:rFonts w:ascii="Arial" w:hAnsi="Arial" w:cs="Arial"/>
          <w:sz w:val="24"/>
          <w:szCs w:val="24"/>
        </w:rPr>
        <w:t xml:space="preserve"> </w:t>
      </w:r>
      <w:r w:rsidR="00814C1C">
        <w:rPr>
          <w:rFonts w:ascii="Arial" w:hAnsi="Arial" w:cs="Arial"/>
          <w:sz w:val="24"/>
          <w:szCs w:val="24"/>
        </w:rPr>
        <w:t>consulted across the appraisal (appeal point 2.</w:t>
      </w:r>
      <w:r w:rsidR="001D2256">
        <w:rPr>
          <w:rFonts w:ascii="Arial" w:hAnsi="Arial" w:cs="Arial"/>
          <w:sz w:val="24"/>
          <w:szCs w:val="24"/>
        </w:rPr>
        <w:t>2</w:t>
      </w:r>
      <w:r w:rsidR="00814C1C">
        <w:rPr>
          <w:rFonts w:ascii="Arial" w:hAnsi="Arial" w:cs="Arial"/>
          <w:sz w:val="24"/>
          <w:szCs w:val="24"/>
        </w:rPr>
        <w:t>).</w:t>
      </w:r>
      <w:r w:rsidR="003E6459">
        <w:rPr>
          <w:rFonts w:ascii="Arial" w:hAnsi="Arial" w:cs="Arial"/>
          <w:sz w:val="24"/>
          <w:szCs w:val="24"/>
        </w:rPr>
        <w:t xml:space="preserve"> </w:t>
      </w:r>
      <w:r w:rsidR="003E121B">
        <w:rPr>
          <w:rFonts w:ascii="Arial" w:hAnsi="Arial" w:cs="Arial"/>
          <w:sz w:val="24"/>
          <w:szCs w:val="24"/>
        </w:rPr>
        <w:t>Conversely, the</w:t>
      </w:r>
      <w:r w:rsidR="003E6459">
        <w:rPr>
          <w:rFonts w:ascii="Arial" w:hAnsi="Arial" w:cs="Arial"/>
          <w:sz w:val="24"/>
          <w:szCs w:val="24"/>
        </w:rPr>
        <w:t xml:space="preserve"> RPSFTM, produces a result </w:t>
      </w:r>
      <w:r w:rsidR="006A504E">
        <w:rPr>
          <w:rFonts w:ascii="Arial" w:hAnsi="Arial" w:cs="Arial"/>
          <w:sz w:val="24"/>
          <w:szCs w:val="24"/>
        </w:rPr>
        <w:t>favouring placebo which</w:t>
      </w:r>
      <w:r w:rsidR="009F65DE">
        <w:rPr>
          <w:rFonts w:ascii="Arial" w:hAnsi="Arial" w:cs="Arial"/>
          <w:sz w:val="24"/>
          <w:szCs w:val="24"/>
        </w:rPr>
        <w:t>,</w:t>
      </w:r>
      <w:r w:rsidR="006A504E">
        <w:rPr>
          <w:rFonts w:ascii="Arial" w:hAnsi="Arial" w:cs="Arial"/>
          <w:sz w:val="24"/>
          <w:szCs w:val="24"/>
        </w:rPr>
        <w:t xml:space="preserve"> in itself</w:t>
      </w:r>
      <w:r w:rsidR="009F65DE">
        <w:rPr>
          <w:rFonts w:ascii="Arial" w:hAnsi="Arial" w:cs="Arial"/>
          <w:sz w:val="24"/>
          <w:szCs w:val="24"/>
        </w:rPr>
        <w:t>,</w:t>
      </w:r>
      <w:r w:rsidR="006A504E">
        <w:rPr>
          <w:rFonts w:ascii="Arial" w:hAnsi="Arial" w:cs="Arial"/>
          <w:sz w:val="24"/>
          <w:szCs w:val="24"/>
        </w:rPr>
        <w:t xml:space="preserve"> is clinically implausible</w:t>
      </w:r>
      <w:r w:rsidR="008C5FCD">
        <w:rPr>
          <w:rFonts w:ascii="Arial" w:hAnsi="Arial" w:cs="Arial"/>
          <w:sz w:val="24"/>
          <w:szCs w:val="24"/>
        </w:rPr>
        <w:t xml:space="preserve"> and therefore unsound</w:t>
      </w:r>
      <w:r w:rsidR="00D5369B">
        <w:rPr>
          <w:rFonts w:ascii="Arial" w:hAnsi="Arial" w:cs="Arial"/>
          <w:sz w:val="24"/>
          <w:szCs w:val="24"/>
        </w:rPr>
        <w:t>.</w:t>
      </w:r>
      <w:r w:rsidR="00CD0593">
        <w:rPr>
          <w:rFonts w:ascii="Arial" w:hAnsi="Arial" w:cs="Arial"/>
          <w:sz w:val="24"/>
          <w:szCs w:val="24"/>
        </w:rPr>
        <w:t xml:space="preserve"> </w:t>
      </w:r>
      <w:r w:rsidR="00230793">
        <w:rPr>
          <w:rFonts w:ascii="Arial" w:hAnsi="Arial" w:cs="Arial"/>
          <w:sz w:val="24"/>
          <w:szCs w:val="24"/>
        </w:rPr>
        <w:t xml:space="preserve">Given the disparity in clinical plausibility between the IPCW and the RPSFTM, </w:t>
      </w:r>
      <w:r w:rsidRPr="00EF47C5" w:rsidR="005723D4">
        <w:rPr>
          <w:rFonts w:ascii="Arial" w:hAnsi="Arial" w:cs="Arial"/>
          <w:sz w:val="24"/>
          <w:szCs w:val="24"/>
        </w:rPr>
        <w:t>the two results</w:t>
      </w:r>
      <w:r w:rsidRPr="00EF47C5" w:rsidR="002E0199">
        <w:rPr>
          <w:rFonts w:ascii="Arial" w:hAnsi="Arial" w:cs="Arial"/>
          <w:sz w:val="24"/>
          <w:szCs w:val="24"/>
        </w:rPr>
        <w:t xml:space="preserve"> cannot reasonably be considered equivalent in their implications for decision-making</w:t>
      </w:r>
      <w:r w:rsidRPr="60F231A4" w:rsidR="297645B7">
        <w:rPr>
          <w:rFonts w:ascii="Arial" w:hAnsi="Arial" w:cs="Arial"/>
          <w:sz w:val="24"/>
          <w:szCs w:val="24"/>
        </w:rPr>
        <w:t xml:space="preserve"> </w:t>
      </w:r>
      <w:r w:rsidRPr="3174C303" w:rsidR="297645B7">
        <w:rPr>
          <w:rFonts w:ascii="Arial" w:hAnsi="Arial" w:cs="Arial"/>
          <w:sz w:val="24"/>
          <w:szCs w:val="24"/>
        </w:rPr>
        <w:t xml:space="preserve">by the </w:t>
      </w:r>
      <w:r w:rsidR="006C2FC6">
        <w:rPr>
          <w:rFonts w:ascii="Arial" w:hAnsi="Arial" w:cs="Arial"/>
          <w:sz w:val="24"/>
          <w:szCs w:val="24"/>
        </w:rPr>
        <w:t>Appraisal C</w:t>
      </w:r>
      <w:r w:rsidRPr="1FAD4063" w:rsidR="297645B7">
        <w:rPr>
          <w:rFonts w:ascii="Arial" w:hAnsi="Arial" w:cs="Arial"/>
          <w:sz w:val="24"/>
          <w:szCs w:val="24"/>
        </w:rPr>
        <w:t>ommittee</w:t>
      </w:r>
      <w:r w:rsidRPr="1FAD4063" w:rsidR="002E0199">
        <w:rPr>
          <w:rFonts w:ascii="Arial" w:hAnsi="Arial" w:cs="Arial"/>
          <w:sz w:val="24"/>
          <w:szCs w:val="24"/>
        </w:rPr>
        <w:t xml:space="preserve">. </w:t>
      </w:r>
      <w:r w:rsidR="00CA72B1">
        <w:rPr>
          <w:rFonts w:ascii="Arial" w:hAnsi="Arial" w:cs="Arial"/>
          <w:sz w:val="24"/>
          <w:szCs w:val="24"/>
        </w:rPr>
        <w:t>This false equivalence of the limitations of the methodologies directly impacts the Appraisal Committee’s interpretation of the data leading to an assumption of an OS HR=1.</w:t>
      </w:r>
    </w:p>
    <w:p w:rsidR="002E0199" w:rsidP="002E0199" w:rsidRDefault="002E0199" w14:paraId="2080B0F0" w14:textId="5A3B3CEC">
      <w:pPr>
        <w:spacing w:before="120" w:line="360" w:lineRule="auto"/>
        <w:rPr>
          <w:rFonts w:ascii="Arial" w:hAnsi="Arial" w:cs="Arial"/>
          <w:sz w:val="24"/>
          <w:szCs w:val="24"/>
        </w:rPr>
      </w:pPr>
      <w:r w:rsidRPr="0035464A">
        <w:rPr>
          <w:rFonts w:ascii="Arial" w:hAnsi="Arial" w:cs="Arial"/>
          <w:sz w:val="24"/>
          <w:szCs w:val="24"/>
        </w:rPr>
        <w:t>The EAG’s primary justification for using the RPSFTM is that the “</w:t>
      </w:r>
      <w:r w:rsidRPr="0035464A">
        <w:rPr>
          <w:rFonts w:ascii="Arial" w:hAnsi="Arial" w:cs="Arial"/>
          <w:i/>
          <w:iCs/>
          <w:sz w:val="24"/>
          <w:szCs w:val="24"/>
        </w:rPr>
        <w:t>EAG considers that the RPSFTM methodology is a reasonable approach that should be considered, especially as it gives a more conservative result than IPCW</w:t>
      </w:r>
      <w:r w:rsidRPr="0035464A">
        <w:rPr>
          <w:rFonts w:ascii="Arial" w:hAnsi="Arial" w:cs="Arial"/>
          <w:sz w:val="24"/>
          <w:szCs w:val="24"/>
        </w:rPr>
        <w:t>”</w:t>
      </w:r>
      <w:r w:rsidR="00460771">
        <w:rPr>
          <w:rFonts w:ascii="Arial" w:hAnsi="Arial" w:cs="Arial"/>
          <w:sz w:val="24"/>
          <w:szCs w:val="24"/>
        </w:rPr>
        <w:t xml:space="preserve"> (</w:t>
      </w:r>
      <w:r w:rsidRPr="00460771" w:rsidR="00460771">
        <w:rPr>
          <w:rFonts w:ascii="Arial" w:hAnsi="Arial" w:cs="Arial"/>
          <w:sz w:val="24"/>
          <w:szCs w:val="24"/>
        </w:rPr>
        <w:t xml:space="preserve">Addendum to EAG </w:t>
      </w:r>
      <w:r w:rsidR="00460771">
        <w:rPr>
          <w:rFonts w:ascii="Arial" w:hAnsi="Arial" w:cs="Arial"/>
          <w:sz w:val="24"/>
          <w:szCs w:val="24"/>
        </w:rPr>
        <w:t>R</w:t>
      </w:r>
      <w:r w:rsidRPr="00460771" w:rsidR="00460771">
        <w:rPr>
          <w:rFonts w:ascii="Arial" w:hAnsi="Arial" w:cs="Arial"/>
          <w:sz w:val="24"/>
          <w:szCs w:val="24"/>
        </w:rPr>
        <w:t xml:space="preserve">esponse to </w:t>
      </w:r>
      <w:r w:rsidR="00460771">
        <w:rPr>
          <w:rFonts w:ascii="Arial" w:hAnsi="Arial" w:cs="Arial"/>
          <w:sz w:val="24"/>
          <w:szCs w:val="24"/>
        </w:rPr>
        <w:t>D</w:t>
      </w:r>
      <w:r w:rsidRPr="00460771" w:rsidR="00460771">
        <w:rPr>
          <w:rFonts w:ascii="Arial" w:hAnsi="Arial" w:cs="Arial"/>
          <w:sz w:val="24"/>
          <w:szCs w:val="24"/>
        </w:rPr>
        <w:t xml:space="preserve">raft </w:t>
      </w:r>
      <w:r w:rsidR="00460771">
        <w:rPr>
          <w:rFonts w:ascii="Arial" w:hAnsi="Arial" w:cs="Arial"/>
          <w:sz w:val="24"/>
          <w:szCs w:val="24"/>
        </w:rPr>
        <w:t>G</w:t>
      </w:r>
      <w:r w:rsidRPr="00460771" w:rsidR="00460771">
        <w:rPr>
          <w:rFonts w:ascii="Arial" w:hAnsi="Arial" w:cs="Arial"/>
          <w:sz w:val="24"/>
          <w:szCs w:val="24"/>
        </w:rPr>
        <w:t>uidance</w:t>
      </w:r>
      <w:r w:rsidR="00460771">
        <w:rPr>
          <w:rFonts w:ascii="Arial" w:hAnsi="Arial" w:cs="Arial"/>
          <w:sz w:val="24"/>
          <w:szCs w:val="24"/>
        </w:rPr>
        <w:t>, page 2)</w:t>
      </w:r>
      <w:r>
        <w:rPr>
          <w:rFonts w:ascii="Arial" w:hAnsi="Arial" w:cs="Arial"/>
          <w:sz w:val="24"/>
          <w:szCs w:val="24"/>
        </w:rPr>
        <w:t xml:space="preserve">, and that </w:t>
      </w:r>
      <w:r w:rsidRPr="005B3612">
        <w:rPr>
          <w:rFonts w:ascii="Arial" w:hAnsi="Arial" w:cs="Arial"/>
          <w:i/>
          <w:iCs/>
          <w:sz w:val="24"/>
          <w:szCs w:val="24"/>
        </w:rPr>
        <w:t>“limitations in RPSFTM</w:t>
      </w:r>
      <w:r w:rsidR="00110296">
        <w:rPr>
          <w:rFonts w:ascii="Arial" w:hAnsi="Arial" w:cs="Arial"/>
          <w:i/>
          <w:iCs/>
          <w:sz w:val="24"/>
          <w:szCs w:val="24"/>
        </w:rPr>
        <w:t xml:space="preserve"> </w:t>
      </w:r>
      <w:r w:rsidR="00110296">
        <w:rPr>
          <w:rFonts w:ascii="Arial" w:hAnsi="Arial" w:cs="Arial"/>
          <w:sz w:val="24"/>
          <w:szCs w:val="24"/>
        </w:rPr>
        <w:t>[are]</w:t>
      </w:r>
      <w:r w:rsidRPr="005B3612">
        <w:rPr>
          <w:rFonts w:ascii="Arial" w:hAnsi="Arial" w:cs="Arial"/>
          <w:i/>
          <w:iCs/>
          <w:sz w:val="24"/>
          <w:szCs w:val="24"/>
        </w:rPr>
        <w:t xml:space="preserve"> no more concerning than IPCW but </w:t>
      </w:r>
      <w:r w:rsidR="00C01242">
        <w:rPr>
          <w:rFonts w:ascii="Arial" w:hAnsi="Arial" w:cs="Arial"/>
          <w:sz w:val="24"/>
          <w:szCs w:val="24"/>
        </w:rPr>
        <w:t xml:space="preserve">[it] </w:t>
      </w:r>
      <w:r w:rsidRPr="005B3612">
        <w:rPr>
          <w:rFonts w:ascii="Arial" w:hAnsi="Arial" w:cs="Arial"/>
          <w:i/>
          <w:iCs/>
          <w:sz w:val="24"/>
          <w:szCs w:val="24"/>
        </w:rPr>
        <w:t>considers RPSFTM more conservative around the estimated treatment effect</w:t>
      </w:r>
      <w:r w:rsidRPr="00BB07F6">
        <w:rPr>
          <w:rFonts w:ascii="Arial" w:hAnsi="Arial" w:cs="Arial"/>
          <w:sz w:val="24"/>
          <w:szCs w:val="24"/>
        </w:rPr>
        <w:t>”</w:t>
      </w:r>
      <w:r w:rsidRPr="00BB07F6" w:rsidR="005B3612">
        <w:rPr>
          <w:rFonts w:ascii="Arial" w:hAnsi="Arial" w:cs="Arial"/>
          <w:sz w:val="24"/>
          <w:szCs w:val="24"/>
        </w:rPr>
        <w:t xml:space="preserve"> (Second Appraisal Committee Mee</w:t>
      </w:r>
      <w:r w:rsidRPr="00BB07F6" w:rsidR="00061145">
        <w:rPr>
          <w:rFonts w:ascii="Arial" w:hAnsi="Arial" w:cs="Arial"/>
          <w:sz w:val="24"/>
          <w:szCs w:val="24"/>
        </w:rPr>
        <w:t>ting, Sli</w:t>
      </w:r>
      <w:r w:rsidRPr="00BB07F6" w:rsidR="00BB07F6">
        <w:rPr>
          <w:rFonts w:ascii="Arial" w:hAnsi="Arial" w:cs="Arial"/>
          <w:sz w:val="24"/>
          <w:szCs w:val="24"/>
        </w:rPr>
        <w:t>de 11)</w:t>
      </w:r>
      <w:r w:rsidRPr="00BB07F6">
        <w:rPr>
          <w:rFonts w:ascii="Arial" w:hAnsi="Arial" w:cs="Arial"/>
          <w:sz w:val="24"/>
          <w:szCs w:val="24"/>
        </w:rPr>
        <w:t>.</w:t>
      </w:r>
      <w:r>
        <w:rPr>
          <w:rFonts w:ascii="Arial" w:hAnsi="Arial" w:cs="Arial"/>
          <w:sz w:val="24"/>
          <w:szCs w:val="24"/>
        </w:rPr>
        <w:t xml:space="preserve"> </w:t>
      </w:r>
      <w:r w:rsidRPr="0035464A">
        <w:rPr>
          <w:rFonts w:ascii="Arial" w:hAnsi="Arial" w:cs="Arial"/>
          <w:sz w:val="24"/>
          <w:szCs w:val="24"/>
        </w:rPr>
        <w:t>The company considers it unacceptable that the EAG prefers a methodology “</w:t>
      </w:r>
      <w:r w:rsidRPr="0035464A">
        <w:rPr>
          <w:rFonts w:ascii="Arial" w:hAnsi="Arial" w:cs="Arial"/>
          <w:i/>
          <w:iCs/>
          <w:sz w:val="24"/>
          <w:szCs w:val="24"/>
        </w:rPr>
        <w:t>especially</w:t>
      </w:r>
      <w:r w:rsidRPr="0035464A">
        <w:rPr>
          <w:rFonts w:ascii="Arial" w:hAnsi="Arial" w:cs="Arial"/>
          <w:sz w:val="24"/>
          <w:szCs w:val="24"/>
        </w:rPr>
        <w:t>” because it gives a more conservative result, particularly when this is in direct contradiction to the unanimous view of 11 clinical experts (as outlined in appeal point 2.2). This approach has resulted in a systematic bias against cabozantinib.</w:t>
      </w:r>
    </w:p>
    <w:p w:rsidR="00635817" w:rsidP="002E0199" w:rsidRDefault="00E525EF" w14:paraId="4D597D19" w14:textId="4D958F68">
      <w:pPr>
        <w:spacing w:before="120" w:line="360" w:lineRule="auto"/>
        <w:rPr>
          <w:rFonts w:ascii="Arial" w:hAnsi="Arial" w:cs="Arial"/>
          <w:sz w:val="24"/>
          <w:szCs w:val="24"/>
        </w:rPr>
      </w:pPr>
      <w:r>
        <w:rPr>
          <w:rFonts w:ascii="Arial" w:hAnsi="Arial" w:cs="Arial"/>
          <w:sz w:val="24"/>
          <w:szCs w:val="24"/>
        </w:rPr>
        <w:t>Based on the totality of evidence, the</w:t>
      </w:r>
      <w:r w:rsidR="00EE418C">
        <w:rPr>
          <w:rFonts w:ascii="Arial" w:hAnsi="Arial" w:cs="Arial"/>
          <w:sz w:val="24"/>
          <w:szCs w:val="24"/>
        </w:rPr>
        <w:t xml:space="preserve"> Appraisal Committee should </w:t>
      </w:r>
      <w:r w:rsidR="009F57B4">
        <w:rPr>
          <w:rFonts w:ascii="Arial" w:hAnsi="Arial" w:cs="Arial"/>
          <w:sz w:val="24"/>
          <w:szCs w:val="24"/>
        </w:rPr>
        <w:t>re-assess</w:t>
      </w:r>
      <w:r w:rsidR="00EE418C">
        <w:rPr>
          <w:rFonts w:ascii="Arial" w:hAnsi="Arial" w:cs="Arial"/>
          <w:sz w:val="24"/>
          <w:szCs w:val="24"/>
        </w:rPr>
        <w:t xml:space="preserve"> </w:t>
      </w:r>
      <w:r w:rsidR="00EA5831">
        <w:rPr>
          <w:rFonts w:ascii="Arial" w:hAnsi="Arial" w:cs="Arial"/>
          <w:sz w:val="24"/>
          <w:szCs w:val="24"/>
        </w:rPr>
        <w:t xml:space="preserve">the methodological limitations </w:t>
      </w:r>
      <w:r w:rsidR="00833A50">
        <w:rPr>
          <w:rFonts w:ascii="Arial" w:hAnsi="Arial" w:cs="Arial"/>
          <w:sz w:val="24"/>
          <w:szCs w:val="24"/>
        </w:rPr>
        <w:t xml:space="preserve">of both the IPCW and the RPSFTM methodologies </w:t>
      </w:r>
      <w:r w:rsidR="004D50CB">
        <w:rPr>
          <w:rFonts w:ascii="Arial" w:hAnsi="Arial" w:cs="Arial"/>
          <w:sz w:val="24"/>
          <w:szCs w:val="24"/>
        </w:rPr>
        <w:t>and rec</w:t>
      </w:r>
      <w:r w:rsidR="00050FDA">
        <w:rPr>
          <w:rFonts w:ascii="Arial" w:hAnsi="Arial" w:cs="Arial"/>
          <w:sz w:val="24"/>
          <w:szCs w:val="24"/>
        </w:rPr>
        <w:t>onsider the conclusion</w:t>
      </w:r>
      <w:r>
        <w:rPr>
          <w:rFonts w:ascii="Arial" w:hAnsi="Arial" w:cs="Arial"/>
          <w:sz w:val="24"/>
          <w:szCs w:val="24"/>
        </w:rPr>
        <w:t xml:space="preserve"> that neither methodology can be considered superior. Failing that, </w:t>
      </w:r>
      <w:r w:rsidR="00243FFD">
        <w:rPr>
          <w:rFonts w:ascii="Arial" w:hAnsi="Arial" w:cs="Arial"/>
          <w:sz w:val="24"/>
          <w:szCs w:val="24"/>
        </w:rPr>
        <w:t xml:space="preserve">as a conservative </w:t>
      </w:r>
      <w:r w:rsidR="000D6272">
        <w:rPr>
          <w:rFonts w:ascii="Arial" w:hAnsi="Arial" w:cs="Arial"/>
          <w:sz w:val="24"/>
          <w:szCs w:val="24"/>
        </w:rPr>
        <w:t>assumption</w:t>
      </w:r>
      <w:r w:rsidR="009F65DE">
        <w:rPr>
          <w:rFonts w:ascii="Arial" w:hAnsi="Arial" w:cs="Arial"/>
          <w:sz w:val="24"/>
          <w:szCs w:val="24"/>
        </w:rPr>
        <w:t xml:space="preserve"> -</w:t>
      </w:r>
      <w:r w:rsidR="000D6272">
        <w:rPr>
          <w:rFonts w:ascii="Arial" w:hAnsi="Arial" w:cs="Arial"/>
          <w:sz w:val="24"/>
          <w:szCs w:val="24"/>
        </w:rPr>
        <w:t xml:space="preserve"> </w:t>
      </w:r>
      <w:r w:rsidR="00040A03">
        <w:rPr>
          <w:rFonts w:ascii="Arial" w:hAnsi="Arial" w:cs="Arial"/>
          <w:sz w:val="24"/>
          <w:szCs w:val="24"/>
        </w:rPr>
        <w:t xml:space="preserve">if neither methodology is considered superior </w:t>
      </w:r>
      <w:r w:rsidR="008109FC">
        <w:rPr>
          <w:rFonts w:ascii="Arial" w:hAnsi="Arial" w:cs="Arial"/>
          <w:sz w:val="24"/>
          <w:szCs w:val="24"/>
        </w:rPr>
        <w:t xml:space="preserve">- </w:t>
      </w:r>
      <w:r>
        <w:rPr>
          <w:rFonts w:ascii="Arial" w:hAnsi="Arial" w:cs="Arial"/>
          <w:sz w:val="24"/>
          <w:szCs w:val="24"/>
        </w:rPr>
        <w:t>the Appraisal Committee</w:t>
      </w:r>
      <w:r w:rsidR="00542CED">
        <w:rPr>
          <w:rFonts w:ascii="Arial" w:hAnsi="Arial" w:cs="Arial"/>
          <w:sz w:val="24"/>
          <w:szCs w:val="24"/>
        </w:rPr>
        <w:t xml:space="preserve"> should consider a mid</w:t>
      </w:r>
      <w:r w:rsidR="00AD456C">
        <w:rPr>
          <w:rFonts w:ascii="Arial" w:hAnsi="Arial" w:cs="Arial"/>
          <w:sz w:val="24"/>
          <w:szCs w:val="24"/>
        </w:rPr>
        <w:t>-</w:t>
      </w:r>
      <w:r w:rsidR="00542CED">
        <w:rPr>
          <w:rFonts w:ascii="Arial" w:hAnsi="Arial" w:cs="Arial"/>
          <w:sz w:val="24"/>
          <w:szCs w:val="24"/>
        </w:rPr>
        <w:t xml:space="preserve">point between </w:t>
      </w:r>
      <w:r w:rsidR="000D6272">
        <w:rPr>
          <w:rFonts w:ascii="Arial" w:hAnsi="Arial" w:cs="Arial"/>
          <w:sz w:val="24"/>
          <w:szCs w:val="24"/>
        </w:rPr>
        <w:t xml:space="preserve">the </w:t>
      </w:r>
      <w:r w:rsidR="00635817">
        <w:rPr>
          <w:rFonts w:ascii="Arial" w:hAnsi="Arial" w:cs="Arial"/>
          <w:sz w:val="24"/>
          <w:szCs w:val="24"/>
        </w:rPr>
        <w:t>two approaches (</w:t>
      </w:r>
      <w:r w:rsidR="00076471">
        <w:rPr>
          <w:rFonts w:ascii="Arial" w:hAnsi="Arial" w:cs="Arial"/>
          <w:sz w:val="24"/>
          <w:szCs w:val="24"/>
        </w:rPr>
        <w:t>noting that</w:t>
      </w:r>
      <w:r w:rsidR="00635817">
        <w:rPr>
          <w:rFonts w:ascii="Arial" w:hAnsi="Arial" w:cs="Arial"/>
          <w:sz w:val="24"/>
          <w:szCs w:val="24"/>
        </w:rPr>
        <w:t xml:space="preserve"> cabozantinib would be</w:t>
      </w:r>
      <w:r w:rsidR="000915D5">
        <w:rPr>
          <w:rFonts w:ascii="Arial" w:hAnsi="Arial" w:cs="Arial"/>
          <w:sz w:val="24"/>
          <w:szCs w:val="24"/>
        </w:rPr>
        <w:t xml:space="preserve"> considered</w:t>
      </w:r>
      <w:r w:rsidR="00635817">
        <w:rPr>
          <w:rFonts w:ascii="Arial" w:hAnsi="Arial" w:cs="Arial"/>
          <w:sz w:val="24"/>
          <w:szCs w:val="24"/>
        </w:rPr>
        <w:t xml:space="preserve"> cost-effective up to an ICER threshold of</w:t>
      </w:r>
      <w:r w:rsidR="00E559F7">
        <w:rPr>
          <w:rFonts w:ascii="Arial" w:hAnsi="Arial" w:cs="Arial"/>
          <w:sz w:val="24"/>
          <w:szCs w:val="24"/>
        </w:rPr>
        <w:t xml:space="preserve"> </w:t>
      </w:r>
      <w:proofErr w:type="spellStart"/>
      <w:r w:rsidRPr="00E559F7" w:rsidR="00E559F7">
        <w:rPr>
          <w:rFonts w:ascii="Arial" w:hAnsi="Arial" w:cs="Arial"/>
          <w:sz w:val="24"/>
          <w:szCs w:val="24"/>
          <w:highlight w:val="black"/>
          <w:u w:val="single"/>
        </w:rPr>
        <w:t>xxxx</w:t>
      </w:r>
      <w:proofErr w:type="spellEnd"/>
      <w:r w:rsidRPr="00E559F7" w:rsidR="00E559F7">
        <w:rPr>
          <w:rFonts w:ascii="Arial" w:hAnsi="Arial" w:cs="Arial"/>
          <w:sz w:val="24"/>
          <w:szCs w:val="24"/>
          <w:highlight w:val="black"/>
          <w:u w:val="single"/>
        </w:rPr>
        <w:t xml:space="preserve"> xx</w:t>
      </w:r>
      <w:r w:rsidR="00635817">
        <w:rPr>
          <w:rFonts w:ascii="Arial" w:hAnsi="Arial" w:cs="Arial"/>
          <w:sz w:val="24"/>
          <w:szCs w:val="24"/>
        </w:rPr>
        <w:t xml:space="preserve"> </w:t>
      </w:r>
      <w:r w:rsidRPr="00076471" w:rsidR="00076471">
        <w:rPr>
          <w:rFonts w:ascii="Arial" w:hAnsi="Arial" w:cs="Arial"/>
          <w:sz w:val="24"/>
          <w:szCs w:val="24"/>
        </w:rPr>
        <w:t>with this treatment effect</w:t>
      </w:r>
      <w:r w:rsidR="00635817">
        <w:rPr>
          <w:rFonts w:ascii="Arial" w:hAnsi="Arial" w:cs="Arial"/>
          <w:sz w:val="24"/>
          <w:szCs w:val="24"/>
        </w:rPr>
        <w:t>).</w:t>
      </w:r>
    </w:p>
    <w:p w:rsidRPr="00774B47" w:rsidR="00D64232" w:rsidP="002C676C" w:rsidRDefault="00D64232" w14:paraId="73CB2A58" w14:textId="77777777">
      <w:pPr>
        <w:pStyle w:val="Heading2"/>
      </w:pPr>
      <w:r w:rsidRPr="00774B47">
        <w:t>Appeal point 2.</w:t>
      </w:r>
      <w:r>
        <w:t>4</w:t>
      </w:r>
      <w:r w:rsidRPr="00774B47">
        <w:t xml:space="preserve">: The </w:t>
      </w:r>
      <w:r>
        <w:t>Appraisal C</w:t>
      </w:r>
      <w:r w:rsidRPr="00774B47">
        <w:t>ommittee’s conclusion</w:t>
      </w:r>
      <w:r>
        <w:t xml:space="preserve"> not</w:t>
      </w:r>
      <w:r w:rsidRPr="00774B47">
        <w:t xml:space="preserve"> to take into consideration the surrogacy relationship in NETs between PFS and OS is unreasonable</w:t>
      </w:r>
      <w:r>
        <w:t xml:space="preserve"> in light of the evidence provided</w:t>
      </w:r>
    </w:p>
    <w:p w:rsidR="00201255" w:rsidP="00201255" w:rsidRDefault="00201255" w14:paraId="02413860" w14:textId="146AC186">
      <w:pPr>
        <w:spacing w:before="120" w:line="360" w:lineRule="auto"/>
        <w:rPr>
          <w:rFonts w:ascii="Arial" w:hAnsi="Arial" w:cs="Arial"/>
          <w:sz w:val="24"/>
          <w:szCs w:val="24"/>
        </w:rPr>
      </w:pPr>
      <w:r w:rsidRPr="00E20756">
        <w:rPr>
          <w:rFonts w:ascii="Arial" w:hAnsi="Arial" w:cs="Arial"/>
          <w:sz w:val="24"/>
          <w:szCs w:val="24"/>
        </w:rPr>
        <w:t>Given the evidence presented</w:t>
      </w:r>
      <w:r w:rsidR="006122EF">
        <w:rPr>
          <w:rFonts w:ascii="Arial" w:hAnsi="Arial" w:cs="Arial"/>
          <w:sz w:val="24"/>
          <w:szCs w:val="24"/>
        </w:rPr>
        <w:t>,</w:t>
      </w:r>
      <w:r w:rsidRPr="00E20756">
        <w:rPr>
          <w:rFonts w:ascii="Arial" w:hAnsi="Arial" w:cs="Arial"/>
          <w:sz w:val="24"/>
          <w:szCs w:val="24"/>
        </w:rPr>
        <w:t xml:space="preserve"> from both the literature and clinical experts</w:t>
      </w:r>
      <w:r w:rsidR="006122EF">
        <w:rPr>
          <w:rFonts w:ascii="Arial" w:hAnsi="Arial" w:cs="Arial"/>
          <w:sz w:val="24"/>
          <w:szCs w:val="24"/>
        </w:rPr>
        <w:t>,</w:t>
      </w:r>
      <w:r w:rsidRPr="00E20756">
        <w:rPr>
          <w:rFonts w:ascii="Arial" w:hAnsi="Arial" w:cs="Arial"/>
          <w:sz w:val="24"/>
          <w:szCs w:val="24"/>
        </w:rPr>
        <w:t xml:space="preserve"> of a PFS and OS surrogacy relationship in NETs, it is not reasonable to conclude</w:t>
      </w:r>
      <w:r>
        <w:rPr>
          <w:rFonts w:ascii="Arial" w:hAnsi="Arial" w:cs="Arial"/>
          <w:sz w:val="24"/>
          <w:szCs w:val="24"/>
        </w:rPr>
        <w:t xml:space="preserve"> that no</w:t>
      </w:r>
      <w:r w:rsidRPr="00E20756">
        <w:rPr>
          <w:rFonts w:ascii="Arial" w:hAnsi="Arial" w:cs="Arial"/>
          <w:sz w:val="24"/>
          <w:szCs w:val="24"/>
        </w:rPr>
        <w:t xml:space="preserve"> OS benefit would be expected</w:t>
      </w:r>
      <w:r>
        <w:rPr>
          <w:rFonts w:ascii="Arial" w:hAnsi="Arial" w:cs="Arial"/>
          <w:sz w:val="24"/>
          <w:szCs w:val="24"/>
        </w:rPr>
        <w:t xml:space="preserve"> </w:t>
      </w:r>
      <w:r w:rsidRPr="00E20756">
        <w:rPr>
          <w:rFonts w:ascii="Arial" w:hAnsi="Arial" w:cs="Arial"/>
          <w:sz w:val="24"/>
          <w:szCs w:val="24"/>
        </w:rPr>
        <w:t>despite a strong PFS benefit in the epNET population (PFS HR 0.38</w:t>
      </w:r>
      <w:r w:rsidR="00B753DC">
        <w:rPr>
          <w:rFonts w:ascii="Arial" w:hAnsi="Arial" w:cs="Arial"/>
          <w:sz w:val="24"/>
          <w:szCs w:val="24"/>
        </w:rPr>
        <w:t>,</w:t>
      </w:r>
      <w:r w:rsidR="000F44D2">
        <w:rPr>
          <w:rFonts w:ascii="Arial" w:hAnsi="Arial" w:cs="Arial"/>
          <w:sz w:val="24"/>
          <w:szCs w:val="24"/>
        </w:rPr>
        <w:t xml:space="preserve"> 95% CI </w:t>
      </w:r>
      <w:r w:rsidRPr="000F44D2" w:rsidR="000F44D2">
        <w:rPr>
          <w:rFonts w:ascii="Arial" w:hAnsi="Arial" w:cs="Arial"/>
          <w:sz w:val="24"/>
          <w:szCs w:val="24"/>
        </w:rPr>
        <w:t>0.25 to 0.58</w:t>
      </w:r>
      <w:r w:rsidRPr="00E20756">
        <w:rPr>
          <w:rFonts w:ascii="Arial" w:hAnsi="Arial" w:cs="Arial"/>
          <w:sz w:val="24"/>
          <w:szCs w:val="24"/>
        </w:rPr>
        <w:t>).</w:t>
      </w:r>
      <w:r>
        <w:rPr>
          <w:rFonts w:ascii="Arial" w:hAnsi="Arial" w:cs="Arial"/>
          <w:sz w:val="24"/>
          <w:szCs w:val="24"/>
        </w:rPr>
        <w:t xml:space="preserve"> </w:t>
      </w:r>
    </w:p>
    <w:p w:rsidR="00101EE4" w:rsidP="00201255" w:rsidRDefault="00101EE4" w14:paraId="6DB0A21F" w14:textId="4C59E507">
      <w:pPr>
        <w:spacing w:before="120" w:line="360" w:lineRule="auto"/>
        <w:rPr>
          <w:rFonts w:ascii="Arial" w:hAnsi="Arial" w:cs="Arial"/>
          <w:sz w:val="24"/>
          <w:szCs w:val="24"/>
        </w:rPr>
      </w:pPr>
      <w:r w:rsidRPr="00B8505D">
        <w:rPr>
          <w:rFonts w:ascii="Arial" w:hAnsi="Arial" w:cs="Arial"/>
          <w:sz w:val="24"/>
          <w:szCs w:val="24"/>
        </w:rPr>
        <w:t xml:space="preserve">The </w:t>
      </w:r>
      <w:r>
        <w:rPr>
          <w:rFonts w:ascii="Arial" w:hAnsi="Arial" w:cs="Arial"/>
          <w:sz w:val="24"/>
          <w:szCs w:val="24"/>
        </w:rPr>
        <w:t xml:space="preserve">Appraisal </w:t>
      </w:r>
      <w:r w:rsidRPr="00B8505D">
        <w:rPr>
          <w:rFonts w:ascii="Arial" w:hAnsi="Arial" w:cs="Arial"/>
          <w:sz w:val="24"/>
          <w:szCs w:val="24"/>
        </w:rPr>
        <w:t>Committee acknowledged that “</w:t>
      </w:r>
      <w:r w:rsidRPr="00B8505D">
        <w:rPr>
          <w:rFonts w:ascii="Arial" w:hAnsi="Arial" w:cs="Arial"/>
          <w:i/>
          <w:iCs/>
          <w:sz w:val="24"/>
          <w:szCs w:val="24"/>
        </w:rPr>
        <w:t>While there could be an association between progression-free survival and overall survival, there was not enough evidence to determine the magnitude of overall-survival benefit</w:t>
      </w:r>
      <w:r w:rsidRPr="00B8505D">
        <w:rPr>
          <w:rFonts w:ascii="Arial" w:hAnsi="Arial" w:cs="Arial"/>
          <w:sz w:val="24"/>
          <w:szCs w:val="24"/>
        </w:rPr>
        <w:t>”</w:t>
      </w:r>
      <w:r>
        <w:rPr>
          <w:rFonts w:ascii="Arial" w:hAnsi="Arial" w:cs="Arial"/>
          <w:sz w:val="24"/>
          <w:szCs w:val="24"/>
        </w:rPr>
        <w:t xml:space="preserve"> (FDG, Section 3.8). </w:t>
      </w:r>
      <w:r w:rsidR="000843D3">
        <w:rPr>
          <w:rFonts w:ascii="Arial" w:hAnsi="Arial" w:cs="Arial"/>
          <w:sz w:val="24"/>
          <w:szCs w:val="24"/>
        </w:rPr>
        <w:t xml:space="preserve">The </w:t>
      </w:r>
      <w:r w:rsidRPr="0078436B" w:rsidR="000843D3">
        <w:rPr>
          <w:rFonts w:ascii="Arial" w:hAnsi="Arial" w:cs="Arial"/>
          <w:sz w:val="24"/>
          <w:szCs w:val="24"/>
        </w:rPr>
        <w:t xml:space="preserve">EAG </w:t>
      </w:r>
      <w:r w:rsidR="000843D3">
        <w:rPr>
          <w:rFonts w:ascii="Arial" w:hAnsi="Arial" w:cs="Arial"/>
          <w:sz w:val="24"/>
          <w:szCs w:val="24"/>
        </w:rPr>
        <w:t>R</w:t>
      </w:r>
      <w:r w:rsidRPr="0078436B" w:rsidR="000843D3">
        <w:rPr>
          <w:rFonts w:ascii="Arial" w:hAnsi="Arial" w:cs="Arial"/>
          <w:sz w:val="24"/>
          <w:szCs w:val="24"/>
        </w:rPr>
        <w:t xml:space="preserve">esponse to </w:t>
      </w:r>
      <w:r w:rsidR="000843D3">
        <w:rPr>
          <w:rFonts w:ascii="Arial" w:hAnsi="Arial" w:cs="Arial"/>
          <w:sz w:val="24"/>
          <w:szCs w:val="24"/>
        </w:rPr>
        <w:t>D</w:t>
      </w:r>
      <w:r w:rsidRPr="0078436B" w:rsidR="000843D3">
        <w:rPr>
          <w:rFonts w:ascii="Arial" w:hAnsi="Arial" w:cs="Arial"/>
          <w:sz w:val="24"/>
          <w:szCs w:val="24"/>
        </w:rPr>
        <w:t xml:space="preserve">raft </w:t>
      </w:r>
      <w:r w:rsidR="000843D3">
        <w:rPr>
          <w:rFonts w:ascii="Arial" w:hAnsi="Arial" w:cs="Arial"/>
          <w:sz w:val="24"/>
          <w:szCs w:val="24"/>
        </w:rPr>
        <w:t>G</w:t>
      </w:r>
      <w:r w:rsidRPr="0078436B" w:rsidR="000843D3">
        <w:rPr>
          <w:rFonts w:ascii="Arial" w:hAnsi="Arial" w:cs="Arial"/>
          <w:sz w:val="24"/>
          <w:szCs w:val="24"/>
        </w:rPr>
        <w:t>uidance</w:t>
      </w:r>
      <w:r w:rsidR="000843D3">
        <w:rPr>
          <w:rFonts w:ascii="Arial" w:hAnsi="Arial" w:cs="Arial"/>
          <w:sz w:val="24"/>
          <w:szCs w:val="24"/>
        </w:rPr>
        <w:t xml:space="preserve"> (pages 3-4) outlines a conservative evaluation of the </w:t>
      </w:r>
      <w:r w:rsidR="002A3A6A">
        <w:rPr>
          <w:rFonts w:ascii="Arial" w:hAnsi="Arial" w:cs="Arial"/>
          <w:sz w:val="24"/>
          <w:szCs w:val="24"/>
        </w:rPr>
        <w:t xml:space="preserve">published literature on the PFS OS </w:t>
      </w:r>
      <w:r w:rsidR="000843D3">
        <w:rPr>
          <w:rFonts w:ascii="Arial" w:hAnsi="Arial" w:cs="Arial"/>
          <w:sz w:val="24"/>
          <w:szCs w:val="24"/>
        </w:rPr>
        <w:t>surrogacy</w:t>
      </w:r>
      <w:r w:rsidR="002A3A6A">
        <w:rPr>
          <w:rFonts w:ascii="Arial" w:hAnsi="Arial" w:cs="Arial"/>
          <w:sz w:val="24"/>
          <w:szCs w:val="24"/>
        </w:rPr>
        <w:t xml:space="preserve"> relationship</w:t>
      </w:r>
      <w:r w:rsidR="000843D3">
        <w:rPr>
          <w:rFonts w:ascii="Arial" w:hAnsi="Arial" w:cs="Arial"/>
          <w:sz w:val="24"/>
          <w:szCs w:val="24"/>
        </w:rPr>
        <w:t xml:space="preserve"> and </w:t>
      </w:r>
      <w:r w:rsidR="00E40BB1">
        <w:rPr>
          <w:rFonts w:ascii="Arial" w:hAnsi="Arial" w:cs="Arial"/>
          <w:sz w:val="24"/>
          <w:szCs w:val="24"/>
        </w:rPr>
        <w:t xml:space="preserve">concludes by acknowledging </w:t>
      </w:r>
      <w:r w:rsidRPr="00DB21FB">
        <w:rPr>
          <w:rFonts w:ascii="Arial" w:hAnsi="Arial" w:cs="Arial"/>
          <w:sz w:val="24"/>
          <w:szCs w:val="24"/>
        </w:rPr>
        <w:t xml:space="preserve">that previous literature demonstrates a degree of association between PFS and OS, although </w:t>
      </w:r>
      <w:r>
        <w:rPr>
          <w:rFonts w:ascii="Arial" w:hAnsi="Arial" w:cs="Arial"/>
          <w:sz w:val="24"/>
          <w:szCs w:val="24"/>
        </w:rPr>
        <w:t>there is uncertainty regarding the magnitude</w:t>
      </w:r>
      <w:r w:rsidRPr="00572107">
        <w:rPr>
          <w:rFonts w:ascii="Arial" w:hAnsi="Arial" w:cs="Arial"/>
          <w:sz w:val="24"/>
          <w:szCs w:val="24"/>
        </w:rPr>
        <w:t xml:space="preserve">. Neither the </w:t>
      </w:r>
      <w:r w:rsidRPr="00572107" w:rsidR="00E40BB1">
        <w:rPr>
          <w:rFonts w:ascii="Arial" w:hAnsi="Arial" w:cs="Arial"/>
          <w:sz w:val="24"/>
          <w:szCs w:val="24"/>
        </w:rPr>
        <w:t xml:space="preserve">Appraisal </w:t>
      </w:r>
      <w:r w:rsidRPr="00572107">
        <w:rPr>
          <w:rFonts w:ascii="Arial" w:hAnsi="Arial" w:cs="Arial"/>
          <w:sz w:val="24"/>
          <w:szCs w:val="24"/>
        </w:rPr>
        <w:t xml:space="preserve">Committee nor the EAG concluded that no association exists; rather, the evidence indicates that the magnitude of the relationship is uncertain. However, in its decision-making, the </w:t>
      </w:r>
      <w:r w:rsidR="00041D7F">
        <w:rPr>
          <w:rFonts w:ascii="Arial" w:hAnsi="Arial" w:cs="Arial"/>
          <w:sz w:val="24"/>
          <w:szCs w:val="24"/>
        </w:rPr>
        <w:t xml:space="preserve">Appraisal </w:t>
      </w:r>
      <w:r w:rsidRPr="00572107">
        <w:rPr>
          <w:rFonts w:ascii="Arial" w:hAnsi="Arial" w:cs="Arial"/>
          <w:sz w:val="24"/>
          <w:szCs w:val="24"/>
        </w:rPr>
        <w:t xml:space="preserve">Committee has </w:t>
      </w:r>
      <w:r w:rsidR="008C5FCD">
        <w:rPr>
          <w:rFonts w:ascii="Arial" w:hAnsi="Arial" w:cs="Arial"/>
          <w:sz w:val="24"/>
          <w:szCs w:val="24"/>
        </w:rPr>
        <w:t xml:space="preserve">unreasonably </w:t>
      </w:r>
      <w:r w:rsidRPr="00572107">
        <w:rPr>
          <w:rFonts w:ascii="Arial" w:hAnsi="Arial" w:cs="Arial"/>
          <w:sz w:val="24"/>
          <w:szCs w:val="24"/>
        </w:rPr>
        <w:t xml:space="preserve">translated this uncertainty into an assumption of no surrogacy. </w:t>
      </w:r>
    </w:p>
    <w:p w:rsidRPr="005210CE" w:rsidR="000C01D5" w:rsidP="00201255" w:rsidRDefault="000C01D5" w14:paraId="665BFB39" w14:textId="146DDEF1">
      <w:pPr>
        <w:spacing w:before="120" w:line="360" w:lineRule="auto"/>
        <w:rPr>
          <w:rFonts w:ascii="Arial" w:hAnsi="Arial" w:cs="Arial"/>
        </w:rPr>
      </w:pPr>
      <w:r>
        <w:rPr>
          <w:rFonts w:ascii="Arial" w:hAnsi="Arial" w:cs="Arial"/>
          <w:sz w:val="24"/>
          <w:szCs w:val="24"/>
        </w:rPr>
        <w:t xml:space="preserve">This is particularly </w:t>
      </w:r>
      <w:r w:rsidR="008C5FCD">
        <w:rPr>
          <w:rFonts w:ascii="Arial" w:hAnsi="Arial" w:cs="Arial"/>
          <w:sz w:val="24"/>
          <w:szCs w:val="24"/>
        </w:rPr>
        <w:t xml:space="preserve">perverse </w:t>
      </w:r>
      <w:r>
        <w:rPr>
          <w:rFonts w:ascii="Arial" w:hAnsi="Arial" w:cs="Arial"/>
          <w:sz w:val="24"/>
          <w:szCs w:val="24"/>
        </w:rPr>
        <w:t>i</w:t>
      </w:r>
      <w:r w:rsidRPr="00B8505D">
        <w:rPr>
          <w:rFonts w:ascii="Arial" w:hAnsi="Arial" w:cs="Arial"/>
          <w:sz w:val="24"/>
          <w:szCs w:val="24"/>
        </w:rPr>
        <w:t>n the context of</w:t>
      </w:r>
      <w:r>
        <w:rPr>
          <w:rFonts w:ascii="Arial" w:hAnsi="Arial" w:cs="Arial"/>
          <w:sz w:val="24"/>
          <w:szCs w:val="24"/>
        </w:rPr>
        <w:t xml:space="preserve"> the rarity of NETs and Section 4.6.7 of the NICE Methods and Processes Manual</w:t>
      </w:r>
      <w:r w:rsidR="00067F28">
        <w:rPr>
          <w:rFonts w:ascii="Arial" w:hAnsi="Arial" w:cs="Arial"/>
          <w:sz w:val="24"/>
          <w:szCs w:val="24"/>
        </w:rPr>
        <w:t>,</w:t>
      </w:r>
      <w:r>
        <w:rPr>
          <w:rFonts w:ascii="Arial" w:hAnsi="Arial" w:cs="Arial"/>
          <w:sz w:val="24"/>
          <w:szCs w:val="24"/>
        </w:rPr>
        <w:t xml:space="preserve"> which states that </w:t>
      </w:r>
      <w:r w:rsidRPr="00B8505D">
        <w:rPr>
          <w:rFonts w:ascii="Arial" w:hAnsi="Arial" w:cs="Arial"/>
          <w:sz w:val="24"/>
          <w:szCs w:val="24"/>
        </w:rPr>
        <w:t>“</w:t>
      </w:r>
      <w:r w:rsidRPr="00B8505D">
        <w:rPr>
          <w:rFonts w:ascii="Arial" w:hAnsi="Arial" w:cs="Arial"/>
          <w:i/>
          <w:iCs/>
          <w:sz w:val="24"/>
          <w:szCs w:val="24"/>
        </w:rPr>
        <w:t>for certain technologies indicated for rare conditions, [..], the level of evidence [</w:t>
      </w:r>
      <w:r w:rsidRPr="00B8505D">
        <w:rPr>
          <w:rFonts w:ascii="Arial" w:hAnsi="Arial" w:cs="Arial"/>
          <w:sz w:val="24"/>
          <w:szCs w:val="24"/>
        </w:rPr>
        <w:t>required for surrogacy]</w:t>
      </w:r>
      <w:r w:rsidRPr="00B8505D">
        <w:rPr>
          <w:rFonts w:ascii="Arial" w:hAnsi="Arial" w:cs="Arial"/>
          <w:i/>
          <w:iCs/>
          <w:sz w:val="24"/>
          <w:szCs w:val="24"/>
        </w:rPr>
        <w:t xml:space="preserve"> might not be as high</w:t>
      </w:r>
      <w:r w:rsidRPr="00B8505D">
        <w:rPr>
          <w:rFonts w:ascii="Arial" w:hAnsi="Arial" w:cs="Arial"/>
          <w:sz w:val="24"/>
          <w:szCs w:val="24"/>
        </w:rPr>
        <w:t>”.</w:t>
      </w:r>
    </w:p>
    <w:p w:rsidRPr="00B8505D" w:rsidR="00201255" w:rsidP="00201255" w:rsidRDefault="0041320B" w14:paraId="1B1C7DB7" w14:textId="163EF4A3">
      <w:pPr>
        <w:spacing w:before="120" w:line="360" w:lineRule="auto"/>
        <w:rPr>
          <w:rFonts w:ascii="Arial" w:hAnsi="Arial" w:cs="Arial"/>
          <w:sz w:val="24"/>
          <w:szCs w:val="24"/>
        </w:rPr>
      </w:pPr>
      <w:r>
        <w:rPr>
          <w:rFonts w:ascii="Arial" w:hAnsi="Arial" w:cs="Arial"/>
          <w:sz w:val="24"/>
          <w:szCs w:val="24"/>
        </w:rPr>
        <w:t>In contrast to the Appraisal Committee’s conclusion, c</w:t>
      </w:r>
      <w:r w:rsidRPr="00B8505D" w:rsidR="00201255">
        <w:rPr>
          <w:rFonts w:ascii="Arial" w:hAnsi="Arial" w:cs="Arial"/>
          <w:sz w:val="24"/>
          <w:szCs w:val="24"/>
        </w:rPr>
        <w:t xml:space="preserve">linical experts confirmed during the </w:t>
      </w:r>
      <w:r w:rsidR="00230D87">
        <w:rPr>
          <w:rFonts w:ascii="Arial" w:hAnsi="Arial" w:cs="Arial"/>
          <w:sz w:val="24"/>
          <w:szCs w:val="24"/>
        </w:rPr>
        <w:t>Appraisal Committee Meeting</w:t>
      </w:r>
      <w:r w:rsidR="00BD4536">
        <w:rPr>
          <w:rFonts w:ascii="Arial" w:hAnsi="Arial" w:cs="Arial"/>
          <w:sz w:val="24"/>
          <w:szCs w:val="24"/>
        </w:rPr>
        <w:t>s</w:t>
      </w:r>
      <w:r w:rsidR="00230D87">
        <w:rPr>
          <w:rFonts w:ascii="Arial" w:hAnsi="Arial" w:cs="Arial"/>
          <w:sz w:val="24"/>
          <w:szCs w:val="24"/>
        </w:rPr>
        <w:t xml:space="preserve"> </w:t>
      </w:r>
      <w:r w:rsidRPr="00B8505D" w:rsidR="00201255">
        <w:rPr>
          <w:rFonts w:ascii="Arial" w:hAnsi="Arial" w:cs="Arial"/>
          <w:sz w:val="24"/>
          <w:szCs w:val="24"/>
        </w:rPr>
        <w:t>that “</w:t>
      </w:r>
      <w:r w:rsidRPr="00B8505D" w:rsidR="00201255">
        <w:rPr>
          <w:rFonts w:ascii="Arial" w:hAnsi="Arial" w:cs="Arial"/>
          <w:i/>
          <w:iCs/>
          <w:sz w:val="24"/>
          <w:szCs w:val="24"/>
        </w:rPr>
        <w:t>they would normally use progression-free survival as a clinically relevant endpoint instead of overall survival</w:t>
      </w:r>
      <w:r w:rsidRPr="00B8505D" w:rsidR="00201255">
        <w:rPr>
          <w:rFonts w:ascii="Arial" w:hAnsi="Arial" w:cs="Arial"/>
          <w:sz w:val="24"/>
          <w:szCs w:val="24"/>
        </w:rPr>
        <w:t>” (FDG, Section 3.7).</w:t>
      </w:r>
      <w:r w:rsidR="00201255">
        <w:rPr>
          <w:rFonts w:ascii="Arial" w:hAnsi="Arial" w:cs="Arial"/>
          <w:sz w:val="24"/>
          <w:szCs w:val="24"/>
        </w:rPr>
        <w:t xml:space="preserve"> </w:t>
      </w:r>
      <w:r w:rsidR="00BD4536">
        <w:rPr>
          <w:rFonts w:ascii="Arial" w:hAnsi="Arial" w:cs="Arial"/>
          <w:sz w:val="24"/>
          <w:szCs w:val="24"/>
        </w:rPr>
        <w:t>Further, t</w:t>
      </w:r>
      <w:r w:rsidRPr="00B8505D" w:rsidR="00201255">
        <w:rPr>
          <w:rFonts w:ascii="Arial" w:hAnsi="Arial" w:cs="Arial"/>
          <w:sz w:val="24"/>
          <w:szCs w:val="24"/>
        </w:rPr>
        <w:t>he FDG does not reference the clinical expert interviews conducted</w:t>
      </w:r>
      <w:r w:rsidR="00BD4536">
        <w:rPr>
          <w:rFonts w:ascii="Arial" w:hAnsi="Arial" w:cs="Arial"/>
          <w:sz w:val="24"/>
          <w:szCs w:val="24"/>
        </w:rPr>
        <w:t xml:space="preserve"> to support </w:t>
      </w:r>
      <w:r w:rsidR="008827F3">
        <w:rPr>
          <w:rFonts w:ascii="Arial" w:hAnsi="Arial" w:cs="Arial"/>
          <w:sz w:val="24"/>
          <w:szCs w:val="24"/>
        </w:rPr>
        <w:t xml:space="preserve">the Company Draft Guidance Response </w:t>
      </w:r>
      <w:r w:rsidRPr="00B8505D" w:rsidR="00201255">
        <w:rPr>
          <w:rFonts w:ascii="Arial" w:hAnsi="Arial" w:cs="Arial"/>
          <w:sz w:val="24"/>
          <w:szCs w:val="24"/>
        </w:rPr>
        <w:t xml:space="preserve">which indicated that </w:t>
      </w:r>
      <w:r w:rsidR="00201255">
        <w:rPr>
          <w:rFonts w:ascii="Arial" w:hAnsi="Arial" w:cs="Arial"/>
          <w:sz w:val="24"/>
          <w:szCs w:val="24"/>
        </w:rPr>
        <w:t>all</w:t>
      </w:r>
      <w:r w:rsidRPr="00B8505D" w:rsidR="00201255">
        <w:rPr>
          <w:rFonts w:ascii="Arial" w:hAnsi="Arial" w:cs="Arial"/>
          <w:sz w:val="24"/>
          <w:szCs w:val="24"/>
        </w:rPr>
        <w:t xml:space="preserve"> clinicians </w:t>
      </w:r>
      <w:r w:rsidR="00201255">
        <w:rPr>
          <w:rFonts w:ascii="Arial" w:hAnsi="Arial" w:cs="Arial"/>
          <w:sz w:val="24"/>
          <w:szCs w:val="24"/>
        </w:rPr>
        <w:t xml:space="preserve">consulted (4/4) </w:t>
      </w:r>
      <w:r w:rsidRPr="00B8505D" w:rsidR="00201255">
        <w:rPr>
          <w:rFonts w:ascii="Arial" w:hAnsi="Arial" w:cs="Arial"/>
          <w:sz w:val="24"/>
          <w:szCs w:val="24"/>
        </w:rPr>
        <w:t>endorsed PFS as a clinically relevant endpoint and biologically plausible surrogate for OS.</w:t>
      </w:r>
    </w:p>
    <w:p w:rsidR="00201255" w:rsidP="00201255" w:rsidRDefault="00201255" w14:paraId="02288622" w14:textId="76BBD213">
      <w:pPr>
        <w:spacing w:before="120" w:line="360" w:lineRule="auto"/>
        <w:rPr>
          <w:rFonts w:ascii="Arial" w:hAnsi="Arial" w:cs="Arial"/>
          <w:sz w:val="24"/>
          <w:szCs w:val="24"/>
        </w:rPr>
      </w:pPr>
      <w:r>
        <w:rPr>
          <w:rFonts w:ascii="Arial" w:hAnsi="Arial" w:cs="Arial"/>
          <w:sz w:val="24"/>
          <w:szCs w:val="24"/>
        </w:rPr>
        <w:t>As a result, t</w:t>
      </w:r>
      <w:r w:rsidRPr="00B8505D">
        <w:rPr>
          <w:rFonts w:ascii="Arial" w:hAnsi="Arial" w:cs="Arial"/>
          <w:sz w:val="24"/>
          <w:szCs w:val="24"/>
        </w:rPr>
        <w:t>he Appraisal Committee’s chosen assumptions</w:t>
      </w:r>
      <w:r>
        <w:rPr>
          <w:rFonts w:ascii="Arial" w:hAnsi="Arial" w:cs="Arial"/>
          <w:sz w:val="24"/>
          <w:szCs w:val="24"/>
        </w:rPr>
        <w:t xml:space="preserve"> </w:t>
      </w:r>
      <w:r w:rsidRPr="00B8505D">
        <w:rPr>
          <w:rFonts w:ascii="Arial" w:hAnsi="Arial" w:cs="Arial"/>
          <w:sz w:val="24"/>
          <w:szCs w:val="24"/>
        </w:rPr>
        <w:t>lack clinical plausibility</w:t>
      </w:r>
      <w:r>
        <w:rPr>
          <w:rFonts w:ascii="Arial" w:hAnsi="Arial" w:cs="Arial"/>
          <w:sz w:val="24"/>
          <w:szCs w:val="24"/>
        </w:rPr>
        <w:t>,</w:t>
      </w:r>
      <w:r w:rsidRPr="00B8505D">
        <w:rPr>
          <w:rFonts w:ascii="Arial" w:hAnsi="Arial" w:cs="Arial"/>
          <w:sz w:val="24"/>
          <w:szCs w:val="24"/>
        </w:rPr>
        <w:t xml:space="preserve"> imply</w:t>
      </w:r>
      <w:r>
        <w:rPr>
          <w:rFonts w:ascii="Arial" w:hAnsi="Arial" w:cs="Arial"/>
          <w:sz w:val="24"/>
          <w:szCs w:val="24"/>
        </w:rPr>
        <w:t>ing</w:t>
      </w:r>
      <w:r w:rsidRPr="00B8505D">
        <w:rPr>
          <w:rFonts w:ascii="Arial" w:hAnsi="Arial" w:cs="Arial"/>
          <w:sz w:val="24"/>
          <w:szCs w:val="24"/>
        </w:rPr>
        <w:t xml:space="preserve"> that following progression, patients </w:t>
      </w:r>
      <w:r w:rsidR="005E3270">
        <w:rPr>
          <w:rFonts w:ascii="Arial" w:hAnsi="Arial" w:cs="Arial"/>
          <w:sz w:val="24"/>
          <w:szCs w:val="24"/>
        </w:rPr>
        <w:t xml:space="preserve">who received </w:t>
      </w:r>
      <w:r w:rsidRPr="00B8505D">
        <w:rPr>
          <w:rFonts w:ascii="Arial" w:hAnsi="Arial" w:cs="Arial"/>
          <w:sz w:val="24"/>
          <w:szCs w:val="24"/>
        </w:rPr>
        <w:t>cabozantinib (</w:t>
      </w:r>
      <w:proofErr w:type="spellStart"/>
      <w:r w:rsidRPr="00E559F7" w:rsidR="00E559F7">
        <w:rPr>
          <w:rFonts w:ascii="Arial" w:hAnsi="Arial" w:cs="Arial"/>
          <w:sz w:val="24"/>
          <w:szCs w:val="24"/>
          <w:highlight w:val="black"/>
          <w:u w:val="single"/>
        </w:rPr>
        <w:t>xxxx</w:t>
      </w:r>
      <w:proofErr w:type="spellEnd"/>
      <w:r w:rsidRPr="00B8505D">
        <w:rPr>
          <w:rFonts w:ascii="Arial" w:hAnsi="Arial" w:cs="Arial"/>
          <w:sz w:val="24"/>
          <w:szCs w:val="24"/>
        </w:rPr>
        <w:t xml:space="preserve">) die sooner than patients </w:t>
      </w:r>
      <w:r w:rsidR="005E3270">
        <w:rPr>
          <w:rFonts w:ascii="Arial" w:hAnsi="Arial" w:cs="Arial"/>
          <w:sz w:val="24"/>
          <w:szCs w:val="24"/>
        </w:rPr>
        <w:t>who received</w:t>
      </w:r>
      <w:r w:rsidRPr="00B8505D">
        <w:rPr>
          <w:rFonts w:ascii="Arial" w:hAnsi="Arial" w:cs="Arial"/>
          <w:sz w:val="24"/>
          <w:szCs w:val="24"/>
        </w:rPr>
        <w:t xml:space="preserve"> BSC (</w:t>
      </w:r>
      <w:proofErr w:type="spellStart"/>
      <w:r w:rsidRPr="00E559F7" w:rsidR="00E559F7">
        <w:rPr>
          <w:rFonts w:ascii="Arial" w:hAnsi="Arial" w:cs="Arial"/>
          <w:sz w:val="24"/>
          <w:szCs w:val="24"/>
          <w:highlight w:val="black"/>
          <w:u w:val="single"/>
        </w:rPr>
        <w:t>xxxx</w:t>
      </w:r>
      <w:proofErr w:type="spellEnd"/>
      <w:r w:rsidRPr="00B8505D">
        <w:rPr>
          <w:rFonts w:ascii="Arial" w:hAnsi="Arial" w:cs="Arial"/>
          <w:sz w:val="24"/>
          <w:szCs w:val="24"/>
        </w:rPr>
        <w:t>)</w:t>
      </w:r>
      <w:r>
        <w:rPr>
          <w:rFonts w:ascii="Arial" w:hAnsi="Arial" w:cs="Arial"/>
          <w:sz w:val="24"/>
          <w:szCs w:val="24"/>
        </w:rPr>
        <w:t>.</w:t>
      </w:r>
    </w:p>
    <w:p w:rsidRPr="00B8505D" w:rsidR="002B02FA" w:rsidP="00201255" w:rsidRDefault="007C0D53" w14:paraId="48D0A6E6" w14:textId="4923892F">
      <w:pPr>
        <w:spacing w:before="120" w:line="360" w:lineRule="auto"/>
        <w:rPr>
          <w:rFonts w:ascii="Arial" w:hAnsi="Arial" w:cs="Arial"/>
          <w:sz w:val="24"/>
          <w:szCs w:val="24"/>
        </w:rPr>
      </w:pPr>
      <w:r>
        <w:rPr>
          <w:rFonts w:ascii="Arial" w:hAnsi="Arial" w:cs="Arial"/>
          <w:sz w:val="24"/>
          <w:szCs w:val="24"/>
        </w:rPr>
        <w:t>T</w:t>
      </w:r>
      <w:r w:rsidR="00055677">
        <w:rPr>
          <w:rFonts w:ascii="Arial" w:hAnsi="Arial" w:cs="Arial"/>
          <w:sz w:val="24"/>
          <w:szCs w:val="24"/>
        </w:rPr>
        <w:t>he totality of evidence</w:t>
      </w:r>
      <w:r>
        <w:rPr>
          <w:rFonts w:ascii="Arial" w:hAnsi="Arial" w:cs="Arial"/>
          <w:sz w:val="24"/>
          <w:szCs w:val="24"/>
        </w:rPr>
        <w:t xml:space="preserve"> provided across the appraisal (including the published literature </w:t>
      </w:r>
      <w:r w:rsidR="00132E59">
        <w:rPr>
          <w:rFonts w:ascii="Arial" w:hAnsi="Arial" w:cs="Arial"/>
          <w:sz w:val="24"/>
          <w:szCs w:val="24"/>
        </w:rPr>
        <w:t>and the unanimous views of all clinical experts consulted</w:t>
      </w:r>
      <w:r w:rsidR="007354C9">
        <w:rPr>
          <w:rFonts w:ascii="Arial" w:hAnsi="Arial" w:cs="Arial"/>
          <w:sz w:val="24"/>
          <w:szCs w:val="24"/>
        </w:rPr>
        <w:t>)</w:t>
      </w:r>
      <w:r w:rsidR="00132E59">
        <w:rPr>
          <w:rFonts w:ascii="Arial" w:hAnsi="Arial" w:cs="Arial"/>
          <w:sz w:val="24"/>
          <w:szCs w:val="24"/>
        </w:rPr>
        <w:t xml:space="preserve"> </w:t>
      </w:r>
      <w:r w:rsidR="008C5FCD">
        <w:rPr>
          <w:rFonts w:ascii="Arial" w:hAnsi="Arial" w:cs="Arial"/>
          <w:sz w:val="24"/>
          <w:szCs w:val="24"/>
        </w:rPr>
        <w:t xml:space="preserve">strongly supports </w:t>
      </w:r>
      <w:r w:rsidR="00132E59">
        <w:rPr>
          <w:rFonts w:ascii="Arial" w:hAnsi="Arial" w:cs="Arial"/>
          <w:sz w:val="24"/>
          <w:szCs w:val="24"/>
        </w:rPr>
        <w:t xml:space="preserve">a surrogacy relationship between PFS and OS. </w:t>
      </w:r>
      <w:r w:rsidR="00AE6D3D">
        <w:rPr>
          <w:rFonts w:ascii="Arial" w:hAnsi="Arial" w:cs="Arial"/>
          <w:sz w:val="24"/>
          <w:szCs w:val="24"/>
        </w:rPr>
        <w:t xml:space="preserve">The company considers it </w:t>
      </w:r>
      <w:r w:rsidR="008C5FCD">
        <w:rPr>
          <w:rFonts w:ascii="Arial" w:hAnsi="Arial" w:cs="Arial"/>
          <w:sz w:val="24"/>
          <w:szCs w:val="24"/>
        </w:rPr>
        <w:t xml:space="preserve">unreasonable </w:t>
      </w:r>
      <w:r w:rsidR="00AE6D3D">
        <w:rPr>
          <w:rFonts w:ascii="Arial" w:hAnsi="Arial" w:cs="Arial"/>
          <w:sz w:val="24"/>
          <w:szCs w:val="24"/>
        </w:rPr>
        <w:t xml:space="preserve">that, when faced with uncertainty over the magnitude of </w:t>
      </w:r>
      <w:r w:rsidR="00B354F1">
        <w:rPr>
          <w:rFonts w:ascii="Arial" w:hAnsi="Arial" w:cs="Arial"/>
          <w:sz w:val="24"/>
          <w:szCs w:val="24"/>
        </w:rPr>
        <w:t xml:space="preserve">the surrogacy relationship, the Appraisal Committee </w:t>
      </w:r>
      <w:r w:rsidR="00313731">
        <w:rPr>
          <w:rFonts w:ascii="Arial" w:hAnsi="Arial" w:cs="Arial"/>
          <w:sz w:val="24"/>
          <w:szCs w:val="24"/>
        </w:rPr>
        <w:t xml:space="preserve">concluded that there would be no </w:t>
      </w:r>
      <w:r w:rsidR="000D6A4C">
        <w:rPr>
          <w:rFonts w:ascii="Arial" w:hAnsi="Arial" w:cs="Arial"/>
          <w:sz w:val="24"/>
          <w:szCs w:val="24"/>
        </w:rPr>
        <w:t xml:space="preserve">surrogacy </w:t>
      </w:r>
      <w:r w:rsidR="00313731">
        <w:rPr>
          <w:rFonts w:ascii="Arial" w:hAnsi="Arial" w:cs="Arial"/>
          <w:sz w:val="24"/>
          <w:szCs w:val="24"/>
        </w:rPr>
        <w:t>relationship</w:t>
      </w:r>
      <w:r w:rsidR="00FD4A6C">
        <w:rPr>
          <w:rFonts w:ascii="Arial" w:hAnsi="Arial" w:cs="Arial"/>
          <w:sz w:val="24"/>
          <w:szCs w:val="24"/>
        </w:rPr>
        <w:t xml:space="preserve"> </w:t>
      </w:r>
      <w:r w:rsidR="00711279">
        <w:rPr>
          <w:rFonts w:ascii="Arial" w:hAnsi="Arial" w:cs="Arial"/>
          <w:sz w:val="24"/>
          <w:szCs w:val="24"/>
        </w:rPr>
        <w:t xml:space="preserve">and as such </w:t>
      </w:r>
      <w:r w:rsidR="004F58AD">
        <w:rPr>
          <w:rFonts w:ascii="Arial" w:hAnsi="Arial" w:cs="Arial"/>
          <w:sz w:val="24"/>
          <w:szCs w:val="24"/>
        </w:rPr>
        <w:t xml:space="preserve">refused to further consider </w:t>
      </w:r>
      <w:r w:rsidR="001F7254">
        <w:rPr>
          <w:rFonts w:ascii="Arial" w:hAnsi="Arial" w:cs="Arial"/>
          <w:sz w:val="24"/>
          <w:szCs w:val="24"/>
        </w:rPr>
        <w:t>whether the magnitude of the surrogacy relationship</w:t>
      </w:r>
      <w:r w:rsidR="009C6C77">
        <w:rPr>
          <w:rFonts w:ascii="Arial" w:hAnsi="Arial" w:cs="Arial"/>
          <w:sz w:val="24"/>
          <w:szCs w:val="24"/>
        </w:rPr>
        <w:t xml:space="preserve"> was likely to be sufficient to translate into a cost-effective </w:t>
      </w:r>
      <w:r w:rsidR="00B258E9">
        <w:rPr>
          <w:rFonts w:ascii="Arial" w:hAnsi="Arial" w:cs="Arial"/>
          <w:sz w:val="24"/>
          <w:szCs w:val="24"/>
        </w:rPr>
        <w:t>treatment effect associated with OS.</w:t>
      </w:r>
      <w:r w:rsidR="00BF520C">
        <w:rPr>
          <w:rFonts w:ascii="Arial" w:hAnsi="Arial" w:cs="Arial"/>
          <w:sz w:val="24"/>
          <w:szCs w:val="24"/>
        </w:rPr>
        <w:t xml:space="preserve"> </w:t>
      </w:r>
      <w:r w:rsidR="008C5FCD">
        <w:rPr>
          <w:rFonts w:ascii="Arial" w:hAnsi="Arial" w:cs="Arial"/>
          <w:sz w:val="24"/>
          <w:szCs w:val="24"/>
        </w:rPr>
        <w:t xml:space="preserve"> </w:t>
      </w:r>
      <w:r w:rsidR="000D6A4C">
        <w:rPr>
          <w:rFonts w:ascii="Arial" w:hAnsi="Arial" w:cs="Arial"/>
          <w:sz w:val="24"/>
          <w:szCs w:val="24"/>
        </w:rPr>
        <w:t>The Appraisal Committee should reconsider this.</w:t>
      </w:r>
    </w:p>
    <w:p w:rsidRPr="00774B47" w:rsidR="00D64232" w:rsidP="002C676C" w:rsidRDefault="00D64232" w14:paraId="44D50A3E" w14:textId="23947945">
      <w:pPr>
        <w:pStyle w:val="Heading2"/>
      </w:pPr>
      <w:r w:rsidRPr="00774B47">
        <w:t>Appeal point 2.</w:t>
      </w:r>
      <w:r>
        <w:t>5</w:t>
      </w:r>
      <w:r w:rsidRPr="00774B47">
        <w:t xml:space="preserve">: The </w:t>
      </w:r>
      <w:r>
        <w:t>Appraisal C</w:t>
      </w:r>
      <w:r w:rsidRPr="00774B47">
        <w:t>ommittee’s conclusion that “</w:t>
      </w:r>
      <w:r w:rsidRPr="004B3679">
        <w:rPr>
          <w:i/>
          <w:iCs/>
        </w:rPr>
        <w:t>because of the small amount of data and based on clinical expert opinion, it would not be appropriate to consider a recommendation for the lung NETs population alone</w:t>
      </w:r>
      <w:r w:rsidRPr="00774B47">
        <w:t>” is unreasonable in light of the evidence submitted</w:t>
      </w:r>
    </w:p>
    <w:p w:rsidR="004825E2" w:rsidP="004825E2" w:rsidRDefault="004825E2" w14:paraId="246B7F7C" w14:textId="77777777">
      <w:pPr>
        <w:spacing w:before="120" w:line="360" w:lineRule="auto"/>
        <w:rPr>
          <w:rFonts w:ascii="Arial" w:hAnsi="Arial" w:cs="Arial"/>
          <w:sz w:val="24"/>
          <w:szCs w:val="24"/>
        </w:rPr>
      </w:pPr>
      <w:r w:rsidRPr="003728BF">
        <w:rPr>
          <w:rFonts w:ascii="Arial" w:hAnsi="Arial" w:cs="Arial"/>
          <w:sz w:val="24"/>
          <w:szCs w:val="24"/>
        </w:rPr>
        <w:t>This appeal point shares background with appeal point 1(a).2</w:t>
      </w:r>
      <w:r>
        <w:rPr>
          <w:rFonts w:ascii="Arial" w:hAnsi="Arial" w:cs="Arial"/>
          <w:sz w:val="24"/>
          <w:szCs w:val="24"/>
        </w:rPr>
        <w:t>.</w:t>
      </w:r>
      <w:r w:rsidRPr="003728BF">
        <w:rPr>
          <w:rFonts w:ascii="Arial" w:hAnsi="Arial" w:cs="Arial"/>
          <w:sz w:val="24"/>
          <w:szCs w:val="24"/>
        </w:rPr>
        <w:t xml:space="preserve"> </w:t>
      </w:r>
      <w:r w:rsidRPr="00774B47">
        <w:rPr>
          <w:rFonts w:ascii="Arial" w:hAnsi="Arial" w:cs="Arial"/>
          <w:sz w:val="24"/>
          <w:szCs w:val="24"/>
        </w:rPr>
        <w:t xml:space="preserve">The </w:t>
      </w:r>
      <w:r>
        <w:rPr>
          <w:rFonts w:ascii="Arial" w:hAnsi="Arial" w:cs="Arial"/>
          <w:sz w:val="24"/>
          <w:szCs w:val="24"/>
        </w:rPr>
        <w:t>A</w:t>
      </w:r>
      <w:r w:rsidRPr="00774B47">
        <w:rPr>
          <w:rFonts w:ascii="Arial" w:hAnsi="Arial" w:cs="Arial"/>
          <w:sz w:val="24"/>
          <w:szCs w:val="24"/>
        </w:rPr>
        <w:t xml:space="preserve">ppraisal </w:t>
      </w:r>
      <w:r>
        <w:rPr>
          <w:rFonts w:ascii="Arial" w:hAnsi="Arial" w:cs="Arial"/>
          <w:sz w:val="24"/>
          <w:szCs w:val="24"/>
        </w:rPr>
        <w:t>C</w:t>
      </w:r>
      <w:r w:rsidRPr="00774B47">
        <w:rPr>
          <w:rFonts w:ascii="Arial" w:hAnsi="Arial" w:cs="Arial"/>
          <w:sz w:val="24"/>
          <w:szCs w:val="24"/>
        </w:rPr>
        <w:t xml:space="preserve">ommittee’s conclusion in Section 3.5 of the FDG not to consider a separate recommendation for the lung population </w:t>
      </w:r>
      <w:r w:rsidRPr="003728BF">
        <w:rPr>
          <w:rFonts w:ascii="Arial" w:hAnsi="Arial" w:cs="Arial"/>
          <w:sz w:val="24"/>
          <w:szCs w:val="24"/>
        </w:rPr>
        <w:t>is not supported by the available evidence and is therefore unreasonable</w:t>
      </w:r>
      <w:r>
        <w:rPr>
          <w:rFonts w:ascii="Arial" w:hAnsi="Arial" w:cs="Arial"/>
          <w:sz w:val="24"/>
          <w:szCs w:val="24"/>
        </w:rPr>
        <w:t>.</w:t>
      </w:r>
    </w:p>
    <w:p w:rsidRPr="00774B47" w:rsidR="00A90C1C" w:rsidP="004825E2" w:rsidRDefault="00711279" w14:paraId="4006962B" w14:textId="412705C7">
      <w:pPr>
        <w:spacing w:before="120" w:line="360" w:lineRule="auto"/>
        <w:rPr>
          <w:rFonts w:ascii="Arial" w:hAnsi="Arial" w:cs="Arial"/>
          <w:sz w:val="24"/>
          <w:szCs w:val="24"/>
        </w:rPr>
      </w:pPr>
      <w:r>
        <w:rPr>
          <w:rFonts w:ascii="Arial" w:hAnsi="Arial" w:cs="Arial"/>
          <w:sz w:val="24"/>
          <w:szCs w:val="24"/>
        </w:rPr>
        <w:t>T</w:t>
      </w:r>
      <w:r w:rsidRPr="00986DFA" w:rsidR="00D61679">
        <w:rPr>
          <w:rFonts w:ascii="Arial" w:hAnsi="Arial" w:cs="Arial"/>
          <w:sz w:val="24"/>
          <w:szCs w:val="24"/>
        </w:rPr>
        <w:t xml:space="preserve">he NICE Appraisal Committee </w:t>
      </w:r>
      <w:r w:rsidR="00D61679">
        <w:rPr>
          <w:rFonts w:ascii="Arial" w:hAnsi="Arial" w:cs="Arial"/>
          <w:sz w:val="24"/>
          <w:szCs w:val="24"/>
        </w:rPr>
        <w:t xml:space="preserve">did </w:t>
      </w:r>
      <w:r w:rsidRPr="00986DFA" w:rsidR="00D61679">
        <w:rPr>
          <w:rFonts w:ascii="Arial" w:hAnsi="Arial" w:cs="Arial"/>
          <w:sz w:val="24"/>
          <w:szCs w:val="24"/>
        </w:rPr>
        <w:t xml:space="preserve">not explore an optimised recommendation for lung patients </w:t>
      </w:r>
      <w:r>
        <w:rPr>
          <w:rFonts w:ascii="Arial" w:hAnsi="Arial" w:cs="Arial"/>
          <w:sz w:val="24"/>
          <w:szCs w:val="24"/>
        </w:rPr>
        <w:t xml:space="preserve">which is manifestly unreasonable since </w:t>
      </w:r>
      <w:r w:rsidR="00D61679">
        <w:rPr>
          <w:rFonts w:ascii="Arial" w:hAnsi="Arial" w:cs="Arial"/>
          <w:sz w:val="24"/>
          <w:szCs w:val="24"/>
        </w:rPr>
        <w:t>the evidence indicates the greatest treatment benefit</w:t>
      </w:r>
      <w:r w:rsidRPr="00986DFA" w:rsidR="00D61679">
        <w:rPr>
          <w:rFonts w:ascii="Arial" w:hAnsi="Arial" w:cs="Arial"/>
          <w:sz w:val="24"/>
          <w:szCs w:val="24"/>
        </w:rPr>
        <w:t>, highest</w:t>
      </w:r>
      <w:r w:rsidR="00D61679">
        <w:rPr>
          <w:rFonts w:ascii="Arial" w:hAnsi="Arial" w:cs="Arial"/>
          <w:sz w:val="24"/>
          <w:szCs w:val="24"/>
        </w:rPr>
        <w:t xml:space="preserve"> unmet need</w:t>
      </w:r>
      <w:r w:rsidRPr="00986DFA" w:rsidR="00D61679">
        <w:rPr>
          <w:rFonts w:ascii="Arial" w:hAnsi="Arial" w:cs="Arial"/>
          <w:sz w:val="24"/>
          <w:szCs w:val="24"/>
        </w:rPr>
        <w:t>,</w:t>
      </w:r>
      <w:r w:rsidR="00D61679">
        <w:rPr>
          <w:rFonts w:ascii="Arial" w:hAnsi="Arial" w:cs="Arial"/>
          <w:sz w:val="24"/>
          <w:szCs w:val="24"/>
        </w:rPr>
        <w:t xml:space="preserve"> </w:t>
      </w:r>
      <w:r w:rsidRPr="00E20756" w:rsidR="00D61679">
        <w:rPr>
          <w:rFonts w:ascii="Arial" w:hAnsi="Arial" w:cs="Arial"/>
          <w:sz w:val="24"/>
          <w:szCs w:val="24"/>
        </w:rPr>
        <w:t>and where separate consideration would be consistent with prior NICE precedent</w:t>
      </w:r>
      <w:r w:rsidR="007B61B4">
        <w:rPr>
          <w:rFonts w:ascii="Arial" w:hAnsi="Arial" w:cs="Arial"/>
          <w:sz w:val="24"/>
          <w:szCs w:val="24"/>
        </w:rPr>
        <w:t xml:space="preserve"> (as per appeal point 1(a).3)</w:t>
      </w:r>
      <w:r w:rsidRPr="00E20756" w:rsidR="00D61679">
        <w:rPr>
          <w:rFonts w:ascii="Arial" w:hAnsi="Arial" w:cs="Arial"/>
          <w:sz w:val="24"/>
          <w:szCs w:val="24"/>
        </w:rPr>
        <w:t>.</w:t>
      </w:r>
      <w:r w:rsidR="00276729">
        <w:rPr>
          <w:rFonts w:ascii="Arial" w:hAnsi="Arial" w:cs="Arial"/>
          <w:sz w:val="24"/>
          <w:szCs w:val="24"/>
        </w:rPr>
        <w:t xml:space="preserve"> Internationally, cabozantinib represents an established treatment option</w:t>
      </w:r>
      <w:r w:rsidR="00CD1EBA">
        <w:rPr>
          <w:rFonts w:ascii="Arial" w:hAnsi="Arial" w:cs="Arial"/>
          <w:sz w:val="24"/>
          <w:szCs w:val="24"/>
        </w:rPr>
        <w:t xml:space="preserve"> for patients as represented by the addition of cabozantinib to</w:t>
      </w:r>
      <w:r w:rsidR="00735C2F">
        <w:rPr>
          <w:rFonts w:ascii="Arial" w:hAnsi="Arial" w:cs="Arial"/>
          <w:sz w:val="24"/>
          <w:szCs w:val="24"/>
        </w:rPr>
        <w:t xml:space="preserve"> </w:t>
      </w:r>
      <w:r w:rsidRPr="00735C2F" w:rsidR="00735C2F">
        <w:rPr>
          <w:rFonts w:ascii="Arial" w:hAnsi="Arial" w:cs="Arial"/>
          <w:sz w:val="24"/>
          <w:szCs w:val="24"/>
        </w:rPr>
        <w:t xml:space="preserve">European Society of Neuroendocrine </w:t>
      </w:r>
      <w:proofErr w:type="spellStart"/>
      <w:r w:rsidRPr="00735C2F" w:rsidR="00735C2F">
        <w:rPr>
          <w:rFonts w:ascii="Arial" w:hAnsi="Arial" w:cs="Arial"/>
          <w:sz w:val="24"/>
          <w:szCs w:val="24"/>
        </w:rPr>
        <w:t>Tumors</w:t>
      </w:r>
      <w:proofErr w:type="spellEnd"/>
      <w:r w:rsidRPr="00735C2F" w:rsidR="00735C2F">
        <w:rPr>
          <w:rFonts w:ascii="Arial" w:hAnsi="Arial" w:cs="Arial"/>
          <w:sz w:val="24"/>
          <w:szCs w:val="24"/>
        </w:rPr>
        <w:t xml:space="preserve"> (ENETS)</w:t>
      </w:r>
      <w:r w:rsidR="00735C2F">
        <w:rPr>
          <w:rFonts w:ascii="Arial" w:hAnsi="Arial" w:cs="Arial"/>
          <w:sz w:val="24"/>
          <w:szCs w:val="24"/>
        </w:rPr>
        <w:t xml:space="preserve"> guidance for treatment of lung patients.</w:t>
      </w:r>
      <w:r w:rsidR="00CD1EBA">
        <w:rPr>
          <w:rStyle w:val="FootnoteReference"/>
          <w:rFonts w:ascii="Arial" w:hAnsi="Arial" w:cs="Arial"/>
          <w:sz w:val="24"/>
          <w:szCs w:val="24"/>
        </w:rPr>
        <w:footnoteReference w:id="20"/>
      </w:r>
      <w:r w:rsidR="00735C2F">
        <w:rPr>
          <w:rFonts w:ascii="Arial" w:hAnsi="Arial" w:cs="Arial"/>
          <w:sz w:val="24"/>
          <w:szCs w:val="24"/>
        </w:rPr>
        <w:t xml:space="preserve"> </w:t>
      </w:r>
      <w:r w:rsidRPr="00E20756" w:rsidR="00D61679">
        <w:rPr>
          <w:rFonts w:ascii="Arial" w:hAnsi="Arial" w:cs="Arial"/>
          <w:sz w:val="24"/>
          <w:szCs w:val="24"/>
        </w:rPr>
        <w:t xml:space="preserve">This </w:t>
      </w:r>
      <w:r w:rsidR="00D61679">
        <w:rPr>
          <w:rFonts w:ascii="Arial" w:hAnsi="Arial" w:cs="Arial"/>
          <w:sz w:val="24"/>
          <w:szCs w:val="24"/>
        </w:rPr>
        <w:t>lack of flexibility</w:t>
      </w:r>
      <w:r w:rsidRPr="00E20756" w:rsidR="00D61679">
        <w:rPr>
          <w:rFonts w:ascii="Arial" w:hAnsi="Arial" w:cs="Arial"/>
          <w:sz w:val="24"/>
          <w:szCs w:val="24"/>
        </w:rPr>
        <w:t xml:space="preserve"> is particularly concerning in the context of </w:t>
      </w:r>
      <w:r w:rsidR="00D61679">
        <w:rPr>
          <w:rFonts w:ascii="Arial" w:hAnsi="Arial" w:cs="Arial"/>
          <w:sz w:val="24"/>
          <w:szCs w:val="24"/>
        </w:rPr>
        <w:t xml:space="preserve">the rarity of lung NETs alongside the context of </w:t>
      </w:r>
      <w:r w:rsidRPr="00986DFA" w:rsidR="00D61679">
        <w:rPr>
          <w:rFonts w:ascii="Arial" w:hAnsi="Arial" w:cs="Arial"/>
          <w:sz w:val="24"/>
          <w:szCs w:val="24"/>
        </w:rPr>
        <w:t xml:space="preserve">Section 6.2.33 of the </w:t>
      </w:r>
      <w:r w:rsidRPr="00554A96" w:rsidR="00554A96">
        <w:rPr>
          <w:rFonts w:ascii="Arial" w:hAnsi="Arial" w:cs="Arial"/>
          <w:sz w:val="24"/>
          <w:szCs w:val="24"/>
        </w:rPr>
        <w:t>NICE Methods and Processes Manual</w:t>
      </w:r>
      <w:r w:rsidR="00D61679">
        <w:rPr>
          <w:rFonts w:ascii="Arial" w:hAnsi="Arial" w:cs="Arial"/>
          <w:sz w:val="24"/>
          <w:szCs w:val="24"/>
        </w:rPr>
        <w:t>.</w:t>
      </w:r>
    </w:p>
    <w:p w:rsidR="00615C10" w:rsidP="004825E2" w:rsidRDefault="004825E2" w14:paraId="7E1DD40A" w14:textId="7352B394">
      <w:pPr>
        <w:spacing w:before="120" w:line="360" w:lineRule="auto"/>
        <w:rPr>
          <w:rFonts w:ascii="Arial" w:hAnsi="Arial" w:cs="Arial"/>
          <w:sz w:val="24"/>
          <w:szCs w:val="24"/>
        </w:rPr>
      </w:pPr>
      <w:r w:rsidRPr="003728BF">
        <w:rPr>
          <w:rFonts w:ascii="Arial" w:hAnsi="Arial" w:cs="Arial"/>
          <w:sz w:val="24"/>
          <w:szCs w:val="24"/>
        </w:rPr>
        <w:t xml:space="preserve">The Appraisal Committee’s conclusion </w:t>
      </w:r>
      <w:r w:rsidRPr="00986DFA">
        <w:rPr>
          <w:rFonts w:ascii="Arial" w:hAnsi="Arial" w:cs="Arial"/>
          <w:sz w:val="24"/>
          <w:szCs w:val="24"/>
        </w:rPr>
        <w:t>that, “</w:t>
      </w:r>
      <w:r w:rsidRPr="00986DFA">
        <w:rPr>
          <w:rFonts w:ascii="Arial" w:hAnsi="Arial" w:cs="Arial"/>
          <w:i/>
          <w:iCs/>
          <w:sz w:val="24"/>
          <w:szCs w:val="24"/>
        </w:rPr>
        <w:t>based on clinical expert opinion</w:t>
      </w:r>
      <w:r w:rsidRPr="005A1EA2">
        <w:rPr>
          <w:rFonts w:ascii="Arial" w:hAnsi="Arial" w:cs="Arial"/>
          <w:i/>
          <w:sz w:val="24"/>
          <w:szCs w:val="24"/>
        </w:rPr>
        <w:t>, a separate recommendation would not be appropriate</w:t>
      </w:r>
      <w:r w:rsidR="00B20AF3">
        <w:rPr>
          <w:rFonts w:ascii="Arial" w:hAnsi="Arial" w:cs="Arial"/>
          <w:i/>
          <w:iCs/>
          <w:sz w:val="24"/>
          <w:szCs w:val="24"/>
        </w:rPr>
        <w:t>”</w:t>
      </w:r>
      <w:r w:rsidRPr="00986DFA">
        <w:rPr>
          <w:rFonts w:ascii="Arial" w:hAnsi="Arial" w:cs="Arial"/>
          <w:sz w:val="24"/>
          <w:szCs w:val="24"/>
        </w:rPr>
        <w:t xml:space="preserve"> is not consistent with the evidence provided by </w:t>
      </w:r>
      <w:r w:rsidR="000F341D">
        <w:rPr>
          <w:rFonts w:ascii="Arial" w:hAnsi="Arial" w:cs="Arial"/>
          <w:sz w:val="24"/>
          <w:szCs w:val="24"/>
        </w:rPr>
        <w:t>clinical experts across the appraisal</w:t>
      </w:r>
      <w:r w:rsidR="00615C10">
        <w:rPr>
          <w:rFonts w:ascii="Arial" w:hAnsi="Arial" w:cs="Arial"/>
          <w:sz w:val="24"/>
          <w:szCs w:val="24"/>
        </w:rPr>
        <w:t>:</w:t>
      </w:r>
      <w:r>
        <w:rPr>
          <w:rFonts w:ascii="Arial" w:hAnsi="Arial" w:cs="Arial"/>
          <w:sz w:val="24"/>
          <w:szCs w:val="24"/>
        </w:rPr>
        <w:t xml:space="preserve"> </w:t>
      </w:r>
    </w:p>
    <w:p w:rsidR="000F6856" w:rsidP="004825E2" w:rsidRDefault="00A00EF3" w14:paraId="7DEDBB04" w14:textId="18281958">
      <w:pPr>
        <w:pStyle w:val="ListParagraph"/>
        <w:numPr>
          <w:ilvl w:val="0"/>
          <w:numId w:val="29"/>
        </w:numPr>
        <w:spacing w:before="120" w:line="360" w:lineRule="auto"/>
        <w:rPr>
          <w:rFonts w:ascii="Arial" w:hAnsi="Arial" w:cs="Arial"/>
          <w:sz w:val="24"/>
          <w:szCs w:val="24"/>
        </w:rPr>
      </w:pPr>
      <w:r w:rsidRPr="00A00EF3">
        <w:rPr>
          <w:rFonts w:ascii="Arial" w:hAnsi="Arial" w:cs="Arial"/>
          <w:sz w:val="24"/>
          <w:szCs w:val="24"/>
        </w:rPr>
        <w:t xml:space="preserve">At the </w:t>
      </w:r>
      <w:r w:rsidR="000F24A3">
        <w:rPr>
          <w:rFonts w:ascii="Arial" w:hAnsi="Arial" w:cs="Arial"/>
          <w:sz w:val="24"/>
          <w:szCs w:val="24"/>
        </w:rPr>
        <w:t>S</w:t>
      </w:r>
      <w:r w:rsidRPr="00A00EF3">
        <w:rPr>
          <w:rFonts w:ascii="Arial" w:hAnsi="Arial" w:cs="Arial"/>
          <w:sz w:val="24"/>
          <w:szCs w:val="24"/>
        </w:rPr>
        <w:t>econd</w:t>
      </w:r>
      <w:r w:rsidR="000F24A3">
        <w:rPr>
          <w:rFonts w:ascii="Arial" w:hAnsi="Arial" w:cs="Arial"/>
          <w:sz w:val="24"/>
          <w:szCs w:val="24"/>
        </w:rPr>
        <w:t xml:space="preserve"> Appraisal</w:t>
      </w:r>
      <w:r w:rsidRPr="00A00EF3">
        <w:rPr>
          <w:rFonts w:ascii="Arial" w:hAnsi="Arial" w:cs="Arial"/>
          <w:sz w:val="24"/>
          <w:szCs w:val="24"/>
        </w:rPr>
        <w:t xml:space="preserve"> </w:t>
      </w:r>
      <w:r w:rsidR="000F24A3">
        <w:rPr>
          <w:rFonts w:ascii="Arial" w:hAnsi="Arial" w:cs="Arial"/>
          <w:sz w:val="24"/>
          <w:szCs w:val="24"/>
        </w:rPr>
        <w:t>C</w:t>
      </w:r>
      <w:r w:rsidRPr="00A00EF3">
        <w:rPr>
          <w:rFonts w:ascii="Arial" w:hAnsi="Arial" w:cs="Arial"/>
          <w:sz w:val="24"/>
          <w:szCs w:val="24"/>
        </w:rPr>
        <w:t xml:space="preserve">ommittee </w:t>
      </w:r>
      <w:r w:rsidR="000F24A3">
        <w:rPr>
          <w:rFonts w:ascii="Arial" w:hAnsi="Arial" w:cs="Arial"/>
          <w:sz w:val="24"/>
          <w:szCs w:val="24"/>
        </w:rPr>
        <w:t>M</w:t>
      </w:r>
      <w:r w:rsidRPr="00A00EF3">
        <w:rPr>
          <w:rFonts w:ascii="Arial" w:hAnsi="Arial" w:cs="Arial"/>
          <w:sz w:val="24"/>
          <w:szCs w:val="24"/>
        </w:rPr>
        <w:t>eeting, clinical experts expressed</w:t>
      </w:r>
      <w:r w:rsidR="003A281B">
        <w:rPr>
          <w:rFonts w:ascii="Arial" w:hAnsi="Arial" w:cs="Arial"/>
          <w:sz w:val="24"/>
          <w:szCs w:val="24"/>
        </w:rPr>
        <w:t xml:space="preserve"> that “</w:t>
      </w:r>
      <w:r w:rsidRPr="003A281B">
        <w:rPr>
          <w:rFonts w:ascii="Arial" w:hAnsi="Arial" w:cs="Arial"/>
          <w:i/>
          <w:iCs/>
          <w:sz w:val="24"/>
          <w:szCs w:val="24"/>
        </w:rPr>
        <w:t>tumour site, tumour functionality and SSTR status can impact the available treatment. So, there are some subgroups with limited treatment options that may benefit more from cabozantinib</w:t>
      </w:r>
      <w:r w:rsidR="003A281B">
        <w:rPr>
          <w:rFonts w:ascii="Arial" w:hAnsi="Arial" w:cs="Arial"/>
          <w:sz w:val="24"/>
          <w:szCs w:val="24"/>
        </w:rPr>
        <w:t>”</w:t>
      </w:r>
      <w:r w:rsidR="00E223D7">
        <w:rPr>
          <w:rFonts w:ascii="Arial" w:hAnsi="Arial" w:cs="Arial"/>
          <w:sz w:val="24"/>
          <w:szCs w:val="24"/>
        </w:rPr>
        <w:t xml:space="preserve">. As outlined in </w:t>
      </w:r>
      <w:r w:rsidR="00E223D7">
        <w:rPr>
          <w:rFonts w:ascii="Arial" w:hAnsi="Arial" w:cs="Arial"/>
          <w:sz w:val="24"/>
          <w:szCs w:val="24"/>
        </w:rPr>
        <w:fldChar w:fldCharType="begin"/>
      </w:r>
      <w:r w:rsidR="00E223D7">
        <w:rPr>
          <w:rFonts w:ascii="Arial" w:hAnsi="Arial" w:cs="Arial"/>
          <w:sz w:val="24"/>
          <w:szCs w:val="24"/>
        </w:rPr>
        <w:instrText xml:space="preserve"> REF _Ref227845432 \h  \* MERGEFORMAT </w:instrText>
      </w:r>
      <w:r w:rsidR="00E223D7">
        <w:rPr>
          <w:rFonts w:ascii="Arial" w:hAnsi="Arial" w:cs="Arial"/>
          <w:sz w:val="24"/>
          <w:szCs w:val="24"/>
        </w:rPr>
      </w:r>
      <w:r w:rsidR="00E223D7">
        <w:rPr>
          <w:rFonts w:ascii="Arial" w:hAnsi="Arial" w:cs="Arial"/>
          <w:sz w:val="24"/>
          <w:szCs w:val="24"/>
        </w:rPr>
        <w:fldChar w:fldCharType="separate"/>
      </w:r>
      <w:r w:rsidRPr="00812C00" w:rsidR="00812C00">
        <w:rPr>
          <w:rFonts w:ascii="Arial" w:hAnsi="Arial" w:cs="Arial"/>
          <w:sz w:val="24"/>
          <w:szCs w:val="24"/>
        </w:rPr>
        <w:t>Figure 1</w:t>
      </w:r>
      <w:r w:rsidR="00E223D7">
        <w:rPr>
          <w:rFonts w:ascii="Arial" w:hAnsi="Arial" w:cs="Arial"/>
          <w:sz w:val="24"/>
          <w:szCs w:val="24"/>
        </w:rPr>
        <w:fldChar w:fldCharType="end"/>
      </w:r>
      <w:r w:rsidR="00E223D7">
        <w:rPr>
          <w:rFonts w:ascii="Arial" w:hAnsi="Arial" w:cs="Arial"/>
          <w:sz w:val="24"/>
          <w:szCs w:val="24"/>
        </w:rPr>
        <w:t>, there are few treatment options in lung</w:t>
      </w:r>
      <w:r w:rsidR="00255929">
        <w:rPr>
          <w:rFonts w:ascii="Arial" w:hAnsi="Arial" w:cs="Arial"/>
          <w:sz w:val="24"/>
          <w:szCs w:val="24"/>
        </w:rPr>
        <w:t>.</w:t>
      </w:r>
    </w:p>
    <w:p w:rsidR="00D64011" w:rsidP="00D64011" w:rsidRDefault="00AF6D59" w14:paraId="3C969A0B" w14:textId="77777777">
      <w:pPr>
        <w:pStyle w:val="ListParagraph"/>
        <w:numPr>
          <w:ilvl w:val="0"/>
          <w:numId w:val="29"/>
        </w:numPr>
        <w:spacing w:before="120" w:line="360" w:lineRule="auto"/>
        <w:rPr>
          <w:rFonts w:ascii="Arial" w:hAnsi="Arial" w:cs="Arial"/>
          <w:sz w:val="24"/>
          <w:szCs w:val="24"/>
        </w:rPr>
      </w:pPr>
      <w:r>
        <w:rPr>
          <w:rFonts w:ascii="Arial" w:hAnsi="Arial" w:cs="Arial"/>
          <w:sz w:val="24"/>
          <w:szCs w:val="24"/>
        </w:rPr>
        <w:t xml:space="preserve">Feedback provided to support the </w:t>
      </w:r>
      <w:r w:rsidRPr="00D64011" w:rsidR="00D64011">
        <w:rPr>
          <w:rFonts w:ascii="Arial" w:hAnsi="Arial" w:cs="Arial"/>
          <w:sz w:val="24"/>
          <w:szCs w:val="24"/>
        </w:rPr>
        <w:t>Company Draft Guidance Response</w:t>
      </w:r>
      <w:r w:rsidR="00D64011">
        <w:rPr>
          <w:rFonts w:ascii="Arial" w:hAnsi="Arial" w:cs="Arial"/>
          <w:sz w:val="24"/>
          <w:szCs w:val="24"/>
        </w:rPr>
        <w:t xml:space="preserve"> indicated that: </w:t>
      </w:r>
    </w:p>
    <w:p w:rsidR="00D25CD4" w:rsidP="00D25CD4" w:rsidRDefault="00EB2CBA" w14:paraId="5590A4AC" w14:textId="251FFF07">
      <w:pPr>
        <w:pStyle w:val="ListParagraph"/>
        <w:numPr>
          <w:ilvl w:val="1"/>
          <w:numId w:val="29"/>
        </w:numPr>
        <w:spacing w:before="120" w:line="360" w:lineRule="auto"/>
        <w:rPr>
          <w:rFonts w:ascii="Arial" w:hAnsi="Arial" w:cs="Arial"/>
          <w:sz w:val="24"/>
          <w:szCs w:val="24"/>
        </w:rPr>
      </w:pPr>
      <w:r>
        <w:rPr>
          <w:rFonts w:ascii="Arial" w:hAnsi="Arial" w:cs="Arial"/>
          <w:sz w:val="24"/>
          <w:szCs w:val="24"/>
        </w:rPr>
        <w:t>T</w:t>
      </w:r>
      <w:r w:rsidRPr="00D64011" w:rsidR="004825E2">
        <w:rPr>
          <w:rFonts w:ascii="Arial" w:hAnsi="Arial" w:cs="Arial"/>
          <w:sz w:val="24"/>
          <w:szCs w:val="24"/>
        </w:rPr>
        <w:t>here are key differences between lung patients and other epNETs patients.</w:t>
      </w:r>
    </w:p>
    <w:p w:rsidR="00D25CD4" w:rsidP="004825E2" w:rsidRDefault="00EB2CBA" w14:paraId="013622E6" w14:textId="04EDAEF1">
      <w:pPr>
        <w:pStyle w:val="ListParagraph"/>
        <w:numPr>
          <w:ilvl w:val="1"/>
          <w:numId w:val="29"/>
        </w:numPr>
        <w:spacing w:before="120" w:line="360" w:lineRule="auto"/>
        <w:rPr>
          <w:rFonts w:ascii="Arial" w:hAnsi="Arial" w:cs="Arial"/>
          <w:sz w:val="24"/>
          <w:szCs w:val="24"/>
        </w:rPr>
      </w:pPr>
      <w:r>
        <w:rPr>
          <w:rFonts w:ascii="Arial" w:hAnsi="Arial" w:cs="Arial"/>
          <w:sz w:val="24"/>
          <w:szCs w:val="24"/>
        </w:rPr>
        <w:t>A</w:t>
      </w:r>
      <w:r w:rsidRPr="00D25CD4" w:rsidR="004825E2">
        <w:rPr>
          <w:rFonts w:ascii="Arial" w:hAnsi="Arial" w:cs="Arial"/>
          <w:sz w:val="24"/>
          <w:szCs w:val="24"/>
        </w:rPr>
        <w:t xml:space="preserve">ll four clinicians consulted highlighted a higher unmet need in lung NETs, driven by a more limited range of available treatment options. </w:t>
      </w:r>
    </w:p>
    <w:p w:rsidRPr="00D25CD4" w:rsidR="004825E2" w:rsidP="004825E2" w:rsidRDefault="00EB2CBA" w14:paraId="5F4CE951" w14:textId="65F47CED">
      <w:pPr>
        <w:pStyle w:val="ListParagraph"/>
        <w:numPr>
          <w:ilvl w:val="1"/>
          <w:numId w:val="29"/>
        </w:numPr>
        <w:spacing w:before="120" w:line="360" w:lineRule="auto"/>
        <w:rPr>
          <w:rFonts w:ascii="Arial" w:hAnsi="Arial" w:cs="Arial"/>
          <w:sz w:val="24"/>
          <w:szCs w:val="24"/>
        </w:rPr>
      </w:pPr>
      <w:r>
        <w:rPr>
          <w:rFonts w:ascii="Arial" w:hAnsi="Arial" w:cs="Arial"/>
          <w:sz w:val="24"/>
          <w:szCs w:val="24"/>
        </w:rPr>
        <w:t>A</w:t>
      </w:r>
      <w:r w:rsidRPr="00D25CD4" w:rsidR="004825E2">
        <w:rPr>
          <w:rFonts w:ascii="Arial" w:hAnsi="Arial" w:cs="Arial"/>
          <w:sz w:val="24"/>
          <w:szCs w:val="24"/>
        </w:rPr>
        <w:t>ll experts also consistently identified challenges associated with the fragmented care pathway, noting that management is often less centralised than for other NET subtypes.</w:t>
      </w:r>
      <w:r w:rsidRPr="00986DFA" w:rsidR="004825E2">
        <w:t xml:space="preserve"> </w:t>
      </w:r>
      <w:r w:rsidRPr="00D25CD4" w:rsidR="004825E2">
        <w:rPr>
          <w:rFonts w:ascii="Arial" w:hAnsi="Arial" w:cs="Arial"/>
          <w:sz w:val="24"/>
          <w:szCs w:val="24"/>
        </w:rPr>
        <w:t xml:space="preserve">In addition, a proportion of clinicians (2/4) indicated that lung NETs may represent a more aggressive form of disease. Importantly, all clinicians consulted considered that separate consideration of the lung NET population would be appropriate for reimbursement decision-making. </w:t>
      </w:r>
    </w:p>
    <w:p w:rsidR="004825E2" w:rsidP="004825E2" w:rsidRDefault="004825E2" w14:paraId="249FB2AD" w14:textId="784529EB">
      <w:pPr>
        <w:spacing w:before="120" w:line="360" w:lineRule="auto"/>
        <w:rPr>
          <w:rFonts w:ascii="Arial" w:hAnsi="Arial" w:cs="Arial"/>
          <w:sz w:val="24"/>
          <w:szCs w:val="24"/>
        </w:rPr>
      </w:pPr>
      <w:r w:rsidRPr="009756A3">
        <w:rPr>
          <w:rFonts w:ascii="Arial" w:hAnsi="Arial" w:cs="Arial"/>
          <w:sz w:val="24"/>
          <w:szCs w:val="24"/>
        </w:rPr>
        <w:t xml:space="preserve">This is reinforced by the Evidence Assessment Group (EAG), which acknowledged in the </w:t>
      </w:r>
      <w:r w:rsidR="00402710">
        <w:rPr>
          <w:rFonts w:ascii="Arial" w:hAnsi="Arial" w:cs="Arial"/>
          <w:sz w:val="24"/>
          <w:szCs w:val="24"/>
        </w:rPr>
        <w:t>FDG</w:t>
      </w:r>
      <w:r w:rsidRPr="009756A3">
        <w:rPr>
          <w:rFonts w:ascii="Arial" w:hAnsi="Arial" w:cs="Arial"/>
          <w:sz w:val="24"/>
          <w:szCs w:val="24"/>
        </w:rPr>
        <w:t xml:space="preserve"> that “</w:t>
      </w:r>
      <w:r w:rsidRPr="006C0F6A">
        <w:rPr>
          <w:rFonts w:ascii="Arial" w:hAnsi="Arial" w:cs="Arial"/>
          <w:i/>
          <w:iCs/>
          <w:sz w:val="24"/>
          <w:szCs w:val="24"/>
        </w:rPr>
        <w:t>grouping lung NETs with other epNETs may be inappropriate and could conceal differences in treatment response</w:t>
      </w:r>
      <w:r w:rsidRPr="009756A3">
        <w:rPr>
          <w:rFonts w:ascii="Arial" w:hAnsi="Arial" w:cs="Arial"/>
          <w:sz w:val="24"/>
          <w:szCs w:val="24"/>
        </w:rPr>
        <w:t>” (FDG, Section 3.5).</w:t>
      </w:r>
    </w:p>
    <w:p w:rsidRPr="00D961AA" w:rsidR="004F7D4C" w:rsidP="001704FD" w:rsidRDefault="004F7D4C" w14:paraId="6FE4E9F2" w14:textId="76D8AB58">
      <w:pPr>
        <w:spacing w:before="120" w:line="360" w:lineRule="auto"/>
        <w:rPr>
          <w:rFonts w:ascii="Arial" w:hAnsi="Arial" w:cs="Arial"/>
          <w:sz w:val="24"/>
          <w:szCs w:val="24"/>
        </w:rPr>
      </w:pPr>
      <w:r>
        <w:rPr>
          <w:rFonts w:ascii="Arial" w:hAnsi="Arial" w:cs="Arial"/>
          <w:sz w:val="24"/>
          <w:szCs w:val="24"/>
        </w:rPr>
        <w:t xml:space="preserve">The Company </w:t>
      </w:r>
      <w:r w:rsidR="009841D4">
        <w:rPr>
          <w:rFonts w:ascii="Arial" w:hAnsi="Arial" w:cs="Arial"/>
          <w:sz w:val="24"/>
          <w:szCs w:val="24"/>
        </w:rPr>
        <w:t>recognises</w:t>
      </w:r>
      <w:r w:rsidR="00022900">
        <w:rPr>
          <w:rFonts w:ascii="Arial" w:hAnsi="Arial" w:cs="Arial"/>
          <w:sz w:val="24"/>
          <w:szCs w:val="24"/>
        </w:rPr>
        <w:t xml:space="preserve"> limitations of the CABINET lung NETs subgroup analysis linked to sample size</w:t>
      </w:r>
      <w:r w:rsidR="0003742D">
        <w:rPr>
          <w:rFonts w:ascii="Arial" w:hAnsi="Arial" w:cs="Arial"/>
          <w:sz w:val="24"/>
          <w:szCs w:val="24"/>
        </w:rPr>
        <w:t xml:space="preserve"> and issues around trial design</w:t>
      </w:r>
      <w:r w:rsidR="009841D4">
        <w:rPr>
          <w:rFonts w:ascii="Arial" w:hAnsi="Arial" w:cs="Arial"/>
          <w:sz w:val="24"/>
          <w:szCs w:val="24"/>
        </w:rPr>
        <w:t xml:space="preserve">. </w:t>
      </w:r>
      <w:r w:rsidR="003B34C3">
        <w:rPr>
          <w:rFonts w:ascii="Arial" w:hAnsi="Arial" w:cs="Arial"/>
          <w:sz w:val="24"/>
          <w:szCs w:val="24"/>
        </w:rPr>
        <w:t>However, the Appraisal Committee should consider the clinical plausibility that</w:t>
      </w:r>
      <w:r w:rsidR="005412C7">
        <w:rPr>
          <w:rFonts w:ascii="Arial" w:hAnsi="Arial" w:cs="Arial"/>
          <w:sz w:val="24"/>
          <w:szCs w:val="24"/>
        </w:rPr>
        <w:t xml:space="preserve"> the</w:t>
      </w:r>
      <w:r w:rsidR="003B34C3">
        <w:rPr>
          <w:rFonts w:ascii="Arial" w:hAnsi="Arial" w:cs="Arial"/>
          <w:sz w:val="24"/>
          <w:szCs w:val="24"/>
        </w:rPr>
        <w:t xml:space="preserve"> cabozantinib</w:t>
      </w:r>
      <w:r w:rsidR="005412C7">
        <w:rPr>
          <w:rFonts w:ascii="Arial" w:hAnsi="Arial" w:cs="Arial"/>
          <w:sz w:val="24"/>
          <w:szCs w:val="24"/>
        </w:rPr>
        <w:t xml:space="preserve"> OS treatment effect</w:t>
      </w:r>
      <w:r w:rsidR="003B34C3">
        <w:rPr>
          <w:rFonts w:ascii="Arial" w:hAnsi="Arial" w:cs="Arial"/>
          <w:sz w:val="24"/>
          <w:szCs w:val="24"/>
        </w:rPr>
        <w:t xml:space="preserve"> </w:t>
      </w:r>
      <w:r w:rsidR="00433E85">
        <w:rPr>
          <w:rFonts w:ascii="Arial" w:hAnsi="Arial" w:cs="Arial"/>
          <w:sz w:val="24"/>
          <w:szCs w:val="24"/>
        </w:rPr>
        <w:t>[</w:t>
      </w:r>
      <w:r w:rsidRPr="00F05BA3" w:rsidR="00433E85">
        <w:rPr>
          <w:rFonts w:ascii="Arial" w:hAnsi="Arial" w:cs="Arial"/>
          <w:sz w:val="24"/>
          <w:szCs w:val="24"/>
          <w:lang w:val="en-US"/>
        </w:rPr>
        <w:t>OS HR</w:t>
      </w:r>
      <w:r w:rsidR="00E559F7">
        <w:rPr>
          <w:rFonts w:ascii="Arial" w:hAnsi="Arial" w:cs="Arial"/>
          <w:sz w:val="24"/>
          <w:szCs w:val="24"/>
          <w:lang w:val="en-US"/>
        </w:rPr>
        <w:t xml:space="preserve"> </w:t>
      </w:r>
      <w:proofErr w:type="spellStart"/>
      <w:r w:rsidRPr="00E559F7" w:rsidR="00E559F7">
        <w:rPr>
          <w:rFonts w:ascii="Arial" w:hAnsi="Arial" w:cs="Arial"/>
          <w:sz w:val="24"/>
          <w:szCs w:val="24"/>
          <w:highlight w:val="black"/>
          <w:u w:val="single"/>
        </w:rPr>
        <w:t>xxxx</w:t>
      </w:r>
      <w:proofErr w:type="spellEnd"/>
      <w:r w:rsidRPr="00F05BA3" w:rsidR="00433E85">
        <w:rPr>
          <w:rFonts w:ascii="Arial" w:hAnsi="Arial" w:cs="Arial"/>
          <w:sz w:val="24"/>
          <w:szCs w:val="24"/>
          <w:u w:val="single"/>
          <w:lang w:val="en-US"/>
        </w:rPr>
        <w:t>,</w:t>
      </w:r>
      <w:r w:rsidRPr="00F05BA3" w:rsidR="00433E85">
        <w:rPr>
          <w:rFonts w:ascii="Arial" w:hAnsi="Arial" w:cs="Arial"/>
          <w:sz w:val="24"/>
          <w:szCs w:val="24"/>
          <w:lang w:val="en-US"/>
        </w:rPr>
        <w:t xml:space="preserve"> 95% CI</w:t>
      </w:r>
      <w:r w:rsidR="00E559F7">
        <w:rPr>
          <w:rFonts w:ascii="Arial" w:hAnsi="Arial" w:cs="Arial"/>
          <w:sz w:val="24"/>
          <w:szCs w:val="24"/>
          <w:lang w:val="en-US"/>
        </w:rPr>
        <w:t xml:space="preserve"> </w:t>
      </w:r>
      <w:proofErr w:type="spellStart"/>
      <w:r w:rsidRPr="00E559F7" w:rsidR="00E559F7">
        <w:rPr>
          <w:rFonts w:ascii="Arial" w:hAnsi="Arial" w:cs="Arial"/>
          <w:sz w:val="24"/>
          <w:szCs w:val="24"/>
          <w:highlight w:val="black"/>
          <w:u w:val="single"/>
        </w:rPr>
        <w:t>xxxx</w:t>
      </w:r>
      <w:proofErr w:type="spellEnd"/>
      <w:r w:rsidRPr="00E559F7" w:rsidR="00E559F7">
        <w:rPr>
          <w:rFonts w:ascii="Arial" w:hAnsi="Arial" w:cs="Arial"/>
          <w:sz w:val="24"/>
          <w:szCs w:val="24"/>
          <w:highlight w:val="black"/>
          <w:u w:val="single"/>
        </w:rPr>
        <w:t xml:space="preserve"> </w:t>
      </w:r>
      <w:proofErr w:type="spellStart"/>
      <w:r w:rsidRPr="00E559F7" w:rsidR="00E559F7">
        <w:rPr>
          <w:rFonts w:ascii="Arial" w:hAnsi="Arial" w:cs="Arial"/>
          <w:sz w:val="24"/>
          <w:szCs w:val="24"/>
          <w:highlight w:val="black"/>
          <w:u w:val="single"/>
        </w:rPr>
        <w:t>xxxx</w:t>
      </w:r>
      <w:proofErr w:type="spellEnd"/>
      <w:r w:rsidR="00E559F7">
        <w:rPr>
          <w:rFonts w:ascii="Arial" w:hAnsi="Arial" w:cs="Arial"/>
          <w:sz w:val="24"/>
          <w:szCs w:val="24"/>
          <w:u w:val="single"/>
        </w:rPr>
        <w:t xml:space="preserve"> </w:t>
      </w:r>
      <w:r w:rsidRPr="00F05BA3" w:rsidR="00433E85">
        <w:rPr>
          <w:rFonts w:ascii="Arial" w:hAnsi="Arial" w:cs="Arial"/>
          <w:sz w:val="24"/>
          <w:szCs w:val="24"/>
          <w:lang w:val="en-US"/>
        </w:rPr>
        <w:t>(IPCW adjusted) and OS HR</w:t>
      </w:r>
      <w:r w:rsidR="00E559F7">
        <w:rPr>
          <w:rFonts w:ascii="Arial" w:hAnsi="Arial" w:cs="Arial"/>
          <w:sz w:val="24"/>
          <w:szCs w:val="24"/>
          <w:lang w:val="en-US"/>
        </w:rPr>
        <w:t xml:space="preserve"> </w:t>
      </w:r>
      <w:proofErr w:type="spellStart"/>
      <w:r w:rsidRPr="00E559F7" w:rsidR="00E559F7">
        <w:rPr>
          <w:rFonts w:ascii="Arial" w:hAnsi="Arial" w:cs="Arial"/>
          <w:sz w:val="24"/>
          <w:szCs w:val="24"/>
          <w:highlight w:val="black"/>
          <w:u w:val="single"/>
        </w:rPr>
        <w:t>xxxx</w:t>
      </w:r>
      <w:proofErr w:type="spellEnd"/>
      <w:r w:rsidRPr="00B74E36" w:rsidR="00433E85">
        <w:rPr>
          <w:rFonts w:ascii="Arial" w:hAnsi="Arial" w:cs="Arial"/>
          <w:sz w:val="24"/>
          <w:szCs w:val="24"/>
          <w:lang w:val="en-US"/>
        </w:rPr>
        <w:t>,</w:t>
      </w:r>
      <w:r w:rsidRPr="00F05BA3" w:rsidR="00433E85">
        <w:rPr>
          <w:rFonts w:ascii="Arial" w:hAnsi="Arial" w:cs="Arial"/>
          <w:sz w:val="24"/>
          <w:szCs w:val="24"/>
          <w:lang w:val="en-US"/>
        </w:rPr>
        <w:t xml:space="preserve"> 95% CI</w:t>
      </w:r>
      <w:r w:rsidRPr="00E559F7" w:rsidR="00E559F7">
        <w:rPr>
          <w:rFonts w:ascii="Arial" w:hAnsi="Arial" w:cs="Arial"/>
          <w:sz w:val="24"/>
          <w:szCs w:val="24"/>
          <w:highlight w:val="black"/>
          <w:u w:val="single"/>
        </w:rPr>
        <w:t xml:space="preserve"> </w:t>
      </w:r>
      <w:proofErr w:type="spellStart"/>
      <w:r w:rsidRPr="00E559F7" w:rsidR="00E559F7">
        <w:rPr>
          <w:rFonts w:ascii="Arial" w:hAnsi="Arial" w:cs="Arial"/>
          <w:sz w:val="24"/>
          <w:szCs w:val="24"/>
          <w:highlight w:val="black"/>
          <w:u w:val="single"/>
        </w:rPr>
        <w:t>xxxx</w:t>
      </w:r>
      <w:proofErr w:type="spellEnd"/>
      <w:r w:rsidRPr="00E559F7" w:rsidR="00E559F7">
        <w:rPr>
          <w:rFonts w:ascii="Arial" w:hAnsi="Arial" w:cs="Arial"/>
          <w:sz w:val="24"/>
          <w:szCs w:val="24"/>
          <w:highlight w:val="black"/>
          <w:u w:val="single"/>
        </w:rPr>
        <w:t xml:space="preserve"> </w:t>
      </w:r>
      <w:proofErr w:type="spellStart"/>
      <w:r w:rsidRPr="00E559F7" w:rsidR="00E559F7">
        <w:rPr>
          <w:rFonts w:ascii="Arial" w:hAnsi="Arial" w:cs="Arial"/>
          <w:sz w:val="24"/>
          <w:szCs w:val="24"/>
          <w:highlight w:val="black"/>
          <w:u w:val="single"/>
        </w:rPr>
        <w:t>xxxx</w:t>
      </w:r>
      <w:proofErr w:type="spellEnd"/>
      <w:r w:rsidRPr="00B74E36" w:rsidR="00433E85">
        <w:rPr>
          <w:rFonts w:ascii="Arial" w:hAnsi="Arial" w:cs="Arial"/>
          <w:sz w:val="24"/>
          <w:szCs w:val="24"/>
          <w:lang w:val="en-US"/>
        </w:rPr>
        <w:t xml:space="preserve"> </w:t>
      </w:r>
      <w:r w:rsidRPr="00F05BA3" w:rsidR="00433E85">
        <w:rPr>
          <w:rFonts w:ascii="Arial" w:hAnsi="Arial" w:cs="Arial"/>
          <w:sz w:val="24"/>
          <w:szCs w:val="24"/>
          <w:lang w:val="en-US"/>
        </w:rPr>
        <w:t>(RPSFTM adjusted)</w:t>
      </w:r>
      <w:r w:rsidR="00433E85">
        <w:rPr>
          <w:rFonts w:ascii="Arial" w:hAnsi="Arial" w:cs="Arial"/>
          <w:sz w:val="24"/>
          <w:szCs w:val="24"/>
          <w:lang w:val="en-US"/>
        </w:rPr>
        <w:t>]</w:t>
      </w:r>
      <w:r w:rsidR="00433E85">
        <w:rPr>
          <w:rFonts w:ascii="Arial" w:hAnsi="Arial" w:cs="Arial"/>
          <w:sz w:val="24"/>
          <w:szCs w:val="24"/>
        </w:rPr>
        <w:t xml:space="preserve"> </w:t>
      </w:r>
      <w:r w:rsidR="003B34C3">
        <w:rPr>
          <w:rFonts w:ascii="Arial" w:hAnsi="Arial" w:cs="Arial"/>
          <w:sz w:val="24"/>
          <w:szCs w:val="24"/>
        </w:rPr>
        <w:t>meets the threshold</w:t>
      </w:r>
      <w:r w:rsidR="005412C7">
        <w:rPr>
          <w:rFonts w:ascii="Arial" w:hAnsi="Arial" w:cs="Arial"/>
          <w:sz w:val="24"/>
          <w:szCs w:val="24"/>
        </w:rPr>
        <w:t xml:space="preserve"> required to be cost-effective given</w:t>
      </w:r>
      <w:r w:rsidR="00433E85">
        <w:rPr>
          <w:rFonts w:ascii="Arial" w:hAnsi="Arial" w:cs="Arial"/>
          <w:sz w:val="24"/>
          <w:szCs w:val="24"/>
        </w:rPr>
        <w:t xml:space="preserve"> </w:t>
      </w:r>
      <w:r w:rsidR="0092585A">
        <w:rPr>
          <w:rFonts w:ascii="Arial" w:hAnsi="Arial" w:cs="Arial"/>
          <w:sz w:val="24"/>
          <w:szCs w:val="24"/>
        </w:rPr>
        <w:t xml:space="preserve">OS HRs of </w:t>
      </w:r>
      <w:proofErr w:type="spellStart"/>
      <w:r w:rsidRPr="00E559F7" w:rsidR="00E559F7">
        <w:rPr>
          <w:rFonts w:ascii="Arial" w:hAnsi="Arial" w:cs="Arial"/>
          <w:sz w:val="24"/>
          <w:szCs w:val="24"/>
          <w:highlight w:val="black"/>
          <w:u w:val="single"/>
        </w:rPr>
        <w:t>xxxx</w:t>
      </w:r>
      <w:proofErr w:type="spellEnd"/>
      <w:r w:rsidR="0092585A">
        <w:rPr>
          <w:rFonts w:ascii="Arial" w:hAnsi="Arial" w:cs="Arial"/>
          <w:sz w:val="24"/>
          <w:szCs w:val="24"/>
        </w:rPr>
        <w:t xml:space="preserve"> and </w:t>
      </w:r>
      <w:proofErr w:type="spellStart"/>
      <w:r w:rsidRPr="00E559F7" w:rsidR="00E559F7">
        <w:rPr>
          <w:rFonts w:ascii="Arial" w:hAnsi="Arial" w:cs="Arial"/>
          <w:sz w:val="24"/>
          <w:szCs w:val="24"/>
          <w:highlight w:val="black"/>
          <w:u w:val="single"/>
        </w:rPr>
        <w:t>xxxx</w:t>
      </w:r>
      <w:proofErr w:type="spellEnd"/>
      <w:r w:rsidR="0092585A">
        <w:rPr>
          <w:rFonts w:ascii="Arial" w:hAnsi="Arial" w:cs="Arial"/>
          <w:sz w:val="24"/>
          <w:szCs w:val="24"/>
        </w:rPr>
        <w:t xml:space="preserve"> would lead to ICER threshold</w:t>
      </w:r>
      <w:r w:rsidR="009B531B">
        <w:rPr>
          <w:rFonts w:ascii="Arial" w:hAnsi="Arial" w:cs="Arial"/>
          <w:sz w:val="24"/>
          <w:szCs w:val="24"/>
        </w:rPr>
        <w:t>s</w:t>
      </w:r>
      <w:r w:rsidR="0092585A">
        <w:rPr>
          <w:rFonts w:ascii="Arial" w:hAnsi="Arial" w:cs="Arial"/>
          <w:sz w:val="24"/>
          <w:szCs w:val="24"/>
        </w:rPr>
        <w:t xml:space="preserve"> of</w:t>
      </w:r>
      <w:r w:rsidR="009B531B">
        <w:rPr>
          <w:rFonts w:ascii="Arial" w:hAnsi="Arial" w:cs="Arial"/>
          <w:sz w:val="24"/>
          <w:szCs w:val="24"/>
        </w:rPr>
        <w:t xml:space="preserve"> £25,000 and £35,000 respectively. This should especially be considered in the </w:t>
      </w:r>
      <w:r w:rsidR="009841D4">
        <w:rPr>
          <w:rFonts w:ascii="Arial" w:hAnsi="Arial" w:cs="Arial"/>
          <w:sz w:val="24"/>
          <w:szCs w:val="24"/>
        </w:rPr>
        <w:t>context of the high unmet need</w:t>
      </w:r>
      <w:r w:rsidR="006C0F6A">
        <w:rPr>
          <w:rFonts w:ascii="Arial" w:hAnsi="Arial" w:cs="Arial"/>
          <w:sz w:val="24"/>
          <w:szCs w:val="24"/>
        </w:rPr>
        <w:t xml:space="preserve"> in lung NETs and</w:t>
      </w:r>
      <w:r w:rsidR="009542DE">
        <w:rPr>
          <w:rFonts w:ascii="Arial" w:hAnsi="Arial" w:cs="Arial"/>
          <w:sz w:val="24"/>
          <w:szCs w:val="24"/>
        </w:rPr>
        <w:t xml:space="preserve"> </w:t>
      </w:r>
      <w:r w:rsidR="00CE3A8F">
        <w:rPr>
          <w:rFonts w:ascii="Arial" w:hAnsi="Arial" w:cs="Arial"/>
          <w:sz w:val="24"/>
          <w:szCs w:val="24"/>
        </w:rPr>
        <w:t>the rarity</w:t>
      </w:r>
      <w:r w:rsidR="00C5721A">
        <w:rPr>
          <w:rFonts w:ascii="Arial" w:hAnsi="Arial" w:cs="Arial"/>
          <w:sz w:val="24"/>
          <w:szCs w:val="24"/>
        </w:rPr>
        <w:t xml:space="preserve"> of the disease</w:t>
      </w:r>
      <w:r w:rsidR="006C0F6A">
        <w:rPr>
          <w:rFonts w:ascii="Arial" w:hAnsi="Arial" w:cs="Arial"/>
          <w:sz w:val="24"/>
          <w:szCs w:val="24"/>
        </w:rPr>
        <w:t>.</w:t>
      </w:r>
    </w:p>
    <w:p w:rsidRPr="00774B47" w:rsidR="00D64232" w:rsidP="00D64232" w:rsidRDefault="00D64232" w14:paraId="1B17010A" w14:textId="77777777">
      <w:pPr>
        <w:pStyle w:val="Heading1"/>
        <w:rPr>
          <w:rFonts w:ascii="Arial" w:hAnsi="Arial" w:cs="Arial"/>
        </w:rPr>
      </w:pPr>
      <w:r w:rsidRPr="00D15965">
        <w:rPr>
          <w:rFonts w:ascii="Arial" w:hAnsi="Arial" w:cs="Arial"/>
        </w:rPr>
        <w:t>Requested outcome following appeal</w:t>
      </w:r>
    </w:p>
    <w:p w:rsidRPr="00774B47" w:rsidR="00D64232" w:rsidP="00D64232" w:rsidRDefault="00D64232" w14:paraId="5C8F99C6" w14:textId="77777777">
      <w:pPr>
        <w:rPr>
          <w:rFonts w:ascii="Arial" w:hAnsi="Arial" w:cs="Arial"/>
        </w:rPr>
      </w:pPr>
    </w:p>
    <w:p w:rsidRPr="00A828E7" w:rsidR="00A828E7" w:rsidP="00A828E7" w:rsidRDefault="00B34426" w14:paraId="67B488BA" w14:textId="01809D10">
      <w:pPr>
        <w:spacing w:line="360" w:lineRule="auto"/>
        <w:rPr>
          <w:rFonts w:ascii="Arial" w:hAnsi="Arial" w:cs="Arial"/>
          <w:sz w:val="24"/>
          <w:szCs w:val="24"/>
        </w:rPr>
      </w:pPr>
      <w:r>
        <w:rPr>
          <w:rFonts w:ascii="Arial" w:hAnsi="Arial" w:cs="Arial"/>
          <w:sz w:val="24"/>
          <w:szCs w:val="24"/>
        </w:rPr>
        <w:t>The Company</w:t>
      </w:r>
      <w:r w:rsidRPr="00A828E7" w:rsidR="00A828E7">
        <w:rPr>
          <w:rFonts w:ascii="Arial" w:hAnsi="Arial" w:cs="Arial"/>
          <w:sz w:val="24"/>
          <w:szCs w:val="24"/>
        </w:rPr>
        <w:t xml:space="preserve"> respectfully requests the Appeal Panel return this appraisal to the Appraisal Committee for further consideration with the following directions:</w:t>
      </w:r>
    </w:p>
    <w:p w:rsidR="00A828E7" w:rsidP="00A828E7" w:rsidRDefault="00A828E7" w14:paraId="36305505" w14:textId="67225347">
      <w:pPr>
        <w:pStyle w:val="ListParagraph"/>
        <w:numPr>
          <w:ilvl w:val="0"/>
          <w:numId w:val="24"/>
        </w:numPr>
        <w:spacing w:line="360" w:lineRule="auto"/>
        <w:rPr>
          <w:rFonts w:ascii="Arial" w:hAnsi="Arial" w:cs="Arial"/>
          <w:sz w:val="24"/>
          <w:szCs w:val="24"/>
        </w:rPr>
      </w:pPr>
      <w:r>
        <w:rPr>
          <w:rFonts w:ascii="Arial" w:hAnsi="Arial" w:cs="Arial"/>
          <w:sz w:val="24"/>
          <w:szCs w:val="24"/>
        </w:rPr>
        <w:t>The Appraisal Committee should reconsider its estimation of OS benefit</w:t>
      </w:r>
      <w:r w:rsidR="000F2C26">
        <w:rPr>
          <w:rFonts w:ascii="Arial" w:hAnsi="Arial" w:cs="Arial"/>
          <w:sz w:val="24"/>
          <w:szCs w:val="24"/>
        </w:rPr>
        <w:t>,</w:t>
      </w:r>
      <w:r>
        <w:rPr>
          <w:rFonts w:ascii="Arial" w:hAnsi="Arial" w:cs="Arial"/>
          <w:sz w:val="24"/>
          <w:szCs w:val="24"/>
        </w:rPr>
        <w:t xml:space="preserve"> to take into account the evidence provided demonstrating OS benefit (OS HR &lt; 1) on the basis of the following:</w:t>
      </w:r>
    </w:p>
    <w:p w:rsidR="00A828E7" w:rsidP="00A828E7" w:rsidRDefault="00A828E7" w14:paraId="773A5FD4" w14:textId="6F6987FB">
      <w:pPr>
        <w:pStyle w:val="ListParagraph"/>
        <w:numPr>
          <w:ilvl w:val="1"/>
          <w:numId w:val="24"/>
        </w:numPr>
        <w:spacing w:line="360" w:lineRule="auto"/>
        <w:rPr>
          <w:rFonts w:ascii="Arial" w:hAnsi="Arial" w:cs="Arial"/>
          <w:sz w:val="24"/>
          <w:szCs w:val="24"/>
        </w:rPr>
      </w:pPr>
      <w:r>
        <w:rPr>
          <w:rFonts w:ascii="Arial" w:hAnsi="Arial" w:cs="Arial"/>
          <w:sz w:val="24"/>
          <w:szCs w:val="24"/>
        </w:rPr>
        <w:t>There is past precedent to consider OS benefit in NETs despite non-significant OS results</w:t>
      </w:r>
      <w:r w:rsidR="00EB2CBA">
        <w:rPr>
          <w:rFonts w:ascii="Arial" w:hAnsi="Arial" w:cs="Arial"/>
          <w:sz w:val="24"/>
          <w:szCs w:val="24"/>
        </w:rPr>
        <w:t>.</w:t>
      </w:r>
    </w:p>
    <w:p w:rsidR="00A828E7" w:rsidP="00A828E7" w:rsidRDefault="00A828E7" w14:paraId="157B3F01" w14:textId="3E929A00">
      <w:pPr>
        <w:pStyle w:val="ListParagraph"/>
        <w:numPr>
          <w:ilvl w:val="1"/>
          <w:numId w:val="24"/>
        </w:numPr>
        <w:spacing w:line="360" w:lineRule="auto"/>
        <w:rPr>
          <w:rFonts w:ascii="Arial" w:hAnsi="Arial" w:cs="Arial"/>
          <w:sz w:val="24"/>
          <w:szCs w:val="24"/>
        </w:rPr>
      </w:pPr>
      <w:r>
        <w:rPr>
          <w:rFonts w:ascii="Arial" w:hAnsi="Arial" w:cs="Arial"/>
          <w:sz w:val="24"/>
          <w:szCs w:val="24"/>
        </w:rPr>
        <w:t>The unanimous view of all clinical experts consulted across the appraisal indicates that they would anticipate OS benefit associated with cabozantinib</w:t>
      </w:r>
      <w:r w:rsidR="00EB2CBA">
        <w:rPr>
          <w:rFonts w:ascii="Arial" w:hAnsi="Arial" w:cs="Arial"/>
          <w:sz w:val="24"/>
          <w:szCs w:val="24"/>
        </w:rPr>
        <w:t>.</w:t>
      </w:r>
    </w:p>
    <w:p w:rsidR="00A828E7" w:rsidP="00A828E7" w:rsidRDefault="00A828E7" w14:paraId="342CCDEC" w14:textId="192AC88B">
      <w:pPr>
        <w:pStyle w:val="ListParagraph"/>
        <w:numPr>
          <w:ilvl w:val="1"/>
          <w:numId w:val="24"/>
        </w:numPr>
        <w:spacing w:line="360" w:lineRule="auto"/>
        <w:rPr>
          <w:rFonts w:ascii="Arial" w:hAnsi="Arial" w:cs="Arial"/>
          <w:sz w:val="24"/>
          <w:szCs w:val="24"/>
        </w:rPr>
      </w:pPr>
      <w:r>
        <w:rPr>
          <w:rFonts w:ascii="Arial" w:hAnsi="Arial" w:cs="Arial"/>
          <w:sz w:val="24"/>
          <w:szCs w:val="24"/>
        </w:rPr>
        <w:t xml:space="preserve">The </w:t>
      </w:r>
      <w:r w:rsidR="00DB2B03">
        <w:rPr>
          <w:rFonts w:ascii="Arial" w:hAnsi="Arial" w:cs="Arial"/>
          <w:sz w:val="24"/>
          <w:szCs w:val="24"/>
        </w:rPr>
        <w:t>IPCW crossover analysis should be preferred over the RPSFTM</w:t>
      </w:r>
      <w:r w:rsidR="00931CA5">
        <w:rPr>
          <w:rFonts w:ascii="Arial" w:hAnsi="Arial" w:cs="Arial"/>
          <w:sz w:val="24"/>
          <w:szCs w:val="24"/>
        </w:rPr>
        <w:t xml:space="preserve"> based on clinical validity and methodological limitations</w:t>
      </w:r>
      <w:r w:rsidR="00EB2CBA">
        <w:rPr>
          <w:rFonts w:ascii="Arial" w:hAnsi="Arial" w:cs="Arial"/>
          <w:sz w:val="24"/>
          <w:szCs w:val="24"/>
        </w:rPr>
        <w:t>.</w:t>
      </w:r>
    </w:p>
    <w:p w:rsidR="00A828E7" w:rsidP="00A828E7" w:rsidRDefault="00A828E7" w14:paraId="35E4B84B" w14:textId="53138913">
      <w:pPr>
        <w:pStyle w:val="ListParagraph"/>
        <w:numPr>
          <w:ilvl w:val="1"/>
          <w:numId w:val="24"/>
        </w:numPr>
        <w:spacing w:line="360" w:lineRule="auto"/>
        <w:rPr>
          <w:rFonts w:ascii="Arial" w:hAnsi="Arial" w:cs="Arial"/>
          <w:sz w:val="24"/>
          <w:szCs w:val="24"/>
        </w:rPr>
      </w:pPr>
      <w:r>
        <w:rPr>
          <w:rFonts w:ascii="Arial" w:hAnsi="Arial" w:cs="Arial"/>
          <w:sz w:val="24"/>
          <w:szCs w:val="24"/>
        </w:rPr>
        <w:t>There is a clear evidence surrogacy relationship between PFS and OS demonstrated in the literature and supported by clinical expert opinion</w:t>
      </w:r>
      <w:r w:rsidR="00EB2CBA">
        <w:rPr>
          <w:rFonts w:ascii="Arial" w:hAnsi="Arial" w:cs="Arial"/>
          <w:sz w:val="24"/>
          <w:szCs w:val="24"/>
        </w:rPr>
        <w:t>.</w:t>
      </w:r>
    </w:p>
    <w:p w:rsidRPr="00235B3E" w:rsidR="00D1688F" w:rsidP="00643591" w:rsidRDefault="00E869A1" w14:paraId="6CE3118D" w14:textId="2300D968">
      <w:pPr>
        <w:pStyle w:val="ListParagraph"/>
        <w:numPr>
          <w:ilvl w:val="0"/>
          <w:numId w:val="24"/>
        </w:numPr>
        <w:spacing w:line="360" w:lineRule="auto"/>
        <w:rPr>
          <w:rFonts w:ascii="Arial" w:hAnsi="Arial" w:cs="Arial"/>
          <w:sz w:val="24"/>
          <w:szCs w:val="24"/>
        </w:rPr>
      </w:pPr>
      <w:r>
        <w:rPr>
          <w:rFonts w:ascii="Arial" w:hAnsi="Arial" w:cs="Arial"/>
          <w:sz w:val="24"/>
          <w:szCs w:val="24"/>
        </w:rPr>
        <w:t>At minimum</w:t>
      </w:r>
      <w:r w:rsidR="00A828E7">
        <w:rPr>
          <w:rFonts w:ascii="Arial" w:hAnsi="Arial" w:cs="Arial"/>
          <w:sz w:val="24"/>
          <w:szCs w:val="24"/>
        </w:rPr>
        <w:t xml:space="preserve">, the Appraisal Committee should consider an optimised recommendation in the lung NETs population </w:t>
      </w:r>
      <w:r w:rsidRPr="00734C9C" w:rsidR="00A828E7">
        <w:rPr>
          <w:rFonts w:ascii="Arial" w:hAnsi="Arial" w:cs="Arial"/>
          <w:sz w:val="24"/>
          <w:szCs w:val="24"/>
        </w:rPr>
        <w:t xml:space="preserve">where results are strongest, unmet need is highest, and in line with past </w:t>
      </w:r>
      <w:r w:rsidR="00EF4433">
        <w:rPr>
          <w:rFonts w:ascii="Arial" w:hAnsi="Arial" w:cs="Arial"/>
          <w:sz w:val="24"/>
          <w:szCs w:val="24"/>
        </w:rPr>
        <w:t xml:space="preserve">NICE </w:t>
      </w:r>
      <w:r w:rsidRPr="00734C9C" w:rsidR="00A828E7">
        <w:rPr>
          <w:rFonts w:ascii="Arial" w:hAnsi="Arial" w:cs="Arial"/>
          <w:sz w:val="24"/>
          <w:szCs w:val="24"/>
        </w:rPr>
        <w:t>precedent</w:t>
      </w:r>
      <w:r w:rsidR="003D5EEA">
        <w:rPr>
          <w:rFonts w:ascii="Arial" w:hAnsi="Arial" w:cs="Arial"/>
          <w:sz w:val="24"/>
          <w:szCs w:val="24"/>
        </w:rPr>
        <w:t xml:space="preserve">, as supported by recent inclusion in ENETS guidelines. </w:t>
      </w:r>
    </w:p>
    <w:p w:rsidR="00D1688F" w:rsidP="00D1688F" w:rsidRDefault="00D1688F" w14:paraId="030AFE04" w14:textId="15EF7495">
      <w:pPr>
        <w:spacing w:line="360" w:lineRule="auto"/>
        <w:rPr>
          <w:rFonts w:ascii="Arial" w:hAnsi="Arial" w:cs="Arial"/>
          <w:sz w:val="24"/>
          <w:szCs w:val="24"/>
        </w:rPr>
      </w:pPr>
      <w:r>
        <w:rPr>
          <w:rFonts w:ascii="Arial" w:hAnsi="Arial" w:cs="Arial"/>
          <w:sz w:val="24"/>
          <w:szCs w:val="24"/>
        </w:rPr>
        <w:t>Yours sincerely</w:t>
      </w:r>
    </w:p>
    <w:p w:rsidR="00D1688F" w:rsidP="5D668B6C" w:rsidRDefault="00677AF6" w14:paraId="0B221C67" w14:textId="060A1522">
      <w:pPr>
        <w:spacing w:line="360" w:lineRule="auto"/>
        <w:rPr>
          <w:sz w:val="52"/>
          <w:szCs w:val="52"/>
          <w:highlight w:val="black"/>
        </w:rPr>
      </w:pPr>
      <w:r w:rsidRPr="17A54A6B" w:rsidR="35AF8F8C">
        <w:rPr>
          <w:sz w:val="52"/>
          <w:szCs w:val="52"/>
          <w:highlight w:val="black"/>
        </w:rPr>
        <w:t>XXXX</w:t>
      </w:r>
    </w:p>
    <w:p w:rsidR="06CAD24A" w:rsidP="17A54A6B" w:rsidRDefault="06CAD24A" w14:paraId="25A64FED" w14:textId="3BF14938">
      <w:pPr>
        <w:pStyle w:val="Normal"/>
        <w:suppressLineNumbers w:val="0"/>
        <w:bidi w:val="0"/>
        <w:spacing w:before="0" w:beforeAutospacing="off" w:after="120" w:afterAutospacing="off" w:line="240" w:lineRule="auto"/>
        <w:ind w:left="0" w:right="0"/>
        <w:jc w:val="both"/>
        <w:rPr>
          <w:rFonts w:ascii="Arial" w:hAnsi="Arial" w:cs="Arial"/>
          <w:b w:val="1"/>
          <w:bCs w:val="1"/>
          <w:sz w:val="24"/>
          <w:szCs w:val="24"/>
          <w:highlight w:val="black"/>
        </w:rPr>
      </w:pPr>
      <w:r w:rsidRPr="17A54A6B" w:rsidR="06CAD24A">
        <w:rPr>
          <w:rFonts w:ascii="Arial" w:hAnsi="Arial" w:cs="Arial"/>
          <w:b w:val="1"/>
          <w:bCs w:val="1"/>
          <w:sz w:val="24"/>
          <w:szCs w:val="24"/>
          <w:highlight w:val="black"/>
        </w:rPr>
        <w:t>XXXX XXXXXXX</w:t>
      </w:r>
    </w:p>
    <w:p w:rsidRPr="00F046F8" w:rsidR="00F046F8" w:rsidP="6FBC3E10" w:rsidRDefault="00F046F8" w14:paraId="6450EF31" w14:textId="06BAC6B0">
      <w:pPr>
        <w:spacing w:line="240" w:lineRule="auto"/>
        <w:rPr>
          <w:rFonts w:ascii="Arial" w:hAnsi="Arial" w:cs="Arial"/>
          <w:sz w:val="24"/>
          <w:szCs w:val="24"/>
          <w:highlight w:val="black"/>
        </w:rPr>
      </w:pPr>
      <w:r w:rsidRPr="6FBC3E10" w:rsidR="28714BC6">
        <w:rPr>
          <w:rFonts w:ascii="Arial" w:hAnsi="Arial" w:cs="Arial"/>
          <w:sz w:val="24"/>
          <w:szCs w:val="24"/>
          <w:highlight w:val="black"/>
        </w:rPr>
        <w:t>XXXXXXX XXXXXXX</w:t>
      </w:r>
    </w:p>
    <w:p w:rsidRPr="00D1688F" w:rsidR="00082A35" w:rsidP="00F046F8" w:rsidRDefault="00F046F8" w14:paraId="50C1CB2E" w14:textId="0FF51846">
      <w:pPr>
        <w:spacing w:line="240" w:lineRule="auto"/>
        <w:rPr>
          <w:rFonts w:ascii="Arial" w:hAnsi="Arial" w:cs="Arial"/>
          <w:sz w:val="24"/>
          <w:szCs w:val="24"/>
        </w:rPr>
      </w:pPr>
      <w:r w:rsidRPr="00F046F8">
        <w:rPr>
          <w:rFonts w:ascii="Arial" w:hAnsi="Arial" w:cs="Arial"/>
          <w:sz w:val="24"/>
          <w:szCs w:val="24"/>
        </w:rPr>
        <w:t>Ipsen U.K. &amp; Ireland</w:t>
      </w:r>
    </w:p>
    <w:sectPr w:rsidRPr="00D1688F" w:rsidR="00082A35" w:rsidSect="00637DC7">
      <w:headerReference w:type="default" r:id="rId14"/>
      <w:footerReference w:type="even" r:id="rId15"/>
      <w:footerReference w:type="default" r:id="rId16"/>
      <w:footerReference w:type="first" r:id="rId17"/>
      <w:pgSz w:w="11906" w:h="16838" w:orient="portrait"/>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74B47" w:rsidR="00183221" w:rsidP="00D56FF3" w:rsidRDefault="00183221" w14:paraId="4D789C66" w14:textId="77777777">
      <w:pPr>
        <w:spacing w:after="0" w:line="240" w:lineRule="auto"/>
      </w:pPr>
      <w:r w:rsidRPr="00774B47">
        <w:separator/>
      </w:r>
    </w:p>
  </w:endnote>
  <w:endnote w:type="continuationSeparator" w:id="0">
    <w:p w:rsidRPr="00774B47" w:rsidR="00183221" w:rsidP="00D56FF3" w:rsidRDefault="00183221" w14:paraId="6371C2F3" w14:textId="77777777">
      <w:pPr>
        <w:spacing w:after="0" w:line="240" w:lineRule="auto"/>
      </w:pPr>
      <w:r w:rsidRPr="00774B47">
        <w:continuationSeparator/>
      </w:r>
    </w:p>
  </w:endnote>
  <w:endnote w:type="continuationNotice" w:id="1">
    <w:p w:rsidRPr="00774B47" w:rsidR="00183221" w:rsidRDefault="00183221" w14:paraId="1CB6BE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Rethink Sans">
    <w:charset w:val="00"/>
    <w:family w:val="auto"/>
    <w:pitch w:val="variable"/>
    <w:sig w:usb0="A00002FF" w:usb1="4000A47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F6" w:rsidRDefault="00E54EF6" w14:paraId="2EC5334E" w14:textId="0CE8E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B47" w:rsidR="00F342A5" w:rsidP="001B0A3F" w:rsidRDefault="00F342A5" w14:paraId="7EC98970" w14:textId="2A0B41D2">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B47" w:rsidR="000812A2" w:rsidP="007300A5" w:rsidRDefault="000812A2" w14:paraId="55D804A2" w14:textId="6C4EE74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74B47" w:rsidR="00183221" w:rsidP="00D56FF3" w:rsidRDefault="00183221" w14:paraId="4B382E54" w14:textId="77777777">
      <w:pPr>
        <w:spacing w:after="0" w:line="240" w:lineRule="auto"/>
      </w:pPr>
      <w:r w:rsidRPr="00774B47">
        <w:separator/>
      </w:r>
    </w:p>
  </w:footnote>
  <w:footnote w:type="continuationSeparator" w:id="0">
    <w:p w:rsidRPr="00774B47" w:rsidR="00183221" w:rsidP="00D56FF3" w:rsidRDefault="00183221" w14:paraId="1657B3BB" w14:textId="77777777">
      <w:pPr>
        <w:spacing w:after="0" w:line="240" w:lineRule="auto"/>
      </w:pPr>
      <w:r w:rsidRPr="00774B47">
        <w:continuationSeparator/>
      </w:r>
    </w:p>
  </w:footnote>
  <w:footnote w:type="continuationNotice" w:id="1">
    <w:p w:rsidRPr="00774B47" w:rsidR="00183221" w:rsidRDefault="00183221" w14:paraId="5E686AE6" w14:textId="77777777">
      <w:pPr>
        <w:spacing w:after="0" w:line="240" w:lineRule="auto"/>
      </w:pPr>
    </w:p>
  </w:footnote>
  <w:footnote w:id="2">
    <w:p w:rsidRPr="00235B3E" w:rsidR="006C6837" w:rsidRDefault="006C6837" w14:paraId="232C1E4D" w14:textId="71492C6D">
      <w:pPr>
        <w:pStyle w:val="FootnoteText"/>
        <w:rPr>
          <w:rFonts w:ascii="Arial" w:hAnsi="Arial" w:cs="Arial"/>
        </w:rPr>
      </w:pPr>
      <w:r w:rsidRPr="00D42C01">
        <w:rPr>
          <w:rStyle w:val="FootnoteReference"/>
          <w:rFonts w:ascii="Arial" w:hAnsi="Arial" w:cs="Arial"/>
        </w:rPr>
        <w:footnoteRef/>
      </w:r>
      <w:r w:rsidRPr="00205BA9">
        <w:rPr>
          <w:rFonts w:ascii="Arial" w:hAnsi="Arial" w:cs="Arial"/>
          <w:lang w:val="fr-FR"/>
        </w:rPr>
        <w:t xml:space="preserve"> Pavel M, Oberg K, Falconi M, et al. </w:t>
      </w:r>
      <w:proofErr w:type="spellStart"/>
      <w:r w:rsidRPr="00D42C01">
        <w:rPr>
          <w:rFonts w:ascii="Arial" w:hAnsi="Arial" w:cs="Arial"/>
        </w:rPr>
        <w:t>Gastroenteropancreatic</w:t>
      </w:r>
      <w:proofErr w:type="spellEnd"/>
      <w:r w:rsidRPr="00D42C01">
        <w:rPr>
          <w:rFonts w:ascii="Arial" w:hAnsi="Arial" w:cs="Arial"/>
        </w:rPr>
        <w:t xml:space="preserve"> neuroendocrine neoplasms: ESMO Clinical Practice Guidelines for diagnosis, treatment and follow-up. </w:t>
      </w:r>
      <w:r w:rsidRPr="00235B3E">
        <w:rPr>
          <w:rFonts w:ascii="Arial" w:hAnsi="Arial" w:cs="Arial"/>
        </w:rPr>
        <w:t>Ann Oncol 2020;31:844-860.</w:t>
      </w:r>
    </w:p>
  </w:footnote>
  <w:footnote w:id="3">
    <w:p w:rsidRPr="00E559F7" w:rsidR="0068739A" w:rsidRDefault="0068739A" w14:paraId="2B925C08" w14:textId="3FA69B4F">
      <w:pPr>
        <w:pStyle w:val="FootnoteText"/>
        <w:rPr>
          <w:rFonts w:ascii="Arial" w:hAnsi="Arial" w:cs="Arial"/>
          <w:lang w:val="fr-FR"/>
        </w:rPr>
      </w:pPr>
      <w:r w:rsidRPr="00D42C01">
        <w:rPr>
          <w:rStyle w:val="FootnoteReference"/>
          <w:rFonts w:ascii="Arial" w:hAnsi="Arial" w:cs="Arial"/>
        </w:rPr>
        <w:footnoteRef/>
      </w:r>
      <w:r w:rsidRPr="00D42C01">
        <w:rPr>
          <w:rFonts w:ascii="Arial" w:hAnsi="Arial" w:cs="Arial"/>
        </w:rPr>
        <w:t xml:space="preserve"> White BE, Rous B, </w:t>
      </w:r>
      <w:proofErr w:type="spellStart"/>
      <w:r w:rsidRPr="00D42C01">
        <w:rPr>
          <w:rFonts w:ascii="Arial" w:hAnsi="Arial" w:cs="Arial"/>
        </w:rPr>
        <w:t>Chandrakumaran</w:t>
      </w:r>
      <w:proofErr w:type="spellEnd"/>
      <w:r w:rsidRPr="00D42C01">
        <w:rPr>
          <w:rFonts w:ascii="Arial" w:hAnsi="Arial" w:cs="Arial"/>
        </w:rPr>
        <w:t xml:space="preserve"> K, et al. Incidence and survival of neuroendocrine neoplasia in England 1995-2018: A retrospective, population-based study. </w:t>
      </w:r>
      <w:r w:rsidRPr="00E559F7">
        <w:rPr>
          <w:rFonts w:ascii="Arial" w:hAnsi="Arial" w:cs="Arial"/>
          <w:lang w:val="fr-FR"/>
        </w:rPr>
        <w:t>Lancet Reg Health Eur 2022;23:100510.</w:t>
      </w:r>
    </w:p>
  </w:footnote>
  <w:footnote w:id="4">
    <w:p w:rsidRPr="00D42C01" w:rsidR="002B50DD" w:rsidRDefault="002B50DD" w14:paraId="14EF4ED3" w14:textId="3CC2EE5C">
      <w:pPr>
        <w:pStyle w:val="FootnoteText"/>
        <w:rPr>
          <w:rFonts w:ascii="Arial" w:hAnsi="Arial" w:cs="Arial"/>
          <w:lang w:val="en-US"/>
        </w:rPr>
      </w:pPr>
      <w:r w:rsidRPr="00D42C01">
        <w:rPr>
          <w:rStyle w:val="FootnoteReference"/>
          <w:rFonts w:ascii="Arial" w:hAnsi="Arial" w:cs="Arial"/>
        </w:rPr>
        <w:footnoteRef/>
      </w:r>
      <w:r w:rsidRPr="00D42C01">
        <w:rPr>
          <w:rFonts w:ascii="Arial" w:hAnsi="Arial" w:cs="Arial"/>
          <w:lang w:val="fr-FR"/>
        </w:rPr>
        <w:t xml:space="preserve"> Genus T, Bouvier C, Wong K, et al. </w:t>
      </w:r>
      <w:r w:rsidRPr="00D42C01">
        <w:rPr>
          <w:rFonts w:ascii="Arial" w:hAnsi="Arial" w:cs="Arial"/>
        </w:rPr>
        <w:t xml:space="preserve">Incidence and prevalence of neuroendocrine tumours in England., In Endocrine Abstracts, </w:t>
      </w:r>
      <w:proofErr w:type="spellStart"/>
      <w:r w:rsidRPr="00D42C01">
        <w:rPr>
          <w:rFonts w:ascii="Arial" w:hAnsi="Arial" w:cs="Arial"/>
        </w:rPr>
        <w:t>Bioscientifica</w:t>
      </w:r>
      <w:proofErr w:type="spellEnd"/>
      <w:r w:rsidRPr="00D42C01">
        <w:rPr>
          <w:rFonts w:ascii="Arial" w:hAnsi="Arial" w:cs="Arial"/>
        </w:rPr>
        <w:t>, 2017.</w:t>
      </w:r>
    </w:p>
  </w:footnote>
  <w:footnote w:id="5">
    <w:p w:rsidR="00B95F37" w:rsidRDefault="00B95F37" w14:paraId="3C1DDEAB" w14:textId="709462ED">
      <w:pPr>
        <w:pStyle w:val="FootnoteText"/>
      </w:pPr>
      <w:r w:rsidRPr="00D42C01">
        <w:rPr>
          <w:rStyle w:val="FootnoteReference"/>
          <w:rFonts w:ascii="Arial" w:hAnsi="Arial" w:cs="Arial"/>
        </w:rPr>
        <w:footnoteRef/>
      </w:r>
      <w:r w:rsidRPr="00D42C01">
        <w:rPr>
          <w:rFonts w:ascii="Arial" w:hAnsi="Arial" w:cs="Arial"/>
          <w:lang w:val="it-IT"/>
        </w:rPr>
        <w:t xml:space="preserve"> Jalbert JJ, Casciano R, Meng J, et al. </w:t>
      </w:r>
      <w:r w:rsidRPr="00D42C01">
        <w:rPr>
          <w:rFonts w:ascii="Arial" w:hAnsi="Arial" w:cs="Arial"/>
        </w:rPr>
        <w:t xml:space="preserve">Treatment Patterns and Health Resource Use Among Patients with Metastatic </w:t>
      </w:r>
      <w:proofErr w:type="spellStart"/>
      <w:r w:rsidRPr="00D42C01">
        <w:rPr>
          <w:rFonts w:ascii="Arial" w:hAnsi="Arial" w:cs="Arial"/>
        </w:rPr>
        <w:t>Gastroenteropancreatic</w:t>
      </w:r>
      <w:proofErr w:type="spellEnd"/>
      <w:r w:rsidRPr="00D42C01">
        <w:rPr>
          <w:rFonts w:ascii="Arial" w:hAnsi="Arial" w:cs="Arial"/>
        </w:rPr>
        <w:t xml:space="preserve"> Neuroendocrine </w:t>
      </w:r>
      <w:proofErr w:type="spellStart"/>
      <w:r w:rsidRPr="00D42C01">
        <w:rPr>
          <w:rFonts w:ascii="Arial" w:hAnsi="Arial" w:cs="Arial"/>
        </w:rPr>
        <w:t>Tumors</w:t>
      </w:r>
      <w:proofErr w:type="spellEnd"/>
      <w:r w:rsidRPr="00D42C01">
        <w:rPr>
          <w:rFonts w:ascii="Arial" w:hAnsi="Arial" w:cs="Arial"/>
        </w:rPr>
        <w:t xml:space="preserve"> Treated at a Tertiary Referral </w:t>
      </w:r>
      <w:proofErr w:type="spellStart"/>
      <w:r w:rsidRPr="00D42C01">
        <w:rPr>
          <w:rFonts w:ascii="Arial" w:hAnsi="Arial" w:cs="Arial"/>
        </w:rPr>
        <w:t>Center</w:t>
      </w:r>
      <w:proofErr w:type="spellEnd"/>
      <w:r w:rsidRPr="00D42C01">
        <w:rPr>
          <w:rFonts w:ascii="Arial" w:hAnsi="Arial" w:cs="Arial"/>
        </w:rPr>
        <w:t>. Oncologist 2020;25:e644-e650.</w:t>
      </w:r>
    </w:p>
  </w:footnote>
  <w:footnote w:id="6">
    <w:p w:rsidRPr="00A321E0" w:rsidR="00EB5D81" w:rsidRDefault="00EB5D81" w14:paraId="35E4F375" w14:textId="03ACCE60">
      <w:pPr>
        <w:pStyle w:val="FootnoteText"/>
        <w:rPr>
          <w:rFonts w:ascii="Arial" w:hAnsi="Arial" w:cs="Arial"/>
          <w:lang w:val="en-US"/>
        </w:rPr>
      </w:pPr>
      <w:r w:rsidRPr="00A321E0">
        <w:rPr>
          <w:rStyle w:val="FootnoteReference"/>
          <w:rFonts w:ascii="Arial" w:hAnsi="Arial" w:cs="Arial"/>
        </w:rPr>
        <w:footnoteRef/>
      </w:r>
      <w:r w:rsidRPr="00A321E0">
        <w:rPr>
          <w:rFonts w:ascii="Arial" w:hAnsi="Arial" w:cs="Arial"/>
        </w:rPr>
        <w:t xml:space="preserve"> </w:t>
      </w:r>
      <w:r w:rsidRPr="00A321E0">
        <w:rPr>
          <w:rFonts w:ascii="Arial" w:hAnsi="Arial" w:cs="Arial"/>
          <w:lang w:val="en-US"/>
        </w:rPr>
        <w:t xml:space="preserve">UK Parliament. </w:t>
      </w:r>
      <w:r w:rsidRPr="00A321E0">
        <w:rPr>
          <w:rFonts w:ascii="Arial" w:hAnsi="Arial" w:cs="Arial"/>
          <w:i/>
          <w:iCs/>
          <w:lang w:val="en-US"/>
        </w:rPr>
        <w:t>Rare Cancers Act 2026.</w:t>
      </w:r>
      <w:r w:rsidRPr="00A321E0">
        <w:rPr>
          <w:rFonts w:ascii="Arial" w:hAnsi="Arial" w:cs="Arial"/>
          <w:lang w:val="en-US"/>
        </w:rPr>
        <w:t xml:space="preserve"> Parliamentary Bills (Bill 3779).</w:t>
      </w:r>
      <w:r w:rsidRPr="00A321E0">
        <w:rPr>
          <w:rFonts w:ascii="Arial" w:hAnsi="Arial" w:cs="Arial"/>
          <w:lang w:val="en-US"/>
        </w:rPr>
        <w:br/>
      </w:r>
      <w:r w:rsidRPr="00A321E0">
        <w:rPr>
          <w:rFonts w:ascii="Arial" w:hAnsi="Arial" w:cs="Arial"/>
          <w:lang w:val="en-US"/>
        </w:rPr>
        <w:t>https://bills.parliament.uk/bills/3779</w:t>
      </w:r>
    </w:p>
  </w:footnote>
  <w:footnote w:id="7">
    <w:p w:rsidRPr="00A321E0" w:rsidR="00A321E0" w:rsidP="00A321E0" w:rsidRDefault="00A321E0" w14:paraId="478B5222" w14:textId="77777777">
      <w:pPr>
        <w:pStyle w:val="FootnoteText"/>
        <w:rPr>
          <w:rFonts w:ascii="Arial" w:hAnsi="Arial" w:cs="Arial"/>
        </w:rPr>
      </w:pPr>
      <w:r w:rsidRPr="00A321E0">
        <w:rPr>
          <w:rStyle w:val="FootnoteReference"/>
          <w:rFonts w:ascii="Arial" w:hAnsi="Arial" w:cs="Arial"/>
        </w:rPr>
        <w:footnoteRef/>
      </w:r>
      <w:r w:rsidRPr="00A321E0">
        <w:rPr>
          <w:rFonts w:ascii="Arial" w:hAnsi="Arial" w:cs="Arial"/>
        </w:rPr>
        <w:t xml:space="preserve"> UK Parliament. Neuroendocrine Cancer. House of Commons debate, 16 April 2026. Parallel Parliament.</w:t>
      </w:r>
    </w:p>
    <w:p w:rsidRPr="00A321E0" w:rsidR="00A321E0" w:rsidP="00A321E0" w:rsidRDefault="00A321E0" w14:paraId="67AB960E" w14:textId="46DABAFE">
      <w:pPr>
        <w:pStyle w:val="FootnoteText"/>
        <w:rPr>
          <w:rFonts w:ascii="Arial" w:hAnsi="Arial" w:cs="Arial"/>
          <w:lang w:val="en-US"/>
        </w:rPr>
      </w:pPr>
      <w:r w:rsidRPr="00A321E0">
        <w:rPr>
          <w:rFonts w:ascii="Arial" w:hAnsi="Arial" w:cs="Arial"/>
        </w:rPr>
        <w:t>https://www.parallelparliament.co.uk/debate/2026-04-16/commons/commons-chamber/neuroendocrine-cancer</w:t>
      </w:r>
    </w:p>
  </w:footnote>
  <w:footnote w:id="8">
    <w:p w:rsidR="00C24D81" w:rsidP="00C24D81" w:rsidRDefault="00C24D81" w14:paraId="0A5AF6E8" w14:textId="77777777">
      <w:pPr>
        <w:pStyle w:val="FootnoteText"/>
      </w:pPr>
      <w:r w:rsidRPr="00A321E0">
        <w:rPr>
          <w:rStyle w:val="FootnoteReference"/>
          <w:rFonts w:ascii="Arial" w:hAnsi="Arial" w:cs="Arial"/>
        </w:rPr>
        <w:footnoteRef/>
      </w:r>
      <w:r w:rsidRPr="00A321E0">
        <w:rPr>
          <w:rFonts w:ascii="Arial" w:hAnsi="Arial" w:cs="Arial"/>
        </w:rPr>
        <w:t xml:space="preserve"> Partnership THP. Neuroendocrine cancer: an ideal patient care pathway. Available at: https://www.healthpolicypartnership.com/app/uploads/Neuroendocrine-cancer-an-ideal-patient-care-pathway.pdf.</w:t>
      </w:r>
      <w:r w:rsidRPr="00B95F37">
        <w:t xml:space="preserve"> </w:t>
      </w:r>
    </w:p>
  </w:footnote>
  <w:footnote w:id="9">
    <w:p w:rsidRPr="00F22019" w:rsidR="00997DDC" w:rsidP="00997DDC" w:rsidRDefault="00997DDC" w14:paraId="4543DF23" w14:textId="77777777">
      <w:pPr>
        <w:pStyle w:val="FootnoteText"/>
        <w:rPr>
          <w:rFonts w:ascii="Arial" w:hAnsi="Arial" w:cs="Arial"/>
        </w:rPr>
      </w:pPr>
      <w:r w:rsidRPr="00F22019">
        <w:rPr>
          <w:rStyle w:val="FootnoteReference"/>
          <w:rFonts w:ascii="Arial" w:hAnsi="Arial" w:cs="Arial"/>
        </w:rPr>
        <w:footnoteRef/>
      </w:r>
      <w:r w:rsidRPr="00F22019">
        <w:rPr>
          <w:rFonts w:ascii="Arial" w:hAnsi="Arial" w:cs="Arial"/>
          <w:lang w:val="it-IT"/>
        </w:rPr>
        <w:t xml:space="preserve"> Pizzamiglio C, Vernon HJ, Hanna MG, et al. </w:t>
      </w:r>
      <w:r w:rsidRPr="00F22019">
        <w:rPr>
          <w:rFonts w:ascii="Arial" w:hAnsi="Arial" w:cs="Arial"/>
        </w:rPr>
        <w:t>Designing clinical trials for rare diseases: unique challenges and opportunities. Nature Reviews Methods Primers 2022;2:13.</w:t>
      </w:r>
    </w:p>
  </w:footnote>
  <w:footnote w:id="10">
    <w:p w:rsidRPr="00F22019" w:rsidR="00997DDC" w:rsidP="00997DDC" w:rsidRDefault="00997DDC" w14:paraId="57D413AF" w14:textId="77777777">
      <w:pPr>
        <w:pStyle w:val="FootnoteText"/>
        <w:rPr>
          <w:rFonts w:ascii="Arial" w:hAnsi="Arial" w:cs="Arial"/>
        </w:rPr>
      </w:pPr>
      <w:r w:rsidRPr="00F22019">
        <w:rPr>
          <w:rStyle w:val="FootnoteReference"/>
          <w:rFonts w:ascii="Arial" w:hAnsi="Arial" w:cs="Arial"/>
        </w:rPr>
        <w:footnoteRef/>
      </w:r>
      <w:r w:rsidRPr="00F22019">
        <w:rPr>
          <w:rFonts w:ascii="Arial" w:hAnsi="Arial" w:cs="Arial"/>
        </w:rPr>
        <w:t xml:space="preserve"> Yao JC, Lagunes DR, Kulke MH. Targeted therapies in neuroendocrine </w:t>
      </w:r>
      <w:proofErr w:type="spellStart"/>
      <w:r w:rsidRPr="00F22019">
        <w:rPr>
          <w:rFonts w:ascii="Arial" w:hAnsi="Arial" w:cs="Arial"/>
        </w:rPr>
        <w:t>tumors</w:t>
      </w:r>
      <w:proofErr w:type="spellEnd"/>
      <w:r w:rsidRPr="00F22019">
        <w:rPr>
          <w:rFonts w:ascii="Arial" w:hAnsi="Arial" w:cs="Arial"/>
        </w:rPr>
        <w:t xml:space="preserve"> (NET): clinical trial challenges and lessons learned. The Oncologist 2013;18:525-532.</w:t>
      </w:r>
    </w:p>
  </w:footnote>
  <w:footnote w:id="11">
    <w:p w:rsidR="00B95F37" w:rsidRDefault="00B95F37" w14:paraId="1520C110" w14:textId="39F0420D">
      <w:pPr>
        <w:pStyle w:val="FootnoteText"/>
      </w:pPr>
      <w:r w:rsidRPr="00F22019">
        <w:rPr>
          <w:rStyle w:val="FootnoteReference"/>
          <w:rFonts w:ascii="Arial" w:hAnsi="Arial" w:cs="Arial"/>
        </w:rPr>
        <w:footnoteRef/>
      </w:r>
      <w:r w:rsidRPr="00F22019">
        <w:rPr>
          <w:rFonts w:ascii="Arial" w:hAnsi="Arial" w:cs="Arial"/>
        </w:rPr>
        <w:t xml:space="preserve"> Chan JA, Geyer S, Zemla T, et al. Phase 3 Trial of Cabozantinib to Treat Advanced Neuroendocrine </w:t>
      </w:r>
      <w:proofErr w:type="spellStart"/>
      <w:r w:rsidRPr="00F22019">
        <w:rPr>
          <w:rFonts w:ascii="Arial" w:hAnsi="Arial" w:cs="Arial"/>
        </w:rPr>
        <w:t>Tumors</w:t>
      </w:r>
      <w:proofErr w:type="spellEnd"/>
      <w:r w:rsidRPr="00F22019">
        <w:rPr>
          <w:rFonts w:ascii="Arial" w:hAnsi="Arial" w:cs="Arial"/>
        </w:rPr>
        <w:t>, 392(7), 653. N Engl J Med 2024.</w:t>
      </w:r>
    </w:p>
  </w:footnote>
  <w:footnote w:id="12">
    <w:p w:rsidRPr="009F5AFE" w:rsidR="009F5AFE" w:rsidRDefault="009F5AFE" w14:paraId="276BC1B3" w14:textId="2B51AD4B">
      <w:pPr>
        <w:pStyle w:val="FootnoteText"/>
        <w:rPr>
          <w:rFonts w:ascii="Arial" w:hAnsi="Arial" w:cs="Arial"/>
        </w:rPr>
      </w:pPr>
      <w:r w:rsidRPr="009F5AFE">
        <w:rPr>
          <w:rStyle w:val="FootnoteReference"/>
          <w:rFonts w:ascii="Arial" w:hAnsi="Arial" w:cs="Arial"/>
        </w:rPr>
        <w:footnoteRef/>
      </w:r>
      <w:r w:rsidRPr="009F5AFE">
        <w:rPr>
          <w:rFonts w:ascii="Arial" w:hAnsi="Arial" w:cs="Arial"/>
        </w:rPr>
        <w:t xml:space="preserve"> National Institute for Health and Care Excellence (NICE). Everolimus and sunitinib for treating unresectable or metastatic neuroendocrine tumours in people with progressive disease </w:t>
      </w:r>
      <w:r w:rsidR="008349A9">
        <w:rPr>
          <w:rFonts w:ascii="Arial" w:hAnsi="Arial" w:cs="Arial"/>
        </w:rPr>
        <w:t>(</w:t>
      </w:r>
      <w:r w:rsidRPr="009F5AFE">
        <w:rPr>
          <w:rFonts w:ascii="Arial" w:hAnsi="Arial" w:cs="Arial"/>
        </w:rPr>
        <w:t>TA449</w:t>
      </w:r>
      <w:r w:rsidR="008349A9">
        <w:rPr>
          <w:rFonts w:ascii="Arial" w:hAnsi="Arial" w:cs="Arial"/>
        </w:rPr>
        <w:t>)</w:t>
      </w:r>
      <w:r w:rsidRPr="009F5AFE">
        <w:rPr>
          <w:rFonts w:ascii="Arial" w:hAnsi="Arial" w:cs="Arial"/>
        </w:rPr>
        <w:t>.</w:t>
      </w:r>
    </w:p>
  </w:footnote>
  <w:footnote w:id="13">
    <w:p w:rsidRPr="005A1EA2" w:rsidR="00C75301" w:rsidP="00C75301" w:rsidRDefault="00C75301" w14:paraId="6BC57591" w14:textId="77777777">
      <w:pPr>
        <w:pStyle w:val="FootnoteText"/>
        <w:rPr>
          <w:rFonts w:ascii="Arial" w:hAnsi="Arial" w:cs="Arial"/>
          <w:lang w:val="fr-FR"/>
        </w:rPr>
      </w:pPr>
      <w:r w:rsidRPr="00C75301">
        <w:rPr>
          <w:rStyle w:val="FootnoteReference"/>
          <w:rFonts w:ascii="Arial" w:hAnsi="Arial" w:cs="Arial"/>
        </w:rPr>
        <w:footnoteRef/>
      </w:r>
      <w:r w:rsidRPr="00C75301">
        <w:rPr>
          <w:rFonts w:ascii="Arial" w:hAnsi="Arial" w:cs="Arial"/>
        </w:rPr>
        <w:t xml:space="preserve"> NICE. Appeal decision: Pembrolizumab for treating locally advanced or metastatic urothelial carcinoma (TA692). </w:t>
      </w:r>
      <w:r w:rsidRPr="005A1EA2">
        <w:rPr>
          <w:rFonts w:ascii="Arial" w:hAnsi="Arial" w:cs="Arial"/>
          <w:lang w:val="fr-FR"/>
        </w:rPr>
        <w:t>23 June 2020.</w:t>
      </w:r>
    </w:p>
    <w:p w:rsidRPr="005A1EA2" w:rsidR="00C75301" w:rsidP="00C75301" w:rsidRDefault="00C75301" w14:paraId="360916E7" w14:textId="113C19F0">
      <w:pPr>
        <w:pStyle w:val="FootnoteText"/>
        <w:rPr>
          <w:lang w:val="fr-FR"/>
        </w:rPr>
      </w:pPr>
      <w:r w:rsidRPr="005A1EA2">
        <w:rPr>
          <w:rFonts w:ascii="Arial" w:hAnsi="Arial" w:cs="Arial"/>
          <w:lang w:val="fr-FR"/>
        </w:rPr>
        <w:t>https://www.nice.org.uk/guidance/ta692/documents/appeal-decision</w:t>
      </w:r>
    </w:p>
  </w:footnote>
  <w:footnote w:id="14">
    <w:p w:rsidRPr="005A1EA2" w:rsidR="00B0240D" w:rsidRDefault="00B0240D" w14:paraId="16AAB88C" w14:textId="4B921396">
      <w:pPr>
        <w:pStyle w:val="FootnoteText"/>
        <w:rPr>
          <w:rFonts w:ascii="Arial" w:hAnsi="Arial" w:cs="Arial"/>
        </w:rPr>
      </w:pPr>
      <w:r w:rsidRPr="005A1EA2">
        <w:rPr>
          <w:rStyle w:val="FootnoteReference"/>
          <w:rFonts w:ascii="Arial" w:hAnsi="Arial" w:cs="Arial"/>
        </w:rPr>
        <w:footnoteRef/>
      </w:r>
      <w:r w:rsidRPr="005A1EA2">
        <w:rPr>
          <w:rFonts w:ascii="Arial" w:hAnsi="Arial" w:cs="Arial"/>
          <w:lang w:val="fr-FR"/>
        </w:rPr>
        <w:t xml:space="preserve"> Baudin, Eric, et al. </w:t>
      </w:r>
      <w:r w:rsidRPr="005A1EA2">
        <w:rPr>
          <w:rFonts w:ascii="Arial" w:hAnsi="Arial" w:cs="Arial"/>
        </w:rPr>
        <w:t xml:space="preserve">"European Society of Neuroendocrine </w:t>
      </w:r>
      <w:proofErr w:type="spellStart"/>
      <w:r w:rsidRPr="005A1EA2">
        <w:rPr>
          <w:rFonts w:ascii="Arial" w:hAnsi="Arial" w:cs="Arial"/>
        </w:rPr>
        <w:t>Tumors</w:t>
      </w:r>
      <w:proofErr w:type="spellEnd"/>
      <w:r w:rsidRPr="005A1EA2">
        <w:rPr>
          <w:rFonts w:ascii="Arial" w:hAnsi="Arial" w:cs="Arial"/>
        </w:rPr>
        <w:t xml:space="preserve"> (ENETS) 2025 guidance paper for lung and thymic carcinoids." </w:t>
      </w:r>
      <w:r w:rsidRPr="005A1EA2">
        <w:rPr>
          <w:rFonts w:ascii="Arial" w:hAnsi="Arial" w:cs="Arial"/>
          <w:i/>
          <w:iCs/>
        </w:rPr>
        <w:t>Journal of Neuroendocrinology</w:t>
      </w:r>
      <w:r w:rsidRPr="005A1EA2">
        <w:rPr>
          <w:rFonts w:ascii="Arial" w:hAnsi="Arial" w:cs="Arial"/>
        </w:rPr>
        <w:t> 38.4 (2026): e70174.</w:t>
      </w:r>
    </w:p>
  </w:footnote>
  <w:footnote w:id="15">
    <w:p w:rsidRPr="005A1EA2" w:rsidR="005919F1" w:rsidRDefault="005919F1" w14:paraId="1775C21C" w14:textId="7D18CBCF">
      <w:pPr>
        <w:pStyle w:val="FootnoteText"/>
        <w:rPr>
          <w:rFonts w:ascii="Arial" w:hAnsi="Arial" w:cs="Arial"/>
        </w:rPr>
      </w:pPr>
      <w:r w:rsidRPr="005A1EA2">
        <w:rPr>
          <w:rStyle w:val="FootnoteReference"/>
          <w:rFonts w:ascii="Arial" w:hAnsi="Arial" w:cs="Arial"/>
        </w:rPr>
        <w:footnoteRef/>
      </w:r>
      <w:r w:rsidRPr="005A1EA2">
        <w:rPr>
          <w:rFonts w:ascii="Arial" w:hAnsi="Arial" w:cs="Arial"/>
        </w:rPr>
        <w:t xml:space="preserve"> Singh S, et al. </w:t>
      </w:r>
      <w:r w:rsidRPr="005A1EA2">
        <w:rPr>
          <w:rFonts w:ascii="Arial" w:hAnsi="Arial" w:cs="Arial"/>
          <w:i/>
          <w:iCs/>
        </w:rPr>
        <w:t xml:space="preserve">Consensus report of the 2021 National Cancer Institute Neuroendocrine </w:t>
      </w:r>
      <w:proofErr w:type="spellStart"/>
      <w:r w:rsidRPr="005A1EA2">
        <w:rPr>
          <w:rFonts w:ascii="Arial" w:hAnsi="Arial" w:cs="Arial"/>
          <w:i/>
          <w:iCs/>
        </w:rPr>
        <w:t>Tumor</w:t>
      </w:r>
      <w:proofErr w:type="spellEnd"/>
      <w:r w:rsidRPr="005A1EA2">
        <w:rPr>
          <w:rFonts w:ascii="Arial" w:hAnsi="Arial" w:cs="Arial"/>
          <w:i/>
          <w:iCs/>
        </w:rPr>
        <w:t xml:space="preserve"> Clinical Trials Planning Meeting.</w:t>
      </w:r>
      <w:r w:rsidRPr="005A1EA2">
        <w:rPr>
          <w:rFonts w:ascii="Arial" w:hAnsi="Arial" w:cs="Arial"/>
        </w:rPr>
        <w:t xml:space="preserve"> 2023.</w:t>
      </w:r>
    </w:p>
  </w:footnote>
  <w:footnote w:id="16">
    <w:p w:rsidRPr="00204EB5" w:rsidR="00887690" w:rsidRDefault="00887690" w14:paraId="6C5964A6" w14:textId="58F65EFA">
      <w:pPr>
        <w:pStyle w:val="FootnoteText"/>
        <w:rPr>
          <w:rFonts w:ascii="Arial" w:hAnsi="Arial" w:cs="Arial"/>
        </w:rPr>
      </w:pPr>
      <w:r w:rsidRPr="00204EB5">
        <w:rPr>
          <w:rStyle w:val="FootnoteReference"/>
          <w:rFonts w:ascii="Arial" w:hAnsi="Arial" w:cs="Arial"/>
        </w:rPr>
        <w:footnoteRef/>
      </w:r>
      <w:r w:rsidRPr="00204EB5">
        <w:rPr>
          <w:rFonts w:ascii="Arial" w:hAnsi="Arial" w:cs="Arial"/>
        </w:rPr>
        <w:t xml:space="preserve"> National Institute for Health and Care Excellence (NICE). NICE technology appraisal and highly specialised technologies guidance: the manual (PMG36). 2022; updated 2026. Available from: https://www.nice.org.uk/process/pmg36/resources/nice-technology-appraisal-and-highly-specialised-technologies-guidance-the-manual-pdf-72286779244741</w:t>
      </w:r>
    </w:p>
  </w:footnote>
  <w:footnote w:id="17">
    <w:p w:rsidR="00386B8D" w:rsidP="00643591" w:rsidRDefault="00386B8D" w14:paraId="4E36D62C" w14:textId="1C20D181">
      <w:pPr>
        <w:pStyle w:val="FootnoteText"/>
        <w:jc w:val="left"/>
      </w:pPr>
      <w:r w:rsidRPr="00204EB5">
        <w:rPr>
          <w:rStyle w:val="FootnoteReference"/>
          <w:rFonts w:ascii="Arial" w:hAnsi="Arial" w:cs="Arial"/>
        </w:rPr>
        <w:footnoteRef/>
      </w:r>
      <w:r w:rsidRPr="00204EB5">
        <w:rPr>
          <w:rFonts w:ascii="Arial" w:hAnsi="Arial" w:cs="Arial"/>
        </w:rPr>
        <w:t xml:space="preserve"> </w:t>
      </w:r>
      <w:r w:rsidRPr="00204EB5">
        <w:rPr>
          <w:rFonts w:ascii="Arial" w:hAnsi="Arial" w:cs="Arial"/>
          <w:i/>
          <w:iCs/>
        </w:rPr>
        <w:t>R v Parliamentary Commissioner for administration</w:t>
      </w:r>
      <w:r w:rsidRPr="00204EB5">
        <w:rPr>
          <w:rFonts w:ascii="Arial" w:hAnsi="Arial" w:cs="Arial"/>
        </w:rPr>
        <w:t>, ex p. Balchin [1996] 10 WLUK 435</w:t>
      </w:r>
    </w:p>
  </w:footnote>
  <w:footnote w:id="18">
    <w:p w:rsidRPr="00722EF7" w:rsidR="00D64232" w:rsidP="00D64232" w:rsidRDefault="00D64232" w14:paraId="3745EDF3" w14:textId="77777777">
      <w:pPr>
        <w:pStyle w:val="FootnoteText"/>
      </w:pPr>
      <w:r w:rsidRPr="00887690">
        <w:rPr>
          <w:rStyle w:val="FootnoteReference"/>
          <w:rFonts w:ascii="Arial" w:hAnsi="Arial" w:cs="Arial"/>
        </w:rPr>
        <w:footnoteRef/>
      </w:r>
      <w:r w:rsidRPr="00887690">
        <w:rPr>
          <w:rFonts w:ascii="Arial" w:hAnsi="Arial" w:cs="Arial"/>
        </w:rPr>
        <w:t xml:space="preserve"> Oakley JE, Ren, S., Forsyth, J. E., Gosling, P. G., Wilson, K., Latimer, N., Rutherford, M. J., Uttley, L., </w:t>
      </w:r>
      <w:proofErr w:type="spellStart"/>
      <w:r w:rsidRPr="00887690">
        <w:rPr>
          <w:rFonts w:ascii="Arial" w:hAnsi="Arial" w:cs="Arial"/>
        </w:rPr>
        <w:t>Fortheringham</w:t>
      </w:r>
      <w:proofErr w:type="spellEnd"/>
      <w:r w:rsidRPr="00887690">
        <w:rPr>
          <w:rFonts w:ascii="Arial" w:hAnsi="Arial" w:cs="Arial"/>
        </w:rPr>
        <w:t>, J. . NICE DSU Technical Support Document 26: Expert elicitation for long-term survival outcomes. 2025 Available at: https://www.sheffield.ac.uk/nice-dsu/tsds/full-list</w:t>
      </w:r>
    </w:p>
  </w:footnote>
  <w:footnote w:id="19">
    <w:p w:rsidRPr="00646A37" w:rsidR="00646A37" w:rsidP="00646A37" w:rsidRDefault="00646A37" w14:paraId="10541CA9" w14:textId="77777777">
      <w:pPr>
        <w:pStyle w:val="FootnoteText"/>
        <w:rPr>
          <w:rFonts w:ascii="Arial" w:hAnsi="Arial" w:cs="Arial"/>
        </w:rPr>
      </w:pPr>
      <w:r w:rsidRPr="00646A37">
        <w:rPr>
          <w:rStyle w:val="FootnoteReference"/>
          <w:rFonts w:ascii="Arial" w:hAnsi="Arial" w:cs="Arial"/>
        </w:rPr>
        <w:footnoteRef/>
      </w:r>
      <w:r w:rsidRPr="00646A37">
        <w:rPr>
          <w:rFonts w:ascii="Arial" w:hAnsi="Arial" w:cs="Arial"/>
        </w:rPr>
        <w:t xml:space="preserve"> Latimer NR, et al. A cautionary tale: treatment switching adjustment methods.</w:t>
      </w:r>
    </w:p>
    <w:p w:rsidRPr="00646A37" w:rsidR="00646A37" w:rsidP="00646A37" w:rsidRDefault="00646A37" w14:paraId="750D3964" w14:textId="05DC4C80">
      <w:pPr>
        <w:pStyle w:val="FootnoteText"/>
        <w:rPr>
          <w:lang w:val="en-US"/>
        </w:rPr>
      </w:pPr>
      <w:r w:rsidRPr="00646A37">
        <w:rPr>
          <w:rFonts w:ascii="Arial" w:hAnsi="Arial" w:cs="Arial"/>
        </w:rPr>
        <w:t xml:space="preserve">BMC Med Res </w:t>
      </w:r>
      <w:proofErr w:type="spellStart"/>
      <w:r w:rsidRPr="00646A37">
        <w:rPr>
          <w:rFonts w:ascii="Arial" w:hAnsi="Arial" w:cs="Arial"/>
        </w:rPr>
        <w:t>Methodol</w:t>
      </w:r>
      <w:proofErr w:type="spellEnd"/>
      <w:r w:rsidRPr="00646A37">
        <w:rPr>
          <w:rFonts w:ascii="Arial" w:hAnsi="Arial" w:cs="Arial"/>
        </w:rPr>
        <w:t>. 2024;24:17. https://doi.org/10.1186/s12874-024-02140-6</w:t>
      </w:r>
    </w:p>
  </w:footnote>
  <w:footnote w:id="20">
    <w:p w:rsidRPr="00CD1EBA" w:rsidR="00CD1EBA" w:rsidRDefault="00CD1EBA" w14:paraId="03722083" w14:textId="18953AB7">
      <w:pPr>
        <w:pStyle w:val="FootnoteText"/>
        <w:rPr>
          <w:rFonts w:ascii="Arial" w:hAnsi="Arial" w:cs="Arial"/>
          <w:lang w:val="en-US"/>
        </w:rPr>
      </w:pPr>
      <w:r w:rsidRPr="00CD1EBA">
        <w:rPr>
          <w:rStyle w:val="FootnoteReference"/>
          <w:rFonts w:ascii="Arial" w:hAnsi="Arial" w:cs="Arial"/>
        </w:rPr>
        <w:footnoteRef/>
      </w:r>
      <w:r w:rsidRPr="00CD1EBA">
        <w:rPr>
          <w:rFonts w:ascii="Arial" w:hAnsi="Arial" w:cs="Arial"/>
        </w:rPr>
        <w:t xml:space="preserve"> Baudin E, et al. ENETS 2025 guidance paper for lung and thymic carcinoids. J </w:t>
      </w:r>
      <w:proofErr w:type="spellStart"/>
      <w:r w:rsidRPr="00CD1EBA">
        <w:rPr>
          <w:rFonts w:ascii="Arial" w:hAnsi="Arial" w:cs="Arial"/>
        </w:rPr>
        <w:t>Neuroendocrinol</w:t>
      </w:r>
      <w:proofErr w:type="spellEnd"/>
      <w:r w:rsidRPr="00CD1EBA">
        <w:rPr>
          <w:rFonts w:ascii="Arial" w:hAnsi="Arial" w:cs="Arial"/>
        </w:rPr>
        <w:t>. 2026; e70174. https://doi.org/10.1111/jne.70174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74B47" w:rsidR="000667A0" w:rsidP="000667A0" w:rsidRDefault="000667A0" w14:paraId="6A209DDA" w14:textId="49CC4739">
    <w:pPr>
      <w:pStyle w:val="Header"/>
    </w:pPr>
  </w:p>
  <w:p w:rsidRPr="00774B47" w:rsidR="000667A0" w:rsidP="000667A0" w:rsidRDefault="000667A0" w14:paraId="4877AE51" w14:textId="29A67E72">
    <w:pPr>
      <w:pStyle w:val="Header"/>
    </w:pPr>
  </w:p>
  <w:p w:rsidRPr="00774B47" w:rsidR="00286D29" w:rsidP="000667A0" w:rsidRDefault="00286D29" w14:paraId="7CE09F4D" w14:textId="5574D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C1"/>
    <w:multiLevelType w:val="hybridMultilevel"/>
    <w:tmpl w:val="43A464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38EA3E"/>
    <w:multiLevelType w:val="hybridMultilevel"/>
    <w:tmpl w:val="829AF5B4"/>
    <w:lvl w:ilvl="0" w:tplc="9C90E1F4">
      <w:start w:val="1"/>
      <w:numFmt w:val="bullet"/>
      <w:lvlText w:val=""/>
      <w:lvlJc w:val="left"/>
      <w:pPr>
        <w:ind w:left="501" w:hanging="360"/>
      </w:pPr>
      <w:rPr>
        <w:rFonts w:hint="default" w:ascii="Symbol" w:hAnsi="Symbol"/>
      </w:rPr>
    </w:lvl>
    <w:lvl w:ilvl="1" w:tplc="DA1E747A">
      <w:start w:val="1"/>
      <w:numFmt w:val="bullet"/>
      <w:lvlText w:val="o"/>
      <w:lvlJc w:val="left"/>
      <w:pPr>
        <w:ind w:left="1440" w:hanging="360"/>
      </w:pPr>
      <w:rPr>
        <w:rFonts w:hint="default" w:ascii="Courier New" w:hAnsi="Courier New"/>
      </w:rPr>
    </w:lvl>
    <w:lvl w:ilvl="2" w:tplc="EB6C0B0C">
      <w:start w:val="1"/>
      <w:numFmt w:val="bullet"/>
      <w:lvlText w:val=""/>
      <w:lvlJc w:val="left"/>
      <w:pPr>
        <w:ind w:left="2160" w:hanging="360"/>
      </w:pPr>
      <w:rPr>
        <w:rFonts w:hint="default" w:ascii="Wingdings" w:hAnsi="Wingdings"/>
      </w:rPr>
    </w:lvl>
    <w:lvl w:ilvl="3" w:tplc="408457DC">
      <w:start w:val="1"/>
      <w:numFmt w:val="bullet"/>
      <w:lvlText w:val=""/>
      <w:lvlJc w:val="left"/>
      <w:pPr>
        <w:ind w:left="2880" w:hanging="360"/>
      </w:pPr>
      <w:rPr>
        <w:rFonts w:hint="default" w:ascii="Symbol" w:hAnsi="Symbol"/>
      </w:rPr>
    </w:lvl>
    <w:lvl w:ilvl="4" w:tplc="F13ADD56">
      <w:start w:val="1"/>
      <w:numFmt w:val="bullet"/>
      <w:lvlText w:val="o"/>
      <w:lvlJc w:val="left"/>
      <w:pPr>
        <w:ind w:left="3600" w:hanging="360"/>
      </w:pPr>
      <w:rPr>
        <w:rFonts w:hint="default" w:ascii="Courier New" w:hAnsi="Courier New"/>
      </w:rPr>
    </w:lvl>
    <w:lvl w:ilvl="5" w:tplc="B0FC6412">
      <w:start w:val="1"/>
      <w:numFmt w:val="bullet"/>
      <w:lvlText w:val=""/>
      <w:lvlJc w:val="left"/>
      <w:pPr>
        <w:ind w:left="4320" w:hanging="360"/>
      </w:pPr>
      <w:rPr>
        <w:rFonts w:hint="default" w:ascii="Wingdings" w:hAnsi="Wingdings"/>
      </w:rPr>
    </w:lvl>
    <w:lvl w:ilvl="6" w:tplc="6242D44C">
      <w:start w:val="1"/>
      <w:numFmt w:val="bullet"/>
      <w:lvlText w:val=""/>
      <w:lvlJc w:val="left"/>
      <w:pPr>
        <w:ind w:left="5040" w:hanging="360"/>
      </w:pPr>
      <w:rPr>
        <w:rFonts w:hint="default" w:ascii="Symbol" w:hAnsi="Symbol"/>
      </w:rPr>
    </w:lvl>
    <w:lvl w:ilvl="7" w:tplc="DE944ED4">
      <w:start w:val="1"/>
      <w:numFmt w:val="bullet"/>
      <w:lvlText w:val="o"/>
      <w:lvlJc w:val="left"/>
      <w:pPr>
        <w:ind w:left="5760" w:hanging="360"/>
      </w:pPr>
      <w:rPr>
        <w:rFonts w:hint="default" w:ascii="Courier New" w:hAnsi="Courier New"/>
      </w:rPr>
    </w:lvl>
    <w:lvl w:ilvl="8" w:tplc="77463320">
      <w:start w:val="1"/>
      <w:numFmt w:val="bullet"/>
      <w:lvlText w:val=""/>
      <w:lvlJc w:val="left"/>
      <w:pPr>
        <w:ind w:left="6480" w:hanging="360"/>
      </w:pPr>
      <w:rPr>
        <w:rFonts w:hint="default" w:ascii="Wingdings" w:hAnsi="Wingdings"/>
      </w:rPr>
    </w:lvl>
  </w:abstractNum>
  <w:abstractNum w:abstractNumId="2" w15:restartNumberingAfterBreak="0">
    <w:nsid w:val="043C10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A099F"/>
    <w:multiLevelType w:val="hybridMultilevel"/>
    <w:tmpl w:val="3D123C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804937"/>
    <w:multiLevelType w:val="hybridMultilevel"/>
    <w:tmpl w:val="00E008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B236B9"/>
    <w:multiLevelType w:val="hybridMultilevel"/>
    <w:tmpl w:val="45E4B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6D3F46"/>
    <w:multiLevelType w:val="hybridMultilevel"/>
    <w:tmpl w:val="1E6EAF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1D682B"/>
    <w:multiLevelType w:val="hybridMultilevel"/>
    <w:tmpl w:val="B8CA9E3A"/>
    <w:lvl w:ilvl="0" w:tplc="C572376C">
      <w:start w:val="1"/>
      <w:numFmt w:val="bullet"/>
      <w:lvlText w:val=""/>
      <w:lvlJc w:val="left"/>
      <w:pPr>
        <w:ind w:left="720" w:hanging="360"/>
      </w:pPr>
      <w:rPr>
        <w:rFonts w:hint="default" w:ascii="Symbol" w:hAnsi="Symbol"/>
        <w:b/>
        <w:bCs/>
        <w:color w:val="003E7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0627A6"/>
    <w:multiLevelType w:val="hybridMultilevel"/>
    <w:tmpl w:val="A6F21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732EA9"/>
    <w:multiLevelType w:val="hybridMultilevel"/>
    <w:tmpl w:val="804414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DA46F7"/>
    <w:multiLevelType w:val="hybridMultilevel"/>
    <w:tmpl w:val="82FA3AB8"/>
    <w:lvl w:ilvl="0" w:tplc="3762FE0C">
      <w:start w:val="1"/>
      <w:numFmt w:val="bullet"/>
      <w:lvlText w:val="»"/>
      <w:lvlJc w:val="left"/>
      <w:pPr>
        <w:ind w:left="720" w:hanging="360"/>
      </w:pPr>
      <w:rPr>
        <w:rFonts w:hint="default" w:ascii="Lato" w:hAnsi="Lato"/>
        <w:b/>
        <w:bCs/>
        <w:color w:val="003E7E"/>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42F58E4"/>
    <w:multiLevelType w:val="hybridMultilevel"/>
    <w:tmpl w:val="A9547A06"/>
    <w:lvl w:ilvl="0" w:tplc="DFD0CA1C">
      <w:start w:val="1"/>
      <w:numFmt w:val="bullet"/>
      <w:lvlText w:val="»"/>
      <w:lvlJc w:val="left"/>
      <w:pPr>
        <w:ind w:left="720" w:hanging="360"/>
      </w:pPr>
      <w:rPr>
        <w:rFonts w:hint="default" w:ascii="Lato" w:hAnsi="Lato"/>
        <w:b/>
        <w:bCs/>
        <w:color w:val="003E7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46615E1"/>
    <w:multiLevelType w:val="hybridMultilevel"/>
    <w:tmpl w:val="152EE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273EBD"/>
    <w:multiLevelType w:val="hybridMultilevel"/>
    <w:tmpl w:val="C304EB42"/>
    <w:lvl w:ilvl="0" w:tplc="C0E47E7C">
      <w:start w:val="1"/>
      <w:numFmt w:val="bullet"/>
      <w:pStyle w:val="Bulletlist"/>
      <w:lvlText w:val=""/>
      <w:lvlJc w:val="left"/>
      <w:pPr>
        <w:ind w:left="720" w:hanging="360"/>
      </w:pPr>
      <w:rPr>
        <w:rFonts w:hint="default" w:ascii="Symbol" w:hAnsi="Symbol"/>
        <w:color w:val="6EC4FF"/>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2B656DCC"/>
    <w:multiLevelType w:val="hybridMultilevel"/>
    <w:tmpl w:val="EFBCC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5637A1"/>
    <w:multiLevelType w:val="hybridMultilevel"/>
    <w:tmpl w:val="8CD8CE78"/>
    <w:lvl w:ilvl="0" w:tplc="5E4E66B6">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B910D6"/>
    <w:multiLevelType w:val="hybridMultilevel"/>
    <w:tmpl w:val="52005F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387007"/>
    <w:multiLevelType w:val="multilevel"/>
    <w:tmpl w:val="040ED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A072373"/>
    <w:multiLevelType w:val="hybridMultilevel"/>
    <w:tmpl w:val="37807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030595"/>
    <w:multiLevelType w:val="hybridMultilevel"/>
    <w:tmpl w:val="B62AE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D2429D0"/>
    <w:multiLevelType w:val="hybridMultilevel"/>
    <w:tmpl w:val="8CD09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9E45BF"/>
    <w:multiLevelType w:val="hybridMultilevel"/>
    <w:tmpl w:val="F906226E"/>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22" w15:restartNumberingAfterBreak="0">
    <w:nsid w:val="522E7876"/>
    <w:multiLevelType w:val="multilevel"/>
    <w:tmpl w:val="414A0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65D082F"/>
    <w:multiLevelType w:val="hybridMultilevel"/>
    <w:tmpl w:val="4A4217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8492FF7"/>
    <w:multiLevelType w:val="hybridMultilevel"/>
    <w:tmpl w:val="851AA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4815BE"/>
    <w:multiLevelType w:val="hybridMultilevel"/>
    <w:tmpl w:val="7DE40C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8A37F1B"/>
    <w:multiLevelType w:val="hybridMultilevel"/>
    <w:tmpl w:val="ECF8A7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C8629B5"/>
    <w:multiLevelType w:val="hybridMultilevel"/>
    <w:tmpl w:val="7B54CF54"/>
    <w:lvl w:ilvl="0" w:tplc="C12C4A0E">
      <w:start w:val="1"/>
      <w:numFmt w:val="bullet"/>
      <w:lvlText w:val="»"/>
      <w:lvlJc w:val="left"/>
      <w:pPr>
        <w:ind w:left="720" w:hanging="360"/>
      </w:pPr>
      <w:rPr>
        <w:rFonts w:hint="default" w:ascii="Lato" w:hAnsi="Lato"/>
        <w:b/>
        <w:bCs/>
        <w:color w:val="003E7E"/>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6EF8781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F175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EF6EFA"/>
    <w:multiLevelType w:val="hybridMultilevel"/>
    <w:tmpl w:val="5EEE34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F5E042C"/>
    <w:multiLevelType w:val="hybridMultilevel"/>
    <w:tmpl w:val="686C7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F6473C6"/>
    <w:multiLevelType w:val="hybridMultilevel"/>
    <w:tmpl w:val="7F926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36794975">
    <w:abstractNumId w:val="1"/>
  </w:num>
  <w:num w:numId="2" w16cid:durableId="465701473">
    <w:abstractNumId w:val="7"/>
  </w:num>
  <w:num w:numId="3" w16cid:durableId="1376807590">
    <w:abstractNumId w:val="6"/>
  </w:num>
  <w:num w:numId="4" w16cid:durableId="781190648">
    <w:abstractNumId w:val="8"/>
  </w:num>
  <w:num w:numId="5" w16cid:durableId="875314571">
    <w:abstractNumId w:val="19"/>
  </w:num>
  <w:num w:numId="6" w16cid:durableId="993795465">
    <w:abstractNumId w:val="9"/>
  </w:num>
  <w:num w:numId="7" w16cid:durableId="927419618">
    <w:abstractNumId w:val="12"/>
  </w:num>
  <w:num w:numId="8" w16cid:durableId="780879342">
    <w:abstractNumId w:val="16"/>
  </w:num>
  <w:num w:numId="9" w16cid:durableId="67388146">
    <w:abstractNumId w:val="31"/>
  </w:num>
  <w:num w:numId="10" w16cid:durableId="23218802">
    <w:abstractNumId w:val="5"/>
  </w:num>
  <w:num w:numId="11" w16cid:durableId="743456674">
    <w:abstractNumId w:val="3"/>
  </w:num>
  <w:num w:numId="12" w16cid:durableId="283193217">
    <w:abstractNumId w:val="15"/>
  </w:num>
  <w:num w:numId="13" w16cid:durableId="58217685">
    <w:abstractNumId w:val="14"/>
  </w:num>
  <w:num w:numId="14" w16cid:durableId="497161203">
    <w:abstractNumId w:val="32"/>
  </w:num>
  <w:num w:numId="15" w16cid:durableId="412364238">
    <w:abstractNumId w:val="26"/>
  </w:num>
  <w:num w:numId="16" w16cid:durableId="1503350871">
    <w:abstractNumId w:val="24"/>
  </w:num>
  <w:num w:numId="17" w16cid:durableId="1505196819">
    <w:abstractNumId w:val="11"/>
  </w:num>
  <w:num w:numId="18" w16cid:durableId="1033264018">
    <w:abstractNumId w:val="27"/>
  </w:num>
  <w:num w:numId="19" w16cid:durableId="870268528">
    <w:abstractNumId w:val="2"/>
  </w:num>
  <w:num w:numId="20" w16cid:durableId="276063571">
    <w:abstractNumId w:val="29"/>
  </w:num>
  <w:num w:numId="21" w16cid:durableId="807747096">
    <w:abstractNumId w:val="28"/>
  </w:num>
  <w:num w:numId="22" w16cid:durableId="660503768">
    <w:abstractNumId w:val="10"/>
  </w:num>
  <w:num w:numId="23" w16cid:durableId="2015761122">
    <w:abstractNumId w:val="13"/>
  </w:num>
  <w:num w:numId="24" w16cid:durableId="73817207">
    <w:abstractNumId w:val="30"/>
  </w:num>
  <w:num w:numId="25" w16cid:durableId="1876498906">
    <w:abstractNumId w:val="30"/>
  </w:num>
  <w:num w:numId="26" w16cid:durableId="166944542">
    <w:abstractNumId w:val="17"/>
  </w:num>
  <w:num w:numId="27" w16cid:durableId="1261528719">
    <w:abstractNumId w:val="22"/>
  </w:num>
  <w:num w:numId="28" w16cid:durableId="1149057686">
    <w:abstractNumId w:val="18"/>
  </w:num>
  <w:num w:numId="29" w16cid:durableId="2087998181">
    <w:abstractNumId w:val="25"/>
  </w:num>
  <w:num w:numId="30" w16cid:durableId="1813326520">
    <w:abstractNumId w:val="0"/>
  </w:num>
  <w:num w:numId="31" w16cid:durableId="836002304">
    <w:abstractNumId w:val="23"/>
  </w:num>
  <w:num w:numId="32" w16cid:durableId="567304106">
    <w:abstractNumId w:val="21"/>
  </w:num>
  <w:num w:numId="33" w16cid:durableId="1488941599">
    <w:abstractNumId w:val="20"/>
  </w:num>
  <w:num w:numId="34" w16cid:durableId="87079984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0604"/>
    <w:rsid w:val="00000C79"/>
    <w:rsid w:val="00000D0E"/>
    <w:rsid w:val="000018FB"/>
    <w:rsid w:val="00001D9C"/>
    <w:rsid w:val="000021C3"/>
    <w:rsid w:val="0000243C"/>
    <w:rsid w:val="000024DB"/>
    <w:rsid w:val="00002BF3"/>
    <w:rsid w:val="00002DB3"/>
    <w:rsid w:val="000043AF"/>
    <w:rsid w:val="00004C40"/>
    <w:rsid w:val="00004DE4"/>
    <w:rsid w:val="00004F61"/>
    <w:rsid w:val="00005395"/>
    <w:rsid w:val="00005474"/>
    <w:rsid w:val="000057D5"/>
    <w:rsid w:val="000066C9"/>
    <w:rsid w:val="00006806"/>
    <w:rsid w:val="00006DE6"/>
    <w:rsid w:val="00007DFB"/>
    <w:rsid w:val="00010AD8"/>
    <w:rsid w:val="0001149B"/>
    <w:rsid w:val="00011626"/>
    <w:rsid w:val="000116C8"/>
    <w:rsid w:val="00011E43"/>
    <w:rsid w:val="0001279D"/>
    <w:rsid w:val="0001378C"/>
    <w:rsid w:val="00015ABB"/>
    <w:rsid w:val="0001602C"/>
    <w:rsid w:val="0001714D"/>
    <w:rsid w:val="00017B30"/>
    <w:rsid w:val="00017BED"/>
    <w:rsid w:val="00020DF8"/>
    <w:rsid w:val="0002171E"/>
    <w:rsid w:val="0002174E"/>
    <w:rsid w:val="00021CEE"/>
    <w:rsid w:val="00021ECF"/>
    <w:rsid w:val="00021F14"/>
    <w:rsid w:val="00022900"/>
    <w:rsid w:val="00022B23"/>
    <w:rsid w:val="000245C3"/>
    <w:rsid w:val="000248ED"/>
    <w:rsid w:val="00024FDB"/>
    <w:rsid w:val="00027055"/>
    <w:rsid w:val="0002721B"/>
    <w:rsid w:val="00027D59"/>
    <w:rsid w:val="00030768"/>
    <w:rsid w:val="00030911"/>
    <w:rsid w:val="000317F3"/>
    <w:rsid w:val="00031C16"/>
    <w:rsid w:val="00031EC6"/>
    <w:rsid w:val="00032B97"/>
    <w:rsid w:val="00032BB5"/>
    <w:rsid w:val="000338DA"/>
    <w:rsid w:val="00033EF0"/>
    <w:rsid w:val="00034459"/>
    <w:rsid w:val="00034CAB"/>
    <w:rsid w:val="00035E6D"/>
    <w:rsid w:val="00036BA0"/>
    <w:rsid w:val="00036F83"/>
    <w:rsid w:val="0003742D"/>
    <w:rsid w:val="00037683"/>
    <w:rsid w:val="00037C26"/>
    <w:rsid w:val="00040444"/>
    <w:rsid w:val="0004082E"/>
    <w:rsid w:val="00040A03"/>
    <w:rsid w:val="0004127B"/>
    <w:rsid w:val="00041872"/>
    <w:rsid w:val="00041C12"/>
    <w:rsid w:val="00041C22"/>
    <w:rsid w:val="00041D7F"/>
    <w:rsid w:val="00042F2A"/>
    <w:rsid w:val="0004471B"/>
    <w:rsid w:val="00044D1F"/>
    <w:rsid w:val="0004596B"/>
    <w:rsid w:val="00046313"/>
    <w:rsid w:val="00046D04"/>
    <w:rsid w:val="000504D7"/>
    <w:rsid w:val="00050672"/>
    <w:rsid w:val="00050FDA"/>
    <w:rsid w:val="000516BE"/>
    <w:rsid w:val="00052297"/>
    <w:rsid w:val="00052529"/>
    <w:rsid w:val="00052635"/>
    <w:rsid w:val="00052669"/>
    <w:rsid w:val="00052978"/>
    <w:rsid w:val="00052BB1"/>
    <w:rsid w:val="000533A9"/>
    <w:rsid w:val="00053A58"/>
    <w:rsid w:val="00054737"/>
    <w:rsid w:val="00055677"/>
    <w:rsid w:val="00057938"/>
    <w:rsid w:val="00057AD3"/>
    <w:rsid w:val="00061145"/>
    <w:rsid w:val="000611E6"/>
    <w:rsid w:val="000619A7"/>
    <w:rsid w:val="00062145"/>
    <w:rsid w:val="00063672"/>
    <w:rsid w:val="00063787"/>
    <w:rsid w:val="0006396A"/>
    <w:rsid w:val="00064C07"/>
    <w:rsid w:val="000657E8"/>
    <w:rsid w:val="0006660D"/>
    <w:rsid w:val="000667A0"/>
    <w:rsid w:val="00067321"/>
    <w:rsid w:val="00067B77"/>
    <w:rsid w:val="00067F28"/>
    <w:rsid w:val="00070157"/>
    <w:rsid w:val="0007167C"/>
    <w:rsid w:val="00071A33"/>
    <w:rsid w:val="00072166"/>
    <w:rsid w:val="00073485"/>
    <w:rsid w:val="000738C5"/>
    <w:rsid w:val="0007399A"/>
    <w:rsid w:val="00073F18"/>
    <w:rsid w:val="00076471"/>
    <w:rsid w:val="0007661E"/>
    <w:rsid w:val="00077ECE"/>
    <w:rsid w:val="000812A2"/>
    <w:rsid w:val="000815F6"/>
    <w:rsid w:val="000823B5"/>
    <w:rsid w:val="00082A35"/>
    <w:rsid w:val="00083129"/>
    <w:rsid w:val="00083B72"/>
    <w:rsid w:val="000843D3"/>
    <w:rsid w:val="000852BF"/>
    <w:rsid w:val="000857AA"/>
    <w:rsid w:val="00085A35"/>
    <w:rsid w:val="00085A4E"/>
    <w:rsid w:val="00086172"/>
    <w:rsid w:val="000869CB"/>
    <w:rsid w:val="0008748D"/>
    <w:rsid w:val="00087AA1"/>
    <w:rsid w:val="00087AAB"/>
    <w:rsid w:val="00087B20"/>
    <w:rsid w:val="00087C10"/>
    <w:rsid w:val="00087D95"/>
    <w:rsid w:val="000910CD"/>
    <w:rsid w:val="00091599"/>
    <w:rsid w:val="000915D5"/>
    <w:rsid w:val="000926F6"/>
    <w:rsid w:val="000928D5"/>
    <w:rsid w:val="0009327C"/>
    <w:rsid w:val="000932BD"/>
    <w:rsid w:val="00093972"/>
    <w:rsid w:val="0009418C"/>
    <w:rsid w:val="000943A3"/>
    <w:rsid w:val="000956FD"/>
    <w:rsid w:val="00095917"/>
    <w:rsid w:val="00095EE7"/>
    <w:rsid w:val="00096782"/>
    <w:rsid w:val="0009699D"/>
    <w:rsid w:val="00096F34"/>
    <w:rsid w:val="00097EC6"/>
    <w:rsid w:val="00097F7D"/>
    <w:rsid w:val="000A0474"/>
    <w:rsid w:val="000A0550"/>
    <w:rsid w:val="000A0BCA"/>
    <w:rsid w:val="000A0FC5"/>
    <w:rsid w:val="000A11E3"/>
    <w:rsid w:val="000A2A4B"/>
    <w:rsid w:val="000A4578"/>
    <w:rsid w:val="000A51C0"/>
    <w:rsid w:val="000A609C"/>
    <w:rsid w:val="000A6F40"/>
    <w:rsid w:val="000B06C8"/>
    <w:rsid w:val="000B0AA1"/>
    <w:rsid w:val="000B0D1C"/>
    <w:rsid w:val="000B1BB7"/>
    <w:rsid w:val="000B2167"/>
    <w:rsid w:val="000B223D"/>
    <w:rsid w:val="000B36C0"/>
    <w:rsid w:val="000B3822"/>
    <w:rsid w:val="000B4122"/>
    <w:rsid w:val="000B4712"/>
    <w:rsid w:val="000B4C6F"/>
    <w:rsid w:val="000B506D"/>
    <w:rsid w:val="000B6626"/>
    <w:rsid w:val="000B7850"/>
    <w:rsid w:val="000B7D4C"/>
    <w:rsid w:val="000C01D5"/>
    <w:rsid w:val="000C0B67"/>
    <w:rsid w:val="000C1ECE"/>
    <w:rsid w:val="000C26CB"/>
    <w:rsid w:val="000C3698"/>
    <w:rsid w:val="000C3AE1"/>
    <w:rsid w:val="000C3D9C"/>
    <w:rsid w:val="000C5280"/>
    <w:rsid w:val="000C550D"/>
    <w:rsid w:val="000C5ECF"/>
    <w:rsid w:val="000C6914"/>
    <w:rsid w:val="000C6962"/>
    <w:rsid w:val="000C719D"/>
    <w:rsid w:val="000D0AAF"/>
    <w:rsid w:val="000D0AB3"/>
    <w:rsid w:val="000D235A"/>
    <w:rsid w:val="000D270A"/>
    <w:rsid w:val="000D2A45"/>
    <w:rsid w:val="000D30E3"/>
    <w:rsid w:val="000D32C2"/>
    <w:rsid w:val="000D41FE"/>
    <w:rsid w:val="000D44BB"/>
    <w:rsid w:val="000D4663"/>
    <w:rsid w:val="000D6272"/>
    <w:rsid w:val="000D6581"/>
    <w:rsid w:val="000D6A4C"/>
    <w:rsid w:val="000D6DF3"/>
    <w:rsid w:val="000D70F2"/>
    <w:rsid w:val="000E0A5C"/>
    <w:rsid w:val="000E0F9D"/>
    <w:rsid w:val="000E1237"/>
    <w:rsid w:val="000E1FE3"/>
    <w:rsid w:val="000E29AE"/>
    <w:rsid w:val="000E2C42"/>
    <w:rsid w:val="000E328F"/>
    <w:rsid w:val="000E35C4"/>
    <w:rsid w:val="000E3886"/>
    <w:rsid w:val="000E5110"/>
    <w:rsid w:val="000E5234"/>
    <w:rsid w:val="000E5B8E"/>
    <w:rsid w:val="000E6196"/>
    <w:rsid w:val="000E6787"/>
    <w:rsid w:val="000E6F62"/>
    <w:rsid w:val="000E7931"/>
    <w:rsid w:val="000F174D"/>
    <w:rsid w:val="000F225B"/>
    <w:rsid w:val="000F24A3"/>
    <w:rsid w:val="000F2C26"/>
    <w:rsid w:val="000F341D"/>
    <w:rsid w:val="000F3670"/>
    <w:rsid w:val="000F3B26"/>
    <w:rsid w:val="000F44D2"/>
    <w:rsid w:val="000F4674"/>
    <w:rsid w:val="000F46E4"/>
    <w:rsid w:val="000F4854"/>
    <w:rsid w:val="000F5B1A"/>
    <w:rsid w:val="000F5D91"/>
    <w:rsid w:val="000F6856"/>
    <w:rsid w:val="000F6872"/>
    <w:rsid w:val="000F693E"/>
    <w:rsid w:val="000F7408"/>
    <w:rsid w:val="000F7486"/>
    <w:rsid w:val="001004BB"/>
    <w:rsid w:val="00100CF1"/>
    <w:rsid w:val="0010146A"/>
    <w:rsid w:val="00101EE4"/>
    <w:rsid w:val="0010218A"/>
    <w:rsid w:val="001029C9"/>
    <w:rsid w:val="00102FA1"/>
    <w:rsid w:val="0010361B"/>
    <w:rsid w:val="001043E7"/>
    <w:rsid w:val="00104DA3"/>
    <w:rsid w:val="00105752"/>
    <w:rsid w:val="001059D3"/>
    <w:rsid w:val="00105A5E"/>
    <w:rsid w:val="001067EA"/>
    <w:rsid w:val="001070DD"/>
    <w:rsid w:val="00107893"/>
    <w:rsid w:val="00110296"/>
    <w:rsid w:val="001107C8"/>
    <w:rsid w:val="001109D6"/>
    <w:rsid w:val="00110D9D"/>
    <w:rsid w:val="00113981"/>
    <w:rsid w:val="00113BC6"/>
    <w:rsid w:val="0011413F"/>
    <w:rsid w:val="00114D4C"/>
    <w:rsid w:val="00115919"/>
    <w:rsid w:val="00117A42"/>
    <w:rsid w:val="00121F0C"/>
    <w:rsid w:val="00122508"/>
    <w:rsid w:val="00123989"/>
    <w:rsid w:val="0012460F"/>
    <w:rsid w:val="00124B9F"/>
    <w:rsid w:val="00124D36"/>
    <w:rsid w:val="00124EE0"/>
    <w:rsid w:val="00125718"/>
    <w:rsid w:val="00125A96"/>
    <w:rsid w:val="00126528"/>
    <w:rsid w:val="0012654B"/>
    <w:rsid w:val="00126749"/>
    <w:rsid w:val="00126919"/>
    <w:rsid w:val="00130018"/>
    <w:rsid w:val="001301AA"/>
    <w:rsid w:val="001305B9"/>
    <w:rsid w:val="00130D99"/>
    <w:rsid w:val="00131C29"/>
    <w:rsid w:val="0013220A"/>
    <w:rsid w:val="00132278"/>
    <w:rsid w:val="001329A3"/>
    <w:rsid w:val="00132E59"/>
    <w:rsid w:val="00134646"/>
    <w:rsid w:val="00135050"/>
    <w:rsid w:val="0013520C"/>
    <w:rsid w:val="001356B8"/>
    <w:rsid w:val="001372E0"/>
    <w:rsid w:val="001375CA"/>
    <w:rsid w:val="001407ED"/>
    <w:rsid w:val="001409D3"/>
    <w:rsid w:val="00140D52"/>
    <w:rsid w:val="001414D8"/>
    <w:rsid w:val="00143027"/>
    <w:rsid w:val="00143BA5"/>
    <w:rsid w:val="0014480B"/>
    <w:rsid w:val="00144B5B"/>
    <w:rsid w:val="00144E7B"/>
    <w:rsid w:val="00145234"/>
    <w:rsid w:val="0014526D"/>
    <w:rsid w:val="00145308"/>
    <w:rsid w:val="00146393"/>
    <w:rsid w:val="00146515"/>
    <w:rsid w:val="00146B26"/>
    <w:rsid w:val="00146D3A"/>
    <w:rsid w:val="001471D1"/>
    <w:rsid w:val="00147837"/>
    <w:rsid w:val="0014793B"/>
    <w:rsid w:val="00150164"/>
    <w:rsid w:val="00150C00"/>
    <w:rsid w:val="00151747"/>
    <w:rsid w:val="001519F8"/>
    <w:rsid w:val="00151F1E"/>
    <w:rsid w:val="00153093"/>
    <w:rsid w:val="001539E9"/>
    <w:rsid w:val="00154192"/>
    <w:rsid w:val="001543B0"/>
    <w:rsid w:val="00155377"/>
    <w:rsid w:val="00155C63"/>
    <w:rsid w:val="001569E9"/>
    <w:rsid w:val="00156E3C"/>
    <w:rsid w:val="0015752D"/>
    <w:rsid w:val="00157AA9"/>
    <w:rsid w:val="001611CF"/>
    <w:rsid w:val="00161C44"/>
    <w:rsid w:val="00161CF4"/>
    <w:rsid w:val="00163467"/>
    <w:rsid w:val="00163BA2"/>
    <w:rsid w:val="00163D17"/>
    <w:rsid w:val="001649F2"/>
    <w:rsid w:val="001652DA"/>
    <w:rsid w:val="001653F4"/>
    <w:rsid w:val="001655B9"/>
    <w:rsid w:val="001661A8"/>
    <w:rsid w:val="001667E4"/>
    <w:rsid w:val="001669E9"/>
    <w:rsid w:val="00166D98"/>
    <w:rsid w:val="00167AF4"/>
    <w:rsid w:val="00167B3C"/>
    <w:rsid w:val="00167D6E"/>
    <w:rsid w:val="001703CD"/>
    <w:rsid w:val="00170416"/>
    <w:rsid w:val="0017044C"/>
    <w:rsid w:val="001704FD"/>
    <w:rsid w:val="00171A2C"/>
    <w:rsid w:val="001720C3"/>
    <w:rsid w:val="001720E6"/>
    <w:rsid w:val="001721E0"/>
    <w:rsid w:val="001722C4"/>
    <w:rsid w:val="00173209"/>
    <w:rsid w:val="0017334E"/>
    <w:rsid w:val="001737D0"/>
    <w:rsid w:val="00173D5D"/>
    <w:rsid w:val="00173F4C"/>
    <w:rsid w:val="00174A7D"/>
    <w:rsid w:val="00174D81"/>
    <w:rsid w:val="0017554A"/>
    <w:rsid w:val="00175670"/>
    <w:rsid w:val="00175802"/>
    <w:rsid w:val="0017685D"/>
    <w:rsid w:val="0017687E"/>
    <w:rsid w:val="00177145"/>
    <w:rsid w:val="00177A21"/>
    <w:rsid w:val="0018039E"/>
    <w:rsid w:val="00180612"/>
    <w:rsid w:val="00180BBA"/>
    <w:rsid w:val="001810F6"/>
    <w:rsid w:val="001811D4"/>
    <w:rsid w:val="0018139B"/>
    <w:rsid w:val="00181DDC"/>
    <w:rsid w:val="00182A93"/>
    <w:rsid w:val="00183221"/>
    <w:rsid w:val="00183320"/>
    <w:rsid w:val="001838B6"/>
    <w:rsid w:val="00183C0A"/>
    <w:rsid w:val="001840FD"/>
    <w:rsid w:val="0018577F"/>
    <w:rsid w:val="00185998"/>
    <w:rsid w:val="00187432"/>
    <w:rsid w:val="00187557"/>
    <w:rsid w:val="00187954"/>
    <w:rsid w:val="00190B59"/>
    <w:rsid w:val="0019193E"/>
    <w:rsid w:val="00191EE2"/>
    <w:rsid w:val="00192993"/>
    <w:rsid w:val="0019351F"/>
    <w:rsid w:val="00193533"/>
    <w:rsid w:val="001940F2"/>
    <w:rsid w:val="001944F9"/>
    <w:rsid w:val="0019646E"/>
    <w:rsid w:val="00196CB3"/>
    <w:rsid w:val="00197016"/>
    <w:rsid w:val="00197388"/>
    <w:rsid w:val="0019758B"/>
    <w:rsid w:val="001A003F"/>
    <w:rsid w:val="001A035A"/>
    <w:rsid w:val="001A143E"/>
    <w:rsid w:val="001A1BA2"/>
    <w:rsid w:val="001A20F0"/>
    <w:rsid w:val="001A230B"/>
    <w:rsid w:val="001A4234"/>
    <w:rsid w:val="001A5C9B"/>
    <w:rsid w:val="001B00EC"/>
    <w:rsid w:val="001B0A3F"/>
    <w:rsid w:val="001B1AF4"/>
    <w:rsid w:val="001B336E"/>
    <w:rsid w:val="001B3CEC"/>
    <w:rsid w:val="001B3E12"/>
    <w:rsid w:val="001B4F89"/>
    <w:rsid w:val="001B7F32"/>
    <w:rsid w:val="001B7F4F"/>
    <w:rsid w:val="001C04A2"/>
    <w:rsid w:val="001C0AD2"/>
    <w:rsid w:val="001C0EAC"/>
    <w:rsid w:val="001C0ECE"/>
    <w:rsid w:val="001C10FE"/>
    <w:rsid w:val="001C2575"/>
    <w:rsid w:val="001C262E"/>
    <w:rsid w:val="001C2730"/>
    <w:rsid w:val="001C3B8A"/>
    <w:rsid w:val="001C408D"/>
    <w:rsid w:val="001C42C2"/>
    <w:rsid w:val="001C4521"/>
    <w:rsid w:val="001C556A"/>
    <w:rsid w:val="001C5CC6"/>
    <w:rsid w:val="001C5E6F"/>
    <w:rsid w:val="001C5F4D"/>
    <w:rsid w:val="001C65D0"/>
    <w:rsid w:val="001C7216"/>
    <w:rsid w:val="001D00CD"/>
    <w:rsid w:val="001D03CD"/>
    <w:rsid w:val="001D0A6D"/>
    <w:rsid w:val="001D14AB"/>
    <w:rsid w:val="001D224C"/>
    <w:rsid w:val="001D2256"/>
    <w:rsid w:val="001D23EA"/>
    <w:rsid w:val="001D2879"/>
    <w:rsid w:val="001D3FBC"/>
    <w:rsid w:val="001D448B"/>
    <w:rsid w:val="001D6C1D"/>
    <w:rsid w:val="001D709A"/>
    <w:rsid w:val="001D78AB"/>
    <w:rsid w:val="001E0116"/>
    <w:rsid w:val="001E10CD"/>
    <w:rsid w:val="001E3973"/>
    <w:rsid w:val="001E3CA3"/>
    <w:rsid w:val="001E4DED"/>
    <w:rsid w:val="001E5288"/>
    <w:rsid w:val="001E69AD"/>
    <w:rsid w:val="001E6E02"/>
    <w:rsid w:val="001E7B4E"/>
    <w:rsid w:val="001E7B7D"/>
    <w:rsid w:val="001F01A3"/>
    <w:rsid w:val="001F0A45"/>
    <w:rsid w:val="001F10BC"/>
    <w:rsid w:val="001F23A1"/>
    <w:rsid w:val="001F24B3"/>
    <w:rsid w:val="001F3146"/>
    <w:rsid w:val="001F380E"/>
    <w:rsid w:val="001F385F"/>
    <w:rsid w:val="001F3B45"/>
    <w:rsid w:val="001F3C43"/>
    <w:rsid w:val="001F56B2"/>
    <w:rsid w:val="001F5976"/>
    <w:rsid w:val="001F7254"/>
    <w:rsid w:val="001F7408"/>
    <w:rsid w:val="002000B4"/>
    <w:rsid w:val="00200F59"/>
    <w:rsid w:val="00201255"/>
    <w:rsid w:val="00201527"/>
    <w:rsid w:val="00201B6F"/>
    <w:rsid w:val="00202B8A"/>
    <w:rsid w:val="00202F88"/>
    <w:rsid w:val="00202FAE"/>
    <w:rsid w:val="00204A90"/>
    <w:rsid w:val="00204EB5"/>
    <w:rsid w:val="00205BA9"/>
    <w:rsid w:val="00205CE4"/>
    <w:rsid w:val="00205F90"/>
    <w:rsid w:val="00206076"/>
    <w:rsid w:val="00206AA3"/>
    <w:rsid w:val="00206AD2"/>
    <w:rsid w:val="002078EB"/>
    <w:rsid w:val="002113D2"/>
    <w:rsid w:val="00211951"/>
    <w:rsid w:val="00211E60"/>
    <w:rsid w:val="00212266"/>
    <w:rsid w:val="00212439"/>
    <w:rsid w:val="00212448"/>
    <w:rsid w:val="00212737"/>
    <w:rsid w:val="00214647"/>
    <w:rsid w:val="00216670"/>
    <w:rsid w:val="00216ACA"/>
    <w:rsid w:val="00217221"/>
    <w:rsid w:val="00220743"/>
    <w:rsid w:val="0022093B"/>
    <w:rsid w:val="00220B17"/>
    <w:rsid w:val="00220B1F"/>
    <w:rsid w:val="00220BAF"/>
    <w:rsid w:val="002212E1"/>
    <w:rsid w:val="00221598"/>
    <w:rsid w:val="0022186B"/>
    <w:rsid w:val="00221F66"/>
    <w:rsid w:val="00222262"/>
    <w:rsid w:val="0022233A"/>
    <w:rsid w:val="00222633"/>
    <w:rsid w:val="00222D70"/>
    <w:rsid w:val="002255DC"/>
    <w:rsid w:val="00226621"/>
    <w:rsid w:val="00226F40"/>
    <w:rsid w:val="00227123"/>
    <w:rsid w:val="0022713C"/>
    <w:rsid w:val="00227A3D"/>
    <w:rsid w:val="00230466"/>
    <w:rsid w:val="00230793"/>
    <w:rsid w:val="00230A1A"/>
    <w:rsid w:val="00230C15"/>
    <w:rsid w:val="00230D87"/>
    <w:rsid w:val="00232573"/>
    <w:rsid w:val="00232EF3"/>
    <w:rsid w:val="002333B7"/>
    <w:rsid w:val="00233427"/>
    <w:rsid w:val="00233DB1"/>
    <w:rsid w:val="002340BB"/>
    <w:rsid w:val="002341D1"/>
    <w:rsid w:val="002346CF"/>
    <w:rsid w:val="0023470D"/>
    <w:rsid w:val="00235B3E"/>
    <w:rsid w:val="00237663"/>
    <w:rsid w:val="002377E0"/>
    <w:rsid w:val="002408F4"/>
    <w:rsid w:val="00240B02"/>
    <w:rsid w:val="00240B6B"/>
    <w:rsid w:val="00240E1E"/>
    <w:rsid w:val="002410E8"/>
    <w:rsid w:val="00241BC8"/>
    <w:rsid w:val="0024210D"/>
    <w:rsid w:val="00242213"/>
    <w:rsid w:val="00243FFD"/>
    <w:rsid w:val="0024435C"/>
    <w:rsid w:val="002451FB"/>
    <w:rsid w:val="0024530C"/>
    <w:rsid w:val="0024594B"/>
    <w:rsid w:val="00245B97"/>
    <w:rsid w:val="00245BD9"/>
    <w:rsid w:val="00247EAC"/>
    <w:rsid w:val="0025051F"/>
    <w:rsid w:val="00250D17"/>
    <w:rsid w:val="00251A92"/>
    <w:rsid w:val="00252410"/>
    <w:rsid w:val="00253468"/>
    <w:rsid w:val="00253648"/>
    <w:rsid w:val="00253E1E"/>
    <w:rsid w:val="00254EA0"/>
    <w:rsid w:val="002550AE"/>
    <w:rsid w:val="00255570"/>
    <w:rsid w:val="00255929"/>
    <w:rsid w:val="00255A46"/>
    <w:rsid w:val="00256BE9"/>
    <w:rsid w:val="00256F15"/>
    <w:rsid w:val="00260702"/>
    <w:rsid w:val="00261D0D"/>
    <w:rsid w:val="00261EAC"/>
    <w:rsid w:val="002620CC"/>
    <w:rsid w:val="00263434"/>
    <w:rsid w:val="002634F3"/>
    <w:rsid w:val="002640DE"/>
    <w:rsid w:val="00264F52"/>
    <w:rsid w:val="002651C2"/>
    <w:rsid w:val="00266572"/>
    <w:rsid w:val="002670EA"/>
    <w:rsid w:val="002678BC"/>
    <w:rsid w:val="00267B02"/>
    <w:rsid w:val="002700D2"/>
    <w:rsid w:val="002704A0"/>
    <w:rsid w:val="00271903"/>
    <w:rsid w:val="00271C35"/>
    <w:rsid w:val="00272D3C"/>
    <w:rsid w:val="0027300A"/>
    <w:rsid w:val="002730A0"/>
    <w:rsid w:val="002737B6"/>
    <w:rsid w:val="0027438F"/>
    <w:rsid w:val="00274AD5"/>
    <w:rsid w:val="00274CA9"/>
    <w:rsid w:val="00275B67"/>
    <w:rsid w:val="00275E00"/>
    <w:rsid w:val="00276129"/>
    <w:rsid w:val="00276729"/>
    <w:rsid w:val="00276A23"/>
    <w:rsid w:val="00276D5D"/>
    <w:rsid w:val="0027727D"/>
    <w:rsid w:val="002778B1"/>
    <w:rsid w:val="0028144B"/>
    <w:rsid w:val="00281503"/>
    <w:rsid w:val="00281D68"/>
    <w:rsid w:val="00283B78"/>
    <w:rsid w:val="00284217"/>
    <w:rsid w:val="00284949"/>
    <w:rsid w:val="0028596C"/>
    <w:rsid w:val="002859C7"/>
    <w:rsid w:val="00285FE1"/>
    <w:rsid w:val="002860B8"/>
    <w:rsid w:val="0028625E"/>
    <w:rsid w:val="00286D29"/>
    <w:rsid w:val="002879A5"/>
    <w:rsid w:val="00290817"/>
    <w:rsid w:val="00290F64"/>
    <w:rsid w:val="00291686"/>
    <w:rsid w:val="002927D2"/>
    <w:rsid w:val="00293FCD"/>
    <w:rsid w:val="00294D68"/>
    <w:rsid w:val="002951A5"/>
    <w:rsid w:val="00297E76"/>
    <w:rsid w:val="002A0124"/>
    <w:rsid w:val="002A1921"/>
    <w:rsid w:val="002A1DAA"/>
    <w:rsid w:val="002A2978"/>
    <w:rsid w:val="002A2FE0"/>
    <w:rsid w:val="002A3A6A"/>
    <w:rsid w:val="002A3E06"/>
    <w:rsid w:val="002A4B87"/>
    <w:rsid w:val="002A517B"/>
    <w:rsid w:val="002A618A"/>
    <w:rsid w:val="002A628C"/>
    <w:rsid w:val="002A71C3"/>
    <w:rsid w:val="002A7B83"/>
    <w:rsid w:val="002B0233"/>
    <w:rsid w:val="002B02FA"/>
    <w:rsid w:val="002B098A"/>
    <w:rsid w:val="002B0AA6"/>
    <w:rsid w:val="002B0C1D"/>
    <w:rsid w:val="002B1860"/>
    <w:rsid w:val="002B1AFC"/>
    <w:rsid w:val="002B2799"/>
    <w:rsid w:val="002B282A"/>
    <w:rsid w:val="002B2A5E"/>
    <w:rsid w:val="002B2FDE"/>
    <w:rsid w:val="002B3374"/>
    <w:rsid w:val="002B3447"/>
    <w:rsid w:val="002B46A9"/>
    <w:rsid w:val="002B50DD"/>
    <w:rsid w:val="002B526C"/>
    <w:rsid w:val="002B5A6C"/>
    <w:rsid w:val="002B67A0"/>
    <w:rsid w:val="002B6BF6"/>
    <w:rsid w:val="002B7055"/>
    <w:rsid w:val="002B7191"/>
    <w:rsid w:val="002C14DE"/>
    <w:rsid w:val="002C15DF"/>
    <w:rsid w:val="002C341D"/>
    <w:rsid w:val="002C36B6"/>
    <w:rsid w:val="002C3A01"/>
    <w:rsid w:val="002C3BC4"/>
    <w:rsid w:val="002C3C27"/>
    <w:rsid w:val="002C41F6"/>
    <w:rsid w:val="002C4AA5"/>
    <w:rsid w:val="002C51C5"/>
    <w:rsid w:val="002C585F"/>
    <w:rsid w:val="002C676C"/>
    <w:rsid w:val="002C7529"/>
    <w:rsid w:val="002D0225"/>
    <w:rsid w:val="002D0B42"/>
    <w:rsid w:val="002D24F3"/>
    <w:rsid w:val="002D342D"/>
    <w:rsid w:val="002D3B6E"/>
    <w:rsid w:val="002D3E70"/>
    <w:rsid w:val="002D49C0"/>
    <w:rsid w:val="002D5387"/>
    <w:rsid w:val="002D66C3"/>
    <w:rsid w:val="002D68A4"/>
    <w:rsid w:val="002D7122"/>
    <w:rsid w:val="002D74AD"/>
    <w:rsid w:val="002D7CCC"/>
    <w:rsid w:val="002E0199"/>
    <w:rsid w:val="002E0757"/>
    <w:rsid w:val="002E0AE1"/>
    <w:rsid w:val="002E0CB0"/>
    <w:rsid w:val="002E121C"/>
    <w:rsid w:val="002E176F"/>
    <w:rsid w:val="002E17F0"/>
    <w:rsid w:val="002E1FB6"/>
    <w:rsid w:val="002E3040"/>
    <w:rsid w:val="002E33B2"/>
    <w:rsid w:val="002E3BCB"/>
    <w:rsid w:val="002E47FE"/>
    <w:rsid w:val="002E48FE"/>
    <w:rsid w:val="002E4A4A"/>
    <w:rsid w:val="002E63C9"/>
    <w:rsid w:val="002E6A9D"/>
    <w:rsid w:val="002E6DCD"/>
    <w:rsid w:val="002E701A"/>
    <w:rsid w:val="002E7A09"/>
    <w:rsid w:val="002F0B67"/>
    <w:rsid w:val="002F0FF8"/>
    <w:rsid w:val="002F1007"/>
    <w:rsid w:val="002F1077"/>
    <w:rsid w:val="002F25C3"/>
    <w:rsid w:val="002F2979"/>
    <w:rsid w:val="002F2EF1"/>
    <w:rsid w:val="002F4454"/>
    <w:rsid w:val="002F45F8"/>
    <w:rsid w:val="002F4DEF"/>
    <w:rsid w:val="002F4EA5"/>
    <w:rsid w:val="002F514A"/>
    <w:rsid w:val="002F57CB"/>
    <w:rsid w:val="002F6B79"/>
    <w:rsid w:val="002F7916"/>
    <w:rsid w:val="002F7B89"/>
    <w:rsid w:val="00300054"/>
    <w:rsid w:val="0030032F"/>
    <w:rsid w:val="0030180C"/>
    <w:rsid w:val="00301DAB"/>
    <w:rsid w:val="003021F0"/>
    <w:rsid w:val="00302CF7"/>
    <w:rsid w:val="00303B76"/>
    <w:rsid w:val="003048BB"/>
    <w:rsid w:val="0030495B"/>
    <w:rsid w:val="003049A4"/>
    <w:rsid w:val="00304C6C"/>
    <w:rsid w:val="00304D2D"/>
    <w:rsid w:val="00306048"/>
    <w:rsid w:val="00306879"/>
    <w:rsid w:val="00306D2C"/>
    <w:rsid w:val="0030734B"/>
    <w:rsid w:val="00307397"/>
    <w:rsid w:val="00307C81"/>
    <w:rsid w:val="00307EE4"/>
    <w:rsid w:val="003103C3"/>
    <w:rsid w:val="003111F1"/>
    <w:rsid w:val="003115DA"/>
    <w:rsid w:val="00311BCC"/>
    <w:rsid w:val="00311DF2"/>
    <w:rsid w:val="003125BF"/>
    <w:rsid w:val="0031287E"/>
    <w:rsid w:val="00312EB4"/>
    <w:rsid w:val="00313731"/>
    <w:rsid w:val="00314E56"/>
    <w:rsid w:val="003152D8"/>
    <w:rsid w:val="00315B66"/>
    <w:rsid w:val="00315C9C"/>
    <w:rsid w:val="00315D6F"/>
    <w:rsid w:val="00316122"/>
    <w:rsid w:val="0031684E"/>
    <w:rsid w:val="00316C36"/>
    <w:rsid w:val="00320AF6"/>
    <w:rsid w:val="00320F5A"/>
    <w:rsid w:val="00321724"/>
    <w:rsid w:val="00323181"/>
    <w:rsid w:val="00323A1A"/>
    <w:rsid w:val="003241DA"/>
    <w:rsid w:val="003244BC"/>
    <w:rsid w:val="003251BF"/>
    <w:rsid w:val="003252AF"/>
    <w:rsid w:val="00327399"/>
    <w:rsid w:val="00327E13"/>
    <w:rsid w:val="003305FD"/>
    <w:rsid w:val="00330901"/>
    <w:rsid w:val="003310E8"/>
    <w:rsid w:val="003331E1"/>
    <w:rsid w:val="0033373A"/>
    <w:rsid w:val="00333A6C"/>
    <w:rsid w:val="00333B80"/>
    <w:rsid w:val="00334179"/>
    <w:rsid w:val="00334276"/>
    <w:rsid w:val="0033471D"/>
    <w:rsid w:val="00334AC3"/>
    <w:rsid w:val="00337073"/>
    <w:rsid w:val="003370CE"/>
    <w:rsid w:val="003409C6"/>
    <w:rsid w:val="00341589"/>
    <w:rsid w:val="003415E6"/>
    <w:rsid w:val="003428D3"/>
    <w:rsid w:val="00342D1B"/>
    <w:rsid w:val="00342D3E"/>
    <w:rsid w:val="00343A7C"/>
    <w:rsid w:val="003445B4"/>
    <w:rsid w:val="00344F0C"/>
    <w:rsid w:val="00345505"/>
    <w:rsid w:val="00345C9C"/>
    <w:rsid w:val="0034611C"/>
    <w:rsid w:val="0034701E"/>
    <w:rsid w:val="00350803"/>
    <w:rsid w:val="00351376"/>
    <w:rsid w:val="003523DD"/>
    <w:rsid w:val="00353263"/>
    <w:rsid w:val="00353731"/>
    <w:rsid w:val="00353DE7"/>
    <w:rsid w:val="0035439C"/>
    <w:rsid w:val="00355CD9"/>
    <w:rsid w:val="00355DD9"/>
    <w:rsid w:val="00356100"/>
    <w:rsid w:val="0035654C"/>
    <w:rsid w:val="003571C6"/>
    <w:rsid w:val="00357450"/>
    <w:rsid w:val="0035766A"/>
    <w:rsid w:val="0035788F"/>
    <w:rsid w:val="00357D95"/>
    <w:rsid w:val="0036218C"/>
    <w:rsid w:val="00362B28"/>
    <w:rsid w:val="00362E9B"/>
    <w:rsid w:val="00363D02"/>
    <w:rsid w:val="0036432F"/>
    <w:rsid w:val="00365101"/>
    <w:rsid w:val="00366F49"/>
    <w:rsid w:val="00367105"/>
    <w:rsid w:val="00367638"/>
    <w:rsid w:val="003678BF"/>
    <w:rsid w:val="00370663"/>
    <w:rsid w:val="003727DE"/>
    <w:rsid w:val="003733A3"/>
    <w:rsid w:val="003737CD"/>
    <w:rsid w:val="0037406B"/>
    <w:rsid w:val="003742FC"/>
    <w:rsid w:val="00374525"/>
    <w:rsid w:val="00374789"/>
    <w:rsid w:val="00375987"/>
    <w:rsid w:val="00375A5C"/>
    <w:rsid w:val="00376159"/>
    <w:rsid w:val="0037615C"/>
    <w:rsid w:val="0037761E"/>
    <w:rsid w:val="00377C23"/>
    <w:rsid w:val="00377D70"/>
    <w:rsid w:val="0038189D"/>
    <w:rsid w:val="00381AE9"/>
    <w:rsid w:val="00382731"/>
    <w:rsid w:val="003829FF"/>
    <w:rsid w:val="00384640"/>
    <w:rsid w:val="00384D03"/>
    <w:rsid w:val="003865B5"/>
    <w:rsid w:val="00386940"/>
    <w:rsid w:val="00386A4C"/>
    <w:rsid w:val="00386B6F"/>
    <w:rsid w:val="00386B8D"/>
    <w:rsid w:val="003875D5"/>
    <w:rsid w:val="00387890"/>
    <w:rsid w:val="00387A2A"/>
    <w:rsid w:val="00387F11"/>
    <w:rsid w:val="00390291"/>
    <w:rsid w:val="003905F6"/>
    <w:rsid w:val="00391BBD"/>
    <w:rsid w:val="00391EEA"/>
    <w:rsid w:val="003921DD"/>
    <w:rsid w:val="0039276A"/>
    <w:rsid w:val="00392B43"/>
    <w:rsid w:val="003931CC"/>
    <w:rsid w:val="00393AC5"/>
    <w:rsid w:val="0039475F"/>
    <w:rsid w:val="0039492B"/>
    <w:rsid w:val="00394BAE"/>
    <w:rsid w:val="003954E7"/>
    <w:rsid w:val="00395BA5"/>
    <w:rsid w:val="00396E4D"/>
    <w:rsid w:val="0039715C"/>
    <w:rsid w:val="003A02D3"/>
    <w:rsid w:val="003A0637"/>
    <w:rsid w:val="003A0737"/>
    <w:rsid w:val="003A2063"/>
    <w:rsid w:val="003A281B"/>
    <w:rsid w:val="003A3023"/>
    <w:rsid w:val="003A41E9"/>
    <w:rsid w:val="003A432E"/>
    <w:rsid w:val="003A44A1"/>
    <w:rsid w:val="003A4C57"/>
    <w:rsid w:val="003A4EAB"/>
    <w:rsid w:val="003A5382"/>
    <w:rsid w:val="003A53D3"/>
    <w:rsid w:val="003A58FD"/>
    <w:rsid w:val="003A59A2"/>
    <w:rsid w:val="003A7099"/>
    <w:rsid w:val="003A78F8"/>
    <w:rsid w:val="003A7BEB"/>
    <w:rsid w:val="003B12C8"/>
    <w:rsid w:val="003B1529"/>
    <w:rsid w:val="003B173F"/>
    <w:rsid w:val="003B19C5"/>
    <w:rsid w:val="003B1DE3"/>
    <w:rsid w:val="003B34C3"/>
    <w:rsid w:val="003B3B9F"/>
    <w:rsid w:val="003B4CDB"/>
    <w:rsid w:val="003B5499"/>
    <w:rsid w:val="003B5912"/>
    <w:rsid w:val="003B5AAA"/>
    <w:rsid w:val="003B650B"/>
    <w:rsid w:val="003B6848"/>
    <w:rsid w:val="003B68BA"/>
    <w:rsid w:val="003B729C"/>
    <w:rsid w:val="003C068D"/>
    <w:rsid w:val="003C16E7"/>
    <w:rsid w:val="003C2171"/>
    <w:rsid w:val="003C37CC"/>
    <w:rsid w:val="003C3FCA"/>
    <w:rsid w:val="003C4555"/>
    <w:rsid w:val="003C48AB"/>
    <w:rsid w:val="003C49EC"/>
    <w:rsid w:val="003C69E0"/>
    <w:rsid w:val="003C6DAD"/>
    <w:rsid w:val="003C7909"/>
    <w:rsid w:val="003D07B9"/>
    <w:rsid w:val="003D08A4"/>
    <w:rsid w:val="003D0BD2"/>
    <w:rsid w:val="003D1140"/>
    <w:rsid w:val="003D34AF"/>
    <w:rsid w:val="003D37D7"/>
    <w:rsid w:val="003D42AD"/>
    <w:rsid w:val="003D4398"/>
    <w:rsid w:val="003D43D2"/>
    <w:rsid w:val="003D4713"/>
    <w:rsid w:val="003D5098"/>
    <w:rsid w:val="003D50FB"/>
    <w:rsid w:val="003D53BC"/>
    <w:rsid w:val="003D5C4B"/>
    <w:rsid w:val="003D5D12"/>
    <w:rsid w:val="003D5D75"/>
    <w:rsid w:val="003D5EEA"/>
    <w:rsid w:val="003D6444"/>
    <w:rsid w:val="003D7AC1"/>
    <w:rsid w:val="003E0145"/>
    <w:rsid w:val="003E121B"/>
    <w:rsid w:val="003E13B0"/>
    <w:rsid w:val="003E1980"/>
    <w:rsid w:val="003E1D74"/>
    <w:rsid w:val="003E1EA8"/>
    <w:rsid w:val="003E269E"/>
    <w:rsid w:val="003E2B6C"/>
    <w:rsid w:val="003E4978"/>
    <w:rsid w:val="003E5483"/>
    <w:rsid w:val="003E5940"/>
    <w:rsid w:val="003E6393"/>
    <w:rsid w:val="003E6459"/>
    <w:rsid w:val="003E6AD7"/>
    <w:rsid w:val="003E6EC0"/>
    <w:rsid w:val="003E7AC1"/>
    <w:rsid w:val="003F02BA"/>
    <w:rsid w:val="003F063F"/>
    <w:rsid w:val="003F0681"/>
    <w:rsid w:val="003F0C60"/>
    <w:rsid w:val="003F0D18"/>
    <w:rsid w:val="003F1950"/>
    <w:rsid w:val="003F2275"/>
    <w:rsid w:val="003F2A77"/>
    <w:rsid w:val="003F3301"/>
    <w:rsid w:val="003F3792"/>
    <w:rsid w:val="003F44D5"/>
    <w:rsid w:val="003F50DC"/>
    <w:rsid w:val="003F54D1"/>
    <w:rsid w:val="003F63BC"/>
    <w:rsid w:val="003F6ADB"/>
    <w:rsid w:val="003F6E55"/>
    <w:rsid w:val="003F6EF5"/>
    <w:rsid w:val="003F7AFE"/>
    <w:rsid w:val="003F7BC8"/>
    <w:rsid w:val="0040025F"/>
    <w:rsid w:val="004007AE"/>
    <w:rsid w:val="00400A4B"/>
    <w:rsid w:val="004010B5"/>
    <w:rsid w:val="004010F5"/>
    <w:rsid w:val="004015D7"/>
    <w:rsid w:val="00401712"/>
    <w:rsid w:val="00401A77"/>
    <w:rsid w:val="00401BB6"/>
    <w:rsid w:val="0040226B"/>
    <w:rsid w:val="004023FE"/>
    <w:rsid w:val="00402652"/>
    <w:rsid w:val="0040270A"/>
    <w:rsid w:val="00402710"/>
    <w:rsid w:val="00402FA5"/>
    <w:rsid w:val="00403FC0"/>
    <w:rsid w:val="004048D4"/>
    <w:rsid w:val="00404E4F"/>
    <w:rsid w:val="00405EFB"/>
    <w:rsid w:val="00405F42"/>
    <w:rsid w:val="00405FED"/>
    <w:rsid w:val="00406385"/>
    <w:rsid w:val="00406655"/>
    <w:rsid w:val="0040681F"/>
    <w:rsid w:val="00406CBB"/>
    <w:rsid w:val="0040784A"/>
    <w:rsid w:val="004079E4"/>
    <w:rsid w:val="00410934"/>
    <w:rsid w:val="00410A69"/>
    <w:rsid w:val="00410F7C"/>
    <w:rsid w:val="004112C6"/>
    <w:rsid w:val="00411CE8"/>
    <w:rsid w:val="00412027"/>
    <w:rsid w:val="00412839"/>
    <w:rsid w:val="00412D91"/>
    <w:rsid w:val="0041320B"/>
    <w:rsid w:val="00414BFE"/>
    <w:rsid w:val="00414CF3"/>
    <w:rsid w:val="00416206"/>
    <w:rsid w:val="004170DD"/>
    <w:rsid w:val="0041726C"/>
    <w:rsid w:val="0041774E"/>
    <w:rsid w:val="00420963"/>
    <w:rsid w:val="00420A7A"/>
    <w:rsid w:val="00420DA2"/>
    <w:rsid w:val="00421157"/>
    <w:rsid w:val="00421683"/>
    <w:rsid w:val="00421761"/>
    <w:rsid w:val="00422390"/>
    <w:rsid w:val="00422563"/>
    <w:rsid w:val="00422A5C"/>
    <w:rsid w:val="00423E6A"/>
    <w:rsid w:val="00424575"/>
    <w:rsid w:val="00425AA0"/>
    <w:rsid w:val="0042609C"/>
    <w:rsid w:val="0042662A"/>
    <w:rsid w:val="0042676C"/>
    <w:rsid w:val="00427B9F"/>
    <w:rsid w:val="004305EE"/>
    <w:rsid w:val="00430D3A"/>
    <w:rsid w:val="00431A3C"/>
    <w:rsid w:val="00431DAF"/>
    <w:rsid w:val="00431F4D"/>
    <w:rsid w:val="0043257E"/>
    <w:rsid w:val="00432664"/>
    <w:rsid w:val="00432804"/>
    <w:rsid w:val="004328CF"/>
    <w:rsid w:val="00432BEF"/>
    <w:rsid w:val="0043300B"/>
    <w:rsid w:val="004332BF"/>
    <w:rsid w:val="00433E85"/>
    <w:rsid w:val="00433EAC"/>
    <w:rsid w:val="00434731"/>
    <w:rsid w:val="00435442"/>
    <w:rsid w:val="004358AF"/>
    <w:rsid w:val="00436F59"/>
    <w:rsid w:val="004410A8"/>
    <w:rsid w:val="00442BCB"/>
    <w:rsid w:val="00442E2F"/>
    <w:rsid w:val="00442E6B"/>
    <w:rsid w:val="00444036"/>
    <w:rsid w:val="0044423A"/>
    <w:rsid w:val="00444347"/>
    <w:rsid w:val="0044503B"/>
    <w:rsid w:val="00445460"/>
    <w:rsid w:val="00445A07"/>
    <w:rsid w:val="00445C00"/>
    <w:rsid w:val="00445CEA"/>
    <w:rsid w:val="004465B1"/>
    <w:rsid w:val="0044699F"/>
    <w:rsid w:val="0044712E"/>
    <w:rsid w:val="0044770B"/>
    <w:rsid w:val="0045034A"/>
    <w:rsid w:val="0045255A"/>
    <w:rsid w:val="004529AE"/>
    <w:rsid w:val="0045411E"/>
    <w:rsid w:val="00455280"/>
    <w:rsid w:val="00455932"/>
    <w:rsid w:val="004559D1"/>
    <w:rsid w:val="00455F98"/>
    <w:rsid w:val="00455FB0"/>
    <w:rsid w:val="00456399"/>
    <w:rsid w:val="00460771"/>
    <w:rsid w:val="00460EF1"/>
    <w:rsid w:val="004617E1"/>
    <w:rsid w:val="00461F53"/>
    <w:rsid w:val="004631EE"/>
    <w:rsid w:val="004642B1"/>
    <w:rsid w:val="00464546"/>
    <w:rsid w:val="00464A76"/>
    <w:rsid w:val="004651FE"/>
    <w:rsid w:val="00465FB6"/>
    <w:rsid w:val="0046622A"/>
    <w:rsid w:val="004662BD"/>
    <w:rsid w:val="004700B5"/>
    <w:rsid w:val="004702A9"/>
    <w:rsid w:val="00470703"/>
    <w:rsid w:val="00470D89"/>
    <w:rsid w:val="004710BE"/>
    <w:rsid w:val="004719F4"/>
    <w:rsid w:val="00471F04"/>
    <w:rsid w:val="004720A6"/>
    <w:rsid w:val="00473E9E"/>
    <w:rsid w:val="00474167"/>
    <w:rsid w:val="004744EA"/>
    <w:rsid w:val="00474803"/>
    <w:rsid w:val="00474C6F"/>
    <w:rsid w:val="00475132"/>
    <w:rsid w:val="004754CA"/>
    <w:rsid w:val="00475ACA"/>
    <w:rsid w:val="00476040"/>
    <w:rsid w:val="00476420"/>
    <w:rsid w:val="004772A6"/>
    <w:rsid w:val="0047744A"/>
    <w:rsid w:val="004808E7"/>
    <w:rsid w:val="00480C7B"/>
    <w:rsid w:val="004814B9"/>
    <w:rsid w:val="00481A60"/>
    <w:rsid w:val="00481ACA"/>
    <w:rsid w:val="004825E2"/>
    <w:rsid w:val="004832A0"/>
    <w:rsid w:val="004838CD"/>
    <w:rsid w:val="00484115"/>
    <w:rsid w:val="00484236"/>
    <w:rsid w:val="00484AE4"/>
    <w:rsid w:val="004852CF"/>
    <w:rsid w:val="004862AC"/>
    <w:rsid w:val="00486758"/>
    <w:rsid w:val="00487E2B"/>
    <w:rsid w:val="00487FB2"/>
    <w:rsid w:val="004905FC"/>
    <w:rsid w:val="00490B43"/>
    <w:rsid w:val="00491A54"/>
    <w:rsid w:val="00491B2B"/>
    <w:rsid w:val="0049251F"/>
    <w:rsid w:val="00492C62"/>
    <w:rsid w:val="00492C78"/>
    <w:rsid w:val="00492EA9"/>
    <w:rsid w:val="0049393F"/>
    <w:rsid w:val="00493EA5"/>
    <w:rsid w:val="00494C54"/>
    <w:rsid w:val="004953F5"/>
    <w:rsid w:val="0049558F"/>
    <w:rsid w:val="00495940"/>
    <w:rsid w:val="00496B7C"/>
    <w:rsid w:val="00497F15"/>
    <w:rsid w:val="004A0351"/>
    <w:rsid w:val="004A13EA"/>
    <w:rsid w:val="004A2701"/>
    <w:rsid w:val="004A2BA3"/>
    <w:rsid w:val="004A3A3D"/>
    <w:rsid w:val="004A441B"/>
    <w:rsid w:val="004A444A"/>
    <w:rsid w:val="004A4CD1"/>
    <w:rsid w:val="004A5A22"/>
    <w:rsid w:val="004A6BE1"/>
    <w:rsid w:val="004A716E"/>
    <w:rsid w:val="004B0A77"/>
    <w:rsid w:val="004B1485"/>
    <w:rsid w:val="004B1743"/>
    <w:rsid w:val="004B1B82"/>
    <w:rsid w:val="004B2BF8"/>
    <w:rsid w:val="004B33D3"/>
    <w:rsid w:val="004B3679"/>
    <w:rsid w:val="004B3B88"/>
    <w:rsid w:val="004B4BC2"/>
    <w:rsid w:val="004B5B2C"/>
    <w:rsid w:val="004B5C2C"/>
    <w:rsid w:val="004B76FA"/>
    <w:rsid w:val="004C0F33"/>
    <w:rsid w:val="004C22BD"/>
    <w:rsid w:val="004C404D"/>
    <w:rsid w:val="004C43F9"/>
    <w:rsid w:val="004C43FC"/>
    <w:rsid w:val="004C5FE2"/>
    <w:rsid w:val="004C6126"/>
    <w:rsid w:val="004C68F7"/>
    <w:rsid w:val="004C7288"/>
    <w:rsid w:val="004C7782"/>
    <w:rsid w:val="004C7D31"/>
    <w:rsid w:val="004C7D40"/>
    <w:rsid w:val="004D07BD"/>
    <w:rsid w:val="004D4733"/>
    <w:rsid w:val="004D50CB"/>
    <w:rsid w:val="004D51BA"/>
    <w:rsid w:val="004D6E90"/>
    <w:rsid w:val="004D700D"/>
    <w:rsid w:val="004D7271"/>
    <w:rsid w:val="004D7744"/>
    <w:rsid w:val="004D774F"/>
    <w:rsid w:val="004D7D7B"/>
    <w:rsid w:val="004E042F"/>
    <w:rsid w:val="004E0B21"/>
    <w:rsid w:val="004E0D6B"/>
    <w:rsid w:val="004E0DBA"/>
    <w:rsid w:val="004E3038"/>
    <w:rsid w:val="004E3613"/>
    <w:rsid w:val="004E45C9"/>
    <w:rsid w:val="004E463A"/>
    <w:rsid w:val="004E4FAD"/>
    <w:rsid w:val="004E5151"/>
    <w:rsid w:val="004E5738"/>
    <w:rsid w:val="004E5A73"/>
    <w:rsid w:val="004E5D62"/>
    <w:rsid w:val="004E5FC2"/>
    <w:rsid w:val="004E6492"/>
    <w:rsid w:val="004E6540"/>
    <w:rsid w:val="004F06D5"/>
    <w:rsid w:val="004F179E"/>
    <w:rsid w:val="004F188F"/>
    <w:rsid w:val="004F2732"/>
    <w:rsid w:val="004F3667"/>
    <w:rsid w:val="004F37CB"/>
    <w:rsid w:val="004F3BF9"/>
    <w:rsid w:val="004F4285"/>
    <w:rsid w:val="004F4C75"/>
    <w:rsid w:val="004F58AD"/>
    <w:rsid w:val="004F5AFD"/>
    <w:rsid w:val="004F5B54"/>
    <w:rsid w:val="004F6FD5"/>
    <w:rsid w:val="004F78CF"/>
    <w:rsid w:val="004F7D4C"/>
    <w:rsid w:val="00501193"/>
    <w:rsid w:val="0050120C"/>
    <w:rsid w:val="00501565"/>
    <w:rsid w:val="00501712"/>
    <w:rsid w:val="00501BDE"/>
    <w:rsid w:val="0050385B"/>
    <w:rsid w:val="00504D24"/>
    <w:rsid w:val="00504EAA"/>
    <w:rsid w:val="00504EBE"/>
    <w:rsid w:val="00504FB3"/>
    <w:rsid w:val="0050572F"/>
    <w:rsid w:val="005065A2"/>
    <w:rsid w:val="00511540"/>
    <w:rsid w:val="00511AC6"/>
    <w:rsid w:val="00512459"/>
    <w:rsid w:val="00513122"/>
    <w:rsid w:val="00513D4A"/>
    <w:rsid w:val="00513D4C"/>
    <w:rsid w:val="00513E9B"/>
    <w:rsid w:val="00514AF9"/>
    <w:rsid w:val="00514B6A"/>
    <w:rsid w:val="005156FB"/>
    <w:rsid w:val="0051675B"/>
    <w:rsid w:val="00517183"/>
    <w:rsid w:val="00517A54"/>
    <w:rsid w:val="00520482"/>
    <w:rsid w:val="00520BCA"/>
    <w:rsid w:val="00520C6D"/>
    <w:rsid w:val="0052100D"/>
    <w:rsid w:val="005210CE"/>
    <w:rsid w:val="0052171B"/>
    <w:rsid w:val="005233A0"/>
    <w:rsid w:val="0052379E"/>
    <w:rsid w:val="00524A2A"/>
    <w:rsid w:val="00524EB9"/>
    <w:rsid w:val="005257C4"/>
    <w:rsid w:val="00525F51"/>
    <w:rsid w:val="00525FE3"/>
    <w:rsid w:val="005265E3"/>
    <w:rsid w:val="00526B6D"/>
    <w:rsid w:val="00526CDA"/>
    <w:rsid w:val="00526DBF"/>
    <w:rsid w:val="005274CA"/>
    <w:rsid w:val="00530CC6"/>
    <w:rsid w:val="00531778"/>
    <w:rsid w:val="00531F26"/>
    <w:rsid w:val="00532990"/>
    <w:rsid w:val="00532D7E"/>
    <w:rsid w:val="005335E2"/>
    <w:rsid w:val="00534DF0"/>
    <w:rsid w:val="00537073"/>
    <w:rsid w:val="0054019C"/>
    <w:rsid w:val="005412C7"/>
    <w:rsid w:val="00542B55"/>
    <w:rsid w:val="00542C89"/>
    <w:rsid w:val="00542CED"/>
    <w:rsid w:val="0054410F"/>
    <w:rsid w:val="00544153"/>
    <w:rsid w:val="0054458C"/>
    <w:rsid w:val="005445A2"/>
    <w:rsid w:val="005451F7"/>
    <w:rsid w:val="005455EB"/>
    <w:rsid w:val="00545A4F"/>
    <w:rsid w:val="00545C60"/>
    <w:rsid w:val="00546181"/>
    <w:rsid w:val="00547D5A"/>
    <w:rsid w:val="00550284"/>
    <w:rsid w:val="00550314"/>
    <w:rsid w:val="00550EBD"/>
    <w:rsid w:val="00550FF1"/>
    <w:rsid w:val="005523F2"/>
    <w:rsid w:val="00553F2B"/>
    <w:rsid w:val="00554A96"/>
    <w:rsid w:val="00554B9F"/>
    <w:rsid w:val="0055508C"/>
    <w:rsid w:val="005550E3"/>
    <w:rsid w:val="00555208"/>
    <w:rsid w:val="00555DCB"/>
    <w:rsid w:val="00556327"/>
    <w:rsid w:val="005569E7"/>
    <w:rsid w:val="0055791E"/>
    <w:rsid w:val="0056059A"/>
    <w:rsid w:val="0056205E"/>
    <w:rsid w:val="005623F8"/>
    <w:rsid w:val="00563771"/>
    <w:rsid w:val="005647D6"/>
    <w:rsid w:val="00564E7E"/>
    <w:rsid w:val="00564F25"/>
    <w:rsid w:val="00565404"/>
    <w:rsid w:val="0056541A"/>
    <w:rsid w:val="0056563F"/>
    <w:rsid w:val="005659B1"/>
    <w:rsid w:val="005671AA"/>
    <w:rsid w:val="00567C71"/>
    <w:rsid w:val="0057007D"/>
    <w:rsid w:val="00570C4C"/>
    <w:rsid w:val="0057109A"/>
    <w:rsid w:val="00571115"/>
    <w:rsid w:val="005711C0"/>
    <w:rsid w:val="00572107"/>
    <w:rsid w:val="005723D4"/>
    <w:rsid w:val="00572963"/>
    <w:rsid w:val="00572BF9"/>
    <w:rsid w:val="00574194"/>
    <w:rsid w:val="005749F5"/>
    <w:rsid w:val="005755C3"/>
    <w:rsid w:val="005758CB"/>
    <w:rsid w:val="0057601F"/>
    <w:rsid w:val="00576790"/>
    <w:rsid w:val="00581963"/>
    <w:rsid w:val="00581E7D"/>
    <w:rsid w:val="005831CF"/>
    <w:rsid w:val="00583A5D"/>
    <w:rsid w:val="00584067"/>
    <w:rsid w:val="005846FE"/>
    <w:rsid w:val="00584A08"/>
    <w:rsid w:val="00584BC5"/>
    <w:rsid w:val="005851AC"/>
    <w:rsid w:val="00585833"/>
    <w:rsid w:val="00591476"/>
    <w:rsid w:val="005914E2"/>
    <w:rsid w:val="00591585"/>
    <w:rsid w:val="00591844"/>
    <w:rsid w:val="005919F1"/>
    <w:rsid w:val="00591B8D"/>
    <w:rsid w:val="0059210F"/>
    <w:rsid w:val="005925B7"/>
    <w:rsid w:val="00593006"/>
    <w:rsid w:val="00593010"/>
    <w:rsid w:val="0059364E"/>
    <w:rsid w:val="00593F18"/>
    <w:rsid w:val="005947BC"/>
    <w:rsid w:val="005948FC"/>
    <w:rsid w:val="00595954"/>
    <w:rsid w:val="005971B9"/>
    <w:rsid w:val="005974A7"/>
    <w:rsid w:val="00597A99"/>
    <w:rsid w:val="005A08DF"/>
    <w:rsid w:val="005A17A9"/>
    <w:rsid w:val="005A185E"/>
    <w:rsid w:val="005A1EA2"/>
    <w:rsid w:val="005A22DF"/>
    <w:rsid w:val="005A2C48"/>
    <w:rsid w:val="005A33CF"/>
    <w:rsid w:val="005A363F"/>
    <w:rsid w:val="005A38B5"/>
    <w:rsid w:val="005A3D0C"/>
    <w:rsid w:val="005A4EC0"/>
    <w:rsid w:val="005A5139"/>
    <w:rsid w:val="005A6B05"/>
    <w:rsid w:val="005A6F7D"/>
    <w:rsid w:val="005A7027"/>
    <w:rsid w:val="005A7A9F"/>
    <w:rsid w:val="005B0117"/>
    <w:rsid w:val="005B033B"/>
    <w:rsid w:val="005B09AA"/>
    <w:rsid w:val="005B0B6D"/>
    <w:rsid w:val="005B27AC"/>
    <w:rsid w:val="005B27F5"/>
    <w:rsid w:val="005B2895"/>
    <w:rsid w:val="005B2AE0"/>
    <w:rsid w:val="005B3457"/>
    <w:rsid w:val="005B3612"/>
    <w:rsid w:val="005B38F2"/>
    <w:rsid w:val="005B4E03"/>
    <w:rsid w:val="005B5BE7"/>
    <w:rsid w:val="005B6A07"/>
    <w:rsid w:val="005B778A"/>
    <w:rsid w:val="005C0878"/>
    <w:rsid w:val="005C0F71"/>
    <w:rsid w:val="005C1B66"/>
    <w:rsid w:val="005C230F"/>
    <w:rsid w:val="005C2BD2"/>
    <w:rsid w:val="005C2C73"/>
    <w:rsid w:val="005C3762"/>
    <w:rsid w:val="005C4B5D"/>
    <w:rsid w:val="005C4E28"/>
    <w:rsid w:val="005C55A2"/>
    <w:rsid w:val="005C6D6B"/>
    <w:rsid w:val="005C7462"/>
    <w:rsid w:val="005C7663"/>
    <w:rsid w:val="005D0431"/>
    <w:rsid w:val="005D124E"/>
    <w:rsid w:val="005D19B6"/>
    <w:rsid w:val="005D1B48"/>
    <w:rsid w:val="005D28BC"/>
    <w:rsid w:val="005D37B1"/>
    <w:rsid w:val="005D43EE"/>
    <w:rsid w:val="005D457C"/>
    <w:rsid w:val="005D4662"/>
    <w:rsid w:val="005D6D91"/>
    <w:rsid w:val="005D70B6"/>
    <w:rsid w:val="005D73BD"/>
    <w:rsid w:val="005E0511"/>
    <w:rsid w:val="005E0803"/>
    <w:rsid w:val="005E1906"/>
    <w:rsid w:val="005E1ADD"/>
    <w:rsid w:val="005E3065"/>
    <w:rsid w:val="005E309C"/>
    <w:rsid w:val="005E3270"/>
    <w:rsid w:val="005E3867"/>
    <w:rsid w:val="005E3FA9"/>
    <w:rsid w:val="005E50F0"/>
    <w:rsid w:val="005E56C7"/>
    <w:rsid w:val="005E5C71"/>
    <w:rsid w:val="005E5DE4"/>
    <w:rsid w:val="005E60A8"/>
    <w:rsid w:val="005E67AB"/>
    <w:rsid w:val="005E6A69"/>
    <w:rsid w:val="005E73B4"/>
    <w:rsid w:val="005F044F"/>
    <w:rsid w:val="005F11C9"/>
    <w:rsid w:val="005F2354"/>
    <w:rsid w:val="005F24A8"/>
    <w:rsid w:val="005F2DFF"/>
    <w:rsid w:val="005F3362"/>
    <w:rsid w:val="005F3742"/>
    <w:rsid w:val="005F4870"/>
    <w:rsid w:val="005F4C51"/>
    <w:rsid w:val="005F4F45"/>
    <w:rsid w:val="005F53E2"/>
    <w:rsid w:val="005F62D6"/>
    <w:rsid w:val="005F77E0"/>
    <w:rsid w:val="005F7FC0"/>
    <w:rsid w:val="00600A06"/>
    <w:rsid w:val="00600E7C"/>
    <w:rsid w:val="00601340"/>
    <w:rsid w:val="0060148B"/>
    <w:rsid w:val="006024B3"/>
    <w:rsid w:val="0060292B"/>
    <w:rsid w:val="006030D2"/>
    <w:rsid w:val="00603FAA"/>
    <w:rsid w:val="00604452"/>
    <w:rsid w:val="00604A0D"/>
    <w:rsid w:val="006057B5"/>
    <w:rsid w:val="00606111"/>
    <w:rsid w:val="00606227"/>
    <w:rsid w:val="00607541"/>
    <w:rsid w:val="00610054"/>
    <w:rsid w:val="006103EC"/>
    <w:rsid w:val="00611407"/>
    <w:rsid w:val="00611A8E"/>
    <w:rsid w:val="00611B4B"/>
    <w:rsid w:val="006122EF"/>
    <w:rsid w:val="00612D17"/>
    <w:rsid w:val="00613820"/>
    <w:rsid w:val="00615929"/>
    <w:rsid w:val="00615C10"/>
    <w:rsid w:val="00616407"/>
    <w:rsid w:val="0061719C"/>
    <w:rsid w:val="006172CC"/>
    <w:rsid w:val="006176BD"/>
    <w:rsid w:val="006176E2"/>
    <w:rsid w:val="00617927"/>
    <w:rsid w:val="00620842"/>
    <w:rsid w:val="00621537"/>
    <w:rsid w:val="00622DE1"/>
    <w:rsid w:val="00623509"/>
    <w:rsid w:val="0062442E"/>
    <w:rsid w:val="006248B0"/>
    <w:rsid w:val="00624DB6"/>
    <w:rsid w:val="00625C2D"/>
    <w:rsid w:val="00626235"/>
    <w:rsid w:val="00626A6E"/>
    <w:rsid w:val="0062736A"/>
    <w:rsid w:val="0063035A"/>
    <w:rsid w:val="0063083B"/>
    <w:rsid w:val="006308C3"/>
    <w:rsid w:val="00630B0A"/>
    <w:rsid w:val="00631950"/>
    <w:rsid w:val="006328DD"/>
    <w:rsid w:val="00633C39"/>
    <w:rsid w:val="00633FE7"/>
    <w:rsid w:val="0063402E"/>
    <w:rsid w:val="006345C7"/>
    <w:rsid w:val="00634C28"/>
    <w:rsid w:val="00634F99"/>
    <w:rsid w:val="00635358"/>
    <w:rsid w:val="00635817"/>
    <w:rsid w:val="0063592D"/>
    <w:rsid w:val="006359FA"/>
    <w:rsid w:val="00635B66"/>
    <w:rsid w:val="006362EF"/>
    <w:rsid w:val="00636396"/>
    <w:rsid w:val="00637DC7"/>
    <w:rsid w:val="00640867"/>
    <w:rsid w:val="00640CED"/>
    <w:rsid w:val="0064169E"/>
    <w:rsid w:val="00641BF8"/>
    <w:rsid w:val="00642920"/>
    <w:rsid w:val="00642A0C"/>
    <w:rsid w:val="00643591"/>
    <w:rsid w:val="00643626"/>
    <w:rsid w:val="00643B7A"/>
    <w:rsid w:val="0064441C"/>
    <w:rsid w:val="00644B62"/>
    <w:rsid w:val="00645F05"/>
    <w:rsid w:val="00646A37"/>
    <w:rsid w:val="006474A4"/>
    <w:rsid w:val="0064764A"/>
    <w:rsid w:val="00647DFB"/>
    <w:rsid w:val="0065002F"/>
    <w:rsid w:val="00650C6D"/>
    <w:rsid w:val="00650E8D"/>
    <w:rsid w:val="006510CD"/>
    <w:rsid w:val="00651C85"/>
    <w:rsid w:val="00651CE8"/>
    <w:rsid w:val="006521D0"/>
    <w:rsid w:val="00652373"/>
    <w:rsid w:val="006524B1"/>
    <w:rsid w:val="00652BD4"/>
    <w:rsid w:val="00652C46"/>
    <w:rsid w:val="006535BE"/>
    <w:rsid w:val="006539AA"/>
    <w:rsid w:val="0065456A"/>
    <w:rsid w:val="006557A3"/>
    <w:rsid w:val="00655C6D"/>
    <w:rsid w:val="00655DBD"/>
    <w:rsid w:val="006563D2"/>
    <w:rsid w:val="00656D18"/>
    <w:rsid w:val="006579C4"/>
    <w:rsid w:val="00660EFA"/>
    <w:rsid w:val="006627B3"/>
    <w:rsid w:val="00663759"/>
    <w:rsid w:val="006642D7"/>
    <w:rsid w:val="00664BE1"/>
    <w:rsid w:val="00664E3C"/>
    <w:rsid w:val="00664FCB"/>
    <w:rsid w:val="00665263"/>
    <w:rsid w:val="006654F8"/>
    <w:rsid w:val="00665C77"/>
    <w:rsid w:val="0066617E"/>
    <w:rsid w:val="0066795B"/>
    <w:rsid w:val="0066797A"/>
    <w:rsid w:val="00667F35"/>
    <w:rsid w:val="00667F6A"/>
    <w:rsid w:val="00670708"/>
    <w:rsid w:val="00671C61"/>
    <w:rsid w:val="006723B7"/>
    <w:rsid w:val="00672C1E"/>
    <w:rsid w:val="00672D7F"/>
    <w:rsid w:val="006730FA"/>
    <w:rsid w:val="006736BC"/>
    <w:rsid w:val="00673DF2"/>
    <w:rsid w:val="00675A09"/>
    <w:rsid w:val="00675B6E"/>
    <w:rsid w:val="006764BA"/>
    <w:rsid w:val="006765CD"/>
    <w:rsid w:val="00677AF6"/>
    <w:rsid w:val="00677DB2"/>
    <w:rsid w:val="006806D9"/>
    <w:rsid w:val="00682868"/>
    <w:rsid w:val="00682A39"/>
    <w:rsid w:val="00682A8A"/>
    <w:rsid w:val="00682C46"/>
    <w:rsid w:val="00683964"/>
    <w:rsid w:val="00683DB5"/>
    <w:rsid w:val="00684A91"/>
    <w:rsid w:val="00684B34"/>
    <w:rsid w:val="0068599D"/>
    <w:rsid w:val="0068633C"/>
    <w:rsid w:val="006872CB"/>
    <w:rsid w:val="0068739A"/>
    <w:rsid w:val="006873A6"/>
    <w:rsid w:val="00690134"/>
    <w:rsid w:val="00690696"/>
    <w:rsid w:val="006909D4"/>
    <w:rsid w:val="006913FA"/>
    <w:rsid w:val="00691A9C"/>
    <w:rsid w:val="00692123"/>
    <w:rsid w:val="00693CB4"/>
    <w:rsid w:val="00694469"/>
    <w:rsid w:val="00694E55"/>
    <w:rsid w:val="00696B75"/>
    <w:rsid w:val="006979E9"/>
    <w:rsid w:val="006A0051"/>
    <w:rsid w:val="006A150A"/>
    <w:rsid w:val="006A15E3"/>
    <w:rsid w:val="006A1AC0"/>
    <w:rsid w:val="006A254D"/>
    <w:rsid w:val="006A2E22"/>
    <w:rsid w:val="006A448E"/>
    <w:rsid w:val="006A504E"/>
    <w:rsid w:val="006A61C2"/>
    <w:rsid w:val="006A6418"/>
    <w:rsid w:val="006A7527"/>
    <w:rsid w:val="006A7D70"/>
    <w:rsid w:val="006A7E06"/>
    <w:rsid w:val="006B1529"/>
    <w:rsid w:val="006B1945"/>
    <w:rsid w:val="006B1C66"/>
    <w:rsid w:val="006B248F"/>
    <w:rsid w:val="006B3758"/>
    <w:rsid w:val="006B3C09"/>
    <w:rsid w:val="006B3D17"/>
    <w:rsid w:val="006B45A3"/>
    <w:rsid w:val="006B46E8"/>
    <w:rsid w:val="006B643C"/>
    <w:rsid w:val="006B65F5"/>
    <w:rsid w:val="006B6D6A"/>
    <w:rsid w:val="006B77AA"/>
    <w:rsid w:val="006B7D31"/>
    <w:rsid w:val="006C016F"/>
    <w:rsid w:val="006C0F6A"/>
    <w:rsid w:val="006C1325"/>
    <w:rsid w:val="006C1BD1"/>
    <w:rsid w:val="006C26A5"/>
    <w:rsid w:val="006C2BC0"/>
    <w:rsid w:val="006C2FC6"/>
    <w:rsid w:val="006C337D"/>
    <w:rsid w:val="006C346B"/>
    <w:rsid w:val="006C3E78"/>
    <w:rsid w:val="006C4675"/>
    <w:rsid w:val="006C59EF"/>
    <w:rsid w:val="006C5AE4"/>
    <w:rsid w:val="006C5FC7"/>
    <w:rsid w:val="006C6554"/>
    <w:rsid w:val="006C6837"/>
    <w:rsid w:val="006C6AB0"/>
    <w:rsid w:val="006C6E0B"/>
    <w:rsid w:val="006C6F82"/>
    <w:rsid w:val="006C73E6"/>
    <w:rsid w:val="006C76D9"/>
    <w:rsid w:val="006C77D9"/>
    <w:rsid w:val="006C79E1"/>
    <w:rsid w:val="006D0856"/>
    <w:rsid w:val="006D0B7E"/>
    <w:rsid w:val="006D0D69"/>
    <w:rsid w:val="006D0E4A"/>
    <w:rsid w:val="006D1C66"/>
    <w:rsid w:val="006D1FBC"/>
    <w:rsid w:val="006D25C6"/>
    <w:rsid w:val="006D264F"/>
    <w:rsid w:val="006D28F2"/>
    <w:rsid w:val="006D2CFE"/>
    <w:rsid w:val="006D2DE7"/>
    <w:rsid w:val="006D319E"/>
    <w:rsid w:val="006D3B77"/>
    <w:rsid w:val="006D59EF"/>
    <w:rsid w:val="006D5E75"/>
    <w:rsid w:val="006D5EA7"/>
    <w:rsid w:val="006D6D4B"/>
    <w:rsid w:val="006E06CE"/>
    <w:rsid w:val="006E06FF"/>
    <w:rsid w:val="006E12E2"/>
    <w:rsid w:val="006E1741"/>
    <w:rsid w:val="006E2055"/>
    <w:rsid w:val="006E2647"/>
    <w:rsid w:val="006E29E6"/>
    <w:rsid w:val="006E3122"/>
    <w:rsid w:val="006E40AA"/>
    <w:rsid w:val="006E41A7"/>
    <w:rsid w:val="006E4FBF"/>
    <w:rsid w:val="006E50AF"/>
    <w:rsid w:val="006E5232"/>
    <w:rsid w:val="006E5596"/>
    <w:rsid w:val="006E597C"/>
    <w:rsid w:val="006E6985"/>
    <w:rsid w:val="006E77BB"/>
    <w:rsid w:val="006F103C"/>
    <w:rsid w:val="006F1B92"/>
    <w:rsid w:val="006F1BA6"/>
    <w:rsid w:val="006F221A"/>
    <w:rsid w:val="006F284A"/>
    <w:rsid w:val="006F4974"/>
    <w:rsid w:val="006F4C09"/>
    <w:rsid w:val="006F5834"/>
    <w:rsid w:val="006F74CE"/>
    <w:rsid w:val="006F76AE"/>
    <w:rsid w:val="0070025E"/>
    <w:rsid w:val="0070054B"/>
    <w:rsid w:val="0070081F"/>
    <w:rsid w:val="00700DE2"/>
    <w:rsid w:val="00700E30"/>
    <w:rsid w:val="00701FAC"/>
    <w:rsid w:val="00702C0D"/>
    <w:rsid w:val="007035DA"/>
    <w:rsid w:val="00703BEC"/>
    <w:rsid w:val="00704F4F"/>
    <w:rsid w:val="0070524C"/>
    <w:rsid w:val="007059C5"/>
    <w:rsid w:val="0070648E"/>
    <w:rsid w:val="00706BB3"/>
    <w:rsid w:val="0070782C"/>
    <w:rsid w:val="00707B8D"/>
    <w:rsid w:val="00707CF2"/>
    <w:rsid w:val="00710932"/>
    <w:rsid w:val="00710D16"/>
    <w:rsid w:val="00711279"/>
    <w:rsid w:val="0071158C"/>
    <w:rsid w:val="00711A05"/>
    <w:rsid w:val="00712D7B"/>
    <w:rsid w:val="00713A3B"/>
    <w:rsid w:val="00714320"/>
    <w:rsid w:val="0071463E"/>
    <w:rsid w:val="00714802"/>
    <w:rsid w:val="00714B88"/>
    <w:rsid w:val="007150A6"/>
    <w:rsid w:val="00715A70"/>
    <w:rsid w:val="00715C0F"/>
    <w:rsid w:val="00716542"/>
    <w:rsid w:val="00716681"/>
    <w:rsid w:val="007166A7"/>
    <w:rsid w:val="00717504"/>
    <w:rsid w:val="00717C20"/>
    <w:rsid w:val="00717F30"/>
    <w:rsid w:val="00720005"/>
    <w:rsid w:val="007221E0"/>
    <w:rsid w:val="00722274"/>
    <w:rsid w:val="007223FE"/>
    <w:rsid w:val="00722EF7"/>
    <w:rsid w:val="007233D3"/>
    <w:rsid w:val="00723976"/>
    <w:rsid w:val="00723AA5"/>
    <w:rsid w:val="00724817"/>
    <w:rsid w:val="0072521E"/>
    <w:rsid w:val="00726ED1"/>
    <w:rsid w:val="0072705E"/>
    <w:rsid w:val="007300A5"/>
    <w:rsid w:val="00731FB0"/>
    <w:rsid w:val="00734489"/>
    <w:rsid w:val="00734720"/>
    <w:rsid w:val="0073475A"/>
    <w:rsid w:val="00734C9C"/>
    <w:rsid w:val="007354C9"/>
    <w:rsid w:val="007357E3"/>
    <w:rsid w:val="00735C2F"/>
    <w:rsid w:val="00736483"/>
    <w:rsid w:val="007364A3"/>
    <w:rsid w:val="0074004C"/>
    <w:rsid w:val="0074134D"/>
    <w:rsid w:val="0074161E"/>
    <w:rsid w:val="00741859"/>
    <w:rsid w:val="00741F7D"/>
    <w:rsid w:val="007420C0"/>
    <w:rsid w:val="00742312"/>
    <w:rsid w:val="00743456"/>
    <w:rsid w:val="00743D2C"/>
    <w:rsid w:val="00744C3E"/>
    <w:rsid w:val="00745C46"/>
    <w:rsid w:val="007460BE"/>
    <w:rsid w:val="007465C5"/>
    <w:rsid w:val="00747147"/>
    <w:rsid w:val="00747DA9"/>
    <w:rsid w:val="00747F16"/>
    <w:rsid w:val="0075152B"/>
    <w:rsid w:val="00751A93"/>
    <w:rsid w:val="00752026"/>
    <w:rsid w:val="00752282"/>
    <w:rsid w:val="00752F15"/>
    <w:rsid w:val="007536B6"/>
    <w:rsid w:val="00753C15"/>
    <w:rsid w:val="00754118"/>
    <w:rsid w:val="0075531F"/>
    <w:rsid w:val="007562D3"/>
    <w:rsid w:val="0075699C"/>
    <w:rsid w:val="007570F8"/>
    <w:rsid w:val="00760143"/>
    <w:rsid w:val="00760763"/>
    <w:rsid w:val="00760C8D"/>
    <w:rsid w:val="00760E49"/>
    <w:rsid w:val="00761702"/>
    <w:rsid w:val="00761B25"/>
    <w:rsid w:val="00761B96"/>
    <w:rsid w:val="007632E2"/>
    <w:rsid w:val="007641FF"/>
    <w:rsid w:val="00764E22"/>
    <w:rsid w:val="00765576"/>
    <w:rsid w:val="00765FA7"/>
    <w:rsid w:val="0076621F"/>
    <w:rsid w:val="00766DB8"/>
    <w:rsid w:val="00767A34"/>
    <w:rsid w:val="00767B8D"/>
    <w:rsid w:val="007701A4"/>
    <w:rsid w:val="007703C6"/>
    <w:rsid w:val="0077198F"/>
    <w:rsid w:val="00771CBD"/>
    <w:rsid w:val="00772365"/>
    <w:rsid w:val="00773087"/>
    <w:rsid w:val="00773615"/>
    <w:rsid w:val="00773EA9"/>
    <w:rsid w:val="00774B47"/>
    <w:rsid w:val="00775C02"/>
    <w:rsid w:val="007769D2"/>
    <w:rsid w:val="00776A44"/>
    <w:rsid w:val="00777008"/>
    <w:rsid w:val="007815BE"/>
    <w:rsid w:val="00781C2B"/>
    <w:rsid w:val="007823B1"/>
    <w:rsid w:val="007826B3"/>
    <w:rsid w:val="00782D35"/>
    <w:rsid w:val="007839E4"/>
    <w:rsid w:val="00783DD9"/>
    <w:rsid w:val="0078436B"/>
    <w:rsid w:val="00784AF6"/>
    <w:rsid w:val="00784B4E"/>
    <w:rsid w:val="0078592D"/>
    <w:rsid w:val="00786396"/>
    <w:rsid w:val="00786849"/>
    <w:rsid w:val="007877FD"/>
    <w:rsid w:val="00787E7E"/>
    <w:rsid w:val="00790789"/>
    <w:rsid w:val="00791431"/>
    <w:rsid w:val="00791EA6"/>
    <w:rsid w:val="00792412"/>
    <w:rsid w:val="00792C4F"/>
    <w:rsid w:val="00792E71"/>
    <w:rsid w:val="007934AA"/>
    <w:rsid w:val="00793F33"/>
    <w:rsid w:val="007945B3"/>
    <w:rsid w:val="007951FA"/>
    <w:rsid w:val="00795A0F"/>
    <w:rsid w:val="00796FEF"/>
    <w:rsid w:val="007A04EC"/>
    <w:rsid w:val="007A0539"/>
    <w:rsid w:val="007A0AC5"/>
    <w:rsid w:val="007A183F"/>
    <w:rsid w:val="007A1A0C"/>
    <w:rsid w:val="007A2A7B"/>
    <w:rsid w:val="007A342E"/>
    <w:rsid w:val="007A4168"/>
    <w:rsid w:val="007A4554"/>
    <w:rsid w:val="007A4A5D"/>
    <w:rsid w:val="007A52C4"/>
    <w:rsid w:val="007A55E3"/>
    <w:rsid w:val="007A7858"/>
    <w:rsid w:val="007A7E17"/>
    <w:rsid w:val="007A7F88"/>
    <w:rsid w:val="007B02EE"/>
    <w:rsid w:val="007B0A02"/>
    <w:rsid w:val="007B0F7A"/>
    <w:rsid w:val="007B1298"/>
    <w:rsid w:val="007B1CDD"/>
    <w:rsid w:val="007B21D7"/>
    <w:rsid w:val="007B3267"/>
    <w:rsid w:val="007B3A08"/>
    <w:rsid w:val="007B3BBD"/>
    <w:rsid w:val="007B4150"/>
    <w:rsid w:val="007B48EB"/>
    <w:rsid w:val="007B4BB1"/>
    <w:rsid w:val="007B61B4"/>
    <w:rsid w:val="007B6BC2"/>
    <w:rsid w:val="007B7501"/>
    <w:rsid w:val="007B797C"/>
    <w:rsid w:val="007B7FCD"/>
    <w:rsid w:val="007C0057"/>
    <w:rsid w:val="007C0D53"/>
    <w:rsid w:val="007C1354"/>
    <w:rsid w:val="007C1475"/>
    <w:rsid w:val="007C178D"/>
    <w:rsid w:val="007C18FA"/>
    <w:rsid w:val="007C1BDD"/>
    <w:rsid w:val="007C24C6"/>
    <w:rsid w:val="007C258B"/>
    <w:rsid w:val="007C393D"/>
    <w:rsid w:val="007C401B"/>
    <w:rsid w:val="007C427B"/>
    <w:rsid w:val="007C43F3"/>
    <w:rsid w:val="007C4791"/>
    <w:rsid w:val="007C4F7C"/>
    <w:rsid w:val="007C58BF"/>
    <w:rsid w:val="007C6313"/>
    <w:rsid w:val="007C6E0C"/>
    <w:rsid w:val="007C7CC9"/>
    <w:rsid w:val="007D0559"/>
    <w:rsid w:val="007D10C7"/>
    <w:rsid w:val="007D1323"/>
    <w:rsid w:val="007D1630"/>
    <w:rsid w:val="007D30D3"/>
    <w:rsid w:val="007D3406"/>
    <w:rsid w:val="007D40C5"/>
    <w:rsid w:val="007D4A72"/>
    <w:rsid w:val="007D508E"/>
    <w:rsid w:val="007D524C"/>
    <w:rsid w:val="007D5C7B"/>
    <w:rsid w:val="007D778E"/>
    <w:rsid w:val="007D7BE7"/>
    <w:rsid w:val="007E0117"/>
    <w:rsid w:val="007E05A2"/>
    <w:rsid w:val="007E08FF"/>
    <w:rsid w:val="007E0A5E"/>
    <w:rsid w:val="007E22E8"/>
    <w:rsid w:val="007E3F37"/>
    <w:rsid w:val="007E4031"/>
    <w:rsid w:val="007E4D28"/>
    <w:rsid w:val="007E6259"/>
    <w:rsid w:val="007E69E9"/>
    <w:rsid w:val="007E7D25"/>
    <w:rsid w:val="007F003C"/>
    <w:rsid w:val="007F0922"/>
    <w:rsid w:val="007F0F2F"/>
    <w:rsid w:val="007F1C51"/>
    <w:rsid w:val="007F21EF"/>
    <w:rsid w:val="007F2291"/>
    <w:rsid w:val="007F25AC"/>
    <w:rsid w:val="007F2E98"/>
    <w:rsid w:val="007F5120"/>
    <w:rsid w:val="007F55E7"/>
    <w:rsid w:val="007F5DA4"/>
    <w:rsid w:val="007F6367"/>
    <w:rsid w:val="007F763D"/>
    <w:rsid w:val="0080038B"/>
    <w:rsid w:val="008014CB"/>
    <w:rsid w:val="008016DB"/>
    <w:rsid w:val="008029B6"/>
    <w:rsid w:val="00802C98"/>
    <w:rsid w:val="0080364A"/>
    <w:rsid w:val="00803A54"/>
    <w:rsid w:val="00804A00"/>
    <w:rsid w:val="00804CCF"/>
    <w:rsid w:val="00804E93"/>
    <w:rsid w:val="008052BB"/>
    <w:rsid w:val="008055DB"/>
    <w:rsid w:val="0080668A"/>
    <w:rsid w:val="0080769A"/>
    <w:rsid w:val="00807B57"/>
    <w:rsid w:val="00807D87"/>
    <w:rsid w:val="008109FC"/>
    <w:rsid w:val="008114DC"/>
    <w:rsid w:val="00812498"/>
    <w:rsid w:val="00812C00"/>
    <w:rsid w:val="00812C30"/>
    <w:rsid w:val="00813967"/>
    <w:rsid w:val="00814037"/>
    <w:rsid w:val="008145D1"/>
    <w:rsid w:val="008149E8"/>
    <w:rsid w:val="00814C1C"/>
    <w:rsid w:val="00815C24"/>
    <w:rsid w:val="008162AE"/>
    <w:rsid w:val="00816334"/>
    <w:rsid w:val="00816889"/>
    <w:rsid w:val="00817D7D"/>
    <w:rsid w:val="00817DDA"/>
    <w:rsid w:val="008200D5"/>
    <w:rsid w:val="00820182"/>
    <w:rsid w:val="008209BB"/>
    <w:rsid w:val="00820B4D"/>
    <w:rsid w:val="00820F1D"/>
    <w:rsid w:val="00820F99"/>
    <w:rsid w:val="0082110D"/>
    <w:rsid w:val="00821727"/>
    <w:rsid w:val="00821EC4"/>
    <w:rsid w:val="00822097"/>
    <w:rsid w:val="008229BF"/>
    <w:rsid w:val="008236A7"/>
    <w:rsid w:val="008236AC"/>
    <w:rsid w:val="0082396A"/>
    <w:rsid w:val="00823F90"/>
    <w:rsid w:val="00824F06"/>
    <w:rsid w:val="00825230"/>
    <w:rsid w:val="0082530C"/>
    <w:rsid w:val="00825FCF"/>
    <w:rsid w:val="00826A9F"/>
    <w:rsid w:val="008270EB"/>
    <w:rsid w:val="0083013C"/>
    <w:rsid w:val="00831986"/>
    <w:rsid w:val="00831E42"/>
    <w:rsid w:val="00833A50"/>
    <w:rsid w:val="008349A9"/>
    <w:rsid w:val="00834A09"/>
    <w:rsid w:val="00835545"/>
    <w:rsid w:val="008360B2"/>
    <w:rsid w:val="00836D1C"/>
    <w:rsid w:val="0083746B"/>
    <w:rsid w:val="008379BA"/>
    <w:rsid w:val="008403E1"/>
    <w:rsid w:val="00840568"/>
    <w:rsid w:val="00841D5D"/>
    <w:rsid w:val="0084205F"/>
    <w:rsid w:val="00842CA2"/>
    <w:rsid w:val="00843A60"/>
    <w:rsid w:val="00844521"/>
    <w:rsid w:val="008454DF"/>
    <w:rsid w:val="00846385"/>
    <w:rsid w:val="0084706E"/>
    <w:rsid w:val="008507F5"/>
    <w:rsid w:val="00851A8C"/>
    <w:rsid w:val="00853300"/>
    <w:rsid w:val="008543D1"/>
    <w:rsid w:val="00856B4A"/>
    <w:rsid w:val="008578AC"/>
    <w:rsid w:val="00861ACC"/>
    <w:rsid w:val="0086270F"/>
    <w:rsid w:val="00862AD7"/>
    <w:rsid w:val="00863977"/>
    <w:rsid w:val="00863FED"/>
    <w:rsid w:val="00864A87"/>
    <w:rsid w:val="00865049"/>
    <w:rsid w:val="0086606E"/>
    <w:rsid w:val="0086659A"/>
    <w:rsid w:val="00867AC4"/>
    <w:rsid w:val="00867B96"/>
    <w:rsid w:val="00870166"/>
    <w:rsid w:val="00870552"/>
    <w:rsid w:val="008711E9"/>
    <w:rsid w:val="0087377B"/>
    <w:rsid w:val="00874C7C"/>
    <w:rsid w:val="00875C5F"/>
    <w:rsid w:val="00875F72"/>
    <w:rsid w:val="00876909"/>
    <w:rsid w:val="0087792E"/>
    <w:rsid w:val="00881FE1"/>
    <w:rsid w:val="008827F3"/>
    <w:rsid w:val="00882ACF"/>
    <w:rsid w:val="00883012"/>
    <w:rsid w:val="008844E6"/>
    <w:rsid w:val="00884ED2"/>
    <w:rsid w:val="00885B1F"/>
    <w:rsid w:val="00885E5D"/>
    <w:rsid w:val="00885F92"/>
    <w:rsid w:val="00887422"/>
    <w:rsid w:val="00887690"/>
    <w:rsid w:val="008879DF"/>
    <w:rsid w:val="00887B67"/>
    <w:rsid w:val="008912A8"/>
    <w:rsid w:val="00891486"/>
    <w:rsid w:val="00891A2C"/>
    <w:rsid w:val="00891EC2"/>
    <w:rsid w:val="0089206B"/>
    <w:rsid w:val="008922B0"/>
    <w:rsid w:val="00892BF1"/>
    <w:rsid w:val="008933E7"/>
    <w:rsid w:val="00893C12"/>
    <w:rsid w:val="00893DA5"/>
    <w:rsid w:val="00894F66"/>
    <w:rsid w:val="008954CF"/>
    <w:rsid w:val="0089683B"/>
    <w:rsid w:val="0089763E"/>
    <w:rsid w:val="00897E81"/>
    <w:rsid w:val="008A05C0"/>
    <w:rsid w:val="008A1282"/>
    <w:rsid w:val="008A16B2"/>
    <w:rsid w:val="008A334A"/>
    <w:rsid w:val="008A3378"/>
    <w:rsid w:val="008A39CF"/>
    <w:rsid w:val="008A45B0"/>
    <w:rsid w:val="008A4E61"/>
    <w:rsid w:val="008A5DC6"/>
    <w:rsid w:val="008A6C16"/>
    <w:rsid w:val="008A6C26"/>
    <w:rsid w:val="008B003F"/>
    <w:rsid w:val="008B0619"/>
    <w:rsid w:val="008B1129"/>
    <w:rsid w:val="008B26F8"/>
    <w:rsid w:val="008B2F87"/>
    <w:rsid w:val="008B3AAF"/>
    <w:rsid w:val="008B40D9"/>
    <w:rsid w:val="008B42EA"/>
    <w:rsid w:val="008B492F"/>
    <w:rsid w:val="008B4FDA"/>
    <w:rsid w:val="008B52CA"/>
    <w:rsid w:val="008B5AC1"/>
    <w:rsid w:val="008B615F"/>
    <w:rsid w:val="008B6525"/>
    <w:rsid w:val="008B6C90"/>
    <w:rsid w:val="008C0032"/>
    <w:rsid w:val="008C0194"/>
    <w:rsid w:val="008C0765"/>
    <w:rsid w:val="008C0EFC"/>
    <w:rsid w:val="008C20DF"/>
    <w:rsid w:val="008C2247"/>
    <w:rsid w:val="008C2C02"/>
    <w:rsid w:val="008C31C8"/>
    <w:rsid w:val="008C3F77"/>
    <w:rsid w:val="008C41D5"/>
    <w:rsid w:val="008C4CD0"/>
    <w:rsid w:val="008C5578"/>
    <w:rsid w:val="008C5DB4"/>
    <w:rsid w:val="008C5E9E"/>
    <w:rsid w:val="008C5FCD"/>
    <w:rsid w:val="008C5FD0"/>
    <w:rsid w:val="008C6A2A"/>
    <w:rsid w:val="008C6DE5"/>
    <w:rsid w:val="008C7880"/>
    <w:rsid w:val="008C7956"/>
    <w:rsid w:val="008C7A2D"/>
    <w:rsid w:val="008C7F34"/>
    <w:rsid w:val="008D003D"/>
    <w:rsid w:val="008D11A7"/>
    <w:rsid w:val="008D1416"/>
    <w:rsid w:val="008D159C"/>
    <w:rsid w:val="008D1738"/>
    <w:rsid w:val="008D1760"/>
    <w:rsid w:val="008D2067"/>
    <w:rsid w:val="008D3E6E"/>
    <w:rsid w:val="008D3F32"/>
    <w:rsid w:val="008D4316"/>
    <w:rsid w:val="008D6FB0"/>
    <w:rsid w:val="008D720E"/>
    <w:rsid w:val="008D79DE"/>
    <w:rsid w:val="008D7DDF"/>
    <w:rsid w:val="008E0B4D"/>
    <w:rsid w:val="008E10BB"/>
    <w:rsid w:val="008E11F4"/>
    <w:rsid w:val="008E144F"/>
    <w:rsid w:val="008E1651"/>
    <w:rsid w:val="008E1A2A"/>
    <w:rsid w:val="008E1DA9"/>
    <w:rsid w:val="008E221A"/>
    <w:rsid w:val="008E2262"/>
    <w:rsid w:val="008E36C8"/>
    <w:rsid w:val="008E3979"/>
    <w:rsid w:val="008E42B6"/>
    <w:rsid w:val="008E466C"/>
    <w:rsid w:val="008E5528"/>
    <w:rsid w:val="008E5687"/>
    <w:rsid w:val="008E5800"/>
    <w:rsid w:val="008E616D"/>
    <w:rsid w:val="008E658E"/>
    <w:rsid w:val="008E7371"/>
    <w:rsid w:val="008E7771"/>
    <w:rsid w:val="008F01D2"/>
    <w:rsid w:val="008F0A57"/>
    <w:rsid w:val="008F1595"/>
    <w:rsid w:val="008F257C"/>
    <w:rsid w:val="008F2BCB"/>
    <w:rsid w:val="008F341A"/>
    <w:rsid w:val="008F3536"/>
    <w:rsid w:val="008F36EA"/>
    <w:rsid w:val="008F3B32"/>
    <w:rsid w:val="008F40D3"/>
    <w:rsid w:val="008F6F21"/>
    <w:rsid w:val="008F712D"/>
    <w:rsid w:val="00901A6C"/>
    <w:rsid w:val="00901C2C"/>
    <w:rsid w:val="009020AD"/>
    <w:rsid w:val="0090256A"/>
    <w:rsid w:val="009025E5"/>
    <w:rsid w:val="009032D2"/>
    <w:rsid w:val="00903E19"/>
    <w:rsid w:val="0090463F"/>
    <w:rsid w:val="00905D63"/>
    <w:rsid w:val="00905E35"/>
    <w:rsid w:val="00907909"/>
    <w:rsid w:val="00910167"/>
    <w:rsid w:val="00910669"/>
    <w:rsid w:val="0091084C"/>
    <w:rsid w:val="00910DAD"/>
    <w:rsid w:val="009110AC"/>
    <w:rsid w:val="00911173"/>
    <w:rsid w:val="009118AA"/>
    <w:rsid w:val="009120E0"/>
    <w:rsid w:val="009126EF"/>
    <w:rsid w:val="009128E3"/>
    <w:rsid w:val="00912E6E"/>
    <w:rsid w:val="009137A6"/>
    <w:rsid w:val="00913BFF"/>
    <w:rsid w:val="00913D44"/>
    <w:rsid w:val="00914F71"/>
    <w:rsid w:val="00916132"/>
    <w:rsid w:val="0091668B"/>
    <w:rsid w:val="00917262"/>
    <w:rsid w:val="00917970"/>
    <w:rsid w:val="00921038"/>
    <w:rsid w:val="009211D4"/>
    <w:rsid w:val="0092122C"/>
    <w:rsid w:val="0092149A"/>
    <w:rsid w:val="00921ADB"/>
    <w:rsid w:val="0092239F"/>
    <w:rsid w:val="00922C74"/>
    <w:rsid w:val="00922CDC"/>
    <w:rsid w:val="00923764"/>
    <w:rsid w:val="00924249"/>
    <w:rsid w:val="009248ED"/>
    <w:rsid w:val="00924903"/>
    <w:rsid w:val="00924EB3"/>
    <w:rsid w:val="00924EE7"/>
    <w:rsid w:val="00924EFF"/>
    <w:rsid w:val="0092585A"/>
    <w:rsid w:val="00925DD6"/>
    <w:rsid w:val="00925E0A"/>
    <w:rsid w:val="00926366"/>
    <w:rsid w:val="009268C4"/>
    <w:rsid w:val="009305A1"/>
    <w:rsid w:val="009308D8"/>
    <w:rsid w:val="009308FB"/>
    <w:rsid w:val="00931CA5"/>
    <w:rsid w:val="00931F46"/>
    <w:rsid w:val="0093253D"/>
    <w:rsid w:val="00933260"/>
    <w:rsid w:val="009335B4"/>
    <w:rsid w:val="00933D62"/>
    <w:rsid w:val="00935500"/>
    <w:rsid w:val="00935839"/>
    <w:rsid w:val="009359F1"/>
    <w:rsid w:val="00935A35"/>
    <w:rsid w:val="009362DF"/>
    <w:rsid w:val="00937761"/>
    <w:rsid w:val="00937E49"/>
    <w:rsid w:val="00941B71"/>
    <w:rsid w:val="00941DC8"/>
    <w:rsid w:val="00942844"/>
    <w:rsid w:val="00943B15"/>
    <w:rsid w:val="0094414A"/>
    <w:rsid w:val="00944233"/>
    <w:rsid w:val="0094578E"/>
    <w:rsid w:val="009458A2"/>
    <w:rsid w:val="00945F8D"/>
    <w:rsid w:val="009501AE"/>
    <w:rsid w:val="00950223"/>
    <w:rsid w:val="009505D9"/>
    <w:rsid w:val="00952800"/>
    <w:rsid w:val="00952FC6"/>
    <w:rsid w:val="009532CF"/>
    <w:rsid w:val="009534A5"/>
    <w:rsid w:val="009542DE"/>
    <w:rsid w:val="0095437C"/>
    <w:rsid w:val="00954697"/>
    <w:rsid w:val="00954F78"/>
    <w:rsid w:val="00955BF0"/>
    <w:rsid w:val="00955D5B"/>
    <w:rsid w:val="00957228"/>
    <w:rsid w:val="00957729"/>
    <w:rsid w:val="00961E2E"/>
    <w:rsid w:val="00962C4C"/>
    <w:rsid w:val="0096663E"/>
    <w:rsid w:val="00966C44"/>
    <w:rsid w:val="00967C33"/>
    <w:rsid w:val="00967F73"/>
    <w:rsid w:val="009700CB"/>
    <w:rsid w:val="009701C4"/>
    <w:rsid w:val="00970978"/>
    <w:rsid w:val="00971226"/>
    <w:rsid w:val="00971784"/>
    <w:rsid w:val="00971E65"/>
    <w:rsid w:val="009722FD"/>
    <w:rsid w:val="00972D03"/>
    <w:rsid w:val="009736F6"/>
    <w:rsid w:val="00974A11"/>
    <w:rsid w:val="009756A3"/>
    <w:rsid w:val="00975A8C"/>
    <w:rsid w:val="00975DE7"/>
    <w:rsid w:val="00975F6E"/>
    <w:rsid w:val="009769CE"/>
    <w:rsid w:val="009807B7"/>
    <w:rsid w:val="009809FE"/>
    <w:rsid w:val="00980F1A"/>
    <w:rsid w:val="00981BC5"/>
    <w:rsid w:val="00981EE5"/>
    <w:rsid w:val="009825EA"/>
    <w:rsid w:val="00982C1E"/>
    <w:rsid w:val="00982FCF"/>
    <w:rsid w:val="00983356"/>
    <w:rsid w:val="009833C8"/>
    <w:rsid w:val="00983F4B"/>
    <w:rsid w:val="009841D4"/>
    <w:rsid w:val="0098496E"/>
    <w:rsid w:val="00984F1E"/>
    <w:rsid w:val="00984FB3"/>
    <w:rsid w:val="0098661C"/>
    <w:rsid w:val="0098712A"/>
    <w:rsid w:val="00990014"/>
    <w:rsid w:val="0099005D"/>
    <w:rsid w:val="00990354"/>
    <w:rsid w:val="00990E7E"/>
    <w:rsid w:val="00991C71"/>
    <w:rsid w:val="00991D06"/>
    <w:rsid w:val="00991E01"/>
    <w:rsid w:val="00992758"/>
    <w:rsid w:val="009934AE"/>
    <w:rsid w:val="00993BBC"/>
    <w:rsid w:val="00994481"/>
    <w:rsid w:val="00994830"/>
    <w:rsid w:val="00995860"/>
    <w:rsid w:val="0099634D"/>
    <w:rsid w:val="0099673F"/>
    <w:rsid w:val="00996992"/>
    <w:rsid w:val="00996C85"/>
    <w:rsid w:val="0099738B"/>
    <w:rsid w:val="00997564"/>
    <w:rsid w:val="00997DDC"/>
    <w:rsid w:val="009A08C2"/>
    <w:rsid w:val="009A15ED"/>
    <w:rsid w:val="009A167A"/>
    <w:rsid w:val="009A1840"/>
    <w:rsid w:val="009A530C"/>
    <w:rsid w:val="009A5874"/>
    <w:rsid w:val="009A5A93"/>
    <w:rsid w:val="009A5CE8"/>
    <w:rsid w:val="009A6477"/>
    <w:rsid w:val="009A6FF0"/>
    <w:rsid w:val="009A7A27"/>
    <w:rsid w:val="009B10B8"/>
    <w:rsid w:val="009B16A8"/>
    <w:rsid w:val="009B1936"/>
    <w:rsid w:val="009B263C"/>
    <w:rsid w:val="009B2BD6"/>
    <w:rsid w:val="009B2C1F"/>
    <w:rsid w:val="009B2E79"/>
    <w:rsid w:val="009B31FD"/>
    <w:rsid w:val="009B531B"/>
    <w:rsid w:val="009B57F7"/>
    <w:rsid w:val="009B5C75"/>
    <w:rsid w:val="009B66E2"/>
    <w:rsid w:val="009B6A1C"/>
    <w:rsid w:val="009B742B"/>
    <w:rsid w:val="009B7E8F"/>
    <w:rsid w:val="009C2A20"/>
    <w:rsid w:val="009C402C"/>
    <w:rsid w:val="009C4595"/>
    <w:rsid w:val="009C46F2"/>
    <w:rsid w:val="009C47E4"/>
    <w:rsid w:val="009C5118"/>
    <w:rsid w:val="009C52C7"/>
    <w:rsid w:val="009C5E0F"/>
    <w:rsid w:val="009C6C77"/>
    <w:rsid w:val="009C6F49"/>
    <w:rsid w:val="009C73AA"/>
    <w:rsid w:val="009C7DAA"/>
    <w:rsid w:val="009D08D5"/>
    <w:rsid w:val="009D0D8A"/>
    <w:rsid w:val="009D20F4"/>
    <w:rsid w:val="009D249F"/>
    <w:rsid w:val="009D2684"/>
    <w:rsid w:val="009D29CC"/>
    <w:rsid w:val="009D5D3B"/>
    <w:rsid w:val="009D5F1A"/>
    <w:rsid w:val="009D785D"/>
    <w:rsid w:val="009D796C"/>
    <w:rsid w:val="009E1849"/>
    <w:rsid w:val="009E1E48"/>
    <w:rsid w:val="009E2D13"/>
    <w:rsid w:val="009E2F47"/>
    <w:rsid w:val="009E3308"/>
    <w:rsid w:val="009E3DB0"/>
    <w:rsid w:val="009E4A13"/>
    <w:rsid w:val="009E72D1"/>
    <w:rsid w:val="009E79BB"/>
    <w:rsid w:val="009F1146"/>
    <w:rsid w:val="009F146C"/>
    <w:rsid w:val="009F1565"/>
    <w:rsid w:val="009F209C"/>
    <w:rsid w:val="009F3405"/>
    <w:rsid w:val="009F3744"/>
    <w:rsid w:val="009F3A79"/>
    <w:rsid w:val="009F41DB"/>
    <w:rsid w:val="009F4241"/>
    <w:rsid w:val="009F4309"/>
    <w:rsid w:val="009F4AB6"/>
    <w:rsid w:val="009F4E34"/>
    <w:rsid w:val="009F50CC"/>
    <w:rsid w:val="009F53E5"/>
    <w:rsid w:val="009F57B4"/>
    <w:rsid w:val="009F5AD8"/>
    <w:rsid w:val="009F5AFE"/>
    <w:rsid w:val="009F619C"/>
    <w:rsid w:val="009F6480"/>
    <w:rsid w:val="009F650C"/>
    <w:rsid w:val="009F65DE"/>
    <w:rsid w:val="009F6DDA"/>
    <w:rsid w:val="009F70B5"/>
    <w:rsid w:val="009F7D7E"/>
    <w:rsid w:val="009F7FC2"/>
    <w:rsid w:val="00A00EF3"/>
    <w:rsid w:val="00A00FCA"/>
    <w:rsid w:val="00A01D8D"/>
    <w:rsid w:val="00A0219C"/>
    <w:rsid w:val="00A02747"/>
    <w:rsid w:val="00A030E0"/>
    <w:rsid w:val="00A030E5"/>
    <w:rsid w:val="00A03B25"/>
    <w:rsid w:val="00A0500C"/>
    <w:rsid w:val="00A05A13"/>
    <w:rsid w:val="00A05BD0"/>
    <w:rsid w:val="00A06568"/>
    <w:rsid w:val="00A0718E"/>
    <w:rsid w:val="00A07B50"/>
    <w:rsid w:val="00A105CD"/>
    <w:rsid w:val="00A10D1B"/>
    <w:rsid w:val="00A11A3E"/>
    <w:rsid w:val="00A11C0F"/>
    <w:rsid w:val="00A11F9B"/>
    <w:rsid w:val="00A12C2A"/>
    <w:rsid w:val="00A142B6"/>
    <w:rsid w:val="00A145BD"/>
    <w:rsid w:val="00A14785"/>
    <w:rsid w:val="00A14896"/>
    <w:rsid w:val="00A156E5"/>
    <w:rsid w:val="00A1589A"/>
    <w:rsid w:val="00A15C80"/>
    <w:rsid w:val="00A16EEE"/>
    <w:rsid w:val="00A17A53"/>
    <w:rsid w:val="00A17F5C"/>
    <w:rsid w:val="00A20223"/>
    <w:rsid w:val="00A2048F"/>
    <w:rsid w:val="00A245CD"/>
    <w:rsid w:val="00A248D5"/>
    <w:rsid w:val="00A24A1D"/>
    <w:rsid w:val="00A24FEC"/>
    <w:rsid w:val="00A256FC"/>
    <w:rsid w:val="00A25AAB"/>
    <w:rsid w:val="00A262CC"/>
    <w:rsid w:val="00A26828"/>
    <w:rsid w:val="00A2690E"/>
    <w:rsid w:val="00A26BB5"/>
    <w:rsid w:val="00A27289"/>
    <w:rsid w:val="00A27654"/>
    <w:rsid w:val="00A3040D"/>
    <w:rsid w:val="00A30B4C"/>
    <w:rsid w:val="00A30DC4"/>
    <w:rsid w:val="00A31312"/>
    <w:rsid w:val="00A3170E"/>
    <w:rsid w:val="00A321E0"/>
    <w:rsid w:val="00A33592"/>
    <w:rsid w:val="00A33FBB"/>
    <w:rsid w:val="00A3416D"/>
    <w:rsid w:val="00A34249"/>
    <w:rsid w:val="00A34E4C"/>
    <w:rsid w:val="00A354DC"/>
    <w:rsid w:val="00A35BBB"/>
    <w:rsid w:val="00A35C6B"/>
    <w:rsid w:val="00A3621E"/>
    <w:rsid w:val="00A3706B"/>
    <w:rsid w:val="00A37B73"/>
    <w:rsid w:val="00A37EB3"/>
    <w:rsid w:val="00A40DA9"/>
    <w:rsid w:val="00A43ABF"/>
    <w:rsid w:val="00A43D57"/>
    <w:rsid w:val="00A45181"/>
    <w:rsid w:val="00A46B6F"/>
    <w:rsid w:val="00A46BE9"/>
    <w:rsid w:val="00A5001C"/>
    <w:rsid w:val="00A501BC"/>
    <w:rsid w:val="00A50498"/>
    <w:rsid w:val="00A50BEE"/>
    <w:rsid w:val="00A51B40"/>
    <w:rsid w:val="00A51F70"/>
    <w:rsid w:val="00A527E5"/>
    <w:rsid w:val="00A53078"/>
    <w:rsid w:val="00A5365F"/>
    <w:rsid w:val="00A53BCF"/>
    <w:rsid w:val="00A53D2B"/>
    <w:rsid w:val="00A5458A"/>
    <w:rsid w:val="00A57318"/>
    <w:rsid w:val="00A573A3"/>
    <w:rsid w:val="00A57A83"/>
    <w:rsid w:val="00A57AD1"/>
    <w:rsid w:val="00A605B3"/>
    <w:rsid w:val="00A60A54"/>
    <w:rsid w:val="00A616EA"/>
    <w:rsid w:val="00A618CB"/>
    <w:rsid w:val="00A62651"/>
    <w:rsid w:val="00A6299C"/>
    <w:rsid w:val="00A62C94"/>
    <w:rsid w:val="00A630EE"/>
    <w:rsid w:val="00A64100"/>
    <w:rsid w:val="00A64A85"/>
    <w:rsid w:val="00A64CC1"/>
    <w:rsid w:val="00A664DA"/>
    <w:rsid w:val="00A6662C"/>
    <w:rsid w:val="00A6686C"/>
    <w:rsid w:val="00A66DD2"/>
    <w:rsid w:val="00A66E9B"/>
    <w:rsid w:val="00A67B00"/>
    <w:rsid w:val="00A67F3F"/>
    <w:rsid w:val="00A70855"/>
    <w:rsid w:val="00A70DAB"/>
    <w:rsid w:val="00A71714"/>
    <w:rsid w:val="00A71B55"/>
    <w:rsid w:val="00A71C7B"/>
    <w:rsid w:val="00A7229E"/>
    <w:rsid w:val="00A723D5"/>
    <w:rsid w:val="00A72CF2"/>
    <w:rsid w:val="00A72FF5"/>
    <w:rsid w:val="00A73042"/>
    <w:rsid w:val="00A73054"/>
    <w:rsid w:val="00A7342E"/>
    <w:rsid w:val="00A74742"/>
    <w:rsid w:val="00A74748"/>
    <w:rsid w:val="00A74D4A"/>
    <w:rsid w:val="00A75630"/>
    <w:rsid w:val="00A75BE3"/>
    <w:rsid w:val="00A76116"/>
    <w:rsid w:val="00A76243"/>
    <w:rsid w:val="00A76373"/>
    <w:rsid w:val="00A76901"/>
    <w:rsid w:val="00A76E13"/>
    <w:rsid w:val="00A7770C"/>
    <w:rsid w:val="00A77739"/>
    <w:rsid w:val="00A8023F"/>
    <w:rsid w:val="00A80511"/>
    <w:rsid w:val="00A80730"/>
    <w:rsid w:val="00A80D19"/>
    <w:rsid w:val="00A816C7"/>
    <w:rsid w:val="00A81742"/>
    <w:rsid w:val="00A81B72"/>
    <w:rsid w:val="00A81D66"/>
    <w:rsid w:val="00A828E7"/>
    <w:rsid w:val="00A829DA"/>
    <w:rsid w:val="00A8433C"/>
    <w:rsid w:val="00A8549B"/>
    <w:rsid w:val="00A856D3"/>
    <w:rsid w:val="00A85705"/>
    <w:rsid w:val="00A858A3"/>
    <w:rsid w:val="00A85CCF"/>
    <w:rsid w:val="00A8765A"/>
    <w:rsid w:val="00A907C7"/>
    <w:rsid w:val="00A90C1C"/>
    <w:rsid w:val="00A912F3"/>
    <w:rsid w:val="00A91C74"/>
    <w:rsid w:val="00A92285"/>
    <w:rsid w:val="00A92730"/>
    <w:rsid w:val="00A92D8C"/>
    <w:rsid w:val="00A93966"/>
    <w:rsid w:val="00A93D81"/>
    <w:rsid w:val="00A942B0"/>
    <w:rsid w:val="00A97ED0"/>
    <w:rsid w:val="00AA08F4"/>
    <w:rsid w:val="00AA1E18"/>
    <w:rsid w:val="00AA2186"/>
    <w:rsid w:val="00AA276B"/>
    <w:rsid w:val="00AA5717"/>
    <w:rsid w:val="00AA573F"/>
    <w:rsid w:val="00AA647A"/>
    <w:rsid w:val="00AB078E"/>
    <w:rsid w:val="00AB0884"/>
    <w:rsid w:val="00AB0A12"/>
    <w:rsid w:val="00AB1539"/>
    <w:rsid w:val="00AB17F3"/>
    <w:rsid w:val="00AB26DA"/>
    <w:rsid w:val="00AB3315"/>
    <w:rsid w:val="00AB338B"/>
    <w:rsid w:val="00AB3A1F"/>
    <w:rsid w:val="00AB414A"/>
    <w:rsid w:val="00AB44FD"/>
    <w:rsid w:val="00AB495B"/>
    <w:rsid w:val="00AB4DEC"/>
    <w:rsid w:val="00AB569E"/>
    <w:rsid w:val="00AB5988"/>
    <w:rsid w:val="00AB5C06"/>
    <w:rsid w:val="00AB6D76"/>
    <w:rsid w:val="00AB6ED4"/>
    <w:rsid w:val="00AB763B"/>
    <w:rsid w:val="00AB763C"/>
    <w:rsid w:val="00AB7680"/>
    <w:rsid w:val="00AB7C30"/>
    <w:rsid w:val="00AC009E"/>
    <w:rsid w:val="00AC0AE3"/>
    <w:rsid w:val="00AC134E"/>
    <w:rsid w:val="00AC175B"/>
    <w:rsid w:val="00AC2266"/>
    <w:rsid w:val="00AC45E1"/>
    <w:rsid w:val="00AC489E"/>
    <w:rsid w:val="00AC4E0C"/>
    <w:rsid w:val="00AC55D9"/>
    <w:rsid w:val="00AC5C42"/>
    <w:rsid w:val="00AD0A2A"/>
    <w:rsid w:val="00AD0A2C"/>
    <w:rsid w:val="00AD174B"/>
    <w:rsid w:val="00AD193B"/>
    <w:rsid w:val="00AD1AE6"/>
    <w:rsid w:val="00AD2B14"/>
    <w:rsid w:val="00AD3C71"/>
    <w:rsid w:val="00AD40BE"/>
    <w:rsid w:val="00AD456C"/>
    <w:rsid w:val="00AD4904"/>
    <w:rsid w:val="00AD560D"/>
    <w:rsid w:val="00AD5845"/>
    <w:rsid w:val="00AD5DFB"/>
    <w:rsid w:val="00AD60B5"/>
    <w:rsid w:val="00AD6AD4"/>
    <w:rsid w:val="00AD6B7F"/>
    <w:rsid w:val="00AD6BB3"/>
    <w:rsid w:val="00AD6DA2"/>
    <w:rsid w:val="00AE022B"/>
    <w:rsid w:val="00AE0E79"/>
    <w:rsid w:val="00AE14AA"/>
    <w:rsid w:val="00AE1ABE"/>
    <w:rsid w:val="00AE2F07"/>
    <w:rsid w:val="00AE305C"/>
    <w:rsid w:val="00AE31B4"/>
    <w:rsid w:val="00AE4A3B"/>
    <w:rsid w:val="00AE5BEC"/>
    <w:rsid w:val="00AE6D3D"/>
    <w:rsid w:val="00AE6E37"/>
    <w:rsid w:val="00AE6FA5"/>
    <w:rsid w:val="00AF0169"/>
    <w:rsid w:val="00AF0614"/>
    <w:rsid w:val="00AF199B"/>
    <w:rsid w:val="00AF1E04"/>
    <w:rsid w:val="00AF3670"/>
    <w:rsid w:val="00AF39E7"/>
    <w:rsid w:val="00AF43E0"/>
    <w:rsid w:val="00AF480C"/>
    <w:rsid w:val="00AF4B7D"/>
    <w:rsid w:val="00AF4DF4"/>
    <w:rsid w:val="00AF4ECC"/>
    <w:rsid w:val="00AF4FD5"/>
    <w:rsid w:val="00AF5FCE"/>
    <w:rsid w:val="00AF66F6"/>
    <w:rsid w:val="00AF6BC9"/>
    <w:rsid w:val="00AF6C93"/>
    <w:rsid w:val="00AF6D59"/>
    <w:rsid w:val="00AF7332"/>
    <w:rsid w:val="00AF772E"/>
    <w:rsid w:val="00B0070E"/>
    <w:rsid w:val="00B00B7D"/>
    <w:rsid w:val="00B00BCB"/>
    <w:rsid w:val="00B01324"/>
    <w:rsid w:val="00B01404"/>
    <w:rsid w:val="00B0142D"/>
    <w:rsid w:val="00B01E13"/>
    <w:rsid w:val="00B0240D"/>
    <w:rsid w:val="00B028C4"/>
    <w:rsid w:val="00B032A8"/>
    <w:rsid w:val="00B03961"/>
    <w:rsid w:val="00B04A22"/>
    <w:rsid w:val="00B055DA"/>
    <w:rsid w:val="00B06D2B"/>
    <w:rsid w:val="00B07438"/>
    <w:rsid w:val="00B075D8"/>
    <w:rsid w:val="00B102BB"/>
    <w:rsid w:val="00B10EC6"/>
    <w:rsid w:val="00B11FCB"/>
    <w:rsid w:val="00B1228C"/>
    <w:rsid w:val="00B12EBC"/>
    <w:rsid w:val="00B13126"/>
    <w:rsid w:val="00B13874"/>
    <w:rsid w:val="00B149B2"/>
    <w:rsid w:val="00B14E4A"/>
    <w:rsid w:val="00B15164"/>
    <w:rsid w:val="00B15AF8"/>
    <w:rsid w:val="00B160B1"/>
    <w:rsid w:val="00B17999"/>
    <w:rsid w:val="00B2000B"/>
    <w:rsid w:val="00B20AF3"/>
    <w:rsid w:val="00B20BFE"/>
    <w:rsid w:val="00B23144"/>
    <w:rsid w:val="00B24B2C"/>
    <w:rsid w:val="00B24E82"/>
    <w:rsid w:val="00B25152"/>
    <w:rsid w:val="00B258E9"/>
    <w:rsid w:val="00B25D2B"/>
    <w:rsid w:val="00B27E16"/>
    <w:rsid w:val="00B30431"/>
    <w:rsid w:val="00B305F5"/>
    <w:rsid w:val="00B30C39"/>
    <w:rsid w:val="00B31091"/>
    <w:rsid w:val="00B3138B"/>
    <w:rsid w:val="00B322EF"/>
    <w:rsid w:val="00B32B45"/>
    <w:rsid w:val="00B33897"/>
    <w:rsid w:val="00B340F9"/>
    <w:rsid w:val="00B34426"/>
    <w:rsid w:val="00B354F1"/>
    <w:rsid w:val="00B36704"/>
    <w:rsid w:val="00B37255"/>
    <w:rsid w:val="00B41828"/>
    <w:rsid w:val="00B41EC9"/>
    <w:rsid w:val="00B420E1"/>
    <w:rsid w:val="00B42372"/>
    <w:rsid w:val="00B439BD"/>
    <w:rsid w:val="00B43DD1"/>
    <w:rsid w:val="00B4419B"/>
    <w:rsid w:val="00B4619D"/>
    <w:rsid w:val="00B461A6"/>
    <w:rsid w:val="00B4633B"/>
    <w:rsid w:val="00B46441"/>
    <w:rsid w:val="00B47267"/>
    <w:rsid w:val="00B477E5"/>
    <w:rsid w:val="00B47C14"/>
    <w:rsid w:val="00B50376"/>
    <w:rsid w:val="00B50935"/>
    <w:rsid w:val="00B5123C"/>
    <w:rsid w:val="00B538C6"/>
    <w:rsid w:val="00B54BB5"/>
    <w:rsid w:val="00B54FAF"/>
    <w:rsid w:val="00B55105"/>
    <w:rsid w:val="00B574DC"/>
    <w:rsid w:val="00B5793F"/>
    <w:rsid w:val="00B57967"/>
    <w:rsid w:val="00B626E3"/>
    <w:rsid w:val="00B638C7"/>
    <w:rsid w:val="00B63D23"/>
    <w:rsid w:val="00B64D3A"/>
    <w:rsid w:val="00B6534A"/>
    <w:rsid w:val="00B656FD"/>
    <w:rsid w:val="00B65B1C"/>
    <w:rsid w:val="00B67B1D"/>
    <w:rsid w:val="00B70B66"/>
    <w:rsid w:val="00B71561"/>
    <w:rsid w:val="00B71872"/>
    <w:rsid w:val="00B72163"/>
    <w:rsid w:val="00B72312"/>
    <w:rsid w:val="00B72DB5"/>
    <w:rsid w:val="00B74E36"/>
    <w:rsid w:val="00B74E4B"/>
    <w:rsid w:val="00B753C9"/>
    <w:rsid w:val="00B753DC"/>
    <w:rsid w:val="00B762DB"/>
    <w:rsid w:val="00B7722F"/>
    <w:rsid w:val="00B776D1"/>
    <w:rsid w:val="00B77E2E"/>
    <w:rsid w:val="00B80F08"/>
    <w:rsid w:val="00B81B8E"/>
    <w:rsid w:val="00B82218"/>
    <w:rsid w:val="00B822D6"/>
    <w:rsid w:val="00B82825"/>
    <w:rsid w:val="00B82DCE"/>
    <w:rsid w:val="00B83317"/>
    <w:rsid w:val="00B840C5"/>
    <w:rsid w:val="00B8551E"/>
    <w:rsid w:val="00B8600C"/>
    <w:rsid w:val="00B86245"/>
    <w:rsid w:val="00B8646B"/>
    <w:rsid w:val="00B870A3"/>
    <w:rsid w:val="00B872C8"/>
    <w:rsid w:val="00B90173"/>
    <w:rsid w:val="00B919AF"/>
    <w:rsid w:val="00B91BFE"/>
    <w:rsid w:val="00B91EAF"/>
    <w:rsid w:val="00B92BE1"/>
    <w:rsid w:val="00B933C9"/>
    <w:rsid w:val="00B93709"/>
    <w:rsid w:val="00B93FD8"/>
    <w:rsid w:val="00B955A4"/>
    <w:rsid w:val="00B95F37"/>
    <w:rsid w:val="00B96321"/>
    <w:rsid w:val="00B96600"/>
    <w:rsid w:val="00B96A6E"/>
    <w:rsid w:val="00B96C94"/>
    <w:rsid w:val="00B96CA9"/>
    <w:rsid w:val="00B96EBC"/>
    <w:rsid w:val="00B979C5"/>
    <w:rsid w:val="00BA034E"/>
    <w:rsid w:val="00BA05C6"/>
    <w:rsid w:val="00BA09F4"/>
    <w:rsid w:val="00BA0B23"/>
    <w:rsid w:val="00BA1284"/>
    <w:rsid w:val="00BA1454"/>
    <w:rsid w:val="00BA18BE"/>
    <w:rsid w:val="00BA23D7"/>
    <w:rsid w:val="00BA3A97"/>
    <w:rsid w:val="00BA4078"/>
    <w:rsid w:val="00BA4A87"/>
    <w:rsid w:val="00BA56C0"/>
    <w:rsid w:val="00BA59C5"/>
    <w:rsid w:val="00BA61E3"/>
    <w:rsid w:val="00BA6484"/>
    <w:rsid w:val="00BA6BE4"/>
    <w:rsid w:val="00BA6FB5"/>
    <w:rsid w:val="00BB0453"/>
    <w:rsid w:val="00BB07F6"/>
    <w:rsid w:val="00BB1430"/>
    <w:rsid w:val="00BB143A"/>
    <w:rsid w:val="00BB19FD"/>
    <w:rsid w:val="00BB2816"/>
    <w:rsid w:val="00BB385A"/>
    <w:rsid w:val="00BB3984"/>
    <w:rsid w:val="00BB3F57"/>
    <w:rsid w:val="00BB469D"/>
    <w:rsid w:val="00BB4A34"/>
    <w:rsid w:val="00BB55E1"/>
    <w:rsid w:val="00BB5CA0"/>
    <w:rsid w:val="00BB671B"/>
    <w:rsid w:val="00BB68B6"/>
    <w:rsid w:val="00BB716E"/>
    <w:rsid w:val="00BB77FB"/>
    <w:rsid w:val="00BB7A2D"/>
    <w:rsid w:val="00BC07C3"/>
    <w:rsid w:val="00BC0AE8"/>
    <w:rsid w:val="00BC1E0D"/>
    <w:rsid w:val="00BC2594"/>
    <w:rsid w:val="00BC2782"/>
    <w:rsid w:val="00BC2863"/>
    <w:rsid w:val="00BC3684"/>
    <w:rsid w:val="00BC3B15"/>
    <w:rsid w:val="00BC4422"/>
    <w:rsid w:val="00BC4DE3"/>
    <w:rsid w:val="00BC572B"/>
    <w:rsid w:val="00BC5DAE"/>
    <w:rsid w:val="00BC72C1"/>
    <w:rsid w:val="00BD004D"/>
    <w:rsid w:val="00BD0204"/>
    <w:rsid w:val="00BD04D9"/>
    <w:rsid w:val="00BD07A5"/>
    <w:rsid w:val="00BD102A"/>
    <w:rsid w:val="00BD16CC"/>
    <w:rsid w:val="00BD16F2"/>
    <w:rsid w:val="00BD259F"/>
    <w:rsid w:val="00BD2DC4"/>
    <w:rsid w:val="00BD2F63"/>
    <w:rsid w:val="00BD4536"/>
    <w:rsid w:val="00BD4BAE"/>
    <w:rsid w:val="00BD56FD"/>
    <w:rsid w:val="00BD5CAA"/>
    <w:rsid w:val="00BD61AA"/>
    <w:rsid w:val="00BD66D4"/>
    <w:rsid w:val="00BD6BB3"/>
    <w:rsid w:val="00BD6E2F"/>
    <w:rsid w:val="00BD74C8"/>
    <w:rsid w:val="00BD76A0"/>
    <w:rsid w:val="00BE1E95"/>
    <w:rsid w:val="00BE20E6"/>
    <w:rsid w:val="00BE230B"/>
    <w:rsid w:val="00BE2B07"/>
    <w:rsid w:val="00BE3927"/>
    <w:rsid w:val="00BE3B2F"/>
    <w:rsid w:val="00BE4528"/>
    <w:rsid w:val="00BE4B5A"/>
    <w:rsid w:val="00BE4C85"/>
    <w:rsid w:val="00BE526B"/>
    <w:rsid w:val="00BE5BC1"/>
    <w:rsid w:val="00BE5F97"/>
    <w:rsid w:val="00BE62A3"/>
    <w:rsid w:val="00BE634A"/>
    <w:rsid w:val="00BE6708"/>
    <w:rsid w:val="00BE7B67"/>
    <w:rsid w:val="00BF04F8"/>
    <w:rsid w:val="00BF0DEA"/>
    <w:rsid w:val="00BF0EDB"/>
    <w:rsid w:val="00BF2184"/>
    <w:rsid w:val="00BF2D18"/>
    <w:rsid w:val="00BF2F9E"/>
    <w:rsid w:val="00BF3402"/>
    <w:rsid w:val="00BF3674"/>
    <w:rsid w:val="00BF3B67"/>
    <w:rsid w:val="00BF3BD9"/>
    <w:rsid w:val="00BF4CB9"/>
    <w:rsid w:val="00BF520C"/>
    <w:rsid w:val="00BF5406"/>
    <w:rsid w:val="00BF5896"/>
    <w:rsid w:val="00BF604F"/>
    <w:rsid w:val="00BF6B98"/>
    <w:rsid w:val="00C00EF5"/>
    <w:rsid w:val="00C01242"/>
    <w:rsid w:val="00C012B6"/>
    <w:rsid w:val="00C01519"/>
    <w:rsid w:val="00C018CD"/>
    <w:rsid w:val="00C01A02"/>
    <w:rsid w:val="00C01FDD"/>
    <w:rsid w:val="00C02431"/>
    <w:rsid w:val="00C02499"/>
    <w:rsid w:val="00C03328"/>
    <w:rsid w:val="00C033C0"/>
    <w:rsid w:val="00C035E1"/>
    <w:rsid w:val="00C0386B"/>
    <w:rsid w:val="00C03ED4"/>
    <w:rsid w:val="00C04741"/>
    <w:rsid w:val="00C04CBA"/>
    <w:rsid w:val="00C056F4"/>
    <w:rsid w:val="00C05A51"/>
    <w:rsid w:val="00C0633A"/>
    <w:rsid w:val="00C06709"/>
    <w:rsid w:val="00C06733"/>
    <w:rsid w:val="00C06A4B"/>
    <w:rsid w:val="00C06C90"/>
    <w:rsid w:val="00C10542"/>
    <w:rsid w:val="00C109E7"/>
    <w:rsid w:val="00C10C88"/>
    <w:rsid w:val="00C11029"/>
    <w:rsid w:val="00C122AE"/>
    <w:rsid w:val="00C12580"/>
    <w:rsid w:val="00C12940"/>
    <w:rsid w:val="00C14ECF"/>
    <w:rsid w:val="00C1519D"/>
    <w:rsid w:val="00C15247"/>
    <w:rsid w:val="00C15439"/>
    <w:rsid w:val="00C20301"/>
    <w:rsid w:val="00C203E0"/>
    <w:rsid w:val="00C2150C"/>
    <w:rsid w:val="00C22033"/>
    <w:rsid w:val="00C221C8"/>
    <w:rsid w:val="00C226CF"/>
    <w:rsid w:val="00C227D8"/>
    <w:rsid w:val="00C22BBA"/>
    <w:rsid w:val="00C24023"/>
    <w:rsid w:val="00C240B7"/>
    <w:rsid w:val="00C24698"/>
    <w:rsid w:val="00C249D8"/>
    <w:rsid w:val="00C24C3A"/>
    <w:rsid w:val="00C24D81"/>
    <w:rsid w:val="00C25A06"/>
    <w:rsid w:val="00C25D0D"/>
    <w:rsid w:val="00C25D6B"/>
    <w:rsid w:val="00C26745"/>
    <w:rsid w:val="00C274A6"/>
    <w:rsid w:val="00C304B7"/>
    <w:rsid w:val="00C306E6"/>
    <w:rsid w:val="00C30B26"/>
    <w:rsid w:val="00C31046"/>
    <w:rsid w:val="00C326DD"/>
    <w:rsid w:val="00C32CB5"/>
    <w:rsid w:val="00C33DFC"/>
    <w:rsid w:val="00C3415E"/>
    <w:rsid w:val="00C3466F"/>
    <w:rsid w:val="00C355A5"/>
    <w:rsid w:val="00C369DC"/>
    <w:rsid w:val="00C370CB"/>
    <w:rsid w:val="00C404B6"/>
    <w:rsid w:val="00C40911"/>
    <w:rsid w:val="00C40B13"/>
    <w:rsid w:val="00C40E6D"/>
    <w:rsid w:val="00C41427"/>
    <w:rsid w:val="00C41FB3"/>
    <w:rsid w:val="00C42169"/>
    <w:rsid w:val="00C42E37"/>
    <w:rsid w:val="00C43DBA"/>
    <w:rsid w:val="00C45254"/>
    <w:rsid w:val="00C45CC4"/>
    <w:rsid w:val="00C46566"/>
    <w:rsid w:val="00C46F1C"/>
    <w:rsid w:val="00C47268"/>
    <w:rsid w:val="00C5007B"/>
    <w:rsid w:val="00C50CA1"/>
    <w:rsid w:val="00C50CF6"/>
    <w:rsid w:val="00C52342"/>
    <w:rsid w:val="00C53620"/>
    <w:rsid w:val="00C538C4"/>
    <w:rsid w:val="00C53D0F"/>
    <w:rsid w:val="00C545C3"/>
    <w:rsid w:val="00C560EC"/>
    <w:rsid w:val="00C5708A"/>
    <w:rsid w:val="00C5721A"/>
    <w:rsid w:val="00C57315"/>
    <w:rsid w:val="00C57489"/>
    <w:rsid w:val="00C57580"/>
    <w:rsid w:val="00C575D6"/>
    <w:rsid w:val="00C606CA"/>
    <w:rsid w:val="00C608F8"/>
    <w:rsid w:val="00C60F7B"/>
    <w:rsid w:val="00C60FA4"/>
    <w:rsid w:val="00C616D4"/>
    <w:rsid w:val="00C62ED3"/>
    <w:rsid w:val="00C63B2C"/>
    <w:rsid w:val="00C644C7"/>
    <w:rsid w:val="00C64CD6"/>
    <w:rsid w:val="00C66A5F"/>
    <w:rsid w:val="00C66EA4"/>
    <w:rsid w:val="00C66FDE"/>
    <w:rsid w:val="00C701C1"/>
    <w:rsid w:val="00C72616"/>
    <w:rsid w:val="00C72FF0"/>
    <w:rsid w:val="00C74023"/>
    <w:rsid w:val="00C74B51"/>
    <w:rsid w:val="00C74B8E"/>
    <w:rsid w:val="00C75301"/>
    <w:rsid w:val="00C75562"/>
    <w:rsid w:val="00C77EEC"/>
    <w:rsid w:val="00C80216"/>
    <w:rsid w:val="00C807B0"/>
    <w:rsid w:val="00C81A03"/>
    <w:rsid w:val="00C81FD2"/>
    <w:rsid w:val="00C82740"/>
    <w:rsid w:val="00C8321B"/>
    <w:rsid w:val="00C8537D"/>
    <w:rsid w:val="00C86A4D"/>
    <w:rsid w:val="00C87101"/>
    <w:rsid w:val="00C87947"/>
    <w:rsid w:val="00C903D5"/>
    <w:rsid w:val="00C90DA0"/>
    <w:rsid w:val="00C90FB4"/>
    <w:rsid w:val="00C91F2F"/>
    <w:rsid w:val="00C923FD"/>
    <w:rsid w:val="00C92E1C"/>
    <w:rsid w:val="00C93D9F"/>
    <w:rsid w:val="00C94673"/>
    <w:rsid w:val="00C95521"/>
    <w:rsid w:val="00C9581D"/>
    <w:rsid w:val="00C95DD1"/>
    <w:rsid w:val="00C96226"/>
    <w:rsid w:val="00CA03D2"/>
    <w:rsid w:val="00CA0C49"/>
    <w:rsid w:val="00CA1193"/>
    <w:rsid w:val="00CA1C6A"/>
    <w:rsid w:val="00CA1F1B"/>
    <w:rsid w:val="00CA242E"/>
    <w:rsid w:val="00CA2692"/>
    <w:rsid w:val="00CA31EA"/>
    <w:rsid w:val="00CA322D"/>
    <w:rsid w:val="00CA3621"/>
    <w:rsid w:val="00CA368D"/>
    <w:rsid w:val="00CA4B47"/>
    <w:rsid w:val="00CA4CC7"/>
    <w:rsid w:val="00CA4E15"/>
    <w:rsid w:val="00CA4F73"/>
    <w:rsid w:val="00CA56F5"/>
    <w:rsid w:val="00CA5D8E"/>
    <w:rsid w:val="00CA656D"/>
    <w:rsid w:val="00CA6ABA"/>
    <w:rsid w:val="00CA6B95"/>
    <w:rsid w:val="00CA6DF9"/>
    <w:rsid w:val="00CA6F1D"/>
    <w:rsid w:val="00CA72B1"/>
    <w:rsid w:val="00CA7821"/>
    <w:rsid w:val="00CA7B1F"/>
    <w:rsid w:val="00CA7ED3"/>
    <w:rsid w:val="00CB0F56"/>
    <w:rsid w:val="00CB19E6"/>
    <w:rsid w:val="00CB227D"/>
    <w:rsid w:val="00CB2807"/>
    <w:rsid w:val="00CB296F"/>
    <w:rsid w:val="00CB2CF3"/>
    <w:rsid w:val="00CB2D7C"/>
    <w:rsid w:val="00CB35E6"/>
    <w:rsid w:val="00CB3F43"/>
    <w:rsid w:val="00CB4525"/>
    <w:rsid w:val="00CB47B8"/>
    <w:rsid w:val="00CB634B"/>
    <w:rsid w:val="00CB64E6"/>
    <w:rsid w:val="00CB775F"/>
    <w:rsid w:val="00CB7A48"/>
    <w:rsid w:val="00CC01EC"/>
    <w:rsid w:val="00CC03FD"/>
    <w:rsid w:val="00CC0593"/>
    <w:rsid w:val="00CC0D6F"/>
    <w:rsid w:val="00CC12BD"/>
    <w:rsid w:val="00CC1AAC"/>
    <w:rsid w:val="00CC1F6D"/>
    <w:rsid w:val="00CC608B"/>
    <w:rsid w:val="00CD04B9"/>
    <w:rsid w:val="00CD0593"/>
    <w:rsid w:val="00CD0776"/>
    <w:rsid w:val="00CD0BB6"/>
    <w:rsid w:val="00CD1364"/>
    <w:rsid w:val="00CD14DD"/>
    <w:rsid w:val="00CD17CA"/>
    <w:rsid w:val="00CD1EBA"/>
    <w:rsid w:val="00CD26B0"/>
    <w:rsid w:val="00CD4079"/>
    <w:rsid w:val="00CD4D47"/>
    <w:rsid w:val="00CD6586"/>
    <w:rsid w:val="00CD7A92"/>
    <w:rsid w:val="00CD7B76"/>
    <w:rsid w:val="00CD7EE3"/>
    <w:rsid w:val="00CE094B"/>
    <w:rsid w:val="00CE0CC9"/>
    <w:rsid w:val="00CE1512"/>
    <w:rsid w:val="00CE1979"/>
    <w:rsid w:val="00CE1D27"/>
    <w:rsid w:val="00CE1F97"/>
    <w:rsid w:val="00CE24FC"/>
    <w:rsid w:val="00CE36EA"/>
    <w:rsid w:val="00CE399B"/>
    <w:rsid w:val="00CE3A8F"/>
    <w:rsid w:val="00CE3F94"/>
    <w:rsid w:val="00CE4057"/>
    <w:rsid w:val="00CE423C"/>
    <w:rsid w:val="00CE4C53"/>
    <w:rsid w:val="00CE5C47"/>
    <w:rsid w:val="00CE5ECE"/>
    <w:rsid w:val="00CE6490"/>
    <w:rsid w:val="00CE6851"/>
    <w:rsid w:val="00CE7444"/>
    <w:rsid w:val="00CE7763"/>
    <w:rsid w:val="00CE7A0C"/>
    <w:rsid w:val="00CF15FF"/>
    <w:rsid w:val="00CF198B"/>
    <w:rsid w:val="00CF2135"/>
    <w:rsid w:val="00CF2531"/>
    <w:rsid w:val="00CF355C"/>
    <w:rsid w:val="00CF4029"/>
    <w:rsid w:val="00CF55F0"/>
    <w:rsid w:val="00CF7EEB"/>
    <w:rsid w:val="00D005EB"/>
    <w:rsid w:val="00D01189"/>
    <w:rsid w:val="00D014D4"/>
    <w:rsid w:val="00D01661"/>
    <w:rsid w:val="00D01C48"/>
    <w:rsid w:val="00D0283E"/>
    <w:rsid w:val="00D02BC5"/>
    <w:rsid w:val="00D03FED"/>
    <w:rsid w:val="00D04124"/>
    <w:rsid w:val="00D043B2"/>
    <w:rsid w:val="00D04A0A"/>
    <w:rsid w:val="00D065B9"/>
    <w:rsid w:val="00D0678B"/>
    <w:rsid w:val="00D06CCD"/>
    <w:rsid w:val="00D070CC"/>
    <w:rsid w:val="00D07301"/>
    <w:rsid w:val="00D07942"/>
    <w:rsid w:val="00D108AC"/>
    <w:rsid w:val="00D10C11"/>
    <w:rsid w:val="00D114A6"/>
    <w:rsid w:val="00D118A9"/>
    <w:rsid w:val="00D11DE9"/>
    <w:rsid w:val="00D11FFF"/>
    <w:rsid w:val="00D126FF"/>
    <w:rsid w:val="00D12B52"/>
    <w:rsid w:val="00D1366F"/>
    <w:rsid w:val="00D1412D"/>
    <w:rsid w:val="00D15965"/>
    <w:rsid w:val="00D15C9B"/>
    <w:rsid w:val="00D15D2C"/>
    <w:rsid w:val="00D163A4"/>
    <w:rsid w:val="00D1688F"/>
    <w:rsid w:val="00D16E45"/>
    <w:rsid w:val="00D204BD"/>
    <w:rsid w:val="00D210E6"/>
    <w:rsid w:val="00D210EA"/>
    <w:rsid w:val="00D215BA"/>
    <w:rsid w:val="00D215C6"/>
    <w:rsid w:val="00D23A77"/>
    <w:rsid w:val="00D242A2"/>
    <w:rsid w:val="00D24DDA"/>
    <w:rsid w:val="00D25CD4"/>
    <w:rsid w:val="00D26386"/>
    <w:rsid w:val="00D26481"/>
    <w:rsid w:val="00D267A5"/>
    <w:rsid w:val="00D27AA0"/>
    <w:rsid w:val="00D30351"/>
    <w:rsid w:val="00D3037D"/>
    <w:rsid w:val="00D313CF"/>
    <w:rsid w:val="00D315B8"/>
    <w:rsid w:val="00D31B8E"/>
    <w:rsid w:val="00D334B3"/>
    <w:rsid w:val="00D33D93"/>
    <w:rsid w:val="00D34111"/>
    <w:rsid w:val="00D345AF"/>
    <w:rsid w:val="00D34825"/>
    <w:rsid w:val="00D34FDF"/>
    <w:rsid w:val="00D35331"/>
    <w:rsid w:val="00D35432"/>
    <w:rsid w:val="00D36BBB"/>
    <w:rsid w:val="00D37F65"/>
    <w:rsid w:val="00D4024C"/>
    <w:rsid w:val="00D40ED8"/>
    <w:rsid w:val="00D415CC"/>
    <w:rsid w:val="00D42286"/>
    <w:rsid w:val="00D42C01"/>
    <w:rsid w:val="00D44F80"/>
    <w:rsid w:val="00D479C7"/>
    <w:rsid w:val="00D47F26"/>
    <w:rsid w:val="00D501D3"/>
    <w:rsid w:val="00D5034F"/>
    <w:rsid w:val="00D50627"/>
    <w:rsid w:val="00D50E43"/>
    <w:rsid w:val="00D5151B"/>
    <w:rsid w:val="00D518CA"/>
    <w:rsid w:val="00D51F70"/>
    <w:rsid w:val="00D521A9"/>
    <w:rsid w:val="00D525FC"/>
    <w:rsid w:val="00D5369B"/>
    <w:rsid w:val="00D53725"/>
    <w:rsid w:val="00D5425D"/>
    <w:rsid w:val="00D5491D"/>
    <w:rsid w:val="00D558D2"/>
    <w:rsid w:val="00D55FBA"/>
    <w:rsid w:val="00D56FF3"/>
    <w:rsid w:val="00D60201"/>
    <w:rsid w:val="00D612C4"/>
    <w:rsid w:val="00D615C4"/>
    <w:rsid w:val="00D61679"/>
    <w:rsid w:val="00D62002"/>
    <w:rsid w:val="00D62B8D"/>
    <w:rsid w:val="00D62FBC"/>
    <w:rsid w:val="00D62FE5"/>
    <w:rsid w:val="00D63394"/>
    <w:rsid w:val="00D63CFF"/>
    <w:rsid w:val="00D64011"/>
    <w:rsid w:val="00D64232"/>
    <w:rsid w:val="00D64262"/>
    <w:rsid w:val="00D65698"/>
    <w:rsid w:val="00D65C56"/>
    <w:rsid w:val="00D65E9A"/>
    <w:rsid w:val="00D660EE"/>
    <w:rsid w:val="00D66862"/>
    <w:rsid w:val="00D679DA"/>
    <w:rsid w:val="00D703D0"/>
    <w:rsid w:val="00D70571"/>
    <w:rsid w:val="00D707E8"/>
    <w:rsid w:val="00D70A38"/>
    <w:rsid w:val="00D70BC1"/>
    <w:rsid w:val="00D7144D"/>
    <w:rsid w:val="00D71686"/>
    <w:rsid w:val="00D72290"/>
    <w:rsid w:val="00D724AB"/>
    <w:rsid w:val="00D72B05"/>
    <w:rsid w:val="00D731A2"/>
    <w:rsid w:val="00D73281"/>
    <w:rsid w:val="00D7332F"/>
    <w:rsid w:val="00D73F07"/>
    <w:rsid w:val="00D74053"/>
    <w:rsid w:val="00D745C4"/>
    <w:rsid w:val="00D74857"/>
    <w:rsid w:val="00D74AFA"/>
    <w:rsid w:val="00D75569"/>
    <w:rsid w:val="00D768BE"/>
    <w:rsid w:val="00D80CF1"/>
    <w:rsid w:val="00D81204"/>
    <w:rsid w:val="00D821B8"/>
    <w:rsid w:val="00D8342A"/>
    <w:rsid w:val="00D834BA"/>
    <w:rsid w:val="00D83F34"/>
    <w:rsid w:val="00D84355"/>
    <w:rsid w:val="00D84B9B"/>
    <w:rsid w:val="00D858DD"/>
    <w:rsid w:val="00D866C3"/>
    <w:rsid w:val="00D904F6"/>
    <w:rsid w:val="00D909FE"/>
    <w:rsid w:val="00D91781"/>
    <w:rsid w:val="00D918CE"/>
    <w:rsid w:val="00D9296A"/>
    <w:rsid w:val="00D92DAD"/>
    <w:rsid w:val="00D93A2F"/>
    <w:rsid w:val="00D93A30"/>
    <w:rsid w:val="00D93ECF"/>
    <w:rsid w:val="00D94426"/>
    <w:rsid w:val="00D9473B"/>
    <w:rsid w:val="00D94AC5"/>
    <w:rsid w:val="00D960E8"/>
    <w:rsid w:val="00D961AA"/>
    <w:rsid w:val="00D96283"/>
    <w:rsid w:val="00D96319"/>
    <w:rsid w:val="00D96996"/>
    <w:rsid w:val="00D96B20"/>
    <w:rsid w:val="00D97232"/>
    <w:rsid w:val="00D97AE6"/>
    <w:rsid w:val="00DA020E"/>
    <w:rsid w:val="00DA028C"/>
    <w:rsid w:val="00DA064D"/>
    <w:rsid w:val="00DA08ED"/>
    <w:rsid w:val="00DA1091"/>
    <w:rsid w:val="00DA10BC"/>
    <w:rsid w:val="00DA13CE"/>
    <w:rsid w:val="00DA1794"/>
    <w:rsid w:val="00DA18C2"/>
    <w:rsid w:val="00DA2535"/>
    <w:rsid w:val="00DA2CB3"/>
    <w:rsid w:val="00DA3342"/>
    <w:rsid w:val="00DA33D1"/>
    <w:rsid w:val="00DA4314"/>
    <w:rsid w:val="00DA5B5C"/>
    <w:rsid w:val="00DA5B9A"/>
    <w:rsid w:val="00DA652E"/>
    <w:rsid w:val="00DA6889"/>
    <w:rsid w:val="00DA7178"/>
    <w:rsid w:val="00DA7833"/>
    <w:rsid w:val="00DA7D68"/>
    <w:rsid w:val="00DB0253"/>
    <w:rsid w:val="00DB0521"/>
    <w:rsid w:val="00DB1511"/>
    <w:rsid w:val="00DB17F9"/>
    <w:rsid w:val="00DB1B6B"/>
    <w:rsid w:val="00DB21FB"/>
    <w:rsid w:val="00DB2B03"/>
    <w:rsid w:val="00DB4AF9"/>
    <w:rsid w:val="00DB4E91"/>
    <w:rsid w:val="00DB4F4D"/>
    <w:rsid w:val="00DB5758"/>
    <w:rsid w:val="00DB6116"/>
    <w:rsid w:val="00DB642E"/>
    <w:rsid w:val="00DB6618"/>
    <w:rsid w:val="00DB669D"/>
    <w:rsid w:val="00DB6CD9"/>
    <w:rsid w:val="00DC00F7"/>
    <w:rsid w:val="00DC03A2"/>
    <w:rsid w:val="00DC0560"/>
    <w:rsid w:val="00DC089F"/>
    <w:rsid w:val="00DC2E1E"/>
    <w:rsid w:val="00DC429B"/>
    <w:rsid w:val="00DC45DA"/>
    <w:rsid w:val="00DC477F"/>
    <w:rsid w:val="00DC48A2"/>
    <w:rsid w:val="00DC6084"/>
    <w:rsid w:val="00DC7216"/>
    <w:rsid w:val="00DC724D"/>
    <w:rsid w:val="00DC792E"/>
    <w:rsid w:val="00DD04DE"/>
    <w:rsid w:val="00DD188C"/>
    <w:rsid w:val="00DD1F73"/>
    <w:rsid w:val="00DD2D45"/>
    <w:rsid w:val="00DD371A"/>
    <w:rsid w:val="00DD480D"/>
    <w:rsid w:val="00DD4852"/>
    <w:rsid w:val="00DD4E3A"/>
    <w:rsid w:val="00DD5737"/>
    <w:rsid w:val="00DD6DE8"/>
    <w:rsid w:val="00DD7611"/>
    <w:rsid w:val="00DD77A1"/>
    <w:rsid w:val="00DD7B91"/>
    <w:rsid w:val="00DD7F79"/>
    <w:rsid w:val="00DE0A62"/>
    <w:rsid w:val="00DE181A"/>
    <w:rsid w:val="00DE1F74"/>
    <w:rsid w:val="00DE277E"/>
    <w:rsid w:val="00DE3C54"/>
    <w:rsid w:val="00DE3F1A"/>
    <w:rsid w:val="00DE49AA"/>
    <w:rsid w:val="00DE58F4"/>
    <w:rsid w:val="00DE5C8A"/>
    <w:rsid w:val="00DE6BFA"/>
    <w:rsid w:val="00DE75FD"/>
    <w:rsid w:val="00DE7F80"/>
    <w:rsid w:val="00DF0030"/>
    <w:rsid w:val="00DF25B4"/>
    <w:rsid w:val="00DF3299"/>
    <w:rsid w:val="00DF3B14"/>
    <w:rsid w:val="00DF41AC"/>
    <w:rsid w:val="00DF4945"/>
    <w:rsid w:val="00DF4994"/>
    <w:rsid w:val="00DF567F"/>
    <w:rsid w:val="00DF578A"/>
    <w:rsid w:val="00DF5E39"/>
    <w:rsid w:val="00DF6C37"/>
    <w:rsid w:val="00DF7668"/>
    <w:rsid w:val="00E006FC"/>
    <w:rsid w:val="00E00CD7"/>
    <w:rsid w:val="00E015B0"/>
    <w:rsid w:val="00E01677"/>
    <w:rsid w:val="00E01700"/>
    <w:rsid w:val="00E017B6"/>
    <w:rsid w:val="00E020A8"/>
    <w:rsid w:val="00E0257C"/>
    <w:rsid w:val="00E025AF"/>
    <w:rsid w:val="00E0435D"/>
    <w:rsid w:val="00E04E34"/>
    <w:rsid w:val="00E05223"/>
    <w:rsid w:val="00E05BCF"/>
    <w:rsid w:val="00E05E04"/>
    <w:rsid w:val="00E06CC9"/>
    <w:rsid w:val="00E077D4"/>
    <w:rsid w:val="00E07BB9"/>
    <w:rsid w:val="00E10D75"/>
    <w:rsid w:val="00E12537"/>
    <w:rsid w:val="00E12858"/>
    <w:rsid w:val="00E12FD9"/>
    <w:rsid w:val="00E1306B"/>
    <w:rsid w:val="00E1334A"/>
    <w:rsid w:val="00E13793"/>
    <w:rsid w:val="00E13E8B"/>
    <w:rsid w:val="00E13ED2"/>
    <w:rsid w:val="00E14467"/>
    <w:rsid w:val="00E1462C"/>
    <w:rsid w:val="00E1688B"/>
    <w:rsid w:val="00E17778"/>
    <w:rsid w:val="00E177AF"/>
    <w:rsid w:val="00E17B27"/>
    <w:rsid w:val="00E206AB"/>
    <w:rsid w:val="00E20F9E"/>
    <w:rsid w:val="00E21665"/>
    <w:rsid w:val="00E220FA"/>
    <w:rsid w:val="00E223D7"/>
    <w:rsid w:val="00E22D48"/>
    <w:rsid w:val="00E2363D"/>
    <w:rsid w:val="00E2398A"/>
    <w:rsid w:val="00E23DA2"/>
    <w:rsid w:val="00E23EC7"/>
    <w:rsid w:val="00E24402"/>
    <w:rsid w:val="00E24929"/>
    <w:rsid w:val="00E24A5B"/>
    <w:rsid w:val="00E24A8F"/>
    <w:rsid w:val="00E2678C"/>
    <w:rsid w:val="00E27368"/>
    <w:rsid w:val="00E279C8"/>
    <w:rsid w:val="00E30A42"/>
    <w:rsid w:val="00E30C36"/>
    <w:rsid w:val="00E30D49"/>
    <w:rsid w:val="00E313D7"/>
    <w:rsid w:val="00E31640"/>
    <w:rsid w:val="00E32D98"/>
    <w:rsid w:val="00E34296"/>
    <w:rsid w:val="00E3522E"/>
    <w:rsid w:val="00E35393"/>
    <w:rsid w:val="00E36CAD"/>
    <w:rsid w:val="00E3766C"/>
    <w:rsid w:val="00E37DF2"/>
    <w:rsid w:val="00E4022C"/>
    <w:rsid w:val="00E4075A"/>
    <w:rsid w:val="00E4075E"/>
    <w:rsid w:val="00E40BB1"/>
    <w:rsid w:val="00E429BF"/>
    <w:rsid w:val="00E42CF6"/>
    <w:rsid w:val="00E44A1C"/>
    <w:rsid w:val="00E44F3F"/>
    <w:rsid w:val="00E4511C"/>
    <w:rsid w:val="00E451CE"/>
    <w:rsid w:val="00E4532E"/>
    <w:rsid w:val="00E45B3F"/>
    <w:rsid w:val="00E45C1F"/>
    <w:rsid w:val="00E45CC1"/>
    <w:rsid w:val="00E45F44"/>
    <w:rsid w:val="00E46363"/>
    <w:rsid w:val="00E46414"/>
    <w:rsid w:val="00E47276"/>
    <w:rsid w:val="00E47B27"/>
    <w:rsid w:val="00E47DD1"/>
    <w:rsid w:val="00E50409"/>
    <w:rsid w:val="00E5052E"/>
    <w:rsid w:val="00E50871"/>
    <w:rsid w:val="00E5123A"/>
    <w:rsid w:val="00E51440"/>
    <w:rsid w:val="00E51487"/>
    <w:rsid w:val="00E5157B"/>
    <w:rsid w:val="00E51615"/>
    <w:rsid w:val="00E525EF"/>
    <w:rsid w:val="00E533B6"/>
    <w:rsid w:val="00E5345D"/>
    <w:rsid w:val="00E534DA"/>
    <w:rsid w:val="00E535B8"/>
    <w:rsid w:val="00E538F1"/>
    <w:rsid w:val="00E543F6"/>
    <w:rsid w:val="00E544CE"/>
    <w:rsid w:val="00E54EF6"/>
    <w:rsid w:val="00E550BC"/>
    <w:rsid w:val="00E55735"/>
    <w:rsid w:val="00E559F7"/>
    <w:rsid w:val="00E56CAE"/>
    <w:rsid w:val="00E56E8E"/>
    <w:rsid w:val="00E56EF2"/>
    <w:rsid w:val="00E57332"/>
    <w:rsid w:val="00E60607"/>
    <w:rsid w:val="00E606A7"/>
    <w:rsid w:val="00E6156C"/>
    <w:rsid w:val="00E6160D"/>
    <w:rsid w:val="00E618F9"/>
    <w:rsid w:val="00E633DA"/>
    <w:rsid w:val="00E63597"/>
    <w:rsid w:val="00E63D7E"/>
    <w:rsid w:val="00E6535C"/>
    <w:rsid w:val="00E656B2"/>
    <w:rsid w:val="00E65B0F"/>
    <w:rsid w:val="00E67A2D"/>
    <w:rsid w:val="00E70725"/>
    <w:rsid w:val="00E71294"/>
    <w:rsid w:val="00E71997"/>
    <w:rsid w:val="00E72791"/>
    <w:rsid w:val="00E72D37"/>
    <w:rsid w:val="00E72F91"/>
    <w:rsid w:val="00E75777"/>
    <w:rsid w:val="00E76A57"/>
    <w:rsid w:val="00E77601"/>
    <w:rsid w:val="00E80BE4"/>
    <w:rsid w:val="00E8135B"/>
    <w:rsid w:val="00E8141A"/>
    <w:rsid w:val="00E81F4A"/>
    <w:rsid w:val="00E82475"/>
    <w:rsid w:val="00E825C4"/>
    <w:rsid w:val="00E82E6A"/>
    <w:rsid w:val="00E836F5"/>
    <w:rsid w:val="00E844FB"/>
    <w:rsid w:val="00E8484F"/>
    <w:rsid w:val="00E84D9A"/>
    <w:rsid w:val="00E850A4"/>
    <w:rsid w:val="00E85B97"/>
    <w:rsid w:val="00E869A1"/>
    <w:rsid w:val="00E86B78"/>
    <w:rsid w:val="00E87117"/>
    <w:rsid w:val="00E9145F"/>
    <w:rsid w:val="00E91EB2"/>
    <w:rsid w:val="00E91F91"/>
    <w:rsid w:val="00E93BD1"/>
    <w:rsid w:val="00E93C10"/>
    <w:rsid w:val="00E94FA2"/>
    <w:rsid w:val="00E95809"/>
    <w:rsid w:val="00E95870"/>
    <w:rsid w:val="00E95A49"/>
    <w:rsid w:val="00E95ABF"/>
    <w:rsid w:val="00E961CB"/>
    <w:rsid w:val="00E9672C"/>
    <w:rsid w:val="00E9734E"/>
    <w:rsid w:val="00EA0175"/>
    <w:rsid w:val="00EA0251"/>
    <w:rsid w:val="00EA07F6"/>
    <w:rsid w:val="00EA0A24"/>
    <w:rsid w:val="00EA0B73"/>
    <w:rsid w:val="00EA166B"/>
    <w:rsid w:val="00EA17CD"/>
    <w:rsid w:val="00EA2780"/>
    <w:rsid w:val="00EA2960"/>
    <w:rsid w:val="00EA30F1"/>
    <w:rsid w:val="00EA3562"/>
    <w:rsid w:val="00EA5831"/>
    <w:rsid w:val="00EA66AF"/>
    <w:rsid w:val="00EA769B"/>
    <w:rsid w:val="00EA798E"/>
    <w:rsid w:val="00EB0244"/>
    <w:rsid w:val="00EB0251"/>
    <w:rsid w:val="00EB072C"/>
    <w:rsid w:val="00EB074D"/>
    <w:rsid w:val="00EB0C94"/>
    <w:rsid w:val="00EB1130"/>
    <w:rsid w:val="00EB2CBA"/>
    <w:rsid w:val="00EB4860"/>
    <w:rsid w:val="00EB5234"/>
    <w:rsid w:val="00EB5D81"/>
    <w:rsid w:val="00EB6080"/>
    <w:rsid w:val="00EB6F4C"/>
    <w:rsid w:val="00EB760F"/>
    <w:rsid w:val="00EB78C9"/>
    <w:rsid w:val="00EB7E1C"/>
    <w:rsid w:val="00EB7ED2"/>
    <w:rsid w:val="00EC0011"/>
    <w:rsid w:val="00EC098F"/>
    <w:rsid w:val="00EC0AE4"/>
    <w:rsid w:val="00EC29DF"/>
    <w:rsid w:val="00EC2F5B"/>
    <w:rsid w:val="00EC4863"/>
    <w:rsid w:val="00EC50E9"/>
    <w:rsid w:val="00EC622A"/>
    <w:rsid w:val="00EC66F4"/>
    <w:rsid w:val="00EC6D9C"/>
    <w:rsid w:val="00EC765D"/>
    <w:rsid w:val="00EC7EAB"/>
    <w:rsid w:val="00ED005C"/>
    <w:rsid w:val="00ED0964"/>
    <w:rsid w:val="00ED0BE8"/>
    <w:rsid w:val="00ED1660"/>
    <w:rsid w:val="00ED1CA9"/>
    <w:rsid w:val="00ED1CAE"/>
    <w:rsid w:val="00ED1CDB"/>
    <w:rsid w:val="00ED2B5D"/>
    <w:rsid w:val="00ED3506"/>
    <w:rsid w:val="00ED3D0B"/>
    <w:rsid w:val="00ED4045"/>
    <w:rsid w:val="00ED413C"/>
    <w:rsid w:val="00ED4F65"/>
    <w:rsid w:val="00ED58AD"/>
    <w:rsid w:val="00ED5E27"/>
    <w:rsid w:val="00ED60E3"/>
    <w:rsid w:val="00ED668D"/>
    <w:rsid w:val="00ED6C39"/>
    <w:rsid w:val="00ED6FF7"/>
    <w:rsid w:val="00EE0539"/>
    <w:rsid w:val="00EE1134"/>
    <w:rsid w:val="00EE1654"/>
    <w:rsid w:val="00EE38B5"/>
    <w:rsid w:val="00EE3B51"/>
    <w:rsid w:val="00EE3F7C"/>
    <w:rsid w:val="00EE418C"/>
    <w:rsid w:val="00EE4278"/>
    <w:rsid w:val="00EE4359"/>
    <w:rsid w:val="00EE4647"/>
    <w:rsid w:val="00EE5D29"/>
    <w:rsid w:val="00EE7115"/>
    <w:rsid w:val="00EF140C"/>
    <w:rsid w:val="00EF2770"/>
    <w:rsid w:val="00EF34F1"/>
    <w:rsid w:val="00EF35CA"/>
    <w:rsid w:val="00EF3A2C"/>
    <w:rsid w:val="00EF3A5B"/>
    <w:rsid w:val="00EF406F"/>
    <w:rsid w:val="00EF4138"/>
    <w:rsid w:val="00EF4433"/>
    <w:rsid w:val="00EF454E"/>
    <w:rsid w:val="00EF46B6"/>
    <w:rsid w:val="00EF47C5"/>
    <w:rsid w:val="00EF50F0"/>
    <w:rsid w:val="00EF5E0B"/>
    <w:rsid w:val="00EF6696"/>
    <w:rsid w:val="00EF6CBB"/>
    <w:rsid w:val="00EF72CB"/>
    <w:rsid w:val="00EF7B50"/>
    <w:rsid w:val="00F00301"/>
    <w:rsid w:val="00F0132E"/>
    <w:rsid w:val="00F02308"/>
    <w:rsid w:val="00F02406"/>
    <w:rsid w:val="00F037B1"/>
    <w:rsid w:val="00F039F7"/>
    <w:rsid w:val="00F040F4"/>
    <w:rsid w:val="00F046F8"/>
    <w:rsid w:val="00F052A8"/>
    <w:rsid w:val="00F05484"/>
    <w:rsid w:val="00F05AE0"/>
    <w:rsid w:val="00F05BA3"/>
    <w:rsid w:val="00F05DC2"/>
    <w:rsid w:val="00F05ECA"/>
    <w:rsid w:val="00F0616E"/>
    <w:rsid w:val="00F0645A"/>
    <w:rsid w:val="00F066A6"/>
    <w:rsid w:val="00F069A5"/>
    <w:rsid w:val="00F06C8C"/>
    <w:rsid w:val="00F070C9"/>
    <w:rsid w:val="00F07731"/>
    <w:rsid w:val="00F07AB6"/>
    <w:rsid w:val="00F1065C"/>
    <w:rsid w:val="00F1086D"/>
    <w:rsid w:val="00F10D71"/>
    <w:rsid w:val="00F111B1"/>
    <w:rsid w:val="00F11C74"/>
    <w:rsid w:val="00F1257F"/>
    <w:rsid w:val="00F13BD8"/>
    <w:rsid w:val="00F14A3A"/>
    <w:rsid w:val="00F16165"/>
    <w:rsid w:val="00F16EEE"/>
    <w:rsid w:val="00F1775E"/>
    <w:rsid w:val="00F20D4C"/>
    <w:rsid w:val="00F20DC5"/>
    <w:rsid w:val="00F21478"/>
    <w:rsid w:val="00F21641"/>
    <w:rsid w:val="00F21731"/>
    <w:rsid w:val="00F22019"/>
    <w:rsid w:val="00F22202"/>
    <w:rsid w:val="00F2365B"/>
    <w:rsid w:val="00F238D7"/>
    <w:rsid w:val="00F23E31"/>
    <w:rsid w:val="00F24044"/>
    <w:rsid w:val="00F25913"/>
    <w:rsid w:val="00F2615A"/>
    <w:rsid w:val="00F2624D"/>
    <w:rsid w:val="00F264FB"/>
    <w:rsid w:val="00F268F1"/>
    <w:rsid w:val="00F26A10"/>
    <w:rsid w:val="00F27F51"/>
    <w:rsid w:val="00F30B81"/>
    <w:rsid w:val="00F30F15"/>
    <w:rsid w:val="00F31694"/>
    <w:rsid w:val="00F31BF4"/>
    <w:rsid w:val="00F31C80"/>
    <w:rsid w:val="00F32759"/>
    <w:rsid w:val="00F3392C"/>
    <w:rsid w:val="00F33A11"/>
    <w:rsid w:val="00F33B06"/>
    <w:rsid w:val="00F33C86"/>
    <w:rsid w:val="00F33FA3"/>
    <w:rsid w:val="00F342A5"/>
    <w:rsid w:val="00F348D3"/>
    <w:rsid w:val="00F3574F"/>
    <w:rsid w:val="00F36152"/>
    <w:rsid w:val="00F365BD"/>
    <w:rsid w:val="00F36D14"/>
    <w:rsid w:val="00F36FC0"/>
    <w:rsid w:val="00F37C4E"/>
    <w:rsid w:val="00F406DE"/>
    <w:rsid w:val="00F40ACE"/>
    <w:rsid w:val="00F41506"/>
    <w:rsid w:val="00F41E24"/>
    <w:rsid w:val="00F42112"/>
    <w:rsid w:val="00F43515"/>
    <w:rsid w:val="00F44798"/>
    <w:rsid w:val="00F44B58"/>
    <w:rsid w:val="00F45441"/>
    <w:rsid w:val="00F45E46"/>
    <w:rsid w:val="00F46B7A"/>
    <w:rsid w:val="00F474AB"/>
    <w:rsid w:val="00F529E9"/>
    <w:rsid w:val="00F536FB"/>
    <w:rsid w:val="00F53A37"/>
    <w:rsid w:val="00F53F95"/>
    <w:rsid w:val="00F54132"/>
    <w:rsid w:val="00F541FD"/>
    <w:rsid w:val="00F54879"/>
    <w:rsid w:val="00F54E6B"/>
    <w:rsid w:val="00F5505C"/>
    <w:rsid w:val="00F55D87"/>
    <w:rsid w:val="00F567CB"/>
    <w:rsid w:val="00F57F10"/>
    <w:rsid w:val="00F604D1"/>
    <w:rsid w:val="00F607F1"/>
    <w:rsid w:val="00F607F5"/>
    <w:rsid w:val="00F614B4"/>
    <w:rsid w:val="00F61A68"/>
    <w:rsid w:val="00F625F7"/>
    <w:rsid w:val="00F6296A"/>
    <w:rsid w:val="00F62AB1"/>
    <w:rsid w:val="00F62D0E"/>
    <w:rsid w:val="00F62F80"/>
    <w:rsid w:val="00F632E4"/>
    <w:rsid w:val="00F6340D"/>
    <w:rsid w:val="00F6355B"/>
    <w:rsid w:val="00F63BEF"/>
    <w:rsid w:val="00F64C14"/>
    <w:rsid w:val="00F64EBA"/>
    <w:rsid w:val="00F6572F"/>
    <w:rsid w:val="00F65BBC"/>
    <w:rsid w:val="00F66A47"/>
    <w:rsid w:val="00F66FCF"/>
    <w:rsid w:val="00F67090"/>
    <w:rsid w:val="00F67262"/>
    <w:rsid w:val="00F67328"/>
    <w:rsid w:val="00F67976"/>
    <w:rsid w:val="00F67F13"/>
    <w:rsid w:val="00F7046D"/>
    <w:rsid w:val="00F70547"/>
    <w:rsid w:val="00F70AEE"/>
    <w:rsid w:val="00F70D4D"/>
    <w:rsid w:val="00F71037"/>
    <w:rsid w:val="00F71FF6"/>
    <w:rsid w:val="00F7256C"/>
    <w:rsid w:val="00F725D3"/>
    <w:rsid w:val="00F72F10"/>
    <w:rsid w:val="00F74523"/>
    <w:rsid w:val="00F74591"/>
    <w:rsid w:val="00F756AB"/>
    <w:rsid w:val="00F759AE"/>
    <w:rsid w:val="00F75B15"/>
    <w:rsid w:val="00F76012"/>
    <w:rsid w:val="00F76086"/>
    <w:rsid w:val="00F77D9D"/>
    <w:rsid w:val="00F77E96"/>
    <w:rsid w:val="00F8041A"/>
    <w:rsid w:val="00F810CC"/>
    <w:rsid w:val="00F81405"/>
    <w:rsid w:val="00F8242A"/>
    <w:rsid w:val="00F82739"/>
    <w:rsid w:val="00F82F1D"/>
    <w:rsid w:val="00F836DB"/>
    <w:rsid w:val="00F83A3A"/>
    <w:rsid w:val="00F83B8C"/>
    <w:rsid w:val="00F83FF3"/>
    <w:rsid w:val="00F846AD"/>
    <w:rsid w:val="00F8561C"/>
    <w:rsid w:val="00F86082"/>
    <w:rsid w:val="00F86DCA"/>
    <w:rsid w:val="00F87951"/>
    <w:rsid w:val="00F87F65"/>
    <w:rsid w:val="00F901A3"/>
    <w:rsid w:val="00F90B86"/>
    <w:rsid w:val="00F91195"/>
    <w:rsid w:val="00F9136F"/>
    <w:rsid w:val="00F9158B"/>
    <w:rsid w:val="00F916CC"/>
    <w:rsid w:val="00F925E0"/>
    <w:rsid w:val="00F927AC"/>
    <w:rsid w:val="00F92857"/>
    <w:rsid w:val="00F93A77"/>
    <w:rsid w:val="00F93C66"/>
    <w:rsid w:val="00F94898"/>
    <w:rsid w:val="00F94A30"/>
    <w:rsid w:val="00F94FB9"/>
    <w:rsid w:val="00F958F1"/>
    <w:rsid w:val="00FA12E8"/>
    <w:rsid w:val="00FA1B6B"/>
    <w:rsid w:val="00FA204D"/>
    <w:rsid w:val="00FA2CAD"/>
    <w:rsid w:val="00FA3E18"/>
    <w:rsid w:val="00FA3F37"/>
    <w:rsid w:val="00FA49CC"/>
    <w:rsid w:val="00FA4DE7"/>
    <w:rsid w:val="00FA54B8"/>
    <w:rsid w:val="00FA5AC0"/>
    <w:rsid w:val="00FA5BE1"/>
    <w:rsid w:val="00FA6109"/>
    <w:rsid w:val="00FA66DC"/>
    <w:rsid w:val="00FA738E"/>
    <w:rsid w:val="00FA78FB"/>
    <w:rsid w:val="00FA7D0D"/>
    <w:rsid w:val="00FA7F62"/>
    <w:rsid w:val="00FB0FD0"/>
    <w:rsid w:val="00FB0FFD"/>
    <w:rsid w:val="00FB200C"/>
    <w:rsid w:val="00FB256C"/>
    <w:rsid w:val="00FB2D6D"/>
    <w:rsid w:val="00FB303D"/>
    <w:rsid w:val="00FB3062"/>
    <w:rsid w:val="00FB32E4"/>
    <w:rsid w:val="00FB3938"/>
    <w:rsid w:val="00FB43F8"/>
    <w:rsid w:val="00FB50F6"/>
    <w:rsid w:val="00FB7B53"/>
    <w:rsid w:val="00FB7BEB"/>
    <w:rsid w:val="00FC01D7"/>
    <w:rsid w:val="00FC05D7"/>
    <w:rsid w:val="00FC07C7"/>
    <w:rsid w:val="00FC0B5B"/>
    <w:rsid w:val="00FC1D52"/>
    <w:rsid w:val="00FC3051"/>
    <w:rsid w:val="00FC3156"/>
    <w:rsid w:val="00FC4DC0"/>
    <w:rsid w:val="00FC4F2A"/>
    <w:rsid w:val="00FC5350"/>
    <w:rsid w:val="00FC5A08"/>
    <w:rsid w:val="00FC606F"/>
    <w:rsid w:val="00FC6FF5"/>
    <w:rsid w:val="00FC72D2"/>
    <w:rsid w:val="00FC75C3"/>
    <w:rsid w:val="00FC7A0F"/>
    <w:rsid w:val="00FD024A"/>
    <w:rsid w:val="00FD0561"/>
    <w:rsid w:val="00FD1437"/>
    <w:rsid w:val="00FD1E2D"/>
    <w:rsid w:val="00FD2521"/>
    <w:rsid w:val="00FD25BE"/>
    <w:rsid w:val="00FD26E5"/>
    <w:rsid w:val="00FD2CE9"/>
    <w:rsid w:val="00FD3264"/>
    <w:rsid w:val="00FD38AC"/>
    <w:rsid w:val="00FD4173"/>
    <w:rsid w:val="00FD418D"/>
    <w:rsid w:val="00FD4A6C"/>
    <w:rsid w:val="00FD508D"/>
    <w:rsid w:val="00FD5329"/>
    <w:rsid w:val="00FD58C9"/>
    <w:rsid w:val="00FD7B29"/>
    <w:rsid w:val="00FD7CA2"/>
    <w:rsid w:val="00FE0437"/>
    <w:rsid w:val="00FE1046"/>
    <w:rsid w:val="00FE1114"/>
    <w:rsid w:val="00FE144F"/>
    <w:rsid w:val="00FE1640"/>
    <w:rsid w:val="00FE1F0F"/>
    <w:rsid w:val="00FE201B"/>
    <w:rsid w:val="00FE22CB"/>
    <w:rsid w:val="00FE236E"/>
    <w:rsid w:val="00FE26FD"/>
    <w:rsid w:val="00FE354E"/>
    <w:rsid w:val="00FE44C9"/>
    <w:rsid w:val="00FE462E"/>
    <w:rsid w:val="00FE4FA3"/>
    <w:rsid w:val="00FE53AD"/>
    <w:rsid w:val="00FE6172"/>
    <w:rsid w:val="00FE64FB"/>
    <w:rsid w:val="00FE68EA"/>
    <w:rsid w:val="00FE6F08"/>
    <w:rsid w:val="00FE6FFB"/>
    <w:rsid w:val="00FE728C"/>
    <w:rsid w:val="00FF1204"/>
    <w:rsid w:val="00FF12FD"/>
    <w:rsid w:val="00FF1F04"/>
    <w:rsid w:val="00FF3588"/>
    <w:rsid w:val="00FF5AB5"/>
    <w:rsid w:val="00FF5E78"/>
    <w:rsid w:val="00FF6BC5"/>
    <w:rsid w:val="00FF6BC7"/>
    <w:rsid w:val="00FF7AB2"/>
    <w:rsid w:val="00FF7E70"/>
    <w:rsid w:val="00FF7F3B"/>
    <w:rsid w:val="0107BD6F"/>
    <w:rsid w:val="0163FEDE"/>
    <w:rsid w:val="01D50714"/>
    <w:rsid w:val="022FE42E"/>
    <w:rsid w:val="0292189A"/>
    <w:rsid w:val="02C10139"/>
    <w:rsid w:val="02F4CFA5"/>
    <w:rsid w:val="03849912"/>
    <w:rsid w:val="03C581E0"/>
    <w:rsid w:val="041CAFAD"/>
    <w:rsid w:val="04753954"/>
    <w:rsid w:val="0557B1F8"/>
    <w:rsid w:val="05A8AF43"/>
    <w:rsid w:val="0628E545"/>
    <w:rsid w:val="06CAD24A"/>
    <w:rsid w:val="0719C73D"/>
    <w:rsid w:val="07BFE137"/>
    <w:rsid w:val="080195EB"/>
    <w:rsid w:val="0862F958"/>
    <w:rsid w:val="0905B2A4"/>
    <w:rsid w:val="090696C0"/>
    <w:rsid w:val="09FDE8B2"/>
    <w:rsid w:val="0B5B4A6D"/>
    <w:rsid w:val="0CDF2193"/>
    <w:rsid w:val="0E27799B"/>
    <w:rsid w:val="0E41210A"/>
    <w:rsid w:val="0EA7CD97"/>
    <w:rsid w:val="102B7C43"/>
    <w:rsid w:val="108D85EA"/>
    <w:rsid w:val="113EC1A9"/>
    <w:rsid w:val="11636C50"/>
    <w:rsid w:val="12C873F3"/>
    <w:rsid w:val="12D5A121"/>
    <w:rsid w:val="139CB85A"/>
    <w:rsid w:val="13AFDD67"/>
    <w:rsid w:val="143C5210"/>
    <w:rsid w:val="144288C3"/>
    <w:rsid w:val="152996E6"/>
    <w:rsid w:val="15446C3D"/>
    <w:rsid w:val="157998B6"/>
    <w:rsid w:val="15F7A429"/>
    <w:rsid w:val="16A8C4DA"/>
    <w:rsid w:val="175FDC89"/>
    <w:rsid w:val="17A54A6B"/>
    <w:rsid w:val="185EA461"/>
    <w:rsid w:val="19623818"/>
    <w:rsid w:val="19D3AB7F"/>
    <w:rsid w:val="1A08DF88"/>
    <w:rsid w:val="1A25A50B"/>
    <w:rsid w:val="1A6A864D"/>
    <w:rsid w:val="1A9D1CFA"/>
    <w:rsid w:val="1A9EBFEB"/>
    <w:rsid w:val="1C05043E"/>
    <w:rsid w:val="1D7DFA4D"/>
    <w:rsid w:val="1DA10AEC"/>
    <w:rsid w:val="1DDD391E"/>
    <w:rsid w:val="1DFD4DB0"/>
    <w:rsid w:val="1FAD4063"/>
    <w:rsid w:val="209F086F"/>
    <w:rsid w:val="20DEB82C"/>
    <w:rsid w:val="21491C63"/>
    <w:rsid w:val="21DB6E9A"/>
    <w:rsid w:val="21E45959"/>
    <w:rsid w:val="2201129F"/>
    <w:rsid w:val="22280980"/>
    <w:rsid w:val="224A0160"/>
    <w:rsid w:val="228AB857"/>
    <w:rsid w:val="22B51DC2"/>
    <w:rsid w:val="2321F834"/>
    <w:rsid w:val="232ACFEE"/>
    <w:rsid w:val="239F1673"/>
    <w:rsid w:val="2529B045"/>
    <w:rsid w:val="2593C5CA"/>
    <w:rsid w:val="25DD5A9C"/>
    <w:rsid w:val="2625BB91"/>
    <w:rsid w:val="26DF2B75"/>
    <w:rsid w:val="284A8D13"/>
    <w:rsid w:val="28714BC6"/>
    <w:rsid w:val="28B01A21"/>
    <w:rsid w:val="297645B7"/>
    <w:rsid w:val="29FE0821"/>
    <w:rsid w:val="2A011DEE"/>
    <w:rsid w:val="2A285CE4"/>
    <w:rsid w:val="2A4B621A"/>
    <w:rsid w:val="2A6DB36D"/>
    <w:rsid w:val="2AD62024"/>
    <w:rsid w:val="2B14FCFC"/>
    <w:rsid w:val="2B6F8787"/>
    <w:rsid w:val="2C5531D4"/>
    <w:rsid w:val="2C5FFA48"/>
    <w:rsid w:val="2C8B317D"/>
    <w:rsid w:val="2CA1856F"/>
    <w:rsid w:val="2D368FC7"/>
    <w:rsid w:val="2E508672"/>
    <w:rsid w:val="307AAF03"/>
    <w:rsid w:val="307F4E95"/>
    <w:rsid w:val="30C9F361"/>
    <w:rsid w:val="30D3D86C"/>
    <w:rsid w:val="310E30F4"/>
    <w:rsid w:val="3174C303"/>
    <w:rsid w:val="31DB822D"/>
    <w:rsid w:val="32690914"/>
    <w:rsid w:val="338ACEF5"/>
    <w:rsid w:val="348BF78F"/>
    <w:rsid w:val="34E518A5"/>
    <w:rsid w:val="34F59798"/>
    <w:rsid w:val="35AF8F8C"/>
    <w:rsid w:val="35F43A73"/>
    <w:rsid w:val="362A6D32"/>
    <w:rsid w:val="364E383F"/>
    <w:rsid w:val="374EE721"/>
    <w:rsid w:val="386F5CDF"/>
    <w:rsid w:val="38AA4F9C"/>
    <w:rsid w:val="38B0CD24"/>
    <w:rsid w:val="39013E69"/>
    <w:rsid w:val="39749132"/>
    <w:rsid w:val="3A52BD22"/>
    <w:rsid w:val="3AD4C6B9"/>
    <w:rsid w:val="3B267D9C"/>
    <w:rsid w:val="3BCA679E"/>
    <w:rsid w:val="3D45E2FD"/>
    <w:rsid w:val="3E2B38FB"/>
    <w:rsid w:val="3E7B03D1"/>
    <w:rsid w:val="3E8976BB"/>
    <w:rsid w:val="3EDD1A4D"/>
    <w:rsid w:val="3F25DA69"/>
    <w:rsid w:val="3F5136B3"/>
    <w:rsid w:val="3FAD4D9A"/>
    <w:rsid w:val="4156EC14"/>
    <w:rsid w:val="42B85185"/>
    <w:rsid w:val="43DF4519"/>
    <w:rsid w:val="4439A639"/>
    <w:rsid w:val="44406743"/>
    <w:rsid w:val="44818618"/>
    <w:rsid w:val="4562E5A3"/>
    <w:rsid w:val="4606C587"/>
    <w:rsid w:val="47C28E2E"/>
    <w:rsid w:val="4835566C"/>
    <w:rsid w:val="49A4296F"/>
    <w:rsid w:val="49E9F3F5"/>
    <w:rsid w:val="4A60D8B3"/>
    <w:rsid w:val="4A702B58"/>
    <w:rsid w:val="4AB2B987"/>
    <w:rsid w:val="4B8B04BC"/>
    <w:rsid w:val="4D36EA47"/>
    <w:rsid w:val="4DB17BFD"/>
    <w:rsid w:val="4DCBC169"/>
    <w:rsid w:val="4DF24BAD"/>
    <w:rsid w:val="4E26881F"/>
    <w:rsid w:val="4EE360F3"/>
    <w:rsid w:val="4EE95187"/>
    <w:rsid w:val="4F393D17"/>
    <w:rsid w:val="50169D81"/>
    <w:rsid w:val="5267CCCA"/>
    <w:rsid w:val="52E0EBEC"/>
    <w:rsid w:val="54A6D296"/>
    <w:rsid w:val="55244549"/>
    <w:rsid w:val="563E9001"/>
    <w:rsid w:val="56B70A4E"/>
    <w:rsid w:val="579B4428"/>
    <w:rsid w:val="5840443E"/>
    <w:rsid w:val="58867191"/>
    <w:rsid w:val="5892C2B9"/>
    <w:rsid w:val="59765471"/>
    <w:rsid w:val="5994700E"/>
    <w:rsid w:val="59C16B47"/>
    <w:rsid w:val="59C77864"/>
    <w:rsid w:val="5A4C8791"/>
    <w:rsid w:val="5AC8AC4A"/>
    <w:rsid w:val="5AFFF010"/>
    <w:rsid w:val="5C59B8F0"/>
    <w:rsid w:val="5C8E092A"/>
    <w:rsid w:val="5D668B6C"/>
    <w:rsid w:val="5DC33BB7"/>
    <w:rsid w:val="5FD00D52"/>
    <w:rsid w:val="5FDFBDD3"/>
    <w:rsid w:val="608F962D"/>
    <w:rsid w:val="60F231A4"/>
    <w:rsid w:val="61FD8B0F"/>
    <w:rsid w:val="620EB0B2"/>
    <w:rsid w:val="62808BD1"/>
    <w:rsid w:val="62B9F445"/>
    <w:rsid w:val="63175E95"/>
    <w:rsid w:val="6363056D"/>
    <w:rsid w:val="6368400F"/>
    <w:rsid w:val="63EFFE15"/>
    <w:rsid w:val="6412DC3D"/>
    <w:rsid w:val="64389DBB"/>
    <w:rsid w:val="64EB40FE"/>
    <w:rsid w:val="652F5794"/>
    <w:rsid w:val="65A4C229"/>
    <w:rsid w:val="664E4218"/>
    <w:rsid w:val="66DD7EAF"/>
    <w:rsid w:val="675DFDC1"/>
    <w:rsid w:val="67A8B751"/>
    <w:rsid w:val="688720F8"/>
    <w:rsid w:val="691E962F"/>
    <w:rsid w:val="6976152A"/>
    <w:rsid w:val="69E8AEE7"/>
    <w:rsid w:val="6A53C718"/>
    <w:rsid w:val="6AB9F300"/>
    <w:rsid w:val="6B439F9C"/>
    <w:rsid w:val="6B66F4B4"/>
    <w:rsid w:val="6B8EA4C6"/>
    <w:rsid w:val="6BB52D86"/>
    <w:rsid w:val="6BC4E981"/>
    <w:rsid w:val="6C327A83"/>
    <w:rsid w:val="6C3F6CDE"/>
    <w:rsid w:val="6C96E83B"/>
    <w:rsid w:val="6D759F79"/>
    <w:rsid w:val="6DB0BDA7"/>
    <w:rsid w:val="6DD1D704"/>
    <w:rsid w:val="6E589572"/>
    <w:rsid w:val="6ED36A54"/>
    <w:rsid w:val="6F2D3F0B"/>
    <w:rsid w:val="6FBC3E10"/>
    <w:rsid w:val="70459331"/>
    <w:rsid w:val="70C074B9"/>
    <w:rsid w:val="70EAC662"/>
    <w:rsid w:val="7131728F"/>
    <w:rsid w:val="71B68307"/>
    <w:rsid w:val="72508E5C"/>
    <w:rsid w:val="7289CD53"/>
    <w:rsid w:val="73AE71F3"/>
    <w:rsid w:val="73C183E2"/>
    <w:rsid w:val="73F4B52D"/>
    <w:rsid w:val="74A6AA20"/>
    <w:rsid w:val="77986B02"/>
    <w:rsid w:val="77CD894E"/>
    <w:rsid w:val="78480EEA"/>
    <w:rsid w:val="790AF6C5"/>
    <w:rsid w:val="7939B323"/>
    <w:rsid w:val="7949FA94"/>
    <w:rsid w:val="795830B5"/>
    <w:rsid w:val="79A4B169"/>
    <w:rsid w:val="7A775E79"/>
    <w:rsid w:val="7D86F5CA"/>
    <w:rsid w:val="7D9FDDFF"/>
    <w:rsid w:val="7EE1F9F1"/>
    <w:rsid w:val="7F714A73"/>
    <w:rsid w:val="7FC17C0D"/>
    <w:rsid w:val="7FEAF6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7CBC47A9-9423-4F65-B6D9-5F7C7B0FF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B6080"/>
    <w:pPr>
      <w:spacing w:after="120" w:line="242" w:lineRule="auto"/>
      <w:jc w:val="both"/>
    </w:pPr>
    <w:rPr>
      <w:rFonts w:ascii="Lato" w:hAnsi="Lato" w:eastAsiaTheme="minorHAnsi"/>
      <w:color w:val="000000" w:themeColor="text1"/>
      <w:szCs w:val="19"/>
      <w:lang w:eastAsia="en-US"/>
    </w:rPr>
  </w:style>
  <w:style w:type="paragraph" w:styleId="Heading1">
    <w:name w:val="heading 1"/>
    <w:basedOn w:val="Normal"/>
    <w:next w:val="Normal"/>
    <w:link w:val="Heading1Char"/>
    <w:uiPriority w:val="9"/>
    <w:rsid w:val="00B776D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rsid w:val="002C676C"/>
    <w:pPr>
      <w:keepNext/>
      <w:keepLines/>
      <w:spacing w:before="40" w:after="0" w:line="360" w:lineRule="auto"/>
      <w:outlineLvl w:val="1"/>
    </w:pPr>
    <w:rPr>
      <w:rFonts w:ascii="Arial" w:hAnsi="Arial" w:cs="Arial" w:eastAsiaTheme="majorEastAsia"/>
      <w:b/>
      <w:sz w:val="26"/>
      <w:szCs w:val="26"/>
    </w:rPr>
  </w:style>
  <w:style w:type="paragraph" w:styleId="Heading3">
    <w:name w:val="heading 3"/>
    <w:basedOn w:val="Normal"/>
    <w:next w:val="Normal"/>
    <w:link w:val="Heading3Char"/>
    <w:uiPriority w:val="9"/>
    <w:unhideWhenUsed/>
    <w:rsid w:val="00D5491D"/>
    <w:pPr>
      <w:keepNext/>
      <w:keepLines/>
      <w:spacing w:before="40" w:after="0"/>
      <w:outlineLvl w:val="2"/>
    </w:pPr>
    <w:rPr>
      <w:rFonts w:eastAsiaTheme="majorEastAsia" w:cstheme="majorBidi"/>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56FF3"/>
    <w:pPr>
      <w:spacing w:after="0" w:line="240" w:lineRule="auto"/>
    </w:pPr>
    <w:rPr>
      <w:rFonts w:eastAsiaTheme="minorHAnsi"/>
      <w:sz w:val="24"/>
      <w:szCs w:val="24"/>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D56FF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56FF3"/>
    <w:rPr>
      <w:rFonts w:ascii="Verdana" w:hAnsi="Verdana" w:eastAsiaTheme="minorHAnsi"/>
      <w:color w:val="000000" w:themeColor="text1"/>
      <w:sz w:val="20"/>
      <w:szCs w:val="20"/>
      <w:lang w:eastAsia="en-US"/>
    </w:rPr>
  </w:style>
  <w:style w:type="paragraph" w:styleId="ListParagraph">
    <w:name w:val="List Paragraph"/>
    <w:basedOn w:val="Normal"/>
    <w:uiPriority w:val="34"/>
    <w:rsid w:val="009F41DB"/>
    <w:pPr>
      <w:ind w:left="720"/>
      <w:contextualSpacing/>
    </w:pPr>
    <w:rPr>
      <w:rFonts w:ascii="Verdana" w:hAnsi="Verdana"/>
      <w:sz w:val="19"/>
    </w:rPr>
  </w:style>
  <w:style w:type="character" w:styleId="CommentReference">
    <w:name w:val="Comment Reference"/>
    <w:aliases w:val="-H18,Kommentarzeichen"/>
    <w:basedOn w:val="DefaultParagraphFont"/>
    <w:uiPriority w:val="99"/>
    <w:unhideWhenUsed/>
    <w:rsid w:val="00D56FF3"/>
    <w:rPr>
      <w:sz w:val="16"/>
      <w:szCs w:val="16"/>
    </w:rPr>
  </w:style>
  <w:style w:type="paragraph" w:styleId="Bulletlist" w:customStyle="1">
    <w:name w:val="Bullet list"/>
    <w:basedOn w:val="ListParagraph"/>
    <w:autoRedefine/>
    <w:qFormat/>
    <w:rsid w:val="00A15C80"/>
    <w:pPr>
      <w:numPr>
        <w:numId w:val="23"/>
      </w:numPr>
      <w:spacing w:after="0" w:line="240" w:lineRule="auto"/>
      <w:contextualSpacing w:val="0"/>
    </w:pPr>
    <w:rPr>
      <w:rFonts w:ascii="Rethink Sans" w:hAnsi="Rethink Sans"/>
      <w:color w:val="000E56"/>
      <w:sz w:val="22"/>
      <w:szCs w:val="20"/>
      <w:lang w:val="fr-FR"/>
    </w:rPr>
  </w:style>
  <w:style w:type="character" w:styleId="Heading2Char" w:customStyle="1">
    <w:name w:val="Heading 2 Char"/>
    <w:basedOn w:val="DefaultParagraphFont"/>
    <w:link w:val="Heading2"/>
    <w:uiPriority w:val="9"/>
    <w:rsid w:val="002C676C"/>
    <w:rPr>
      <w:rFonts w:ascii="Arial" w:hAnsi="Arial" w:cs="Arial" w:eastAsiaTheme="majorEastAsia"/>
      <w:b/>
      <w:color w:val="000000" w:themeColor="text1"/>
      <w:sz w:val="26"/>
      <w:szCs w:val="26"/>
      <w:lang w:eastAsia="en-US"/>
    </w:rPr>
  </w:style>
  <w:style w:type="character" w:styleId="Heading3Char" w:customStyle="1">
    <w:name w:val="Heading 3 Char"/>
    <w:basedOn w:val="DefaultParagraphFont"/>
    <w:link w:val="Heading3"/>
    <w:uiPriority w:val="9"/>
    <w:rsid w:val="00D5491D"/>
    <w:rPr>
      <w:rFonts w:ascii="Lato" w:hAnsi="Lato" w:eastAsiaTheme="majorEastAsia" w:cstheme="majorBidi"/>
      <w:b/>
      <w:color w:val="000000" w:themeColor="text1"/>
      <w:sz w:val="24"/>
      <w:szCs w:val="24"/>
      <w:lang w:eastAsia="en-US"/>
    </w:rPr>
  </w:style>
  <w:style w:type="character" w:styleId="Heading1Char" w:customStyle="1">
    <w:name w:val="Heading 1 Char"/>
    <w:basedOn w:val="DefaultParagraphFont"/>
    <w:link w:val="Heading1"/>
    <w:uiPriority w:val="9"/>
    <w:rsid w:val="00B776D1"/>
    <w:rPr>
      <w:rFonts w:ascii="Lato" w:hAnsi="Lato" w:eastAsiaTheme="majorEastAsia" w:cstheme="majorBidi"/>
      <w:b/>
      <w:color w:val="000000" w:themeColor="text1"/>
      <w:sz w:val="32"/>
      <w:szCs w:val="32"/>
      <w:lang w:eastAsia="en-US"/>
    </w:rPr>
  </w:style>
  <w:style w:type="character" w:styleId="Hyperlink">
    <w:name w:val="Hyperlink"/>
    <w:basedOn w:val="DefaultParagraphFont"/>
    <w:uiPriority w:val="99"/>
    <w:unhideWhenUsed/>
    <w:rsid w:val="00D56FF3"/>
    <w:rPr>
      <w:color w:val="BDDFFC" w:themeColor="hyperlink"/>
      <w:u w:val="single"/>
    </w:rPr>
  </w:style>
  <w:style w:type="paragraph" w:styleId="Header">
    <w:name w:val="header"/>
    <w:basedOn w:val="Normal"/>
    <w:link w:val="HeaderChar"/>
    <w:uiPriority w:val="99"/>
    <w:unhideWhenUsed/>
    <w:rsid w:val="004260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609C"/>
    <w:rPr>
      <w:rFonts w:ascii="Verdana" w:hAnsi="Verdana" w:eastAsiaTheme="minorHAnsi"/>
      <w:color w:val="000000" w:themeColor="text1"/>
      <w:sz w:val="19"/>
      <w:szCs w:val="19"/>
      <w:lang w:eastAsia="en-US"/>
    </w:rPr>
  </w:style>
  <w:style w:type="paragraph" w:styleId="Footer">
    <w:name w:val="footer"/>
    <w:basedOn w:val="Normal"/>
    <w:link w:val="FooterChar"/>
    <w:uiPriority w:val="99"/>
    <w:unhideWhenUsed/>
    <w:rsid w:val="004260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609C"/>
    <w:rPr>
      <w:rFonts w:ascii="Verdana" w:hAnsi="Verdana" w:eastAsiaTheme="minorHAnsi"/>
      <w:color w:val="000000" w:themeColor="text1"/>
      <w:sz w:val="19"/>
      <w:szCs w:val="19"/>
      <w:lang w:eastAsia="en-US"/>
    </w:rPr>
  </w:style>
  <w:style w:type="character" w:styleId="UnresolvedMention">
    <w:name w:val="Unresolved Mention"/>
    <w:basedOn w:val="DefaultParagraphFont"/>
    <w:uiPriority w:val="99"/>
    <w:semiHidden/>
    <w:unhideWhenUsed/>
    <w:rsid w:val="00820F1D"/>
    <w:rPr>
      <w:color w:val="605E5C"/>
      <w:shd w:val="clear" w:color="auto" w:fill="E1DFDD"/>
    </w:rPr>
  </w:style>
  <w:style w:type="paragraph" w:styleId="Revision">
    <w:name w:val="Revision"/>
    <w:hidden/>
    <w:uiPriority w:val="99"/>
    <w:semiHidden/>
    <w:rsid w:val="0014480B"/>
    <w:pPr>
      <w:spacing w:after="0" w:line="240" w:lineRule="auto"/>
    </w:pPr>
    <w:rPr>
      <w:rFonts w:ascii="Verdana" w:hAnsi="Verdana" w:eastAsiaTheme="minorHAnsi"/>
      <w:color w:val="000000" w:themeColor="text1"/>
      <w:sz w:val="19"/>
      <w:szCs w:val="19"/>
      <w:lang w:eastAsia="en-US"/>
    </w:rPr>
  </w:style>
  <w:style w:type="character" w:styleId="Mention">
    <w:name w:val="Mention"/>
    <w:basedOn w:val="DefaultParagraphFont"/>
    <w:uiPriority w:val="99"/>
    <w:unhideWhenUsed/>
    <w:rsid w:val="00A70855"/>
    <w:rPr>
      <w:color w:val="2B579A"/>
      <w:shd w:val="clear" w:color="auto" w:fill="E1DFDD"/>
    </w:rPr>
  </w:style>
  <w:style w:type="character" w:styleId="PageNumber">
    <w:name w:val="page number"/>
    <w:basedOn w:val="DefaultParagraphFont"/>
    <w:uiPriority w:val="99"/>
    <w:semiHidden/>
    <w:unhideWhenUsed/>
    <w:rsid w:val="00D04A0A"/>
  </w:style>
  <w:style w:type="paragraph" w:styleId="NormalWeb">
    <w:name w:val="Normal (Web)"/>
    <w:basedOn w:val="Normal"/>
    <w:uiPriority w:val="99"/>
    <w:semiHidden/>
    <w:unhideWhenUsed/>
    <w:rsid w:val="001B0A3F"/>
    <w:rPr>
      <w:rFonts w:ascii="Times New Roman" w:hAnsi="Times New Roman" w:cs="Times New Roman"/>
      <w:sz w:val="24"/>
      <w:szCs w:val="24"/>
    </w:rPr>
  </w:style>
  <w:style w:type="paragraph" w:styleId="Importantparagraph" w:customStyle="1">
    <w:name w:val="Important paragraph"/>
    <w:basedOn w:val="Normal"/>
    <w:link w:val="ImportantparagraphCar"/>
    <w:autoRedefine/>
    <w:qFormat/>
    <w:rsid w:val="0023470D"/>
    <w:pPr>
      <w:framePr w:hSpace="141" w:wrap="around" w:hAnchor="margin" w:vAnchor="text" w:y="147"/>
      <w:spacing w:after="0" w:line="240" w:lineRule="auto"/>
      <w:jc w:val="right"/>
    </w:pPr>
    <w:rPr>
      <w:rFonts w:ascii="Rethink Sans" w:hAnsi="Rethink Sans"/>
      <w:b/>
      <w:bCs/>
      <w:color w:val="000E56"/>
      <w:sz w:val="28"/>
      <w:szCs w:val="28"/>
      <w:lang w:val="en-US"/>
    </w:rPr>
  </w:style>
  <w:style w:type="paragraph" w:styleId="Bodycontenttext" w:customStyle="1">
    <w:name w:val="Body content text"/>
    <w:basedOn w:val="Normal"/>
    <w:autoRedefine/>
    <w:qFormat/>
    <w:rsid w:val="004358AF"/>
    <w:pPr>
      <w:snapToGrid w:val="0"/>
      <w:spacing w:after="0" w:line="240" w:lineRule="auto"/>
      <w:contextualSpacing/>
      <w:jc w:val="left"/>
    </w:pPr>
    <w:rPr>
      <w:rFonts w:ascii="Rethink Sans" w:hAnsi="Rethink Sans" w:cs="Arial"/>
      <w:color w:val="000E56" w:themeColor="background2"/>
      <w:sz w:val="20"/>
      <w:szCs w:val="20"/>
      <w:shd w:val="clear" w:color="auto" w:fill="FFFFFF"/>
    </w:rPr>
  </w:style>
  <w:style w:type="paragraph" w:styleId="DateANNOUCEMENT" w:customStyle="1">
    <w:name w:val="Date_ANNOUCEMENT"/>
    <w:basedOn w:val="Header"/>
    <w:link w:val="DateANNOUCEMENTCar"/>
    <w:autoRedefine/>
    <w:qFormat/>
    <w:rsid w:val="00766DB8"/>
    <w:rPr>
      <w:rFonts w:ascii="Rethink Sans" w:hAnsi="Rethink Sans"/>
      <w:b/>
      <w:bCs/>
      <w:color w:val="000E56" w:themeColor="background2"/>
      <w:sz w:val="24"/>
      <w:szCs w:val="24"/>
      <w:lang w:val="fr-FR"/>
    </w:rPr>
  </w:style>
  <w:style w:type="character" w:styleId="DateANNOUCEMENTCar" w:customStyle="1">
    <w:name w:val="Date_ANNOUCEMENT Car"/>
    <w:basedOn w:val="HeaderChar"/>
    <w:link w:val="DateANNOUCEMENT"/>
    <w:rsid w:val="00766DB8"/>
    <w:rPr>
      <w:rFonts w:ascii="Rethink Sans" w:hAnsi="Rethink Sans" w:eastAsiaTheme="minorHAnsi"/>
      <w:b/>
      <w:bCs/>
      <w:color w:val="000E56" w:themeColor="background2"/>
      <w:sz w:val="24"/>
      <w:szCs w:val="24"/>
      <w:lang w:val="fr-FR" w:eastAsia="en-US"/>
    </w:rPr>
  </w:style>
  <w:style w:type="character" w:styleId="ImportantparagraphCar" w:customStyle="1">
    <w:name w:val="Important paragraph Car"/>
    <w:basedOn w:val="DefaultParagraphFont"/>
    <w:link w:val="Importantparagraph"/>
    <w:rsid w:val="0023470D"/>
    <w:rPr>
      <w:rFonts w:ascii="Rethink Sans" w:hAnsi="Rethink Sans" w:eastAsiaTheme="minorHAnsi"/>
      <w:b/>
      <w:bCs/>
      <w:color w:val="000E56"/>
      <w:sz w:val="28"/>
      <w:szCs w:val="28"/>
      <w:lang w:val="en-US" w:eastAsia="en-US"/>
    </w:rPr>
  </w:style>
  <w:style w:type="paragraph" w:styleId="ANNONCE" w:customStyle="1">
    <w:name w:val="ANNONCE"/>
    <w:basedOn w:val="Normal"/>
    <w:autoRedefine/>
    <w:rsid w:val="0030032F"/>
    <w:pPr>
      <w:spacing w:after="0" w:line="240" w:lineRule="auto"/>
      <w:jc w:val="left"/>
    </w:pPr>
    <w:rPr>
      <w:rFonts w:ascii="Rethink Sans" w:hAnsi="Rethink Sans"/>
      <w:b/>
      <w:bCs/>
      <w:color w:val="000E56" w:themeColor="background2"/>
      <w:sz w:val="56"/>
      <w:szCs w:val="56"/>
      <w:lang w:val="fr-FR"/>
    </w:rPr>
  </w:style>
  <w:style w:type="paragraph" w:styleId="Department" w:customStyle="1">
    <w:name w:val="[Department]"/>
    <w:basedOn w:val="Normal"/>
    <w:autoRedefine/>
    <w:rsid w:val="00FB3062"/>
    <w:pPr>
      <w:spacing w:after="0" w:line="240" w:lineRule="auto"/>
      <w:jc w:val="left"/>
    </w:pPr>
    <w:rPr>
      <w:rFonts w:ascii="Rethink Sans" w:hAnsi="Rethink Sans"/>
      <w:b/>
      <w:bCs/>
      <w:color w:val="6EC4FF" w:themeColor="text2"/>
      <w:sz w:val="28"/>
      <w:szCs w:val="28"/>
      <w:lang w:val="fr-FR"/>
    </w:rPr>
  </w:style>
  <w:style w:type="paragraph" w:styleId="CommentText">
    <w:name w:val="Comment Text"/>
    <w:basedOn w:val="Normal"/>
    <w:link w:val="CommentTextChar"/>
    <w:uiPriority w:val="99"/>
    <w:unhideWhenUsed/>
    <w:rsid w:val="00087AAB"/>
    <w:pPr>
      <w:spacing w:line="240" w:lineRule="auto"/>
    </w:pPr>
    <w:rPr>
      <w:sz w:val="20"/>
      <w:szCs w:val="20"/>
    </w:rPr>
  </w:style>
  <w:style w:type="character" w:styleId="CommentTextChar" w:customStyle="1">
    <w:name w:val="Comment Text Char"/>
    <w:basedOn w:val="DefaultParagraphFont"/>
    <w:link w:val="CommentText"/>
    <w:uiPriority w:val="99"/>
    <w:rsid w:val="00087AAB"/>
    <w:rPr>
      <w:rFonts w:ascii="Lato" w:hAnsi="Lato" w:eastAsiaTheme="minorHAnsi"/>
      <w:color w:val="000000" w:themeColor="text1"/>
      <w:sz w:val="20"/>
      <w:szCs w:val="20"/>
      <w:lang w:eastAsia="en-US"/>
    </w:rPr>
  </w:style>
  <w:style w:type="paragraph" w:styleId="CommentSubject">
    <w:name w:val="Comment Subject"/>
    <w:basedOn w:val="CommentText"/>
    <w:next w:val="CommentText"/>
    <w:link w:val="CommentSubjectChar"/>
    <w:uiPriority w:val="99"/>
    <w:semiHidden/>
    <w:unhideWhenUsed/>
    <w:rsid w:val="00087AAB"/>
    <w:rPr>
      <w:b/>
      <w:bCs/>
    </w:rPr>
  </w:style>
  <w:style w:type="character" w:styleId="CommentSubjectChar" w:customStyle="1">
    <w:name w:val="Comment Subject Char"/>
    <w:basedOn w:val="CommentTextChar"/>
    <w:link w:val="CommentSubject"/>
    <w:uiPriority w:val="99"/>
    <w:semiHidden/>
    <w:rsid w:val="00087AAB"/>
    <w:rPr>
      <w:rFonts w:ascii="Lato" w:hAnsi="Lato" w:eastAsiaTheme="minorHAnsi"/>
      <w:b/>
      <w:bCs/>
      <w:color w:val="000000" w:themeColor="text1"/>
      <w:sz w:val="20"/>
      <w:szCs w:val="20"/>
      <w:lang w:eastAsia="en-US"/>
    </w:rPr>
  </w:style>
  <w:style w:type="character" w:styleId="FootnoteReference">
    <w:name w:val="footnote reference"/>
    <w:basedOn w:val="DefaultParagraphFont"/>
    <w:uiPriority w:val="99"/>
    <w:semiHidden/>
    <w:unhideWhenUsed/>
    <w:rsid w:val="00722EF7"/>
    <w:rPr>
      <w:vertAlign w:val="superscript"/>
    </w:rPr>
  </w:style>
  <w:style w:type="paragraph" w:styleId="BodyText">
    <w:name w:val="Body Text"/>
    <w:basedOn w:val="Normal"/>
    <w:link w:val="BodyTextChar"/>
    <w:qFormat/>
    <w:rsid w:val="00792E71"/>
    <w:pPr>
      <w:spacing w:after="240" w:line="240" w:lineRule="auto"/>
    </w:pPr>
    <w:rPr>
      <w:rFonts w:ascii="Times New Roman" w:hAnsi="Times New Roman" w:eastAsia="Times New Roman" w:cs="Times New Roman"/>
      <w:color w:val="auto"/>
      <w:sz w:val="24"/>
      <w:szCs w:val="24"/>
    </w:rPr>
  </w:style>
  <w:style w:type="character" w:styleId="BodyTextChar" w:customStyle="1">
    <w:name w:val="Body Text Char"/>
    <w:basedOn w:val="DefaultParagraphFont"/>
    <w:link w:val="BodyText"/>
    <w:rsid w:val="00792E71"/>
    <w:rPr>
      <w:rFonts w:ascii="Times New Roman" w:hAnsi="Times New Roman" w:eastAsia="Times New Roman" w:cs="Times New Roman"/>
      <w:sz w:val="24"/>
      <w:szCs w:val="24"/>
      <w:lang w:eastAsia="en-US"/>
    </w:rPr>
  </w:style>
  <w:style w:type="paragraph" w:styleId="Default" w:customStyle="1">
    <w:name w:val="Default"/>
    <w:rsid w:val="00792E71"/>
    <w:pPr>
      <w:autoSpaceDE w:val="0"/>
      <w:autoSpaceDN w:val="0"/>
      <w:adjustRightInd w:val="0"/>
      <w:spacing w:after="0" w:line="240" w:lineRule="auto"/>
    </w:pPr>
    <w:rPr>
      <w:rFonts w:ascii="Arial" w:hAnsi="Arial" w:cs="Arial" w:eastAsiaTheme="minorHAnsi"/>
      <w:color w:val="000000"/>
      <w:sz w:val="24"/>
      <w:szCs w:val="24"/>
      <w:lang w:eastAsia="en-US"/>
    </w:rPr>
  </w:style>
  <w:style w:type="paragraph" w:styleId="Caption">
    <w:name w:val="caption"/>
    <w:aliases w:val="- H17,Bayer Caption,IB Caption,Medical Caption,Caption Char Char Char Char,Caption Char Char Char,Caption Char Char Char Char Char,Caption Char Char Char Char1 Char Char,Caption Char Char Char Char Char Char,Caption Char1,Caption Char Char,Char1"/>
    <w:basedOn w:val="Normal"/>
    <w:next w:val="Normal"/>
    <w:link w:val="CaptionChar"/>
    <w:uiPriority w:val="35"/>
    <w:unhideWhenUsed/>
    <w:qFormat/>
    <w:rsid w:val="00DE49AA"/>
    <w:pPr>
      <w:spacing w:after="200" w:line="240" w:lineRule="auto"/>
    </w:pPr>
    <w:rPr>
      <w:i/>
      <w:iCs/>
      <w:color w:val="6EC4FF" w:themeColor="text2"/>
      <w:sz w:val="18"/>
      <w:szCs w:val="18"/>
    </w:rPr>
  </w:style>
  <w:style w:type="paragraph" w:styleId="Footnotes" w:customStyle="1">
    <w:name w:val="Footnotes"/>
    <w:basedOn w:val="Normal"/>
    <w:link w:val="FootnotesChar"/>
    <w:qFormat/>
    <w:rsid w:val="000C6914"/>
    <w:pPr>
      <w:keepLines/>
      <w:spacing w:before="40" w:after="240" w:line="240" w:lineRule="auto"/>
      <w:contextualSpacing/>
      <w:jc w:val="left"/>
    </w:pPr>
    <w:rPr>
      <w:rFonts w:ascii="Arial" w:hAnsi="Arial" w:eastAsia="Times New Roman" w:cs="Times New Roman"/>
      <w:color w:val="1F497D"/>
      <w:sz w:val="18"/>
      <w:szCs w:val="20"/>
    </w:rPr>
  </w:style>
  <w:style w:type="character" w:styleId="FootnotesChar" w:customStyle="1">
    <w:name w:val="Footnotes Char"/>
    <w:basedOn w:val="DefaultParagraphFont"/>
    <w:link w:val="Footnotes"/>
    <w:locked/>
    <w:rsid w:val="000C6914"/>
    <w:rPr>
      <w:rFonts w:ascii="Arial" w:hAnsi="Arial" w:eastAsia="Times New Roman" w:cs="Times New Roman"/>
      <w:color w:val="1F497D"/>
      <w:sz w:val="18"/>
      <w:szCs w:val="20"/>
      <w:lang w:eastAsia="en-US"/>
    </w:rPr>
  </w:style>
  <w:style w:type="character" w:styleId="CiC" w:customStyle="1">
    <w:name w:val="CiC"/>
    <w:uiPriority w:val="1"/>
    <w:qFormat/>
    <w:rsid w:val="00167D6E"/>
    <w:rPr>
      <w:u w:val="single"/>
      <w:bdr w:val="none" w:color="auto" w:sz="0" w:space="0"/>
      <w:shd w:val="clear" w:color="auto" w:fill="66FFFF"/>
    </w:rPr>
  </w:style>
  <w:style w:type="paragraph" w:styleId="TableHeadingLeft" w:customStyle="1">
    <w:name w:val="Table Heading (Left)"/>
    <w:basedOn w:val="Normal"/>
    <w:link w:val="TableHeadingLeftChar"/>
    <w:qFormat/>
    <w:rsid w:val="00167D6E"/>
    <w:pPr>
      <w:spacing w:before="40" w:after="40" w:line="240" w:lineRule="auto"/>
      <w:jc w:val="left"/>
    </w:pPr>
    <w:rPr>
      <w:rFonts w:ascii="Arial" w:hAnsi="Arial" w:eastAsia="SimSun" w:cs="Arial"/>
      <w:b/>
      <w:color w:val="1F497D"/>
      <w:sz w:val="21"/>
      <w:szCs w:val="21"/>
      <w:lang w:eastAsia="en-GB"/>
    </w:rPr>
  </w:style>
  <w:style w:type="character" w:styleId="TableHeadingLeftChar" w:customStyle="1">
    <w:name w:val="Table Heading (Left) Char"/>
    <w:link w:val="TableHeadingLeft"/>
    <w:rsid w:val="00167D6E"/>
    <w:rPr>
      <w:rFonts w:ascii="Arial" w:hAnsi="Arial" w:eastAsia="SimSun" w:cs="Arial"/>
      <w:b/>
      <w:color w:val="1F497D"/>
      <w:sz w:val="21"/>
      <w:szCs w:val="21"/>
      <w:lang w:eastAsia="en-GB"/>
    </w:rPr>
  </w:style>
  <w:style w:type="paragraph" w:styleId="TableTextCentred" w:customStyle="1">
    <w:name w:val="Table Text (Centred)"/>
    <w:basedOn w:val="Normal"/>
    <w:link w:val="TableTextCentredChar"/>
    <w:qFormat/>
    <w:rsid w:val="00167D6E"/>
    <w:pPr>
      <w:spacing w:before="40" w:after="40" w:line="240" w:lineRule="auto"/>
      <w:jc w:val="center"/>
    </w:pPr>
    <w:rPr>
      <w:rFonts w:ascii="Arial" w:hAnsi="Arial" w:eastAsia="SimSun" w:cs="Arial"/>
      <w:color w:val="1F497D"/>
      <w:sz w:val="20"/>
      <w:szCs w:val="20"/>
      <w:lang w:eastAsia="en-GB"/>
    </w:rPr>
  </w:style>
  <w:style w:type="character" w:styleId="TableTextCentredChar" w:customStyle="1">
    <w:name w:val="Table Text (Centred) Char"/>
    <w:basedOn w:val="DefaultParagraphFont"/>
    <w:link w:val="TableTextCentred"/>
    <w:rsid w:val="00167D6E"/>
    <w:rPr>
      <w:rFonts w:ascii="Arial" w:hAnsi="Arial" w:eastAsia="SimSun" w:cs="Arial"/>
      <w:color w:val="1F497D"/>
      <w:sz w:val="20"/>
      <w:szCs w:val="20"/>
      <w:lang w:eastAsia="en-GB"/>
    </w:rPr>
  </w:style>
  <w:style w:type="paragraph" w:styleId="TableHeadingCentred" w:customStyle="1">
    <w:name w:val="Table Heading (Centred)"/>
    <w:basedOn w:val="Normal"/>
    <w:link w:val="TableHeadingCentredChar"/>
    <w:qFormat/>
    <w:rsid w:val="00167D6E"/>
    <w:pPr>
      <w:spacing w:before="40" w:after="40" w:line="240" w:lineRule="auto"/>
      <w:jc w:val="center"/>
    </w:pPr>
    <w:rPr>
      <w:rFonts w:ascii="Arial" w:hAnsi="Arial" w:eastAsia="SimSun" w:cs="Arial"/>
      <w:b/>
      <w:color w:val="1F497D"/>
      <w:sz w:val="21"/>
      <w:szCs w:val="21"/>
      <w:lang w:eastAsia="en-GB"/>
    </w:rPr>
  </w:style>
  <w:style w:type="character" w:styleId="TableHeadingCentredChar" w:customStyle="1">
    <w:name w:val="Table Heading (Centred) Char"/>
    <w:basedOn w:val="DefaultParagraphFont"/>
    <w:link w:val="TableHeadingCentred"/>
    <w:locked/>
    <w:rsid w:val="00167D6E"/>
    <w:rPr>
      <w:rFonts w:ascii="Arial" w:hAnsi="Arial" w:eastAsia="SimSun" w:cs="Arial"/>
      <w:b/>
      <w:color w:val="1F497D"/>
      <w:sz w:val="21"/>
      <w:szCs w:val="21"/>
      <w:lang w:eastAsia="en-GB"/>
    </w:rPr>
  </w:style>
  <w:style w:type="character" w:styleId="eop" w:customStyle="1">
    <w:name w:val="eop"/>
    <w:basedOn w:val="DefaultParagraphFont"/>
    <w:rsid w:val="00167D6E"/>
  </w:style>
  <w:style w:type="paragraph" w:styleId="Captions" w:customStyle="1">
    <w:name w:val="Captions"/>
    <w:basedOn w:val="Normal"/>
    <w:qFormat/>
    <w:rsid w:val="00167D6E"/>
    <w:pPr>
      <w:keepNext/>
      <w:spacing w:before="40" w:after="0" w:line="240" w:lineRule="auto"/>
      <w:jc w:val="left"/>
    </w:pPr>
    <w:rPr>
      <w:rFonts w:ascii="Arial" w:hAnsi="Arial" w:eastAsia="Courier New" w:cs="Yu Mincho"/>
      <w:b/>
      <w:color w:val="1F497D"/>
      <w:sz w:val="21"/>
      <w:szCs w:val="21"/>
      <w:lang w:eastAsia="en-GB"/>
    </w:rPr>
  </w:style>
  <w:style w:type="character" w:styleId="CaptionChar" w:customStyle="1">
    <w:name w:val="Caption Char"/>
    <w:aliases w:val="- H17 Char,Bayer Caption Char,IB Caption Char,Medical Caption Char,Caption Char Char Char Char Char1,Caption Char Char Char Char1,Caption Char Char Char Char Char Char1,Caption Char Char Char Char1 Char Char Char,Caption Char1 Char"/>
    <w:link w:val="Caption"/>
    <w:rsid w:val="00BF0EDB"/>
    <w:rPr>
      <w:rFonts w:ascii="Lato" w:hAnsi="Lato" w:eastAsiaTheme="minorHAnsi"/>
      <w:i/>
      <w:iCs/>
      <w:color w:val="6EC4FF" w:themeColor="text2"/>
      <w:sz w:val="18"/>
      <w:szCs w:val="18"/>
      <w:lang w:eastAsia="en-US"/>
    </w:rPr>
  </w:style>
  <w:style w:type="paragraph" w:styleId="TableTextLeft" w:customStyle="1">
    <w:name w:val="Table Text (Left)"/>
    <w:basedOn w:val="Normal"/>
    <w:link w:val="TableTextLeftChar"/>
    <w:qFormat/>
    <w:rsid w:val="00BF0EDB"/>
    <w:pPr>
      <w:spacing w:before="40" w:after="40" w:line="240" w:lineRule="auto"/>
      <w:jc w:val="left"/>
    </w:pPr>
    <w:rPr>
      <w:rFonts w:ascii="Arial" w:hAnsi="Arial" w:eastAsia="SimSun" w:cs="Arial"/>
      <w:color w:val="1F497D"/>
      <w:sz w:val="20"/>
      <w:szCs w:val="20"/>
      <w:lang w:eastAsia="en-GB"/>
    </w:rPr>
  </w:style>
  <w:style w:type="character" w:styleId="TableTextLeftChar" w:customStyle="1">
    <w:name w:val="Table Text (Left) Char"/>
    <w:basedOn w:val="DefaultParagraphFont"/>
    <w:link w:val="TableTextLeft"/>
    <w:rsid w:val="00BF0EDB"/>
    <w:rPr>
      <w:rFonts w:ascii="Arial" w:hAnsi="Arial" w:eastAsia="SimSun" w:cs="Arial"/>
      <w:color w:val="1F497D"/>
      <w:sz w:val="20"/>
      <w:szCs w:val="20"/>
      <w:lang w:eastAsia="en-GB"/>
    </w:rPr>
  </w:style>
  <w:style w:type="character" w:styleId="Noredaction" w:customStyle="1">
    <w:name w:val="No redaction"/>
    <w:uiPriority w:val="1"/>
    <w:qFormat/>
    <w:rsid w:val="00BF0EDB"/>
    <w:rPr>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268">
      <w:bodyDiv w:val="1"/>
      <w:marLeft w:val="0"/>
      <w:marRight w:val="0"/>
      <w:marTop w:val="0"/>
      <w:marBottom w:val="0"/>
      <w:divBdr>
        <w:top w:val="none" w:sz="0" w:space="0" w:color="auto"/>
        <w:left w:val="none" w:sz="0" w:space="0" w:color="auto"/>
        <w:bottom w:val="none" w:sz="0" w:space="0" w:color="auto"/>
        <w:right w:val="none" w:sz="0" w:space="0" w:color="auto"/>
      </w:divBdr>
    </w:div>
    <w:div w:id="853880910">
      <w:bodyDiv w:val="1"/>
      <w:marLeft w:val="0"/>
      <w:marRight w:val="0"/>
      <w:marTop w:val="0"/>
      <w:marBottom w:val="0"/>
      <w:divBdr>
        <w:top w:val="none" w:sz="0" w:space="0" w:color="auto"/>
        <w:left w:val="none" w:sz="0" w:space="0" w:color="auto"/>
        <w:bottom w:val="none" w:sz="0" w:space="0" w:color="auto"/>
        <w:right w:val="none" w:sz="0" w:space="0" w:color="auto"/>
      </w:divBdr>
    </w:div>
    <w:div w:id="956833216">
      <w:bodyDiv w:val="1"/>
      <w:marLeft w:val="0"/>
      <w:marRight w:val="0"/>
      <w:marTop w:val="0"/>
      <w:marBottom w:val="0"/>
      <w:divBdr>
        <w:top w:val="none" w:sz="0" w:space="0" w:color="auto"/>
        <w:left w:val="none" w:sz="0" w:space="0" w:color="auto"/>
        <w:bottom w:val="none" w:sz="0" w:space="0" w:color="auto"/>
        <w:right w:val="none" w:sz="0" w:space="0" w:color="auto"/>
      </w:divBdr>
    </w:div>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272513030">
      <w:bodyDiv w:val="1"/>
      <w:marLeft w:val="0"/>
      <w:marRight w:val="0"/>
      <w:marTop w:val="0"/>
      <w:marBottom w:val="0"/>
      <w:divBdr>
        <w:top w:val="none" w:sz="0" w:space="0" w:color="auto"/>
        <w:left w:val="none" w:sz="0" w:space="0" w:color="auto"/>
        <w:bottom w:val="none" w:sz="0" w:space="0" w:color="auto"/>
        <w:right w:val="none" w:sz="0" w:space="0" w:color="auto"/>
      </w:divBdr>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202506-Ipsen-Brand-Refresh-FINAL">
  <a:themeElements>
    <a:clrScheme name="202506_Ipsen-brand-refresh_FINAL">
      <a:dk1>
        <a:srgbClr val="000000"/>
      </a:dk1>
      <a:lt1>
        <a:srgbClr val="FFFFFF"/>
      </a:lt1>
      <a:dk2>
        <a:srgbClr val="6EC4FF"/>
      </a:dk2>
      <a:lt2>
        <a:srgbClr val="000E56"/>
      </a:lt2>
      <a:accent1>
        <a:srgbClr val="EDEBE3"/>
      </a:accent1>
      <a:accent2>
        <a:srgbClr val="061F80"/>
      </a:accent2>
      <a:accent3>
        <a:srgbClr val="153F99"/>
      </a:accent3>
      <a:accent4>
        <a:srgbClr val="1E59B2"/>
      </a:accent4>
      <a:accent5>
        <a:srgbClr val="3286D6"/>
      </a:accent5>
      <a:accent6>
        <a:srgbClr val="50AAF8"/>
      </a:accent6>
      <a:hlink>
        <a:srgbClr val="BDDFFC"/>
      </a:hlink>
      <a:folHlink>
        <a:srgbClr val="000000"/>
      </a:folHlink>
    </a:clrScheme>
    <a:fontScheme name="Rethink Sans - Rethink Sans">
      <a:majorFont>
        <a:latin typeface="Rethink Sans"/>
        <a:ea typeface=""/>
        <a:cs typeface=""/>
      </a:majorFont>
      <a:minorFont>
        <a:latin typeface="Rethin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custClr name="Dark Blue">
      <a:srgbClr val="030D55"/>
    </a:custClr>
    <a:custClr name="Dark Blue 85%">
      <a:srgbClr val="001E80"/>
    </a:custClr>
    <a:custClr name="Dark Blue 75%">
      <a:srgbClr val="143E98"/>
    </a:custClr>
    <a:custClr name="Dark Blue 50%">
      <a:srgbClr val="1E5AB2"/>
    </a:custClr>
    <a:custClr name="Dark Blue 35%">
      <a:srgbClr val="3286D6"/>
    </a:custClr>
    <a:custClr name="Dark Blue 20%">
      <a:srgbClr val="50AAF8"/>
    </a:custClr>
    <a:custClr name="Blue">
      <a:srgbClr val="6EC4FF"/>
    </a:custClr>
    <a:custClr name="Beige">
      <a:srgbClr val="EDEBE4"/>
    </a:custClr>
  </a:custClrLst>
  <a:extLst>
    <a:ext uri="{05A4C25C-085E-4340-85A3-A5531E510DB2}">
      <thm15:themeFamily xmlns:thm15="http://schemas.microsoft.com/office/thememl/2012/main" name="202506-Ipsen-Brand-Refresh-FINAL" id="{E85FA161-02FE-C547-A039-38A8BB2D033C}" vid="{34A556F5-50F8-7B4A-8FA5-1E82EEB2B4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7062-05F1-41AF-9904-D1F2BBD1C447}">
  <ds:schemaRefs>
    <ds:schemaRef ds:uri="http://schemas.microsoft.com/sharepoint/v3/contenttype/forms"/>
  </ds:schemaRefs>
</ds:datastoreItem>
</file>

<file path=customXml/itemProps2.xml><?xml version="1.0" encoding="utf-8"?>
<ds:datastoreItem xmlns:ds="http://schemas.openxmlformats.org/officeDocument/2006/customXml" ds:itemID="{840A3CE9-CF89-480B-BDF9-29E59F060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4.xml><?xml version="1.0" encoding="utf-8"?>
<ds:datastoreItem xmlns:ds="http://schemas.openxmlformats.org/officeDocument/2006/customXml" ds:itemID="{FDBBF888-362C-4E39-BF7D-300F79166C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Orban HOLDGATE</dc:creator>
  <keywords/>
  <dc:description/>
  <lastModifiedBy>Leah Murphy</lastModifiedBy>
  <revision>9</revision>
  <lastPrinted>2026-04-28T03:18:00.0000000Z</lastPrinted>
  <dcterms:created xsi:type="dcterms:W3CDTF">2026-06-10T10:43:00.0000000Z</dcterms:created>
  <dcterms:modified xsi:type="dcterms:W3CDTF">2026-06-11T11:37:00.3265339Z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d0cb5bfc-9a8b-42d8-8a45-c6b26c083325_Enabled">
    <vt:lpwstr>true</vt:lpwstr>
  </property>
  <property fmtid="{D5CDD505-2E9C-101B-9397-08002B2CF9AE}" pid="5" name="MSIP_Label_d0cb5bfc-9a8b-42d8-8a45-c6b26c083325_SetDate">
    <vt:lpwstr>2026-04-29T08:22:04Z</vt:lpwstr>
  </property>
  <property fmtid="{D5CDD505-2E9C-101B-9397-08002B2CF9AE}" pid="6" name="MSIP_Label_d0cb5bfc-9a8b-42d8-8a45-c6b26c083325_Method">
    <vt:lpwstr>Privileged</vt:lpwstr>
  </property>
  <property fmtid="{D5CDD505-2E9C-101B-9397-08002B2CF9AE}" pid="7" name="MSIP_Label_d0cb5bfc-9a8b-42d8-8a45-c6b26c083325_Name">
    <vt:lpwstr>Ipsen Confidential</vt:lpwstr>
  </property>
  <property fmtid="{D5CDD505-2E9C-101B-9397-08002B2CF9AE}" pid="8" name="MSIP_Label_d0cb5bfc-9a8b-42d8-8a45-c6b26c083325_SiteId">
    <vt:lpwstr>9e776b6a-a6cc-4faf-a054-a502153beb01</vt:lpwstr>
  </property>
  <property fmtid="{D5CDD505-2E9C-101B-9397-08002B2CF9AE}" pid="9" name="MSIP_Label_d0cb5bfc-9a8b-42d8-8a45-c6b26c083325_ActionId">
    <vt:lpwstr>120d11ae-73fc-4874-b8b4-7edf57c4c92f</vt:lpwstr>
  </property>
  <property fmtid="{D5CDD505-2E9C-101B-9397-08002B2CF9AE}" pid="10" name="MSIP_Label_d0cb5bfc-9a8b-42d8-8a45-c6b26c083325_ContentBits">
    <vt:lpwstr>2</vt:lpwstr>
  </property>
  <property fmtid="{D5CDD505-2E9C-101B-9397-08002B2CF9AE}" pid="11" name="MSIP_Label_d0cb5bfc-9a8b-42d8-8a45-c6b26c083325_Tag">
    <vt:lpwstr>10, 0, 1, 1</vt:lpwstr>
  </property>
  <property fmtid="{D5CDD505-2E9C-101B-9397-08002B2CF9AE}" pid="12" name="docLang">
    <vt:lpwstr>en</vt:lpwstr>
  </property>
  <property fmtid="{D5CDD505-2E9C-101B-9397-08002B2CF9AE}" pid="13" name="MSIP_Label_c69d85d5-6d9e-4305-a294-1f636ec0f2d6_Enabled">
    <vt:lpwstr>true</vt:lpwstr>
  </property>
  <property fmtid="{D5CDD505-2E9C-101B-9397-08002B2CF9AE}" pid="14" name="MSIP_Label_c69d85d5-6d9e-4305-a294-1f636ec0f2d6_SetDate">
    <vt:lpwstr>2026-06-10T10:43:38Z</vt:lpwstr>
  </property>
  <property fmtid="{D5CDD505-2E9C-101B-9397-08002B2CF9AE}" pid="15" name="MSIP_Label_c69d85d5-6d9e-4305-a294-1f636ec0f2d6_Method">
    <vt:lpwstr>Standard</vt:lpwstr>
  </property>
  <property fmtid="{D5CDD505-2E9C-101B-9397-08002B2CF9AE}" pid="16" name="MSIP_Label_c69d85d5-6d9e-4305-a294-1f636ec0f2d6_Name">
    <vt:lpwstr>OFFICIAL</vt:lpwstr>
  </property>
  <property fmtid="{D5CDD505-2E9C-101B-9397-08002B2CF9AE}" pid="17" name="MSIP_Label_c69d85d5-6d9e-4305-a294-1f636ec0f2d6_SiteId">
    <vt:lpwstr>6030f479-b342-472d-a5dd-740ff7538de9</vt:lpwstr>
  </property>
  <property fmtid="{D5CDD505-2E9C-101B-9397-08002B2CF9AE}" pid="18" name="MSIP_Label_c69d85d5-6d9e-4305-a294-1f636ec0f2d6_ActionId">
    <vt:lpwstr>1ea49bad-b814-4937-8092-6e9c8bfd09b0</vt:lpwstr>
  </property>
  <property fmtid="{D5CDD505-2E9C-101B-9397-08002B2CF9AE}" pid="19" name="MSIP_Label_c69d85d5-6d9e-4305-a294-1f636ec0f2d6_ContentBits">
    <vt:lpwstr>0</vt:lpwstr>
  </property>
  <property fmtid="{D5CDD505-2E9C-101B-9397-08002B2CF9AE}" pid="20" name="MSIP_Label_c69d85d5-6d9e-4305-a294-1f636ec0f2d6_Tag">
    <vt:lpwstr>10, 3, 0, 2</vt:lpwstr>
  </property>
</Properties>
</file>