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179B0320" wp14:textId="77777777">
      <w:pPr>
        <w:pStyle w:val="BodyText"/>
        <w:spacing w:before="69"/>
        <w:ind w:left="9886" w:right="117" w:firstLine="710"/>
        <w:jc w:val="right"/>
      </w:pPr>
      <w:r>
        <w:rPr/>
        <w:drawing>
          <wp:anchor xmlns:wp14="http://schemas.microsoft.com/office/word/2010/wordprocessingDrawing" distT="0" distB="0" distL="0" distR="0" simplePos="0" relativeHeight="15729152" behindDoc="0" locked="0" layoutInCell="1" allowOverlap="1" wp14:anchorId="7C76846B" wp14:editId="7777777">
            <wp:simplePos x="0" y="0"/>
            <wp:positionH relativeFrom="page">
              <wp:posOffset>214629</wp:posOffset>
            </wp:positionH>
            <wp:positionV relativeFrom="paragraph">
              <wp:posOffset>36855</wp:posOffset>
            </wp:positionV>
            <wp:extent cx="2800348" cy="4965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0348" cy="496568"/>
                    </a:xfrm>
                    <a:prstGeom prst="rect">
                      <a:avLst/>
                    </a:prstGeom>
                  </pic:spPr>
                </pic:pic>
              </a:graphicData>
            </a:graphic>
          </wp:anchor>
        </w:drawing>
      </w:r>
      <w:r>
        <w:rPr>
          <w:color w:val="0E0E0E"/>
        </w:rPr>
        <w:t>2</w:t>
      </w:r>
      <w:r>
        <w:rPr>
          <w:color w:val="0E0E0E"/>
          <w:position w:val="6"/>
          <w:sz w:val="13"/>
        </w:rPr>
        <w:t>nd</w:t>
      </w:r>
      <w:r>
        <w:rPr>
          <w:color w:val="0E0E0E"/>
          <w:spacing w:val="-1"/>
          <w:position w:val="6"/>
          <w:sz w:val="13"/>
        </w:rPr>
        <w:t> </w:t>
      </w:r>
      <w:r>
        <w:rPr>
          <w:color w:val="0E0E0E"/>
        </w:rPr>
        <w:t>Floor 2</w:t>
      </w:r>
      <w:r>
        <w:rPr>
          <w:color w:val="0E0E0E"/>
          <w:spacing w:val="-5"/>
        </w:rPr>
        <w:t> </w:t>
      </w:r>
      <w:r>
        <w:rPr>
          <w:color w:val="0E0E0E"/>
        </w:rPr>
        <w:t>Redman</w:t>
      </w:r>
      <w:r>
        <w:rPr>
          <w:color w:val="0E0E0E"/>
          <w:spacing w:val="-5"/>
        </w:rPr>
        <w:t> </w:t>
      </w:r>
      <w:r>
        <w:rPr>
          <w:color w:val="0E0E0E"/>
          <w:spacing w:val="-2"/>
        </w:rPr>
        <w:t>Place</w:t>
      </w:r>
    </w:p>
    <w:p xmlns:wp14="http://schemas.microsoft.com/office/word/2010/wordml" w14:paraId="56DF91F3" wp14:textId="77777777">
      <w:pPr>
        <w:pStyle w:val="BodyText"/>
        <w:ind w:left="10586" w:right="117" w:firstLine="110"/>
        <w:jc w:val="right"/>
      </w:pPr>
      <w:r>
        <w:rPr>
          <w:color w:val="0E0E0E"/>
          <w:spacing w:val="-2"/>
        </w:rPr>
        <w:t>London </w:t>
      </w:r>
      <w:r>
        <w:rPr>
          <w:color w:val="0E0E0E"/>
        </w:rPr>
        <w:t>E20</w:t>
      </w:r>
      <w:r>
        <w:rPr>
          <w:color w:val="0E0E0E"/>
          <w:spacing w:val="-5"/>
        </w:rPr>
        <w:t> </w:t>
      </w:r>
      <w:r>
        <w:rPr>
          <w:color w:val="0E0E0E"/>
          <w:spacing w:val="-5"/>
        </w:rPr>
        <w:t>1JQ</w:t>
      </w:r>
    </w:p>
    <w:p xmlns:wp14="http://schemas.microsoft.com/office/word/2010/wordml" w14:paraId="08F5283F" wp14:textId="77777777">
      <w:pPr>
        <w:pStyle w:val="BodyText"/>
        <w:ind w:right="118"/>
        <w:jc w:val="right"/>
      </w:pPr>
      <w:r>
        <w:rPr>
          <w:color w:val="0E0E0E"/>
        </w:rPr>
        <w:t>United</w:t>
      </w:r>
      <w:r>
        <w:rPr>
          <w:color w:val="0E0E0E"/>
          <w:spacing w:val="-7"/>
        </w:rPr>
        <w:t> </w:t>
      </w:r>
      <w:r>
        <w:rPr>
          <w:color w:val="0E0E0E"/>
          <w:spacing w:val="-2"/>
        </w:rPr>
        <w:t>Kingdom</w:t>
      </w:r>
    </w:p>
    <w:p xmlns:wp14="http://schemas.microsoft.com/office/word/2010/wordml" w14:paraId="672A6659" wp14:textId="77777777">
      <w:pPr>
        <w:pStyle w:val="BodyText"/>
      </w:pPr>
    </w:p>
    <w:p xmlns:wp14="http://schemas.microsoft.com/office/word/2010/wordml" w14:paraId="27EF6CAD" wp14:textId="77777777">
      <w:pPr>
        <w:pStyle w:val="BodyText"/>
        <w:ind w:right="118"/>
        <w:jc w:val="right"/>
        <w:rPr>
          <w:rFonts w:ascii="Lato"/>
        </w:rPr>
      </w:pPr>
      <w:r>
        <w:rPr>
          <w:rFonts w:ascii="Lato"/>
        </w:rPr>
        <w:t>+44</w:t>
      </w:r>
      <w:r>
        <w:rPr>
          <w:rFonts w:ascii="Lato"/>
          <w:spacing w:val="-5"/>
        </w:rPr>
        <w:t> </w:t>
      </w:r>
      <w:r>
        <w:rPr>
          <w:rFonts w:ascii="Lato"/>
        </w:rPr>
        <w:t>(0)300</w:t>
      </w:r>
      <w:r>
        <w:rPr>
          <w:rFonts w:ascii="Lato"/>
          <w:spacing w:val="-4"/>
        </w:rPr>
        <w:t> </w:t>
      </w:r>
      <w:r>
        <w:rPr>
          <w:rFonts w:ascii="Lato"/>
        </w:rPr>
        <w:t>323</w:t>
      </w:r>
      <w:r>
        <w:rPr>
          <w:rFonts w:ascii="Lato"/>
          <w:spacing w:val="-7"/>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17"/>
        <w:rPr>
          <w:rFonts w:ascii="Lato"/>
        </w:rPr>
      </w:pPr>
    </w:p>
    <w:p xmlns:wp14="http://schemas.microsoft.com/office/word/2010/wordml" w14:paraId="4CE3193B" wp14:textId="77777777">
      <w:pPr>
        <w:pStyle w:val="BodyText"/>
        <w:ind w:left="1299"/>
      </w:pPr>
      <w:r>
        <w:rPr>
          <w:spacing w:val="-5"/>
        </w:rPr>
        <w:t>FAO</w:t>
      </w:r>
    </w:p>
    <w:p xmlns:wp14="http://schemas.microsoft.com/office/word/2010/wordml" w:rsidP="42B82B4B" w14:paraId="5D7F9E04" wp14:textId="1E853E18">
      <w:pPr>
        <w:pStyle w:val="BodyText"/>
        <w:ind w:left="1299" w:right="8205"/>
        <w:rPr>
          <w:highlight w:val="black"/>
        </w:rPr>
      </w:pPr>
      <w:r w:rsidRPr="42B82B4B" w:rsidR="47FCACC5">
        <w:rPr>
          <w:highlight w:val="black"/>
        </w:rPr>
        <w:t>XXXX XXXXXXX</w:t>
      </w:r>
      <w:r>
        <w:br/>
      </w:r>
      <w:r w:rsidRPr="42B82B4B" w:rsidR="47FCACC5">
        <w:rPr>
          <w:highlight w:val="black"/>
        </w:rPr>
        <w:t>XXXXXXX XXXXXXX</w:t>
      </w:r>
    </w:p>
    <w:p xmlns:wp14="http://schemas.microsoft.com/office/word/2010/wordml" w14:paraId="360A9642" wp14:textId="31E20283">
      <w:pPr>
        <w:pStyle w:val="BodyText"/>
        <w:ind w:left="1299" w:right="8205"/>
      </w:pPr>
      <w:r w:rsidR="47FCACC5">
        <w:rPr/>
        <w:t xml:space="preserve"> Ipsen</w:t>
      </w:r>
      <w:r w:rsidR="42B82B4B">
        <w:rPr/>
        <w:t xml:space="preserve"> </w:t>
      </w:r>
      <w:r w:rsidR="42B82B4B">
        <w:rPr/>
        <w:t>UK</w:t>
      </w:r>
      <w:r w:rsidR="42B82B4B">
        <w:rPr/>
        <w:t xml:space="preserve"> </w:t>
      </w:r>
      <w:r w:rsidR="42B82B4B">
        <w:rPr/>
        <w:t>&amp;</w:t>
      </w:r>
      <w:r w:rsidR="42B82B4B">
        <w:rPr/>
        <w:t xml:space="preserve"> </w:t>
      </w:r>
      <w:r w:rsidR="42B82B4B">
        <w:rPr/>
        <w:t>Ireland</w:t>
      </w:r>
    </w:p>
    <w:p xmlns:wp14="http://schemas.microsoft.com/office/word/2010/wordml" w14:paraId="02EB378F" wp14:textId="77777777">
      <w:pPr>
        <w:pStyle w:val="BodyText"/>
        <w:spacing w:before="2"/>
      </w:pPr>
    </w:p>
    <w:p xmlns:wp14="http://schemas.microsoft.com/office/word/2010/wordml" w:rsidP="5B48A0BE" w14:paraId="5E759151" wp14:textId="043F06E3">
      <w:pPr>
        <w:pStyle w:val="BodyText"/>
        <w:suppressLineNumbers w:val="0"/>
        <w:bidi w:val="0"/>
        <w:spacing w:before="0" w:beforeAutospacing="off" w:after="0" w:afterAutospacing="off" w:line="240" w:lineRule="auto"/>
        <w:ind w:left="1299" w:right="0"/>
        <w:jc w:val="left"/>
        <w:rPr>
          <w:color w:val="0000FF"/>
          <w:u w:val="single"/>
        </w:rPr>
      </w:pPr>
      <w:r w:rsidR="5B48A0BE">
        <w:rPr/>
        <w:t>Sent</w:t>
      </w:r>
      <w:r w:rsidR="5B48A0BE">
        <w:rPr>
          <w:spacing w:val="-4"/>
        </w:rPr>
        <w:t xml:space="preserve"> </w:t>
      </w:r>
      <w:r w:rsidR="5B48A0BE">
        <w:rPr/>
        <w:t>by</w:t>
      </w:r>
      <w:r w:rsidR="5B48A0BE">
        <w:rPr>
          <w:spacing w:val="-5"/>
        </w:rPr>
        <w:t xml:space="preserve"> </w:t>
      </w:r>
      <w:r w:rsidR="5B48A0BE">
        <w:rPr/>
        <w:t>e-mail</w:t>
      </w:r>
      <w:r w:rsidR="5B48A0BE">
        <w:rPr>
          <w:spacing w:val="-6"/>
        </w:rPr>
        <w:t xml:space="preserve"> </w:t>
      </w:r>
      <w:r w:rsidR="5B48A0BE">
        <w:rPr/>
        <w:t>only:</w:t>
      </w:r>
      <w:r w:rsidR="163D1CD0">
        <w:rPr/>
        <w:t xml:space="preserve"> </w:t>
      </w:r>
      <w:r w:rsidRPr="5B48A0BE" w:rsidR="163D1CD0">
        <w:rPr>
          <w:highlight w:val="black"/>
        </w:rPr>
        <w:t>XXXXXXXXXXXXXXXXXXX</w:t>
      </w:r>
    </w:p>
    <w:p xmlns:wp14="http://schemas.microsoft.com/office/word/2010/wordml" w14:paraId="6A05A809" wp14:textId="77777777">
      <w:pPr>
        <w:pStyle w:val="BodyText"/>
      </w:pPr>
    </w:p>
    <w:p xmlns:wp14="http://schemas.microsoft.com/office/word/2010/wordml" w14:paraId="5A39BBE3" wp14:textId="77777777">
      <w:pPr>
        <w:pStyle w:val="BodyText"/>
        <w:spacing w:before="3"/>
      </w:pPr>
    </w:p>
    <w:p xmlns:wp14="http://schemas.microsoft.com/office/word/2010/wordml" w14:paraId="3E2A3144" wp14:textId="77777777">
      <w:pPr>
        <w:pStyle w:val="BodyText"/>
        <w:spacing w:before="1"/>
        <w:ind w:left="1299"/>
      </w:pPr>
      <w:r>
        <w:rPr/>
        <w:t>2</w:t>
      </w:r>
      <w:r>
        <w:rPr>
          <w:spacing w:val="-5"/>
        </w:rPr>
        <w:t> </w:t>
      </w:r>
      <w:r>
        <w:rPr/>
        <w:t>June</w:t>
      </w:r>
      <w:r>
        <w:rPr>
          <w:spacing w:val="-2"/>
        </w:rPr>
        <w:t> </w:t>
      </w:r>
      <w:r>
        <w:rPr>
          <w:spacing w:val="-4"/>
        </w:rPr>
        <w:t>2026</w:t>
      </w:r>
    </w:p>
    <w:p xmlns:wp14="http://schemas.microsoft.com/office/word/2010/wordml" w14:paraId="41C8F396" wp14:textId="77777777">
      <w:pPr>
        <w:pStyle w:val="BodyText"/>
      </w:pPr>
    </w:p>
    <w:p xmlns:wp14="http://schemas.microsoft.com/office/word/2010/wordml" w14:paraId="72A3D3EC" wp14:textId="77777777">
      <w:pPr>
        <w:pStyle w:val="BodyText"/>
      </w:pPr>
    </w:p>
    <w:p xmlns:wp14="http://schemas.microsoft.com/office/word/2010/wordml" w14:paraId="0D0B940D" wp14:textId="77777777">
      <w:pPr>
        <w:pStyle w:val="BodyText"/>
        <w:spacing w:before="8"/>
      </w:pPr>
    </w:p>
    <w:p xmlns:wp14="http://schemas.microsoft.com/office/word/2010/wordml" w14:paraId="03155239" wp14:textId="77777777">
      <w:pPr>
        <w:pStyle w:val="BodyText"/>
        <w:ind w:left="1299"/>
      </w:pPr>
      <w:r>
        <w:rPr/>
        <w:t>Dear</w:t>
      </w:r>
      <w:r>
        <w:rPr>
          <w:spacing w:val="-7"/>
        </w:rPr>
        <w:t> </w:t>
      </w:r>
      <w:r>
        <w:rPr/>
        <w:t>Ioana</w:t>
      </w:r>
      <w:r>
        <w:rPr>
          <w:spacing w:val="-5"/>
        </w:rPr>
        <w:t> </w:t>
      </w:r>
      <w:r>
        <w:rPr>
          <w:spacing w:val="-2"/>
        </w:rPr>
        <w:t>Parsons</w:t>
      </w:r>
    </w:p>
    <w:p xmlns:wp14="http://schemas.microsoft.com/office/word/2010/wordml" w14:paraId="0E27B00A" wp14:textId="77777777">
      <w:pPr>
        <w:pStyle w:val="BodyText"/>
        <w:spacing w:before="6"/>
      </w:pPr>
    </w:p>
    <w:p xmlns:wp14="http://schemas.microsoft.com/office/word/2010/wordml" w14:paraId="325F75F1" wp14:textId="77777777">
      <w:pPr>
        <w:pStyle w:val="Heading1"/>
        <w:spacing w:line="276" w:lineRule="auto"/>
        <w:ind w:left="1726" w:right="1204"/>
        <w:jc w:val="left"/>
        <w:rPr>
          <w:u w:val="none"/>
        </w:rPr>
      </w:pPr>
      <w:r>
        <w:rPr/>
        <mc:AlternateContent>
          <mc:Choice Requires="wps">
            <w:drawing>
              <wp:anchor xmlns:wp14="http://schemas.microsoft.com/office/word/2010/wordprocessingDrawing" distT="0" distB="0" distL="0" distR="0" simplePos="0" relativeHeight="15729664" behindDoc="0" locked="0" layoutInCell="1" allowOverlap="1" wp14:anchorId="66E6D986" wp14:editId="7777777">
                <wp:simplePos x="0" y="0"/>
                <wp:positionH relativeFrom="page">
                  <wp:posOffset>108586</wp:posOffset>
                </wp:positionH>
                <wp:positionV relativeFrom="paragraph">
                  <wp:posOffset>255398</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61F9EA51">
              <v:line style="position:absolute;mso-position-horizontal-relative:page;mso-position-vertical-relative:paragraph;z-index:15729664" stroked="true" strokecolor="#505050" strokeweight=".25pt" from="8.5501pt,20.110130pt" to="15.0001pt,20.110130pt">
                <v:stroke dashstyle="solid"/>
                <w10:wrap type="none"/>
              </v:line>
            </w:pict>
          </mc:Fallback>
        </mc:AlternateContent>
      </w:r>
      <w:r>
        <w:rPr>
          <w:spacing w:val="-2"/>
          <w:u w:val="none"/>
        </w:rPr>
        <w:t>Re:</w:t>
      </w:r>
      <w:r>
        <w:rPr>
          <w:spacing w:val="-12"/>
          <w:u w:val="none"/>
        </w:rPr>
        <w:t> </w:t>
      </w:r>
      <w:r>
        <w:rPr>
          <w:spacing w:val="-2"/>
          <w:u w:val="none"/>
        </w:rPr>
        <w:t>Final</w:t>
      </w:r>
      <w:r>
        <w:rPr>
          <w:spacing w:val="-12"/>
          <w:u w:val="none"/>
        </w:rPr>
        <w:t> </w:t>
      </w:r>
      <w:r>
        <w:rPr>
          <w:spacing w:val="-2"/>
          <w:u w:val="none"/>
        </w:rPr>
        <w:t>Draft</w:t>
      </w:r>
      <w:r>
        <w:rPr>
          <w:spacing w:val="-12"/>
          <w:u w:val="none"/>
        </w:rPr>
        <w:t> </w:t>
      </w:r>
      <w:r>
        <w:rPr>
          <w:spacing w:val="-2"/>
          <w:u w:val="none"/>
        </w:rPr>
        <w:t>Guidance</w:t>
      </w:r>
      <w:r>
        <w:rPr>
          <w:spacing w:val="-12"/>
          <w:u w:val="none"/>
        </w:rPr>
        <w:t> </w:t>
      </w:r>
      <w:r>
        <w:rPr>
          <w:spacing w:val="-2"/>
          <w:u w:val="none"/>
        </w:rPr>
        <w:t>—</w:t>
      </w:r>
      <w:r>
        <w:rPr>
          <w:spacing w:val="-12"/>
          <w:u w:val="none"/>
        </w:rPr>
        <w:t> </w:t>
      </w:r>
      <w:r>
        <w:rPr>
          <w:spacing w:val="-2"/>
          <w:u w:val="none"/>
        </w:rPr>
        <w:t>Cabozantinib</w:t>
      </w:r>
      <w:r>
        <w:rPr>
          <w:spacing w:val="-12"/>
          <w:u w:val="none"/>
        </w:rPr>
        <w:t> </w:t>
      </w:r>
      <w:r>
        <w:rPr>
          <w:spacing w:val="-2"/>
          <w:u w:val="none"/>
        </w:rPr>
        <w:t>for</w:t>
      </w:r>
      <w:r>
        <w:rPr>
          <w:spacing w:val="-12"/>
          <w:u w:val="none"/>
        </w:rPr>
        <w:t> </w:t>
      </w:r>
      <w:r>
        <w:rPr>
          <w:spacing w:val="-2"/>
          <w:u w:val="none"/>
        </w:rPr>
        <w:t>treating</w:t>
      </w:r>
      <w:r>
        <w:rPr>
          <w:spacing w:val="-12"/>
          <w:u w:val="none"/>
        </w:rPr>
        <w:t> </w:t>
      </w:r>
      <w:r>
        <w:rPr>
          <w:spacing w:val="-2"/>
          <w:u w:val="none"/>
        </w:rPr>
        <w:t>advanced</w:t>
      </w:r>
      <w:r>
        <w:rPr>
          <w:spacing w:val="-12"/>
          <w:u w:val="none"/>
        </w:rPr>
        <w:t> </w:t>
      </w:r>
      <w:r>
        <w:rPr>
          <w:spacing w:val="-2"/>
          <w:u w:val="none"/>
        </w:rPr>
        <w:t>neuroendocrine</w:t>
      </w:r>
      <w:r>
        <w:rPr>
          <w:spacing w:val="-11"/>
          <w:u w:val="none"/>
        </w:rPr>
        <w:t> </w:t>
      </w:r>
      <w:r>
        <w:rPr>
          <w:spacing w:val="-2"/>
          <w:u w:val="none"/>
        </w:rPr>
        <w:t>tumours</w:t>
      </w:r>
      <w:r>
        <w:rPr>
          <w:spacing w:val="-12"/>
          <w:u w:val="none"/>
        </w:rPr>
        <w:t> </w:t>
      </w:r>
      <w:r>
        <w:rPr>
          <w:spacing w:val="-2"/>
          <w:u w:val="none"/>
        </w:rPr>
        <w:t>that </w:t>
      </w:r>
      <w:r>
        <w:rPr>
          <w:u w:val="none"/>
        </w:rPr>
        <w:t>have</w:t>
      </w:r>
      <w:r>
        <w:rPr>
          <w:spacing w:val="-1"/>
          <w:u w:val="none"/>
        </w:rPr>
        <w:t> </w:t>
      </w:r>
      <w:r>
        <w:rPr>
          <w:u w:val="none"/>
        </w:rPr>
        <w:t>progressed after</w:t>
      </w:r>
      <w:r>
        <w:rPr>
          <w:spacing w:val="-1"/>
          <w:u w:val="none"/>
        </w:rPr>
        <w:t> </w:t>
      </w:r>
      <w:r>
        <w:rPr>
          <w:u w:val="none"/>
        </w:rPr>
        <w:t>systemic</w:t>
      </w:r>
      <w:r>
        <w:rPr>
          <w:spacing w:val="-1"/>
          <w:u w:val="none"/>
        </w:rPr>
        <w:t> </w:t>
      </w:r>
      <w:r>
        <w:rPr>
          <w:u w:val="none"/>
        </w:rPr>
        <w:t>treatment</w:t>
      </w:r>
      <w:r>
        <w:rPr>
          <w:spacing w:val="-2"/>
          <w:u w:val="none"/>
        </w:rPr>
        <w:t> </w:t>
      </w:r>
      <w:r>
        <w:rPr>
          <w:u w:val="none"/>
        </w:rPr>
        <w:t>[ID6474]</w:t>
      </w:r>
    </w:p>
    <w:p xmlns:wp14="http://schemas.microsoft.com/office/word/2010/wordml" w14:paraId="60061E4C" wp14:textId="77777777">
      <w:pPr>
        <w:pStyle w:val="BodyText"/>
        <w:spacing w:before="9"/>
        <w:rPr>
          <w:b/>
        </w:rPr>
      </w:pPr>
    </w:p>
    <w:p xmlns:wp14="http://schemas.microsoft.com/office/word/2010/wordml" w14:paraId="3DC953A1" wp14:textId="77777777">
      <w:pPr>
        <w:pStyle w:val="BodyText"/>
        <w:spacing w:line="276" w:lineRule="auto"/>
        <w:ind w:left="1298" w:right="1154"/>
        <w:jc w:val="both"/>
      </w:pPr>
      <w:r>
        <w:rPr/>
        <w:t>Thank you for your letter of 26 May 2026 responding to my views on initial scrutiny. This is my final decision on initial scrutiny.</w:t>
      </w:r>
    </w:p>
    <w:p xmlns:wp14="http://schemas.microsoft.com/office/word/2010/wordml" w14:paraId="44EAFD9C" wp14:textId="77777777">
      <w:pPr>
        <w:pStyle w:val="BodyText"/>
        <w:spacing w:before="11"/>
      </w:pPr>
    </w:p>
    <w:p xmlns:wp14="http://schemas.microsoft.com/office/word/2010/wordml" w14:paraId="1D7F7E31" wp14:textId="77777777">
      <w:pPr>
        <w:pStyle w:val="BodyText"/>
        <w:ind w:left="1298"/>
      </w:pPr>
      <w:r>
        <w:rPr/>
        <w:t>I</w:t>
      </w:r>
      <w:r>
        <w:rPr>
          <w:spacing w:val="-5"/>
        </w:rPr>
        <w:t> </w:t>
      </w:r>
      <w:r>
        <w:rPr/>
        <w:t>assess</w:t>
      </w:r>
      <w:r>
        <w:rPr>
          <w:spacing w:val="-4"/>
        </w:rPr>
        <w:t> </w:t>
      </w:r>
      <w:r>
        <w:rPr/>
        <w:t>each</w:t>
      </w:r>
      <w:r>
        <w:rPr>
          <w:spacing w:val="-4"/>
        </w:rPr>
        <w:t> </w:t>
      </w:r>
      <w:r>
        <w:rPr/>
        <w:t>of</w:t>
      </w:r>
      <w:r>
        <w:rPr>
          <w:spacing w:val="-4"/>
        </w:rPr>
        <w:t> </w:t>
      </w:r>
      <w:r>
        <w:rPr/>
        <w:t>your</w:t>
      </w:r>
      <w:r>
        <w:rPr>
          <w:spacing w:val="-4"/>
        </w:rPr>
        <w:t> </w:t>
      </w:r>
      <w:r>
        <w:rPr/>
        <w:t>points</w:t>
      </w:r>
      <w:r>
        <w:rPr>
          <w:spacing w:val="-4"/>
        </w:rPr>
        <w:t> </w:t>
      </w:r>
      <w:r>
        <w:rPr/>
        <w:t>in</w:t>
      </w:r>
      <w:r>
        <w:rPr>
          <w:spacing w:val="-4"/>
        </w:rPr>
        <w:t> turn.</w:t>
      </w:r>
    </w:p>
    <w:p xmlns:wp14="http://schemas.microsoft.com/office/word/2010/wordml" w14:paraId="4B94D5A5" wp14:textId="77777777">
      <w:pPr>
        <w:pStyle w:val="BodyText"/>
        <w:spacing w:before="44"/>
      </w:pPr>
    </w:p>
    <w:p xmlns:wp14="http://schemas.microsoft.com/office/word/2010/wordml" w14:paraId="5066D304" wp14:textId="77777777">
      <w:pPr>
        <w:spacing w:before="0"/>
        <w:ind w:left="1298" w:right="1204" w:firstLine="0"/>
        <w:jc w:val="left"/>
        <w:rPr>
          <w:b/>
          <w:i/>
          <w:sz w:val="20"/>
        </w:rPr>
      </w:pPr>
      <w:r>
        <w:rPr>
          <w:b/>
          <w:i/>
          <w:sz w:val="20"/>
        </w:rPr>
        <w:t>Ground</w:t>
      </w:r>
      <w:r>
        <w:rPr>
          <w:b/>
          <w:i/>
          <w:spacing w:val="-3"/>
          <w:sz w:val="20"/>
        </w:rPr>
        <w:t> </w:t>
      </w:r>
      <w:r>
        <w:rPr>
          <w:b/>
          <w:i/>
          <w:sz w:val="20"/>
        </w:rPr>
        <w:t>1(a):</w:t>
      </w:r>
      <w:r>
        <w:rPr>
          <w:b/>
          <w:i/>
          <w:spacing w:val="-3"/>
          <w:sz w:val="20"/>
        </w:rPr>
        <w:t> </w:t>
      </w:r>
      <w:r>
        <w:rPr>
          <w:b/>
          <w:i/>
          <w:sz w:val="20"/>
        </w:rPr>
        <w:t>In</w:t>
      </w:r>
      <w:r>
        <w:rPr>
          <w:b/>
          <w:i/>
          <w:spacing w:val="-3"/>
          <w:sz w:val="20"/>
        </w:rPr>
        <w:t> </w:t>
      </w:r>
      <w:r>
        <w:rPr>
          <w:b/>
          <w:i/>
          <w:sz w:val="20"/>
        </w:rPr>
        <w:t>making</w:t>
      </w:r>
      <w:r>
        <w:rPr>
          <w:b/>
          <w:i/>
          <w:spacing w:val="-3"/>
          <w:sz w:val="20"/>
        </w:rPr>
        <w:t> </w:t>
      </w:r>
      <w:r>
        <w:rPr>
          <w:b/>
          <w:i/>
          <w:sz w:val="20"/>
        </w:rPr>
        <w:t>the</w:t>
      </w:r>
      <w:r>
        <w:rPr>
          <w:b/>
          <w:i/>
          <w:spacing w:val="-4"/>
          <w:sz w:val="20"/>
        </w:rPr>
        <w:t> </w:t>
      </w:r>
      <w:r>
        <w:rPr>
          <w:b/>
          <w:i/>
          <w:sz w:val="20"/>
        </w:rPr>
        <w:t>assessment</w:t>
      </w:r>
      <w:r>
        <w:rPr>
          <w:b/>
          <w:i/>
          <w:spacing w:val="-3"/>
          <w:sz w:val="20"/>
        </w:rPr>
        <w:t> </w:t>
      </w:r>
      <w:r>
        <w:rPr>
          <w:b/>
          <w:i/>
          <w:sz w:val="20"/>
        </w:rPr>
        <w:t>that</w:t>
      </w:r>
      <w:r>
        <w:rPr>
          <w:b/>
          <w:i/>
          <w:spacing w:val="-3"/>
          <w:sz w:val="20"/>
        </w:rPr>
        <w:t> </w:t>
      </w:r>
      <w:r>
        <w:rPr>
          <w:b/>
          <w:i/>
          <w:sz w:val="20"/>
        </w:rPr>
        <w:t>preceded</w:t>
      </w:r>
      <w:r>
        <w:rPr>
          <w:b/>
          <w:i/>
          <w:spacing w:val="-3"/>
          <w:sz w:val="20"/>
        </w:rPr>
        <w:t> </w:t>
      </w:r>
      <w:r>
        <w:rPr>
          <w:b/>
          <w:i/>
          <w:sz w:val="20"/>
        </w:rPr>
        <w:t>the</w:t>
      </w:r>
      <w:r>
        <w:rPr>
          <w:b/>
          <w:i/>
          <w:spacing w:val="-4"/>
          <w:sz w:val="20"/>
        </w:rPr>
        <w:t> </w:t>
      </w:r>
      <w:r>
        <w:rPr>
          <w:b/>
          <w:i/>
          <w:sz w:val="20"/>
        </w:rPr>
        <w:t>recommendation,</w:t>
      </w:r>
      <w:r>
        <w:rPr>
          <w:b/>
          <w:i/>
          <w:spacing w:val="-2"/>
          <w:sz w:val="20"/>
        </w:rPr>
        <w:t> </w:t>
      </w:r>
      <w:r>
        <w:rPr>
          <w:b/>
          <w:i/>
          <w:sz w:val="20"/>
        </w:rPr>
        <w:t>NICE</w:t>
      </w:r>
      <w:r>
        <w:rPr>
          <w:b/>
          <w:i/>
          <w:spacing w:val="-5"/>
          <w:sz w:val="20"/>
        </w:rPr>
        <w:t> </w:t>
      </w:r>
      <w:r>
        <w:rPr>
          <w:b/>
          <w:i/>
          <w:sz w:val="20"/>
        </w:rPr>
        <w:t>has</w:t>
      </w:r>
      <w:r>
        <w:rPr>
          <w:b/>
          <w:i/>
          <w:spacing w:val="-4"/>
          <w:sz w:val="20"/>
        </w:rPr>
        <w:t> </w:t>
      </w:r>
      <w:r>
        <w:rPr>
          <w:b/>
          <w:i/>
          <w:sz w:val="20"/>
        </w:rPr>
        <w:t>failed</w:t>
      </w:r>
      <w:r>
        <w:rPr>
          <w:b/>
          <w:i/>
          <w:spacing w:val="-3"/>
          <w:sz w:val="20"/>
        </w:rPr>
        <w:t> </w:t>
      </w:r>
      <w:r>
        <w:rPr>
          <w:b/>
          <w:i/>
          <w:sz w:val="20"/>
        </w:rPr>
        <w:t>to</w:t>
      </w:r>
      <w:r>
        <w:rPr>
          <w:b/>
          <w:i/>
          <w:sz w:val="20"/>
        </w:rPr>
        <w:t> act fairly</w:t>
      </w:r>
    </w:p>
    <w:p xmlns:wp14="http://schemas.microsoft.com/office/word/2010/wordml" w14:paraId="3DEEC669" wp14:textId="77777777">
      <w:pPr>
        <w:pStyle w:val="BodyText"/>
        <w:spacing w:before="8"/>
        <w:rPr>
          <w:b/>
          <w:i/>
        </w:rPr>
      </w:pPr>
    </w:p>
    <w:p xmlns:wp14="http://schemas.microsoft.com/office/word/2010/wordml" w14:paraId="541F20B9" wp14:textId="77777777">
      <w:pPr>
        <w:pStyle w:val="Heading1"/>
        <w:spacing w:before="1" w:line="276" w:lineRule="auto"/>
        <w:ind w:right="1156" w:hanging="1"/>
        <w:rPr>
          <w:u w:val="none"/>
        </w:rPr>
      </w:pPr>
      <w:r>
        <w:rPr>
          <w:u w:val="single"/>
        </w:rPr>
        <w:t>Appeal</w:t>
      </w:r>
      <w:r>
        <w:rPr>
          <w:spacing w:val="-11"/>
          <w:u w:val="single"/>
        </w:rPr>
        <w:t> </w:t>
      </w:r>
      <w:r>
        <w:rPr>
          <w:u w:val="single"/>
        </w:rPr>
        <w:t>point</w:t>
      </w:r>
      <w:r>
        <w:rPr>
          <w:spacing w:val="-8"/>
          <w:u w:val="single"/>
        </w:rPr>
        <w:t> </w:t>
      </w:r>
      <w:r>
        <w:rPr>
          <w:u w:val="single"/>
        </w:rPr>
        <w:t>1(a).1:</w:t>
      </w:r>
      <w:r>
        <w:rPr>
          <w:spacing w:val="-8"/>
          <w:u w:val="single"/>
        </w:rPr>
        <w:t> </w:t>
      </w:r>
      <w:r>
        <w:rPr>
          <w:u w:val="single"/>
        </w:rPr>
        <w:t>the</w:t>
      </w:r>
      <w:r>
        <w:rPr>
          <w:spacing w:val="-9"/>
          <w:u w:val="single"/>
        </w:rPr>
        <w:t> </w:t>
      </w:r>
      <w:r>
        <w:rPr>
          <w:u w:val="single"/>
        </w:rPr>
        <w:t>Appraisal</w:t>
      </w:r>
      <w:r>
        <w:rPr>
          <w:spacing w:val="-11"/>
          <w:u w:val="single"/>
        </w:rPr>
        <w:t> </w:t>
      </w:r>
      <w:r>
        <w:rPr>
          <w:u w:val="single"/>
        </w:rPr>
        <w:t>Committee's</w:t>
      </w:r>
      <w:r>
        <w:rPr>
          <w:spacing w:val="-9"/>
          <w:u w:val="single"/>
        </w:rPr>
        <w:t> </w:t>
      </w:r>
      <w:r>
        <w:rPr>
          <w:u w:val="single"/>
        </w:rPr>
        <w:t>conclusion</w:t>
      </w:r>
      <w:r>
        <w:rPr>
          <w:spacing w:val="-10"/>
          <w:u w:val="single"/>
        </w:rPr>
        <w:t> </w:t>
      </w:r>
      <w:r>
        <w:rPr>
          <w:u w:val="single"/>
        </w:rPr>
        <w:t>on</w:t>
      </w:r>
      <w:r>
        <w:rPr>
          <w:spacing w:val="-8"/>
          <w:u w:val="single"/>
        </w:rPr>
        <w:t> </w:t>
      </w:r>
      <w:r>
        <w:rPr>
          <w:u w:val="single"/>
        </w:rPr>
        <w:t>overall</w:t>
      </w:r>
      <w:r>
        <w:rPr>
          <w:spacing w:val="-9"/>
          <w:u w:val="single"/>
        </w:rPr>
        <w:t> </w:t>
      </w:r>
      <w:r>
        <w:rPr>
          <w:u w:val="single"/>
        </w:rPr>
        <w:t>survival</w:t>
      </w:r>
      <w:r>
        <w:rPr>
          <w:spacing w:val="-11"/>
          <w:u w:val="single"/>
        </w:rPr>
        <w:t> </w:t>
      </w:r>
      <w:r>
        <w:rPr>
          <w:u w:val="single"/>
        </w:rPr>
        <w:t>(OS)</w:t>
      </w:r>
      <w:r>
        <w:rPr>
          <w:spacing w:val="-10"/>
          <w:u w:val="single"/>
        </w:rPr>
        <w:t> </w:t>
      </w:r>
      <w:r>
        <w:rPr>
          <w:u w:val="single"/>
        </w:rPr>
        <w:t>in</w:t>
      </w:r>
      <w:r>
        <w:rPr>
          <w:spacing w:val="-8"/>
          <w:u w:val="single"/>
        </w:rPr>
        <w:t> </w:t>
      </w:r>
      <w:r>
        <w:rPr>
          <w:u w:val="single"/>
        </w:rPr>
        <w:t>the</w:t>
      </w:r>
      <w:r>
        <w:rPr>
          <w:spacing w:val="-9"/>
          <w:u w:val="single"/>
        </w:rPr>
        <w:t> </w:t>
      </w:r>
      <w:r>
        <w:rPr>
          <w:u w:val="single"/>
        </w:rPr>
        <w:t>epNET</w:t>
      </w:r>
      <w:r>
        <w:rPr>
          <w:u w:val="none"/>
        </w:rPr>
        <w:t> </w:t>
      </w:r>
      <w:r>
        <w:rPr>
          <w:u w:val="single"/>
        </w:rPr>
        <w:t>population</w:t>
      </w:r>
      <w:r>
        <w:rPr>
          <w:spacing w:val="-3"/>
          <w:u w:val="single"/>
        </w:rPr>
        <w:t> </w:t>
      </w:r>
      <w:r>
        <w:rPr>
          <w:u w:val="single"/>
        </w:rPr>
        <w:t>is</w:t>
      </w:r>
      <w:r>
        <w:rPr>
          <w:spacing w:val="-4"/>
          <w:u w:val="single"/>
        </w:rPr>
        <w:t> </w:t>
      </w:r>
      <w:r>
        <w:rPr>
          <w:u w:val="single"/>
        </w:rPr>
        <w:t>not</w:t>
      </w:r>
      <w:r>
        <w:rPr>
          <w:spacing w:val="-3"/>
          <w:u w:val="single"/>
        </w:rPr>
        <w:t> </w:t>
      </w:r>
      <w:r>
        <w:rPr>
          <w:u w:val="single"/>
        </w:rPr>
        <w:t>aligned</w:t>
      </w:r>
      <w:r>
        <w:rPr>
          <w:spacing w:val="-3"/>
          <w:u w:val="single"/>
        </w:rPr>
        <w:t> </w:t>
      </w:r>
      <w:r>
        <w:rPr>
          <w:u w:val="single"/>
        </w:rPr>
        <w:t>to</w:t>
      </w:r>
      <w:r>
        <w:rPr>
          <w:spacing w:val="-3"/>
          <w:u w:val="single"/>
        </w:rPr>
        <w:t> </w:t>
      </w:r>
      <w:r>
        <w:rPr>
          <w:u w:val="single"/>
        </w:rPr>
        <w:t>past</w:t>
      </w:r>
      <w:r>
        <w:rPr>
          <w:spacing w:val="-3"/>
          <w:u w:val="single"/>
        </w:rPr>
        <w:t> </w:t>
      </w:r>
      <w:r>
        <w:rPr>
          <w:u w:val="single"/>
        </w:rPr>
        <w:t>precedent</w:t>
      </w:r>
      <w:r>
        <w:rPr>
          <w:spacing w:val="-3"/>
          <w:u w:val="single"/>
        </w:rPr>
        <w:t> </w:t>
      </w:r>
      <w:r>
        <w:rPr>
          <w:u w:val="single"/>
        </w:rPr>
        <w:t>from</w:t>
      </w:r>
      <w:r>
        <w:rPr>
          <w:spacing w:val="-3"/>
          <w:u w:val="single"/>
        </w:rPr>
        <w:t> </w:t>
      </w:r>
      <w:r>
        <w:rPr>
          <w:u w:val="single"/>
        </w:rPr>
        <w:t>NICE</w:t>
      </w:r>
      <w:r>
        <w:rPr>
          <w:spacing w:val="-5"/>
          <w:u w:val="single"/>
        </w:rPr>
        <w:t> </w:t>
      </w:r>
      <w:r>
        <w:rPr>
          <w:u w:val="single"/>
        </w:rPr>
        <w:t>NET</w:t>
      </w:r>
      <w:r>
        <w:rPr>
          <w:spacing w:val="-1"/>
          <w:u w:val="single"/>
        </w:rPr>
        <w:t> </w:t>
      </w:r>
      <w:r>
        <w:rPr>
          <w:u w:val="single"/>
        </w:rPr>
        <w:t>appraisals</w:t>
      </w:r>
      <w:r>
        <w:rPr>
          <w:spacing w:val="-4"/>
          <w:u w:val="single"/>
        </w:rPr>
        <w:t> </w:t>
      </w:r>
      <w:r>
        <w:rPr>
          <w:u w:val="single"/>
        </w:rPr>
        <w:t>where</w:t>
      </w:r>
      <w:r>
        <w:rPr>
          <w:spacing w:val="-2"/>
          <w:u w:val="single"/>
        </w:rPr>
        <w:t> </w:t>
      </w:r>
      <w:r>
        <w:rPr>
          <w:u w:val="single"/>
        </w:rPr>
        <w:t>an</w:t>
      </w:r>
      <w:r>
        <w:rPr>
          <w:spacing w:val="-3"/>
          <w:u w:val="single"/>
        </w:rPr>
        <w:t> </w:t>
      </w:r>
      <w:r>
        <w:rPr>
          <w:u w:val="single"/>
        </w:rPr>
        <w:t>OS</w:t>
      </w:r>
      <w:r>
        <w:rPr>
          <w:spacing w:val="-5"/>
          <w:u w:val="single"/>
        </w:rPr>
        <w:t> </w:t>
      </w:r>
      <w:r>
        <w:rPr>
          <w:u w:val="single"/>
        </w:rPr>
        <w:t>benefit</w:t>
      </w:r>
      <w:r>
        <w:rPr>
          <w:spacing w:val="-3"/>
          <w:u w:val="single"/>
        </w:rPr>
        <w:t> </w:t>
      </w:r>
      <w:r>
        <w:rPr>
          <w:u w:val="single"/>
        </w:rPr>
        <w:t>was</w:t>
      </w:r>
      <w:r>
        <w:rPr>
          <w:u w:val="none"/>
        </w:rPr>
        <w:t> </w:t>
      </w:r>
      <w:r>
        <w:rPr>
          <w:u w:val="single"/>
        </w:rPr>
        <w:t>recognised despite a non-significant treatment effect.</w:t>
      </w:r>
    </w:p>
    <w:p xmlns:wp14="http://schemas.microsoft.com/office/word/2010/wordml" w14:paraId="3656B9AB" wp14:textId="77777777">
      <w:pPr>
        <w:pStyle w:val="BodyText"/>
        <w:spacing w:before="11"/>
        <w:rPr>
          <w:b/>
        </w:rPr>
      </w:pPr>
    </w:p>
    <w:p xmlns:wp14="http://schemas.microsoft.com/office/word/2010/wordml" w14:paraId="57404C5C" wp14:textId="77777777">
      <w:pPr>
        <w:pStyle w:val="BodyText"/>
        <w:spacing w:line="276" w:lineRule="auto"/>
        <w:ind w:left="1298" w:right="1157"/>
        <w:jc w:val="both"/>
      </w:pPr>
      <w:r>
        <w:rPr/>
        <w:t>At</w:t>
      </w:r>
      <w:r>
        <w:rPr>
          <w:spacing w:val="-4"/>
        </w:rPr>
        <w:t> </w:t>
      </w:r>
      <w:r>
        <w:rPr/>
        <w:t>initial</w:t>
      </w:r>
      <w:r>
        <w:rPr>
          <w:spacing w:val="-5"/>
        </w:rPr>
        <w:t> </w:t>
      </w:r>
      <w:r>
        <w:rPr/>
        <w:t>scrutiny,</w:t>
      </w:r>
      <w:r>
        <w:rPr>
          <w:spacing w:val="-2"/>
        </w:rPr>
        <w:t> </w:t>
      </w:r>
      <w:r>
        <w:rPr/>
        <w:t>I</w:t>
      </w:r>
      <w:r>
        <w:rPr>
          <w:spacing w:val="-4"/>
        </w:rPr>
        <w:t> </w:t>
      </w:r>
      <w:r>
        <w:rPr/>
        <w:t>explained</w:t>
      </w:r>
      <w:r>
        <w:rPr>
          <w:spacing w:val="-4"/>
        </w:rPr>
        <w:t> </w:t>
      </w:r>
      <w:r>
        <w:rPr/>
        <w:t>my</w:t>
      </w:r>
      <w:r>
        <w:rPr>
          <w:spacing w:val="-2"/>
        </w:rPr>
        <w:t> </w:t>
      </w:r>
      <w:r>
        <w:rPr/>
        <w:t>preliminary</w:t>
      </w:r>
      <w:r>
        <w:rPr>
          <w:spacing w:val="-3"/>
        </w:rPr>
        <w:t> </w:t>
      </w:r>
      <w:r>
        <w:rPr/>
        <w:t>view</w:t>
      </w:r>
      <w:r>
        <w:rPr>
          <w:spacing w:val="-4"/>
        </w:rPr>
        <w:t> </w:t>
      </w:r>
      <w:r>
        <w:rPr/>
        <w:t>that</w:t>
      </w:r>
      <w:r>
        <w:rPr>
          <w:spacing w:val="-1"/>
        </w:rPr>
        <w:t> </w:t>
      </w:r>
      <w:r>
        <w:rPr/>
        <w:t>this</w:t>
      </w:r>
      <w:r>
        <w:rPr>
          <w:spacing w:val="-3"/>
        </w:rPr>
        <w:t> </w:t>
      </w:r>
      <w:r>
        <w:rPr/>
        <w:t>point</w:t>
      </w:r>
      <w:r>
        <w:rPr>
          <w:spacing w:val="-2"/>
        </w:rPr>
        <w:t> </w:t>
      </w:r>
      <w:r>
        <w:rPr/>
        <w:t>was</w:t>
      </w:r>
      <w:r>
        <w:rPr>
          <w:spacing w:val="-3"/>
        </w:rPr>
        <w:t> </w:t>
      </w:r>
      <w:r>
        <w:rPr/>
        <w:t>not</w:t>
      </w:r>
      <w:r>
        <w:rPr>
          <w:spacing w:val="-4"/>
        </w:rPr>
        <w:t> </w:t>
      </w:r>
      <w:r>
        <w:rPr/>
        <w:t>arguable</w:t>
      </w:r>
      <w:r>
        <w:rPr>
          <w:spacing w:val="-2"/>
        </w:rPr>
        <w:t> </w:t>
      </w:r>
      <w:r>
        <w:rPr/>
        <w:t>because</w:t>
      </w:r>
      <w:r>
        <w:rPr>
          <w:spacing w:val="-2"/>
        </w:rPr>
        <w:t> </w:t>
      </w:r>
      <w:r>
        <w:rPr/>
        <w:t>it</w:t>
      </w:r>
      <w:r>
        <w:rPr>
          <w:spacing w:val="-2"/>
        </w:rPr>
        <w:t> </w:t>
      </w:r>
      <w:r>
        <w:rPr/>
        <w:t>is</w:t>
      </w:r>
      <w:r>
        <w:rPr>
          <w:spacing w:val="-3"/>
        </w:rPr>
        <w:t> </w:t>
      </w:r>
      <w:r>
        <w:rPr/>
        <w:t>evident from paragraph 3.8 of the FDG that the committee understood and factored into its decision-making that a different approach was taken in the evaluations of everolimus and sunitinib, and that the committee has provided</w:t>
      </w:r>
      <w:r>
        <w:rPr>
          <w:spacing w:val="-1"/>
        </w:rPr>
        <w:t> </w:t>
      </w:r>
      <w:r>
        <w:rPr/>
        <w:t>its rationale</w:t>
      </w:r>
      <w:r>
        <w:rPr>
          <w:spacing w:val="-1"/>
        </w:rPr>
        <w:t> </w:t>
      </w:r>
      <w:r>
        <w:rPr/>
        <w:t>for adopting</w:t>
      </w:r>
      <w:r>
        <w:rPr>
          <w:spacing w:val="-1"/>
        </w:rPr>
        <w:t> </w:t>
      </w:r>
      <w:r>
        <w:rPr/>
        <w:t>that different</w:t>
      </w:r>
      <w:r>
        <w:rPr>
          <w:spacing w:val="-1"/>
        </w:rPr>
        <w:t> </w:t>
      </w:r>
      <w:r>
        <w:rPr/>
        <w:t>approach based</w:t>
      </w:r>
      <w:r>
        <w:rPr>
          <w:spacing w:val="-1"/>
        </w:rPr>
        <w:t> </w:t>
      </w:r>
      <w:r>
        <w:rPr/>
        <w:t>on factual</w:t>
      </w:r>
      <w:r>
        <w:rPr>
          <w:spacing w:val="-2"/>
        </w:rPr>
        <w:t> </w:t>
      </w:r>
      <w:r>
        <w:rPr/>
        <w:t>differences.</w:t>
      </w:r>
    </w:p>
    <w:p xmlns:wp14="http://schemas.microsoft.com/office/word/2010/wordml" w14:paraId="45FB0818" wp14:textId="77777777">
      <w:pPr>
        <w:pStyle w:val="BodyText"/>
        <w:spacing w:before="10"/>
      </w:pPr>
    </w:p>
    <w:p xmlns:wp14="http://schemas.microsoft.com/office/word/2010/wordml" w14:paraId="25183A15" wp14:textId="77777777">
      <w:pPr>
        <w:pStyle w:val="BodyText"/>
        <w:spacing w:line="276" w:lineRule="auto"/>
        <w:ind w:left="1298" w:right="1155"/>
        <w:jc w:val="both"/>
      </w:pPr>
      <w:r>
        <w:rPr/>
        <w:t>I am mindful that there is no rule of precedent but that NICE does aspire to be predictable and to a broad consistency of approach. A decision of one technology appraisal committee does not bind another, and past approaches may be departed from with appropriate reasoning.</w:t>
      </w:r>
    </w:p>
    <w:p xmlns:wp14="http://schemas.microsoft.com/office/word/2010/wordml" w14:paraId="049F31CB" wp14:textId="77777777">
      <w:pPr>
        <w:pStyle w:val="BodyText"/>
        <w:spacing w:before="9"/>
      </w:pPr>
    </w:p>
    <w:p xmlns:wp14="http://schemas.microsoft.com/office/word/2010/wordml" w14:paraId="1AC47828" wp14:textId="77777777">
      <w:pPr>
        <w:pStyle w:val="BodyText"/>
        <w:spacing w:line="278" w:lineRule="auto"/>
        <w:ind w:left="1298" w:right="1160"/>
        <w:jc w:val="both"/>
      </w:pPr>
      <w:r>
        <w:rPr/>
        <w:t>I note the argument in your response to my initial scrutiny letter that the reasoning provided by the committee for departing from the approach taken in previous evaluations was inadequate.</w:t>
      </w:r>
    </w:p>
    <w:p xmlns:wp14="http://schemas.microsoft.com/office/word/2010/wordml" w14:paraId="53128261" wp14:textId="77777777">
      <w:pPr>
        <w:pStyle w:val="BodyText"/>
        <w:spacing w:before="6"/>
      </w:pPr>
    </w:p>
    <w:p xmlns:wp14="http://schemas.microsoft.com/office/word/2010/wordml" w14:paraId="29EE4011" wp14:textId="77777777">
      <w:pPr>
        <w:pStyle w:val="BodyText"/>
        <w:spacing w:before="1" w:line="276" w:lineRule="auto"/>
        <w:ind w:left="1298" w:right="1157"/>
        <w:jc w:val="both"/>
      </w:pPr>
      <w:r>
        <w:rPr/>
        <w:t>I</w:t>
      </w:r>
      <w:r>
        <w:rPr>
          <w:spacing w:val="-6"/>
        </w:rPr>
        <w:t> </w:t>
      </w:r>
      <w:r>
        <w:rPr/>
        <w:t>will</w:t>
      </w:r>
      <w:r>
        <w:rPr>
          <w:spacing w:val="-7"/>
        </w:rPr>
        <w:t> </w:t>
      </w:r>
      <w:r>
        <w:rPr/>
        <w:t>refer</w:t>
      </w:r>
      <w:r>
        <w:rPr>
          <w:spacing w:val="-5"/>
        </w:rPr>
        <w:t> </w:t>
      </w:r>
      <w:r>
        <w:rPr/>
        <w:t>this</w:t>
      </w:r>
      <w:r>
        <w:rPr>
          <w:spacing w:val="-5"/>
        </w:rPr>
        <w:t> </w:t>
      </w:r>
      <w:r>
        <w:rPr/>
        <w:t>appeal</w:t>
      </w:r>
      <w:r>
        <w:rPr>
          <w:spacing w:val="-7"/>
        </w:rPr>
        <w:t> </w:t>
      </w:r>
      <w:r>
        <w:rPr/>
        <w:t>point</w:t>
      </w:r>
      <w:r>
        <w:rPr>
          <w:spacing w:val="-4"/>
        </w:rPr>
        <w:t> </w:t>
      </w:r>
      <w:r>
        <w:rPr/>
        <w:t>to</w:t>
      </w:r>
      <w:r>
        <w:rPr>
          <w:spacing w:val="-7"/>
        </w:rPr>
        <w:t> </w:t>
      </w:r>
      <w:r>
        <w:rPr/>
        <w:t>the</w:t>
      </w:r>
      <w:r>
        <w:rPr>
          <w:spacing w:val="-7"/>
        </w:rPr>
        <w:t> </w:t>
      </w:r>
      <w:r>
        <w:rPr/>
        <w:t>panel</w:t>
      </w:r>
      <w:r>
        <w:rPr>
          <w:spacing w:val="-7"/>
        </w:rPr>
        <w:t> </w:t>
      </w:r>
      <w:r>
        <w:rPr/>
        <w:t>to</w:t>
      </w:r>
      <w:r>
        <w:rPr>
          <w:spacing w:val="-7"/>
        </w:rPr>
        <w:t> </w:t>
      </w:r>
      <w:r>
        <w:rPr/>
        <w:t>consider</w:t>
      </w:r>
      <w:r>
        <w:rPr>
          <w:spacing w:val="-5"/>
        </w:rPr>
        <w:t> </w:t>
      </w:r>
      <w:r>
        <w:rPr/>
        <w:t>whether</w:t>
      </w:r>
      <w:r>
        <w:rPr>
          <w:spacing w:val="-5"/>
        </w:rPr>
        <w:t> </w:t>
      </w:r>
      <w:r>
        <w:rPr/>
        <w:t>that</w:t>
      </w:r>
      <w:r>
        <w:rPr>
          <w:spacing w:val="-6"/>
        </w:rPr>
        <w:t> </w:t>
      </w:r>
      <w:r>
        <w:rPr/>
        <w:t>reasoning</w:t>
      </w:r>
      <w:r>
        <w:rPr>
          <w:spacing w:val="-7"/>
        </w:rPr>
        <w:t> </w:t>
      </w:r>
      <w:r>
        <w:rPr/>
        <w:t>was</w:t>
      </w:r>
      <w:r>
        <w:rPr>
          <w:spacing w:val="-5"/>
        </w:rPr>
        <w:t> </w:t>
      </w:r>
      <w:r>
        <w:rPr/>
        <w:t>so</w:t>
      </w:r>
      <w:r>
        <w:rPr>
          <w:spacing w:val="-4"/>
        </w:rPr>
        <w:t> </w:t>
      </w:r>
      <w:r>
        <w:rPr/>
        <w:t>inadequate</w:t>
      </w:r>
      <w:r>
        <w:rPr>
          <w:spacing w:val="-4"/>
        </w:rPr>
        <w:t> </w:t>
      </w:r>
      <w:r>
        <w:rPr/>
        <w:t>as</w:t>
      </w:r>
      <w:r>
        <w:rPr>
          <w:spacing w:val="-5"/>
        </w:rPr>
        <w:t> </w:t>
      </w:r>
      <w:r>
        <w:rPr/>
        <w:t>to</w:t>
      </w:r>
      <w:r>
        <w:rPr>
          <w:spacing w:val="-7"/>
        </w:rPr>
        <w:t> </w:t>
      </w:r>
      <w:r>
        <w:rPr/>
        <w:t>be procedurally unfair in the circumstances.</w:t>
      </w:r>
    </w:p>
    <w:p xmlns:wp14="http://schemas.microsoft.com/office/word/2010/wordml" w14:paraId="62486C05" wp14:textId="77777777">
      <w:pPr>
        <w:pStyle w:val="BodyText"/>
        <w:spacing w:before="8"/>
      </w:pPr>
    </w:p>
    <w:p xmlns:wp14="http://schemas.microsoft.com/office/word/2010/wordml" w14:paraId="67D42188" wp14:textId="77777777">
      <w:pPr>
        <w:pStyle w:val="BodyText"/>
        <w:spacing w:before="1" w:line="276" w:lineRule="auto"/>
        <w:ind w:left="1298" w:right="1154"/>
        <w:jc w:val="both"/>
      </w:pPr>
      <w:r>
        <w:rPr/>
        <w:t>The panel will note that this appeal point is referred under Ground 1(a), and is limited therefore to whether the evaluation was procedurally unfair rather than the reasonableness of the committee's </w:t>
      </w:r>
      <w:r>
        <w:rPr>
          <w:spacing w:val="-2"/>
        </w:rPr>
        <w:t>conclusion.</w:t>
      </w:r>
    </w:p>
    <w:p xmlns:wp14="http://schemas.microsoft.com/office/word/2010/wordml" w14:paraId="4101652C" wp14:textId="77777777">
      <w:pPr>
        <w:pStyle w:val="BodyText"/>
        <w:spacing w:before="10"/>
      </w:pPr>
    </w:p>
    <w:p xmlns:wp14="http://schemas.microsoft.com/office/word/2010/wordml" w14:paraId="4D04FCE5" wp14:textId="77777777">
      <w:pPr>
        <w:spacing w:before="0"/>
        <w:ind w:left="1298" w:right="0" w:firstLine="0"/>
        <w:jc w:val="both"/>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7"/>
          <w:sz w:val="20"/>
        </w:rPr>
        <w:t> </w:t>
      </w:r>
      <w:r>
        <w:rPr>
          <w:b/>
          <w:i/>
          <w:sz w:val="20"/>
        </w:rPr>
        <w:t>recommendation</w:t>
      </w:r>
      <w:r>
        <w:rPr>
          <w:b/>
          <w:i/>
          <w:spacing w:val="-6"/>
          <w:sz w:val="20"/>
        </w:rPr>
        <w:t> </w:t>
      </w:r>
      <w:r>
        <w:rPr>
          <w:b/>
          <w:i/>
          <w:sz w:val="20"/>
        </w:rPr>
        <w:t>is</w:t>
      </w:r>
      <w:r>
        <w:rPr>
          <w:b/>
          <w:i/>
          <w:spacing w:val="-7"/>
          <w:sz w:val="20"/>
        </w:rPr>
        <w:t> </w:t>
      </w:r>
      <w:r>
        <w:rPr>
          <w:b/>
          <w:i/>
          <w:sz w:val="20"/>
        </w:rPr>
        <w:t>unreasonable</w:t>
      </w:r>
      <w:r>
        <w:rPr>
          <w:b/>
          <w:i/>
          <w:spacing w:val="-8"/>
          <w:sz w:val="20"/>
        </w:rPr>
        <w:t> </w:t>
      </w:r>
      <w:r>
        <w:rPr>
          <w:b/>
          <w:i/>
          <w:sz w:val="20"/>
        </w:rPr>
        <w:t>in</w:t>
      </w:r>
      <w:r>
        <w:rPr>
          <w:b/>
          <w:i/>
          <w:spacing w:val="-4"/>
          <w:sz w:val="20"/>
        </w:rPr>
        <w:t> </w:t>
      </w:r>
      <w:r>
        <w:rPr>
          <w:b/>
          <w:i/>
          <w:sz w:val="20"/>
        </w:rPr>
        <w:t>light</w:t>
      </w:r>
      <w:r>
        <w:rPr>
          <w:b/>
          <w:i/>
          <w:spacing w:val="-6"/>
          <w:sz w:val="20"/>
        </w:rPr>
        <w:t> </w:t>
      </w:r>
      <w:r>
        <w:rPr>
          <w:b/>
          <w:i/>
          <w:sz w:val="20"/>
        </w:rPr>
        <w:t>of</w:t>
      </w:r>
      <w:r>
        <w:rPr>
          <w:b/>
          <w:i/>
          <w:spacing w:val="-6"/>
          <w:sz w:val="20"/>
        </w:rPr>
        <w:t> </w:t>
      </w:r>
      <w:r>
        <w:rPr>
          <w:b/>
          <w:i/>
          <w:sz w:val="20"/>
        </w:rPr>
        <w:t>the</w:t>
      </w:r>
      <w:r>
        <w:rPr>
          <w:b/>
          <w:i/>
          <w:spacing w:val="-8"/>
          <w:sz w:val="20"/>
        </w:rPr>
        <w:t> </w:t>
      </w:r>
      <w:r>
        <w:rPr>
          <w:b/>
          <w:i/>
          <w:sz w:val="20"/>
        </w:rPr>
        <w:t>evidence</w:t>
      </w:r>
      <w:r>
        <w:rPr>
          <w:b/>
          <w:i/>
          <w:spacing w:val="-7"/>
          <w:sz w:val="20"/>
        </w:rPr>
        <w:t> </w:t>
      </w:r>
      <w:r>
        <w:rPr>
          <w:b/>
          <w:i/>
          <w:sz w:val="20"/>
        </w:rPr>
        <w:t>submitted</w:t>
      </w:r>
      <w:r>
        <w:rPr>
          <w:b/>
          <w:i/>
          <w:spacing w:val="-6"/>
          <w:sz w:val="20"/>
        </w:rPr>
        <w:t> </w:t>
      </w:r>
      <w:r>
        <w:rPr>
          <w:b/>
          <w:i/>
          <w:sz w:val="20"/>
        </w:rPr>
        <w:t>to</w:t>
      </w:r>
      <w:r>
        <w:rPr>
          <w:b/>
          <w:i/>
          <w:spacing w:val="-6"/>
          <w:sz w:val="20"/>
        </w:rPr>
        <w:t> </w:t>
      </w:r>
      <w:r>
        <w:rPr>
          <w:b/>
          <w:i/>
          <w:spacing w:val="-4"/>
          <w:sz w:val="20"/>
        </w:rPr>
        <w:t>NICE</w:t>
      </w:r>
    </w:p>
    <w:p xmlns:wp14="http://schemas.microsoft.com/office/word/2010/wordml" w14:paraId="4B99056E" wp14:textId="77777777">
      <w:pPr>
        <w:pStyle w:val="BodyText"/>
        <w:rPr>
          <w:b/>
          <w:i/>
        </w:rPr>
      </w:pPr>
    </w:p>
    <w:p xmlns:wp14="http://schemas.microsoft.com/office/word/2010/wordml" w14:paraId="1299C43A" wp14:textId="77777777">
      <w:pPr>
        <w:pStyle w:val="BodyText"/>
        <w:rPr>
          <w:b/>
          <w:i/>
        </w:rPr>
      </w:pPr>
    </w:p>
    <w:p xmlns:wp14="http://schemas.microsoft.com/office/word/2010/wordml" w14:paraId="53CEECD7" wp14:textId="77777777">
      <w:pPr>
        <w:pStyle w:val="BodyText"/>
        <w:spacing w:before="45"/>
        <w:rPr>
          <w:b/>
          <w:i/>
        </w:rPr>
      </w:pPr>
      <w:r>
        <w:rPr>
          <w:b/>
          <w:i/>
        </w:rPr>
        <w:drawing>
          <wp:anchor xmlns:wp14="http://schemas.microsoft.com/office/word/2010/wordprocessingDrawing" distT="0" distB="0" distL="0" distR="0" simplePos="0" relativeHeight="487587840" behindDoc="1" locked="0" layoutInCell="1" allowOverlap="1" wp14:anchorId="49093533" wp14:editId="7777777">
            <wp:simplePos x="0" y="0"/>
            <wp:positionH relativeFrom="page">
              <wp:posOffset>280352</wp:posOffset>
            </wp:positionH>
            <wp:positionV relativeFrom="paragraph">
              <wp:posOffset>189938</wp:posOffset>
            </wp:positionV>
            <wp:extent cx="6988725" cy="36271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988725" cy="362712"/>
                    </a:xfrm>
                    <a:prstGeom prst="rect">
                      <a:avLst/>
                    </a:prstGeom>
                  </pic:spPr>
                </pic:pic>
              </a:graphicData>
            </a:graphic>
          </wp:anchor>
        </w:drawing>
      </w:r>
    </w:p>
    <w:p xmlns:wp14="http://schemas.microsoft.com/office/word/2010/wordml" w14:paraId="4DDBEF00" wp14:textId="77777777">
      <w:pPr>
        <w:pStyle w:val="BodyText"/>
        <w:spacing w:after="0"/>
        <w:rPr>
          <w:b/>
          <w:i/>
        </w:rPr>
        <w:sectPr>
          <w:type w:val="continuous"/>
          <w:pgSz w:w="11910" w:h="16840" w:orient="portrait"/>
          <w:pgMar w:top="620" w:right="283" w:bottom="280" w:left="141"/>
          <w:cols w:num="1"/>
        </w:sectPr>
      </w:pPr>
    </w:p>
    <w:p xmlns:wp14="http://schemas.microsoft.com/office/word/2010/wordml" w14:paraId="3CE47765" wp14:textId="77777777">
      <w:pPr>
        <w:pStyle w:val="Heading1"/>
        <w:spacing w:before="81" w:line="276" w:lineRule="auto"/>
        <w:ind w:firstLine="0"/>
        <w:rPr>
          <w:u w:val="none"/>
        </w:rPr>
      </w:pPr>
      <w:r>
        <w:rPr>
          <w:u w:val="single"/>
        </w:rPr>
        <w:t>Appeal point 2.1: the Appraisal Committee's conclusion that there is no OS benefit associated</w:t>
      </w:r>
      <w:r>
        <w:rPr>
          <w:u w:val="none"/>
        </w:rPr>
        <w:t> </w:t>
      </w:r>
      <w:r>
        <w:rPr>
          <w:u w:val="single"/>
        </w:rPr>
        <w:t>with cabozantinib in the epNET population is implausible and inconsistent with the available</w:t>
      </w:r>
      <w:r>
        <w:rPr>
          <w:u w:val="none"/>
        </w:rPr>
        <w:t> </w:t>
      </w:r>
      <w:r>
        <w:rPr>
          <w:spacing w:val="-2"/>
          <w:u w:val="single"/>
        </w:rPr>
        <w:t>evidence.</w:t>
      </w:r>
    </w:p>
    <w:p xmlns:wp14="http://schemas.microsoft.com/office/word/2010/wordml" w14:paraId="3461D779" wp14:textId="77777777">
      <w:pPr>
        <w:pStyle w:val="BodyText"/>
        <w:spacing w:before="11"/>
        <w:rPr>
          <w:b/>
        </w:rPr>
      </w:pPr>
    </w:p>
    <w:p xmlns:wp14="http://schemas.microsoft.com/office/word/2010/wordml" w14:paraId="0DCCBFC1" wp14:textId="77777777">
      <w:pPr>
        <w:pStyle w:val="BodyText"/>
        <w:spacing w:line="276" w:lineRule="auto"/>
        <w:ind w:left="1299" w:right="1158"/>
        <w:jc w:val="both"/>
      </w:pPr>
      <w:r>
        <w:rPr/>
        <w:t>Having</w:t>
      </w:r>
      <w:r>
        <w:rPr>
          <w:spacing w:val="-7"/>
        </w:rPr>
        <w:t> </w:t>
      </w:r>
      <w:r>
        <w:rPr/>
        <w:t>considered</w:t>
      </w:r>
      <w:r>
        <w:rPr>
          <w:spacing w:val="-7"/>
        </w:rPr>
        <w:t> </w:t>
      </w:r>
      <w:r>
        <w:rPr/>
        <w:t>your</w:t>
      </w:r>
      <w:r>
        <w:rPr>
          <w:spacing w:val="-5"/>
        </w:rPr>
        <w:t> </w:t>
      </w:r>
      <w:r>
        <w:rPr/>
        <w:t>response</w:t>
      </w:r>
      <w:r>
        <w:rPr>
          <w:spacing w:val="-7"/>
        </w:rPr>
        <w:t> </w:t>
      </w:r>
      <w:r>
        <w:rPr/>
        <w:t>to</w:t>
      </w:r>
      <w:r>
        <w:rPr>
          <w:spacing w:val="-4"/>
        </w:rPr>
        <w:t> </w:t>
      </w:r>
      <w:r>
        <w:rPr/>
        <w:t>initial</w:t>
      </w:r>
      <w:r>
        <w:rPr>
          <w:spacing w:val="-7"/>
        </w:rPr>
        <w:t> </w:t>
      </w:r>
      <w:r>
        <w:rPr/>
        <w:t>scrutiny,</w:t>
      </w:r>
      <w:r>
        <w:rPr>
          <w:spacing w:val="-6"/>
        </w:rPr>
        <w:t> </w:t>
      </w:r>
      <w:r>
        <w:rPr/>
        <w:t>I</w:t>
      </w:r>
      <w:r>
        <w:rPr>
          <w:spacing w:val="-6"/>
        </w:rPr>
        <w:t> </w:t>
      </w:r>
      <w:r>
        <w:rPr/>
        <w:t>am</w:t>
      </w:r>
      <w:r>
        <w:rPr>
          <w:spacing w:val="-7"/>
        </w:rPr>
        <w:t> </w:t>
      </w:r>
      <w:r>
        <w:rPr/>
        <w:t>minded</w:t>
      </w:r>
      <w:r>
        <w:rPr>
          <w:spacing w:val="-7"/>
        </w:rPr>
        <w:t> </w:t>
      </w:r>
      <w:r>
        <w:rPr/>
        <w:t>to</w:t>
      </w:r>
      <w:r>
        <w:rPr>
          <w:spacing w:val="-7"/>
        </w:rPr>
        <w:t> </w:t>
      </w:r>
      <w:r>
        <w:rPr/>
        <w:t>refer</w:t>
      </w:r>
      <w:r>
        <w:rPr>
          <w:spacing w:val="-5"/>
        </w:rPr>
        <w:t> </w:t>
      </w:r>
      <w:r>
        <w:rPr/>
        <w:t>this</w:t>
      </w:r>
      <w:r>
        <w:rPr>
          <w:spacing w:val="-5"/>
        </w:rPr>
        <w:t> </w:t>
      </w:r>
      <w:r>
        <w:rPr/>
        <w:t>appeal</w:t>
      </w:r>
      <w:r>
        <w:rPr>
          <w:spacing w:val="-7"/>
        </w:rPr>
        <w:t> </w:t>
      </w:r>
      <w:r>
        <w:rPr/>
        <w:t>point</w:t>
      </w:r>
      <w:r>
        <w:rPr>
          <w:spacing w:val="-6"/>
        </w:rPr>
        <w:t> </w:t>
      </w:r>
      <w:r>
        <w:rPr/>
        <w:t>to</w:t>
      </w:r>
      <w:r>
        <w:rPr>
          <w:spacing w:val="-7"/>
        </w:rPr>
        <w:t> </w:t>
      </w:r>
      <w:r>
        <w:rPr/>
        <w:t>the</w:t>
      </w:r>
      <w:r>
        <w:rPr>
          <w:spacing w:val="-7"/>
        </w:rPr>
        <w:t> </w:t>
      </w:r>
      <w:r>
        <w:rPr/>
        <w:t>appeal panel on a limited basis, as follows.</w:t>
      </w:r>
    </w:p>
    <w:p xmlns:wp14="http://schemas.microsoft.com/office/word/2010/wordml" w14:paraId="3CF2D8B6" wp14:textId="77777777">
      <w:pPr>
        <w:pStyle w:val="BodyText"/>
        <w:spacing w:before="9"/>
      </w:pPr>
    </w:p>
    <w:p xmlns:wp14="http://schemas.microsoft.com/office/word/2010/wordml" w14:paraId="2B2E842D" wp14:textId="77777777">
      <w:pPr>
        <w:pStyle w:val="BodyText"/>
        <w:spacing w:line="276" w:lineRule="auto"/>
        <w:ind w:left="1299" w:right="1155"/>
        <w:jc w:val="both"/>
      </w:pPr>
      <w:r>
        <w:rPr/>
        <w:t>I</w:t>
      </w:r>
      <w:r>
        <w:rPr>
          <w:spacing w:val="-6"/>
        </w:rPr>
        <w:t> </w:t>
      </w:r>
      <w:r>
        <w:rPr/>
        <w:t>do</w:t>
      </w:r>
      <w:r>
        <w:rPr>
          <w:spacing w:val="-4"/>
        </w:rPr>
        <w:t> </w:t>
      </w:r>
      <w:r>
        <w:rPr/>
        <w:t>not</w:t>
      </w:r>
      <w:r>
        <w:rPr>
          <w:spacing w:val="-4"/>
        </w:rPr>
        <w:t> </w:t>
      </w:r>
      <w:r>
        <w:rPr/>
        <w:t>accept</w:t>
      </w:r>
      <w:r>
        <w:rPr>
          <w:spacing w:val="-4"/>
        </w:rPr>
        <w:t> </w:t>
      </w:r>
      <w:r>
        <w:rPr/>
        <w:t>that</w:t>
      </w:r>
      <w:r>
        <w:rPr>
          <w:spacing w:val="-6"/>
        </w:rPr>
        <w:t> </w:t>
      </w:r>
      <w:r>
        <w:rPr/>
        <w:t>the</w:t>
      </w:r>
      <w:r>
        <w:rPr>
          <w:spacing w:val="-7"/>
        </w:rPr>
        <w:t> </w:t>
      </w:r>
      <w:r>
        <w:rPr/>
        <w:t>committee's</w:t>
      </w:r>
      <w:r>
        <w:rPr>
          <w:spacing w:val="-5"/>
        </w:rPr>
        <w:t> </w:t>
      </w:r>
      <w:r>
        <w:rPr/>
        <w:t>conclusion</w:t>
      </w:r>
      <w:r>
        <w:rPr>
          <w:spacing w:val="-7"/>
        </w:rPr>
        <w:t> </w:t>
      </w:r>
      <w:r>
        <w:rPr/>
        <w:t>was</w:t>
      </w:r>
      <w:r>
        <w:rPr>
          <w:spacing w:val="-2"/>
        </w:rPr>
        <w:t> </w:t>
      </w:r>
      <w:r>
        <w:rPr/>
        <w:t>arguably</w:t>
      </w:r>
      <w:r>
        <w:rPr>
          <w:spacing w:val="-5"/>
        </w:rPr>
        <w:t> </w:t>
      </w:r>
      <w:r>
        <w:rPr/>
        <w:t>implausible.</w:t>
      </w:r>
      <w:r>
        <w:rPr>
          <w:spacing w:val="-6"/>
        </w:rPr>
        <w:t> </w:t>
      </w:r>
      <w:r>
        <w:rPr/>
        <w:t>The</w:t>
      </w:r>
      <w:r>
        <w:rPr>
          <w:spacing w:val="-7"/>
        </w:rPr>
        <w:t> </w:t>
      </w:r>
      <w:r>
        <w:rPr/>
        <w:t>Committee</w:t>
      </w:r>
      <w:r>
        <w:rPr>
          <w:spacing w:val="-4"/>
        </w:rPr>
        <w:t> </w:t>
      </w:r>
      <w:r>
        <w:rPr/>
        <w:t>explained</w:t>
      </w:r>
      <w:r>
        <w:rPr>
          <w:spacing w:val="-4"/>
        </w:rPr>
        <w:t> </w:t>
      </w:r>
      <w:r>
        <w:rPr/>
        <w:t>at paragraph 3.6 of the FDG that</w:t>
      </w:r>
      <w:r>
        <w:rPr>
          <w:spacing w:val="-2"/>
        </w:rPr>
        <w:t> </w:t>
      </w:r>
      <w:r>
        <w:rPr/>
        <w:t>there was considerable uncertainty associated</w:t>
      </w:r>
      <w:r>
        <w:rPr>
          <w:spacing w:val="-2"/>
        </w:rPr>
        <w:t> </w:t>
      </w:r>
      <w:r>
        <w:rPr/>
        <w:t>with</w:t>
      </w:r>
      <w:r>
        <w:rPr>
          <w:spacing w:val="-2"/>
        </w:rPr>
        <w:t> </w:t>
      </w:r>
      <w:r>
        <w:rPr/>
        <w:t>both</w:t>
      </w:r>
      <w:r>
        <w:rPr>
          <w:spacing w:val="-2"/>
        </w:rPr>
        <w:t> </w:t>
      </w:r>
      <w:r>
        <w:rPr/>
        <w:t>the IPCW and RPSFTM methods for adjusting for treatment switching / crossover, but that both suggested a hazard ratio of 1 for overall survival was plausible. Paragraph 3.8 further explained that the wide confidence intervals crossed 1 for both methods. While conservative, a hazard ratio of 1 was therefore within the range</w:t>
      </w:r>
      <w:r>
        <w:rPr>
          <w:spacing w:val="-8"/>
        </w:rPr>
        <w:t> </w:t>
      </w:r>
      <w:r>
        <w:rPr/>
        <w:t>of</w:t>
      </w:r>
      <w:r>
        <w:rPr>
          <w:spacing w:val="-8"/>
        </w:rPr>
        <w:t> </w:t>
      </w:r>
      <w:r>
        <w:rPr/>
        <w:t>results.</w:t>
      </w:r>
      <w:r>
        <w:rPr>
          <w:spacing w:val="-8"/>
        </w:rPr>
        <w:t> </w:t>
      </w:r>
      <w:r>
        <w:rPr/>
        <w:t>As</w:t>
      </w:r>
      <w:r>
        <w:rPr>
          <w:spacing w:val="-6"/>
        </w:rPr>
        <w:t> </w:t>
      </w:r>
      <w:r>
        <w:rPr/>
        <w:t>to</w:t>
      </w:r>
      <w:r>
        <w:rPr>
          <w:spacing w:val="-8"/>
        </w:rPr>
        <w:t> </w:t>
      </w:r>
      <w:r>
        <w:rPr/>
        <w:t>the</w:t>
      </w:r>
      <w:r>
        <w:rPr>
          <w:spacing w:val="-8"/>
        </w:rPr>
        <w:t> </w:t>
      </w:r>
      <w:r>
        <w:rPr/>
        <w:t>first</w:t>
      </w:r>
      <w:r>
        <w:rPr>
          <w:spacing w:val="-8"/>
        </w:rPr>
        <w:t> </w:t>
      </w:r>
      <w:r>
        <w:rPr/>
        <w:t>part</w:t>
      </w:r>
      <w:r>
        <w:rPr>
          <w:spacing w:val="-8"/>
        </w:rPr>
        <w:t> </w:t>
      </w:r>
      <w:r>
        <w:rPr/>
        <w:t>of</w:t>
      </w:r>
      <w:r>
        <w:rPr>
          <w:spacing w:val="-8"/>
        </w:rPr>
        <w:t> </w:t>
      </w:r>
      <w:r>
        <w:rPr/>
        <w:t>this</w:t>
      </w:r>
      <w:r>
        <w:rPr>
          <w:spacing w:val="-6"/>
        </w:rPr>
        <w:t> </w:t>
      </w:r>
      <w:r>
        <w:rPr/>
        <w:t>appeal</w:t>
      </w:r>
      <w:r>
        <w:rPr>
          <w:spacing w:val="-9"/>
        </w:rPr>
        <w:t> </w:t>
      </w:r>
      <w:r>
        <w:rPr/>
        <w:t>point,</w:t>
      </w:r>
      <w:r>
        <w:rPr>
          <w:spacing w:val="-8"/>
        </w:rPr>
        <w:t> </w:t>
      </w:r>
      <w:r>
        <w:rPr/>
        <w:t>you</w:t>
      </w:r>
      <w:r>
        <w:rPr>
          <w:spacing w:val="-8"/>
        </w:rPr>
        <w:t> </w:t>
      </w:r>
      <w:r>
        <w:rPr/>
        <w:t>have</w:t>
      </w:r>
      <w:r>
        <w:rPr>
          <w:spacing w:val="-8"/>
        </w:rPr>
        <w:t> </w:t>
      </w:r>
      <w:r>
        <w:rPr/>
        <w:t>therefore</w:t>
      </w:r>
      <w:r>
        <w:rPr>
          <w:spacing w:val="-8"/>
        </w:rPr>
        <w:t> </w:t>
      </w:r>
      <w:r>
        <w:rPr/>
        <w:t>not</w:t>
      </w:r>
      <w:r>
        <w:rPr>
          <w:spacing w:val="-8"/>
        </w:rPr>
        <w:t> </w:t>
      </w:r>
      <w:r>
        <w:rPr/>
        <w:t>persuaded</w:t>
      </w:r>
      <w:r>
        <w:rPr>
          <w:spacing w:val="-8"/>
        </w:rPr>
        <w:t> </w:t>
      </w:r>
      <w:r>
        <w:rPr/>
        <w:t>me</w:t>
      </w:r>
      <w:r>
        <w:rPr>
          <w:spacing w:val="-8"/>
        </w:rPr>
        <w:t> </w:t>
      </w:r>
      <w:r>
        <w:rPr/>
        <w:t>that</w:t>
      </w:r>
      <w:r>
        <w:rPr>
          <w:spacing w:val="-8"/>
        </w:rPr>
        <w:t> </w:t>
      </w:r>
      <w:r>
        <w:rPr/>
        <w:t>a</w:t>
      </w:r>
      <w:r>
        <w:rPr>
          <w:spacing w:val="-8"/>
        </w:rPr>
        <w:t> </w:t>
      </w:r>
      <w:r>
        <w:rPr/>
        <w:t>HR of 1 was implausible.</w:t>
      </w:r>
    </w:p>
    <w:p xmlns:wp14="http://schemas.microsoft.com/office/word/2010/wordml" w14:paraId="0FB78278" wp14:textId="77777777">
      <w:pPr>
        <w:pStyle w:val="BodyText"/>
        <w:spacing w:before="8"/>
      </w:pPr>
    </w:p>
    <w:p xmlns:wp14="http://schemas.microsoft.com/office/word/2010/wordml" w14:paraId="6B21E826" wp14:textId="77777777">
      <w:pPr>
        <w:pStyle w:val="BodyText"/>
        <w:spacing w:before="1" w:line="276" w:lineRule="auto"/>
        <w:ind w:left="1298" w:right="1157"/>
        <w:jc w:val="both"/>
      </w:pPr>
      <w:r>
        <w:rPr/>
        <w:t>Nor do</w:t>
      </w:r>
      <w:r>
        <w:rPr>
          <w:spacing w:val="-1"/>
        </w:rPr>
        <w:t> </w:t>
      </w:r>
      <w:r>
        <w:rPr/>
        <w:t>I</w:t>
      </w:r>
      <w:r>
        <w:rPr>
          <w:spacing w:val="-1"/>
        </w:rPr>
        <w:t> </w:t>
      </w:r>
      <w:r>
        <w:rPr/>
        <w:t>agree</w:t>
      </w:r>
      <w:r>
        <w:rPr>
          <w:spacing w:val="-1"/>
        </w:rPr>
        <w:t> </w:t>
      </w:r>
      <w:r>
        <w:rPr/>
        <w:t>that</w:t>
      </w:r>
      <w:r>
        <w:rPr>
          <w:spacing w:val="-1"/>
        </w:rPr>
        <w:t> </w:t>
      </w:r>
      <w:r>
        <w:rPr/>
        <w:t>the</w:t>
      </w:r>
      <w:r>
        <w:rPr>
          <w:spacing w:val="-1"/>
        </w:rPr>
        <w:t> </w:t>
      </w:r>
      <w:r>
        <w:rPr/>
        <w:t>conclusion was arguably inconsistent</w:t>
      </w:r>
      <w:r>
        <w:rPr>
          <w:spacing w:val="-1"/>
        </w:rPr>
        <w:t> </w:t>
      </w:r>
      <w:r>
        <w:rPr/>
        <w:t>with</w:t>
      </w:r>
      <w:r>
        <w:rPr>
          <w:spacing w:val="-1"/>
        </w:rPr>
        <w:t> </w:t>
      </w:r>
      <w:r>
        <w:rPr/>
        <w:t>the</w:t>
      </w:r>
      <w:r>
        <w:rPr>
          <w:spacing w:val="-1"/>
        </w:rPr>
        <w:t> </w:t>
      </w:r>
      <w:r>
        <w:rPr/>
        <w:t>trial</w:t>
      </w:r>
      <w:r>
        <w:rPr>
          <w:spacing w:val="-1"/>
        </w:rPr>
        <w:t> </w:t>
      </w:r>
      <w:r>
        <w:rPr/>
        <w:t>evidence</w:t>
      </w:r>
      <w:r>
        <w:rPr>
          <w:spacing w:val="-1"/>
        </w:rPr>
        <w:t> </w:t>
      </w:r>
      <w:r>
        <w:rPr/>
        <w:t>(a</w:t>
      </w:r>
      <w:r>
        <w:rPr>
          <w:spacing w:val="-1"/>
        </w:rPr>
        <w:t> </w:t>
      </w:r>
      <w:r>
        <w:rPr/>
        <w:t>HR of</w:t>
      </w:r>
      <w:r>
        <w:rPr>
          <w:spacing w:val="-1"/>
        </w:rPr>
        <w:t> </w:t>
      </w:r>
      <w:r>
        <w:rPr/>
        <w:t>1</w:t>
      </w:r>
      <w:r>
        <w:rPr>
          <w:spacing w:val="-1"/>
        </w:rPr>
        <w:t> </w:t>
      </w:r>
      <w:r>
        <w:rPr/>
        <w:t>reflects the results in CABNIET with the August 2024 cut-off), and I note I have already referred your appeal points 2.2 and 2.4 for the panel to consider unreasonableness in light of the clinical expert evidence and the evidence on PFS respectively.</w:t>
      </w:r>
    </w:p>
    <w:p xmlns:wp14="http://schemas.microsoft.com/office/word/2010/wordml" w14:paraId="1FC39945" wp14:textId="77777777">
      <w:pPr>
        <w:pStyle w:val="BodyText"/>
        <w:spacing w:before="10"/>
      </w:pPr>
    </w:p>
    <w:p xmlns:wp14="http://schemas.microsoft.com/office/word/2010/wordml" w14:paraId="58BDED04" wp14:textId="77777777">
      <w:pPr>
        <w:pStyle w:val="BodyText"/>
        <w:spacing w:line="276" w:lineRule="auto"/>
        <w:ind w:left="1298" w:right="1158"/>
        <w:jc w:val="both"/>
      </w:pPr>
      <w:r>
        <w:rPr/>
        <w:t>I will, however, refer this appeal point to the appeal panel with regards to your argumentation on the committee's handling of uncertainty, as follows:</w:t>
      </w:r>
    </w:p>
    <w:p xmlns:wp14="http://schemas.microsoft.com/office/word/2010/wordml" w14:paraId="0562CB0E" wp14:textId="77777777">
      <w:pPr>
        <w:pStyle w:val="BodyText"/>
        <w:spacing w:before="11"/>
      </w:pPr>
    </w:p>
    <w:p xmlns:wp14="http://schemas.microsoft.com/office/word/2010/wordml" w14:paraId="3BD2B293" wp14:textId="77777777">
      <w:pPr>
        <w:pStyle w:val="BodyText"/>
        <w:spacing w:line="276" w:lineRule="auto"/>
        <w:ind w:left="2018" w:right="1158"/>
        <w:jc w:val="both"/>
      </w:pPr>
      <w:r>
        <w:rPr/>
        <w:t>"the</w:t>
      </w:r>
      <w:r>
        <w:rPr>
          <w:spacing w:val="-10"/>
        </w:rPr>
        <w:t> </w:t>
      </w:r>
      <w:r>
        <w:rPr/>
        <w:t>Appraisal</w:t>
      </w:r>
      <w:r>
        <w:rPr>
          <w:spacing w:val="-11"/>
        </w:rPr>
        <w:t> </w:t>
      </w:r>
      <w:r>
        <w:rPr/>
        <w:t>Committee's</w:t>
      </w:r>
      <w:r>
        <w:rPr>
          <w:spacing w:val="-8"/>
        </w:rPr>
        <w:t> </w:t>
      </w:r>
      <w:r>
        <w:rPr/>
        <w:t>conclusion</w:t>
      </w:r>
      <w:r>
        <w:rPr>
          <w:spacing w:val="-10"/>
        </w:rPr>
        <w:t> </w:t>
      </w:r>
      <w:r>
        <w:rPr/>
        <w:t>that</w:t>
      </w:r>
      <w:r>
        <w:rPr>
          <w:spacing w:val="-10"/>
        </w:rPr>
        <w:t> </w:t>
      </w:r>
      <w:r>
        <w:rPr/>
        <w:t>there</w:t>
      </w:r>
      <w:r>
        <w:rPr>
          <w:spacing w:val="-10"/>
        </w:rPr>
        <w:t> </w:t>
      </w:r>
      <w:r>
        <w:rPr/>
        <w:t>is</w:t>
      </w:r>
      <w:r>
        <w:rPr>
          <w:spacing w:val="-8"/>
        </w:rPr>
        <w:t> </w:t>
      </w:r>
      <w:r>
        <w:rPr/>
        <w:t>no</w:t>
      </w:r>
      <w:r>
        <w:rPr>
          <w:spacing w:val="-10"/>
        </w:rPr>
        <w:t> </w:t>
      </w:r>
      <w:r>
        <w:rPr/>
        <w:t>OS</w:t>
      </w:r>
      <w:r>
        <w:rPr>
          <w:spacing w:val="-13"/>
        </w:rPr>
        <w:t> </w:t>
      </w:r>
      <w:r>
        <w:rPr/>
        <w:t>benefit</w:t>
      </w:r>
      <w:r>
        <w:rPr>
          <w:spacing w:val="-10"/>
        </w:rPr>
        <w:t> </w:t>
      </w:r>
      <w:r>
        <w:rPr/>
        <w:t>associated</w:t>
      </w:r>
      <w:r>
        <w:rPr>
          <w:spacing w:val="-10"/>
        </w:rPr>
        <w:t> </w:t>
      </w:r>
      <w:r>
        <w:rPr/>
        <w:t>with</w:t>
      </w:r>
      <w:r>
        <w:rPr>
          <w:spacing w:val="-8"/>
        </w:rPr>
        <w:t> </w:t>
      </w:r>
      <w:r>
        <w:rPr/>
        <w:t>cabozantinib in the epNET population is unreasonable in light of the uncertainty in the evidence around the magnitude of OS benefit."</w:t>
      </w:r>
    </w:p>
    <w:p xmlns:wp14="http://schemas.microsoft.com/office/word/2010/wordml" w14:paraId="34CE0A41" wp14:textId="77777777">
      <w:pPr>
        <w:pStyle w:val="BodyText"/>
        <w:spacing w:before="8"/>
      </w:pPr>
    </w:p>
    <w:p xmlns:wp14="http://schemas.microsoft.com/office/word/2010/wordml" w14:paraId="78F62737" wp14:textId="77777777">
      <w:pPr>
        <w:spacing w:before="1" w:line="276" w:lineRule="auto"/>
        <w:ind w:left="1299" w:right="1156" w:hanging="1"/>
        <w:jc w:val="both"/>
        <w:rPr>
          <w:b/>
          <w:sz w:val="20"/>
        </w:rPr>
      </w:pPr>
      <w:r>
        <w:rPr>
          <w:b/>
          <w:sz w:val="20"/>
          <w:u w:val="single"/>
        </w:rPr>
        <w:t>Appeal point 2.5: the Appraisal Committee's conclusion that "</w:t>
      </w:r>
      <w:r>
        <w:rPr>
          <w:b/>
          <w:i/>
          <w:sz w:val="20"/>
          <w:u w:val="single"/>
        </w:rPr>
        <w:t>because of the small amount of</w:t>
      </w:r>
      <w:r>
        <w:rPr>
          <w:b/>
          <w:i/>
          <w:sz w:val="20"/>
          <w:u w:val="none"/>
        </w:rPr>
        <w:t> </w:t>
      </w:r>
      <w:r>
        <w:rPr>
          <w:b/>
          <w:i/>
          <w:sz w:val="20"/>
          <w:u w:val="single"/>
        </w:rPr>
        <w:t>data and based on clinical expert opinion, it would not be appropriate to consider a</w:t>
      </w:r>
      <w:r>
        <w:rPr>
          <w:b/>
          <w:i/>
          <w:sz w:val="20"/>
          <w:u w:val="none"/>
        </w:rPr>
        <w:t> </w:t>
      </w:r>
      <w:r>
        <w:rPr>
          <w:b/>
          <w:i/>
          <w:sz w:val="20"/>
          <w:u w:val="single"/>
        </w:rPr>
        <w:t>recommendation for the lung NETs population alone" </w:t>
      </w:r>
      <w:r>
        <w:rPr>
          <w:b/>
          <w:sz w:val="20"/>
          <w:u w:val="single"/>
        </w:rPr>
        <w:t>is unreasonable in light of the evidence</w:t>
      </w:r>
      <w:r>
        <w:rPr>
          <w:b/>
          <w:sz w:val="20"/>
          <w:u w:val="none"/>
        </w:rPr>
        <w:t> </w:t>
      </w:r>
      <w:r>
        <w:rPr>
          <w:b/>
          <w:spacing w:val="-2"/>
          <w:sz w:val="20"/>
          <w:u w:val="single"/>
        </w:rPr>
        <w:t>submitted.</w:t>
      </w:r>
    </w:p>
    <w:p xmlns:wp14="http://schemas.microsoft.com/office/word/2010/wordml" w14:paraId="62EBF3C5" wp14:textId="77777777">
      <w:pPr>
        <w:pStyle w:val="BodyText"/>
        <w:spacing w:before="11"/>
        <w:rPr>
          <w:b/>
        </w:rPr>
      </w:pPr>
    </w:p>
    <w:p xmlns:wp14="http://schemas.microsoft.com/office/word/2010/wordml" w14:paraId="443322B3" wp14:textId="77777777">
      <w:pPr>
        <w:pStyle w:val="BodyText"/>
        <w:spacing w:line="276" w:lineRule="auto"/>
        <w:ind w:left="1298" w:right="1157"/>
        <w:jc w:val="both"/>
      </w:pPr>
      <w:r>
        <w:rPr/>
        <w:t>In</w:t>
      </w:r>
      <w:r>
        <w:rPr>
          <w:spacing w:val="-10"/>
        </w:rPr>
        <w:t> </w:t>
      </w:r>
      <w:r>
        <w:rPr/>
        <w:t>my</w:t>
      </w:r>
      <w:r>
        <w:rPr>
          <w:spacing w:val="-7"/>
        </w:rPr>
        <w:t> </w:t>
      </w:r>
      <w:r>
        <w:rPr/>
        <w:t>initial</w:t>
      </w:r>
      <w:r>
        <w:rPr>
          <w:spacing w:val="-11"/>
        </w:rPr>
        <w:t> </w:t>
      </w:r>
      <w:r>
        <w:rPr/>
        <w:t>scrutiny</w:t>
      </w:r>
      <w:r>
        <w:rPr>
          <w:spacing w:val="-9"/>
        </w:rPr>
        <w:t> </w:t>
      </w:r>
      <w:r>
        <w:rPr/>
        <w:t>letter,</w:t>
      </w:r>
      <w:r>
        <w:rPr>
          <w:spacing w:val="-9"/>
        </w:rPr>
        <w:t> </w:t>
      </w:r>
      <w:r>
        <w:rPr/>
        <w:t>I</w:t>
      </w:r>
      <w:r>
        <w:rPr>
          <w:spacing w:val="-6"/>
        </w:rPr>
        <w:t> </w:t>
      </w:r>
      <w:r>
        <w:rPr/>
        <w:t>invited</w:t>
      </w:r>
      <w:r>
        <w:rPr>
          <w:spacing w:val="-10"/>
        </w:rPr>
        <w:t> </w:t>
      </w:r>
      <w:r>
        <w:rPr/>
        <w:t>you</w:t>
      </w:r>
      <w:r>
        <w:rPr>
          <w:spacing w:val="-9"/>
        </w:rPr>
        <w:t> </w:t>
      </w:r>
      <w:r>
        <w:rPr/>
        <w:t>to</w:t>
      </w:r>
      <w:r>
        <w:rPr>
          <w:spacing w:val="-9"/>
        </w:rPr>
        <w:t> </w:t>
      </w:r>
      <w:r>
        <w:rPr/>
        <w:t>draw</w:t>
      </w:r>
      <w:r>
        <w:rPr>
          <w:spacing w:val="-8"/>
        </w:rPr>
        <w:t> </w:t>
      </w:r>
      <w:r>
        <w:rPr/>
        <w:t>my</w:t>
      </w:r>
      <w:r>
        <w:rPr>
          <w:spacing w:val="-7"/>
        </w:rPr>
        <w:t> </w:t>
      </w:r>
      <w:r>
        <w:rPr/>
        <w:t>attention</w:t>
      </w:r>
      <w:r>
        <w:rPr>
          <w:spacing w:val="-10"/>
        </w:rPr>
        <w:t> </w:t>
      </w:r>
      <w:r>
        <w:rPr/>
        <w:t>to</w:t>
      </w:r>
      <w:r>
        <w:rPr>
          <w:spacing w:val="-9"/>
        </w:rPr>
        <w:t> </w:t>
      </w:r>
      <w:r>
        <w:rPr/>
        <w:t>the</w:t>
      </w:r>
      <w:r>
        <w:rPr>
          <w:spacing w:val="-9"/>
        </w:rPr>
        <w:t> </w:t>
      </w:r>
      <w:r>
        <w:rPr/>
        <w:t>clinical</w:t>
      </w:r>
      <w:r>
        <w:rPr>
          <w:spacing w:val="-9"/>
        </w:rPr>
        <w:t> </w:t>
      </w:r>
      <w:r>
        <w:rPr/>
        <w:t>expert</w:t>
      </w:r>
      <w:r>
        <w:rPr>
          <w:spacing w:val="-9"/>
        </w:rPr>
        <w:t> </w:t>
      </w:r>
      <w:r>
        <w:rPr/>
        <w:t>opinion</w:t>
      </w:r>
      <w:r>
        <w:rPr>
          <w:spacing w:val="-9"/>
        </w:rPr>
        <w:t> </w:t>
      </w:r>
      <w:r>
        <w:rPr/>
        <w:t>that</w:t>
      </w:r>
      <w:r>
        <w:rPr>
          <w:spacing w:val="-9"/>
        </w:rPr>
        <w:t> </w:t>
      </w:r>
      <w:r>
        <w:rPr/>
        <w:t>supported separate consideration of the lung NET population. You have done so in your letter of response and, on</w:t>
      </w:r>
      <w:r>
        <w:rPr>
          <w:spacing w:val="-2"/>
        </w:rPr>
        <w:t> </w:t>
      </w:r>
      <w:r>
        <w:rPr/>
        <w:t>review of</w:t>
      </w:r>
      <w:r>
        <w:rPr>
          <w:spacing w:val="-2"/>
        </w:rPr>
        <w:t> </w:t>
      </w:r>
      <w:r>
        <w:rPr/>
        <w:t>that</w:t>
      </w:r>
      <w:r>
        <w:rPr>
          <w:spacing w:val="-2"/>
        </w:rPr>
        <w:t> </w:t>
      </w:r>
      <w:r>
        <w:rPr/>
        <w:t>evidence, I</w:t>
      </w:r>
      <w:r>
        <w:rPr>
          <w:spacing w:val="-2"/>
        </w:rPr>
        <w:t> </w:t>
      </w:r>
      <w:r>
        <w:rPr/>
        <w:t>am</w:t>
      </w:r>
      <w:r>
        <w:rPr>
          <w:spacing w:val="-2"/>
        </w:rPr>
        <w:t> </w:t>
      </w:r>
      <w:r>
        <w:rPr/>
        <w:t>persuaded</w:t>
      </w:r>
      <w:r>
        <w:rPr>
          <w:spacing w:val="-2"/>
        </w:rPr>
        <w:t> </w:t>
      </w:r>
      <w:r>
        <w:rPr/>
        <w:t>that</w:t>
      </w:r>
      <w:r>
        <w:rPr>
          <w:spacing w:val="-2"/>
        </w:rPr>
        <w:t> </w:t>
      </w:r>
      <w:r>
        <w:rPr/>
        <w:t>the</w:t>
      </w:r>
      <w:r>
        <w:rPr>
          <w:spacing w:val="-2"/>
        </w:rPr>
        <w:t> </w:t>
      </w:r>
      <w:r>
        <w:rPr/>
        <w:t>Committee's decision</w:t>
      </w:r>
      <w:r>
        <w:rPr>
          <w:spacing w:val="-2"/>
        </w:rPr>
        <w:t> </w:t>
      </w:r>
      <w:r>
        <w:rPr/>
        <w:t>is arguably unreasonable</w:t>
      </w:r>
      <w:r>
        <w:rPr>
          <w:spacing w:val="-2"/>
        </w:rPr>
        <w:t> </w:t>
      </w:r>
      <w:r>
        <w:rPr/>
        <w:t>in the light of that evidence. I will therefore refer this appeal point to the appeal panel.</w:t>
      </w:r>
    </w:p>
    <w:p xmlns:wp14="http://schemas.microsoft.com/office/word/2010/wordml" w14:paraId="6D98A12B" wp14:textId="77777777">
      <w:pPr>
        <w:pStyle w:val="BodyText"/>
        <w:spacing w:before="10"/>
      </w:pPr>
    </w:p>
    <w:p xmlns:wp14="http://schemas.microsoft.com/office/word/2010/wordml" w14:paraId="2B2A7A39" wp14:textId="77777777">
      <w:pPr>
        <w:pStyle w:val="BodyText"/>
        <w:ind w:left="1299"/>
      </w:pPr>
      <w:r>
        <w:rPr>
          <w:spacing w:val="-2"/>
          <w:u w:val="single"/>
        </w:rPr>
        <w:t>Conclusion</w:t>
      </w:r>
    </w:p>
    <w:p xmlns:wp14="http://schemas.microsoft.com/office/word/2010/wordml" w14:paraId="2946DB82" wp14:textId="77777777">
      <w:pPr>
        <w:pStyle w:val="BodyText"/>
        <w:spacing w:before="44"/>
      </w:pPr>
    </w:p>
    <w:p xmlns:wp14="http://schemas.microsoft.com/office/word/2010/wordml" w14:paraId="5AD78F6D" wp14:textId="77777777">
      <w:pPr>
        <w:pStyle w:val="BodyText"/>
        <w:spacing w:before="1"/>
        <w:ind w:left="1299"/>
      </w:pPr>
      <w:r>
        <w:rPr/>
        <w:t>Therefore,</w:t>
      </w:r>
      <w:r>
        <w:rPr>
          <w:spacing w:val="-8"/>
        </w:rPr>
        <w:t> </w:t>
      </w:r>
      <w:r>
        <w:rPr/>
        <w:t>the</w:t>
      </w:r>
      <w:r>
        <w:rPr>
          <w:spacing w:val="-7"/>
        </w:rPr>
        <w:t> </w:t>
      </w:r>
      <w:r>
        <w:rPr/>
        <w:t>valid</w:t>
      </w:r>
      <w:r>
        <w:rPr>
          <w:spacing w:val="-7"/>
        </w:rPr>
        <w:t> </w:t>
      </w:r>
      <w:r>
        <w:rPr/>
        <w:t>appeal</w:t>
      </w:r>
      <w:r>
        <w:rPr>
          <w:spacing w:val="-5"/>
        </w:rPr>
        <w:t> </w:t>
      </w:r>
      <w:r>
        <w:rPr/>
        <w:t>points</w:t>
      </w:r>
      <w:r>
        <w:rPr>
          <w:spacing w:val="-8"/>
        </w:rPr>
        <w:t> </w:t>
      </w:r>
      <w:r>
        <w:rPr>
          <w:spacing w:val="-4"/>
        </w:rPr>
        <w:t>are:</w:t>
      </w:r>
    </w:p>
    <w:p xmlns:wp14="http://schemas.microsoft.com/office/word/2010/wordml" w14:paraId="5997CC1D" wp14:textId="77777777">
      <w:pPr>
        <w:pStyle w:val="BodyText"/>
        <w:spacing w:before="44"/>
      </w:pPr>
    </w:p>
    <w:p xmlns:wp14="http://schemas.microsoft.com/office/word/2010/wordml" w14:paraId="7A0B42FF" wp14:textId="77777777">
      <w:pPr>
        <w:pStyle w:val="ListParagraph"/>
        <w:numPr>
          <w:ilvl w:val="0"/>
          <w:numId w:val="1"/>
        </w:numPr>
        <w:tabs>
          <w:tab w:val="left" w:leader="none" w:pos="2019"/>
        </w:tabs>
        <w:spacing w:before="1" w:after="0" w:line="285" w:lineRule="auto"/>
        <w:ind w:left="2019" w:right="1154" w:hanging="360"/>
        <w:jc w:val="both"/>
        <w:rPr>
          <w:sz w:val="20"/>
        </w:rPr>
      </w:pPr>
      <w:r>
        <w:rPr>
          <w:b/>
          <w:sz w:val="20"/>
        </w:rPr>
        <w:t>1(a).1</w:t>
      </w:r>
      <w:r>
        <w:rPr>
          <w:b/>
          <w:spacing w:val="-6"/>
          <w:sz w:val="20"/>
        </w:rPr>
        <w:t> </w:t>
      </w:r>
      <w:r>
        <w:rPr>
          <w:sz w:val="20"/>
        </w:rPr>
        <w:t>–</w:t>
      </w:r>
      <w:r>
        <w:rPr>
          <w:spacing w:val="-6"/>
          <w:sz w:val="20"/>
        </w:rPr>
        <w:t> </w:t>
      </w:r>
      <w:r>
        <w:rPr>
          <w:sz w:val="20"/>
        </w:rPr>
        <w:t>the</w:t>
      </w:r>
      <w:r>
        <w:rPr>
          <w:spacing w:val="-6"/>
          <w:sz w:val="20"/>
        </w:rPr>
        <w:t> </w:t>
      </w:r>
      <w:r>
        <w:rPr>
          <w:sz w:val="20"/>
        </w:rPr>
        <w:t>Appraisal</w:t>
      </w:r>
      <w:r>
        <w:rPr>
          <w:spacing w:val="-6"/>
          <w:sz w:val="20"/>
        </w:rPr>
        <w:t> </w:t>
      </w:r>
      <w:r>
        <w:rPr>
          <w:sz w:val="20"/>
        </w:rPr>
        <w:t>Committee's</w:t>
      </w:r>
      <w:r>
        <w:rPr>
          <w:spacing w:val="-4"/>
          <w:sz w:val="20"/>
        </w:rPr>
        <w:t> </w:t>
      </w:r>
      <w:r>
        <w:rPr>
          <w:sz w:val="20"/>
        </w:rPr>
        <w:t>conclusion</w:t>
      </w:r>
      <w:r>
        <w:rPr>
          <w:spacing w:val="-6"/>
          <w:sz w:val="20"/>
        </w:rPr>
        <w:t> </w:t>
      </w:r>
      <w:r>
        <w:rPr>
          <w:sz w:val="20"/>
        </w:rPr>
        <w:t>on</w:t>
      </w:r>
      <w:r>
        <w:rPr>
          <w:spacing w:val="-6"/>
          <w:sz w:val="20"/>
        </w:rPr>
        <w:t> </w:t>
      </w:r>
      <w:r>
        <w:rPr>
          <w:sz w:val="20"/>
        </w:rPr>
        <w:t>OS</w:t>
      </w:r>
      <w:r>
        <w:rPr>
          <w:spacing w:val="-6"/>
          <w:sz w:val="20"/>
        </w:rPr>
        <w:t> </w:t>
      </w:r>
      <w:r>
        <w:rPr>
          <w:sz w:val="20"/>
        </w:rPr>
        <w:t>in</w:t>
      </w:r>
      <w:r>
        <w:rPr>
          <w:spacing w:val="-6"/>
          <w:sz w:val="20"/>
        </w:rPr>
        <w:t> </w:t>
      </w:r>
      <w:r>
        <w:rPr>
          <w:sz w:val="20"/>
        </w:rPr>
        <w:t>the</w:t>
      </w:r>
      <w:r>
        <w:rPr>
          <w:spacing w:val="-6"/>
          <w:sz w:val="20"/>
        </w:rPr>
        <w:t> </w:t>
      </w:r>
      <w:r>
        <w:rPr>
          <w:sz w:val="20"/>
        </w:rPr>
        <w:t>epNET</w:t>
      </w:r>
      <w:r>
        <w:rPr>
          <w:spacing w:val="-5"/>
          <w:sz w:val="20"/>
        </w:rPr>
        <w:t> </w:t>
      </w:r>
      <w:r>
        <w:rPr>
          <w:sz w:val="20"/>
        </w:rPr>
        <w:t>population</w:t>
      </w:r>
      <w:r>
        <w:rPr>
          <w:spacing w:val="-6"/>
          <w:sz w:val="20"/>
        </w:rPr>
        <w:t> </w:t>
      </w:r>
      <w:r>
        <w:rPr>
          <w:sz w:val="20"/>
        </w:rPr>
        <w:t>is</w:t>
      </w:r>
      <w:r>
        <w:rPr>
          <w:spacing w:val="-4"/>
          <w:sz w:val="20"/>
        </w:rPr>
        <w:t> </w:t>
      </w:r>
      <w:r>
        <w:rPr>
          <w:sz w:val="20"/>
        </w:rPr>
        <w:t>not</w:t>
      </w:r>
      <w:r>
        <w:rPr>
          <w:spacing w:val="-5"/>
          <w:sz w:val="20"/>
        </w:rPr>
        <w:t> </w:t>
      </w:r>
      <w:r>
        <w:rPr>
          <w:sz w:val="20"/>
        </w:rPr>
        <w:t>aligned</w:t>
      </w:r>
      <w:r>
        <w:rPr>
          <w:spacing w:val="-6"/>
          <w:sz w:val="20"/>
        </w:rPr>
        <w:t> </w:t>
      </w:r>
      <w:r>
        <w:rPr>
          <w:sz w:val="20"/>
        </w:rPr>
        <w:t>to past</w:t>
      </w:r>
      <w:r>
        <w:rPr>
          <w:spacing w:val="-9"/>
          <w:sz w:val="20"/>
        </w:rPr>
        <w:t> </w:t>
      </w:r>
      <w:r>
        <w:rPr>
          <w:sz w:val="20"/>
        </w:rPr>
        <w:t>precedent</w:t>
      </w:r>
      <w:r>
        <w:rPr>
          <w:spacing w:val="-9"/>
          <w:sz w:val="20"/>
        </w:rPr>
        <w:t> </w:t>
      </w:r>
      <w:r>
        <w:rPr>
          <w:sz w:val="20"/>
        </w:rPr>
        <w:t>from</w:t>
      </w:r>
      <w:r>
        <w:rPr>
          <w:spacing w:val="-9"/>
          <w:sz w:val="20"/>
        </w:rPr>
        <w:t> </w:t>
      </w:r>
      <w:r>
        <w:rPr>
          <w:sz w:val="20"/>
        </w:rPr>
        <w:t>NICE</w:t>
      </w:r>
      <w:r>
        <w:rPr>
          <w:spacing w:val="-7"/>
          <w:sz w:val="20"/>
        </w:rPr>
        <w:t> </w:t>
      </w:r>
      <w:r>
        <w:rPr>
          <w:sz w:val="20"/>
        </w:rPr>
        <w:t>NET</w:t>
      </w:r>
      <w:r>
        <w:rPr>
          <w:spacing w:val="-8"/>
          <w:sz w:val="20"/>
        </w:rPr>
        <w:t> </w:t>
      </w:r>
      <w:r>
        <w:rPr>
          <w:sz w:val="20"/>
        </w:rPr>
        <w:t>appraisals</w:t>
      </w:r>
      <w:r>
        <w:rPr>
          <w:spacing w:val="-7"/>
          <w:sz w:val="20"/>
        </w:rPr>
        <w:t> </w:t>
      </w:r>
      <w:r>
        <w:rPr>
          <w:sz w:val="20"/>
        </w:rPr>
        <w:t>where</w:t>
      </w:r>
      <w:r>
        <w:rPr>
          <w:spacing w:val="-7"/>
          <w:sz w:val="20"/>
        </w:rPr>
        <w:t> </w:t>
      </w:r>
      <w:r>
        <w:rPr>
          <w:sz w:val="20"/>
        </w:rPr>
        <w:t>an</w:t>
      </w:r>
      <w:r>
        <w:rPr>
          <w:spacing w:val="-9"/>
          <w:sz w:val="20"/>
        </w:rPr>
        <w:t> </w:t>
      </w:r>
      <w:r>
        <w:rPr>
          <w:sz w:val="20"/>
        </w:rPr>
        <w:t>OS</w:t>
      </w:r>
      <w:r>
        <w:rPr>
          <w:spacing w:val="-10"/>
          <w:sz w:val="20"/>
        </w:rPr>
        <w:t> </w:t>
      </w:r>
      <w:r>
        <w:rPr>
          <w:sz w:val="20"/>
        </w:rPr>
        <w:t>benefit</w:t>
      </w:r>
      <w:r>
        <w:rPr>
          <w:spacing w:val="-9"/>
          <w:sz w:val="20"/>
        </w:rPr>
        <w:t> </w:t>
      </w:r>
      <w:r>
        <w:rPr>
          <w:sz w:val="20"/>
        </w:rPr>
        <w:t>was</w:t>
      </w:r>
      <w:r>
        <w:rPr>
          <w:spacing w:val="-7"/>
          <w:sz w:val="20"/>
        </w:rPr>
        <w:t> </w:t>
      </w:r>
      <w:r>
        <w:rPr>
          <w:sz w:val="20"/>
        </w:rPr>
        <w:t>recognised</w:t>
      </w:r>
      <w:r>
        <w:rPr>
          <w:spacing w:val="-7"/>
          <w:sz w:val="20"/>
        </w:rPr>
        <w:t> </w:t>
      </w:r>
      <w:r>
        <w:rPr>
          <w:sz w:val="20"/>
        </w:rPr>
        <w:t>despite</w:t>
      </w:r>
      <w:r>
        <w:rPr>
          <w:spacing w:val="-7"/>
          <w:sz w:val="20"/>
        </w:rPr>
        <w:t> </w:t>
      </w:r>
      <w:r>
        <w:rPr>
          <w:sz w:val="20"/>
        </w:rPr>
        <w:t>a</w:t>
      </w:r>
      <w:r>
        <w:rPr>
          <w:spacing w:val="-9"/>
          <w:sz w:val="20"/>
        </w:rPr>
        <w:t> </w:t>
      </w:r>
      <w:r>
        <w:rPr>
          <w:sz w:val="20"/>
        </w:rPr>
        <w:t>non-significant treatment effect</w:t>
      </w:r>
    </w:p>
    <w:p xmlns:wp14="http://schemas.microsoft.com/office/word/2010/wordml" w14:paraId="110FFD37" wp14:textId="77777777">
      <w:pPr>
        <w:pStyle w:val="BodyText"/>
        <w:spacing w:before="49"/>
      </w:pPr>
    </w:p>
    <w:p xmlns:wp14="http://schemas.microsoft.com/office/word/2010/wordml" w14:paraId="749D6D5B" wp14:textId="77777777">
      <w:pPr>
        <w:pStyle w:val="ListParagraph"/>
        <w:numPr>
          <w:ilvl w:val="0"/>
          <w:numId w:val="1"/>
        </w:numPr>
        <w:tabs>
          <w:tab w:val="left" w:leader="none" w:pos="2019"/>
        </w:tabs>
        <w:spacing w:before="0" w:after="0" w:line="285" w:lineRule="auto"/>
        <w:ind w:left="2019" w:right="1155" w:hanging="360"/>
        <w:jc w:val="both"/>
        <w:rPr>
          <w:sz w:val="20"/>
        </w:rPr>
      </w:pPr>
      <w:r>
        <w:rPr>
          <w:b/>
          <w:sz w:val="20"/>
        </w:rPr>
        <w:t>1(a)2 </w:t>
      </w:r>
      <w:r>
        <w:rPr>
          <w:sz w:val="20"/>
        </w:rPr>
        <w:t>– the Appraisal Committee's conclusion that "it would not be appropriate to consider a recommendation for the lung NETs population alone" is not aligned with past precedent from NICE TA449 where separate recommendations for gastrointestinal and lung NETs were considered appropriate for decision-making.</w:t>
      </w:r>
    </w:p>
    <w:p xmlns:wp14="http://schemas.microsoft.com/office/word/2010/wordml" w14:paraId="6B699379" wp14:textId="77777777">
      <w:pPr>
        <w:pStyle w:val="BodyText"/>
        <w:spacing w:before="50"/>
      </w:pPr>
    </w:p>
    <w:p xmlns:wp14="http://schemas.microsoft.com/office/word/2010/wordml" w14:paraId="0A2803C6" wp14:textId="77777777">
      <w:pPr>
        <w:pStyle w:val="ListParagraph"/>
        <w:numPr>
          <w:ilvl w:val="0"/>
          <w:numId w:val="1"/>
        </w:numPr>
        <w:tabs>
          <w:tab w:val="left" w:leader="none" w:pos="2019"/>
        </w:tabs>
        <w:spacing w:before="0" w:after="0" w:line="285" w:lineRule="auto"/>
        <w:ind w:left="2019" w:right="1155" w:hanging="360"/>
        <w:jc w:val="both"/>
        <w:rPr>
          <w:sz w:val="20"/>
        </w:rPr>
      </w:pPr>
      <w:r>
        <w:rPr>
          <w:b/>
          <w:sz w:val="20"/>
        </w:rPr>
        <w:t>2.1 </w:t>
      </w:r>
      <w:r>
        <w:rPr>
          <w:sz w:val="20"/>
        </w:rPr>
        <w:t>– the Appraisal Committee's conclusion that there is no OS benefit associated with cabozantinib</w:t>
      </w:r>
      <w:r>
        <w:rPr>
          <w:spacing w:val="-11"/>
          <w:sz w:val="20"/>
        </w:rPr>
        <w:t> </w:t>
      </w:r>
      <w:r>
        <w:rPr>
          <w:sz w:val="20"/>
        </w:rPr>
        <w:t>in</w:t>
      </w:r>
      <w:r>
        <w:rPr>
          <w:spacing w:val="-11"/>
          <w:sz w:val="20"/>
        </w:rPr>
        <w:t> </w:t>
      </w:r>
      <w:r>
        <w:rPr>
          <w:sz w:val="20"/>
        </w:rPr>
        <w:t>the</w:t>
      </w:r>
      <w:r>
        <w:rPr>
          <w:spacing w:val="-9"/>
          <w:sz w:val="20"/>
        </w:rPr>
        <w:t> </w:t>
      </w:r>
      <w:r>
        <w:rPr>
          <w:sz w:val="20"/>
        </w:rPr>
        <w:t>epNET</w:t>
      </w:r>
      <w:r>
        <w:rPr>
          <w:spacing w:val="-8"/>
          <w:sz w:val="20"/>
        </w:rPr>
        <w:t> </w:t>
      </w:r>
      <w:r>
        <w:rPr>
          <w:sz w:val="20"/>
        </w:rPr>
        <w:t>population</w:t>
      </w:r>
      <w:r>
        <w:rPr>
          <w:spacing w:val="-11"/>
          <w:sz w:val="20"/>
        </w:rPr>
        <w:t> </w:t>
      </w:r>
      <w:r>
        <w:rPr>
          <w:sz w:val="20"/>
        </w:rPr>
        <w:t>is</w:t>
      </w:r>
      <w:r>
        <w:rPr>
          <w:spacing w:val="-10"/>
          <w:sz w:val="20"/>
        </w:rPr>
        <w:t> </w:t>
      </w:r>
      <w:r>
        <w:rPr>
          <w:sz w:val="20"/>
        </w:rPr>
        <w:t>unreasonable</w:t>
      </w:r>
      <w:r>
        <w:rPr>
          <w:spacing w:val="-11"/>
          <w:sz w:val="20"/>
        </w:rPr>
        <w:t> </w:t>
      </w:r>
      <w:r>
        <w:rPr>
          <w:sz w:val="20"/>
        </w:rPr>
        <w:t>in</w:t>
      </w:r>
      <w:r>
        <w:rPr>
          <w:spacing w:val="-11"/>
          <w:sz w:val="20"/>
        </w:rPr>
        <w:t> </w:t>
      </w:r>
      <w:r>
        <w:rPr>
          <w:sz w:val="20"/>
        </w:rPr>
        <w:t>light</w:t>
      </w:r>
      <w:r>
        <w:rPr>
          <w:spacing w:val="-11"/>
          <w:sz w:val="20"/>
        </w:rPr>
        <w:t> </w:t>
      </w:r>
      <w:r>
        <w:rPr>
          <w:sz w:val="20"/>
        </w:rPr>
        <w:t>of</w:t>
      </w:r>
      <w:r>
        <w:rPr>
          <w:spacing w:val="-11"/>
          <w:sz w:val="20"/>
        </w:rPr>
        <w:t> </w:t>
      </w:r>
      <w:r>
        <w:rPr>
          <w:sz w:val="20"/>
        </w:rPr>
        <w:t>the</w:t>
      </w:r>
      <w:r>
        <w:rPr>
          <w:spacing w:val="-11"/>
          <w:sz w:val="20"/>
        </w:rPr>
        <w:t> </w:t>
      </w:r>
      <w:r>
        <w:rPr>
          <w:sz w:val="20"/>
        </w:rPr>
        <w:t>uncertainty</w:t>
      </w:r>
      <w:r>
        <w:rPr>
          <w:spacing w:val="-10"/>
          <w:sz w:val="20"/>
        </w:rPr>
        <w:t> </w:t>
      </w:r>
      <w:r>
        <w:rPr>
          <w:sz w:val="20"/>
        </w:rPr>
        <w:t>in</w:t>
      </w:r>
      <w:r>
        <w:rPr>
          <w:spacing w:val="-11"/>
          <w:sz w:val="20"/>
        </w:rPr>
        <w:t> </w:t>
      </w:r>
      <w:r>
        <w:rPr>
          <w:sz w:val="20"/>
        </w:rPr>
        <w:t>the</w:t>
      </w:r>
      <w:r>
        <w:rPr>
          <w:spacing w:val="-11"/>
          <w:sz w:val="20"/>
        </w:rPr>
        <w:t> </w:t>
      </w:r>
      <w:r>
        <w:rPr>
          <w:sz w:val="20"/>
        </w:rPr>
        <w:t>evidence around the magnitude of OS benefit</w:t>
      </w:r>
    </w:p>
    <w:p xmlns:wp14="http://schemas.microsoft.com/office/word/2010/wordml" w14:paraId="3FE9F23F" wp14:textId="77777777">
      <w:pPr>
        <w:pStyle w:val="ListParagraph"/>
        <w:spacing w:after="0" w:line="285" w:lineRule="auto"/>
        <w:jc w:val="both"/>
        <w:rPr>
          <w:sz w:val="20"/>
        </w:rPr>
        <w:sectPr>
          <w:footerReference w:type="default" r:id="rId8"/>
          <w:pgSz w:w="11910" w:h="16840" w:orient="portrait"/>
          <w:pgMar w:top="1340" w:right="283" w:bottom="1200" w:left="141" w:header="0" w:footer="1002"/>
          <w:pgNumType w:start="2"/>
          <w:cols w:num="1"/>
        </w:sectPr>
      </w:pPr>
    </w:p>
    <w:p xmlns:wp14="http://schemas.microsoft.com/office/word/2010/wordml" w14:paraId="1CB7A8AB" wp14:textId="77777777">
      <w:pPr>
        <w:pStyle w:val="ListParagraph"/>
        <w:numPr>
          <w:ilvl w:val="0"/>
          <w:numId w:val="1"/>
        </w:numPr>
        <w:tabs>
          <w:tab w:val="left" w:leader="none" w:pos="2018"/>
        </w:tabs>
        <w:spacing w:before="78" w:after="0" w:line="285" w:lineRule="auto"/>
        <w:ind w:left="2018" w:right="1157" w:hanging="360"/>
        <w:jc w:val="both"/>
        <w:rPr>
          <w:sz w:val="20"/>
        </w:rPr>
      </w:pPr>
      <w:r>
        <w:rPr>
          <w:b/>
          <w:sz w:val="20"/>
        </w:rPr>
        <w:t>2.2 </w:t>
      </w:r>
      <w:r>
        <w:rPr>
          <w:sz w:val="20"/>
        </w:rPr>
        <w:t>– the Appraisal Committee's conclusion on OS in the epNET population disregards the unanimous opinion of 11 clinical experts consulted across the appraisals who all stated they would expect to see OS benefit associated with cabozantinib.</w:t>
      </w:r>
    </w:p>
    <w:p xmlns:wp14="http://schemas.microsoft.com/office/word/2010/wordml" w14:paraId="1F72F646" wp14:textId="77777777">
      <w:pPr>
        <w:pStyle w:val="BodyText"/>
        <w:spacing w:before="49"/>
      </w:pPr>
    </w:p>
    <w:p xmlns:wp14="http://schemas.microsoft.com/office/word/2010/wordml" w14:paraId="62297A67" wp14:textId="77777777">
      <w:pPr>
        <w:pStyle w:val="ListParagraph"/>
        <w:numPr>
          <w:ilvl w:val="0"/>
          <w:numId w:val="1"/>
        </w:numPr>
        <w:tabs>
          <w:tab w:val="left" w:leader="none" w:pos="2018"/>
        </w:tabs>
        <w:spacing w:before="1" w:after="0" w:line="285" w:lineRule="auto"/>
        <w:ind w:left="2018" w:right="1154" w:hanging="360"/>
        <w:jc w:val="both"/>
        <w:rPr>
          <w:sz w:val="20"/>
        </w:rPr>
      </w:pPr>
      <w:r>
        <w:rPr>
          <w:b/>
          <w:sz w:val="20"/>
        </w:rPr>
        <w:t>2.3 </w:t>
      </w:r>
      <w:r>
        <w:rPr>
          <w:sz w:val="20"/>
        </w:rPr>
        <w:t>– the Appraisal Committee's conclusion, in reference to the IPCW and RPSFTM methodologies,</w:t>
      </w:r>
      <w:r>
        <w:rPr>
          <w:spacing w:val="-14"/>
          <w:sz w:val="20"/>
        </w:rPr>
        <w:t> </w:t>
      </w:r>
      <w:r>
        <w:rPr>
          <w:sz w:val="20"/>
        </w:rPr>
        <w:t>that</w:t>
      </w:r>
      <w:r>
        <w:rPr>
          <w:spacing w:val="-14"/>
          <w:sz w:val="20"/>
        </w:rPr>
        <w:t> </w:t>
      </w:r>
      <w:r>
        <w:rPr>
          <w:sz w:val="20"/>
        </w:rPr>
        <w:t>"neither</w:t>
      </w:r>
      <w:r>
        <w:rPr>
          <w:spacing w:val="-14"/>
          <w:sz w:val="20"/>
        </w:rPr>
        <w:t> </w:t>
      </w:r>
      <w:r>
        <w:rPr>
          <w:sz w:val="20"/>
        </w:rPr>
        <w:t>method</w:t>
      </w:r>
      <w:r>
        <w:rPr>
          <w:spacing w:val="-14"/>
          <w:sz w:val="20"/>
        </w:rPr>
        <w:t> </w:t>
      </w:r>
      <w:r>
        <w:rPr>
          <w:sz w:val="20"/>
        </w:rPr>
        <w:t>could</w:t>
      </w:r>
      <w:r>
        <w:rPr>
          <w:spacing w:val="-14"/>
          <w:sz w:val="20"/>
        </w:rPr>
        <w:t> </w:t>
      </w:r>
      <w:r>
        <w:rPr>
          <w:sz w:val="20"/>
        </w:rPr>
        <w:t>be</w:t>
      </w:r>
      <w:r>
        <w:rPr>
          <w:spacing w:val="-14"/>
          <w:sz w:val="20"/>
        </w:rPr>
        <w:t> </w:t>
      </w:r>
      <w:r>
        <w:rPr>
          <w:sz w:val="20"/>
        </w:rPr>
        <w:t>considered</w:t>
      </w:r>
      <w:r>
        <w:rPr>
          <w:spacing w:val="-14"/>
          <w:sz w:val="20"/>
        </w:rPr>
        <w:t> </w:t>
      </w:r>
      <w:r>
        <w:rPr>
          <w:sz w:val="20"/>
        </w:rPr>
        <w:t>better</w:t>
      </w:r>
      <w:r>
        <w:rPr>
          <w:spacing w:val="-14"/>
          <w:sz w:val="20"/>
        </w:rPr>
        <w:t> </w:t>
      </w:r>
      <w:r>
        <w:rPr>
          <w:sz w:val="20"/>
        </w:rPr>
        <w:t>than</w:t>
      </w:r>
      <w:r>
        <w:rPr>
          <w:spacing w:val="-14"/>
          <w:sz w:val="20"/>
        </w:rPr>
        <w:t> </w:t>
      </w:r>
      <w:r>
        <w:rPr>
          <w:sz w:val="20"/>
        </w:rPr>
        <w:t>the</w:t>
      </w:r>
      <w:r>
        <w:rPr>
          <w:spacing w:val="-13"/>
          <w:sz w:val="20"/>
        </w:rPr>
        <w:t> </w:t>
      </w:r>
      <w:r>
        <w:rPr>
          <w:sz w:val="20"/>
        </w:rPr>
        <w:t>other"</w:t>
      </w:r>
      <w:r>
        <w:rPr>
          <w:spacing w:val="-14"/>
          <w:sz w:val="20"/>
        </w:rPr>
        <w:t> </w:t>
      </w:r>
      <w:r>
        <w:rPr>
          <w:sz w:val="20"/>
        </w:rPr>
        <w:t>is</w:t>
      </w:r>
      <w:r>
        <w:rPr>
          <w:spacing w:val="-14"/>
          <w:sz w:val="20"/>
        </w:rPr>
        <w:t> </w:t>
      </w:r>
      <w:r>
        <w:rPr>
          <w:sz w:val="20"/>
        </w:rPr>
        <w:t>unreasonable in light of the evidence provided.</w:t>
      </w:r>
    </w:p>
    <w:p xmlns:wp14="http://schemas.microsoft.com/office/word/2010/wordml" w14:paraId="08CE6F91" wp14:textId="77777777">
      <w:pPr>
        <w:pStyle w:val="BodyText"/>
        <w:spacing w:before="47"/>
      </w:pPr>
    </w:p>
    <w:p xmlns:wp14="http://schemas.microsoft.com/office/word/2010/wordml" w14:paraId="10C9BB9F" wp14:textId="77777777">
      <w:pPr>
        <w:pStyle w:val="ListParagraph"/>
        <w:numPr>
          <w:ilvl w:val="0"/>
          <w:numId w:val="1"/>
        </w:numPr>
        <w:tabs>
          <w:tab w:val="left" w:leader="none" w:pos="2018"/>
        </w:tabs>
        <w:spacing w:before="0" w:after="0" w:line="283" w:lineRule="auto"/>
        <w:ind w:left="2018" w:right="1159" w:hanging="360"/>
        <w:jc w:val="both"/>
        <w:rPr>
          <w:sz w:val="20"/>
        </w:rPr>
      </w:pPr>
      <w:r>
        <w:rPr>
          <w:b/>
          <w:sz w:val="20"/>
        </w:rPr>
        <w:t>2.4 </w:t>
      </w:r>
      <w:r>
        <w:rPr>
          <w:sz w:val="20"/>
        </w:rPr>
        <w:t>– the Appraisal Committee's conclusion not to take into consideration the surrogacy relationship in NETs between PFS and OS is unreasonable in light of the evidence provided.</w:t>
      </w:r>
    </w:p>
    <w:p xmlns:wp14="http://schemas.microsoft.com/office/word/2010/wordml" w14:paraId="61CDCEAD" wp14:textId="77777777">
      <w:pPr>
        <w:pStyle w:val="BodyText"/>
        <w:spacing w:before="52"/>
      </w:pPr>
    </w:p>
    <w:p xmlns:wp14="http://schemas.microsoft.com/office/word/2010/wordml" w14:paraId="310C7157" wp14:textId="77777777">
      <w:pPr>
        <w:pStyle w:val="ListParagraph"/>
        <w:numPr>
          <w:ilvl w:val="0"/>
          <w:numId w:val="1"/>
        </w:numPr>
        <w:tabs>
          <w:tab w:val="left" w:leader="none" w:pos="2018"/>
        </w:tabs>
        <w:spacing w:before="0" w:after="0" w:line="285" w:lineRule="auto"/>
        <w:ind w:left="2018" w:right="1157" w:hanging="360"/>
        <w:jc w:val="both"/>
        <w:rPr>
          <w:sz w:val="20"/>
        </w:rPr>
      </w:pPr>
      <w:r>
        <w:rPr>
          <w:b/>
          <w:sz w:val="20"/>
        </w:rPr>
        <w:t>2.5 </w:t>
      </w:r>
      <w:r>
        <w:rPr>
          <w:sz w:val="20"/>
        </w:rPr>
        <w:t>– the Appraisal Committee's conclusion that "because of the small amount of data and based</w:t>
      </w:r>
      <w:r>
        <w:rPr>
          <w:spacing w:val="-2"/>
          <w:sz w:val="20"/>
        </w:rPr>
        <w:t> </w:t>
      </w:r>
      <w:r>
        <w:rPr>
          <w:sz w:val="20"/>
        </w:rPr>
        <w:t>on</w:t>
      </w:r>
      <w:r>
        <w:rPr>
          <w:spacing w:val="-2"/>
          <w:sz w:val="20"/>
        </w:rPr>
        <w:t> </w:t>
      </w:r>
      <w:r>
        <w:rPr>
          <w:sz w:val="20"/>
        </w:rPr>
        <w:t>clinical</w:t>
      </w:r>
      <w:r>
        <w:rPr>
          <w:spacing w:val="-3"/>
          <w:sz w:val="20"/>
        </w:rPr>
        <w:t> </w:t>
      </w:r>
      <w:r>
        <w:rPr>
          <w:sz w:val="20"/>
        </w:rPr>
        <w:t>expert</w:t>
      </w:r>
      <w:r>
        <w:rPr>
          <w:spacing w:val="-2"/>
          <w:sz w:val="20"/>
        </w:rPr>
        <w:t> </w:t>
      </w:r>
      <w:r>
        <w:rPr>
          <w:sz w:val="20"/>
        </w:rPr>
        <w:t>opinion,</w:t>
      </w:r>
      <w:r>
        <w:rPr>
          <w:spacing w:val="-2"/>
          <w:sz w:val="20"/>
        </w:rPr>
        <w:t> </w:t>
      </w:r>
      <w:r>
        <w:rPr>
          <w:sz w:val="20"/>
        </w:rPr>
        <w:t>it</w:t>
      </w:r>
      <w:r>
        <w:rPr>
          <w:spacing w:val="-2"/>
          <w:sz w:val="20"/>
        </w:rPr>
        <w:t> </w:t>
      </w:r>
      <w:r>
        <w:rPr>
          <w:sz w:val="20"/>
        </w:rPr>
        <w:t>would</w:t>
      </w:r>
      <w:r>
        <w:rPr>
          <w:spacing w:val="-2"/>
          <w:sz w:val="20"/>
        </w:rPr>
        <w:t> </w:t>
      </w:r>
      <w:r>
        <w:rPr>
          <w:sz w:val="20"/>
        </w:rPr>
        <w:t>not</w:t>
      </w:r>
      <w:r>
        <w:rPr>
          <w:spacing w:val="-4"/>
          <w:sz w:val="20"/>
        </w:rPr>
        <w:t> </w:t>
      </w:r>
      <w:r>
        <w:rPr>
          <w:sz w:val="20"/>
        </w:rPr>
        <w:t>be</w:t>
      </w:r>
      <w:r>
        <w:rPr>
          <w:spacing w:val="-2"/>
          <w:sz w:val="20"/>
        </w:rPr>
        <w:t> </w:t>
      </w:r>
      <w:r>
        <w:rPr>
          <w:sz w:val="20"/>
        </w:rPr>
        <w:t>appropriate</w:t>
      </w:r>
      <w:r>
        <w:rPr>
          <w:spacing w:val="-2"/>
          <w:sz w:val="20"/>
        </w:rPr>
        <w:t> </w:t>
      </w:r>
      <w:r>
        <w:rPr>
          <w:sz w:val="20"/>
        </w:rPr>
        <w:t>to</w:t>
      </w:r>
      <w:r>
        <w:rPr>
          <w:spacing w:val="-2"/>
          <w:sz w:val="20"/>
        </w:rPr>
        <w:t> </w:t>
      </w:r>
      <w:r>
        <w:rPr>
          <w:sz w:val="20"/>
        </w:rPr>
        <w:t>consider</w:t>
      </w:r>
      <w:r>
        <w:rPr>
          <w:spacing w:val="-1"/>
          <w:sz w:val="20"/>
        </w:rPr>
        <w:t> </w:t>
      </w:r>
      <w:r>
        <w:rPr>
          <w:sz w:val="20"/>
        </w:rPr>
        <w:t>a</w:t>
      </w:r>
      <w:r>
        <w:rPr>
          <w:spacing w:val="-4"/>
          <w:sz w:val="20"/>
        </w:rPr>
        <w:t> </w:t>
      </w:r>
      <w:r>
        <w:rPr>
          <w:sz w:val="20"/>
        </w:rPr>
        <w:t>recommendation</w:t>
      </w:r>
      <w:r>
        <w:rPr>
          <w:spacing w:val="-2"/>
          <w:sz w:val="20"/>
        </w:rPr>
        <w:t> </w:t>
      </w:r>
      <w:r>
        <w:rPr>
          <w:sz w:val="20"/>
        </w:rPr>
        <w:t>for the lung NETs population alone" is unreasonable in light of the evidence submitted.</w:t>
      </w:r>
    </w:p>
    <w:p xmlns:wp14="http://schemas.microsoft.com/office/word/2010/wordml" w14:paraId="6BB9E253" wp14:textId="77777777">
      <w:pPr>
        <w:pStyle w:val="BodyText"/>
        <w:spacing w:before="10"/>
      </w:pPr>
    </w:p>
    <w:p xmlns:wp14="http://schemas.microsoft.com/office/word/2010/wordml" w14:paraId="5E8A015B" wp14:textId="77777777">
      <w:pPr>
        <w:pStyle w:val="BodyText"/>
        <w:spacing w:line="528" w:lineRule="auto"/>
        <w:ind w:left="1299" w:right="1391"/>
        <w:jc w:val="both"/>
      </w:pPr>
      <w:r w:rsidR="42CC5B37">
        <w:rPr/>
        <w:t>NICE</w:t>
      </w:r>
      <w:r w:rsidR="42CC5B37">
        <w:rPr>
          <w:spacing w:val="-4"/>
        </w:rPr>
        <w:t xml:space="preserve"> </w:t>
      </w:r>
      <w:r w:rsidR="42CC5B37">
        <w:rPr/>
        <w:t>will</w:t>
      </w:r>
      <w:r w:rsidR="42CC5B37">
        <w:rPr>
          <w:spacing w:val="-2"/>
        </w:rPr>
        <w:t xml:space="preserve"> </w:t>
      </w:r>
      <w:r w:rsidR="42CC5B37">
        <w:rPr/>
        <w:t>be</w:t>
      </w:r>
      <w:r w:rsidR="42CC5B37">
        <w:rPr>
          <w:spacing w:val="-1"/>
        </w:rPr>
        <w:t xml:space="preserve"> </w:t>
      </w:r>
      <w:r w:rsidR="42CC5B37">
        <w:rPr/>
        <w:t>in</w:t>
      </w:r>
      <w:r w:rsidR="42CC5B37">
        <w:rPr>
          <w:spacing w:val="-3"/>
        </w:rPr>
        <w:t xml:space="preserve"> </w:t>
      </w:r>
      <w:r w:rsidR="42CC5B37">
        <w:rPr/>
        <w:t>contact</w:t>
      </w:r>
      <w:r w:rsidR="42CC5B37">
        <w:rPr>
          <w:spacing w:val="-3"/>
        </w:rPr>
        <w:t xml:space="preserve"> </w:t>
      </w:r>
      <w:r w:rsidR="42CC5B37">
        <w:rPr/>
        <w:t>with</w:t>
      </w:r>
      <w:r w:rsidR="42CC5B37">
        <w:rPr>
          <w:spacing w:val="-1"/>
        </w:rPr>
        <w:t xml:space="preserve"> </w:t>
      </w:r>
      <w:r w:rsidR="42CC5B37">
        <w:rPr/>
        <w:t>you</w:t>
      </w:r>
      <w:r w:rsidR="42CC5B37">
        <w:rPr>
          <w:spacing w:val="-3"/>
        </w:rPr>
        <w:t xml:space="preserve"> </w:t>
      </w:r>
      <w:r w:rsidR="42CC5B37">
        <w:rPr/>
        <w:t>regarding</w:t>
      </w:r>
      <w:r w:rsidR="42CC5B37">
        <w:rPr>
          <w:spacing w:val="-3"/>
        </w:rPr>
        <w:t xml:space="preserve"> </w:t>
      </w:r>
      <w:r w:rsidR="42CC5B37">
        <w:rPr/>
        <w:t>the</w:t>
      </w:r>
      <w:r w:rsidR="42CC5B37">
        <w:rPr>
          <w:spacing w:val="-3"/>
        </w:rPr>
        <w:t xml:space="preserve"> </w:t>
      </w:r>
      <w:r w:rsidR="42CC5B37">
        <w:rPr/>
        <w:t>administration</w:t>
      </w:r>
      <w:r w:rsidR="42CC5B37">
        <w:rPr>
          <w:spacing w:val="-1"/>
        </w:rPr>
        <w:t xml:space="preserve"> </w:t>
      </w:r>
      <w:r w:rsidR="42CC5B37">
        <w:rPr/>
        <w:t>of</w:t>
      </w:r>
      <w:r w:rsidR="42CC5B37">
        <w:rPr>
          <w:spacing w:val="-3"/>
        </w:rPr>
        <w:t xml:space="preserve"> </w:t>
      </w:r>
      <w:r w:rsidR="42CC5B37">
        <w:rPr/>
        <w:t>the</w:t>
      </w:r>
      <w:r w:rsidR="42CC5B37">
        <w:rPr>
          <w:spacing w:val="-1"/>
        </w:rPr>
        <w:t xml:space="preserve"> </w:t>
      </w:r>
      <w:r w:rsidR="42CC5B37">
        <w:rPr/>
        <w:t>appeal,</w:t>
      </w:r>
      <w:r w:rsidR="42CC5B37">
        <w:rPr>
          <w:spacing w:val="-3"/>
        </w:rPr>
        <w:t xml:space="preserve"> </w:t>
      </w:r>
      <w:r w:rsidR="42CC5B37">
        <w:rPr/>
        <w:t>which</w:t>
      </w:r>
      <w:r w:rsidR="42CC5B37">
        <w:rPr>
          <w:spacing w:val="-1"/>
        </w:rPr>
        <w:t xml:space="preserve"> </w:t>
      </w:r>
      <w:r w:rsidR="42CC5B37">
        <w:rPr/>
        <w:t>will</w:t>
      </w:r>
      <w:r w:rsidR="42CC5B37">
        <w:rPr>
          <w:spacing w:val="-4"/>
        </w:rPr>
        <w:t xml:space="preserve"> </w:t>
      </w:r>
      <w:r w:rsidR="42CC5B37">
        <w:rPr/>
        <w:t>be</w:t>
      </w:r>
      <w:r w:rsidR="42CC5B37">
        <w:rPr>
          <w:spacing w:val="-3"/>
        </w:rPr>
        <w:t xml:space="preserve"> </w:t>
      </w:r>
      <w:r w:rsidR="42CC5B37">
        <w:rPr/>
        <w:t>held</w:t>
      </w:r>
      <w:r w:rsidR="42CC5B37">
        <w:rPr>
          <w:spacing w:val="-1"/>
        </w:rPr>
        <w:t xml:space="preserve"> </w:t>
      </w:r>
      <w:r w:rsidR="42CC5B37">
        <w:rPr/>
        <w:t>orally. Thank you again for your engagement in the appeals process.</w:t>
      </w:r>
    </w:p>
    <w:p w:rsidR="42CC5B37" w:rsidP="42CC5B37" w:rsidRDefault="42CC5B37" w14:paraId="66F392E2" w14:textId="096D8E16">
      <w:pPr>
        <w:spacing w:line="240" w:lineRule="auto"/>
        <w:ind w:left="1299" w:right="0" w:firstLine="0"/>
      </w:pPr>
    </w:p>
    <w:p xmlns:wp14="http://schemas.microsoft.com/office/word/2010/wordml" w:rsidP="42CC5B37" w14:paraId="07547A01" wp14:textId="5356EE29">
      <w:pPr>
        <w:spacing w:line="240" w:lineRule="auto"/>
        <w:ind w:left="1299" w:right="0" w:firstLine="0"/>
        <w:rPr>
          <w:sz w:val="56"/>
          <w:szCs w:val="56"/>
          <w:highlight w:val="black"/>
        </w:rPr>
      </w:pPr>
      <w:r w:rsidRPr="42CC5B37" w:rsidR="471FA6A5">
        <w:rPr>
          <w:sz w:val="56"/>
          <w:szCs w:val="56"/>
          <w:highlight w:val="black"/>
        </w:rPr>
        <w:t>XXXXXXXXXX</w:t>
      </w:r>
    </w:p>
    <w:p xmlns:wp14="http://schemas.microsoft.com/office/word/2010/wordml" w14:paraId="5043CB0F" wp14:textId="77777777">
      <w:pPr>
        <w:pStyle w:val="BodyText"/>
        <w:spacing w:before="82"/>
      </w:pPr>
    </w:p>
    <w:p xmlns:wp14="http://schemas.microsoft.com/office/word/2010/wordml" w14:paraId="608D49E8" wp14:textId="77777777">
      <w:pPr>
        <w:pStyle w:val="BodyText"/>
        <w:ind w:left="1299"/>
        <w:jc w:val="both"/>
      </w:pPr>
      <w:r>
        <w:rPr/>
        <w:t>Yours</w:t>
      </w:r>
      <w:r>
        <w:rPr>
          <w:spacing w:val="-9"/>
        </w:rPr>
        <w:t> </w:t>
      </w:r>
      <w:r>
        <w:rPr>
          <w:spacing w:val="-2"/>
        </w:rPr>
        <w:t>sincerely</w:t>
      </w:r>
    </w:p>
    <w:p xmlns:wp14="http://schemas.microsoft.com/office/word/2010/wordml" w14:paraId="07459315" wp14:textId="77777777">
      <w:pPr>
        <w:pStyle w:val="BodyText"/>
        <w:spacing w:before="44"/>
      </w:pPr>
    </w:p>
    <w:p xmlns:wp14="http://schemas.microsoft.com/office/word/2010/wordml" w14:paraId="422D2F5E" wp14:textId="77777777">
      <w:pPr>
        <w:pStyle w:val="BodyText"/>
        <w:ind w:left="1299"/>
        <w:jc w:val="both"/>
      </w:pPr>
      <w:r>
        <w:rPr/>
        <w:t>Dr</w:t>
      </w:r>
      <w:r>
        <w:rPr>
          <w:spacing w:val="-5"/>
        </w:rPr>
        <w:t> </w:t>
      </w:r>
      <w:r>
        <w:rPr/>
        <w:t>Mark</w:t>
      </w:r>
      <w:r>
        <w:rPr>
          <w:spacing w:val="-4"/>
        </w:rPr>
        <w:t> </w:t>
      </w:r>
      <w:r>
        <w:rPr>
          <w:spacing w:val="-2"/>
        </w:rPr>
        <w:t>Chakravarty</w:t>
      </w:r>
    </w:p>
    <w:p xmlns:wp14="http://schemas.microsoft.com/office/word/2010/wordml" w14:paraId="6537F28F" wp14:textId="77777777">
      <w:pPr>
        <w:pStyle w:val="BodyText"/>
        <w:spacing w:before="44"/>
      </w:pPr>
    </w:p>
    <w:p xmlns:wp14="http://schemas.microsoft.com/office/word/2010/wordml" w14:paraId="66D6DABE" wp14:textId="77777777">
      <w:pPr>
        <w:pStyle w:val="BodyText"/>
        <w:spacing w:line="525" w:lineRule="auto"/>
        <w:ind w:left="1299" w:right="4724"/>
      </w:pPr>
      <w:r>
        <w:rPr/>
        <w:t>Lead</w:t>
      </w:r>
      <w:r>
        <w:rPr>
          <w:spacing w:val="-5"/>
        </w:rPr>
        <w:t> </w:t>
      </w:r>
      <w:r>
        <w:rPr/>
        <w:t>Non-Executive</w:t>
      </w:r>
      <w:r>
        <w:rPr>
          <w:spacing w:val="-7"/>
        </w:rPr>
        <w:t> </w:t>
      </w:r>
      <w:r>
        <w:rPr/>
        <w:t>Director</w:t>
      </w:r>
      <w:r>
        <w:rPr>
          <w:spacing w:val="-6"/>
        </w:rPr>
        <w:t> </w:t>
      </w:r>
      <w:r>
        <w:rPr/>
        <w:t>for</w:t>
      </w:r>
      <w:r>
        <w:rPr>
          <w:spacing w:val="-6"/>
        </w:rPr>
        <w:t> </w:t>
      </w:r>
      <w:r>
        <w:rPr/>
        <w:t>Appeals</w:t>
      </w:r>
      <w:r>
        <w:rPr>
          <w:spacing w:val="-3"/>
        </w:rPr>
        <w:t> </w:t>
      </w:r>
      <w:r>
        <w:rPr/>
        <w:t>&amp;</w:t>
      </w:r>
      <w:r>
        <w:rPr>
          <w:spacing w:val="-8"/>
        </w:rPr>
        <w:t> </w:t>
      </w:r>
      <w:r>
        <w:rPr/>
        <w:t>Vice</w:t>
      </w:r>
      <w:r>
        <w:rPr>
          <w:spacing w:val="-7"/>
        </w:rPr>
        <w:t> </w:t>
      </w:r>
      <w:r>
        <w:rPr/>
        <w:t>Chair National Institute for Health and Care Excellence</w:t>
      </w:r>
    </w:p>
    <w:sectPr>
      <w:pgSz w:w="11910" w:h="16840" w:orient="portrait"/>
      <w:pgMar w:top="1620" w:right="283" w:bottom="1200" w:left="141" w:header="0" w:footer="1002"/>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F6556C1" wp14:textId="77777777">
    <w:pPr>
      <w:pStyle w:val="BodyText"/>
      <w:spacing w:line="14" w:lineRule="auto"/>
    </w:pPr>
    <w:r>
      <w:rPr/>
      <mc:AlternateContent>
        <mc:Choice Requires="wps">
          <w:drawing>
            <wp:anchor xmlns:wp14="http://schemas.microsoft.com/office/word/2010/wordprocessingDrawing" distT="0" distB="0" distL="0" distR="0" simplePos="0" relativeHeight="487518208" behindDoc="1" locked="0" layoutInCell="1" allowOverlap="1" wp14:anchorId="519262B0" wp14:editId="7777777">
              <wp:simplePos x="0" y="0"/>
              <wp:positionH relativeFrom="page">
                <wp:posOffset>6093938</wp:posOffset>
              </wp:positionH>
              <wp:positionV relativeFrom="page">
                <wp:posOffset>9916159</wp:posOffset>
              </wp:positionV>
              <wp:extent cx="5372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7210" cy="165735"/>
                      </a:xfrm>
                      <a:prstGeom prst="rect">
                        <a:avLst/>
                      </a:prstGeom>
                    </wps:spPr>
                    <wps:txbx>
                      <w:txbxContent>
                        <w:p xmlns:wp14="http://schemas.microsoft.com/office/word/2010/wordml" w14:paraId="11AC556B" wp14:textId="77777777">
                          <w:pPr>
                            <w:spacing w:before="0" w:line="245" w:lineRule="exact"/>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w14:anchorId="650D9392">
            <v:shapetype id="_x0000_t202" coordsize="21600,21600" o:spt="202" path="m,l,21600r21600,l21600,xe">
              <v:stroke joinstyle="miter"/>
              <v:path gradientshapeok="t" o:connecttype="rect"/>
            </v:shapetype>
            <v:shape id="docshape1" style="position:absolute;margin-left:479.837708pt;margin-top:780.799988pt;width:42.3pt;height:13.05pt;mso-position-horizontal-relative:page;mso-position-vertical-relative:page;z-index:-15798272" filled="false" stroked="false" type="#_x0000_t202">
              <v:textbox inset="0,0,0,0">
                <w:txbxContent>
                  <w:p w14:paraId="289CE47D" wp14:textId="77777777">
                    <w:pPr>
                      <w:spacing w:before="0" w:line="245" w:lineRule="exact"/>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0ee50"/>
    <w:multiLevelType w:val="hybridMultilevel"/>
    <w:lvl w:ilvl="0">
      <w:start w:val="0"/>
      <w:numFmt w:val="bullet"/>
      <w:lvlText w:val=""/>
      <w:lvlJc w:val="left"/>
      <w:pPr>
        <w:ind w:left="201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912" w:hanging="360"/>
      </w:pPr>
      <w:rPr>
        <w:rFonts w:hint="default"/>
        <w:lang w:val="en-US" w:eastAsia="en-US" w:bidi="ar-SA"/>
      </w:rPr>
    </w:lvl>
    <w:lvl w:ilvl="3">
      <w:start w:val="0"/>
      <w:numFmt w:val="bullet"/>
      <w:lvlText w:val="•"/>
      <w:lvlJc w:val="left"/>
      <w:pPr>
        <w:ind w:left="4858" w:hanging="360"/>
      </w:pPr>
      <w:rPr>
        <w:rFonts w:hint="default"/>
        <w:lang w:val="en-US" w:eastAsia="en-US" w:bidi="ar-SA"/>
      </w:rPr>
    </w:lvl>
    <w:lvl w:ilvl="4">
      <w:start w:val="0"/>
      <w:numFmt w:val="bullet"/>
      <w:lvlText w:val="•"/>
      <w:lvlJc w:val="left"/>
      <w:pPr>
        <w:ind w:left="5804" w:hanging="360"/>
      </w:pPr>
      <w:rPr>
        <w:rFonts w:hint="default"/>
        <w:lang w:val="en-US" w:eastAsia="en-US" w:bidi="ar-SA"/>
      </w:rPr>
    </w:lvl>
    <w:lvl w:ilvl="5">
      <w:start w:val="0"/>
      <w:numFmt w:val="bullet"/>
      <w:lvlText w:val="•"/>
      <w:lvlJc w:val="left"/>
      <w:pPr>
        <w:ind w:left="6751" w:hanging="360"/>
      </w:pPr>
      <w:rPr>
        <w:rFonts w:hint="default"/>
        <w:lang w:val="en-US" w:eastAsia="en-US" w:bidi="ar-SA"/>
      </w:rPr>
    </w:lvl>
    <w:lvl w:ilvl="6">
      <w:start w:val="0"/>
      <w:numFmt w:val="bullet"/>
      <w:lvlText w:val="•"/>
      <w:lvlJc w:val="left"/>
      <w:pPr>
        <w:ind w:left="7697" w:hanging="360"/>
      </w:pPr>
      <w:rPr>
        <w:rFonts w:hint="default"/>
        <w:lang w:val="en-US" w:eastAsia="en-US" w:bidi="ar-SA"/>
      </w:rPr>
    </w:lvl>
    <w:lvl w:ilvl="7">
      <w:start w:val="0"/>
      <w:numFmt w:val="bullet"/>
      <w:lvlText w:val="•"/>
      <w:lvlJc w:val="left"/>
      <w:pPr>
        <w:ind w:left="8643" w:hanging="360"/>
      </w:pPr>
      <w:rPr>
        <w:rFonts w:hint="default"/>
        <w:lang w:val="en-US" w:eastAsia="en-US" w:bidi="ar-SA"/>
      </w:rPr>
    </w:lvl>
    <w:lvl w:ilvl="8">
      <w:start w:val="0"/>
      <w:numFmt w:val="bullet"/>
      <w:lvlText w:val="•"/>
      <w:lvlJc w:val="left"/>
      <w:pPr>
        <w:ind w:left="9589"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42CC5B37"/>
    <w:rsid w:val="163D1CD0"/>
    <w:rsid w:val="42B82B4B"/>
    <w:rsid w:val="42CC5B37"/>
    <w:rsid w:val="471FA6A5"/>
    <w:rsid w:val="47FCACC5"/>
    <w:rsid w:val="5B48A0BE"/>
  </w:rsids>
  <w14:docId w14:val="574FEA48"/>
  <w15:docId w15:val="{6104B046-585E-4A22-8E81-10D22C06535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99" w:right="1154" w:hanging="428"/>
      <w:jc w:val="both"/>
      <w:outlineLvl w:val="1"/>
    </w:pPr>
    <w:rPr>
      <w:rFonts w:ascii="Arial" w:hAnsi="Arial" w:eastAsia="Arial" w:cs="Arial"/>
      <w:b/>
      <w:bCs/>
      <w:sz w:val="20"/>
      <w:szCs w:val="20"/>
      <w:u w:val="single" w:color="000000"/>
      <w:lang w:val="en-US" w:eastAsia="en-US" w:bidi="ar-SA"/>
    </w:rPr>
  </w:style>
  <w:style w:type="paragraph" w:styleId="Title">
    <w:name w:val="Title"/>
    <w:basedOn w:val="Normal"/>
    <w:uiPriority w:val="1"/>
    <w:qFormat/>
    <w:pPr>
      <w:spacing w:line="245" w:lineRule="exact"/>
      <w:ind w:left="20"/>
    </w:pPr>
    <w:rPr>
      <w:rFonts w:ascii="Calibri" w:hAnsi="Calibri" w:eastAsia="Calibri" w:cs="Calibri"/>
      <w:sz w:val="22"/>
      <w:szCs w:val="22"/>
      <w:lang w:val="en-US" w:eastAsia="en-US" w:bidi="ar-SA"/>
    </w:rPr>
  </w:style>
  <w:style w:type="paragraph" w:styleId="ListParagraph">
    <w:name w:val="List Paragraph"/>
    <w:basedOn w:val="Normal"/>
    <w:uiPriority w:val="1"/>
    <w:qFormat/>
    <w:pPr>
      <w:ind w:left="2018" w:right="1154" w:hanging="360"/>
      <w:jc w:val="both"/>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theme" Target="theme/theme1.xml" Id="rId3" /><Relationship Type="http://schemas.openxmlformats.org/officeDocument/2006/relationships/image" Target="media/image2.png" Id="rId7" /><Relationship Type="http://schemas.openxmlformats.org/officeDocument/2006/relationships/customXml" Target="../customXml/item2.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numbering" Target="numbering.xml" Id="rId10"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46F357-49D2-42B8-88FB-4AF8911857AE}"/>
</file>

<file path=customXml/itemProps2.xml><?xml version="1.0" encoding="utf-8"?>
<ds:datastoreItem xmlns:ds="http://schemas.openxmlformats.org/officeDocument/2006/customXml" ds:itemID="{8345191B-1718-4356-BFBB-269419DCDD97}"/>
</file>

<file path=customXml/itemProps3.xml><?xml version="1.0" encoding="utf-8"?>
<ds:datastoreItem xmlns:ds="http://schemas.openxmlformats.org/officeDocument/2006/customXml" ds:itemID="{7459AD42-CFC0-4DDC-983E-749F7AFD3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Leah Murphy</lastModifiedBy>
  <dcterms:created xsi:type="dcterms:W3CDTF">2026-06-10T11:30:31.0000000Z</dcterms:created>
  <dcterms:modified xsi:type="dcterms:W3CDTF">2026-06-11T11:37:58.2604453Z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Acrobat PDFMaker 26 for Word</vt:lpwstr>
  </property>
  <property fmtid="{D5CDD505-2E9C-101B-9397-08002B2CF9AE}" pid="4" name="LastSaved">
    <vt:filetime>2026-06-10T00:00:00Z</vt:filetime>
  </property>
  <property fmtid="{D5CDD505-2E9C-101B-9397-08002B2CF9AE}" pid="5" name="MSIP_Label_c69d85d5-6d9e-4305-a294-1f636ec0f2d6_ActionId">
    <vt:lpwstr>3a0e6d86-db0a-4d7a-981c-c68d5e0ba41a</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2026-02-18T21:19:06Z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50, 3, 0, 1</vt:lpwstr>
  </property>
  <property fmtid="{D5CDD505-2E9C-101B-9397-08002B2CF9AE}" pid="13" name="Producer">
    <vt:lpwstr>Adobe PDF Library 26.1.59</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