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757E" w:rsidP="00E9757E" w:rsidRDefault="00E9757E" w14:paraId="0CF1C39A" w14:textId="10D62D9A">
      <w:pPr>
        <w:rPr>
          <w:rFonts w:ascii="Avenir Next" w:hAnsi="Avenir Next"/>
          <w:b/>
          <w:bCs/>
        </w:rPr>
      </w:pPr>
      <w:r>
        <w:rPr>
          <w:rFonts w:ascii="Avenir Next" w:hAnsi="Avenir Next"/>
          <w:b/>
          <w:bCs/>
          <w:noProof/>
        </w:rPr>
        <w:drawing>
          <wp:inline distT="0" distB="0" distL="0" distR="0" wp14:anchorId="03A01F3A" wp14:editId="07C9C292">
            <wp:extent cx="2438400" cy="482600"/>
            <wp:effectExtent l="0" t="0" r="0" b="0"/>
            <wp:docPr id="187739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94213" name="Picture 18773942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482600"/>
                    </a:xfrm>
                    <a:prstGeom prst="rect">
                      <a:avLst/>
                    </a:prstGeom>
                  </pic:spPr>
                </pic:pic>
              </a:graphicData>
            </a:graphic>
          </wp:inline>
        </w:drawing>
      </w:r>
    </w:p>
    <w:p w:rsidR="00E9757E" w:rsidP="00E9757E" w:rsidRDefault="00E9757E" w14:paraId="26651D65" w14:textId="77777777">
      <w:pPr>
        <w:rPr>
          <w:rFonts w:ascii="Avenir Next" w:hAnsi="Avenir Next"/>
          <w:b/>
          <w:bCs/>
        </w:rPr>
      </w:pPr>
    </w:p>
    <w:p w:rsidR="00E9757E" w:rsidP="00E9757E" w:rsidRDefault="00E9757E" w14:paraId="06983116" w14:textId="77777777">
      <w:pPr>
        <w:rPr>
          <w:rFonts w:ascii="Avenir Next" w:hAnsi="Avenir Next"/>
          <w:b/>
          <w:bCs/>
        </w:rPr>
      </w:pPr>
    </w:p>
    <w:p w:rsidRPr="00E9757E" w:rsidR="00E9757E" w:rsidP="00E9757E" w:rsidRDefault="00E9757E" w14:paraId="0A4308AB" w14:textId="10256B75">
      <w:pPr>
        <w:rPr>
          <w:rFonts w:ascii="Avenir Next" w:hAnsi="Avenir Next"/>
          <w:b/>
          <w:bCs/>
        </w:rPr>
      </w:pPr>
      <w:r w:rsidRPr="00E9757E">
        <w:rPr>
          <w:rFonts w:ascii="Avenir Next" w:hAnsi="Avenir Next"/>
          <w:b/>
          <w:bCs/>
        </w:rPr>
        <w:t>Response to Initial Scrutiny – Neuroendocrine Cancer UK</w:t>
      </w:r>
    </w:p>
    <w:p w:rsidRPr="00E9757E" w:rsidR="00E9757E" w:rsidP="00E9757E" w:rsidRDefault="00E9757E" w14:paraId="48B04B7B" w14:textId="77777777">
      <w:pPr>
        <w:rPr>
          <w:rFonts w:ascii="Avenir Next" w:hAnsi="Avenir Next"/>
        </w:rPr>
      </w:pPr>
      <w:r w:rsidRPr="00E9757E">
        <w:rPr>
          <w:rFonts w:ascii="Avenir Next" w:hAnsi="Avenir Next"/>
          <w:b/>
          <w:bCs/>
        </w:rPr>
        <w:t>Cabozantinib STA [ID6474]</w:t>
      </w:r>
    </w:p>
    <w:p w:rsidRPr="00E9757E" w:rsidR="00E9757E" w:rsidP="00E9757E" w:rsidRDefault="00E9757E" w14:paraId="358A7ACF" w14:textId="77777777">
      <w:pPr>
        <w:rPr>
          <w:rFonts w:ascii="Avenir Next" w:hAnsi="Avenir Next"/>
        </w:rPr>
      </w:pPr>
    </w:p>
    <w:p w:rsidRPr="00E9757E" w:rsidR="00E9757E" w:rsidP="00E9757E" w:rsidRDefault="00E9757E" w14:paraId="2E4C92D7" w14:textId="12B14400">
      <w:pPr>
        <w:rPr>
          <w:rFonts w:ascii="Avenir Next" w:hAnsi="Avenir Next"/>
        </w:rPr>
      </w:pPr>
      <w:r w:rsidRPr="00E9757E">
        <w:rPr>
          <w:rFonts w:ascii="Avenir Next" w:hAnsi="Avenir Next"/>
        </w:rPr>
        <w:t>Dear Dr Chakravarty,</w:t>
      </w:r>
    </w:p>
    <w:p w:rsidRPr="00E9757E" w:rsidR="00E9757E" w:rsidP="00E9757E" w:rsidRDefault="00E9757E" w14:paraId="46E19574" w14:textId="77777777">
      <w:pPr>
        <w:rPr>
          <w:rFonts w:ascii="Avenir Next" w:hAnsi="Avenir Next"/>
        </w:rPr>
      </w:pPr>
    </w:p>
    <w:p w:rsidRPr="00E9757E" w:rsidR="00E9757E" w:rsidP="00E9757E" w:rsidRDefault="00E9757E" w14:paraId="4AA9FDD3" w14:textId="77777777">
      <w:pPr>
        <w:rPr>
          <w:rFonts w:ascii="Avenir Next" w:hAnsi="Avenir Next"/>
        </w:rPr>
      </w:pPr>
      <w:r w:rsidRPr="00E9757E">
        <w:rPr>
          <w:rFonts w:ascii="Avenir Next" w:hAnsi="Avenir Next"/>
        </w:rPr>
        <w:t>Thank you for your letter of 11 May 2026 setting out your initial view on the appeal points.</w:t>
      </w:r>
    </w:p>
    <w:p w:rsidRPr="00E9757E" w:rsidR="00E9757E" w:rsidP="00E9757E" w:rsidRDefault="00E9757E" w14:paraId="767B5892" w14:textId="77777777">
      <w:pPr>
        <w:rPr>
          <w:rFonts w:ascii="Avenir Next" w:hAnsi="Avenir Next"/>
        </w:rPr>
      </w:pPr>
      <w:r w:rsidRPr="00E9757E">
        <w:rPr>
          <w:rFonts w:ascii="Avenir Next" w:hAnsi="Avenir Next"/>
        </w:rPr>
        <w:t xml:space="preserve">We welcome your intention to refer Grounds </w:t>
      </w:r>
      <w:r w:rsidRPr="00E9757E">
        <w:rPr>
          <w:rFonts w:ascii="Avenir Next" w:hAnsi="Avenir Next"/>
          <w:b/>
          <w:bCs/>
        </w:rPr>
        <w:t>1a.2</w:t>
      </w:r>
      <w:r w:rsidRPr="00E9757E">
        <w:rPr>
          <w:rFonts w:ascii="Avenir Next" w:hAnsi="Avenir Next"/>
        </w:rPr>
        <w:t xml:space="preserve"> and </w:t>
      </w:r>
      <w:r w:rsidRPr="00E9757E">
        <w:rPr>
          <w:rFonts w:ascii="Avenir Next" w:hAnsi="Avenir Next"/>
          <w:b/>
          <w:bCs/>
        </w:rPr>
        <w:t>2.2</w:t>
      </w:r>
      <w:r w:rsidRPr="00E9757E">
        <w:rPr>
          <w:rFonts w:ascii="Avenir Next" w:hAnsi="Avenir Next"/>
        </w:rPr>
        <w:t xml:space="preserve"> to the Appeal Panel. We provide brief clarification on the remaining points.</w:t>
      </w:r>
    </w:p>
    <w:p w:rsidRPr="00E9757E" w:rsidR="00E9757E" w:rsidP="00E9757E" w:rsidRDefault="00E9757E" w14:paraId="7501DFD5" w14:textId="572F654C">
      <w:pPr>
        <w:rPr>
          <w:rFonts w:ascii="Avenir Next" w:hAnsi="Avenir Next"/>
        </w:rPr>
      </w:pPr>
    </w:p>
    <w:p w:rsidRPr="00E9757E" w:rsidR="00E9757E" w:rsidP="00E9757E" w:rsidRDefault="00E9757E" w14:paraId="63F4E5E3" w14:textId="15E00E26">
      <w:pPr>
        <w:pStyle w:val="ListParagraph"/>
        <w:numPr>
          <w:ilvl w:val="0"/>
          <w:numId w:val="6"/>
        </w:numPr>
        <w:rPr>
          <w:rFonts w:ascii="Avenir Next" w:hAnsi="Avenir Next"/>
          <w:b/>
          <w:bCs/>
        </w:rPr>
      </w:pPr>
      <w:r w:rsidRPr="00E9757E">
        <w:rPr>
          <w:rFonts w:ascii="Avenir Next" w:hAnsi="Avenir Next"/>
          <w:b/>
          <w:bCs/>
        </w:rPr>
        <w:t>Appeal Point 1a.1 – Consistency of Approach to OS</w:t>
      </w:r>
    </w:p>
    <w:p w:rsidRPr="00E9757E" w:rsidR="00E9757E" w:rsidP="00E9757E" w:rsidRDefault="00E9757E" w14:paraId="41A9459A" w14:textId="77777777">
      <w:pPr>
        <w:pStyle w:val="ListParagraph"/>
        <w:rPr>
          <w:rFonts w:ascii="Avenir Next" w:hAnsi="Avenir Next"/>
          <w:b/>
          <w:bCs/>
        </w:rPr>
      </w:pPr>
    </w:p>
    <w:p w:rsidR="00E9757E" w:rsidP="00E9757E" w:rsidRDefault="00E9757E" w14:paraId="45242AE1" w14:textId="77777777">
      <w:pPr>
        <w:rPr>
          <w:rFonts w:ascii="Avenir Next" w:hAnsi="Avenir Next"/>
        </w:rPr>
      </w:pPr>
      <w:r w:rsidRPr="00E9757E">
        <w:rPr>
          <w:rFonts w:ascii="Avenir Next" w:hAnsi="Avenir Next"/>
        </w:rPr>
        <w:t>We acknowledge that the Committee identified differences between this appraisal and previous NICE decisions.</w:t>
      </w:r>
    </w:p>
    <w:p w:rsidRPr="00E9757E" w:rsidR="00E9757E" w:rsidP="00E9757E" w:rsidRDefault="00E9757E" w14:paraId="3FF35F2F" w14:textId="77777777">
      <w:pPr>
        <w:rPr>
          <w:rFonts w:ascii="Avenir Next" w:hAnsi="Avenir Next"/>
        </w:rPr>
      </w:pPr>
    </w:p>
    <w:p w:rsidR="00E9757E" w:rsidP="00E9757E" w:rsidRDefault="00E9757E" w14:paraId="178DC56B" w14:textId="77777777">
      <w:pPr>
        <w:rPr>
          <w:rFonts w:ascii="Avenir Next" w:hAnsi="Avenir Next"/>
        </w:rPr>
      </w:pPr>
      <w:r w:rsidRPr="00E9757E">
        <w:rPr>
          <w:rFonts w:ascii="Avenir Next" w:hAnsi="Avenir Next"/>
        </w:rPr>
        <w:t>However, we submit that:</w:t>
      </w:r>
    </w:p>
    <w:p w:rsidRPr="00E9757E" w:rsidR="00E9757E" w:rsidP="00E9757E" w:rsidRDefault="00E9757E" w14:paraId="7C8CC4F6" w14:textId="77777777">
      <w:pPr>
        <w:rPr>
          <w:rFonts w:ascii="Avenir Next" w:hAnsi="Avenir Next"/>
        </w:rPr>
      </w:pPr>
    </w:p>
    <w:p w:rsidRPr="00E9757E" w:rsidR="00E9757E" w:rsidP="00E9757E" w:rsidRDefault="00E9757E" w14:paraId="34DB5EE2" w14:textId="77777777">
      <w:pPr>
        <w:numPr>
          <w:ilvl w:val="0"/>
          <w:numId w:val="1"/>
        </w:numPr>
        <w:rPr>
          <w:rFonts w:ascii="Avenir Next" w:hAnsi="Avenir Next"/>
        </w:rPr>
      </w:pPr>
      <w:r w:rsidRPr="00E9757E">
        <w:rPr>
          <w:rFonts w:ascii="Avenir Next" w:hAnsi="Avenir Next"/>
        </w:rPr>
        <w:t>Identification of differences does not, in itself, justify divergence;</w:t>
      </w:r>
    </w:p>
    <w:p w:rsidRPr="00E9757E" w:rsidR="00E9757E" w:rsidP="00E9757E" w:rsidRDefault="00E9757E" w14:paraId="5ED3C2BD" w14:textId="77777777">
      <w:pPr>
        <w:numPr>
          <w:ilvl w:val="0"/>
          <w:numId w:val="1"/>
        </w:numPr>
        <w:rPr>
          <w:rFonts w:ascii="Avenir Next" w:hAnsi="Avenir Next"/>
        </w:rPr>
      </w:pPr>
      <w:r w:rsidRPr="00E9757E">
        <w:rPr>
          <w:rFonts w:ascii="Avenir Next" w:hAnsi="Avenir Next"/>
        </w:rPr>
        <w:t>The Final Draft Guidance does not demonstrate that these differences warrant a fundamentally different treatment of OS uncertainty.</w:t>
      </w:r>
    </w:p>
    <w:p w:rsidR="00E9757E" w:rsidP="00E9757E" w:rsidRDefault="00E9757E" w14:paraId="293DF066" w14:textId="77777777">
      <w:pPr>
        <w:rPr>
          <w:rFonts w:ascii="Avenir Next" w:hAnsi="Avenir Next"/>
        </w:rPr>
      </w:pPr>
    </w:p>
    <w:p w:rsidR="00E9757E" w:rsidP="00E9757E" w:rsidRDefault="00E9757E" w14:paraId="7CE2C72A" w14:textId="3F6D1A7C">
      <w:pPr>
        <w:rPr>
          <w:rFonts w:ascii="Avenir Next" w:hAnsi="Avenir Next"/>
        </w:rPr>
      </w:pPr>
      <w:r w:rsidRPr="00E9757E">
        <w:rPr>
          <w:rFonts w:ascii="Avenir Next" w:hAnsi="Avenir Next"/>
        </w:rPr>
        <w:t>In TA449, OS uncertainty with crossover and immature data did not preclude a positive recommendation. In the present appraisal, similar structural uncertainties are present, but a more restrictive assumption was adopted.</w:t>
      </w:r>
    </w:p>
    <w:p w:rsidRPr="00E9757E" w:rsidR="00E9757E" w:rsidP="00E9757E" w:rsidRDefault="00E9757E" w14:paraId="48EF5EC8" w14:textId="77777777">
      <w:pPr>
        <w:rPr>
          <w:rFonts w:ascii="Avenir Next" w:hAnsi="Avenir Next"/>
        </w:rPr>
      </w:pPr>
    </w:p>
    <w:p w:rsidRPr="00E9757E" w:rsidR="00E9757E" w:rsidP="00E9757E" w:rsidRDefault="00E9757E" w14:paraId="22FF95CA" w14:textId="77777777">
      <w:pPr>
        <w:rPr>
          <w:rFonts w:ascii="Avenir Next" w:hAnsi="Avenir Next"/>
        </w:rPr>
      </w:pPr>
      <w:r w:rsidRPr="00E9757E">
        <w:rPr>
          <w:rFonts w:ascii="Avenir Next" w:hAnsi="Avenir Next"/>
        </w:rPr>
        <w:t>We therefore submit that there is an arguable issue of consistency and reasonableness in the application of precedent.</w:t>
      </w:r>
    </w:p>
    <w:p w:rsidRPr="00E9757E" w:rsidR="00E9757E" w:rsidP="00E9757E" w:rsidRDefault="00E9757E" w14:paraId="42221FB4" w14:textId="61059693">
      <w:pPr>
        <w:rPr>
          <w:rFonts w:ascii="Avenir Next" w:hAnsi="Avenir Next"/>
        </w:rPr>
      </w:pPr>
    </w:p>
    <w:p w:rsidRPr="00E9757E" w:rsidR="00E9757E" w:rsidP="00E9757E" w:rsidRDefault="00E9757E" w14:paraId="32271482" w14:textId="27896239">
      <w:pPr>
        <w:pStyle w:val="ListParagraph"/>
        <w:numPr>
          <w:ilvl w:val="0"/>
          <w:numId w:val="6"/>
        </w:numPr>
        <w:rPr>
          <w:rFonts w:ascii="Avenir Next" w:hAnsi="Avenir Next"/>
          <w:b/>
          <w:bCs/>
        </w:rPr>
      </w:pPr>
      <w:r w:rsidRPr="00E9757E">
        <w:rPr>
          <w:rFonts w:ascii="Avenir Next" w:hAnsi="Avenir Next"/>
          <w:b/>
          <w:bCs/>
        </w:rPr>
        <w:t>Appeal Point 2.1 – Assumption of No OS Benefit</w:t>
      </w:r>
    </w:p>
    <w:p w:rsidRPr="00E9757E" w:rsidR="00E9757E" w:rsidP="00E9757E" w:rsidRDefault="00E9757E" w14:paraId="75CBD3CD" w14:textId="77777777">
      <w:pPr>
        <w:pStyle w:val="ListParagraph"/>
        <w:rPr>
          <w:rFonts w:ascii="Avenir Next" w:hAnsi="Avenir Next"/>
          <w:b/>
          <w:bCs/>
        </w:rPr>
      </w:pPr>
    </w:p>
    <w:p w:rsidRPr="00E9757E" w:rsidR="00E9757E" w:rsidP="00E9757E" w:rsidRDefault="00E9757E" w14:paraId="204A8A15" w14:textId="77777777">
      <w:pPr>
        <w:rPr>
          <w:rFonts w:ascii="Avenir Next" w:hAnsi="Avenir Next"/>
        </w:rPr>
      </w:pPr>
      <w:r w:rsidRPr="00E9757E">
        <w:rPr>
          <w:rFonts w:ascii="Avenir Next" w:hAnsi="Avenir Next"/>
        </w:rPr>
        <w:t>We acknowledge that the Committee considered a range of approaches.</w:t>
      </w:r>
    </w:p>
    <w:p w:rsidR="00E9757E" w:rsidP="00E9757E" w:rsidRDefault="00E9757E" w14:paraId="7A6A48D9" w14:textId="77777777">
      <w:pPr>
        <w:rPr>
          <w:rFonts w:ascii="Avenir Next" w:hAnsi="Avenir Next"/>
        </w:rPr>
      </w:pPr>
    </w:p>
    <w:p w:rsidRPr="00E9757E" w:rsidR="00E9757E" w:rsidP="00E9757E" w:rsidRDefault="00E9757E" w14:paraId="66A00CB6" w14:textId="32BC3C83">
      <w:pPr>
        <w:rPr>
          <w:rFonts w:ascii="Avenir Next" w:hAnsi="Avenir Next"/>
        </w:rPr>
      </w:pPr>
      <w:r w:rsidRPr="00E9757E">
        <w:rPr>
          <w:rFonts w:ascii="Avenir Next" w:hAnsi="Avenir Next"/>
        </w:rPr>
        <w:t>Our concern is that:</w:t>
      </w:r>
    </w:p>
    <w:p w:rsidRPr="00E9757E" w:rsidR="00E9757E" w:rsidP="00E9757E" w:rsidRDefault="00E9757E" w14:paraId="25148E17" w14:textId="77777777">
      <w:pPr>
        <w:numPr>
          <w:ilvl w:val="0"/>
          <w:numId w:val="2"/>
        </w:numPr>
        <w:rPr>
          <w:rFonts w:ascii="Avenir Next" w:hAnsi="Avenir Next"/>
        </w:rPr>
      </w:pPr>
      <w:r w:rsidRPr="00E9757E">
        <w:rPr>
          <w:rFonts w:ascii="Avenir Next" w:hAnsi="Avenir Next"/>
        </w:rPr>
        <w:t>The chosen assumption represents an extreme position within the evidentiary range;</w:t>
      </w:r>
    </w:p>
    <w:p w:rsidRPr="00E9757E" w:rsidR="00E9757E" w:rsidP="00E9757E" w:rsidRDefault="00E9757E" w14:paraId="209BD862" w14:textId="77777777">
      <w:pPr>
        <w:numPr>
          <w:ilvl w:val="0"/>
          <w:numId w:val="2"/>
        </w:numPr>
        <w:rPr>
          <w:rFonts w:ascii="Avenir Next" w:hAnsi="Avenir Next"/>
        </w:rPr>
      </w:pPr>
      <w:r w:rsidRPr="00E9757E">
        <w:rPr>
          <w:rFonts w:ascii="Avenir Next" w:hAnsi="Avenir Next"/>
        </w:rPr>
        <w:t>Plausible alternative assumptions were not adequately reflected.</w:t>
      </w:r>
    </w:p>
    <w:p w:rsidR="00E9757E" w:rsidP="00E9757E" w:rsidRDefault="00E9757E" w14:paraId="0A4EB43E" w14:textId="77777777">
      <w:pPr>
        <w:rPr>
          <w:rFonts w:ascii="Avenir Next" w:hAnsi="Avenir Next"/>
        </w:rPr>
      </w:pPr>
    </w:p>
    <w:p w:rsidRPr="00E9757E" w:rsidR="00E9757E" w:rsidP="00E9757E" w:rsidRDefault="00E9757E" w14:paraId="15C8DAC8" w14:textId="5A79B62D">
      <w:pPr>
        <w:rPr>
          <w:rFonts w:ascii="Avenir Next" w:hAnsi="Avenir Next"/>
        </w:rPr>
      </w:pPr>
      <w:r w:rsidRPr="00E9757E">
        <w:rPr>
          <w:rFonts w:ascii="Avenir Next" w:hAnsi="Avenir Next"/>
        </w:rPr>
        <w:t>As a result, the model may not reflect the overall balance of evidence.</w:t>
      </w:r>
    </w:p>
    <w:p w:rsidRPr="00E9757E" w:rsidR="00E9757E" w:rsidP="00E9757E" w:rsidRDefault="00E9757E" w14:paraId="557DE074" w14:textId="77777777">
      <w:pPr>
        <w:rPr>
          <w:rFonts w:ascii="Avenir Next" w:hAnsi="Avenir Next"/>
        </w:rPr>
      </w:pPr>
      <w:r w:rsidRPr="00E9757E">
        <w:rPr>
          <w:rFonts w:ascii="Avenir Next" w:hAnsi="Avenir Next"/>
        </w:rPr>
        <w:t>We therefore submit that there is an arguable case that the conclusion is disproportionate to the available evidence.</w:t>
      </w:r>
    </w:p>
    <w:p w:rsidR="00E9757E" w:rsidP="00E9757E" w:rsidRDefault="00E9757E" w14:paraId="1FEBBEEB" w14:textId="77777777">
      <w:pPr>
        <w:rPr>
          <w:rFonts w:ascii="Avenir Next" w:hAnsi="Avenir Next"/>
        </w:rPr>
      </w:pPr>
    </w:p>
    <w:p w:rsidRPr="00E9757E" w:rsidR="00E9757E" w:rsidP="00E9757E" w:rsidRDefault="00E9757E" w14:paraId="7A1EF36B" w14:textId="77777777">
      <w:pPr>
        <w:rPr>
          <w:rFonts w:ascii="Avenir Next" w:hAnsi="Avenir Next"/>
        </w:rPr>
      </w:pPr>
    </w:p>
    <w:p w:rsidRPr="00E9757E" w:rsidR="00E9757E" w:rsidP="00E9757E" w:rsidRDefault="00E9757E" w14:paraId="228BE22F" w14:textId="1BDC2545">
      <w:pPr>
        <w:pStyle w:val="ListParagraph"/>
        <w:numPr>
          <w:ilvl w:val="0"/>
          <w:numId w:val="6"/>
        </w:numPr>
        <w:rPr>
          <w:rFonts w:ascii="Avenir Next" w:hAnsi="Avenir Next"/>
          <w:b/>
          <w:bCs/>
        </w:rPr>
      </w:pPr>
      <w:r w:rsidRPr="00E9757E">
        <w:rPr>
          <w:rFonts w:ascii="Avenir Next" w:hAnsi="Avenir Next"/>
          <w:b/>
          <w:bCs/>
        </w:rPr>
        <w:t>Appeal Point 2.5 – Lung NET Subgroup</w:t>
      </w:r>
    </w:p>
    <w:p w:rsidRPr="00E9757E" w:rsidR="00E9757E" w:rsidP="00E9757E" w:rsidRDefault="00E9757E" w14:paraId="34CC4768" w14:textId="77777777">
      <w:pPr>
        <w:pStyle w:val="ListParagraph"/>
        <w:rPr>
          <w:rFonts w:ascii="Avenir Next" w:hAnsi="Avenir Next"/>
          <w:b/>
          <w:bCs/>
        </w:rPr>
      </w:pPr>
    </w:p>
    <w:p w:rsidRPr="00E9757E" w:rsidR="00E9757E" w:rsidP="00E9757E" w:rsidRDefault="00E9757E" w14:paraId="6B70D88C" w14:textId="77777777">
      <w:pPr>
        <w:rPr>
          <w:rFonts w:ascii="Avenir Next" w:hAnsi="Avenir Next"/>
        </w:rPr>
      </w:pPr>
      <w:r w:rsidRPr="00E9757E">
        <w:rPr>
          <w:rFonts w:ascii="Avenir Next" w:hAnsi="Avenir Next"/>
        </w:rPr>
        <w:t>We acknowledge the view that the Committee’s reasoning appears coherent.</w:t>
      </w:r>
    </w:p>
    <w:p w:rsidR="00E9757E" w:rsidP="00E9757E" w:rsidRDefault="00E9757E" w14:paraId="61195B7E" w14:textId="77777777">
      <w:pPr>
        <w:rPr>
          <w:rFonts w:ascii="Avenir Next" w:hAnsi="Avenir Next"/>
        </w:rPr>
      </w:pPr>
    </w:p>
    <w:p w:rsidRPr="00E9757E" w:rsidR="00E9757E" w:rsidP="00E9757E" w:rsidRDefault="00E9757E" w14:paraId="63306AE5" w14:textId="579DF052">
      <w:pPr>
        <w:rPr>
          <w:rFonts w:ascii="Avenir Next" w:hAnsi="Avenir Next"/>
        </w:rPr>
      </w:pPr>
      <w:r w:rsidRPr="00E9757E">
        <w:rPr>
          <w:rFonts w:ascii="Avenir Next" w:hAnsi="Avenir Next"/>
        </w:rPr>
        <w:t>However:</w:t>
      </w:r>
    </w:p>
    <w:p w:rsidRPr="00E9757E" w:rsidR="00E9757E" w:rsidP="00E9757E" w:rsidRDefault="00E9757E" w14:paraId="5381AC94" w14:textId="77777777">
      <w:pPr>
        <w:numPr>
          <w:ilvl w:val="0"/>
          <w:numId w:val="3"/>
        </w:numPr>
        <w:rPr>
          <w:rFonts w:ascii="Avenir Next" w:hAnsi="Avenir Next"/>
        </w:rPr>
      </w:pPr>
      <w:r w:rsidRPr="00E9757E">
        <w:rPr>
          <w:rFonts w:ascii="Avenir Next" w:hAnsi="Avenir Next"/>
        </w:rPr>
        <w:t xml:space="preserve">Clinical expert input </w:t>
      </w:r>
      <w:r w:rsidRPr="00E9757E">
        <w:rPr>
          <w:rFonts w:ascii="Avenir Next" w:hAnsi="Avenir Next"/>
          <w:b/>
          <w:bCs/>
        </w:rPr>
        <w:t>consistently</w:t>
      </w:r>
      <w:r w:rsidRPr="00E9757E">
        <w:rPr>
          <w:rFonts w:ascii="Avenir Next" w:hAnsi="Avenir Next"/>
        </w:rPr>
        <w:t xml:space="preserve"> highlighted greater unmet need and distinct considerations in lung NETs;</w:t>
      </w:r>
    </w:p>
    <w:p w:rsidRPr="00E9757E" w:rsidR="00E9757E" w:rsidP="00E9757E" w:rsidRDefault="00E9757E" w14:paraId="30C69E5B" w14:textId="462B3D3B">
      <w:pPr>
        <w:numPr>
          <w:ilvl w:val="0"/>
          <w:numId w:val="3"/>
        </w:numPr>
        <w:rPr>
          <w:rFonts w:ascii="Avenir Next" w:hAnsi="Avenir Next"/>
        </w:rPr>
      </w:pPr>
      <w:r w:rsidRPr="00E9757E">
        <w:rPr>
          <w:rFonts w:ascii="Avenir Next" w:hAnsi="Avenir Next"/>
        </w:rPr>
        <w:t>T</w:t>
      </w:r>
      <w:r>
        <w:rPr>
          <w:rFonts w:ascii="Avenir Next" w:hAnsi="Avenir Next"/>
        </w:rPr>
        <w:t>hat t</w:t>
      </w:r>
      <w:r w:rsidRPr="00E9757E">
        <w:rPr>
          <w:rFonts w:ascii="Avenir Next" w:hAnsi="Avenir Next"/>
        </w:rPr>
        <w:t xml:space="preserve">here is precedent for subgroup recommendations </w:t>
      </w:r>
      <w:r>
        <w:rPr>
          <w:rFonts w:ascii="Avenir Next" w:hAnsi="Avenir Next"/>
        </w:rPr>
        <w:t>would</w:t>
      </w:r>
      <w:r w:rsidRPr="00E9757E">
        <w:rPr>
          <w:rFonts w:ascii="Avenir Next" w:hAnsi="Avenir Next"/>
        </w:rPr>
        <w:t xml:space="preserve"> justif</w:t>
      </w:r>
      <w:r>
        <w:rPr>
          <w:rFonts w:ascii="Avenir Next" w:hAnsi="Avenir Next"/>
        </w:rPr>
        <w:t>y consistent consideration</w:t>
      </w:r>
      <w:r w:rsidRPr="00E9757E">
        <w:rPr>
          <w:rFonts w:ascii="Avenir Next" w:hAnsi="Avenir Next"/>
        </w:rPr>
        <w:t>.</w:t>
      </w:r>
    </w:p>
    <w:p w:rsidR="00E9757E" w:rsidP="00E9757E" w:rsidRDefault="00E9757E" w14:paraId="4A1937EE" w14:textId="77777777">
      <w:pPr>
        <w:rPr>
          <w:rFonts w:ascii="Avenir Next" w:hAnsi="Avenir Next"/>
        </w:rPr>
      </w:pPr>
    </w:p>
    <w:p w:rsidRPr="00E9757E" w:rsidR="00E9757E" w:rsidP="00E9757E" w:rsidRDefault="00E9757E" w14:paraId="05DC85F2" w14:textId="6EF656E3">
      <w:pPr>
        <w:rPr>
          <w:rFonts w:ascii="Avenir Next" w:hAnsi="Avenir Next"/>
        </w:rPr>
      </w:pPr>
      <w:r>
        <w:rPr>
          <w:rFonts w:ascii="Avenir Next" w:hAnsi="Avenir Next"/>
        </w:rPr>
        <w:t xml:space="preserve">An assessment of committee papers supports this consistency - noted </w:t>
      </w:r>
      <w:r w:rsidRPr="00E9757E">
        <w:rPr>
          <w:rFonts w:ascii="Avenir Next" w:hAnsi="Avenir Next"/>
        </w:rPr>
        <w:t>in Appendix 1</w:t>
      </w:r>
    </w:p>
    <w:p w:rsidRPr="00E9757E" w:rsidR="00E9757E" w:rsidP="00E9757E" w:rsidRDefault="00E9757E" w14:paraId="30B1FB8B" w14:textId="77777777">
      <w:pPr>
        <w:rPr>
          <w:rFonts w:ascii="Avenir Next" w:hAnsi="Avenir Next"/>
        </w:rPr>
      </w:pPr>
      <w:r w:rsidRPr="00E9757E">
        <w:rPr>
          <w:rFonts w:ascii="Avenir Next" w:hAnsi="Avenir Next"/>
        </w:rPr>
        <w:t>We therefore submit that there is an arguable case that insufficient weight was afforded to clinical and subgroup evidence.</w:t>
      </w:r>
    </w:p>
    <w:p w:rsidRPr="00E9757E" w:rsidR="00E9757E" w:rsidP="00E9757E" w:rsidRDefault="00E9757E" w14:paraId="370BBE04" w14:textId="01D2A9D8">
      <w:pPr>
        <w:rPr>
          <w:rFonts w:ascii="Avenir Next" w:hAnsi="Avenir Next"/>
        </w:rPr>
      </w:pPr>
    </w:p>
    <w:p w:rsidRPr="00E9757E" w:rsidR="00E9757E" w:rsidP="00E9757E" w:rsidRDefault="00E9757E" w14:paraId="689E859A" w14:textId="09CA6C02">
      <w:pPr>
        <w:rPr>
          <w:rFonts w:ascii="Avenir Next" w:hAnsi="Avenir Next"/>
        </w:rPr>
      </w:pPr>
    </w:p>
    <w:p w:rsidRPr="00E9757E" w:rsidR="00E9757E" w:rsidP="00E9757E" w:rsidRDefault="00E9757E" w14:paraId="3047CD92" w14:textId="44BF926E">
      <w:pPr>
        <w:rPr>
          <w:rFonts w:ascii="Avenir Next" w:hAnsi="Avenir Next"/>
        </w:rPr>
      </w:pPr>
      <w:r w:rsidRPr="00E9757E">
        <w:rPr>
          <w:rFonts w:ascii="Avenir Next" w:hAnsi="Avenir Next"/>
        </w:rPr>
        <w:t>We respectfully submit that these issues merit consideration by the Appeal Panel.</w:t>
      </w:r>
    </w:p>
    <w:p w:rsidRPr="00E9757E" w:rsidR="00E9757E" w:rsidP="00E9757E" w:rsidRDefault="00E9757E" w14:paraId="14024DD7" w14:textId="77777777">
      <w:pPr>
        <w:rPr>
          <w:rFonts w:ascii="Avenir Next" w:hAnsi="Avenir Next"/>
        </w:rPr>
      </w:pPr>
    </w:p>
    <w:p w:rsidRPr="00E9757E" w:rsidR="00E9757E" w:rsidP="45A1CAC1" w:rsidRDefault="00E9757E" w14:paraId="33F33C9D" w14:textId="7F2CECD6">
      <w:pPr>
        <w:rPr>
          <w:rFonts w:ascii="Avenir Next" w:hAnsi="Avenir Next"/>
        </w:rPr>
      </w:pPr>
      <w:r w:rsidRPr="45A1CAC1" w:rsidR="26615979">
        <w:rPr>
          <w:rFonts w:ascii="Avenir Next" w:hAnsi="Avenir Next"/>
        </w:rPr>
        <w:t>Yours sincerely,</w:t>
      </w:r>
      <w:r>
        <w:br/>
      </w:r>
    </w:p>
    <w:p w:rsidR="3FA9BCEA" w:rsidP="45A1CAC1" w:rsidRDefault="3FA9BCEA" w14:paraId="783B0DC4" w14:textId="5458C520">
      <w:pPr>
        <w:rPr>
          <w:sz w:val="52"/>
          <w:szCs w:val="52"/>
          <w:highlight w:val="black"/>
        </w:rPr>
      </w:pPr>
      <w:r w:rsidRPr="35E57B5B" w:rsidR="119590E1">
        <w:rPr>
          <w:sz w:val="52"/>
          <w:szCs w:val="52"/>
          <w:highlight w:val="black"/>
        </w:rPr>
        <w:t>XXXXXXXXX</w:t>
      </w:r>
    </w:p>
    <w:p w:rsidR="35E57B5B" w:rsidP="35E57B5B" w:rsidRDefault="35E57B5B" w14:paraId="167D0F05" w14:textId="6FDEBE72">
      <w:pPr>
        <w:pStyle w:val="Normal"/>
      </w:pPr>
    </w:p>
    <w:p w:rsidRPr="00E9757E" w:rsidR="00E9757E" w:rsidP="0FDB70DD" w:rsidRDefault="00E9757E" w14:paraId="4DA61D66" w14:textId="565E0028">
      <w:pPr>
        <w:pStyle w:val="Normal"/>
        <w:suppressLineNumbers w:val="0"/>
        <w:bidi w:val="0"/>
        <w:spacing w:before="0" w:beforeAutospacing="off" w:after="0" w:afterAutospacing="off" w:line="259" w:lineRule="auto"/>
        <w:ind w:left="0" w:right="0"/>
        <w:jc w:val="left"/>
        <w:rPr>
          <w:rFonts w:ascii="Avenir Next" w:hAnsi="Avenir Next"/>
        </w:rPr>
      </w:pPr>
      <w:r w:rsidRPr="0FDB70DD" w:rsidR="5FACE5FF">
        <w:rPr>
          <w:highlight w:val="black"/>
        </w:rPr>
        <w:t>XXXXX XXXXXX</w:t>
      </w:r>
      <w:r>
        <w:br/>
      </w:r>
      <w:r w:rsidRPr="0FDB70DD" w:rsidR="63F2960B">
        <w:rPr>
          <w:highlight w:val="black"/>
        </w:rPr>
        <w:t>XXXXXXXX XX XXXXXXX XXXXXXXX X XXXXXX</w:t>
      </w:r>
      <w:r>
        <w:br/>
      </w:r>
      <w:r w:rsidRPr="0FDB70DD" w:rsidR="56B25D60">
        <w:rPr>
          <w:rFonts w:ascii="Avenir Next" w:hAnsi="Avenir Next"/>
        </w:rPr>
        <w:t>Neuroendocrine Cancer UK</w:t>
      </w:r>
    </w:p>
    <w:p w:rsidR="00D5169C" w:rsidRDefault="00D5169C" w14:paraId="7AA9EE05" w14:textId="77777777"/>
    <w:p w:rsidR="00E9757E" w:rsidRDefault="00E9757E" w14:paraId="175E1407" w14:textId="77777777"/>
    <w:p w:rsidR="00E9757E" w:rsidRDefault="00E9757E" w14:paraId="352DAE78" w14:textId="77777777"/>
    <w:p w:rsidR="00D8566B" w:rsidRDefault="00D8566B" w14:paraId="51EF4A3E" w14:textId="77777777"/>
    <w:p w:rsidR="00D8566B" w:rsidRDefault="00D8566B" w14:paraId="73A165AF" w14:textId="77777777"/>
    <w:p w:rsidR="00D8566B" w:rsidRDefault="00D8566B" w14:paraId="131634EA" w14:textId="77777777"/>
    <w:p w:rsidR="00D8566B" w:rsidRDefault="00D8566B" w14:paraId="3F4A8FE2" w14:textId="77777777"/>
    <w:p w:rsidR="00D8566B" w:rsidRDefault="00D8566B" w14:paraId="582E9432" w14:textId="77777777"/>
    <w:p w:rsidR="00E9757E" w:rsidRDefault="00E9757E" w14:paraId="24DEE194" w14:textId="77777777"/>
    <w:p w:rsidRPr="00E9757E" w:rsidR="00E9757E" w:rsidRDefault="00E9757E" w14:paraId="3B91A9D5" w14:textId="046153F7">
      <w:pPr>
        <w:rPr>
          <w:rFonts w:ascii="Avenir Next" w:hAnsi="Avenir Next"/>
          <w:b/>
          <w:bCs/>
        </w:rPr>
      </w:pPr>
      <w:r w:rsidRPr="00E9757E">
        <w:rPr>
          <w:rFonts w:ascii="Avenir Next" w:hAnsi="Avenir Next"/>
          <w:b/>
          <w:bCs/>
        </w:rPr>
        <w:t>Appendix 1</w:t>
      </w:r>
    </w:p>
    <w:p w:rsidR="00E9757E" w:rsidRDefault="00E9757E" w14:paraId="1BF8B1FB" w14:textId="77777777">
      <w:pPr>
        <w:rPr>
          <w:rFonts w:ascii="Avenir Next" w:hAnsi="Avenir Next"/>
        </w:rPr>
      </w:pPr>
    </w:p>
    <w:p w:rsidRPr="00E9757E" w:rsidR="00E9757E" w:rsidP="00E9757E" w:rsidRDefault="00E9757E" w14:paraId="020516E3" w14:textId="72380E63">
      <w:pPr>
        <w:rPr>
          <w:rFonts w:ascii="Avenir Next" w:hAnsi="Avenir Next"/>
          <w:b/>
          <w:bCs/>
        </w:rPr>
      </w:pPr>
      <w:r w:rsidRPr="00E9757E">
        <w:rPr>
          <w:rFonts w:ascii="Avenir Next" w:hAnsi="Avenir Next"/>
          <w:b/>
          <w:bCs/>
        </w:rPr>
        <w:t>From committee papers:</w:t>
      </w:r>
      <w:r w:rsidR="00D8566B">
        <w:rPr>
          <w:rFonts w:ascii="Avenir Next" w:hAnsi="Avenir Next"/>
          <w:b/>
          <w:bCs/>
        </w:rPr>
        <w:t xml:space="preserve"> including direct quotes from said documents:</w:t>
      </w:r>
    </w:p>
    <w:p w:rsidRPr="00E9757E" w:rsidR="00E9757E" w:rsidP="00E9757E" w:rsidRDefault="00E9757E" w14:paraId="184BAF6D" w14:textId="77777777">
      <w:pPr>
        <w:rPr>
          <w:rFonts w:ascii="Avenir Next" w:hAnsi="Avenir Next"/>
          <w:b/>
          <w:bCs/>
        </w:rPr>
      </w:pPr>
    </w:p>
    <w:p w:rsidRPr="00E9757E" w:rsidR="00E9757E" w:rsidP="00E9757E" w:rsidRDefault="00E9757E" w14:paraId="2A959B7A" w14:textId="77777777">
      <w:pPr>
        <w:rPr>
          <w:rFonts w:ascii="Avenir Next" w:hAnsi="Avenir Next"/>
        </w:rPr>
      </w:pPr>
      <w:r w:rsidRPr="00E9757E">
        <w:rPr>
          <w:rFonts w:ascii="Avenir Next" w:hAnsi="Avenir Next"/>
        </w:rPr>
        <w:t xml:space="preserve">In reviewing committee papers there is strong, repeated consensus across: </w:t>
      </w:r>
    </w:p>
    <w:p w:rsidRPr="00E9757E" w:rsidR="00E9757E" w:rsidP="00E9757E" w:rsidRDefault="00E9757E" w14:paraId="487A6E9D" w14:textId="77777777">
      <w:pPr>
        <w:numPr>
          <w:ilvl w:val="1"/>
          <w:numId w:val="8"/>
        </w:numPr>
        <w:rPr>
          <w:rFonts w:ascii="Avenir Next" w:hAnsi="Avenir Next"/>
        </w:rPr>
      </w:pPr>
      <w:r w:rsidRPr="00E9757E">
        <w:rPr>
          <w:rFonts w:ascii="Avenir Next" w:hAnsi="Avenir Next"/>
        </w:rPr>
        <w:t>clinical experts</w:t>
      </w:r>
    </w:p>
    <w:p w:rsidRPr="00E9757E" w:rsidR="00E9757E" w:rsidP="00E9757E" w:rsidRDefault="00E9757E" w14:paraId="1BF247F7" w14:textId="77777777">
      <w:pPr>
        <w:numPr>
          <w:ilvl w:val="1"/>
          <w:numId w:val="8"/>
        </w:numPr>
        <w:rPr>
          <w:rFonts w:ascii="Avenir Next" w:hAnsi="Avenir Next"/>
        </w:rPr>
      </w:pPr>
      <w:r w:rsidRPr="00E9757E">
        <w:rPr>
          <w:rFonts w:ascii="Avenir Next" w:hAnsi="Avenir Next"/>
        </w:rPr>
        <w:t>patient testimony</w:t>
      </w:r>
    </w:p>
    <w:p w:rsidRPr="00E9757E" w:rsidR="00E9757E" w:rsidP="00E9757E" w:rsidRDefault="00E9757E" w14:paraId="38BF9AC9" w14:textId="77777777">
      <w:pPr>
        <w:rPr>
          <w:rFonts w:ascii="Avenir Next" w:hAnsi="Avenir Next"/>
        </w:rPr>
      </w:pPr>
      <w:r w:rsidRPr="00E9757E">
        <w:rPr>
          <w:rFonts w:ascii="Avenir Next" w:hAnsi="Avenir Next"/>
        </w:rPr>
        <w:t>where Lung NETs were explicitly highlighted as higher unmet need.</w:t>
      </w:r>
    </w:p>
    <w:p w:rsidRPr="00E9757E" w:rsidR="00E9757E" w:rsidP="00E9757E" w:rsidRDefault="00E9757E" w14:paraId="29A1D282" w14:textId="77777777">
      <w:pPr>
        <w:rPr>
          <w:rFonts w:ascii="Avenir Next" w:hAnsi="Avenir Next"/>
          <w:b/>
          <w:bCs/>
        </w:rPr>
      </w:pPr>
    </w:p>
    <w:p w:rsidRPr="00E9757E" w:rsidR="00E9757E" w:rsidP="00E9757E" w:rsidRDefault="00E9757E" w14:paraId="401595A0" w14:textId="77777777">
      <w:pPr>
        <w:rPr>
          <w:rFonts w:ascii="Avenir Next" w:hAnsi="Avenir Next"/>
          <w:b/>
          <w:bCs/>
        </w:rPr>
      </w:pPr>
      <w:r w:rsidRPr="00E9757E">
        <w:rPr>
          <w:rFonts w:ascii="Avenir Next" w:hAnsi="Avenir Next"/>
          <w:b/>
          <w:bCs/>
        </w:rPr>
        <w:t>Unmet need (including lung</w:t>
      </w:r>
      <w:r w:rsidRPr="00E9757E">
        <w:rPr>
          <w:rFonts w:ascii="Avenir Next" w:hAnsi="Avenir Next"/>
          <w:b/>
          <w:bCs/>
        </w:rPr>
        <w:noBreakHyphen/>
      </w:r>
      <w:r w:rsidRPr="00E9757E">
        <w:rPr>
          <w:rFonts w:ascii="Avenir Next" w:hAnsi="Avenir Next"/>
          <w:b/>
          <w:bCs/>
        </w:rPr>
        <w:t xml:space="preserve">specific): from committee papers </w:t>
      </w:r>
    </w:p>
    <w:p w:rsidRPr="00E9757E" w:rsidR="00E9757E" w:rsidP="00E9757E" w:rsidRDefault="00E9757E" w14:paraId="1719F125" w14:textId="77777777">
      <w:pPr>
        <w:rPr>
          <w:rFonts w:ascii="Avenir Next" w:hAnsi="Avenir Next"/>
          <w:b/>
          <w:bCs/>
        </w:rPr>
      </w:pPr>
    </w:p>
    <w:p w:rsidRPr="00E9757E" w:rsidR="00E9757E" w:rsidP="00E9757E" w:rsidRDefault="00E9757E" w14:paraId="5944DFFF" w14:textId="77777777">
      <w:pPr>
        <w:rPr>
          <w:rFonts w:ascii="Avenir Next" w:hAnsi="Avenir Next"/>
        </w:rPr>
      </w:pPr>
      <w:r w:rsidRPr="00E9757E">
        <w:rPr>
          <w:rFonts w:ascii="Avenir Next" w:hAnsi="Avenir Next"/>
        </w:rPr>
        <w:t xml:space="preserve">“The clinical experts explained that for extrapancreatic (epNETS), </w:t>
      </w:r>
      <w:r w:rsidRPr="00E9757E">
        <w:rPr>
          <w:rFonts w:ascii="Avenir Next" w:hAnsi="Avenir Next"/>
          <w:b/>
          <w:bCs/>
        </w:rPr>
        <w:t>particularly lung NETs</w:t>
      </w:r>
      <w:r w:rsidRPr="00E9757E">
        <w:rPr>
          <w:rFonts w:ascii="Avenir Next" w:hAnsi="Avenir Next"/>
        </w:rPr>
        <w:t xml:space="preserve">, there are limited treatment options after progression on prior systemic treatments.”  </w:t>
      </w:r>
    </w:p>
    <w:p w:rsidRPr="00E9757E" w:rsidR="00E9757E" w:rsidP="00E9757E" w:rsidRDefault="00E9757E" w14:paraId="42522562" w14:textId="77777777">
      <w:pPr>
        <w:rPr>
          <w:rFonts w:ascii="Avenir Next" w:hAnsi="Avenir Next"/>
        </w:rPr>
      </w:pPr>
      <w:r w:rsidRPr="00E9757E">
        <w:rPr>
          <w:rFonts w:ascii="Avenir Next" w:hAnsi="Avenir Next"/>
        </w:rPr>
        <w:t xml:space="preserve">“Clinical and patient experts explained that having different treatment options is particularly important, as currently available treatments are not suitable for everyone and often have unpleasant side effects.” </w:t>
      </w:r>
    </w:p>
    <w:p w:rsidRPr="00E9757E" w:rsidR="00E9757E" w:rsidP="00E9757E" w:rsidRDefault="00E9757E" w14:paraId="64710215" w14:textId="77777777">
      <w:pPr>
        <w:rPr>
          <w:rFonts w:ascii="Avenir Next" w:hAnsi="Avenir Next"/>
        </w:rPr>
      </w:pPr>
      <w:r w:rsidRPr="00E9757E">
        <w:rPr>
          <w:rFonts w:ascii="Avenir Next" w:hAnsi="Avenir Next"/>
        </w:rPr>
        <w:t xml:space="preserve">“Patients with </w:t>
      </w:r>
      <w:r w:rsidRPr="00E9757E">
        <w:rPr>
          <w:rFonts w:ascii="Avenir Next" w:hAnsi="Avenir Next"/>
          <w:b/>
          <w:bCs/>
        </w:rPr>
        <w:t>lung NETs</w:t>
      </w:r>
      <w:r w:rsidRPr="00E9757E">
        <w:rPr>
          <w:rFonts w:ascii="Avenir Next" w:hAnsi="Avenir Next"/>
        </w:rPr>
        <w:t xml:space="preserve"> face higher unmet need and a fragmented UK care pathway which ultimately leads to poorer prognosis.” </w:t>
      </w:r>
    </w:p>
    <w:p w:rsidRPr="00E9757E" w:rsidR="00E9757E" w:rsidP="00E9757E" w:rsidRDefault="00E9757E" w14:paraId="5E69C588" w14:textId="77777777">
      <w:pPr>
        <w:rPr>
          <w:rFonts w:ascii="Avenir Next" w:hAnsi="Avenir Next"/>
        </w:rPr>
      </w:pPr>
      <w:r w:rsidRPr="00E9757E">
        <w:rPr>
          <w:rFonts w:ascii="Avenir Next" w:hAnsi="Avenir Next"/>
        </w:rPr>
        <w:t xml:space="preserve">“Clinical experts… acknowledged a significant unmet need in </w:t>
      </w:r>
      <w:r w:rsidRPr="00E9757E">
        <w:rPr>
          <w:rFonts w:ascii="Avenir Next" w:hAnsi="Avenir Next"/>
          <w:b/>
          <w:bCs/>
        </w:rPr>
        <w:t>lung NETs</w:t>
      </w:r>
      <w:r w:rsidRPr="00E9757E">
        <w:rPr>
          <w:rFonts w:ascii="Avenir Next" w:hAnsi="Avenir Next"/>
        </w:rPr>
        <w:t xml:space="preserve"> given the limited systemic treatment options available for these patients.” </w:t>
      </w:r>
    </w:p>
    <w:p w:rsidRPr="00E9757E" w:rsidR="00E9757E" w:rsidP="00E9757E" w:rsidRDefault="00E9757E" w14:paraId="1ACBCD72" w14:textId="77777777">
      <w:pPr>
        <w:rPr>
          <w:rFonts w:ascii="Avenir Next" w:hAnsi="Avenir Next"/>
        </w:rPr>
      </w:pPr>
    </w:p>
    <w:p w:rsidRPr="00E9757E" w:rsidR="00E9757E" w:rsidP="00E9757E" w:rsidRDefault="00E9757E" w14:paraId="17955C7E" w14:textId="77777777">
      <w:pPr>
        <w:rPr>
          <w:rFonts w:ascii="Avenir Next" w:hAnsi="Avenir Next"/>
          <w:b/>
          <w:bCs/>
        </w:rPr>
      </w:pPr>
      <w:r w:rsidRPr="00E9757E">
        <w:rPr>
          <w:rFonts w:ascii="Avenir Next" w:hAnsi="Avenir Next"/>
          <w:b/>
          <w:bCs/>
        </w:rPr>
        <w:t xml:space="preserve">Clinical benefit </w:t>
      </w:r>
    </w:p>
    <w:p w:rsidRPr="00E9757E" w:rsidR="00E9757E" w:rsidP="00E9757E" w:rsidRDefault="00E9757E" w14:paraId="580A0B97" w14:textId="77777777">
      <w:pPr>
        <w:rPr>
          <w:rFonts w:ascii="Avenir Next" w:hAnsi="Avenir Next"/>
        </w:rPr>
      </w:pPr>
      <w:r w:rsidRPr="00E9757E">
        <w:rPr>
          <w:rFonts w:ascii="Avenir Next" w:hAnsi="Avenir Next"/>
        </w:rPr>
        <w:t xml:space="preserve">“Clinical experts… determined PFS as the most clinically relevant endpoint.” </w:t>
      </w:r>
    </w:p>
    <w:p w:rsidRPr="00E9757E" w:rsidR="00E9757E" w:rsidP="00E9757E" w:rsidRDefault="00E9757E" w14:paraId="146B7414" w14:textId="77777777">
      <w:pPr>
        <w:rPr>
          <w:rFonts w:ascii="Avenir Next" w:hAnsi="Avenir Next"/>
        </w:rPr>
      </w:pPr>
      <w:r w:rsidRPr="00E9757E">
        <w:rPr>
          <w:rFonts w:ascii="Avenir Next" w:hAnsi="Avenir Next"/>
        </w:rPr>
        <w:t xml:space="preserve">“Clinical experts… stated that even if trials are unable to demonstrate an OS benefit, this does not mean the treatment lacks clinical benefit.” </w:t>
      </w:r>
    </w:p>
    <w:p w:rsidRPr="00E9757E" w:rsidR="00E9757E" w:rsidP="00E9757E" w:rsidRDefault="00E9757E" w14:paraId="7950DD08" w14:textId="77777777">
      <w:pPr>
        <w:rPr>
          <w:rFonts w:ascii="Avenir Next" w:hAnsi="Avenir Next"/>
        </w:rPr>
      </w:pPr>
      <w:r w:rsidRPr="00E9757E">
        <w:rPr>
          <w:rFonts w:ascii="Avenir Next" w:hAnsi="Avenir Next"/>
        </w:rPr>
        <w:t xml:space="preserve">“Clinicians expect an OS benefit associated with cabozantinib.” </w:t>
      </w:r>
    </w:p>
    <w:p w:rsidRPr="00E9757E" w:rsidR="00E9757E" w:rsidP="00E9757E" w:rsidRDefault="00E9757E" w14:paraId="2E3C7DD5" w14:textId="77777777">
      <w:pPr>
        <w:rPr>
          <w:rFonts w:ascii="Avenir Next" w:hAnsi="Avenir Next"/>
        </w:rPr>
      </w:pPr>
    </w:p>
    <w:p w:rsidRPr="00E9757E" w:rsidR="00E9757E" w:rsidP="00E9757E" w:rsidRDefault="00E9757E" w14:paraId="61B42CDE" w14:textId="77777777">
      <w:pPr>
        <w:rPr>
          <w:rFonts w:ascii="Avenir Next" w:hAnsi="Avenir Next"/>
          <w:b/>
          <w:bCs/>
        </w:rPr>
      </w:pPr>
      <w:r w:rsidRPr="00E9757E">
        <w:rPr>
          <w:rFonts w:ascii="Avenir Next" w:hAnsi="Avenir Next"/>
          <w:b/>
          <w:bCs/>
        </w:rPr>
        <w:t xml:space="preserve">Nature of evidence / rarity </w:t>
      </w:r>
    </w:p>
    <w:p w:rsidRPr="00E9757E" w:rsidR="00E9757E" w:rsidP="00E9757E" w:rsidRDefault="00E9757E" w14:paraId="582A2E58" w14:textId="77777777">
      <w:pPr>
        <w:rPr>
          <w:rFonts w:ascii="Avenir Next" w:hAnsi="Avenir Next"/>
        </w:rPr>
      </w:pPr>
      <w:r w:rsidRPr="00E9757E">
        <w:rPr>
          <w:rFonts w:ascii="Avenir Next" w:hAnsi="Avenir Next"/>
        </w:rPr>
        <w:t xml:space="preserve">“Expert judgement should therefore play a key role in decision-making within this appraisal.” </w:t>
      </w:r>
    </w:p>
    <w:p w:rsidRPr="00E9757E" w:rsidR="00E9757E" w:rsidP="00E9757E" w:rsidRDefault="00E9757E" w14:paraId="6540BCCF" w14:textId="77777777">
      <w:pPr>
        <w:rPr>
          <w:rFonts w:ascii="Avenir Next" w:hAnsi="Avenir Next"/>
        </w:rPr>
      </w:pPr>
      <w:r w:rsidRPr="00E9757E">
        <w:rPr>
          <w:rFonts w:ascii="Avenir Next" w:hAnsi="Avenir Next"/>
        </w:rPr>
        <w:t xml:space="preserve">“There was broad consistency between the individual assessments provided by the experts…” </w:t>
      </w:r>
    </w:p>
    <w:p w:rsidRPr="00E9757E" w:rsidR="00E9757E" w:rsidP="00E9757E" w:rsidRDefault="00E9757E" w14:paraId="7F983F0A" w14:textId="77777777">
      <w:pPr>
        <w:rPr>
          <w:rFonts w:ascii="Avenir Next" w:hAnsi="Avenir Next"/>
        </w:rPr>
      </w:pPr>
    </w:p>
    <w:p w:rsidRPr="00E9757E" w:rsidR="00E9757E" w:rsidP="00E9757E" w:rsidRDefault="00E9757E" w14:paraId="0EB76DC7" w14:textId="77777777">
      <w:pPr>
        <w:rPr>
          <w:rFonts w:ascii="Avenir Next" w:hAnsi="Avenir Next"/>
          <w:b/>
          <w:bCs/>
        </w:rPr>
      </w:pPr>
      <w:r w:rsidRPr="00E9757E">
        <w:rPr>
          <w:rFonts w:ascii="Avenir Next" w:hAnsi="Avenir Next"/>
          <w:b/>
          <w:bCs/>
        </w:rPr>
        <w:t xml:space="preserve">Core expert evidence in reference to lung NET cohort: </w:t>
      </w:r>
    </w:p>
    <w:p w:rsidRPr="00E9757E" w:rsidR="00E9757E" w:rsidP="00E9757E" w:rsidRDefault="00E9757E" w14:paraId="2DFB2A9C" w14:textId="77777777">
      <w:pPr>
        <w:rPr>
          <w:rFonts w:ascii="Avenir Next" w:hAnsi="Avenir Next"/>
        </w:rPr>
      </w:pPr>
    </w:p>
    <w:p w:rsidRPr="00E9757E" w:rsidR="00E9757E" w:rsidP="00E9757E" w:rsidRDefault="00E9757E" w14:paraId="179E68CF" w14:textId="77777777">
      <w:pPr>
        <w:numPr>
          <w:ilvl w:val="0"/>
          <w:numId w:val="7"/>
        </w:numPr>
        <w:rPr>
          <w:rFonts w:ascii="Avenir Next" w:hAnsi="Avenir Next"/>
        </w:rPr>
      </w:pPr>
      <w:r w:rsidRPr="00E9757E">
        <w:rPr>
          <w:rFonts w:ascii="Avenir Next" w:hAnsi="Avenir Next"/>
        </w:rPr>
        <w:t>“limited treatment options… particularly lung NETs”</w:t>
      </w:r>
    </w:p>
    <w:p w:rsidRPr="00E9757E" w:rsidR="00E9757E" w:rsidP="00E9757E" w:rsidRDefault="00E9757E" w14:paraId="33278147" w14:textId="77777777">
      <w:pPr>
        <w:numPr>
          <w:ilvl w:val="0"/>
          <w:numId w:val="7"/>
        </w:numPr>
        <w:rPr>
          <w:rFonts w:ascii="Avenir Next" w:hAnsi="Avenir Next"/>
        </w:rPr>
      </w:pPr>
      <w:r w:rsidRPr="00E9757E">
        <w:rPr>
          <w:rFonts w:ascii="Avenir Next" w:hAnsi="Avenir Next"/>
        </w:rPr>
        <w:t>“significant unmet need in lung NETs”</w:t>
      </w:r>
    </w:p>
    <w:p w:rsidRPr="00E9757E" w:rsidR="00E9757E" w:rsidP="00E9757E" w:rsidRDefault="00E9757E" w14:paraId="0D973D7D" w14:textId="77777777">
      <w:pPr>
        <w:numPr>
          <w:ilvl w:val="0"/>
          <w:numId w:val="7"/>
        </w:numPr>
        <w:rPr>
          <w:rFonts w:ascii="Avenir Next" w:hAnsi="Avenir Next"/>
        </w:rPr>
      </w:pPr>
      <w:r w:rsidRPr="00E9757E">
        <w:rPr>
          <w:rFonts w:ascii="Avenir Next" w:hAnsi="Avenir Next"/>
        </w:rPr>
        <w:t>“fragmented UK care pathway… poorer prognosis”</w:t>
      </w:r>
    </w:p>
    <w:p w:rsidRPr="00E9757E" w:rsidR="00E9757E" w:rsidP="00E9757E" w:rsidRDefault="00E9757E" w14:paraId="7E1E9CD4" w14:textId="77777777">
      <w:pPr>
        <w:numPr>
          <w:ilvl w:val="0"/>
          <w:numId w:val="7"/>
        </w:numPr>
        <w:rPr>
          <w:rFonts w:ascii="Avenir Next" w:hAnsi="Avenir Next"/>
        </w:rPr>
      </w:pPr>
      <w:r w:rsidRPr="00E9757E">
        <w:rPr>
          <w:rFonts w:ascii="Avenir Next" w:hAnsi="Avenir Next"/>
        </w:rPr>
        <w:t>“poor prognosis and limited treatment options”</w:t>
      </w:r>
    </w:p>
    <w:p w:rsidRPr="00E9757E" w:rsidR="00E9757E" w:rsidP="00E9757E" w:rsidRDefault="00E9757E" w14:paraId="77736899" w14:textId="77777777">
      <w:pPr>
        <w:rPr>
          <w:rFonts w:ascii="Avenir Next" w:hAnsi="Avenir Next"/>
        </w:rPr>
      </w:pPr>
    </w:p>
    <w:p w:rsidRPr="00E9757E" w:rsidR="00E9757E" w:rsidP="00E9757E" w:rsidRDefault="00E9757E" w14:paraId="2180B1E4" w14:textId="7419E267">
      <w:pPr>
        <w:rPr>
          <w:rFonts w:ascii="Avenir Next" w:hAnsi="Avenir Next"/>
        </w:rPr>
      </w:pPr>
      <w:r>
        <w:rPr>
          <w:rFonts w:ascii="Avenir Next" w:hAnsi="Avenir Next"/>
        </w:rPr>
        <w:t>We therefore respectfully submit that c</w:t>
      </w:r>
      <w:r w:rsidRPr="00E9757E">
        <w:rPr>
          <w:rFonts w:ascii="Avenir Next" w:hAnsi="Avenir Next"/>
        </w:rPr>
        <w:t xml:space="preserve">linical and patient experts </w:t>
      </w:r>
      <w:r w:rsidRPr="00E9757E">
        <w:rPr>
          <w:rFonts w:ascii="Avenir Next" w:hAnsi="Avenir Next"/>
          <w:b/>
          <w:bCs/>
        </w:rPr>
        <w:t>consistently</w:t>
      </w:r>
      <w:r w:rsidRPr="00E9757E">
        <w:rPr>
          <w:rFonts w:ascii="Avenir Next" w:hAnsi="Avenir Next"/>
        </w:rPr>
        <w:t xml:space="preserve"> highlighted that lung neuroendocrine tumours represent a subgroup with particularly high unmet need, limited treatment options and poorer prognosis. For these patients, delaying disease progression is clinically meaningful—not only for survival, but for maintaining respiratory function, independence and quality of life.</w:t>
      </w:r>
    </w:p>
    <w:p w:rsidRPr="00E9757E" w:rsidR="00E9757E" w:rsidRDefault="00E9757E" w14:paraId="158A9F11" w14:textId="77777777">
      <w:pPr>
        <w:rPr>
          <w:rFonts w:ascii="Avenir Next" w:hAnsi="Avenir Next"/>
        </w:rPr>
      </w:pPr>
    </w:p>
    <w:p w:rsidR="00E9757E" w:rsidRDefault="00E9757E" w14:paraId="31CDEAD2" w14:textId="77777777"/>
    <w:p w:rsidR="00E9757E" w:rsidRDefault="00E9757E" w14:paraId="45504174" w14:textId="77777777"/>
    <w:sectPr w:rsidR="00E9757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w:charset w:val="00"/>
    <w:family w:val="swiss"/>
    <w:pitch w:val="variable"/>
    <w:sig w:usb0="8000002F"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A75"/>
    <w:multiLevelType w:val="multilevel"/>
    <w:tmpl w:val="811C9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3638BD"/>
    <w:multiLevelType w:val="multilevel"/>
    <w:tmpl w:val="DC66D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66172A"/>
    <w:multiLevelType w:val="multilevel"/>
    <w:tmpl w:val="C61A8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951E8D"/>
    <w:multiLevelType w:val="multilevel"/>
    <w:tmpl w:val="880EE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E05A32"/>
    <w:multiLevelType w:val="multilevel"/>
    <w:tmpl w:val="D1147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CA7303A"/>
    <w:multiLevelType w:val="hybridMultilevel"/>
    <w:tmpl w:val="0AB07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03DB7"/>
    <w:multiLevelType w:val="multilevel"/>
    <w:tmpl w:val="CEFE86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E2940F8"/>
    <w:multiLevelType w:val="multilevel"/>
    <w:tmpl w:val="6CA8C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4268343">
    <w:abstractNumId w:val="0"/>
  </w:num>
  <w:num w:numId="2" w16cid:durableId="873614301">
    <w:abstractNumId w:val="3"/>
  </w:num>
  <w:num w:numId="3" w16cid:durableId="1961916865">
    <w:abstractNumId w:val="1"/>
  </w:num>
  <w:num w:numId="4" w16cid:durableId="244806557">
    <w:abstractNumId w:val="4"/>
  </w:num>
  <w:num w:numId="5" w16cid:durableId="1875802421">
    <w:abstractNumId w:val="2"/>
  </w:num>
  <w:num w:numId="6" w16cid:durableId="1667704867">
    <w:abstractNumId w:val="5"/>
  </w:num>
  <w:num w:numId="7" w16cid:durableId="1996690081">
    <w:abstractNumId w:val="7"/>
  </w:num>
  <w:num w:numId="8" w16cid:durableId="84032061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7E"/>
    <w:rsid w:val="001A0828"/>
    <w:rsid w:val="006D3B4F"/>
    <w:rsid w:val="00923B2F"/>
    <w:rsid w:val="00963F91"/>
    <w:rsid w:val="009B2E58"/>
    <w:rsid w:val="00C94758"/>
    <w:rsid w:val="00D5169C"/>
    <w:rsid w:val="00D8566B"/>
    <w:rsid w:val="00E609B6"/>
    <w:rsid w:val="00E80D31"/>
    <w:rsid w:val="00E9757E"/>
    <w:rsid w:val="0FDB70DD"/>
    <w:rsid w:val="119590E1"/>
    <w:rsid w:val="161F4209"/>
    <w:rsid w:val="26615979"/>
    <w:rsid w:val="35E57B5B"/>
    <w:rsid w:val="3FA9BCEA"/>
    <w:rsid w:val="45A1CAC1"/>
    <w:rsid w:val="52A52777"/>
    <w:rsid w:val="56B25D60"/>
    <w:rsid w:val="5FACE5FF"/>
    <w:rsid w:val="63F2960B"/>
    <w:rsid w:val="779F68DC"/>
    <w:rsid w:val="7CA0A1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CDC3"/>
  <w15:chartTrackingRefBased/>
  <w15:docId w15:val="{C21F6A80-8935-1341-8D90-4BA7660498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75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5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5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7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75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75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75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75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75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75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75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75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757E"/>
    <w:rPr>
      <w:rFonts w:eastAsiaTheme="majorEastAsia" w:cstheme="majorBidi"/>
      <w:color w:val="272727" w:themeColor="text1" w:themeTint="D8"/>
    </w:rPr>
  </w:style>
  <w:style w:type="paragraph" w:styleId="Title">
    <w:name w:val="Title"/>
    <w:basedOn w:val="Normal"/>
    <w:next w:val="Normal"/>
    <w:link w:val="TitleChar"/>
    <w:uiPriority w:val="10"/>
    <w:qFormat/>
    <w:rsid w:val="00E9757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75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75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7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9757E"/>
    <w:rPr>
      <w:i/>
      <w:iCs/>
      <w:color w:val="404040" w:themeColor="text1" w:themeTint="BF"/>
    </w:rPr>
  </w:style>
  <w:style w:type="paragraph" w:styleId="ListParagraph">
    <w:name w:val="List Paragraph"/>
    <w:basedOn w:val="Normal"/>
    <w:uiPriority w:val="34"/>
    <w:qFormat/>
    <w:rsid w:val="00E9757E"/>
    <w:pPr>
      <w:ind w:left="720"/>
      <w:contextualSpacing/>
    </w:pPr>
  </w:style>
  <w:style w:type="character" w:styleId="IntenseEmphasis">
    <w:name w:val="Intense Emphasis"/>
    <w:basedOn w:val="DefaultParagraphFont"/>
    <w:uiPriority w:val="21"/>
    <w:qFormat/>
    <w:rsid w:val="00E9757E"/>
    <w:rPr>
      <w:i/>
      <w:iCs/>
      <w:color w:val="0F4761" w:themeColor="accent1" w:themeShade="BF"/>
    </w:rPr>
  </w:style>
  <w:style w:type="paragraph" w:styleId="IntenseQuote">
    <w:name w:val="Intense Quote"/>
    <w:basedOn w:val="Normal"/>
    <w:next w:val="Normal"/>
    <w:link w:val="IntenseQuoteChar"/>
    <w:uiPriority w:val="30"/>
    <w:qFormat/>
    <w:rsid w:val="00E975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757E"/>
    <w:rPr>
      <w:i/>
      <w:iCs/>
      <w:color w:val="0F4761" w:themeColor="accent1" w:themeShade="BF"/>
    </w:rPr>
  </w:style>
  <w:style w:type="character" w:styleId="IntenseReference">
    <w:name w:val="Intense Reference"/>
    <w:basedOn w:val="DefaultParagraphFont"/>
    <w:uiPriority w:val="32"/>
    <w:qFormat/>
    <w:rsid w:val="00E97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76C27-7D20-4B2B-895F-FDAC6B44D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5D571-CF83-40ED-8B18-890D884F6EE1}">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27D682AA-F397-4C42-AA3E-AEBE8A1D16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Nikie Jervis</dc:creator>
  <keywords/>
  <dc:description/>
  <lastModifiedBy>Leah Murphy</lastModifiedBy>
  <revision>6</revision>
  <dcterms:created xsi:type="dcterms:W3CDTF">2026-06-10T11:02:00.0000000Z</dcterms:created>
  <dcterms:modified xsi:type="dcterms:W3CDTF">2026-06-11T11:34:55.2273578Z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2026-06-10T11:02:16Z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ce739286-de13-4161-9056-0fcecff06a48</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