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240E" w14:textId="52750799" w:rsidR="40D0D103" w:rsidRDefault="40D0D103" w:rsidP="2AF5CC34">
      <w:pPr>
        <w:rPr>
          <w:b/>
          <w:bCs/>
          <w:sz w:val="40"/>
          <w:szCs w:val="40"/>
        </w:rPr>
      </w:pPr>
      <w:r w:rsidRPr="2AF5CC34">
        <w:rPr>
          <w:b/>
          <w:bCs/>
          <w:sz w:val="40"/>
          <w:szCs w:val="40"/>
        </w:rPr>
        <w:t xml:space="preserve">Cabozantinib for treating advanced neuroendocrine </w:t>
      </w:r>
      <w:proofErr w:type="spellStart"/>
      <w:r w:rsidRPr="2AF5CC34">
        <w:rPr>
          <w:b/>
          <w:bCs/>
          <w:sz w:val="40"/>
          <w:szCs w:val="40"/>
        </w:rPr>
        <w:t>tumours</w:t>
      </w:r>
      <w:proofErr w:type="spellEnd"/>
      <w:r w:rsidRPr="2AF5CC34">
        <w:rPr>
          <w:b/>
          <w:bCs/>
          <w:sz w:val="40"/>
          <w:szCs w:val="40"/>
        </w:rPr>
        <w:t xml:space="preserve"> that have progressed after systemic treatment: summary of clinical expert feedback </w:t>
      </w:r>
      <w:r w:rsidR="00C80CF6" w:rsidRPr="2AF5CC34">
        <w:rPr>
          <w:b/>
          <w:bCs/>
          <w:sz w:val="40"/>
          <w:szCs w:val="40"/>
        </w:rPr>
        <w:t>following</w:t>
      </w:r>
      <w:r w:rsidRPr="2AF5CC34">
        <w:rPr>
          <w:b/>
          <w:bCs/>
          <w:sz w:val="40"/>
          <w:szCs w:val="40"/>
        </w:rPr>
        <w:t xml:space="preserve"> </w:t>
      </w:r>
      <w:r w:rsidR="00C80CF6" w:rsidRPr="2AF5CC34">
        <w:rPr>
          <w:b/>
          <w:bCs/>
          <w:sz w:val="40"/>
          <w:szCs w:val="40"/>
        </w:rPr>
        <w:t>appraisal</w:t>
      </w:r>
      <w:r w:rsidRPr="2AF5CC34">
        <w:rPr>
          <w:b/>
          <w:bCs/>
          <w:sz w:val="40"/>
          <w:szCs w:val="40"/>
        </w:rPr>
        <w:t xml:space="preserve"> committee meeting 1 (October 2025)</w:t>
      </w:r>
    </w:p>
    <w:p w14:paraId="1902E119" w14:textId="18D08C76" w:rsidR="00F0421E" w:rsidRDefault="00377441" w:rsidP="2AF5CC34">
      <w:r>
        <w:t xml:space="preserve">This report provides a comprehensive narrative synthesis of four clinician interviews conducted after ACM1 to validate assumptions for the NICE appraisal of cabozantinib in neuroendocrine </w:t>
      </w:r>
      <w:proofErr w:type="spellStart"/>
      <w:r>
        <w:t>tumours</w:t>
      </w:r>
      <w:proofErr w:type="spellEnd"/>
      <w:r>
        <w:t xml:space="preserve"> (NETs). </w:t>
      </w:r>
      <w:r w:rsidR="22A2550E">
        <w:t xml:space="preserve">Names have been </w:t>
      </w:r>
      <w:proofErr w:type="spellStart"/>
      <w:r w:rsidR="22A2550E">
        <w:t>anonymised</w:t>
      </w:r>
      <w:proofErr w:type="spellEnd"/>
      <w:r w:rsidR="22A2550E">
        <w:t xml:space="preserve"> and clinicians are referred to as Clinician A, B, C and D.</w:t>
      </w:r>
      <w:r w:rsidR="0B2AF3E3">
        <w:t xml:space="preserve"> </w:t>
      </w:r>
    </w:p>
    <w:p w14:paraId="0F20F138" w14:textId="316B992B" w:rsidR="00F0421E" w:rsidRDefault="00377441">
      <w:r>
        <w:t>The interviews explored four main topics: the relationship between PFS and OS, whether lung NETs should be considered separately from other epNETs, real-world use of somatostatin analogues (SSAs) alongside cabozantinib, and the likelihood of subsequent treatments when best supportive care (BSC) is the comparator.</w:t>
      </w:r>
    </w:p>
    <w:p w14:paraId="7DD29AB3" w14:textId="77777777" w:rsidR="00F0421E" w:rsidRDefault="00377441">
      <w:pPr>
        <w:pStyle w:val="Heading2"/>
      </w:pPr>
      <w:r>
        <w:t>1) PFS vs OS Relationship</w:t>
      </w:r>
    </w:p>
    <w:p w14:paraId="64A9C111" w14:textId="16EA1D4B" w:rsidR="5149F54C" w:rsidRDefault="5149F54C" w:rsidP="2AF5CC34">
      <w:r>
        <w:t>Clinicians covered the following topics when discussing the progression-free survival (PFS) and OS relationshi</w:t>
      </w:r>
      <w:r w:rsidR="7EED2047">
        <w:t>p:</w:t>
      </w:r>
    </w:p>
    <w:p w14:paraId="38097B6D" w14:textId="1347048B" w:rsidR="00F0421E" w:rsidRDefault="2D818788" w:rsidP="2AF5CC34">
      <w:pPr>
        <w:pStyle w:val="ListParagraph"/>
        <w:numPr>
          <w:ilvl w:val="0"/>
          <w:numId w:val="13"/>
        </w:numPr>
      </w:pPr>
      <w:r w:rsidRPr="2AF5CC34">
        <w:rPr>
          <w:i/>
          <w:iCs/>
        </w:rPr>
        <w:t xml:space="preserve">Difficulties demonstrating </w:t>
      </w:r>
      <w:r w:rsidR="7A794DB8" w:rsidRPr="2AF5CC34">
        <w:rPr>
          <w:i/>
          <w:iCs/>
        </w:rPr>
        <w:t>overall survival (OS)</w:t>
      </w:r>
      <w:r w:rsidRPr="2AF5CC34">
        <w:rPr>
          <w:i/>
          <w:iCs/>
        </w:rPr>
        <w:t xml:space="preserve"> benefit in NETs</w:t>
      </w:r>
      <w:r>
        <w:t xml:space="preserve">: </w:t>
      </w:r>
      <w:r w:rsidR="00377441">
        <w:t xml:space="preserve">All clinicians acknowledged the inherent difficulty of demonstrating </w:t>
      </w:r>
      <w:r w:rsidR="0B2AF3E3">
        <w:t xml:space="preserve">OS </w:t>
      </w:r>
      <w:r w:rsidR="00377441">
        <w:t xml:space="preserve">benefits in NET trials, particularly in CABINET, due to factors such as crossover, long post-progression survival, and multiple subsequent therapies. </w:t>
      </w:r>
      <w:r w:rsidR="0E41DDC8">
        <w:t xml:space="preserve">Clinician </w:t>
      </w:r>
      <w:r w:rsidR="0B2AF3E3">
        <w:t>A</w:t>
      </w:r>
      <w:r w:rsidR="00377441">
        <w:t xml:space="preserve"> </w:t>
      </w:r>
      <w:proofErr w:type="spellStart"/>
      <w:r w:rsidR="00377441">
        <w:t>emphasised</w:t>
      </w:r>
      <w:proofErr w:type="spellEnd"/>
      <w:r w:rsidR="00377441">
        <w:t xml:space="preserve"> that the lack of OS signal was largely due to crossover and heterogeneity in prior treatments, noting that patients had a median of three previous lines. </w:t>
      </w:r>
      <w:r w:rsidR="3722EAB2">
        <w:t>Clinician</w:t>
      </w:r>
      <w:r w:rsidR="0EE45419">
        <w:t xml:space="preserve"> C</w:t>
      </w:r>
      <w:r w:rsidR="2E85B768">
        <w:t xml:space="preserve"> similarly highlighted dilution of OS by crossover and</w:t>
      </w:r>
      <w:r w:rsidR="01C72C65">
        <w:t xml:space="preserve"> also highlighted that CABINET contained vital additional information for clinicians on treatment sequencing.</w:t>
      </w:r>
      <w:r w:rsidR="0CE66C9F">
        <w:t xml:space="preserve"> Clinician D</w:t>
      </w:r>
      <w:r w:rsidR="2E85B768">
        <w:t xml:space="preserve"> agreed that missing an OS benefit is not unusual in NETs. </w:t>
      </w:r>
      <w:r w:rsidR="6719C08F">
        <w:t>Clinician D</w:t>
      </w:r>
      <w:r w:rsidR="00377441">
        <w:t xml:space="preserve"> also acknowledged crossover as a confounding factor. </w:t>
      </w:r>
    </w:p>
    <w:p w14:paraId="219E00BA" w14:textId="6B14FF62" w:rsidR="00F0421E" w:rsidRDefault="7616C6A8" w:rsidP="2AF5CC34">
      <w:pPr>
        <w:pStyle w:val="ListParagraph"/>
        <w:numPr>
          <w:ilvl w:val="0"/>
          <w:numId w:val="13"/>
        </w:numPr>
      </w:pPr>
      <w:r w:rsidRPr="2AF5CC34">
        <w:rPr>
          <w:i/>
          <w:iCs/>
        </w:rPr>
        <w:t>OS benefit</w:t>
      </w:r>
      <w:r>
        <w:t>: A</w:t>
      </w:r>
      <w:r w:rsidR="7C4B7B94">
        <w:t>ll four clinicians considered that without the above comp</w:t>
      </w:r>
      <w:r w:rsidR="30D4069C">
        <w:t>le</w:t>
      </w:r>
      <w:r w:rsidR="7C4B7B94">
        <w:t>xities in NETs and in the trial design they would a</w:t>
      </w:r>
      <w:r>
        <w:t>nticipate</w:t>
      </w:r>
      <w:r w:rsidR="3DBFBAF5">
        <w:t xml:space="preserve"> there to be an</w:t>
      </w:r>
      <w:r>
        <w:t xml:space="preserve"> OS</w:t>
      </w:r>
      <w:r w:rsidR="1DA8F032">
        <w:t xml:space="preserve"> benefit</w:t>
      </w:r>
      <w:r>
        <w:t xml:space="preserve"> for cabozantinib</w:t>
      </w:r>
      <w:r w:rsidR="5D4DFA1E">
        <w:t xml:space="preserve">. </w:t>
      </w:r>
      <w:r w:rsidR="532953D9">
        <w:t>C</w:t>
      </w:r>
      <w:r w:rsidR="5D4DFA1E">
        <w:t>linician</w:t>
      </w:r>
      <w:r w:rsidR="23387852">
        <w:t xml:space="preserve"> A and C</w:t>
      </w:r>
      <w:r w:rsidR="64B37BCB">
        <w:t xml:space="preserve"> commented that if they were able to fully observe a treatment effect</w:t>
      </w:r>
      <w:r w:rsidR="5D4DFA1E">
        <w:t xml:space="preserve"> </w:t>
      </w:r>
      <w:r w:rsidR="1690AF15">
        <w:t xml:space="preserve">then </w:t>
      </w:r>
      <w:r w:rsidR="5D4DFA1E">
        <w:t>they would expect</w:t>
      </w:r>
      <w:r w:rsidR="5B3FDC2E">
        <w:t xml:space="preserve"> to see a treatment benefit </w:t>
      </w:r>
      <w:r w:rsidR="3EDAFAC3">
        <w:t xml:space="preserve">comparable with the treatment effect estimated via </w:t>
      </w:r>
      <w:r w:rsidR="5B3FDC2E">
        <w:t>the IPCW analyses (e.g.</w:t>
      </w:r>
      <w:r w:rsidR="00BB06C2">
        <w:t xml:space="preserve"> </w:t>
      </w:r>
      <w:proofErr w:type="spellStart"/>
      <w:r w:rsidR="00BB06C2" w:rsidRPr="00BB06C2">
        <w:rPr>
          <w:highlight w:val="black"/>
        </w:rPr>
        <w:t>xxxxxxx</w:t>
      </w:r>
      <w:proofErr w:type="spellEnd"/>
      <w:r w:rsidR="5B3FDC2E">
        <w:t>)</w:t>
      </w:r>
      <w:r w:rsidR="03147BB1">
        <w:t>.</w:t>
      </w:r>
    </w:p>
    <w:p w14:paraId="682359F2" w14:textId="5FCAC6B8" w:rsidR="00F0421E" w:rsidRDefault="1048A252" w:rsidP="2AF5CC34">
      <w:pPr>
        <w:pStyle w:val="ListParagraph"/>
        <w:numPr>
          <w:ilvl w:val="0"/>
          <w:numId w:val="13"/>
        </w:numPr>
      </w:pPr>
      <w:r w:rsidRPr="2AF5CC34">
        <w:rPr>
          <w:i/>
          <w:iCs/>
        </w:rPr>
        <w:t>Progression-free survival (PFS) as a surrogate for OS</w:t>
      </w:r>
      <w:r>
        <w:t xml:space="preserve">: </w:t>
      </w:r>
      <w:r w:rsidR="5B1D8A3C">
        <w:t xml:space="preserve">All four clinicians endorsed PFS as a clinically relevant endpoint and </w:t>
      </w:r>
      <w:r w:rsidR="02853471">
        <w:t>biologically</w:t>
      </w:r>
      <w:r w:rsidR="5B1D8A3C">
        <w:t xml:space="preserve"> plausible surrogate for OS</w:t>
      </w:r>
      <w:r w:rsidR="716EDDDD">
        <w:t xml:space="preserve">. Clinicians commented that </w:t>
      </w:r>
      <w:r w:rsidR="79969903">
        <w:t>thi</w:t>
      </w:r>
      <w:r w:rsidR="31757EA7">
        <w:t>s</w:t>
      </w:r>
      <w:r w:rsidR="79969903">
        <w:t xml:space="preserve"> represents the most sensitive endpoint available.</w:t>
      </w:r>
    </w:p>
    <w:p w14:paraId="1385CF6C" w14:textId="21E72E14" w:rsidR="00F0421E" w:rsidRDefault="00377441">
      <w:r>
        <w:t xml:space="preserve">In summary, all four clinicians endorsed PFS as a clinically relevant endpoint and a plausible surrogate for OS. They unanimously cited crossover as the main reason for the absent OS signal, and </w:t>
      </w:r>
      <w:r w:rsidR="7B598BA0">
        <w:t>unanimously</w:t>
      </w:r>
      <w:r>
        <w:t xml:space="preserve"> anticipated a true OS </w:t>
      </w:r>
      <w:r w:rsidR="00C83ECD">
        <w:t xml:space="preserve">expected </w:t>
      </w:r>
      <w:r>
        <w:t xml:space="preserve">benefit </w:t>
      </w:r>
      <w:r w:rsidR="00C83ECD">
        <w:t xml:space="preserve">for cabozantinib </w:t>
      </w:r>
      <w:r>
        <w:t>with adequate follow-up and trial design.</w:t>
      </w:r>
    </w:p>
    <w:p w14:paraId="0F732898" w14:textId="77777777" w:rsidR="00F0421E" w:rsidRDefault="00377441">
      <w:pPr>
        <w:pStyle w:val="Heading2"/>
      </w:pPr>
      <w:r>
        <w:t>2) Lung NETs vs Other epNETs</w:t>
      </w:r>
    </w:p>
    <w:p w14:paraId="45945F44" w14:textId="619D5F53" w:rsidR="00F0421E" w:rsidRDefault="6B1FBCF9">
      <w:r>
        <w:t xml:space="preserve">Three key themes emerged from discussions </w:t>
      </w:r>
      <w:r w:rsidR="5A694D2F">
        <w:t>on whether</w:t>
      </w:r>
      <w:r w:rsidR="00377441">
        <w:t xml:space="preserve"> lung NETs</w:t>
      </w:r>
      <w:r>
        <w:t xml:space="preserve"> could be considered from other epNETs:</w:t>
      </w:r>
    </w:p>
    <w:p w14:paraId="565DC8AB" w14:textId="72320A43" w:rsidR="00F0421E" w:rsidRDefault="6B1FBCF9" w:rsidP="2AF5CC34">
      <w:pPr>
        <w:pStyle w:val="ListParagraph"/>
        <w:numPr>
          <w:ilvl w:val="0"/>
          <w:numId w:val="12"/>
        </w:numPr>
      </w:pPr>
      <w:r w:rsidRPr="2AF5CC34">
        <w:rPr>
          <w:i/>
          <w:iCs/>
        </w:rPr>
        <w:t>Fewer treatment options</w:t>
      </w:r>
      <w:r>
        <w:t xml:space="preserve">: All four </w:t>
      </w:r>
      <w:r w:rsidR="00377441">
        <w:t xml:space="preserve">clinicians </w:t>
      </w:r>
      <w:r>
        <w:t>highlighted</w:t>
      </w:r>
      <w:r w:rsidR="00377441">
        <w:t xml:space="preserve"> a higher unmet need compared to other epNETs due to fewer treatment options </w:t>
      </w:r>
      <w:r w:rsidR="4E1CA822">
        <w:t>available for lung patients</w:t>
      </w:r>
      <w:r w:rsidR="3834ED01">
        <w:t>.</w:t>
      </w:r>
    </w:p>
    <w:p w14:paraId="184AA1C8" w14:textId="3AC6A454" w:rsidR="00F0421E" w:rsidRDefault="6B1FBCF9" w:rsidP="2AF5CC34">
      <w:pPr>
        <w:pStyle w:val="ListParagraph"/>
        <w:numPr>
          <w:ilvl w:val="0"/>
          <w:numId w:val="12"/>
        </w:numPr>
      </w:pPr>
      <w:r w:rsidRPr="2AF5CC34">
        <w:rPr>
          <w:i/>
          <w:iCs/>
        </w:rPr>
        <w:t>Fragmented care pathway</w:t>
      </w:r>
      <w:r>
        <w:t xml:space="preserve">: </w:t>
      </w:r>
      <w:r w:rsidR="423D26B8">
        <w:t xml:space="preserve">All clinicians </w:t>
      </w:r>
      <w:r w:rsidR="7BD86417">
        <w:t>highlighted systemic issues with the lung care pathway leading it to becoming</w:t>
      </w:r>
      <w:r w:rsidR="00377441">
        <w:t xml:space="preserve"> fragmented</w:t>
      </w:r>
      <w:r w:rsidR="7BD86417">
        <w:t>.</w:t>
      </w:r>
      <w:r>
        <w:t xml:space="preserve"> </w:t>
      </w:r>
      <w:r w:rsidR="49B3BE7A">
        <w:t>Clinician A</w:t>
      </w:r>
      <w:r w:rsidR="00377441">
        <w:t xml:space="preserve"> pointed out that lung NET patients often present with liver metastases and face limited access to PRRT, compounded by diagnostic challenges and less attention in lung cancer MDTs. </w:t>
      </w:r>
      <w:r w:rsidR="7F5CE818">
        <w:t>Clinician B</w:t>
      </w:r>
      <w:r w:rsidR="00377441">
        <w:t xml:space="preserve"> observed that lung NET patients generally have poorer outcomes and are frequently managed by lung teams rather than NET specialists, which may contribute to worse prognosis</w:t>
      </w:r>
      <w:r w:rsidR="5BA35F71">
        <w:t xml:space="preserve"> upon presentation</w:t>
      </w:r>
      <w:r w:rsidR="6312D091">
        <w:t>.</w:t>
      </w:r>
    </w:p>
    <w:p w14:paraId="34B76FC0" w14:textId="6808DEA6" w:rsidR="00F0421E" w:rsidRDefault="6E75E644" w:rsidP="2AF5CC34">
      <w:pPr>
        <w:pStyle w:val="ListParagraph"/>
        <w:numPr>
          <w:ilvl w:val="0"/>
          <w:numId w:val="12"/>
        </w:numPr>
      </w:pPr>
      <w:r w:rsidRPr="2AF5CC34">
        <w:rPr>
          <w:i/>
          <w:iCs/>
        </w:rPr>
        <w:t>Biological distinctiveness of lung disease</w:t>
      </w:r>
      <w:r w:rsidRPr="2AF5CC34">
        <w:t>: The opinions of the clinical experts diverged on biological distinctiveness o</w:t>
      </w:r>
      <w:r w:rsidR="2525B954" w:rsidRPr="2AF5CC34">
        <w:t>f</w:t>
      </w:r>
      <w:r w:rsidRPr="2AF5CC34">
        <w:t xml:space="preserve"> lung NETs compared to epNETs: two</w:t>
      </w:r>
      <w:r w:rsidR="0D9E111B" w:rsidRPr="2AF5CC34">
        <w:t xml:space="preserve"> clinicians</w:t>
      </w:r>
      <w:r w:rsidRPr="2AF5CC34">
        <w:t xml:space="preserve"> (</w:t>
      </w:r>
      <w:r w:rsidR="2637F0FF" w:rsidRPr="2AF5CC34">
        <w:t>C</w:t>
      </w:r>
      <w:r w:rsidRPr="2AF5CC34">
        <w:t xml:space="preserve"> and partially A) viewed </w:t>
      </w:r>
      <w:r w:rsidR="27D4AE7D" w:rsidRPr="2AF5CC34">
        <w:t xml:space="preserve">the </w:t>
      </w:r>
      <w:r w:rsidRPr="2AF5CC34">
        <w:t xml:space="preserve">biology as similar, while two </w:t>
      </w:r>
      <w:r w:rsidR="25323193" w:rsidRPr="2AF5CC34">
        <w:t xml:space="preserve">clinicians </w:t>
      </w:r>
      <w:r w:rsidRPr="2AF5CC34">
        <w:t>(</w:t>
      </w:r>
      <w:r w:rsidR="3C78D190" w:rsidRPr="2AF5CC34">
        <w:t>B</w:t>
      </w:r>
      <w:r w:rsidRPr="2AF5CC34">
        <w:t xml:space="preserve"> and </w:t>
      </w:r>
      <w:r w:rsidR="2F04B412" w:rsidRPr="2AF5CC34">
        <w:t>D</w:t>
      </w:r>
      <w:r w:rsidRPr="2AF5CC34">
        <w:t xml:space="preserve">) perceived more aggressive </w:t>
      </w:r>
      <w:proofErr w:type="spellStart"/>
      <w:r w:rsidRPr="2AF5CC34">
        <w:t>behaviour</w:t>
      </w:r>
      <w:proofErr w:type="spellEnd"/>
      <w:r w:rsidR="17BAA02E" w:rsidRPr="2AF5CC34">
        <w:t xml:space="preserve"> in lung NETs</w:t>
      </w:r>
      <w:r w:rsidRPr="2AF5CC34">
        <w:t>.</w:t>
      </w:r>
      <w:r w:rsidR="2273A501" w:rsidRPr="2AF5CC34">
        <w:t xml:space="preserve"> </w:t>
      </w:r>
      <w:r w:rsidR="66257B09" w:rsidRPr="2AF5CC34">
        <w:t>Clinician C</w:t>
      </w:r>
      <w:r w:rsidR="00377441">
        <w:t xml:space="preserve">, however, suggested that lung NETs behave similarly to other epNETs biologically, with the main difference being access to PRRT, and noted that cabozantinib appears effective across subtypes. </w:t>
      </w:r>
      <w:r w:rsidR="62032A27" w:rsidRPr="2AF5CC34">
        <w:t>Clinician D</w:t>
      </w:r>
      <w:r w:rsidR="00377441">
        <w:t xml:space="preserve">, drawing on </w:t>
      </w:r>
      <w:r w:rsidR="455F8994" w:rsidRPr="2AF5CC34">
        <w:t>t</w:t>
      </w:r>
      <w:r w:rsidR="2273A501" w:rsidRPr="2AF5CC34">
        <w:t>he</w:t>
      </w:r>
      <w:r w:rsidR="281FD422" w:rsidRPr="2AF5CC34">
        <w:t>i</w:t>
      </w:r>
      <w:r w:rsidR="2273A501" w:rsidRPr="2AF5CC34">
        <w:t>r</w:t>
      </w:r>
      <w:r w:rsidR="00377441">
        <w:t xml:space="preserve"> lung-focused experience, described three clinical cohorts ranging from indolent to aggressive disease and acknowledged slightly more aggressive </w:t>
      </w:r>
      <w:proofErr w:type="spellStart"/>
      <w:r w:rsidR="00377441">
        <w:t>behaviour</w:t>
      </w:r>
      <w:proofErr w:type="spellEnd"/>
      <w:r w:rsidR="733EE294" w:rsidRPr="2AF5CC34">
        <w:t xml:space="preserve"> in lung patients</w:t>
      </w:r>
      <w:r w:rsidR="2273A501" w:rsidRPr="2AF5CC34">
        <w:t>.</w:t>
      </w:r>
    </w:p>
    <w:p w14:paraId="4FE91833" w14:textId="1E6C1771" w:rsidR="00F0421E" w:rsidRDefault="1FAA78DB">
      <w:r>
        <w:t xml:space="preserve">There was consensus from all four clinicians that separate consideration for lung NETs would be justified for reimbursement decisions. </w:t>
      </w:r>
      <w:r w:rsidR="00377441">
        <w:t>Overall, all clinicians agreed that lung NETs face greater practical challenges and unmet need, though opinions diverged on biological distinctiveness</w:t>
      </w:r>
      <w:r w:rsidR="00E90D2C">
        <w:t xml:space="preserve">. </w:t>
      </w:r>
    </w:p>
    <w:p w14:paraId="3C523338" w14:textId="77777777" w:rsidR="00F0421E" w:rsidRDefault="00377441">
      <w:pPr>
        <w:pStyle w:val="Heading2"/>
      </w:pPr>
      <w:r>
        <w:t>3) Concomitant SSA Use</w:t>
      </w:r>
    </w:p>
    <w:p w14:paraId="721D34BE" w14:textId="2CB17F4F" w:rsidR="00F0421E" w:rsidRDefault="00377441">
      <w:r>
        <w:t xml:space="preserve">All clinicians agreed that SSAs are primarily indicated for functional disease, but their use and </w:t>
      </w:r>
      <w:r w:rsidR="63232A9C">
        <w:t>degree to which patients discontinue SSA treatment in UK practice</w:t>
      </w:r>
      <w:r>
        <w:t xml:space="preserve"> vary widely. </w:t>
      </w:r>
    </w:p>
    <w:p w14:paraId="79919E35" w14:textId="3BD55761" w:rsidR="00F0421E" w:rsidRDefault="6C76D706" w:rsidP="2AF5CC34">
      <w:pPr>
        <w:pStyle w:val="ListParagraph"/>
        <w:numPr>
          <w:ilvl w:val="0"/>
          <w:numId w:val="11"/>
        </w:numPr>
      </w:pPr>
      <w:r>
        <w:t>Clinician</w:t>
      </w:r>
      <w:r w:rsidR="49D21D00">
        <w:t xml:space="preserve"> </w:t>
      </w:r>
      <w:r w:rsidR="0B2AF3E3">
        <w:t>A</w:t>
      </w:r>
      <w:r w:rsidR="00377441">
        <w:t xml:space="preserve"> reported</w:t>
      </w:r>
      <w:r w:rsidR="00531BE3">
        <w:t xml:space="preserve"> that in their practice they</w:t>
      </w:r>
      <w:r w:rsidR="00377441">
        <w:t xml:space="preserve"> limit SSA use </w:t>
      </w:r>
      <w:r w:rsidR="00531BE3">
        <w:t xml:space="preserve">only </w:t>
      </w:r>
      <w:r w:rsidR="00377441">
        <w:t>to</w:t>
      </w:r>
      <w:r w:rsidR="00531BE3">
        <w:t xml:space="preserve"> some</w:t>
      </w:r>
      <w:r w:rsidR="00377441">
        <w:t xml:space="preserve"> functional or syndromic patients and discontinu</w:t>
      </w:r>
      <w:r w:rsidR="00531BE3">
        <w:t>e</w:t>
      </w:r>
      <w:r w:rsidR="00377441">
        <w:t xml:space="preserve"> after progression unless</w:t>
      </w:r>
      <w:r w:rsidR="00531BE3">
        <w:t xml:space="preserve"> there is</w:t>
      </w:r>
      <w:r w:rsidR="00377441">
        <w:t xml:space="preserve"> need for hormonal control</w:t>
      </w:r>
      <w:r w:rsidR="00531BE3">
        <w:t xml:space="preserve">. They </w:t>
      </w:r>
      <w:r w:rsidR="00377441">
        <w:t>estimat</w:t>
      </w:r>
      <w:r w:rsidR="00531BE3">
        <w:t>e</w:t>
      </w:r>
      <w:r w:rsidR="00377441">
        <w:t xml:space="preserve"> concomitant use at around 10% in pNETs and 20% in functional small-bowel epNETs, with minimal use in non-functional cases</w:t>
      </w:r>
      <w:r w:rsidR="00A52A4F">
        <w:t xml:space="preserve"> (assumed 5%)</w:t>
      </w:r>
      <w:r w:rsidR="00377441">
        <w:t xml:space="preserve">. </w:t>
      </w:r>
      <w:r w:rsidR="2DE5083C">
        <w:t xml:space="preserve">Of patients who did </w:t>
      </w:r>
      <w:r w:rsidR="1FCA9EFA">
        <w:t>receive</w:t>
      </w:r>
      <w:r w:rsidR="2DE5083C">
        <w:t xml:space="preserve"> SSAs it was estimated </w:t>
      </w:r>
      <w:r w:rsidR="0C21EDAA">
        <w:t>50 – 90%</w:t>
      </w:r>
      <w:r w:rsidR="00531BE3">
        <w:t xml:space="preserve"> (assumed 70%)</w:t>
      </w:r>
      <w:r w:rsidR="0C21EDAA">
        <w:t xml:space="preserve"> discontinu</w:t>
      </w:r>
      <w:r w:rsidR="00531BE3">
        <w:t>e</w:t>
      </w:r>
      <w:r w:rsidR="0C21EDAA">
        <w:t xml:space="preserve"> treatment before death.</w:t>
      </w:r>
      <w:r w:rsidR="2DE5083C">
        <w:t xml:space="preserve"> </w:t>
      </w:r>
    </w:p>
    <w:p w14:paraId="12FC728D" w14:textId="18EF692E" w:rsidR="00F0421E" w:rsidRDefault="1500EDCB" w:rsidP="00531BE3">
      <w:pPr>
        <w:pStyle w:val="ListParagraph"/>
        <w:numPr>
          <w:ilvl w:val="0"/>
          <w:numId w:val="11"/>
        </w:numPr>
      </w:pPr>
      <w:r>
        <w:t>Clinician B</w:t>
      </w:r>
      <w:r w:rsidR="00531BE3">
        <w:t xml:space="preserve"> reported that in their practice</w:t>
      </w:r>
      <w:r w:rsidR="00377441">
        <w:t xml:space="preserve"> all</w:t>
      </w:r>
      <w:r w:rsidR="00531BE3">
        <w:t xml:space="preserve"> functional patients (assumed 100%) receive concomitant SSA – of these nearly all (assumed 95%) will stay on treatment until death. Of non-functional patients it was estimated that half (50%) would receive concomitant SSA and of these half (50%) would </w:t>
      </w:r>
      <w:r w:rsidR="00531BE3" w:rsidRPr="00531BE3">
        <w:t>discontinue treatment before death</w:t>
      </w:r>
      <w:r w:rsidR="00531BE3">
        <w:t>. It was noted discontinuation often occurs due to treatment burden.</w:t>
      </w:r>
    </w:p>
    <w:p w14:paraId="355ADC33" w14:textId="711AAF0F" w:rsidR="00531BE3" w:rsidRDefault="0B377241" w:rsidP="00F03B87">
      <w:pPr>
        <w:pStyle w:val="ListParagraph"/>
        <w:numPr>
          <w:ilvl w:val="0"/>
          <w:numId w:val="11"/>
        </w:numPr>
      </w:pPr>
      <w:r>
        <w:t>Clinician C</w:t>
      </w:r>
      <w:r w:rsidR="00377441">
        <w:t xml:space="preserve"> </w:t>
      </w:r>
      <w:proofErr w:type="spellStart"/>
      <w:r w:rsidR="00377441">
        <w:t>emphasised</w:t>
      </w:r>
      <w:proofErr w:type="spellEnd"/>
      <w:r w:rsidR="00377441">
        <w:t xml:space="preserve"> that </w:t>
      </w:r>
      <w:r w:rsidR="00531BE3">
        <w:t>they avoid concomitant</w:t>
      </w:r>
      <w:r w:rsidR="00D73372">
        <w:t xml:space="preserve"> SSA</w:t>
      </w:r>
      <w:r w:rsidR="00531BE3">
        <w:t xml:space="preserve"> use during systemic therapy, </w:t>
      </w:r>
      <w:r w:rsidR="00F03B87">
        <w:t>highlighting that t</w:t>
      </w:r>
      <w:r w:rsidR="00F03B87" w:rsidRPr="00F03B87">
        <w:t>reatment strategy is a marathon, not a sprint</w:t>
      </w:r>
      <w:r w:rsidR="00F03B87">
        <w:t xml:space="preserve"> and stressing the importance </w:t>
      </w:r>
      <w:r w:rsidR="00531BE3">
        <w:t>of sequencing</w:t>
      </w:r>
      <w:r w:rsidR="00F03B87">
        <w:t xml:space="preserve">. It was highlighted the median duration of SSAs in the RADIANT trial is 14–18 months and this trial </w:t>
      </w:r>
      <w:r w:rsidR="00F03B87" w:rsidRPr="00F03B87">
        <w:t>excluded non-functional patients from SSA use</w:t>
      </w:r>
      <w:r w:rsidR="00F03B87">
        <w:t xml:space="preserve">. In general, </w:t>
      </w:r>
      <w:r w:rsidR="00F03B87" w:rsidRPr="00F03B87">
        <w:t>SSA is stopped due to progression, toxicity, tolerability</w:t>
      </w:r>
      <w:r w:rsidR="00F03B87">
        <w:t xml:space="preserve">, </w:t>
      </w:r>
      <w:r w:rsidR="00F03B87" w:rsidRPr="00F03B87">
        <w:t>or lack of benefit</w:t>
      </w:r>
      <w:r w:rsidR="00F03B87">
        <w:t>. Clinician C suggested the majority of patients do not receive SSA in their practice</w:t>
      </w:r>
      <w:r w:rsidR="00240DDB">
        <w:t xml:space="preserve"> (assumed 25%)</w:t>
      </w:r>
      <w:r w:rsidR="00F03B87">
        <w:t xml:space="preserve"> and did not provide </w:t>
      </w:r>
      <w:r w:rsidR="00D73372">
        <w:t xml:space="preserve">numerical </w:t>
      </w:r>
      <w:r w:rsidR="00F03B87">
        <w:t xml:space="preserve">estimates </w:t>
      </w:r>
      <w:r w:rsidR="00D73372">
        <w:t xml:space="preserve">for </w:t>
      </w:r>
      <w:r w:rsidR="00F03B87">
        <w:t>the proportion of patients who discontinue SSA before death (due to low numbers).</w:t>
      </w:r>
    </w:p>
    <w:p w14:paraId="640EF551" w14:textId="36BE7934" w:rsidR="00F0421E" w:rsidRDefault="7A31A2E9" w:rsidP="2AF5CC34">
      <w:pPr>
        <w:pStyle w:val="ListParagraph"/>
        <w:numPr>
          <w:ilvl w:val="0"/>
          <w:numId w:val="11"/>
        </w:numPr>
      </w:pPr>
      <w:r>
        <w:t>Clinician D</w:t>
      </w:r>
      <w:r w:rsidR="00D73372">
        <w:t xml:space="preserve"> reported that in their practice</w:t>
      </w:r>
      <w:r w:rsidR="00377441">
        <w:t xml:space="preserve"> 90% of functional patients receive SSAs, </w:t>
      </w:r>
      <w:r w:rsidR="00D73372">
        <w:t xml:space="preserve">while less than half (assumed 50%) </w:t>
      </w:r>
      <w:r w:rsidR="00377441">
        <w:t>of non-functional patients do so</w:t>
      </w:r>
      <w:r w:rsidR="00D73372">
        <w:t>. Clinician D did not provide numerical estimates for the proportion of patients who discontinue SSA before death but suggested in general</w:t>
      </w:r>
      <w:r w:rsidR="00377441">
        <w:t xml:space="preserve"> with usage declin</w:t>
      </w:r>
      <w:r w:rsidR="00D73372">
        <w:t>es</w:t>
      </w:r>
      <w:r w:rsidR="00377441">
        <w:t xml:space="preserve"> after progression</w:t>
      </w:r>
      <w:r w:rsidR="00D73372">
        <w:t xml:space="preserve"> with discontinuation lower in functional patients.</w:t>
      </w:r>
      <w:r w:rsidR="00377441">
        <w:t xml:space="preserve"> </w:t>
      </w:r>
    </w:p>
    <w:p w14:paraId="3883CB41" w14:textId="70CF393C" w:rsidR="00F0421E" w:rsidRDefault="00377441">
      <w:r>
        <w:t xml:space="preserve">Consensus emerged that </w:t>
      </w:r>
      <w:r w:rsidR="00A52A4F">
        <w:t xml:space="preserve">not all patients continue treatment with concomitant SSA until death and that </w:t>
      </w:r>
      <w:r>
        <w:t>SSAs should be modelled with higher use during progression-free states</w:t>
      </w:r>
      <w:r w:rsidR="00A52A4F">
        <w:t xml:space="preserve"> with </w:t>
      </w:r>
      <w:r w:rsidR="7586C03E">
        <w:t>the economic modelling consider</w:t>
      </w:r>
      <w:r w:rsidR="00A52A4F">
        <w:t>ing this</w:t>
      </w:r>
      <w:r w:rsidR="7586C03E">
        <w:t xml:space="preserve"> discontinuation. </w:t>
      </w:r>
      <w:r w:rsidR="003157BE" w:rsidRPr="003157BE">
        <w:t>The main reason</w:t>
      </w:r>
      <w:r w:rsidR="003157BE">
        <w:t xml:space="preserve"> mentioned</w:t>
      </w:r>
      <w:r w:rsidR="003157BE" w:rsidRPr="003157BE">
        <w:t xml:space="preserve"> for discontinuation </w:t>
      </w:r>
      <w:r w:rsidR="003157BE">
        <w:t>were</w:t>
      </w:r>
      <w:r w:rsidR="003157BE" w:rsidRPr="003157BE">
        <w:t xml:space="preserve"> lack of disease control</w:t>
      </w:r>
      <w:r w:rsidR="00266A06">
        <w:t xml:space="preserve">, frequent visit to the hospital </w:t>
      </w:r>
      <w:r w:rsidR="003157BE">
        <w:t xml:space="preserve">and toxicity </w:t>
      </w:r>
      <w:r w:rsidR="003157BE" w:rsidRPr="003157BE">
        <w:t xml:space="preserve">although decisions are always </w:t>
      </w:r>
      <w:proofErr w:type="spellStart"/>
      <w:r w:rsidR="003157BE" w:rsidRPr="003157BE">
        <w:t>individualised</w:t>
      </w:r>
      <w:proofErr w:type="spellEnd"/>
      <w:r w:rsidR="003157BE" w:rsidRPr="003157BE">
        <w:t xml:space="preserve">. </w:t>
      </w:r>
      <w:r w:rsidR="003157BE">
        <w:t xml:space="preserve"> </w:t>
      </w:r>
      <w:r w:rsidR="0C06600C">
        <w:t>All clinicians agreed there would be</w:t>
      </w:r>
      <w:r>
        <w:t xml:space="preserve"> low concomitant use </w:t>
      </w:r>
      <w:r w:rsidR="429D56AE">
        <w:t xml:space="preserve">and higher discontinuation </w:t>
      </w:r>
      <w:r>
        <w:t>in non-functional disease. All clinicians acknowledg</w:t>
      </w:r>
      <w:r w:rsidR="000B5600">
        <w:t>ed</w:t>
      </w:r>
      <w:r>
        <w:t xml:space="preserve"> </w:t>
      </w:r>
      <w:proofErr w:type="spellStart"/>
      <w:r>
        <w:t>centre</w:t>
      </w:r>
      <w:proofErr w:type="spellEnd"/>
      <w:r>
        <w:t>-level variability.</w:t>
      </w:r>
    </w:p>
    <w:p w14:paraId="512CBBAA" w14:textId="070DB1C2" w:rsidR="00A52A4F" w:rsidRPr="00827D18" w:rsidRDefault="00A52A4F" w:rsidP="00827D18">
      <w:pPr>
        <w:pStyle w:val="Caption"/>
        <w:rPr>
          <w:color w:val="000000" w:themeColor="text1"/>
        </w:rPr>
      </w:pPr>
      <w:r w:rsidRPr="00827D18">
        <w:rPr>
          <w:color w:val="000000" w:themeColor="text1"/>
          <w:sz w:val="22"/>
          <w:szCs w:val="22"/>
        </w:rPr>
        <w:t xml:space="preserve">Table </w:t>
      </w:r>
      <w:r w:rsidRPr="00827D18">
        <w:rPr>
          <w:color w:val="000000" w:themeColor="text1"/>
          <w:sz w:val="22"/>
          <w:szCs w:val="22"/>
        </w:rPr>
        <w:fldChar w:fldCharType="begin"/>
      </w:r>
      <w:r w:rsidRPr="00827D18">
        <w:rPr>
          <w:color w:val="000000" w:themeColor="text1"/>
          <w:sz w:val="22"/>
          <w:szCs w:val="22"/>
        </w:rPr>
        <w:instrText xml:space="preserve"> SEQ Table \* ARABIC </w:instrText>
      </w:r>
      <w:r w:rsidRPr="00827D18">
        <w:rPr>
          <w:color w:val="000000" w:themeColor="text1"/>
          <w:sz w:val="22"/>
          <w:szCs w:val="22"/>
        </w:rPr>
        <w:fldChar w:fldCharType="separate"/>
      </w:r>
      <w:r w:rsidRPr="00827D18">
        <w:rPr>
          <w:noProof/>
          <w:color w:val="000000" w:themeColor="text1"/>
          <w:sz w:val="22"/>
          <w:szCs w:val="22"/>
        </w:rPr>
        <w:t>1</w:t>
      </w:r>
      <w:r w:rsidRPr="00827D18">
        <w:rPr>
          <w:color w:val="000000" w:themeColor="text1"/>
          <w:sz w:val="22"/>
          <w:szCs w:val="22"/>
        </w:rPr>
        <w:fldChar w:fldCharType="end"/>
      </w:r>
      <w:r w:rsidRPr="00827D18">
        <w:rPr>
          <w:color w:val="000000" w:themeColor="text1"/>
          <w:sz w:val="22"/>
          <w:szCs w:val="22"/>
        </w:rPr>
        <w:t>: Clinical expert estimates of the proportion of epNET patients receiving concomitant SSA and the proportion of these patients who discontinue concomitant SSA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A52A4F" w14:paraId="7AF96D57" w14:textId="77777777" w:rsidTr="00827D18">
        <w:tc>
          <w:tcPr>
            <w:tcW w:w="1726" w:type="dxa"/>
            <w:vMerge w:val="restart"/>
            <w:vAlign w:val="center"/>
          </w:tcPr>
          <w:p w14:paraId="6CAD6F29" w14:textId="17FD60CB" w:rsidR="00A52A4F" w:rsidRPr="00827D18" w:rsidRDefault="00A52A4F" w:rsidP="00A52A4F">
            <w:pPr>
              <w:rPr>
                <w:b/>
                <w:bCs/>
              </w:rPr>
            </w:pPr>
            <w:r w:rsidRPr="00827D18">
              <w:rPr>
                <w:b/>
                <w:bCs/>
              </w:rPr>
              <w:t>Clinician</w:t>
            </w:r>
          </w:p>
        </w:tc>
        <w:tc>
          <w:tcPr>
            <w:tcW w:w="3452" w:type="dxa"/>
            <w:gridSpan w:val="2"/>
            <w:vAlign w:val="center"/>
          </w:tcPr>
          <w:p w14:paraId="7726B9E6" w14:textId="1D7482CA" w:rsidR="00A52A4F" w:rsidRPr="00827D18" w:rsidRDefault="00A52A4F" w:rsidP="00A52A4F">
            <w:pPr>
              <w:rPr>
                <w:b/>
                <w:bCs/>
              </w:rPr>
            </w:pPr>
            <w:r w:rsidRPr="00827D18">
              <w:rPr>
                <w:b/>
                <w:bCs/>
              </w:rPr>
              <w:t>Proportion of patients receiving concomitant SSA</w:t>
            </w:r>
          </w:p>
        </w:tc>
        <w:tc>
          <w:tcPr>
            <w:tcW w:w="3452" w:type="dxa"/>
            <w:gridSpan w:val="2"/>
            <w:vAlign w:val="center"/>
          </w:tcPr>
          <w:p w14:paraId="2E512B5D" w14:textId="3E6FE759" w:rsidR="00A52A4F" w:rsidRPr="00827D18" w:rsidRDefault="00A52A4F" w:rsidP="00A52A4F">
            <w:pPr>
              <w:rPr>
                <w:b/>
                <w:bCs/>
              </w:rPr>
            </w:pPr>
            <w:r w:rsidRPr="00827D18">
              <w:rPr>
                <w:b/>
                <w:bCs/>
              </w:rPr>
              <w:t>Proportion of patients who discontinue concomitant SSA before death</w:t>
            </w:r>
          </w:p>
        </w:tc>
      </w:tr>
      <w:tr w:rsidR="00A52A4F" w14:paraId="66120133" w14:textId="77777777" w:rsidTr="00827D18">
        <w:tc>
          <w:tcPr>
            <w:tcW w:w="1726" w:type="dxa"/>
            <w:vMerge/>
            <w:vAlign w:val="center"/>
          </w:tcPr>
          <w:p w14:paraId="4EEA94AA" w14:textId="77777777" w:rsidR="00A52A4F" w:rsidRPr="00827D18" w:rsidRDefault="00A52A4F" w:rsidP="00A52A4F">
            <w:pPr>
              <w:rPr>
                <w:b/>
                <w:bCs/>
              </w:rPr>
            </w:pPr>
          </w:p>
        </w:tc>
        <w:tc>
          <w:tcPr>
            <w:tcW w:w="1726" w:type="dxa"/>
            <w:vAlign w:val="center"/>
          </w:tcPr>
          <w:p w14:paraId="1856198C" w14:textId="102A8CDD" w:rsidR="00A52A4F" w:rsidRPr="00827D18" w:rsidRDefault="00A52A4F" w:rsidP="00A52A4F">
            <w:pPr>
              <w:rPr>
                <w:b/>
                <w:bCs/>
              </w:rPr>
            </w:pPr>
            <w:r w:rsidRPr="00827D18">
              <w:rPr>
                <w:b/>
                <w:bCs/>
              </w:rPr>
              <w:t>Functional vs non-functional</w:t>
            </w:r>
          </w:p>
        </w:tc>
        <w:tc>
          <w:tcPr>
            <w:tcW w:w="1726" w:type="dxa"/>
            <w:vAlign w:val="center"/>
          </w:tcPr>
          <w:p w14:paraId="3A1ED6E4" w14:textId="485E8C56" w:rsidR="00A52A4F" w:rsidRPr="00827D18" w:rsidRDefault="00A52A4F" w:rsidP="00A52A4F">
            <w:pPr>
              <w:rPr>
                <w:b/>
                <w:bCs/>
              </w:rPr>
            </w:pPr>
            <w:r w:rsidRPr="00827D18">
              <w:rPr>
                <w:b/>
                <w:bCs/>
              </w:rPr>
              <w:t>Weighted average</w:t>
            </w:r>
          </w:p>
        </w:tc>
        <w:tc>
          <w:tcPr>
            <w:tcW w:w="1726" w:type="dxa"/>
            <w:vAlign w:val="center"/>
          </w:tcPr>
          <w:p w14:paraId="4C26CA29" w14:textId="1539C7F8" w:rsidR="00A52A4F" w:rsidRPr="00827D18" w:rsidRDefault="00A52A4F" w:rsidP="00A52A4F">
            <w:pPr>
              <w:rPr>
                <w:b/>
                <w:bCs/>
              </w:rPr>
            </w:pPr>
            <w:r w:rsidRPr="00827D18">
              <w:rPr>
                <w:b/>
                <w:bCs/>
              </w:rPr>
              <w:t>Functional vs non-functional</w:t>
            </w:r>
          </w:p>
        </w:tc>
        <w:tc>
          <w:tcPr>
            <w:tcW w:w="1726" w:type="dxa"/>
            <w:vAlign w:val="center"/>
          </w:tcPr>
          <w:p w14:paraId="07265EDD" w14:textId="64B9354E" w:rsidR="00A52A4F" w:rsidRPr="00827D18" w:rsidRDefault="00A52A4F" w:rsidP="00A52A4F">
            <w:pPr>
              <w:rPr>
                <w:b/>
                <w:bCs/>
              </w:rPr>
            </w:pPr>
            <w:r w:rsidRPr="00827D18">
              <w:rPr>
                <w:b/>
                <w:bCs/>
              </w:rPr>
              <w:t>Weighted average</w:t>
            </w:r>
          </w:p>
        </w:tc>
      </w:tr>
      <w:tr w:rsidR="00A52A4F" w14:paraId="7F0C60F8" w14:textId="77777777" w:rsidTr="00827D18">
        <w:tc>
          <w:tcPr>
            <w:tcW w:w="1726" w:type="dxa"/>
            <w:vAlign w:val="center"/>
          </w:tcPr>
          <w:p w14:paraId="4DE4ABA6" w14:textId="0A2417CF" w:rsidR="00A52A4F" w:rsidRDefault="00A52A4F" w:rsidP="00A52A4F">
            <w:r>
              <w:t>A</w:t>
            </w:r>
          </w:p>
        </w:tc>
        <w:tc>
          <w:tcPr>
            <w:tcW w:w="1726" w:type="dxa"/>
            <w:vAlign w:val="center"/>
          </w:tcPr>
          <w:p w14:paraId="122D62EF" w14:textId="38BD450C" w:rsidR="00A52A4F" w:rsidRDefault="00A52A4F" w:rsidP="00A52A4F">
            <w:proofErr w:type="spellStart"/>
            <w:r>
              <w:t>Funct</w:t>
            </w:r>
            <w:proofErr w:type="spellEnd"/>
            <w:r>
              <w:t>: 20%</w:t>
            </w:r>
          </w:p>
          <w:p w14:paraId="5899E1AF" w14:textId="7C36FAFB" w:rsidR="00A52A4F" w:rsidRDefault="00A52A4F" w:rsidP="00A52A4F">
            <w:r>
              <w:t>Non-</w:t>
            </w:r>
            <w:proofErr w:type="spellStart"/>
            <w:r>
              <w:t>funct</w:t>
            </w:r>
            <w:proofErr w:type="spellEnd"/>
            <w:r>
              <w:t>: 5%</w:t>
            </w:r>
          </w:p>
        </w:tc>
        <w:tc>
          <w:tcPr>
            <w:tcW w:w="1726" w:type="dxa"/>
            <w:vAlign w:val="center"/>
          </w:tcPr>
          <w:p w14:paraId="2273E35F" w14:textId="38328B74" w:rsidR="00A52A4F" w:rsidRDefault="00A52A4F" w:rsidP="00A52A4F">
            <w:r>
              <w:t>9.9%</w:t>
            </w:r>
          </w:p>
        </w:tc>
        <w:tc>
          <w:tcPr>
            <w:tcW w:w="1726" w:type="dxa"/>
            <w:vAlign w:val="center"/>
          </w:tcPr>
          <w:p w14:paraId="2D76E11D" w14:textId="1F727B09" w:rsidR="00A52A4F" w:rsidRDefault="00A52A4F" w:rsidP="00A52A4F">
            <w:proofErr w:type="spellStart"/>
            <w:r>
              <w:t>Funct</w:t>
            </w:r>
            <w:proofErr w:type="spellEnd"/>
            <w:r>
              <w:t>: 70%</w:t>
            </w:r>
          </w:p>
          <w:p w14:paraId="52E68376" w14:textId="4BF8B0B4" w:rsidR="00A52A4F" w:rsidRDefault="00A52A4F" w:rsidP="00A52A4F">
            <w:r>
              <w:t>Non-</w:t>
            </w:r>
            <w:proofErr w:type="spellStart"/>
            <w:r>
              <w:t>funct</w:t>
            </w:r>
            <w:proofErr w:type="spellEnd"/>
            <w:r>
              <w:t>: 70%</w:t>
            </w:r>
          </w:p>
        </w:tc>
        <w:tc>
          <w:tcPr>
            <w:tcW w:w="1726" w:type="dxa"/>
            <w:vAlign w:val="center"/>
          </w:tcPr>
          <w:p w14:paraId="704E186F" w14:textId="1883A209" w:rsidR="00A52A4F" w:rsidRDefault="00A52A4F" w:rsidP="00A52A4F">
            <w:r>
              <w:t>70.0%</w:t>
            </w:r>
          </w:p>
        </w:tc>
      </w:tr>
      <w:tr w:rsidR="00A52A4F" w14:paraId="61BB16DB" w14:textId="77777777" w:rsidTr="00827D18">
        <w:tc>
          <w:tcPr>
            <w:tcW w:w="1726" w:type="dxa"/>
            <w:vAlign w:val="center"/>
          </w:tcPr>
          <w:p w14:paraId="18F0F3AC" w14:textId="121DA488" w:rsidR="00A52A4F" w:rsidRDefault="00A52A4F" w:rsidP="00A52A4F">
            <w:r>
              <w:t>B</w:t>
            </w:r>
          </w:p>
        </w:tc>
        <w:tc>
          <w:tcPr>
            <w:tcW w:w="1726" w:type="dxa"/>
            <w:vAlign w:val="center"/>
          </w:tcPr>
          <w:p w14:paraId="0AC8848E" w14:textId="32EB23D2" w:rsidR="00A52A4F" w:rsidRDefault="00A52A4F" w:rsidP="00A52A4F">
            <w:proofErr w:type="spellStart"/>
            <w:r>
              <w:t>Funct</w:t>
            </w:r>
            <w:proofErr w:type="spellEnd"/>
            <w:r>
              <w:t>: 100%</w:t>
            </w:r>
          </w:p>
          <w:p w14:paraId="6EC0BE69" w14:textId="09D58EAE" w:rsidR="00A52A4F" w:rsidRDefault="00A52A4F" w:rsidP="00A52A4F">
            <w:r>
              <w:t>Non-</w:t>
            </w:r>
            <w:proofErr w:type="spellStart"/>
            <w:r>
              <w:t>funct</w:t>
            </w:r>
            <w:proofErr w:type="spellEnd"/>
            <w:r>
              <w:t>: 50%</w:t>
            </w:r>
          </w:p>
        </w:tc>
        <w:tc>
          <w:tcPr>
            <w:tcW w:w="1726" w:type="dxa"/>
            <w:vAlign w:val="center"/>
          </w:tcPr>
          <w:p w14:paraId="7355B36F" w14:textId="3CE38118" w:rsidR="00A52A4F" w:rsidRDefault="00A52A4F" w:rsidP="00A52A4F">
            <w:r>
              <w:t>66.3%</w:t>
            </w:r>
          </w:p>
        </w:tc>
        <w:tc>
          <w:tcPr>
            <w:tcW w:w="1726" w:type="dxa"/>
            <w:vAlign w:val="center"/>
          </w:tcPr>
          <w:p w14:paraId="50B344A5" w14:textId="4702C5A2" w:rsidR="00A52A4F" w:rsidRDefault="00A52A4F" w:rsidP="00A52A4F">
            <w:proofErr w:type="spellStart"/>
            <w:r>
              <w:t>Funct</w:t>
            </w:r>
            <w:proofErr w:type="spellEnd"/>
            <w:r>
              <w:t xml:space="preserve">: </w:t>
            </w:r>
            <w:r w:rsidR="00611FA5">
              <w:t>5</w:t>
            </w:r>
            <w:r>
              <w:t>%</w:t>
            </w:r>
          </w:p>
          <w:p w14:paraId="39D19BBE" w14:textId="085D4DDA" w:rsidR="00A52A4F" w:rsidRDefault="00A52A4F" w:rsidP="00A52A4F">
            <w:r>
              <w:t>Non-</w:t>
            </w:r>
            <w:proofErr w:type="spellStart"/>
            <w:r>
              <w:t>funct</w:t>
            </w:r>
            <w:proofErr w:type="spellEnd"/>
            <w:r>
              <w:t>: 50%</w:t>
            </w:r>
          </w:p>
        </w:tc>
        <w:tc>
          <w:tcPr>
            <w:tcW w:w="1726" w:type="dxa"/>
            <w:vAlign w:val="center"/>
          </w:tcPr>
          <w:p w14:paraId="39508996" w14:textId="191F3269" w:rsidR="00A52A4F" w:rsidRDefault="00A52A4F" w:rsidP="00A52A4F">
            <w:r>
              <w:t>35.4%</w:t>
            </w:r>
          </w:p>
        </w:tc>
      </w:tr>
      <w:tr w:rsidR="00D73372" w14:paraId="4329CC73" w14:textId="77777777" w:rsidTr="00827D18">
        <w:tc>
          <w:tcPr>
            <w:tcW w:w="1726" w:type="dxa"/>
            <w:vAlign w:val="center"/>
          </w:tcPr>
          <w:p w14:paraId="6168C7D1" w14:textId="1B212312" w:rsidR="00D73372" w:rsidRDefault="00D73372" w:rsidP="00A52A4F">
            <w:r>
              <w:t>C</w:t>
            </w:r>
          </w:p>
        </w:tc>
        <w:tc>
          <w:tcPr>
            <w:tcW w:w="1726" w:type="dxa"/>
            <w:vAlign w:val="center"/>
          </w:tcPr>
          <w:p w14:paraId="04A5D16A" w14:textId="6B434BB9" w:rsidR="00240DDB" w:rsidRDefault="00240DDB" w:rsidP="00240DDB">
            <w:proofErr w:type="spellStart"/>
            <w:r>
              <w:t>Funct</w:t>
            </w:r>
            <w:proofErr w:type="spellEnd"/>
            <w:r>
              <w:t>: 25%</w:t>
            </w:r>
          </w:p>
          <w:p w14:paraId="0BC68B39" w14:textId="702366C2" w:rsidR="00D73372" w:rsidRDefault="00240DDB" w:rsidP="00240DDB">
            <w:r>
              <w:t>Non-</w:t>
            </w:r>
            <w:proofErr w:type="spellStart"/>
            <w:r>
              <w:t>funct</w:t>
            </w:r>
            <w:proofErr w:type="spellEnd"/>
            <w:r>
              <w:t>: 25%</w:t>
            </w:r>
          </w:p>
        </w:tc>
        <w:tc>
          <w:tcPr>
            <w:tcW w:w="1726" w:type="dxa"/>
            <w:vAlign w:val="center"/>
          </w:tcPr>
          <w:p w14:paraId="5AD7CB91" w14:textId="4BCF7203" w:rsidR="00D73372" w:rsidRDefault="00240DDB" w:rsidP="00A52A4F">
            <w:r>
              <w:t>25%</w:t>
            </w:r>
          </w:p>
        </w:tc>
        <w:tc>
          <w:tcPr>
            <w:tcW w:w="1726" w:type="dxa"/>
            <w:vAlign w:val="center"/>
          </w:tcPr>
          <w:p w14:paraId="23A96CEB" w14:textId="7B880FDD" w:rsidR="00D73372" w:rsidRDefault="00A52A4F" w:rsidP="00A52A4F">
            <w:r>
              <w:t>--</w:t>
            </w:r>
          </w:p>
        </w:tc>
        <w:tc>
          <w:tcPr>
            <w:tcW w:w="1726" w:type="dxa"/>
            <w:vAlign w:val="center"/>
          </w:tcPr>
          <w:p w14:paraId="35C434C9" w14:textId="0EB5FFF3" w:rsidR="00D73372" w:rsidRDefault="00A52A4F" w:rsidP="00A52A4F">
            <w:r>
              <w:t>--</w:t>
            </w:r>
          </w:p>
        </w:tc>
      </w:tr>
      <w:tr w:rsidR="00D73372" w14:paraId="01E7F7E8" w14:textId="77777777" w:rsidTr="00827D18">
        <w:tc>
          <w:tcPr>
            <w:tcW w:w="1726" w:type="dxa"/>
            <w:vAlign w:val="center"/>
          </w:tcPr>
          <w:p w14:paraId="359531EB" w14:textId="155805EE" w:rsidR="00D73372" w:rsidRDefault="00D73372" w:rsidP="00A52A4F">
            <w:r>
              <w:t>D</w:t>
            </w:r>
          </w:p>
        </w:tc>
        <w:tc>
          <w:tcPr>
            <w:tcW w:w="1726" w:type="dxa"/>
            <w:vAlign w:val="center"/>
          </w:tcPr>
          <w:p w14:paraId="2F6790B0" w14:textId="6881AE6E" w:rsidR="00A52A4F" w:rsidRDefault="00A52A4F" w:rsidP="00A52A4F">
            <w:proofErr w:type="spellStart"/>
            <w:r>
              <w:t>Funct</w:t>
            </w:r>
            <w:proofErr w:type="spellEnd"/>
            <w:r>
              <w:t>: 90%</w:t>
            </w:r>
          </w:p>
          <w:p w14:paraId="37A8CB8E" w14:textId="4F478457" w:rsidR="00D73372" w:rsidRDefault="00A52A4F" w:rsidP="00A52A4F">
            <w:r>
              <w:t>Non-</w:t>
            </w:r>
            <w:proofErr w:type="spellStart"/>
            <w:r>
              <w:t>funct</w:t>
            </w:r>
            <w:proofErr w:type="spellEnd"/>
            <w:r>
              <w:t>: 50%</w:t>
            </w:r>
          </w:p>
        </w:tc>
        <w:tc>
          <w:tcPr>
            <w:tcW w:w="1726" w:type="dxa"/>
            <w:vAlign w:val="center"/>
          </w:tcPr>
          <w:p w14:paraId="6195CF7D" w14:textId="4B750809" w:rsidR="00D73372" w:rsidRDefault="00A52A4F" w:rsidP="00A52A4F">
            <w:r>
              <w:t>63.0%</w:t>
            </w:r>
          </w:p>
        </w:tc>
        <w:tc>
          <w:tcPr>
            <w:tcW w:w="1726" w:type="dxa"/>
            <w:vAlign w:val="center"/>
          </w:tcPr>
          <w:p w14:paraId="4B45E47F" w14:textId="16D9F538" w:rsidR="00D73372" w:rsidRDefault="00A52A4F" w:rsidP="00A52A4F">
            <w:r>
              <w:t>--</w:t>
            </w:r>
          </w:p>
        </w:tc>
        <w:tc>
          <w:tcPr>
            <w:tcW w:w="1726" w:type="dxa"/>
            <w:vAlign w:val="center"/>
          </w:tcPr>
          <w:p w14:paraId="535BC02A" w14:textId="786082BB" w:rsidR="00D73372" w:rsidRDefault="00A52A4F" w:rsidP="00A52A4F">
            <w:r>
              <w:t>--</w:t>
            </w:r>
          </w:p>
        </w:tc>
      </w:tr>
      <w:tr w:rsidR="00A52A4F" w14:paraId="41171015" w14:textId="77777777" w:rsidTr="00A52A4F">
        <w:tc>
          <w:tcPr>
            <w:tcW w:w="1726" w:type="dxa"/>
            <w:vAlign w:val="center"/>
          </w:tcPr>
          <w:p w14:paraId="201ACB33" w14:textId="05FAA727" w:rsidR="00A52A4F" w:rsidRDefault="00A52A4F" w:rsidP="00A52A4F">
            <w:r>
              <w:t>Total</w:t>
            </w:r>
          </w:p>
        </w:tc>
        <w:tc>
          <w:tcPr>
            <w:tcW w:w="1726" w:type="dxa"/>
            <w:vAlign w:val="center"/>
          </w:tcPr>
          <w:p w14:paraId="3EF21C66" w14:textId="77777777" w:rsidR="00A52A4F" w:rsidRDefault="00A52A4F" w:rsidP="00A52A4F"/>
        </w:tc>
        <w:tc>
          <w:tcPr>
            <w:tcW w:w="1726" w:type="dxa"/>
            <w:vAlign w:val="center"/>
          </w:tcPr>
          <w:p w14:paraId="693849B9" w14:textId="32F02AEF" w:rsidR="00A52A4F" w:rsidRDefault="00A52A4F" w:rsidP="00A52A4F">
            <w:r>
              <w:t>4</w:t>
            </w:r>
            <w:r w:rsidR="00240DDB">
              <w:t>1</w:t>
            </w:r>
            <w:r>
              <w:t>.</w:t>
            </w:r>
            <w:r w:rsidR="00240DDB">
              <w:t>0</w:t>
            </w:r>
            <w:r>
              <w:t>%</w:t>
            </w:r>
          </w:p>
        </w:tc>
        <w:tc>
          <w:tcPr>
            <w:tcW w:w="1726" w:type="dxa"/>
            <w:vAlign w:val="center"/>
          </w:tcPr>
          <w:p w14:paraId="2F7121CA" w14:textId="77777777" w:rsidR="00A52A4F" w:rsidRDefault="00A52A4F" w:rsidP="00A52A4F"/>
        </w:tc>
        <w:tc>
          <w:tcPr>
            <w:tcW w:w="1726" w:type="dxa"/>
            <w:vAlign w:val="center"/>
          </w:tcPr>
          <w:p w14:paraId="222A0539" w14:textId="5C26E52C" w:rsidR="00A52A4F" w:rsidRDefault="00A52A4F" w:rsidP="00A52A4F">
            <w:r>
              <w:t>52.7%</w:t>
            </w:r>
          </w:p>
        </w:tc>
      </w:tr>
    </w:tbl>
    <w:p w14:paraId="3F485692" w14:textId="16D53EFF" w:rsidR="00D73372" w:rsidRDefault="00A52A4F">
      <w:pPr>
        <w:rPr>
          <w:sz w:val="16"/>
          <w:szCs w:val="16"/>
        </w:rPr>
      </w:pPr>
      <w:r>
        <w:rPr>
          <w:sz w:val="16"/>
          <w:szCs w:val="16"/>
        </w:rPr>
        <w:t>*Weighted averages calculated assuming 32.5% functional patients as per CABINET trial</w:t>
      </w:r>
    </w:p>
    <w:p w14:paraId="171CEE3A" w14:textId="2E6EE2C6" w:rsidR="00A52A4F" w:rsidRPr="00353507" w:rsidRDefault="00A52A4F" w:rsidP="00A52A4F">
      <w:pPr>
        <w:pStyle w:val="Caption"/>
        <w:rPr>
          <w:color w:val="000000" w:themeColor="text1"/>
          <w:sz w:val="22"/>
          <w:szCs w:val="22"/>
        </w:rPr>
      </w:pPr>
      <w:r w:rsidRPr="00353507">
        <w:rPr>
          <w:color w:val="000000" w:themeColor="text1"/>
          <w:sz w:val="22"/>
          <w:szCs w:val="22"/>
        </w:rPr>
        <w:t xml:space="preserve">Table </w:t>
      </w:r>
      <w:r w:rsidRPr="00353507">
        <w:rPr>
          <w:color w:val="000000" w:themeColor="text1"/>
          <w:sz w:val="22"/>
          <w:szCs w:val="22"/>
        </w:rPr>
        <w:fldChar w:fldCharType="begin"/>
      </w:r>
      <w:r w:rsidRPr="00353507">
        <w:rPr>
          <w:color w:val="000000" w:themeColor="text1"/>
          <w:sz w:val="22"/>
          <w:szCs w:val="22"/>
        </w:rPr>
        <w:instrText xml:space="preserve"> SEQ Table \* ARABIC </w:instrText>
      </w:r>
      <w:r w:rsidRPr="00353507">
        <w:rPr>
          <w:color w:val="000000" w:themeColor="text1"/>
          <w:sz w:val="22"/>
          <w:szCs w:val="22"/>
        </w:rPr>
        <w:fldChar w:fldCharType="separate"/>
      </w:r>
      <w:r w:rsidR="005600FF">
        <w:rPr>
          <w:noProof/>
          <w:color w:val="000000" w:themeColor="text1"/>
          <w:sz w:val="22"/>
          <w:szCs w:val="22"/>
        </w:rPr>
        <w:t>2</w:t>
      </w:r>
      <w:r w:rsidRPr="00353507">
        <w:rPr>
          <w:color w:val="000000" w:themeColor="text1"/>
          <w:sz w:val="22"/>
          <w:szCs w:val="22"/>
        </w:rPr>
        <w:fldChar w:fldCharType="end"/>
      </w:r>
      <w:r w:rsidRPr="00353507">
        <w:rPr>
          <w:color w:val="000000" w:themeColor="text1"/>
          <w:sz w:val="22"/>
          <w:szCs w:val="22"/>
        </w:rPr>
        <w:t>: Clinical expert estimates of the proportion of pNET patients receiving concomitant SSA and the proportion of these patients who discontinue concomitant SSA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A52A4F" w14:paraId="5E6BBA3B" w14:textId="77777777" w:rsidTr="00353507">
        <w:tc>
          <w:tcPr>
            <w:tcW w:w="1726" w:type="dxa"/>
            <w:vMerge w:val="restart"/>
            <w:vAlign w:val="center"/>
          </w:tcPr>
          <w:p w14:paraId="4BEBD261" w14:textId="77777777" w:rsidR="00A52A4F" w:rsidRPr="00353507" w:rsidRDefault="00A52A4F" w:rsidP="00353507">
            <w:pPr>
              <w:rPr>
                <w:b/>
                <w:bCs/>
              </w:rPr>
            </w:pPr>
            <w:r w:rsidRPr="00353507">
              <w:rPr>
                <w:b/>
                <w:bCs/>
              </w:rPr>
              <w:t>Clinician</w:t>
            </w:r>
          </w:p>
        </w:tc>
        <w:tc>
          <w:tcPr>
            <w:tcW w:w="3452" w:type="dxa"/>
            <w:gridSpan w:val="2"/>
            <w:vAlign w:val="center"/>
          </w:tcPr>
          <w:p w14:paraId="30F2ACA1" w14:textId="77777777" w:rsidR="00A52A4F" w:rsidRPr="00353507" w:rsidRDefault="00A52A4F" w:rsidP="00353507">
            <w:pPr>
              <w:rPr>
                <w:b/>
                <w:bCs/>
              </w:rPr>
            </w:pPr>
            <w:r w:rsidRPr="00353507">
              <w:rPr>
                <w:b/>
                <w:bCs/>
              </w:rPr>
              <w:t>Proportion of patients receiving concomitant SSA</w:t>
            </w:r>
          </w:p>
        </w:tc>
        <w:tc>
          <w:tcPr>
            <w:tcW w:w="3452" w:type="dxa"/>
            <w:gridSpan w:val="2"/>
            <w:vAlign w:val="center"/>
          </w:tcPr>
          <w:p w14:paraId="68D56AB6" w14:textId="77777777" w:rsidR="00A52A4F" w:rsidRPr="00353507" w:rsidRDefault="00A52A4F" w:rsidP="00353507">
            <w:pPr>
              <w:rPr>
                <w:b/>
                <w:bCs/>
              </w:rPr>
            </w:pPr>
            <w:r w:rsidRPr="00353507">
              <w:rPr>
                <w:b/>
                <w:bCs/>
              </w:rPr>
              <w:t>Proportion of patients who discontinue concomitant SSA before death</w:t>
            </w:r>
          </w:p>
        </w:tc>
      </w:tr>
      <w:tr w:rsidR="00A52A4F" w14:paraId="7E791B36" w14:textId="77777777" w:rsidTr="00353507">
        <w:tc>
          <w:tcPr>
            <w:tcW w:w="1726" w:type="dxa"/>
            <w:vMerge/>
            <w:vAlign w:val="center"/>
          </w:tcPr>
          <w:p w14:paraId="65D45BC6" w14:textId="77777777" w:rsidR="00A52A4F" w:rsidRPr="00353507" w:rsidRDefault="00A52A4F" w:rsidP="00353507">
            <w:pPr>
              <w:rPr>
                <w:b/>
                <w:bCs/>
              </w:rPr>
            </w:pPr>
          </w:p>
        </w:tc>
        <w:tc>
          <w:tcPr>
            <w:tcW w:w="1726" w:type="dxa"/>
            <w:vAlign w:val="center"/>
          </w:tcPr>
          <w:p w14:paraId="1ED19BD0" w14:textId="77777777" w:rsidR="00A52A4F" w:rsidRPr="00353507" w:rsidRDefault="00A52A4F" w:rsidP="00353507">
            <w:pPr>
              <w:rPr>
                <w:b/>
                <w:bCs/>
              </w:rPr>
            </w:pPr>
            <w:r w:rsidRPr="00353507">
              <w:rPr>
                <w:b/>
                <w:bCs/>
              </w:rPr>
              <w:t>Functional vs non-functional</w:t>
            </w:r>
          </w:p>
        </w:tc>
        <w:tc>
          <w:tcPr>
            <w:tcW w:w="1726" w:type="dxa"/>
            <w:vAlign w:val="center"/>
          </w:tcPr>
          <w:p w14:paraId="6A534F14" w14:textId="77777777" w:rsidR="00A52A4F" w:rsidRPr="00353507" w:rsidRDefault="00A52A4F" w:rsidP="00353507">
            <w:pPr>
              <w:rPr>
                <w:b/>
                <w:bCs/>
              </w:rPr>
            </w:pPr>
            <w:r w:rsidRPr="00353507">
              <w:rPr>
                <w:b/>
                <w:bCs/>
              </w:rPr>
              <w:t>Weighted average</w:t>
            </w:r>
          </w:p>
        </w:tc>
        <w:tc>
          <w:tcPr>
            <w:tcW w:w="1726" w:type="dxa"/>
            <w:vAlign w:val="center"/>
          </w:tcPr>
          <w:p w14:paraId="190DAE46" w14:textId="77777777" w:rsidR="00A52A4F" w:rsidRPr="00353507" w:rsidRDefault="00A52A4F" w:rsidP="00353507">
            <w:pPr>
              <w:rPr>
                <w:b/>
                <w:bCs/>
              </w:rPr>
            </w:pPr>
            <w:r w:rsidRPr="00353507">
              <w:rPr>
                <w:b/>
                <w:bCs/>
              </w:rPr>
              <w:t>Functional vs non-functional</w:t>
            </w:r>
          </w:p>
        </w:tc>
        <w:tc>
          <w:tcPr>
            <w:tcW w:w="1726" w:type="dxa"/>
            <w:vAlign w:val="center"/>
          </w:tcPr>
          <w:p w14:paraId="3CE37E82" w14:textId="77777777" w:rsidR="00A52A4F" w:rsidRPr="00353507" w:rsidRDefault="00A52A4F" w:rsidP="00353507">
            <w:pPr>
              <w:rPr>
                <w:b/>
                <w:bCs/>
              </w:rPr>
            </w:pPr>
            <w:r w:rsidRPr="00353507">
              <w:rPr>
                <w:b/>
                <w:bCs/>
              </w:rPr>
              <w:t>Weighted average</w:t>
            </w:r>
          </w:p>
        </w:tc>
      </w:tr>
      <w:tr w:rsidR="00A52A4F" w14:paraId="5CEF9C73" w14:textId="77777777" w:rsidTr="00353507">
        <w:tc>
          <w:tcPr>
            <w:tcW w:w="1726" w:type="dxa"/>
            <w:vAlign w:val="center"/>
          </w:tcPr>
          <w:p w14:paraId="0715EC98" w14:textId="77777777" w:rsidR="00A52A4F" w:rsidRDefault="00A52A4F" w:rsidP="00353507">
            <w:r>
              <w:t>A</w:t>
            </w:r>
          </w:p>
        </w:tc>
        <w:tc>
          <w:tcPr>
            <w:tcW w:w="1726" w:type="dxa"/>
            <w:vAlign w:val="center"/>
          </w:tcPr>
          <w:p w14:paraId="6F222E00" w14:textId="1EAE32CF" w:rsidR="00A52A4F" w:rsidRDefault="00A52A4F" w:rsidP="00353507">
            <w:proofErr w:type="spellStart"/>
            <w:r>
              <w:t>Funct</w:t>
            </w:r>
            <w:proofErr w:type="spellEnd"/>
            <w:r>
              <w:t xml:space="preserve">: </w:t>
            </w:r>
            <w:r w:rsidR="00EE5D94">
              <w:t>1</w:t>
            </w:r>
            <w:r>
              <w:t>0%</w:t>
            </w:r>
          </w:p>
          <w:p w14:paraId="0D4BAB57" w14:textId="77777777" w:rsidR="00A52A4F" w:rsidRDefault="00A52A4F" w:rsidP="00353507">
            <w:r>
              <w:t>Non-</w:t>
            </w:r>
            <w:proofErr w:type="spellStart"/>
            <w:r>
              <w:t>funct</w:t>
            </w:r>
            <w:proofErr w:type="spellEnd"/>
            <w:r>
              <w:t>: 5%</w:t>
            </w:r>
          </w:p>
        </w:tc>
        <w:tc>
          <w:tcPr>
            <w:tcW w:w="1726" w:type="dxa"/>
            <w:vAlign w:val="center"/>
          </w:tcPr>
          <w:p w14:paraId="2AF8ED77" w14:textId="4CEF1485" w:rsidR="00A52A4F" w:rsidRDefault="00EE5D94" w:rsidP="00353507">
            <w:r>
              <w:t>5.8</w:t>
            </w:r>
            <w:r w:rsidR="00A52A4F">
              <w:t>%</w:t>
            </w:r>
          </w:p>
        </w:tc>
        <w:tc>
          <w:tcPr>
            <w:tcW w:w="1726" w:type="dxa"/>
            <w:vAlign w:val="center"/>
          </w:tcPr>
          <w:p w14:paraId="2ABAC54C" w14:textId="77777777" w:rsidR="00A52A4F" w:rsidRDefault="00A52A4F" w:rsidP="00353507">
            <w:proofErr w:type="spellStart"/>
            <w:r>
              <w:t>Funct</w:t>
            </w:r>
            <w:proofErr w:type="spellEnd"/>
            <w:r>
              <w:t>: 70%</w:t>
            </w:r>
          </w:p>
          <w:p w14:paraId="5A2FD0FF" w14:textId="77777777" w:rsidR="00A52A4F" w:rsidRDefault="00A52A4F" w:rsidP="00353507">
            <w:r>
              <w:t>Non-</w:t>
            </w:r>
            <w:proofErr w:type="spellStart"/>
            <w:r>
              <w:t>funct</w:t>
            </w:r>
            <w:proofErr w:type="spellEnd"/>
            <w:r>
              <w:t>: 70%</w:t>
            </w:r>
          </w:p>
        </w:tc>
        <w:tc>
          <w:tcPr>
            <w:tcW w:w="1726" w:type="dxa"/>
            <w:vAlign w:val="center"/>
          </w:tcPr>
          <w:p w14:paraId="77719F0D" w14:textId="77777777" w:rsidR="00A52A4F" w:rsidRDefault="00A52A4F" w:rsidP="00353507">
            <w:r>
              <w:t>70.0%</w:t>
            </w:r>
          </w:p>
        </w:tc>
      </w:tr>
      <w:tr w:rsidR="00A52A4F" w14:paraId="152C3457" w14:textId="77777777" w:rsidTr="00353507">
        <w:tc>
          <w:tcPr>
            <w:tcW w:w="1726" w:type="dxa"/>
            <w:vAlign w:val="center"/>
          </w:tcPr>
          <w:p w14:paraId="6F51C2D0" w14:textId="77777777" w:rsidR="00A52A4F" w:rsidRDefault="00A52A4F" w:rsidP="00353507">
            <w:r>
              <w:t>B</w:t>
            </w:r>
          </w:p>
        </w:tc>
        <w:tc>
          <w:tcPr>
            <w:tcW w:w="1726" w:type="dxa"/>
            <w:vAlign w:val="center"/>
          </w:tcPr>
          <w:p w14:paraId="2EAB9A01" w14:textId="77777777" w:rsidR="00A52A4F" w:rsidRDefault="00A52A4F" w:rsidP="00353507">
            <w:proofErr w:type="spellStart"/>
            <w:r>
              <w:t>Funct</w:t>
            </w:r>
            <w:proofErr w:type="spellEnd"/>
            <w:r>
              <w:t>: 100%</w:t>
            </w:r>
          </w:p>
          <w:p w14:paraId="083FD655" w14:textId="77777777" w:rsidR="00A52A4F" w:rsidRDefault="00A52A4F" w:rsidP="00353507">
            <w:r>
              <w:t>Non-</w:t>
            </w:r>
            <w:proofErr w:type="spellStart"/>
            <w:r>
              <w:t>funct</w:t>
            </w:r>
            <w:proofErr w:type="spellEnd"/>
            <w:r>
              <w:t>: 50%</w:t>
            </w:r>
          </w:p>
        </w:tc>
        <w:tc>
          <w:tcPr>
            <w:tcW w:w="1726" w:type="dxa"/>
            <w:vAlign w:val="center"/>
          </w:tcPr>
          <w:p w14:paraId="140E36AD" w14:textId="0E3EAD2C" w:rsidR="00A52A4F" w:rsidRDefault="00EE5D94" w:rsidP="00353507">
            <w:r>
              <w:t>58.4</w:t>
            </w:r>
            <w:r w:rsidR="00A52A4F">
              <w:t>%</w:t>
            </w:r>
          </w:p>
        </w:tc>
        <w:tc>
          <w:tcPr>
            <w:tcW w:w="1726" w:type="dxa"/>
            <w:vAlign w:val="center"/>
          </w:tcPr>
          <w:p w14:paraId="00543C61" w14:textId="24F9279D" w:rsidR="00A52A4F" w:rsidRDefault="00A52A4F" w:rsidP="00353507">
            <w:proofErr w:type="spellStart"/>
            <w:r>
              <w:t>Funct</w:t>
            </w:r>
            <w:proofErr w:type="spellEnd"/>
            <w:r>
              <w:t xml:space="preserve">: </w:t>
            </w:r>
            <w:r w:rsidR="00611FA5">
              <w:t>5</w:t>
            </w:r>
            <w:r>
              <w:t>%</w:t>
            </w:r>
          </w:p>
          <w:p w14:paraId="3A9D0B30" w14:textId="77777777" w:rsidR="00A52A4F" w:rsidRDefault="00A52A4F" w:rsidP="00353507">
            <w:r>
              <w:t>Non-</w:t>
            </w:r>
            <w:proofErr w:type="spellStart"/>
            <w:r>
              <w:t>funct</w:t>
            </w:r>
            <w:proofErr w:type="spellEnd"/>
            <w:r>
              <w:t>: 50%</w:t>
            </w:r>
          </w:p>
        </w:tc>
        <w:tc>
          <w:tcPr>
            <w:tcW w:w="1726" w:type="dxa"/>
            <w:vAlign w:val="center"/>
          </w:tcPr>
          <w:p w14:paraId="35C301E3" w14:textId="67494D93" w:rsidR="00A52A4F" w:rsidRDefault="00EE5D94" w:rsidP="00353507">
            <w:r>
              <w:t>42.4</w:t>
            </w:r>
            <w:r w:rsidR="00A52A4F">
              <w:t>%</w:t>
            </w:r>
          </w:p>
        </w:tc>
      </w:tr>
      <w:tr w:rsidR="00240DDB" w14:paraId="6E50647F" w14:textId="77777777" w:rsidTr="00353507">
        <w:tc>
          <w:tcPr>
            <w:tcW w:w="1726" w:type="dxa"/>
            <w:vAlign w:val="center"/>
          </w:tcPr>
          <w:p w14:paraId="5BE09D09" w14:textId="77777777" w:rsidR="00240DDB" w:rsidRDefault="00240DDB" w:rsidP="00240DDB">
            <w:r>
              <w:t>C</w:t>
            </w:r>
          </w:p>
        </w:tc>
        <w:tc>
          <w:tcPr>
            <w:tcW w:w="1726" w:type="dxa"/>
            <w:vAlign w:val="center"/>
          </w:tcPr>
          <w:p w14:paraId="74C767A9" w14:textId="77777777" w:rsidR="00240DDB" w:rsidRDefault="00240DDB" w:rsidP="00240DDB">
            <w:proofErr w:type="spellStart"/>
            <w:r>
              <w:t>Funct</w:t>
            </w:r>
            <w:proofErr w:type="spellEnd"/>
            <w:r>
              <w:t>: 25%</w:t>
            </w:r>
          </w:p>
          <w:p w14:paraId="52F53B49" w14:textId="20E0C5B8" w:rsidR="00240DDB" w:rsidRDefault="00240DDB" w:rsidP="00240DDB">
            <w:r>
              <w:t>Non-</w:t>
            </w:r>
            <w:proofErr w:type="spellStart"/>
            <w:r>
              <w:t>funct</w:t>
            </w:r>
            <w:proofErr w:type="spellEnd"/>
            <w:r>
              <w:t>: 25%</w:t>
            </w:r>
          </w:p>
        </w:tc>
        <w:tc>
          <w:tcPr>
            <w:tcW w:w="1726" w:type="dxa"/>
            <w:vAlign w:val="center"/>
          </w:tcPr>
          <w:p w14:paraId="24F03145" w14:textId="32041FB3" w:rsidR="00240DDB" w:rsidRDefault="00240DDB" w:rsidP="00240DDB">
            <w:r>
              <w:t>25%</w:t>
            </w:r>
          </w:p>
        </w:tc>
        <w:tc>
          <w:tcPr>
            <w:tcW w:w="1726" w:type="dxa"/>
            <w:vAlign w:val="center"/>
          </w:tcPr>
          <w:p w14:paraId="2D9EDE10" w14:textId="77777777" w:rsidR="00240DDB" w:rsidRDefault="00240DDB" w:rsidP="00240DDB">
            <w:r>
              <w:t>--</w:t>
            </w:r>
          </w:p>
        </w:tc>
        <w:tc>
          <w:tcPr>
            <w:tcW w:w="1726" w:type="dxa"/>
            <w:vAlign w:val="center"/>
          </w:tcPr>
          <w:p w14:paraId="42B9D5EB" w14:textId="77777777" w:rsidR="00240DDB" w:rsidRDefault="00240DDB" w:rsidP="00240DDB">
            <w:r>
              <w:t>--</w:t>
            </w:r>
          </w:p>
        </w:tc>
      </w:tr>
      <w:tr w:rsidR="00A52A4F" w14:paraId="1AF9DBD1" w14:textId="77777777" w:rsidTr="00353507">
        <w:tc>
          <w:tcPr>
            <w:tcW w:w="1726" w:type="dxa"/>
            <w:vAlign w:val="center"/>
          </w:tcPr>
          <w:p w14:paraId="1D2C4AF5" w14:textId="77777777" w:rsidR="00A52A4F" w:rsidRDefault="00A52A4F" w:rsidP="00353507">
            <w:r>
              <w:t>D</w:t>
            </w:r>
          </w:p>
        </w:tc>
        <w:tc>
          <w:tcPr>
            <w:tcW w:w="1726" w:type="dxa"/>
            <w:vAlign w:val="center"/>
          </w:tcPr>
          <w:p w14:paraId="4744655B" w14:textId="77777777" w:rsidR="00A52A4F" w:rsidRDefault="00A52A4F" w:rsidP="00353507">
            <w:proofErr w:type="spellStart"/>
            <w:r>
              <w:t>Funct</w:t>
            </w:r>
            <w:proofErr w:type="spellEnd"/>
            <w:r>
              <w:t>: 90%</w:t>
            </w:r>
          </w:p>
          <w:p w14:paraId="25F1316C" w14:textId="77777777" w:rsidR="00A52A4F" w:rsidRDefault="00A52A4F" w:rsidP="00353507">
            <w:r>
              <w:t>Non-</w:t>
            </w:r>
            <w:proofErr w:type="spellStart"/>
            <w:r>
              <w:t>funct</w:t>
            </w:r>
            <w:proofErr w:type="spellEnd"/>
            <w:r>
              <w:t>: 50%</w:t>
            </w:r>
          </w:p>
        </w:tc>
        <w:tc>
          <w:tcPr>
            <w:tcW w:w="1726" w:type="dxa"/>
            <w:vAlign w:val="center"/>
          </w:tcPr>
          <w:p w14:paraId="3101BC26" w14:textId="581B0885" w:rsidR="00A52A4F" w:rsidRDefault="00EE5D94" w:rsidP="00353507">
            <w:r>
              <w:t>56.7</w:t>
            </w:r>
            <w:r w:rsidR="00A52A4F">
              <w:t>%</w:t>
            </w:r>
          </w:p>
        </w:tc>
        <w:tc>
          <w:tcPr>
            <w:tcW w:w="1726" w:type="dxa"/>
            <w:vAlign w:val="center"/>
          </w:tcPr>
          <w:p w14:paraId="2A9BD553" w14:textId="77777777" w:rsidR="00A52A4F" w:rsidRDefault="00A52A4F" w:rsidP="00353507">
            <w:r>
              <w:t>--</w:t>
            </w:r>
          </w:p>
        </w:tc>
        <w:tc>
          <w:tcPr>
            <w:tcW w:w="1726" w:type="dxa"/>
            <w:vAlign w:val="center"/>
          </w:tcPr>
          <w:p w14:paraId="37538AA0" w14:textId="77777777" w:rsidR="00A52A4F" w:rsidRDefault="00A52A4F" w:rsidP="00353507">
            <w:r>
              <w:t>--</w:t>
            </w:r>
          </w:p>
        </w:tc>
      </w:tr>
      <w:tr w:rsidR="00A52A4F" w14:paraId="38238734" w14:textId="77777777" w:rsidTr="00353507">
        <w:tc>
          <w:tcPr>
            <w:tcW w:w="1726" w:type="dxa"/>
            <w:vAlign w:val="center"/>
          </w:tcPr>
          <w:p w14:paraId="7E72A389" w14:textId="77777777" w:rsidR="00A52A4F" w:rsidRDefault="00A52A4F" w:rsidP="00353507">
            <w:r>
              <w:t>Total</w:t>
            </w:r>
          </w:p>
        </w:tc>
        <w:tc>
          <w:tcPr>
            <w:tcW w:w="1726" w:type="dxa"/>
            <w:vAlign w:val="center"/>
          </w:tcPr>
          <w:p w14:paraId="0EF8AAF8" w14:textId="77777777" w:rsidR="00A52A4F" w:rsidRDefault="00A52A4F" w:rsidP="00353507"/>
        </w:tc>
        <w:tc>
          <w:tcPr>
            <w:tcW w:w="1726" w:type="dxa"/>
            <w:vAlign w:val="center"/>
          </w:tcPr>
          <w:p w14:paraId="74C3AAA8" w14:textId="141BC723" w:rsidR="00A52A4F" w:rsidRDefault="00240DDB" w:rsidP="00353507">
            <w:r>
              <w:t>3</w:t>
            </w:r>
            <w:r w:rsidR="00A52A4F">
              <w:t>6.</w:t>
            </w:r>
            <w:r>
              <w:t>5</w:t>
            </w:r>
            <w:r w:rsidR="00A52A4F">
              <w:t>%</w:t>
            </w:r>
          </w:p>
        </w:tc>
        <w:tc>
          <w:tcPr>
            <w:tcW w:w="1726" w:type="dxa"/>
            <w:vAlign w:val="center"/>
          </w:tcPr>
          <w:p w14:paraId="1176E293" w14:textId="77777777" w:rsidR="00A52A4F" w:rsidRDefault="00A52A4F" w:rsidP="00353507"/>
        </w:tc>
        <w:tc>
          <w:tcPr>
            <w:tcW w:w="1726" w:type="dxa"/>
            <w:vAlign w:val="center"/>
          </w:tcPr>
          <w:p w14:paraId="18DED87A" w14:textId="0E475B6C" w:rsidR="00A52A4F" w:rsidRDefault="00A52A4F" w:rsidP="00353507">
            <w:r>
              <w:t>5</w:t>
            </w:r>
            <w:r w:rsidR="00EE5D94">
              <w:t>6</w:t>
            </w:r>
            <w:r>
              <w:t>.</w:t>
            </w:r>
            <w:r w:rsidR="00EE5D94">
              <w:t>2</w:t>
            </w:r>
            <w:r>
              <w:t>%</w:t>
            </w:r>
          </w:p>
        </w:tc>
      </w:tr>
    </w:tbl>
    <w:p w14:paraId="12433A22" w14:textId="3D6E73A3" w:rsidR="00A52A4F" w:rsidRPr="00827D18" w:rsidRDefault="00A52A4F">
      <w:pPr>
        <w:rPr>
          <w:sz w:val="16"/>
          <w:szCs w:val="16"/>
        </w:rPr>
      </w:pPr>
      <w:r>
        <w:rPr>
          <w:sz w:val="16"/>
          <w:szCs w:val="16"/>
        </w:rPr>
        <w:t>*Weighted averages calculated assuming 16.8% functional patients as per CABINET trial</w:t>
      </w:r>
    </w:p>
    <w:p w14:paraId="33194346" w14:textId="77777777" w:rsidR="00F0421E" w:rsidRDefault="00377441">
      <w:pPr>
        <w:pStyle w:val="Heading2"/>
      </w:pPr>
      <w:r>
        <w:t>4) Subsequent Treatments when BSC Comparator</w:t>
      </w:r>
    </w:p>
    <w:p w14:paraId="0F82A494" w14:textId="0A0A2453" w:rsidR="00F0421E" w:rsidRDefault="0B2AF3E3">
      <w:r>
        <w:t>All clinicians anticipated that some patients would receive active treatment after progression, even when BSC is the comparator, though the extent depends on fitness, prior therapies, and access.</w:t>
      </w:r>
      <w:r w:rsidR="479BF020">
        <w:t xml:space="preserve"> </w:t>
      </w:r>
    </w:p>
    <w:p w14:paraId="4D206BCA" w14:textId="1313B698" w:rsidR="00F0421E" w:rsidRDefault="1C413734" w:rsidP="2AF5CC34">
      <w:pPr>
        <w:pStyle w:val="ListParagraph"/>
        <w:numPr>
          <w:ilvl w:val="0"/>
          <w:numId w:val="10"/>
        </w:numPr>
      </w:pPr>
      <w:r>
        <w:t>Clinician</w:t>
      </w:r>
      <w:r w:rsidR="0B2AF3E3">
        <w:t xml:space="preserve"> A noted that some patients might receive </w:t>
      </w:r>
      <w:r w:rsidR="2A9D3012">
        <w:t xml:space="preserve">off-label </w:t>
      </w:r>
      <w:r w:rsidR="0B2AF3E3">
        <w:t xml:space="preserve">chemotherapy or enter clinical trials, albeit with limited evidence of benefit. </w:t>
      </w:r>
    </w:p>
    <w:p w14:paraId="084E4163" w14:textId="4ED9EA4B" w:rsidR="00F0421E" w:rsidRDefault="1A59378A" w:rsidP="2AF5CC34">
      <w:pPr>
        <w:pStyle w:val="ListParagraph"/>
        <w:numPr>
          <w:ilvl w:val="0"/>
          <w:numId w:val="10"/>
        </w:numPr>
      </w:pPr>
      <w:r>
        <w:t>Clinician B</w:t>
      </w:r>
      <w:r w:rsidR="0B2AF3E3">
        <w:t xml:space="preserve"> explained that subsequent therapy varies by </w:t>
      </w:r>
      <w:proofErr w:type="spellStart"/>
      <w:r w:rsidR="0B2AF3E3">
        <w:t>tumour</w:t>
      </w:r>
      <w:proofErr w:type="spellEnd"/>
      <w:r w:rsidR="0B2AF3E3">
        <w:t xml:space="preserve"> site and prior lines, with PRRT ideally given earlier and often unavailable later, making rechallenge uncommon. </w:t>
      </w:r>
    </w:p>
    <w:p w14:paraId="18ABC98A" w14:textId="03819FD3" w:rsidR="00F0421E" w:rsidRDefault="71219562" w:rsidP="2AF5CC34">
      <w:pPr>
        <w:pStyle w:val="ListParagraph"/>
        <w:numPr>
          <w:ilvl w:val="0"/>
          <w:numId w:val="10"/>
        </w:numPr>
      </w:pPr>
      <w:r>
        <w:t>Clinician C</w:t>
      </w:r>
      <w:r w:rsidR="0B2AF3E3">
        <w:t xml:space="preserve"> described scenarios where chemotherapy could be reintroduced after cabozantinib, particularly if remission lasted more than six months, and suggested that SSAs might be restarted in some cases. </w:t>
      </w:r>
    </w:p>
    <w:p w14:paraId="790949A6" w14:textId="725FE0F7" w:rsidR="00F0421E" w:rsidRDefault="3DEEC66A" w:rsidP="2AF5CC34">
      <w:pPr>
        <w:pStyle w:val="ListParagraph"/>
        <w:numPr>
          <w:ilvl w:val="0"/>
          <w:numId w:val="10"/>
        </w:numPr>
      </w:pPr>
      <w:r>
        <w:t>Clinician D</w:t>
      </w:r>
      <w:r w:rsidR="0B2AF3E3">
        <w:t xml:space="preserve"> expected some subsequent treatments, </w:t>
      </w:r>
      <w:proofErr w:type="spellStart"/>
      <w:r w:rsidR="0B2AF3E3">
        <w:t>prioritising</w:t>
      </w:r>
      <w:proofErr w:type="spellEnd"/>
      <w:r w:rsidR="0B2AF3E3">
        <w:t xml:space="preserve"> clinical trials and generally avoiding chemotherapy rechallenge, while stressing the high unmet need and </w:t>
      </w:r>
      <w:r w:rsidR="2C24902C">
        <w:t>t</w:t>
      </w:r>
      <w:r w:rsidR="0B2AF3E3">
        <w:t>he</w:t>
      </w:r>
      <w:r w:rsidR="59F750DD">
        <w:t>i</w:t>
      </w:r>
      <w:r w:rsidR="0B2AF3E3">
        <w:t xml:space="preserve">r willingness to use cabozantinib based on PFS benefit alone. </w:t>
      </w:r>
    </w:p>
    <w:p w14:paraId="06825809" w14:textId="0126BE62" w:rsidR="00F0421E" w:rsidRDefault="0B2AF3E3">
      <w:r>
        <w:t xml:space="preserve">In conclusion, all clinicians agreed that it is unrealistic to assume zero subsequent therapy in modelling. Instead, models should include a non-zero probability of further active treatment, stratified by prior exposure, patient fitness, and </w:t>
      </w:r>
      <w:proofErr w:type="spellStart"/>
      <w:r>
        <w:t>tumour</w:t>
      </w:r>
      <w:proofErr w:type="spellEnd"/>
      <w:r>
        <w:t xml:space="preserve"> subtype.</w:t>
      </w:r>
    </w:p>
    <w:sectPr w:rsidR="00F042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41CC" w14:textId="77777777" w:rsidR="009523E9" w:rsidRDefault="009523E9" w:rsidP="00E86EE0">
      <w:pPr>
        <w:spacing w:after="0" w:line="240" w:lineRule="auto"/>
      </w:pPr>
      <w:r>
        <w:separator/>
      </w:r>
    </w:p>
  </w:endnote>
  <w:endnote w:type="continuationSeparator" w:id="0">
    <w:p w14:paraId="2CE0B929" w14:textId="77777777" w:rsidR="009523E9" w:rsidRDefault="009523E9" w:rsidP="00E86EE0">
      <w:pPr>
        <w:spacing w:after="0" w:line="240" w:lineRule="auto"/>
      </w:pPr>
      <w:r>
        <w:continuationSeparator/>
      </w:r>
    </w:p>
  </w:endnote>
  <w:endnote w:type="continuationNotice" w:id="1">
    <w:p w14:paraId="6C84DF17" w14:textId="77777777" w:rsidR="009523E9" w:rsidRDefault="00952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2B93" w14:textId="77777777" w:rsidR="009523E9" w:rsidRDefault="009523E9" w:rsidP="00E86EE0">
      <w:pPr>
        <w:spacing w:after="0" w:line="240" w:lineRule="auto"/>
      </w:pPr>
      <w:r>
        <w:separator/>
      </w:r>
    </w:p>
  </w:footnote>
  <w:footnote w:type="continuationSeparator" w:id="0">
    <w:p w14:paraId="12B0104D" w14:textId="77777777" w:rsidR="009523E9" w:rsidRDefault="009523E9" w:rsidP="00E86EE0">
      <w:pPr>
        <w:spacing w:after="0" w:line="240" w:lineRule="auto"/>
      </w:pPr>
      <w:r>
        <w:continuationSeparator/>
      </w:r>
    </w:p>
  </w:footnote>
  <w:footnote w:type="continuationNotice" w:id="1">
    <w:p w14:paraId="24A1FF78" w14:textId="77777777" w:rsidR="009523E9" w:rsidRDefault="009523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7CCA62"/>
    <w:multiLevelType w:val="hybridMultilevel"/>
    <w:tmpl w:val="C9A8ABF8"/>
    <w:lvl w:ilvl="0" w:tplc="E5C42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2E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CD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06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A9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6F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AA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8E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A3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458B1"/>
    <w:multiLevelType w:val="hybridMultilevel"/>
    <w:tmpl w:val="FD1839E0"/>
    <w:lvl w:ilvl="0" w:tplc="C002B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29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67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26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EF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06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28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C6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C0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2C3BC"/>
    <w:multiLevelType w:val="hybridMultilevel"/>
    <w:tmpl w:val="0B18F53C"/>
    <w:lvl w:ilvl="0" w:tplc="C5B67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06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44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EE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0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86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C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D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CF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C215F"/>
    <w:multiLevelType w:val="hybridMultilevel"/>
    <w:tmpl w:val="665E83E8"/>
    <w:lvl w:ilvl="0" w:tplc="FF3EA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8C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8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0E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E0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A2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84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4B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38895">
    <w:abstractNumId w:val="8"/>
  </w:num>
  <w:num w:numId="2" w16cid:durableId="1635716960">
    <w:abstractNumId w:val="6"/>
  </w:num>
  <w:num w:numId="3" w16cid:durableId="1550335753">
    <w:abstractNumId w:val="5"/>
  </w:num>
  <w:num w:numId="4" w16cid:durableId="554777829">
    <w:abstractNumId w:val="4"/>
  </w:num>
  <w:num w:numId="5" w16cid:durableId="1267809244">
    <w:abstractNumId w:val="7"/>
  </w:num>
  <w:num w:numId="6" w16cid:durableId="623315706">
    <w:abstractNumId w:val="3"/>
  </w:num>
  <w:num w:numId="7" w16cid:durableId="235165975">
    <w:abstractNumId w:val="2"/>
  </w:num>
  <w:num w:numId="8" w16cid:durableId="377974536">
    <w:abstractNumId w:val="1"/>
  </w:num>
  <w:num w:numId="9" w16cid:durableId="1958369527">
    <w:abstractNumId w:val="0"/>
  </w:num>
  <w:num w:numId="10" w16cid:durableId="49614591">
    <w:abstractNumId w:val="9"/>
  </w:num>
  <w:num w:numId="11" w16cid:durableId="1187527631">
    <w:abstractNumId w:val="11"/>
  </w:num>
  <w:num w:numId="12" w16cid:durableId="879167442">
    <w:abstractNumId w:val="12"/>
  </w:num>
  <w:num w:numId="13" w16cid:durableId="320160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7AB"/>
    <w:rsid w:val="000B3BAC"/>
    <w:rsid w:val="000B5600"/>
    <w:rsid w:val="000D60BF"/>
    <w:rsid w:val="000E5477"/>
    <w:rsid w:val="00141B59"/>
    <w:rsid w:val="0015074B"/>
    <w:rsid w:val="00240DDB"/>
    <w:rsid w:val="00266A06"/>
    <w:rsid w:val="0029639D"/>
    <w:rsid w:val="002A48D6"/>
    <w:rsid w:val="002C454E"/>
    <w:rsid w:val="003125DE"/>
    <w:rsid w:val="003157BE"/>
    <w:rsid w:val="00326F90"/>
    <w:rsid w:val="00377441"/>
    <w:rsid w:val="00395B81"/>
    <w:rsid w:val="003C4643"/>
    <w:rsid w:val="00410DB6"/>
    <w:rsid w:val="00531BE3"/>
    <w:rsid w:val="005600FF"/>
    <w:rsid w:val="005F7780"/>
    <w:rsid w:val="00611FA5"/>
    <w:rsid w:val="006543A5"/>
    <w:rsid w:val="00673DF2"/>
    <w:rsid w:val="00735DE8"/>
    <w:rsid w:val="00737EBE"/>
    <w:rsid w:val="00770A3A"/>
    <w:rsid w:val="00827D18"/>
    <w:rsid w:val="009523E9"/>
    <w:rsid w:val="009E7905"/>
    <w:rsid w:val="00A1669A"/>
    <w:rsid w:val="00A44405"/>
    <w:rsid w:val="00A52A0A"/>
    <w:rsid w:val="00A52A4F"/>
    <w:rsid w:val="00AA1D8D"/>
    <w:rsid w:val="00AB714D"/>
    <w:rsid w:val="00B022FD"/>
    <w:rsid w:val="00B47730"/>
    <w:rsid w:val="00BB06C2"/>
    <w:rsid w:val="00BC5BA9"/>
    <w:rsid w:val="00BC6958"/>
    <w:rsid w:val="00C624D3"/>
    <w:rsid w:val="00C80CF6"/>
    <w:rsid w:val="00C83ECD"/>
    <w:rsid w:val="00CB0664"/>
    <w:rsid w:val="00D73372"/>
    <w:rsid w:val="00E86EE0"/>
    <w:rsid w:val="00E90D2C"/>
    <w:rsid w:val="00EE5D94"/>
    <w:rsid w:val="00F03B87"/>
    <w:rsid w:val="00F0421E"/>
    <w:rsid w:val="00F32868"/>
    <w:rsid w:val="00F67474"/>
    <w:rsid w:val="00F868A3"/>
    <w:rsid w:val="00F946EB"/>
    <w:rsid w:val="00FC1AD7"/>
    <w:rsid w:val="00FC693F"/>
    <w:rsid w:val="01C72C65"/>
    <w:rsid w:val="02853471"/>
    <w:rsid w:val="02D6A88C"/>
    <w:rsid w:val="03147BB1"/>
    <w:rsid w:val="040C65BF"/>
    <w:rsid w:val="0442D724"/>
    <w:rsid w:val="04C5847C"/>
    <w:rsid w:val="04D31A82"/>
    <w:rsid w:val="06376ACB"/>
    <w:rsid w:val="0793C75B"/>
    <w:rsid w:val="07ED4D9B"/>
    <w:rsid w:val="0A559E71"/>
    <w:rsid w:val="0B2AF3E3"/>
    <w:rsid w:val="0B377241"/>
    <w:rsid w:val="0C06600C"/>
    <w:rsid w:val="0C1CED17"/>
    <w:rsid w:val="0C21EDAA"/>
    <w:rsid w:val="0CE66C9F"/>
    <w:rsid w:val="0D9E111B"/>
    <w:rsid w:val="0E41DDC8"/>
    <w:rsid w:val="0E4A7723"/>
    <w:rsid w:val="0EE45419"/>
    <w:rsid w:val="0FD52AD9"/>
    <w:rsid w:val="1048A252"/>
    <w:rsid w:val="112DB2CC"/>
    <w:rsid w:val="11441165"/>
    <w:rsid w:val="11B358F1"/>
    <w:rsid w:val="11E3CE06"/>
    <w:rsid w:val="1209B821"/>
    <w:rsid w:val="1500EDCB"/>
    <w:rsid w:val="1610977E"/>
    <w:rsid w:val="1690AF15"/>
    <w:rsid w:val="16DA6234"/>
    <w:rsid w:val="17BAA02E"/>
    <w:rsid w:val="1865C7D3"/>
    <w:rsid w:val="19260DAF"/>
    <w:rsid w:val="1A59378A"/>
    <w:rsid w:val="1AB43395"/>
    <w:rsid w:val="1B5A97E3"/>
    <w:rsid w:val="1B8B5584"/>
    <w:rsid w:val="1C05783E"/>
    <w:rsid w:val="1C413734"/>
    <w:rsid w:val="1DA8F032"/>
    <w:rsid w:val="1EB70A13"/>
    <w:rsid w:val="1F909EED"/>
    <w:rsid w:val="1FAA78DB"/>
    <w:rsid w:val="1FCA9EFA"/>
    <w:rsid w:val="207A190F"/>
    <w:rsid w:val="2273A501"/>
    <w:rsid w:val="22A2550E"/>
    <w:rsid w:val="22EA7F1D"/>
    <w:rsid w:val="23387852"/>
    <w:rsid w:val="23438F27"/>
    <w:rsid w:val="2525B954"/>
    <w:rsid w:val="25323193"/>
    <w:rsid w:val="259EEBF2"/>
    <w:rsid w:val="2637F0FF"/>
    <w:rsid w:val="268A90E7"/>
    <w:rsid w:val="26F908A5"/>
    <w:rsid w:val="274D0312"/>
    <w:rsid w:val="27D4AE7D"/>
    <w:rsid w:val="27E3AF05"/>
    <w:rsid w:val="281FD422"/>
    <w:rsid w:val="2914B5A5"/>
    <w:rsid w:val="291939C4"/>
    <w:rsid w:val="2A9D3012"/>
    <w:rsid w:val="2AF5CC34"/>
    <w:rsid w:val="2BD5A18A"/>
    <w:rsid w:val="2C24902C"/>
    <w:rsid w:val="2CE0DF51"/>
    <w:rsid w:val="2D818788"/>
    <w:rsid w:val="2DE5083C"/>
    <w:rsid w:val="2E85B768"/>
    <w:rsid w:val="2F04B412"/>
    <w:rsid w:val="2F07C434"/>
    <w:rsid w:val="2F2D65BD"/>
    <w:rsid w:val="2F9F6627"/>
    <w:rsid w:val="3082B6D3"/>
    <w:rsid w:val="30D4069C"/>
    <w:rsid w:val="31757EA7"/>
    <w:rsid w:val="31948C94"/>
    <w:rsid w:val="329C3D51"/>
    <w:rsid w:val="3722EAB2"/>
    <w:rsid w:val="3834ED01"/>
    <w:rsid w:val="383B01C0"/>
    <w:rsid w:val="3B698E2D"/>
    <w:rsid w:val="3C78D190"/>
    <w:rsid w:val="3DBFBAF5"/>
    <w:rsid w:val="3DEEC66A"/>
    <w:rsid w:val="3EDAFAC3"/>
    <w:rsid w:val="3F52950B"/>
    <w:rsid w:val="403C0BA6"/>
    <w:rsid w:val="40D0D103"/>
    <w:rsid w:val="41E99F39"/>
    <w:rsid w:val="423D26B8"/>
    <w:rsid w:val="429D56AE"/>
    <w:rsid w:val="44FDB368"/>
    <w:rsid w:val="452CCAA2"/>
    <w:rsid w:val="4557CCD4"/>
    <w:rsid w:val="455F8994"/>
    <w:rsid w:val="456AAD91"/>
    <w:rsid w:val="472E6CA0"/>
    <w:rsid w:val="4743BE60"/>
    <w:rsid w:val="479BF020"/>
    <w:rsid w:val="497ACE93"/>
    <w:rsid w:val="49B3BE7A"/>
    <w:rsid w:val="49D21D00"/>
    <w:rsid w:val="4B218F86"/>
    <w:rsid w:val="4CB8972B"/>
    <w:rsid w:val="4DFFCAC7"/>
    <w:rsid w:val="4E1CA822"/>
    <w:rsid w:val="4F032E59"/>
    <w:rsid w:val="4F6BD3F6"/>
    <w:rsid w:val="5149F54C"/>
    <w:rsid w:val="532953D9"/>
    <w:rsid w:val="532C0E5A"/>
    <w:rsid w:val="542BCA37"/>
    <w:rsid w:val="5579EDB1"/>
    <w:rsid w:val="5592537D"/>
    <w:rsid w:val="56CF53D6"/>
    <w:rsid w:val="59F750DD"/>
    <w:rsid w:val="5A694D2F"/>
    <w:rsid w:val="5B198F8C"/>
    <w:rsid w:val="5B1D8A3C"/>
    <w:rsid w:val="5B3FDC2E"/>
    <w:rsid w:val="5BA35F71"/>
    <w:rsid w:val="5BE97D4A"/>
    <w:rsid w:val="5CD11126"/>
    <w:rsid w:val="5D4DFA1E"/>
    <w:rsid w:val="5E4E05C8"/>
    <w:rsid w:val="5EBF61F2"/>
    <w:rsid w:val="5EF56101"/>
    <w:rsid w:val="5FD6F836"/>
    <w:rsid w:val="617C58D8"/>
    <w:rsid w:val="62032A27"/>
    <w:rsid w:val="6312D091"/>
    <w:rsid w:val="63232A9C"/>
    <w:rsid w:val="63F74FE0"/>
    <w:rsid w:val="64B37BCB"/>
    <w:rsid w:val="65B1C38D"/>
    <w:rsid w:val="65F82FAE"/>
    <w:rsid w:val="66257B09"/>
    <w:rsid w:val="6669F633"/>
    <w:rsid w:val="66A8E4FA"/>
    <w:rsid w:val="6719C08F"/>
    <w:rsid w:val="672DD541"/>
    <w:rsid w:val="6A1642D2"/>
    <w:rsid w:val="6B1FBCF9"/>
    <w:rsid w:val="6C76D706"/>
    <w:rsid w:val="6CD27B65"/>
    <w:rsid w:val="6DD530E7"/>
    <w:rsid w:val="6E0E7D55"/>
    <w:rsid w:val="6E75E644"/>
    <w:rsid w:val="6F9D91F3"/>
    <w:rsid w:val="71219562"/>
    <w:rsid w:val="716EDDDD"/>
    <w:rsid w:val="730FDB25"/>
    <w:rsid w:val="733A4482"/>
    <w:rsid w:val="733EE294"/>
    <w:rsid w:val="7586C03E"/>
    <w:rsid w:val="760CE2B7"/>
    <w:rsid w:val="7616C6A8"/>
    <w:rsid w:val="79568202"/>
    <w:rsid w:val="79969903"/>
    <w:rsid w:val="7A31A2E9"/>
    <w:rsid w:val="7A794DB8"/>
    <w:rsid w:val="7B598BA0"/>
    <w:rsid w:val="7BCAE0E0"/>
    <w:rsid w:val="7BD86417"/>
    <w:rsid w:val="7C4B7B94"/>
    <w:rsid w:val="7CDF6AE7"/>
    <w:rsid w:val="7DBC27EF"/>
    <w:rsid w:val="7EED2047"/>
    <w:rsid w:val="7F5CE818"/>
    <w:rsid w:val="7FFCD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A5FBFA"/>
  <w14:defaultImageDpi w14:val="300"/>
  <w15:docId w15:val="{D1526F74-A6EE-4534-98C6-1FB2F00E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31BE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465a54fe-435b-4423-8fe2-c9a3626b31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4" ma:contentTypeDescription="Create a new document." ma:contentTypeScope="" ma:versionID="a341b4aecfdaeecf504c648d71fa68c4">
  <xsd:schema xmlns:xsd="http://www.w3.org/2001/XMLSchema" xmlns:xs="http://www.w3.org/2001/XMLSchema" xmlns:p="http://schemas.microsoft.com/office/2006/metadata/properties" xmlns:ns2="465a54fe-435b-4423-8fe2-c9a3626b31f7" xmlns:ns3="68f19371-ebe6-4483-8e72-73d36cd7064e" xmlns:ns4="0eb656aa-4e79-4e95-9076-bc119a23e0cc" targetNamespace="http://schemas.microsoft.com/office/2006/metadata/properties" ma:root="true" ma:fieldsID="969ae290969bb879fc364f9c16eb9ecd" ns2:_="" ns3:_="" ns4:_="">
    <xsd:import namespace="465a54fe-435b-4423-8fe2-c9a3626b31f7"/>
    <xsd:import namespace="68f19371-ebe6-4483-8e72-73d36cd7064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d61abc-4cd0-41d5-925d-20cb28cbf0f5}" ma:internalName="TaxCatchAll" ma:showField="CatchAllData" ma:web="68f19371-ebe6-4483-8e72-73d36cd70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256D81-4F09-435C-A939-A53C865AE261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465a54fe-435b-4423-8fe2-c9a3626b31f7"/>
  </ds:schemaRefs>
</ds:datastoreItem>
</file>

<file path=customXml/itemProps3.xml><?xml version="1.0" encoding="utf-8"?>
<ds:datastoreItem xmlns:ds="http://schemas.openxmlformats.org/officeDocument/2006/customXml" ds:itemID="{AA9D08E9-5987-457A-93ED-8F2C4AB49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54fe-435b-4423-8fe2-c9a3626b31f7"/>
    <ds:schemaRef ds:uri="68f19371-ebe6-4483-8e72-73d36cd7064e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CA3AA9-DBD8-48BE-AFBD-47ACC7796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1470</Words>
  <Characters>8382</Characters>
  <Application>Microsoft Office Word</Application>
  <DocSecurity>0</DocSecurity>
  <Lines>69</Lines>
  <Paragraphs>19</Paragraphs>
  <ScaleCrop>false</ScaleCrop>
  <Manager/>
  <Company/>
  <LinksUpToDate>false</LinksUpToDate>
  <CharactersWithSpaces>9833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Lynn Woodward</cp:lastModifiedBy>
  <cp:revision>3</cp:revision>
  <dcterms:created xsi:type="dcterms:W3CDTF">2026-06-10T10:42:00Z</dcterms:created>
  <dcterms:modified xsi:type="dcterms:W3CDTF">2026-06-10T10:42:00Z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0x0101003300E5E64B980D458C754FFE05DEE26D</vt:lpwstr>
  </property>
  <property fmtid="{D5CDD505-2E9C-101B-9397-08002B2CF9AE}" pid="3" name="MediaServiceImageTags">
    <vt:lpwstr/>
  </property>
  <property fmtid="{D5CDD505-2E9C-101B-9397-08002B2CF9AE}" pid="4" name="_dlc_DocIdItemGuid">
    <vt:lpwstr>70779c77-bf5e-4739-b5f1-f9f19d589c60</vt:lpwstr>
  </property>
  <property fmtid="{D5CDD505-2E9C-101B-9397-08002B2CF9AE}" pid="5" name="MSIP_Label_c69d85d5-6d9e-4305-a294-1f636ec0f2d6_Enabled">
    <vt:lpwstr>true</vt:lpwstr>
  </property>
  <property fmtid="{D5CDD505-2E9C-101B-9397-08002B2CF9AE}" pid="6" name="MSIP_Label_c69d85d5-6d9e-4305-a294-1f636ec0f2d6_SetDate">
    <vt:lpwstr>2026-06-10T10:42:44Z</vt:lpwstr>
  </property>
  <property fmtid="{D5CDD505-2E9C-101B-9397-08002B2CF9AE}" pid="7" name="MSIP_Label_c69d85d5-6d9e-4305-a294-1f636ec0f2d6_Method">
    <vt:lpwstr>Standard</vt:lpwstr>
  </property>
  <property fmtid="{D5CDD505-2E9C-101B-9397-08002B2CF9AE}" pid="8" name="MSIP_Label_c69d85d5-6d9e-4305-a294-1f636ec0f2d6_Name">
    <vt:lpwstr>OFFICIAL</vt:lpwstr>
  </property>
  <property fmtid="{D5CDD505-2E9C-101B-9397-08002B2CF9AE}" pid="9" name="MSIP_Label_c69d85d5-6d9e-4305-a294-1f636ec0f2d6_SiteId">
    <vt:lpwstr>6030f479-b342-472d-a5dd-740ff7538de9</vt:lpwstr>
  </property>
  <property fmtid="{D5CDD505-2E9C-101B-9397-08002B2CF9AE}" pid="10" name="MSIP_Label_c69d85d5-6d9e-4305-a294-1f636ec0f2d6_ActionId">
    <vt:lpwstr>937d7c71-ba22-4342-af7c-5f52105a8627</vt:lpwstr>
  </property>
  <property fmtid="{D5CDD505-2E9C-101B-9397-08002B2CF9AE}" pid="11" name="MSIP_Label_c69d85d5-6d9e-4305-a294-1f636ec0f2d6_ContentBits">
    <vt:lpwstr>0</vt:lpwstr>
  </property>
  <property fmtid="{D5CDD505-2E9C-101B-9397-08002B2CF9AE}" pid="12" name="MSIP_Label_c69d85d5-6d9e-4305-a294-1f636ec0f2d6_Tag">
    <vt:lpwstr>10, 3, 0, 2</vt:lpwstr>
  </property>
</Properties>
</file>