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2F7F" w:rsidRPr="003F61FF" w:rsidRDefault="00872F7F" w:rsidP="00CE1EC4">
      <w:pPr>
        <w:pStyle w:val="Title"/>
        <w:spacing w:before="0" w:after="240"/>
        <w:rPr>
          <w:rFonts w:ascii="Arial Bold" w:hAnsi="Arial Bold"/>
          <w:caps/>
          <w:kern w:val="0"/>
          <w:sz w:val="24"/>
          <w:szCs w:val="24"/>
          <w:highlight w:val="yellow"/>
          <w:lang w:eastAsia="en-US"/>
        </w:rPr>
      </w:pPr>
      <w:r w:rsidRPr="003F61FF">
        <w:rPr>
          <w:rFonts w:ascii="Arial Bold" w:hAnsi="Arial Bold"/>
          <w:caps/>
          <w:kern w:val="0"/>
          <w:sz w:val="24"/>
          <w:szCs w:val="24"/>
          <w:lang w:eastAsia="en-US"/>
        </w:rPr>
        <w:t>Technology Assessment Report commissioned by the NIHR HTA Programme on behalf of the National Institute for</w:t>
      </w:r>
      <w:r w:rsidR="007E357E">
        <w:rPr>
          <w:rFonts w:ascii="Arial Bold" w:hAnsi="Arial Bold"/>
          <w:caps/>
          <w:kern w:val="0"/>
          <w:sz w:val="24"/>
          <w:szCs w:val="24"/>
          <w:lang w:eastAsia="en-US"/>
        </w:rPr>
        <w:t xml:space="preserve"> Health and Clinical Excellence</w:t>
      </w:r>
    </w:p>
    <w:p w:rsidR="008A1221" w:rsidRPr="008A1221" w:rsidRDefault="008A1221" w:rsidP="007E357E">
      <w:pPr>
        <w:spacing w:after="240"/>
        <w:jc w:val="center"/>
        <w:rPr>
          <w:rFonts w:ascii="Arial Bold" w:hAnsi="Arial Bold"/>
          <w:b/>
          <w:bCs/>
          <w:caps/>
          <w:lang w:eastAsia="en-US"/>
        </w:rPr>
      </w:pPr>
      <w:r w:rsidRPr="008A1221">
        <w:rPr>
          <w:rFonts w:ascii="Arial Bold" w:hAnsi="Arial Bold"/>
          <w:b/>
          <w:bCs/>
          <w:caps/>
          <w:lang w:eastAsia="en-US"/>
        </w:rPr>
        <w:t>final protocol</w:t>
      </w:r>
    </w:p>
    <w:p w:rsidR="00872F7F" w:rsidRPr="008A1221" w:rsidRDefault="008A1221" w:rsidP="00E80AD8">
      <w:pPr>
        <w:pStyle w:val="BMJnormal"/>
        <w:tabs>
          <w:tab w:val="left" w:pos="3629"/>
        </w:tabs>
      </w:pPr>
      <w:r w:rsidRPr="008D30BA">
        <w:rPr>
          <w:b/>
        </w:rPr>
        <w:t>D</w:t>
      </w:r>
      <w:r w:rsidR="00872F7F" w:rsidRPr="008D30BA">
        <w:rPr>
          <w:b/>
        </w:rPr>
        <w:t>ate</w:t>
      </w:r>
      <w:r w:rsidR="008D30BA">
        <w:t xml:space="preserve">: </w:t>
      </w:r>
      <w:r w:rsidR="00790B49">
        <w:t>15/12/2015</w:t>
      </w:r>
      <w:bookmarkStart w:id="0" w:name="_GoBack"/>
      <w:bookmarkEnd w:id="0"/>
    </w:p>
    <w:p w:rsidR="00872F7F" w:rsidRPr="00E80AD8" w:rsidRDefault="00872F7F" w:rsidP="00881299">
      <w:pPr>
        <w:pStyle w:val="Heading1"/>
      </w:pPr>
      <w:bookmarkStart w:id="1" w:name="_Toc332009909"/>
      <w:r w:rsidRPr="00E80AD8">
        <w:t>Title of the project</w:t>
      </w:r>
      <w:bookmarkEnd w:id="1"/>
    </w:p>
    <w:p w:rsidR="00901F85" w:rsidRPr="00BD348A" w:rsidRDefault="00DE6379" w:rsidP="00901F85">
      <w:pPr>
        <w:pStyle w:val="BMJnormal"/>
      </w:pPr>
      <w:proofErr w:type="spellStart"/>
      <w:r>
        <w:t>Axitinib</w:t>
      </w:r>
      <w:proofErr w:type="spellEnd"/>
      <w:r>
        <w:t xml:space="preserve">, </w:t>
      </w:r>
      <w:proofErr w:type="spellStart"/>
      <w:r>
        <w:t>everolimus</w:t>
      </w:r>
      <w:proofErr w:type="spellEnd"/>
      <w:r>
        <w:t xml:space="preserve">, </w:t>
      </w:r>
      <w:proofErr w:type="spellStart"/>
      <w:r>
        <w:t>sorafenib</w:t>
      </w:r>
      <w:proofErr w:type="spellEnd"/>
      <w:r>
        <w:t xml:space="preserve"> and </w:t>
      </w:r>
      <w:proofErr w:type="spellStart"/>
      <w:r>
        <w:t>sunitinib</w:t>
      </w:r>
      <w:proofErr w:type="spellEnd"/>
      <w:r>
        <w:t xml:space="preserve"> for treated advanced or metastatic renal cell carcinoma. </w:t>
      </w:r>
    </w:p>
    <w:p w:rsidR="00872F7F" w:rsidRPr="00872F7F" w:rsidRDefault="00872F7F" w:rsidP="00917A06">
      <w:pPr>
        <w:pStyle w:val="Heading1"/>
        <w:ind w:left="431" w:hanging="431"/>
      </w:pPr>
      <w:r w:rsidRPr="00872F7F">
        <w:t xml:space="preserve">TAR team and </w:t>
      </w:r>
      <w:r w:rsidR="00EE4B9E">
        <w:t xml:space="preserve">project </w:t>
      </w:r>
      <w:r w:rsidRPr="00872F7F">
        <w:t>‘lead’</w:t>
      </w:r>
    </w:p>
    <w:p w:rsidR="0077276F" w:rsidRPr="0077276F" w:rsidRDefault="0077276F" w:rsidP="002C7DD9">
      <w:pPr>
        <w:pStyle w:val="BMJnormal"/>
        <w:spacing w:after="120" w:line="288" w:lineRule="auto"/>
      </w:pPr>
      <w:r w:rsidRPr="0077276F">
        <w:t>BMJ-Techno</w:t>
      </w:r>
      <w:r w:rsidR="00867F20">
        <w:t>logy Assessment Group (BMJ-TAG)</w:t>
      </w:r>
    </w:p>
    <w:p w:rsidR="0077276F" w:rsidRPr="0077276F" w:rsidRDefault="00867F20" w:rsidP="002C7DD9">
      <w:pPr>
        <w:pStyle w:val="BMJnormal"/>
        <w:spacing w:after="120" w:line="288" w:lineRule="auto"/>
      </w:pPr>
      <w:r>
        <w:t>BMA House</w:t>
      </w:r>
    </w:p>
    <w:p w:rsidR="0077276F" w:rsidRPr="0077276F" w:rsidRDefault="00867F20" w:rsidP="002C7DD9">
      <w:pPr>
        <w:pStyle w:val="BMJnormal"/>
        <w:spacing w:after="120" w:line="288" w:lineRule="auto"/>
      </w:pPr>
      <w:r>
        <w:t>Tavistock Square</w:t>
      </w:r>
    </w:p>
    <w:p w:rsidR="0077276F" w:rsidRPr="0077276F" w:rsidRDefault="00867F20" w:rsidP="002C7DD9">
      <w:pPr>
        <w:pStyle w:val="BMJnormal"/>
        <w:spacing w:after="120" w:line="288" w:lineRule="auto"/>
      </w:pPr>
      <w:r>
        <w:t>London</w:t>
      </w:r>
    </w:p>
    <w:p w:rsidR="0077276F" w:rsidRDefault="00867F20" w:rsidP="002C7DD9">
      <w:pPr>
        <w:pStyle w:val="BMJnormal"/>
        <w:spacing w:after="120" w:line="288" w:lineRule="auto"/>
      </w:pPr>
      <w:r>
        <w:t>WC1H 9JP</w:t>
      </w:r>
    </w:p>
    <w:p w:rsidR="002C7DD9" w:rsidRDefault="002C7DD9" w:rsidP="002C7DD9">
      <w:pPr>
        <w:pStyle w:val="BMJnormal"/>
        <w:spacing w:after="120" w:line="288" w:lineRule="auto"/>
      </w:pPr>
      <w:r w:rsidRPr="0056144A">
        <w:t>Telephone</w:t>
      </w:r>
      <w:r>
        <w:t>: +44 (0) 20 7383 7030</w:t>
      </w:r>
    </w:p>
    <w:p w:rsidR="002C7DD9" w:rsidRDefault="002C7DD9" w:rsidP="0056144A">
      <w:pPr>
        <w:pStyle w:val="BMJnormal"/>
      </w:pPr>
      <w:r w:rsidRPr="0056144A">
        <w:t>Email</w:t>
      </w:r>
      <w:r>
        <w:t>: bmjtag@bmj.com</w:t>
      </w:r>
    </w:p>
    <w:p w:rsidR="00872F7F" w:rsidRPr="0096187E" w:rsidRDefault="0056144A" w:rsidP="00D51BD6">
      <w:pPr>
        <w:pStyle w:val="BMJnormal"/>
        <w:rPr>
          <w:b/>
        </w:rPr>
      </w:pPr>
      <w:r w:rsidRPr="0096187E">
        <w:rPr>
          <w:b/>
        </w:rPr>
        <w:t xml:space="preserve">Lead: </w:t>
      </w:r>
      <w:r w:rsidR="008F70C6">
        <w:rPr>
          <w:b/>
        </w:rPr>
        <w:t>Steve Edwards, Head of Clinical and Economic Evidence</w:t>
      </w:r>
      <w:r w:rsidR="00DE0F3E" w:rsidRPr="0096187E">
        <w:rPr>
          <w:b/>
        </w:rPr>
        <w:t xml:space="preserve"> </w:t>
      </w:r>
    </w:p>
    <w:p w:rsidR="0056144A" w:rsidRPr="0096187E" w:rsidRDefault="0056144A" w:rsidP="0056144A">
      <w:pPr>
        <w:pStyle w:val="BMJnormal"/>
        <w:spacing w:after="120" w:line="288" w:lineRule="auto"/>
      </w:pPr>
      <w:r w:rsidRPr="0096187E">
        <w:t>Telephone:</w:t>
      </w:r>
      <w:r w:rsidR="00DE0F3E" w:rsidRPr="0096187E">
        <w:t xml:space="preserve"> +44 (0) </w:t>
      </w:r>
      <w:r w:rsidR="008F70C6" w:rsidRPr="008F70C6">
        <w:t>776 823 7218</w:t>
      </w:r>
    </w:p>
    <w:p w:rsidR="0056144A" w:rsidRDefault="0056144A" w:rsidP="0056144A">
      <w:pPr>
        <w:pStyle w:val="BMJnormal"/>
      </w:pPr>
      <w:r w:rsidRPr="0096187E">
        <w:t xml:space="preserve">Email: </w:t>
      </w:r>
      <w:r w:rsidR="008F70C6" w:rsidRPr="008F70C6">
        <w:rPr>
          <w:rStyle w:val="ecxblockemailwithname"/>
        </w:rPr>
        <w:t>sedwards@bmj.com</w:t>
      </w:r>
    </w:p>
    <w:p w:rsidR="00872F7F" w:rsidRPr="006B2E3F" w:rsidRDefault="00872F7F" w:rsidP="00D51BD6">
      <w:pPr>
        <w:pStyle w:val="Heading1"/>
      </w:pPr>
      <w:r w:rsidRPr="006B2E3F">
        <w:t>Plain English Summary</w:t>
      </w:r>
      <w:r w:rsidR="00D330F8">
        <w:t xml:space="preserve"> </w:t>
      </w:r>
    </w:p>
    <w:p w:rsidR="00503E03" w:rsidRDefault="00E21D0D" w:rsidP="004179E3">
      <w:pPr>
        <w:pStyle w:val="BMJNormal0"/>
      </w:pPr>
      <w:r>
        <w:t xml:space="preserve">In </w:t>
      </w:r>
      <w:r w:rsidR="001D6DE9">
        <w:t>2012</w:t>
      </w:r>
      <w:r>
        <w:t xml:space="preserve"> kidney cancer was the eighth most common cancer in the UK, accounting for 3% of all new cases</w:t>
      </w:r>
      <w:r w:rsidR="00533346">
        <w:t>.</w:t>
      </w:r>
      <w:r w:rsidR="009304C3" w:rsidRPr="00533346">
        <w:rPr>
          <w:vertAlign w:val="superscript"/>
        </w:rPr>
        <w:fldChar w:fldCharType="begin"/>
      </w:r>
      <w:r w:rsidR="00960313">
        <w:rPr>
          <w:vertAlign w:val="superscript"/>
        </w:rPr>
        <w:instrText xml:space="preserve"> ADDIN EN.CITE &lt;EndNote&gt;&lt;Cite&gt;&lt;Author&gt;Cancer Research UK&lt;/Author&gt;&lt;RecNum&gt;4946&lt;/RecNum&gt;&lt;DisplayText&gt;(1)&lt;/DisplayText&gt;&lt;record&gt;&lt;rec-number&gt;4946&lt;/rec-number&gt;&lt;foreign-keys&gt;&lt;key app="EN" db-id="f2zd9vv2gsxse8ed0f5vdr57sz05f92pd5tx" timestamp="1449057881"&gt;4946&lt;/key&gt;&lt;/foreign-keys&gt;&lt;ref-type name="Journal Article"&gt;17&lt;/ref-type&gt;&lt;contributors&gt;&lt;authors&gt;&lt;author&gt;Cancer Research UK,&lt;/author&gt;&lt;/authors&gt;&lt;/contributors&gt;&lt;titles&gt;&lt;title&gt;Kidney cancer incidence statistics&lt;/title&gt;&lt;secondary-title&gt;Available at http://www.cancerresearchuk.org/about-cancer/type/kidney-cancer/treatment/statistics-and-outlook-for-kidney-cancer [Accessed 02/12/15]&lt;/secondary-title&gt;&lt;/titles&gt;&lt;periodical&gt;&lt;full-title&gt;Available at http://www.cancerresearchuk.org/about-cancer/type/kidney-cancer/treatment/statistics-and-outlook-for-kidney-cancer [Accessed 02/12/15]&lt;/full-title&gt;&lt;/periodical&gt;&lt;dates&gt;&lt;/dates&gt;&lt;urls&gt;&lt;/urls&gt;&lt;/record&gt;&lt;/Cite&gt;&lt;/EndNote&gt;</w:instrText>
      </w:r>
      <w:r w:rsidR="009304C3" w:rsidRPr="00533346">
        <w:rPr>
          <w:vertAlign w:val="superscript"/>
        </w:rPr>
        <w:fldChar w:fldCharType="separate"/>
      </w:r>
      <w:r w:rsidR="00024642" w:rsidRPr="00533346">
        <w:rPr>
          <w:noProof/>
          <w:vertAlign w:val="superscript"/>
        </w:rPr>
        <w:t>(1)</w:t>
      </w:r>
      <w:r w:rsidR="009304C3" w:rsidRPr="00533346">
        <w:rPr>
          <w:vertAlign w:val="superscript"/>
        </w:rPr>
        <w:fldChar w:fldCharType="end"/>
      </w:r>
      <w:r>
        <w:t xml:space="preserve"> Around 75% of people diagnosed with kidney cancer ar</w:t>
      </w:r>
      <w:r w:rsidR="00862151">
        <w:t>e over 60 years old, while</w:t>
      </w:r>
      <w:r w:rsidR="001D6DE9">
        <w:t xml:space="preserve"> this </w:t>
      </w:r>
      <w:r>
        <w:t>condition</w:t>
      </w:r>
      <w:r w:rsidR="001D6DE9">
        <w:t xml:space="preserve"> is rare</w:t>
      </w:r>
      <w:r>
        <w:t xml:space="preserve"> in people under 50</w:t>
      </w:r>
      <w:r w:rsidR="00533346">
        <w:t>.</w:t>
      </w:r>
      <w:r w:rsidR="009304C3" w:rsidRPr="00533346">
        <w:rPr>
          <w:vertAlign w:val="superscript"/>
        </w:rPr>
        <w:fldChar w:fldCharType="begin"/>
      </w:r>
      <w:r w:rsidR="00960313">
        <w:rPr>
          <w:vertAlign w:val="superscript"/>
        </w:rPr>
        <w:instrText xml:space="preserve"> ADDIN EN.CITE &lt;EndNote&gt;&lt;Cite&gt;&lt;Author&gt;Cancer Research UK&lt;/Author&gt;&lt;RecNum&gt;7356&lt;/RecNum&gt;&lt;DisplayText&gt;(2)&lt;/DisplayText&gt;&lt;record&gt;&lt;rec-number&gt;7356&lt;/rec-number&gt;&lt;foreign-keys&gt;&lt;key app="EN" db-id="f2zd9vv2gsxse8ed0f5vdr57sz05f92pd5tx" timestamp="1452161919"&gt;7356&lt;/key&gt;&lt;/foreign-keys&gt;&lt;ref-type name="Journal Article"&gt;17&lt;/ref-type&gt;&lt;contributors&gt;&lt;authors&gt;&lt;author&gt;Cancer Research UK,&lt;/author&gt;&lt;/authors&gt;&lt;/contributors&gt;&lt;titles&gt;&lt;title&gt;Risks and causes of kidney cancer&lt;/title&gt;&lt;secondary-title&gt;Available at http://www.cancerresearchuk.org/about-cancer/type/kidney-cancer/about/risks-and-causes-of-kidney-cancer. [Accessedd 17/12/2015]&lt;/secondary-title&gt;&lt;/titles&gt;&lt;periodical&gt;&lt;full-title&gt;Available at http://www.cancerresearchuk.org/about-cancer/type/kidney-cancer/about/risks-and-causes-of-kidney-cancer. [Accessedd 17/12/2015]&lt;/full-title&gt;&lt;/periodical&gt;&lt;dates&gt;&lt;/dates&gt;&lt;urls&gt;&lt;/urls&gt;&lt;/record&gt;&lt;/Cite&gt;&lt;/EndNote&gt;</w:instrText>
      </w:r>
      <w:r w:rsidR="009304C3" w:rsidRPr="00533346">
        <w:rPr>
          <w:vertAlign w:val="superscript"/>
        </w:rPr>
        <w:fldChar w:fldCharType="separate"/>
      </w:r>
      <w:r w:rsidR="00024642" w:rsidRPr="00533346">
        <w:rPr>
          <w:noProof/>
          <w:vertAlign w:val="superscript"/>
        </w:rPr>
        <w:t>(2)</w:t>
      </w:r>
      <w:r w:rsidR="009304C3" w:rsidRPr="00533346">
        <w:rPr>
          <w:vertAlign w:val="superscript"/>
        </w:rPr>
        <w:fldChar w:fldCharType="end"/>
      </w:r>
      <w:r w:rsidR="0081792B">
        <w:t xml:space="preserve"> </w:t>
      </w:r>
      <w:r>
        <w:t>Renal cell carcinoma (RCC) is the most common type of kidney cancer, with over 80% of kidney cancer cases diagnosed as RCC in the UK</w:t>
      </w:r>
      <w:r w:rsidR="00533346">
        <w:t>.</w:t>
      </w:r>
      <w:r w:rsidR="009304C3" w:rsidRPr="00533346">
        <w:rPr>
          <w:vertAlign w:val="superscript"/>
        </w:rPr>
        <w:fldChar w:fldCharType="begin"/>
      </w:r>
      <w:r w:rsidR="00BD2D69" w:rsidRPr="00533346">
        <w:rPr>
          <w:vertAlign w:val="superscript"/>
        </w:rPr>
        <w:instrText xml:space="preserve"> ADDIN EN.CITE &lt;EndNote&gt;&lt;Cite&gt;&lt;Author&gt;National Cancer Intelligence Network (NCIN)&lt;/Author&gt;&lt;RecNum&gt;7357&lt;/RecNum&gt;&lt;DisplayText&gt;(3)&lt;/DisplayText&gt;&lt;record&gt;&lt;rec-number&gt;7357&lt;/rec-number&gt;&lt;foreign-keys&gt;&lt;key app="EN" db-id="f2zd9vv2gsxse8ed0f5vdr57sz05f92pd5tx" timestamp="1452162549"&gt;7357&lt;/key&gt;&lt;/foreign-keys&gt;&lt;ref-type name="Journal Article"&gt;17&lt;/ref-type&gt;&lt;contributors&gt;&lt;authors&gt;&lt;author&gt;National Cancer Intelligence Network (NCIN),&lt;/author&gt;&lt;/authors&gt;&lt;/contributors&gt;&lt;titles&gt;&lt;title&gt;Kidney Cancer: Survival Report&lt;/title&gt;&lt;secondary-title&gt;Available at file:///C:/Private/Downloads/Kidney_cancer_survival_report_April_2014%20(1).pdf [Accessed 17/12/2015]&lt;/secondary-title&gt;&lt;/titles&gt;&lt;periodical&gt;&lt;full-title&gt;Available at file:///C:/Private/Downloads/Kidney_cancer_survival_report_April_2014%20(1).pdf [Accessed 17/12/2015]&lt;/full-title&gt;&lt;/periodical&gt;&lt;dates&gt;&lt;/dates&gt;&lt;urls&gt;&lt;/urls&gt;&lt;/record&gt;&lt;/Cite&gt;&lt;/EndNote&gt;</w:instrText>
      </w:r>
      <w:r w:rsidR="009304C3" w:rsidRPr="00533346">
        <w:rPr>
          <w:vertAlign w:val="superscript"/>
        </w:rPr>
        <w:fldChar w:fldCharType="separate"/>
      </w:r>
      <w:r w:rsidR="00BD2D69" w:rsidRPr="00533346">
        <w:rPr>
          <w:noProof/>
          <w:vertAlign w:val="superscript"/>
        </w:rPr>
        <w:t>(3)</w:t>
      </w:r>
      <w:r w:rsidR="009304C3" w:rsidRPr="00533346">
        <w:rPr>
          <w:vertAlign w:val="superscript"/>
        </w:rPr>
        <w:fldChar w:fldCharType="end"/>
      </w:r>
      <w:r>
        <w:t xml:space="preserve"> </w:t>
      </w:r>
      <w:r w:rsidR="00AF56E3">
        <w:t xml:space="preserve">Around 40% of people diagnosed with RCC are stage 1. This means that the tumour is contained entirely within </w:t>
      </w:r>
      <w:r w:rsidR="00862151">
        <w:t>the kidney and the prognosis</w:t>
      </w:r>
      <w:r w:rsidR="00E52E71">
        <w:t xml:space="preserve"> is generally good with 80% of stage 1 RCC patients surviving for 5 years or more after diagnosis</w:t>
      </w:r>
      <w:r w:rsidR="00533346">
        <w:t>.</w:t>
      </w:r>
      <w:r w:rsidR="009304C3" w:rsidRPr="00533346">
        <w:rPr>
          <w:vertAlign w:val="superscript"/>
        </w:rPr>
        <w:fldChar w:fldCharType="begin"/>
      </w:r>
      <w:r w:rsidR="00960313">
        <w:rPr>
          <w:vertAlign w:val="superscript"/>
        </w:rPr>
        <w:instrText xml:space="preserve"> ADDIN EN.CITE &lt;EndNote&gt;&lt;Cite&gt;&lt;Author&gt;Cancer Research UK&lt;/Author&gt;&lt;RecNum&gt;4946&lt;/RecNum&gt;&lt;DisplayText&gt;(1)&lt;/DisplayText&gt;&lt;record&gt;&lt;rec-number&gt;4946&lt;/rec-number&gt;&lt;foreign-keys&gt;&lt;key app="EN" db-id="f2zd9vv2gsxse8ed0f5vdr57sz05f92pd5tx" timestamp="1449057881"&gt;4946&lt;/key&gt;&lt;/foreign-keys&gt;&lt;ref-type name="Journal Article"&gt;17&lt;/ref-type&gt;&lt;contributors&gt;&lt;authors&gt;&lt;author&gt;Cancer Research UK,&lt;/author&gt;&lt;/authors&gt;&lt;/contributors&gt;&lt;titles&gt;&lt;title&gt;Kidney cancer incidence statistics&lt;/title&gt;&lt;secondary-title&gt;Available at http://www.cancerresearchuk.org/about-cancer/type/kidney-cancer/treatment/statistics-and-outlook-for-kidney-cancer [Accessed 02/12/15]&lt;/secondary-title&gt;&lt;/titles&gt;&lt;periodical&gt;&lt;full-title&gt;Available at http://www.cancerresearchuk.org/about-cancer/type/kidney-cancer/treatment/statistics-and-outlook-for-kidney-cancer [Accessed 02/12/15]&lt;/full-title&gt;&lt;/periodical&gt;&lt;dates&gt;&lt;/dates&gt;&lt;urls&gt;&lt;/urls&gt;&lt;/record&gt;&lt;/Cite&gt;&lt;/EndNote&gt;</w:instrText>
      </w:r>
      <w:r w:rsidR="009304C3" w:rsidRPr="00533346">
        <w:rPr>
          <w:vertAlign w:val="superscript"/>
        </w:rPr>
        <w:fldChar w:fldCharType="separate"/>
      </w:r>
      <w:r w:rsidR="00BD2D69" w:rsidRPr="00533346">
        <w:rPr>
          <w:noProof/>
          <w:vertAlign w:val="superscript"/>
        </w:rPr>
        <w:t>(1)</w:t>
      </w:r>
      <w:r w:rsidR="009304C3" w:rsidRPr="00533346">
        <w:rPr>
          <w:vertAlign w:val="superscript"/>
        </w:rPr>
        <w:fldChar w:fldCharType="end"/>
      </w:r>
      <w:r w:rsidR="00E52E71">
        <w:t xml:space="preserve"> </w:t>
      </w:r>
      <w:r w:rsidR="00862151">
        <w:t>Most</w:t>
      </w:r>
      <w:r w:rsidR="00E52E71">
        <w:t xml:space="preserve"> patients have more advanced RCC</w:t>
      </w:r>
      <w:r w:rsidR="00697FF0">
        <w:t xml:space="preserve"> at diagnosis</w:t>
      </w:r>
      <w:r w:rsidR="00E52E71">
        <w:t>, with 25% of patients being diagnosed stage 3 and 20% of patients having stage 4 disease</w:t>
      </w:r>
      <w:r w:rsidR="00533346">
        <w:t>.</w:t>
      </w:r>
      <w:r w:rsidR="009304C3" w:rsidRPr="00533346">
        <w:rPr>
          <w:vertAlign w:val="superscript"/>
        </w:rPr>
        <w:fldChar w:fldCharType="begin"/>
      </w:r>
      <w:r w:rsidR="00960313">
        <w:rPr>
          <w:vertAlign w:val="superscript"/>
        </w:rPr>
        <w:instrText xml:space="preserve"> ADDIN EN.CITE &lt;EndNote&gt;&lt;Cite&gt;&lt;Author&gt;Cancer Research UK&lt;/Author&gt;&lt;RecNum&gt;4946&lt;/RecNum&gt;&lt;DisplayText&gt;(1)&lt;/DisplayText&gt;&lt;record&gt;&lt;rec-number&gt;4946&lt;/rec-number&gt;&lt;foreign-keys&gt;&lt;key app="EN" db-id="f2zd9vv2gsxse8ed0f5vdr57sz05f92pd5tx" timestamp="1449057881"&gt;4946&lt;/key&gt;&lt;/foreign-keys&gt;&lt;ref-type name="Journal Article"&gt;17&lt;/ref-type&gt;&lt;contributors&gt;&lt;authors&gt;&lt;author&gt;Cancer Research UK,&lt;/author&gt;&lt;/authors&gt;&lt;/contributors&gt;&lt;titles&gt;&lt;title&gt;Kidney cancer incidence statistics&lt;/title&gt;&lt;secondary-title&gt;Available at http://www.cancerresearchuk.org/about-cancer/type/kidney-cancer/treatment/statistics-and-outlook-for-kidney-cancer [Accessed 02/12/15]&lt;/secondary-title&gt;&lt;/titles&gt;&lt;periodical&gt;&lt;full-title&gt;Available at http://www.cancerresearchuk.org/about-cancer/type/kidney-cancer/treatment/statistics-and-outlook-for-kidney-cancer [Accessed 02/12/15]&lt;/full-title&gt;&lt;/periodical&gt;&lt;dates&gt;&lt;/dates&gt;&lt;urls&gt;&lt;/urls&gt;&lt;/record&gt;&lt;/Cite&gt;&lt;/EndNote&gt;</w:instrText>
      </w:r>
      <w:r w:rsidR="009304C3" w:rsidRPr="00533346">
        <w:rPr>
          <w:vertAlign w:val="superscript"/>
        </w:rPr>
        <w:fldChar w:fldCharType="separate"/>
      </w:r>
      <w:r w:rsidR="00BD2D69" w:rsidRPr="00533346">
        <w:rPr>
          <w:noProof/>
          <w:vertAlign w:val="superscript"/>
        </w:rPr>
        <w:t>(1)</w:t>
      </w:r>
      <w:r w:rsidR="009304C3" w:rsidRPr="00533346">
        <w:rPr>
          <w:vertAlign w:val="superscript"/>
        </w:rPr>
        <w:fldChar w:fldCharType="end"/>
      </w:r>
      <w:r w:rsidR="00E52E71">
        <w:t xml:space="preserve"> In stage 3 and stage 4 of RCC the cancer cells have spread to a lymph node</w:t>
      </w:r>
      <w:r w:rsidR="003E23F0">
        <w:t xml:space="preserve"> (advanced disease)</w:t>
      </w:r>
      <w:r w:rsidR="00E52E71">
        <w:t xml:space="preserve"> or </w:t>
      </w:r>
      <w:r w:rsidR="00862151">
        <w:t xml:space="preserve">to </w:t>
      </w:r>
      <w:r w:rsidR="00E52E71">
        <w:t>the tissues around the kidney and may have spread to other organs in the body (metastatic disease)</w:t>
      </w:r>
      <w:r w:rsidR="00533346">
        <w:t>.</w:t>
      </w:r>
      <w:r w:rsidR="009304C3" w:rsidRPr="00533346">
        <w:rPr>
          <w:vertAlign w:val="superscript"/>
        </w:rPr>
        <w:fldChar w:fldCharType="begin"/>
      </w:r>
      <w:r w:rsidR="00960313">
        <w:rPr>
          <w:vertAlign w:val="superscript"/>
        </w:rPr>
        <w:instrText xml:space="preserve"> ADDIN EN.CITE &lt;EndNote&gt;&lt;Cite&gt;&lt;Author&gt;Cancer Research UK&lt;/Author&gt;&lt;RecNum&gt;4946&lt;/RecNum&gt;&lt;DisplayText&gt;(1)&lt;/DisplayText&gt;&lt;record&gt;&lt;rec-number&gt;4946&lt;/rec-number&gt;&lt;foreign-keys&gt;&lt;key app="EN" db-id="f2zd9vv2gsxse8ed0f5vdr57sz05f92pd5tx" timestamp="1449057881"&gt;4946&lt;/key&gt;&lt;/foreign-keys&gt;&lt;ref-type name="Journal Article"&gt;17&lt;/ref-type&gt;&lt;contributors&gt;&lt;authors&gt;&lt;author&gt;Cancer Research UK,&lt;/author&gt;&lt;/authors&gt;&lt;/contributors&gt;&lt;titles&gt;&lt;title&gt;Kidney cancer incidence statistics&lt;/title&gt;&lt;secondary-title&gt;Available at http://www.cancerresearchuk.org/about-cancer/type/kidney-cancer/treatment/statistics-and-outlook-for-kidney-cancer [Accessed 02/12/15]&lt;/secondary-title&gt;&lt;/titles&gt;&lt;periodical&gt;&lt;full-title&gt;Available at http://www.cancerresearchuk.org/about-cancer/type/kidney-cancer/treatment/statistics-and-outlook-for-kidney-cancer [Accessed 02/12/15]&lt;/full-title&gt;&lt;/periodical&gt;&lt;dates&gt;&lt;/dates&gt;&lt;urls&gt;&lt;/urls&gt;&lt;/record&gt;&lt;/Cite&gt;&lt;/EndNote&gt;</w:instrText>
      </w:r>
      <w:r w:rsidR="009304C3" w:rsidRPr="00533346">
        <w:rPr>
          <w:vertAlign w:val="superscript"/>
        </w:rPr>
        <w:fldChar w:fldCharType="separate"/>
      </w:r>
      <w:r w:rsidR="00F57F89" w:rsidRPr="00533346">
        <w:rPr>
          <w:noProof/>
          <w:vertAlign w:val="superscript"/>
        </w:rPr>
        <w:t>(1)</w:t>
      </w:r>
      <w:r w:rsidR="009304C3" w:rsidRPr="00533346">
        <w:rPr>
          <w:vertAlign w:val="superscript"/>
        </w:rPr>
        <w:fldChar w:fldCharType="end"/>
      </w:r>
      <w:r w:rsidR="003E23F0">
        <w:t xml:space="preserve"> If the cancer has spread out of the kidney a </w:t>
      </w:r>
      <w:r w:rsidR="003E23F0">
        <w:lastRenderedPageBreak/>
        <w:t>complete cure may not be possible, and the goal of treatment regimens is to slow the cancer’s progression and treat symptoms</w:t>
      </w:r>
      <w:r w:rsidR="00533346">
        <w:t>.</w:t>
      </w:r>
      <w:r w:rsidR="009304C3" w:rsidRPr="00533346">
        <w:rPr>
          <w:vertAlign w:val="superscript"/>
        </w:rPr>
        <w:fldChar w:fldCharType="begin"/>
      </w:r>
      <w:r w:rsidR="00960313">
        <w:rPr>
          <w:vertAlign w:val="superscript"/>
        </w:rPr>
        <w:instrText xml:space="preserve"> ADDIN EN.CITE &lt;EndNote&gt;&lt;Cite&gt;&lt;Author&gt;NHS Choices&lt;/Author&gt;&lt;RecNum&gt;7358&lt;/RecNum&gt;&lt;DisplayText&gt;(4)&lt;/DisplayText&gt;&lt;record&gt;&lt;rec-number&gt;7358&lt;/rec-number&gt;&lt;foreign-keys&gt;&lt;key app="EN" db-id="f2zd9vv2gsxse8ed0f5vdr57sz05f92pd5tx" timestamp="1452163037"&gt;7358&lt;/key&gt;&lt;/foreign-keys&gt;&lt;ref-type name="Journal Article"&gt;17&lt;/ref-type&gt;&lt;contributors&gt;&lt;authors&gt;&lt;author&gt;NHS Choices,&lt;/author&gt;&lt;/authors&gt;&lt;/contributors&gt;&lt;titles&gt;&lt;title&gt;Kidney cancer - Treatment&lt;/title&gt;&lt;secondary-title&gt;Available at http://www.nhs.uk/Conditions/Cancer-of-the-kidney/Pages/Treatment.aspx [Accessed 17/12/2015]&lt;/secondary-title&gt;&lt;/titles&gt;&lt;periodical&gt;&lt;full-title&gt;Available at http://www.nhs.uk/Conditions/Cancer-of-the-kidney/Pages/Treatment.aspx [Accessed 17/12/2015]&lt;/full-title&gt;&lt;/periodical&gt;&lt;dates&gt;&lt;/dates&gt;&lt;urls&gt;&lt;/urls&gt;&lt;/record&gt;&lt;/Cite&gt;&lt;/EndNote&gt;</w:instrText>
      </w:r>
      <w:r w:rsidR="009304C3" w:rsidRPr="00533346">
        <w:rPr>
          <w:vertAlign w:val="superscript"/>
        </w:rPr>
        <w:fldChar w:fldCharType="separate"/>
      </w:r>
      <w:r w:rsidR="00F57F89" w:rsidRPr="00533346">
        <w:rPr>
          <w:noProof/>
          <w:vertAlign w:val="superscript"/>
        </w:rPr>
        <w:t>(4)</w:t>
      </w:r>
      <w:r w:rsidR="009304C3" w:rsidRPr="00533346">
        <w:rPr>
          <w:vertAlign w:val="superscript"/>
        </w:rPr>
        <w:fldChar w:fldCharType="end"/>
      </w:r>
      <w:r w:rsidR="003E23F0">
        <w:t xml:space="preserve"> </w:t>
      </w:r>
      <w:r w:rsidR="00503E03">
        <w:t>Approximately 60% of patients with stage 3 RCC will survive for 5 years or more after diagnosis, while only around 5% of patients with stage 4 disease will survive for 5 years or more after diagnosis</w:t>
      </w:r>
      <w:r w:rsidR="00533346">
        <w:t>.</w:t>
      </w:r>
      <w:r w:rsidR="009304C3" w:rsidRPr="00533346">
        <w:rPr>
          <w:vertAlign w:val="superscript"/>
        </w:rPr>
        <w:fldChar w:fldCharType="begin"/>
      </w:r>
      <w:r w:rsidR="00960313">
        <w:rPr>
          <w:vertAlign w:val="superscript"/>
        </w:rPr>
        <w:instrText xml:space="preserve"> ADDIN EN.CITE &lt;EndNote&gt;&lt;Cite&gt;&lt;Author&gt;Cancer Research UK&lt;/Author&gt;&lt;RecNum&gt;4946&lt;/RecNum&gt;&lt;DisplayText&gt;(1)&lt;/DisplayText&gt;&lt;record&gt;&lt;rec-number&gt;4946&lt;/rec-number&gt;&lt;foreign-keys&gt;&lt;key app="EN" db-id="f2zd9vv2gsxse8ed0f5vdr57sz05f92pd5tx" timestamp="1449057881"&gt;4946&lt;/key&gt;&lt;/foreign-keys&gt;&lt;ref-type name="Journal Article"&gt;17&lt;/ref-type&gt;&lt;contributors&gt;&lt;authors&gt;&lt;author&gt;Cancer Research UK,&lt;/author&gt;&lt;/authors&gt;&lt;/contributors&gt;&lt;titles&gt;&lt;title&gt;Kidney cancer incidence statistics&lt;/title&gt;&lt;secondary-title&gt;Available at http://www.cancerresearchuk.org/about-cancer/type/kidney-cancer/treatment/statistics-and-outlook-for-kidney-cancer [Accessed 02/12/15]&lt;/secondary-title&gt;&lt;/titles&gt;&lt;periodical&gt;&lt;full-title&gt;Available at http://www.cancerresearchuk.org/about-cancer/type/kidney-cancer/treatment/statistics-and-outlook-for-kidney-cancer [Accessed 02/12/15]&lt;/full-title&gt;&lt;/periodical&gt;&lt;dates&gt;&lt;/dates&gt;&lt;urls&gt;&lt;/urls&gt;&lt;/record&gt;&lt;/Cite&gt;&lt;/EndNote&gt;</w:instrText>
      </w:r>
      <w:r w:rsidR="009304C3" w:rsidRPr="00533346">
        <w:rPr>
          <w:vertAlign w:val="superscript"/>
        </w:rPr>
        <w:fldChar w:fldCharType="separate"/>
      </w:r>
      <w:r w:rsidR="00794062" w:rsidRPr="00533346">
        <w:rPr>
          <w:noProof/>
          <w:vertAlign w:val="superscript"/>
        </w:rPr>
        <w:t>(1)</w:t>
      </w:r>
      <w:r w:rsidR="009304C3" w:rsidRPr="00533346">
        <w:rPr>
          <w:vertAlign w:val="superscript"/>
        </w:rPr>
        <w:fldChar w:fldCharType="end"/>
      </w:r>
      <w:r w:rsidR="00503E03">
        <w:t xml:space="preserve"> </w:t>
      </w:r>
    </w:p>
    <w:p w:rsidR="002F03DD" w:rsidRDefault="004F0C22" w:rsidP="004179E3">
      <w:pPr>
        <w:pStyle w:val="BMJNormal0"/>
      </w:pPr>
      <w:r>
        <w:t xml:space="preserve">The main treatments for RCC include nephrectomy, </w:t>
      </w:r>
      <w:proofErr w:type="spellStart"/>
      <w:r>
        <w:t>embolisation</w:t>
      </w:r>
      <w:proofErr w:type="spellEnd"/>
      <w:r>
        <w:t xml:space="preserve">, radiotherapy, targeted therapies and (less frequently) immunotherapy. </w:t>
      </w:r>
      <w:r w:rsidRPr="004F0C22">
        <w:t xml:space="preserve">Immunotherapy treatments are now rarely used to treat </w:t>
      </w:r>
      <w:r w:rsidR="00A155E3">
        <w:t xml:space="preserve">advanced kidney cancer </w:t>
      </w:r>
      <w:r w:rsidRPr="004F0C22">
        <w:t>because targeted therapies tend to be more effective in controlling the condition, and immunotherapy can sometimes cause serious side effects.</w:t>
      </w:r>
      <w:r>
        <w:t xml:space="preserve"> Targeted therapies are</w:t>
      </w:r>
      <w:r w:rsidR="002F03DD">
        <w:t xml:space="preserve"> designed to target and interrupt the functions needed by cancer to grow and spread.</w:t>
      </w:r>
      <w:r>
        <w:t xml:space="preserve"> </w:t>
      </w:r>
      <w:r w:rsidR="00A155E3">
        <w:t xml:space="preserve">At present, </w:t>
      </w:r>
      <w:r w:rsidR="000F01D2">
        <w:t xml:space="preserve">targeted therapies recommended by the National Institute for Health and Care Excellence (NICE) for people with advanced or metastatic RCC are </w:t>
      </w:r>
      <w:proofErr w:type="spellStart"/>
      <w:r w:rsidR="002F03DD">
        <w:t>sunitinib</w:t>
      </w:r>
      <w:proofErr w:type="spellEnd"/>
      <w:r w:rsidR="009304C3" w:rsidRPr="003D68C5">
        <w:rPr>
          <w:vertAlign w:val="superscript"/>
        </w:rPr>
        <w:fldChar w:fldCharType="begin"/>
      </w:r>
      <w:r w:rsidR="00960313">
        <w:rPr>
          <w:vertAlign w:val="superscript"/>
        </w:rPr>
        <w:instrText xml:space="preserve"> ADDIN EN.CITE &lt;EndNote&gt;&lt;Cite&gt;&lt;Author&gt;National Institute for Health and Care Excellence (NICE)&lt;/Author&gt;&lt;Year&gt;2009&lt;/Year&gt;&lt;RecNum&gt;7359&lt;/RecNum&gt;&lt;DisplayText&gt;(5)&lt;/DisplayText&gt;&lt;record&gt;&lt;rec-number&gt;7359&lt;/rec-number&gt;&lt;foreign-keys&gt;&lt;key app="EN" db-id="f2zd9vv2gsxse8ed0f5vdr57sz05f92pd5tx" timestamp="1452164160"&gt;7359&lt;/key&gt;&lt;/foreign-keys&gt;&lt;ref-type name="Journal Article"&gt;17&lt;/ref-type&gt;&lt;contributors&gt;&lt;authors&gt;&lt;author&gt;National Institute for Health and Care Excellence (NICE),&lt;/author&gt;&lt;/authors&gt;&lt;/contributors&gt;&lt;titles&gt;&lt;title&gt;Sunitinib for the first-line treatment of advanced and/or metastatic renal cell carcinoma. Technology appraisal guidance Published: 25 March 2009&lt;/title&gt;&lt;secondary-title&gt;Available at https://www.nice.org.uk/guidance/ta169/resources/sunitinib-for-the-firstline-treatment-of-advanced-andor-metastatic-renal-cell-carcinoma-82598383607749 [Accessed 17/12/2015]&lt;/secondary-title&gt;&lt;/titles&gt;&lt;periodical&gt;&lt;full-title&gt;Available at https://www.nice.org.uk/guidance/ta169/resources/sunitinib-for-the-firstline-treatment-of-advanced-andor-metastatic-renal-cell-carcinoma-82598383607749 [Accessed 17/12/2015]&lt;/full-title&gt;&lt;/periodical&gt;&lt;dates&gt;&lt;year&gt;2009&lt;/year&gt;&lt;/dates&gt;&lt;urls&gt;&lt;/urls&gt;&lt;/record&gt;&lt;/Cite&gt;&lt;/EndNote&gt;</w:instrText>
      </w:r>
      <w:r w:rsidR="009304C3" w:rsidRPr="003D68C5">
        <w:rPr>
          <w:vertAlign w:val="superscript"/>
        </w:rPr>
        <w:fldChar w:fldCharType="separate"/>
      </w:r>
      <w:r w:rsidR="00BB4C41" w:rsidRPr="003D68C5">
        <w:rPr>
          <w:noProof/>
          <w:vertAlign w:val="superscript"/>
        </w:rPr>
        <w:t>(5)</w:t>
      </w:r>
      <w:r w:rsidR="009304C3" w:rsidRPr="003D68C5">
        <w:rPr>
          <w:vertAlign w:val="superscript"/>
        </w:rPr>
        <w:fldChar w:fldCharType="end"/>
      </w:r>
      <w:r w:rsidR="00BB4C41">
        <w:t xml:space="preserve"> and</w:t>
      </w:r>
      <w:r w:rsidR="002F03DD">
        <w:t xml:space="preserve"> </w:t>
      </w:r>
      <w:proofErr w:type="spellStart"/>
      <w:r w:rsidR="002F03DD">
        <w:t>pazopanib</w:t>
      </w:r>
      <w:proofErr w:type="spellEnd"/>
      <w:r w:rsidR="009304C3" w:rsidRPr="003D68C5">
        <w:rPr>
          <w:vertAlign w:val="superscript"/>
        </w:rPr>
        <w:fldChar w:fldCharType="begin"/>
      </w:r>
      <w:r w:rsidR="00960313">
        <w:rPr>
          <w:vertAlign w:val="superscript"/>
        </w:rPr>
        <w:instrText xml:space="preserve"> ADDIN EN.CITE &lt;EndNote&gt;&lt;Cite&gt;&lt;Author&gt;National Institute for Health and Care Excellence (NICE)&lt;/Author&gt;&lt;Year&gt;2011&lt;/Year&gt;&lt;RecNum&gt;7360&lt;/RecNum&gt;&lt;DisplayText&gt;(6)&lt;/DisplayText&gt;&lt;record&gt;&lt;rec-number&gt;7360&lt;/rec-number&gt;&lt;foreign-keys&gt;&lt;key app="EN" db-id="f2zd9vv2gsxse8ed0f5vdr57sz05f92pd5tx" timestamp="1452164334"&gt;7360&lt;/key&gt;&lt;/foreign-keys&gt;&lt;ref-type name="Journal Article"&gt;17&lt;/ref-type&gt;&lt;contributors&gt;&lt;authors&gt;&lt;author&gt;National Institute for Health and Care Excellence (NICE),&lt;/author&gt;&lt;/authors&gt;&lt;/contributors&gt;&lt;titles&gt;&lt;title&gt;Pazopanib for the first-line treatment of advanced renal cell carcinoma. Technology appraisal guidance Published: 23 February 2011&lt;/title&gt;&lt;secondary-title&gt;Available at https://www.nice.org.uk/guidance/ta215/resources/pazopanib-for-the-firstline-treatment-of-advanced-renal-cell-carcinoma-82600251340741 [Accessed 17/12/2015]&lt;/secondary-title&gt;&lt;/titles&gt;&lt;periodical&gt;&lt;full-title&gt;Available at https://www.nice.org.uk/guidance/ta215/resources/pazopanib-for-the-firstline-treatment-of-advanced-renal-cell-carcinoma-82600251340741 [Accessed 17/12/2015]&lt;/full-title&gt;&lt;/periodical&gt;&lt;dates&gt;&lt;year&gt;2011&lt;/year&gt;&lt;/dates&gt;&lt;urls&gt;&lt;/urls&gt;&lt;/record&gt;&lt;/Cite&gt;&lt;/EndNote&gt;</w:instrText>
      </w:r>
      <w:r w:rsidR="009304C3" w:rsidRPr="003D68C5">
        <w:rPr>
          <w:vertAlign w:val="superscript"/>
        </w:rPr>
        <w:fldChar w:fldCharType="separate"/>
      </w:r>
      <w:r w:rsidR="00BB4C41" w:rsidRPr="003D68C5">
        <w:rPr>
          <w:noProof/>
          <w:vertAlign w:val="superscript"/>
        </w:rPr>
        <w:t>(6)</w:t>
      </w:r>
      <w:r w:rsidR="009304C3" w:rsidRPr="003D68C5">
        <w:rPr>
          <w:vertAlign w:val="superscript"/>
        </w:rPr>
        <w:fldChar w:fldCharType="end"/>
      </w:r>
      <w:r w:rsidR="009004AC">
        <w:t xml:space="preserve"> </w:t>
      </w:r>
      <w:r w:rsidR="00BB4C41">
        <w:t>for first line</w:t>
      </w:r>
      <w:r w:rsidR="000F01D2">
        <w:t xml:space="preserve"> treatment</w:t>
      </w:r>
      <w:r w:rsidR="002F03DD">
        <w:t xml:space="preserve"> and </w:t>
      </w:r>
      <w:proofErr w:type="spellStart"/>
      <w:r w:rsidR="002F03DD">
        <w:t>axitinib</w:t>
      </w:r>
      <w:proofErr w:type="spellEnd"/>
      <w:r w:rsidR="009304C3" w:rsidRPr="003D68C5">
        <w:rPr>
          <w:vertAlign w:val="superscript"/>
        </w:rPr>
        <w:fldChar w:fldCharType="begin"/>
      </w:r>
      <w:r w:rsidR="00960313">
        <w:rPr>
          <w:vertAlign w:val="superscript"/>
        </w:rPr>
        <w:instrText xml:space="preserve"> ADDIN EN.CITE &lt;EndNote&gt;&lt;Cite&gt;&lt;Author&gt;National Institute for Health and Care Excellence (NICE)&lt;/Author&gt;&lt;Year&gt;2015&lt;/Year&gt;&lt;RecNum&gt;7361&lt;/RecNum&gt;&lt;DisplayText&gt;(7)&lt;/DisplayText&gt;&lt;record&gt;&lt;rec-number&gt;7361&lt;/rec-number&gt;&lt;foreign-keys&gt;&lt;key app="EN" db-id="f2zd9vv2gsxse8ed0f5vdr57sz05f92pd5tx" timestamp="1452164602"&gt;7361&lt;/key&gt;&lt;/foreign-keys&gt;&lt;ref-type name="Journal Article"&gt;17&lt;/ref-type&gt;&lt;contributors&gt;&lt;authors&gt;&lt;author&gt;National Institute for Health and Care Excellence (NICE),&lt;/author&gt;&lt;/authors&gt;&lt;/contributors&gt;&lt;titles&gt;&lt;title&gt;Axitinib for treating advanced renal cell carcinoma after failure of prior systemic treatment. Technology appraisal guidance Published: 25 February 2015&lt;/title&gt;&lt;secondary-title&gt;Available at https://www.nice.org.uk/guidance/ta333/resources/axitinib-for-treating-advanced-renal-cell-carcinoma-after-failure-of-prior-systemic-treatment-82602545696197 [Accessed 02/12/15]&lt;/secondary-title&gt;&lt;/titles&gt;&lt;periodical&gt;&lt;full-title&gt;Available at https://www.nice.org.uk/guidance/ta333/resources/axitinib-for-treating-advanced-renal-cell-carcinoma-after-failure-of-prior-systemic-treatment-82602545696197 [Accessed 02/12/15]&lt;/full-title&gt;&lt;/periodical&gt;&lt;dates&gt;&lt;year&gt;2015&lt;/year&gt;&lt;/dates&gt;&lt;urls&gt;&lt;/urls&gt;&lt;/record&gt;&lt;/Cite&gt;&lt;/EndNote&gt;</w:instrText>
      </w:r>
      <w:r w:rsidR="009304C3" w:rsidRPr="003D68C5">
        <w:rPr>
          <w:vertAlign w:val="superscript"/>
        </w:rPr>
        <w:fldChar w:fldCharType="separate"/>
      </w:r>
      <w:r w:rsidR="009004AC" w:rsidRPr="003D68C5">
        <w:rPr>
          <w:noProof/>
          <w:vertAlign w:val="superscript"/>
        </w:rPr>
        <w:t>(7)</w:t>
      </w:r>
      <w:r w:rsidR="009304C3" w:rsidRPr="003D68C5">
        <w:rPr>
          <w:vertAlign w:val="superscript"/>
        </w:rPr>
        <w:fldChar w:fldCharType="end"/>
      </w:r>
      <w:r w:rsidR="009004AC">
        <w:t xml:space="preserve"> for second</w:t>
      </w:r>
      <w:r w:rsidR="00A33D66">
        <w:t>-</w:t>
      </w:r>
      <w:r w:rsidR="000F01D2">
        <w:t>line</w:t>
      </w:r>
      <w:r w:rsidR="009004AC">
        <w:t xml:space="preserve"> treatment</w:t>
      </w:r>
      <w:r w:rsidR="002F03DD">
        <w:t>. They're available on the NHS for people who are still relatively healthy and have advanced kidney cancer, or kidney cancer that's spread to other parts of their body.</w:t>
      </w:r>
    </w:p>
    <w:p w:rsidR="00901F85" w:rsidRDefault="00901F85" w:rsidP="004179E3">
      <w:pPr>
        <w:pStyle w:val="BMJNormal0"/>
      </w:pPr>
      <w:r>
        <w:t xml:space="preserve">The aim of this project is </w:t>
      </w:r>
      <w:r w:rsidR="00156227">
        <w:t xml:space="preserve">to review </w:t>
      </w:r>
      <w:r w:rsidR="00B01A97">
        <w:t xml:space="preserve">the clinical and cost-effectiveness of </w:t>
      </w:r>
      <w:proofErr w:type="spellStart"/>
      <w:r w:rsidR="00B01A97">
        <w:t>axitinib</w:t>
      </w:r>
      <w:proofErr w:type="spellEnd"/>
      <w:r w:rsidR="00B01A97">
        <w:t xml:space="preserve">, </w:t>
      </w:r>
      <w:proofErr w:type="spellStart"/>
      <w:r w:rsidR="00B01A97">
        <w:t>everolimus</w:t>
      </w:r>
      <w:proofErr w:type="spellEnd"/>
      <w:r w:rsidR="00B01A97">
        <w:t xml:space="preserve">, </w:t>
      </w:r>
      <w:proofErr w:type="spellStart"/>
      <w:r w:rsidR="00B01A97">
        <w:t>sorafenib</w:t>
      </w:r>
      <w:proofErr w:type="spellEnd"/>
      <w:r w:rsidR="00B01A97">
        <w:t xml:space="preserve"> and </w:t>
      </w:r>
      <w:proofErr w:type="spellStart"/>
      <w:r w:rsidR="00B01A97">
        <w:t>sunitinib</w:t>
      </w:r>
      <w:proofErr w:type="spellEnd"/>
      <w:r w:rsidR="00B01A97">
        <w:t xml:space="preserve"> for treated advanced or metastatic RCC</w:t>
      </w:r>
      <w:r w:rsidR="00156227">
        <w:t>, in a multiple technology appraisal (MTA). Th</w:t>
      </w:r>
      <w:r w:rsidR="00B01A97">
        <w:t>is will include a review of TA333</w:t>
      </w:r>
      <w:r w:rsidR="00156227">
        <w:t xml:space="preserve"> (</w:t>
      </w:r>
      <w:proofErr w:type="spellStart"/>
      <w:r w:rsidR="00B01A97">
        <w:t>Axitinib</w:t>
      </w:r>
      <w:proofErr w:type="spellEnd"/>
      <w:r w:rsidR="00B01A97">
        <w:t xml:space="preserve"> for </w:t>
      </w:r>
      <w:r w:rsidR="00346898">
        <w:t>treating</w:t>
      </w:r>
      <w:r w:rsidR="00B01A97">
        <w:t xml:space="preserve"> advanced RCC after failure of prior systemic treatment), TA219</w:t>
      </w:r>
      <w:r w:rsidR="00156227">
        <w:t xml:space="preserve"> (</w:t>
      </w:r>
      <w:proofErr w:type="spellStart"/>
      <w:r w:rsidR="00B01A97">
        <w:t>Everolimus</w:t>
      </w:r>
      <w:proofErr w:type="spellEnd"/>
      <w:r w:rsidR="00B01A97">
        <w:t xml:space="preserve"> for the second-line treatment of advanced RCC)</w:t>
      </w:r>
      <w:r w:rsidR="003F47B1">
        <w:t>,</w:t>
      </w:r>
      <w:r w:rsidR="00B01A97">
        <w:t xml:space="preserve"> and </w:t>
      </w:r>
      <w:r w:rsidR="00C5354C">
        <w:t xml:space="preserve">a part-review of </w:t>
      </w:r>
      <w:r w:rsidR="00B01A97">
        <w:t>TA178 (</w:t>
      </w:r>
      <w:proofErr w:type="spellStart"/>
      <w:r w:rsidR="00FD38DB">
        <w:t>Sorafenib</w:t>
      </w:r>
      <w:proofErr w:type="spellEnd"/>
      <w:r w:rsidR="00B01A97">
        <w:t xml:space="preserve"> </w:t>
      </w:r>
      <w:r w:rsidR="003F47B1">
        <w:t xml:space="preserve">and </w:t>
      </w:r>
      <w:proofErr w:type="spellStart"/>
      <w:r w:rsidR="00B01A97">
        <w:t>sunitinib</w:t>
      </w:r>
      <w:proofErr w:type="spellEnd"/>
      <w:r w:rsidR="00346898">
        <w:t xml:space="preserve"> for </w:t>
      </w:r>
      <w:r w:rsidR="00FD38DB">
        <w:t>second</w:t>
      </w:r>
      <w:r w:rsidR="00A33D66">
        <w:t>-</w:t>
      </w:r>
      <w:r w:rsidR="00FD38DB">
        <w:t xml:space="preserve">line </w:t>
      </w:r>
      <w:r w:rsidR="00346898">
        <w:t>treatment of advanced and/or metastatic RCC</w:t>
      </w:r>
      <w:r w:rsidR="00B01A97">
        <w:t>)</w:t>
      </w:r>
      <w:r w:rsidR="0081792B">
        <w:t>.</w:t>
      </w:r>
      <w:r w:rsidR="00C45FA8">
        <w:t xml:space="preserve"> </w:t>
      </w:r>
      <w:r>
        <w:t xml:space="preserve">The medical benefit and risks associated with these treatments will be assessed and compared </w:t>
      </w:r>
      <w:r w:rsidRPr="00716B9C">
        <w:t xml:space="preserve">across </w:t>
      </w:r>
      <w:r w:rsidR="00A717D6">
        <w:t xml:space="preserve">the </w:t>
      </w:r>
      <w:r w:rsidRPr="00716B9C">
        <w:t xml:space="preserve">treatments and against </w:t>
      </w:r>
      <w:r w:rsidR="00DF3D15">
        <w:t>best supportive care</w:t>
      </w:r>
      <w:r w:rsidRPr="00716B9C">
        <w:t xml:space="preserve"> for </w:t>
      </w:r>
      <w:r w:rsidR="00D46B98">
        <w:t>advanced or metastatic RCC</w:t>
      </w:r>
      <w:r w:rsidRPr="00716B9C">
        <w:t xml:space="preserve">. </w:t>
      </w:r>
      <w:r w:rsidR="00C45FA8">
        <w:t>This</w:t>
      </w:r>
      <w:r>
        <w:t xml:space="preserve"> project will </w:t>
      </w:r>
      <w:r w:rsidR="00C45FA8">
        <w:t xml:space="preserve">also </w:t>
      </w:r>
      <w:r>
        <w:t xml:space="preserve">include an assessment of whether these </w:t>
      </w:r>
      <w:r w:rsidRPr="005D1CB4">
        <w:t xml:space="preserve">drugs are likely to be considered good value for money for the </w:t>
      </w:r>
      <w:r>
        <w:t>National Health Service (</w:t>
      </w:r>
      <w:r w:rsidRPr="005D1CB4">
        <w:t>NHS</w:t>
      </w:r>
      <w:r>
        <w:t>)</w:t>
      </w:r>
      <w:r w:rsidR="0081792B">
        <w:t xml:space="preserve">. </w:t>
      </w:r>
      <w:r w:rsidR="00A155E3">
        <w:t>A review of NICE guidance for untreated advanced or metastatic RCC is outside the scope of this MTA.</w:t>
      </w:r>
    </w:p>
    <w:p w:rsidR="00C45FA8" w:rsidRDefault="00872F7F" w:rsidP="00C45FA8">
      <w:pPr>
        <w:pStyle w:val="Heading1"/>
      </w:pPr>
      <w:r w:rsidRPr="00A83A8C">
        <w:t>Decision problem</w:t>
      </w:r>
    </w:p>
    <w:p w:rsidR="00872F7F" w:rsidRDefault="006B2E3F" w:rsidP="00C45FA8">
      <w:pPr>
        <w:pStyle w:val="BMJnormal"/>
        <w:rPr>
          <w:b/>
          <w:i/>
        </w:rPr>
      </w:pPr>
      <w:r w:rsidRPr="00C45FA8">
        <w:t>4.</w:t>
      </w:r>
      <w:r>
        <w:rPr>
          <w:b/>
          <w:i/>
        </w:rPr>
        <w:t xml:space="preserve">1 </w:t>
      </w:r>
      <w:r w:rsidR="00872F7F" w:rsidRPr="00807CBE">
        <w:rPr>
          <w:b/>
          <w:i/>
        </w:rPr>
        <w:t xml:space="preserve">Purpose </w:t>
      </w:r>
    </w:p>
    <w:p w:rsidR="00901F85" w:rsidRDefault="00427896" w:rsidP="004179E3">
      <w:pPr>
        <w:pStyle w:val="BMJNormal0"/>
      </w:pPr>
      <w:r>
        <w:t xml:space="preserve">The purpose of this technology assessment </w:t>
      </w:r>
      <w:r w:rsidR="00885F09">
        <w:t>will be</w:t>
      </w:r>
      <w:r>
        <w:t xml:space="preserve"> to appraise the clinical and cost-effectiveness of </w:t>
      </w:r>
      <w:proofErr w:type="spellStart"/>
      <w:r>
        <w:t>axitinib</w:t>
      </w:r>
      <w:proofErr w:type="spellEnd"/>
      <w:r>
        <w:t xml:space="preserve">, </w:t>
      </w:r>
      <w:proofErr w:type="spellStart"/>
      <w:r>
        <w:t>everolimus</w:t>
      </w:r>
      <w:proofErr w:type="spellEnd"/>
      <w:r>
        <w:t xml:space="preserve">, </w:t>
      </w:r>
      <w:proofErr w:type="spellStart"/>
      <w:r>
        <w:t>sorafenib</w:t>
      </w:r>
      <w:proofErr w:type="spellEnd"/>
      <w:r>
        <w:t xml:space="preserve"> and </w:t>
      </w:r>
      <w:proofErr w:type="spellStart"/>
      <w:r>
        <w:t>sunitinib</w:t>
      </w:r>
      <w:proofErr w:type="spellEnd"/>
      <w:r>
        <w:t xml:space="preserve"> for treated advanced or metastatic RCC in line with their </w:t>
      </w:r>
      <w:r w:rsidR="002B0FD3">
        <w:t xml:space="preserve">respective </w:t>
      </w:r>
      <w:r>
        <w:t xml:space="preserve">marketing authorisations. </w:t>
      </w:r>
    </w:p>
    <w:p w:rsidR="001D790D" w:rsidRDefault="001D790D">
      <w:pPr>
        <w:rPr>
          <w:rFonts w:eastAsiaTheme="minorEastAsia"/>
          <w:sz w:val="22"/>
          <w:szCs w:val="22"/>
        </w:rPr>
      </w:pPr>
      <w:r>
        <w:rPr>
          <w:rFonts w:eastAsiaTheme="minorEastAsia"/>
        </w:rPr>
        <w:br w:type="page"/>
      </w:r>
    </w:p>
    <w:p w:rsidR="00872F7F" w:rsidRDefault="006B2E3F" w:rsidP="00D51BD6">
      <w:pPr>
        <w:pStyle w:val="BMJnormal"/>
        <w:rPr>
          <w:highlight w:val="yellow"/>
        </w:rPr>
      </w:pPr>
      <w:r>
        <w:rPr>
          <w:b/>
          <w:i/>
        </w:rPr>
        <w:lastRenderedPageBreak/>
        <w:t xml:space="preserve">4.2 </w:t>
      </w:r>
      <w:r w:rsidR="00807CBE" w:rsidRPr="00807CBE">
        <w:rPr>
          <w:b/>
          <w:i/>
        </w:rPr>
        <w:t>I</w:t>
      </w:r>
      <w:r w:rsidR="00872F7F" w:rsidRPr="00807CBE">
        <w:rPr>
          <w:b/>
          <w:i/>
        </w:rPr>
        <w:t>ntervention</w:t>
      </w:r>
      <w:r w:rsidR="00807CBE" w:rsidRPr="00807CBE">
        <w:rPr>
          <w:b/>
          <w:i/>
        </w:rPr>
        <w:t>s</w:t>
      </w:r>
    </w:p>
    <w:p w:rsidR="009E2964" w:rsidRPr="004179E3" w:rsidRDefault="009E2964" w:rsidP="004179E3">
      <w:pPr>
        <w:pStyle w:val="BMJNormal0"/>
      </w:pPr>
      <w:proofErr w:type="spellStart"/>
      <w:r w:rsidRPr="004179E3">
        <w:t>Axitinib</w:t>
      </w:r>
      <w:proofErr w:type="spellEnd"/>
      <w:r w:rsidRPr="004179E3">
        <w:t xml:space="preserve"> (</w:t>
      </w:r>
      <w:proofErr w:type="spellStart"/>
      <w:r w:rsidRPr="004179E3">
        <w:t>Inlyta</w:t>
      </w:r>
      <w:proofErr w:type="spellEnd"/>
      <w:r w:rsidR="002D05D9" w:rsidRPr="008F70C6">
        <w:rPr>
          <w:vertAlign w:val="superscript"/>
        </w:rPr>
        <w:t>®</w:t>
      </w:r>
      <w:r w:rsidRPr="004179E3">
        <w:t xml:space="preserve">, Pfizer) is an inhibitor of vascular endothelial growth factor (VEGF) receptor tyrosine kinases. It has a marketing authorisation in the UK for the treatment of adults with advanced </w:t>
      </w:r>
      <w:r w:rsidR="002B0FD3">
        <w:t>RCC</w:t>
      </w:r>
      <w:r w:rsidRPr="004179E3">
        <w:t xml:space="preserve"> after failure of previous treatment with </w:t>
      </w:r>
      <w:proofErr w:type="spellStart"/>
      <w:r w:rsidRPr="004179E3">
        <w:t>sunitinib</w:t>
      </w:r>
      <w:proofErr w:type="spellEnd"/>
      <w:r w:rsidRPr="004179E3">
        <w:t xml:space="preserve"> or a cytokine.</w:t>
      </w:r>
    </w:p>
    <w:p w:rsidR="009E2964" w:rsidRPr="004179E3" w:rsidRDefault="009E2964" w:rsidP="004179E3">
      <w:pPr>
        <w:pStyle w:val="BMJNormal0"/>
      </w:pPr>
      <w:proofErr w:type="spellStart"/>
      <w:r w:rsidRPr="004179E3">
        <w:t>Everolimus</w:t>
      </w:r>
      <w:proofErr w:type="spellEnd"/>
      <w:r w:rsidRPr="004179E3">
        <w:t xml:space="preserve"> (</w:t>
      </w:r>
      <w:proofErr w:type="spellStart"/>
      <w:r w:rsidRPr="004179E3">
        <w:t>Afinitor</w:t>
      </w:r>
      <w:proofErr w:type="spellEnd"/>
      <w:r w:rsidR="002D05D9" w:rsidRPr="0066104E">
        <w:rPr>
          <w:vertAlign w:val="superscript"/>
        </w:rPr>
        <w:t>®</w:t>
      </w:r>
      <w:r w:rsidRPr="004179E3">
        <w:t>, Novartis) is a</w:t>
      </w:r>
      <w:r w:rsidR="00A97923" w:rsidRPr="004179E3">
        <w:t>n inhibitor of mammalian target of rapamycin (</w:t>
      </w:r>
      <w:proofErr w:type="spellStart"/>
      <w:r w:rsidR="00A97923" w:rsidRPr="004179E3">
        <w:t>mTOR</w:t>
      </w:r>
      <w:proofErr w:type="spellEnd"/>
      <w:r w:rsidR="00A97923" w:rsidRPr="004179E3">
        <w:t>)</w:t>
      </w:r>
      <w:r w:rsidRPr="004179E3">
        <w:t xml:space="preserve">. It has a marketing authorisation in the UK for the treatment of people with advanced </w:t>
      </w:r>
      <w:r w:rsidR="002B0FD3">
        <w:t>RCC</w:t>
      </w:r>
      <w:r w:rsidRPr="004179E3">
        <w:t>, whose disease has progressed on or after treatment with VEGF-targeted therapy.</w:t>
      </w:r>
    </w:p>
    <w:p w:rsidR="004179E3" w:rsidRPr="004179E3" w:rsidRDefault="00A97923" w:rsidP="004179E3">
      <w:pPr>
        <w:pStyle w:val="BMJNormal0"/>
      </w:pPr>
      <w:proofErr w:type="spellStart"/>
      <w:r w:rsidRPr="004179E3">
        <w:t>Sorafenib</w:t>
      </w:r>
      <w:proofErr w:type="spellEnd"/>
      <w:r w:rsidRPr="004179E3">
        <w:t xml:space="preserve"> (</w:t>
      </w:r>
      <w:proofErr w:type="spellStart"/>
      <w:r w:rsidRPr="004179E3">
        <w:t>Nexavar</w:t>
      </w:r>
      <w:proofErr w:type="spellEnd"/>
      <w:r w:rsidR="002D05D9" w:rsidRPr="0066104E">
        <w:rPr>
          <w:vertAlign w:val="superscript"/>
        </w:rPr>
        <w:t>®</w:t>
      </w:r>
      <w:r w:rsidRPr="004179E3">
        <w:t xml:space="preserve">, Bayer/Onyx) is a </w:t>
      </w:r>
      <w:proofErr w:type="spellStart"/>
      <w:r w:rsidRPr="004179E3">
        <w:t>multikinase</w:t>
      </w:r>
      <w:proofErr w:type="spellEnd"/>
      <w:r w:rsidRPr="004179E3">
        <w:t xml:space="preserve"> inhibitor</w:t>
      </w:r>
      <w:r w:rsidR="005A2864" w:rsidRPr="004179E3">
        <w:t xml:space="preserve">. It has a marketing authorisation in the UK for the treatment of people with advanced </w:t>
      </w:r>
      <w:r w:rsidR="002B0FD3">
        <w:t>RCC</w:t>
      </w:r>
      <w:r w:rsidR="005A2864" w:rsidRPr="004179E3">
        <w:t xml:space="preserve"> whose disease has failed previous interferon-alpha or interleukin-2 based</w:t>
      </w:r>
      <w:r w:rsidRPr="004179E3">
        <w:t xml:space="preserve"> (cytokine agents)</w:t>
      </w:r>
      <w:r w:rsidR="005A2864" w:rsidRPr="004179E3">
        <w:t xml:space="preserve"> therapy, or who are considered unsuitable for such therapy.</w:t>
      </w:r>
    </w:p>
    <w:p w:rsidR="004179E3" w:rsidRPr="004179E3" w:rsidRDefault="005A2864" w:rsidP="004179E3">
      <w:pPr>
        <w:pStyle w:val="BMJNormal0"/>
      </w:pPr>
      <w:proofErr w:type="spellStart"/>
      <w:r w:rsidRPr="004179E3">
        <w:t>Sunitinib</w:t>
      </w:r>
      <w:proofErr w:type="spellEnd"/>
      <w:r w:rsidRPr="004179E3">
        <w:t xml:space="preserve"> (</w:t>
      </w:r>
      <w:proofErr w:type="spellStart"/>
      <w:r w:rsidRPr="004179E3">
        <w:t>Sutent</w:t>
      </w:r>
      <w:proofErr w:type="spellEnd"/>
      <w:r w:rsidR="002D05D9" w:rsidRPr="0066104E">
        <w:rPr>
          <w:vertAlign w:val="superscript"/>
        </w:rPr>
        <w:t>®</w:t>
      </w:r>
      <w:r w:rsidRPr="004179E3">
        <w:t xml:space="preserve">, Pfizer) is an inhibitor of several receptor tyrosine kinases. It has a marketing authorisation in the UK for the treatment of advanced/metastatic </w:t>
      </w:r>
      <w:r w:rsidR="002B0FD3">
        <w:t>RCC</w:t>
      </w:r>
      <w:r w:rsidRPr="004179E3">
        <w:t xml:space="preserve"> in adults.</w:t>
      </w:r>
    </w:p>
    <w:p w:rsidR="004179E3" w:rsidRPr="004179E3" w:rsidRDefault="005A2864" w:rsidP="004179E3">
      <w:pPr>
        <w:pStyle w:val="BMJNormal0"/>
      </w:pPr>
      <w:r w:rsidRPr="004179E3">
        <w:t>All the technologies are given orally.</w:t>
      </w:r>
    </w:p>
    <w:p w:rsidR="00872F7F" w:rsidRDefault="006B2E3F" w:rsidP="004179E3">
      <w:pPr>
        <w:pStyle w:val="BMJNormal0"/>
        <w:rPr>
          <w:b/>
          <w:i/>
        </w:rPr>
      </w:pPr>
      <w:r>
        <w:rPr>
          <w:b/>
          <w:i/>
        </w:rPr>
        <w:t xml:space="preserve">4.3 </w:t>
      </w:r>
      <w:r w:rsidR="00872F7F" w:rsidRPr="00807CBE">
        <w:rPr>
          <w:b/>
          <w:i/>
        </w:rPr>
        <w:t>Place of the intervention</w:t>
      </w:r>
      <w:r w:rsidR="00807CBE" w:rsidRPr="00807CBE">
        <w:rPr>
          <w:b/>
          <w:i/>
        </w:rPr>
        <w:t>s</w:t>
      </w:r>
      <w:r w:rsidR="00807CBE">
        <w:rPr>
          <w:b/>
          <w:i/>
        </w:rPr>
        <w:t xml:space="preserve"> in the treatment pathway</w:t>
      </w:r>
    </w:p>
    <w:p w:rsidR="001D7AA9" w:rsidRDefault="00E80417" w:rsidP="001B77B3">
      <w:pPr>
        <w:pStyle w:val="BMJNormal0"/>
      </w:pPr>
      <w:r>
        <w:t>Currently o</w:t>
      </w:r>
      <w:r w:rsidRPr="000F19E5">
        <w:t xml:space="preserve">nly </w:t>
      </w:r>
      <w:proofErr w:type="spellStart"/>
      <w:r w:rsidRPr="000F19E5">
        <w:t>axitinib</w:t>
      </w:r>
      <w:proofErr w:type="spellEnd"/>
      <w:r w:rsidRPr="000F19E5">
        <w:t xml:space="preserve"> is recommended </w:t>
      </w:r>
      <w:r>
        <w:t xml:space="preserve">for </w:t>
      </w:r>
      <w:r w:rsidR="001D7AA9">
        <w:t>second-</w:t>
      </w:r>
      <w:r w:rsidRPr="000F19E5">
        <w:t>line</w:t>
      </w:r>
      <w:r>
        <w:t xml:space="preserve"> </w:t>
      </w:r>
      <w:r w:rsidR="001D7AA9">
        <w:t xml:space="preserve">treatment </w:t>
      </w:r>
      <w:r w:rsidR="00D6489B">
        <w:t xml:space="preserve">of </w:t>
      </w:r>
      <w:r>
        <w:t xml:space="preserve">advanced or metastatic RCC </w:t>
      </w:r>
      <w:r w:rsidR="00D6489B">
        <w:t xml:space="preserve">in patients </w:t>
      </w:r>
      <w:r>
        <w:t>who have received previous cytokine or VEGF-targeted therapy</w:t>
      </w:r>
      <w:r w:rsidRPr="000F19E5">
        <w:t xml:space="preserve">. </w:t>
      </w:r>
      <w:proofErr w:type="spellStart"/>
      <w:r w:rsidR="008F4684">
        <w:t>Sorafenib</w:t>
      </w:r>
      <w:proofErr w:type="spellEnd"/>
      <w:r w:rsidR="008F4684">
        <w:t xml:space="preserve"> and</w:t>
      </w:r>
      <w:r w:rsidR="001D7AA9">
        <w:t xml:space="preserve"> </w:t>
      </w:r>
      <w:proofErr w:type="spellStart"/>
      <w:r w:rsidR="001D7AA9">
        <w:t>sunitinib</w:t>
      </w:r>
      <w:proofErr w:type="spellEnd"/>
      <w:r w:rsidR="001D7AA9">
        <w:t xml:space="preserve"> </w:t>
      </w:r>
      <w:r w:rsidR="008F4684">
        <w:t>both</w:t>
      </w:r>
      <w:r w:rsidR="00A12E29">
        <w:t xml:space="preserve"> have a market authorisation for second-</w:t>
      </w:r>
      <w:r w:rsidR="00A12E29" w:rsidRPr="000F19E5">
        <w:t>line</w:t>
      </w:r>
      <w:r w:rsidR="00A12E29">
        <w:t xml:space="preserve"> treatment of ad</w:t>
      </w:r>
      <w:r w:rsidR="000E0314">
        <w:t>vanced of metastatic RCC</w:t>
      </w:r>
      <w:r w:rsidR="008F4684">
        <w:t>, h</w:t>
      </w:r>
      <w:r w:rsidR="00A12E29">
        <w:t xml:space="preserve">owever, </w:t>
      </w:r>
      <w:r w:rsidR="008F4684">
        <w:t>neither drug</w:t>
      </w:r>
      <w:r w:rsidR="000E0314">
        <w:t xml:space="preserve"> are </w:t>
      </w:r>
      <w:r w:rsidR="00D6489B">
        <w:t xml:space="preserve">currently </w:t>
      </w:r>
      <w:r w:rsidR="000E0314">
        <w:t>recommended by NICE</w:t>
      </w:r>
      <w:r w:rsidR="00D6489B">
        <w:t xml:space="preserve"> for this indication</w:t>
      </w:r>
      <w:r w:rsidR="000E0314">
        <w:t xml:space="preserve">. </w:t>
      </w:r>
    </w:p>
    <w:p w:rsidR="00B534E5" w:rsidRPr="00561FA1" w:rsidRDefault="00B534E5" w:rsidP="00561FA1">
      <w:pPr>
        <w:pStyle w:val="BMJNormal0"/>
      </w:pPr>
      <w:proofErr w:type="spellStart"/>
      <w:r w:rsidRPr="00561FA1">
        <w:t>Everolimus</w:t>
      </w:r>
      <w:proofErr w:type="spellEnd"/>
      <w:r w:rsidR="00561FA1">
        <w:t xml:space="preserve"> is </w:t>
      </w:r>
      <w:r w:rsidR="00D6489B">
        <w:t xml:space="preserve">also </w:t>
      </w:r>
      <w:r w:rsidR="00561FA1">
        <w:t>not recommended by NICE but was available in England through the Cancer Drugs Fund (CDF), however the drug was</w:t>
      </w:r>
      <w:r w:rsidRPr="00561FA1">
        <w:t xml:space="preserve"> </w:t>
      </w:r>
      <w:r w:rsidR="00561FA1">
        <w:t>r</w:t>
      </w:r>
      <w:r w:rsidR="00561FA1" w:rsidRPr="00561FA1">
        <w:t>emoved from the CDF on 4th November 2015</w:t>
      </w:r>
      <w:r w:rsidR="002B0FD3">
        <w:t>, with the exception of</w:t>
      </w:r>
      <w:r w:rsidR="00561FA1" w:rsidRPr="00561FA1">
        <w:t xml:space="preserve"> patients contraindicated to second-line </w:t>
      </w:r>
      <w:proofErr w:type="spellStart"/>
      <w:r w:rsidR="00561FA1" w:rsidRPr="00561FA1">
        <w:t>axitinib</w:t>
      </w:r>
      <w:proofErr w:type="spellEnd"/>
      <w:r w:rsidR="00561FA1" w:rsidRPr="00561FA1">
        <w:t xml:space="preserve"> or patients with excessive</w:t>
      </w:r>
      <w:r w:rsidR="00561FA1">
        <w:t xml:space="preserve"> </w:t>
      </w:r>
      <w:r w:rsidR="00561FA1" w:rsidRPr="00561FA1">
        <w:t xml:space="preserve">toxicity to </w:t>
      </w:r>
      <w:proofErr w:type="spellStart"/>
      <w:r w:rsidR="00561FA1" w:rsidRPr="00561FA1">
        <w:t>axitinib</w:t>
      </w:r>
      <w:proofErr w:type="spellEnd"/>
      <w:r w:rsidR="00561FA1" w:rsidRPr="00561FA1">
        <w:t xml:space="preserve"> necessitating discontinuation of </w:t>
      </w:r>
      <w:proofErr w:type="spellStart"/>
      <w:r w:rsidR="00561FA1" w:rsidRPr="00561FA1">
        <w:t>axitinib</w:t>
      </w:r>
      <w:proofErr w:type="spellEnd"/>
      <w:r w:rsidR="00561FA1" w:rsidRPr="00561FA1">
        <w:t xml:space="preserve"> within</w:t>
      </w:r>
      <w:r w:rsidR="00561FA1">
        <w:t xml:space="preserve"> </w:t>
      </w:r>
      <w:r w:rsidR="00561FA1" w:rsidRPr="00561FA1">
        <w:t xml:space="preserve">3 months of starting therapy </w:t>
      </w:r>
      <w:r w:rsidR="002B0FD3">
        <w:t xml:space="preserve">if there is </w:t>
      </w:r>
      <w:r w:rsidR="00561FA1" w:rsidRPr="00561FA1">
        <w:t>no</w:t>
      </w:r>
      <w:r w:rsidR="00561FA1">
        <w:t xml:space="preserve"> </w:t>
      </w:r>
      <w:r w:rsidR="00561FA1" w:rsidRPr="00561FA1">
        <w:t>evidence of disease progression</w:t>
      </w:r>
      <w:r w:rsidR="002B0FD3">
        <w:t xml:space="preserve"> by then)</w:t>
      </w:r>
      <w:r w:rsidR="00561FA1" w:rsidRPr="00561FA1">
        <w:t>.</w:t>
      </w:r>
    </w:p>
    <w:p w:rsidR="004A442A" w:rsidRDefault="004A442A" w:rsidP="004A442A">
      <w:pPr>
        <w:pStyle w:val="BMJNormal0"/>
      </w:pPr>
      <w:r>
        <w:t xml:space="preserve">This MTA will consider the clinical and cost-effectiveness evidence for </w:t>
      </w:r>
      <w:proofErr w:type="spellStart"/>
      <w:r>
        <w:t>axitinib</w:t>
      </w:r>
      <w:proofErr w:type="spellEnd"/>
      <w:r>
        <w:t xml:space="preserve">, </w:t>
      </w:r>
      <w:proofErr w:type="spellStart"/>
      <w:r>
        <w:t>sorafenib</w:t>
      </w:r>
      <w:proofErr w:type="spellEnd"/>
      <w:r>
        <w:t xml:space="preserve"> and </w:t>
      </w:r>
      <w:proofErr w:type="spellStart"/>
      <w:r>
        <w:t>sunitinib</w:t>
      </w:r>
      <w:proofErr w:type="spellEnd"/>
      <w:r>
        <w:t xml:space="preserve"> for </w:t>
      </w:r>
      <w:r w:rsidR="00561FA1">
        <w:t>advanced or metastatic RCC patients</w:t>
      </w:r>
      <w:r>
        <w:t xml:space="preserve"> who have received previous cytokine therapy (</w:t>
      </w:r>
      <w:proofErr w:type="spellStart"/>
      <w:r>
        <w:t>aldesleukin</w:t>
      </w:r>
      <w:proofErr w:type="spellEnd"/>
      <w:r>
        <w:t xml:space="preserve"> or interferon alfa)</w:t>
      </w:r>
      <w:r w:rsidR="00B534E5">
        <w:t xml:space="preserve"> and also the evidence available for </w:t>
      </w:r>
      <w:proofErr w:type="spellStart"/>
      <w:r w:rsidR="00B534E5">
        <w:t>axitinib</w:t>
      </w:r>
      <w:proofErr w:type="spellEnd"/>
      <w:r w:rsidR="00B534E5">
        <w:t xml:space="preserve">, </w:t>
      </w:r>
      <w:proofErr w:type="spellStart"/>
      <w:r w:rsidR="00B534E5">
        <w:t>sunitinib</w:t>
      </w:r>
      <w:proofErr w:type="spellEnd"/>
      <w:r w:rsidR="00B534E5">
        <w:t xml:space="preserve"> </w:t>
      </w:r>
      <w:r w:rsidR="008B0E92">
        <w:t xml:space="preserve">and </w:t>
      </w:r>
      <w:proofErr w:type="spellStart"/>
      <w:r w:rsidR="00B534E5">
        <w:t>everolimus</w:t>
      </w:r>
      <w:proofErr w:type="spellEnd"/>
      <w:r w:rsidR="00B534E5">
        <w:t xml:space="preserve"> </w:t>
      </w:r>
      <w:r w:rsidR="00561FA1">
        <w:t>for advanced or metastatic RCC patients</w:t>
      </w:r>
      <w:r w:rsidR="00B534E5">
        <w:t xml:space="preserve"> who have received previous VEGF-targeted therapy (which may include </w:t>
      </w:r>
      <w:proofErr w:type="spellStart"/>
      <w:r w:rsidR="00B534E5">
        <w:t>pazopanib</w:t>
      </w:r>
      <w:proofErr w:type="spellEnd"/>
      <w:r w:rsidR="00B534E5">
        <w:t>, bevac</w:t>
      </w:r>
      <w:r w:rsidR="001F3191">
        <w:t xml:space="preserve">izumab, </w:t>
      </w:r>
      <w:proofErr w:type="spellStart"/>
      <w:r w:rsidR="001F3191">
        <w:t>sorafenib</w:t>
      </w:r>
      <w:proofErr w:type="spellEnd"/>
      <w:r w:rsidR="001F3191">
        <w:t xml:space="preserve">, </w:t>
      </w:r>
      <w:proofErr w:type="spellStart"/>
      <w:r w:rsidR="00561FA1">
        <w:t>sunitinib</w:t>
      </w:r>
      <w:proofErr w:type="spellEnd"/>
      <w:r w:rsidR="00561FA1">
        <w:t xml:space="preserve"> or</w:t>
      </w:r>
      <w:r w:rsidR="00B534E5">
        <w:t xml:space="preserve"> </w:t>
      </w:r>
      <w:proofErr w:type="spellStart"/>
      <w:r w:rsidR="00B534E5">
        <w:t>axitinib</w:t>
      </w:r>
      <w:proofErr w:type="spellEnd"/>
      <w:r w:rsidR="00B534E5">
        <w:t>).</w:t>
      </w:r>
    </w:p>
    <w:p w:rsidR="00872F7F" w:rsidRPr="00967722" w:rsidRDefault="006B2E3F" w:rsidP="00967722">
      <w:pPr>
        <w:pStyle w:val="BMJNormal0"/>
        <w:rPr>
          <w:b/>
          <w:i/>
        </w:rPr>
      </w:pPr>
      <w:r w:rsidRPr="00967722">
        <w:rPr>
          <w:b/>
          <w:i/>
        </w:rPr>
        <w:lastRenderedPageBreak/>
        <w:t xml:space="preserve">4.4 </w:t>
      </w:r>
      <w:r w:rsidR="00872F7F" w:rsidRPr="00967722">
        <w:rPr>
          <w:b/>
          <w:i/>
        </w:rPr>
        <w:t>Relevant comparators</w:t>
      </w:r>
    </w:p>
    <w:p w:rsidR="00901F85" w:rsidRPr="001A70C9" w:rsidRDefault="00901F85" w:rsidP="00967722">
      <w:pPr>
        <w:pStyle w:val="BMJNormal0"/>
        <w:rPr>
          <w:rFonts w:cs="Arial"/>
          <w:szCs w:val="24"/>
        </w:rPr>
      </w:pPr>
      <w:r w:rsidRPr="001A70C9">
        <w:rPr>
          <w:rFonts w:cs="Arial"/>
          <w:szCs w:val="24"/>
        </w:rPr>
        <w:t xml:space="preserve">For </w:t>
      </w:r>
      <w:r w:rsidR="000D3B3E">
        <w:rPr>
          <w:rFonts w:cs="Arial"/>
          <w:szCs w:val="24"/>
        </w:rPr>
        <w:t>patients</w:t>
      </w:r>
      <w:r w:rsidRPr="001A70C9">
        <w:rPr>
          <w:rFonts w:cs="Arial"/>
          <w:szCs w:val="24"/>
        </w:rPr>
        <w:t xml:space="preserve"> </w:t>
      </w:r>
      <w:r w:rsidR="00967722">
        <w:t>who have received previous cytokine therapy (</w:t>
      </w:r>
      <w:proofErr w:type="spellStart"/>
      <w:r w:rsidR="00967722">
        <w:t>aldesleukin</w:t>
      </w:r>
      <w:proofErr w:type="spellEnd"/>
      <w:r w:rsidR="00967722">
        <w:t xml:space="preserve"> or interferon alfa) </w:t>
      </w:r>
      <w:r w:rsidRPr="001A70C9">
        <w:rPr>
          <w:rFonts w:cs="Arial"/>
          <w:szCs w:val="24"/>
        </w:rPr>
        <w:t>the relevant comparators are:</w:t>
      </w:r>
    </w:p>
    <w:p w:rsidR="004108AF" w:rsidRDefault="004108AF" w:rsidP="004108AF">
      <w:pPr>
        <w:pStyle w:val="BMJNormal0"/>
        <w:numPr>
          <w:ilvl w:val="0"/>
          <w:numId w:val="29"/>
        </w:numPr>
        <w:ind w:left="714" w:hanging="357"/>
      </w:pPr>
      <w:proofErr w:type="spellStart"/>
      <w:r>
        <w:t>Axitinib</w:t>
      </w:r>
      <w:proofErr w:type="spellEnd"/>
      <w:r w:rsidR="00880E60">
        <w:t>;</w:t>
      </w:r>
    </w:p>
    <w:p w:rsidR="004108AF" w:rsidRDefault="004108AF" w:rsidP="004108AF">
      <w:pPr>
        <w:pStyle w:val="BMJNormal0"/>
        <w:numPr>
          <w:ilvl w:val="0"/>
          <w:numId w:val="29"/>
        </w:numPr>
        <w:ind w:left="714" w:hanging="357"/>
      </w:pPr>
      <w:proofErr w:type="spellStart"/>
      <w:r>
        <w:t>Sorafenib</w:t>
      </w:r>
      <w:proofErr w:type="spellEnd"/>
      <w:r w:rsidR="00880E60">
        <w:t>;</w:t>
      </w:r>
    </w:p>
    <w:p w:rsidR="0054291C" w:rsidRDefault="004108AF" w:rsidP="006144D2">
      <w:pPr>
        <w:pStyle w:val="BMJNormal0"/>
        <w:numPr>
          <w:ilvl w:val="0"/>
          <w:numId w:val="29"/>
        </w:numPr>
        <w:spacing w:line="240" w:lineRule="auto"/>
        <w:ind w:left="714" w:hanging="357"/>
      </w:pPr>
      <w:proofErr w:type="spellStart"/>
      <w:r>
        <w:t>Sunitinib</w:t>
      </w:r>
      <w:proofErr w:type="spellEnd"/>
      <w:r w:rsidR="00880E60">
        <w:t>;</w:t>
      </w:r>
    </w:p>
    <w:p w:rsidR="00967722" w:rsidRPr="00D032EE" w:rsidRDefault="00967722" w:rsidP="006144D2">
      <w:pPr>
        <w:pStyle w:val="BMJNormal0"/>
        <w:numPr>
          <w:ilvl w:val="0"/>
          <w:numId w:val="29"/>
        </w:numPr>
        <w:spacing w:line="240" w:lineRule="auto"/>
        <w:ind w:left="714" w:hanging="357"/>
      </w:pPr>
      <w:r>
        <w:t>Best supportive care</w:t>
      </w:r>
      <w:r w:rsidR="00901F85" w:rsidRPr="00D032EE">
        <w:t>.</w:t>
      </w:r>
    </w:p>
    <w:p w:rsidR="00967722" w:rsidRPr="001A70C9" w:rsidRDefault="00967722" w:rsidP="00967722">
      <w:pPr>
        <w:pStyle w:val="BMJNormal0"/>
        <w:rPr>
          <w:rFonts w:cs="Arial"/>
          <w:szCs w:val="24"/>
        </w:rPr>
      </w:pPr>
      <w:r w:rsidRPr="001A70C9">
        <w:rPr>
          <w:rFonts w:cs="Arial"/>
          <w:szCs w:val="24"/>
        </w:rPr>
        <w:t xml:space="preserve">For </w:t>
      </w:r>
      <w:r>
        <w:rPr>
          <w:rFonts w:cs="Arial"/>
          <w:szCs w:val="24"/>
        </w:rPr>
        <w:t>patients</w:t>
      </w:r>
      <w:r w:rsidRPr="001A70C9">
        <w:rPr>
          <w:rFonts w:cs="Arial"/>
          <w:szCs w:val="24"/>
        </w:rPr>
        <w:t xml:space="preserve"> </w:t>
      </w:r>
      <w:r>
        <w:t xml:space="preserve">who have received previous VEGF-targeted therapy </w:t>
      </w:r>
      <w:r w:rsidRPr="001A70C9">
        <w:rPr>
          <w:rFonts w:cs="Arial"/>
          <w:szCs w:val="24"/>
        </w:rPr>
        <w:t>the relevant comparators are:</w:t>
      </w:r>
    </w:p>
    <w:p w:rsidR="00880E60" w:rsidRDefault="00880E60" w:rsidP="00880E60">
      <w:pPr>
        <w:pStyle w:val="BMJNormal0"/>
        <w:numPr>
          <w:ilvl w:val="0"/>
          <w:numId w:val="29"/>
        </w:numPr>
        <w:ind w:left="714" w:hanging="357"/>
      </w:pPr>
      <w:proofErr w:type="spellStart"/>
      <w:r>
        <w:t>Axitinib</w:t>
      </w:r>
      <w:proofErr w:type="spellEnd"/>
      <w:r>
        <w:t>;</w:t>
      </w:r>
    </w:p>
    <w:p w:rsidR="00880E60" w:rsidRDefault="00880E60" w:rsidP="003304A1">
      <w:pPr>
        <w:pStyle w:val="BMJNormal0"/>
        <w:numPr>
          <w:ilvl w:val="0"/>
          <w:numId w:val="29"/>
        </w:numPr>
        <w:ind w:left="714" w:hanging="357"/>
      </w:pPr>
      <w:proofErr w:type="spellStart"/>
      <w:r>
        <w:t>Everolimus</w:t>
      </w:r>
      <w:proofErr w:type="spellEnd"/>
      <w:r>
        <w:t>;</w:t>
      </w:r>
    </w:p>
    <w:p w:rsidR="0054291C" w:rsidRDefault="00880E60" w:rsidP="00967722">
      <w:pPr>
        <w:pStyle w:val="BMJNormal0"/>
        <w:numPr>
          <w:ilvl w:val="0"/>
          <w:numId w:val="29"/>
        </w:numPr>
      </w:pPr>
      <w:proofErr w:type="spellStart"/>
      <w:r>
        <w:t>Sunitinib</w:t>
      </w:r>
      <w:proofErr w:type="spellEnd"/>
      <w:r>
        <w:t>;</w:t>
      </w:r>
      <w:r w:rsidDel="00880E60">
        <w:t xml:space="preserve"> </w:t>
      </w:r>
    </w:p>
    <w:p w:rsidR="00967722" w:rsidRDefault="00967722" w:rsidP="00967722">
      <w:pPr>
        <w:pStyle w:val="BMJNormal0"/>
        <w:numPr>
          <w:ilvl w:val="0"/>
          <w:numId w:val="29"/>
        </w:numPr>
      </w:pPr>
      <w:r>
        <w:t>Best supportive care</w:t>
      </w:r>
      <w:r w:rsidRPr="00D032EE">
        <w:t>.</w:t>
      </w:r>
    </w:p>
    <w:p w:rsidR="009D21EC" w:rsidRPr="00967722" w:rsidRDefault="009D21EC" w:rsidP="009D21EC">
      <w:pPr>
        <w:pStyle w:val="BMJNormal0"/>
      </w:pPr>
      <w:r>
        <w:t>To note is that any cost-effectiveness analysis undertaken will only consider interventions and comparators within their marketing authorisation</w:t>
      </w:r>
      <w:r w:rsidR="00B42093">
        <w:t xml:space="preserve">, including </w:t>
      </w:r>
      <w:proofErr w:type="spellStart"/>
      <w:r w:rsidR="00B42093">
        <w:t>axitinib</w:t>
      </w:r>
      <w:proofErr w:type="spellEnd"/>
      <w:r w:rsidR="00B42093">
        <w:t xml:space="preserve"> which has been recommended by NICE outside its marketing authorisation</w:t>
      </w:r>
      <w:r>
        <w:t xml:space="preserve">. </w:t>
      </w:r>
    </w:p>
    <w:p w:rsidR="00545E9F" w:rsidRPr="00545E9F" w:rsidRDefault="006B2E3F" w:rsidP="00545E9F">
      <w:pPr>
        <w:pStyle w:val="BMJNormal0"/>
        <w:rPr>
          <w:b/>
          <w:i/>
        </w:rPr>
      </w:pPr>
      <w:r w:rsidRPr="00545E9F">
        <w:rPr>
          <w:b/>
          <w:i/>
        </w:rPr>
        <w:t xml:space="preserve">4.5 </w:t>
      </w:r>
      <w:r w:rsidR="00445856" w:rsidRPr="00545E9F">
        <w:rPr>
          <w:b/>
          <w:i/>
        </w:rPr>
        <w:t>Population and relevant sub</w:t>
      </w:r>
      <w:r w:rsidR="00872F7F" w:rsidRPr="00545E9F">
        <w:rPr>
          <w:b/>
          <w:i/>
        </w:rPr>
        <w:t>groups</w:t>
      </w:r>
    </w:p>
    <w:p w:rsidR="00CE2EAE" w:rsidRDefault="00901F85" w:rsidP="00545E9F">
      <w:pPr>
        <w:pStyle w:val="BMJNormal0"/>
      </w:pPr>
      <w:r w:rsidRPr="008813D0">
        <w:t>The population of interest to the current appraisal</w:t>
      </w:r>
      <w:r>
        <w:t xml:space="preserve"> is </w:t>
      </w:r>
      <w:r w:rsidR="00545E9F">
        <w:t>people with previously treated, advanced or metastatic RCC</w:t>
      </w:r>
      <w:r>
        <w:t>.</w:t>
      </w:r>
      <w:r w:rsidRPr="006B47C7">
        <w:t xml:space="preserve"> </w:t>
      </w:r>
      <w:r w:rsidRPr="00D05BC5">
        <w:t>If the evidence allows</w:t>
      </w:r>
      <w:r w:rsidR="00C94736">
        <w:t xml:space="preserve"> </w:t>
      </w:r>
      <w:r w:rsidR="00CE2EAE">
        <w:t>the following subgroups will be considered:</w:t>
      </w:r>
    </w:p>
    <w:p w:rsidR="003E1D1C" w:rsidRPr="003E1D1C" w:rsidRDefault="008122E6" w:rsidP="006144D2">
      <w:pPr>
        <w:pStyle w:val="BMJNormal0"/>
        <w:numPr>
          <w:ilvl w:val="0"/>
          <w:numId w:val="31"/>
        </w:numPr>
        <w:spacing w:line="240" w:lineRule="auto"/>
        <w:ind w:left="714" w:hanging="357"/>
      </w:pPr>
      <w:r>
        <w:t>Previous treatment</w:t>
      </w:r>
      <w:r w:rsidR="003E1D1C" w:rsidRPr="003E1D1C">
        <w:t>;</w:t>
      </w:r>
      <w:r w:rsidR="00901F85" w:rsidRPr="003E1D1C">
        <w:t xml:space="preserve"> </w:t>
      </w:r>
    </w:p>
    <w:p w:rsidR="00790B49" w:rsidRPr="00AB7931" w:rsidRDefault="008122E6" w:rsidP="006144D2">
      <w:pPr>
        <w:pStyle w:val="BMJNormal0"/>
        <w:numPr>
          <w:ilvl w:val="0"/>
          <w:numId w:val="31"/>
        </w:numPr>
        <w:rPr>
          <w:b/>
          <w:i/>
        </w:rPr>
      </w:pPr>
      <w:r>
        <w:t xml:space="preserve">Patients’ prognostic scores (for example ECOG or </w:t>
      </w:r>
      <w:proofErr w:type="spellStart"/>
      <w:r>
        <w:t>Motzer</w:t>
      </w:r>
      <w:proofErr w:type="spellEnd"/>
      <w:r>
        <w:t>).</w:t>
      </w:r>
    </w:p>
    <w:p w:rsidR="00872F7F" w:rsidRPr="006144D2" w:rsidRDefault="006B2E3F" w:rsidP="006144D2">
      <w:pPr>
        <w:pStyle w:val="BMJNormal0"/>
        <w:rPr>
          <w:b/>
          <w:i/>
          <w:highlight w:val="yellow"/>
        </w:rPr>
      </w:pPr>
      <w:r w:rsidRPr="006144D2">
        <w:rPr>
          <w:b/>
          <w:i/>
        </w:rPr>
        <w:t xml:space="preserve">4.6 </w:t>
      </w:r>
      <w:r w:rsidR="00207C2E" w:rsidRPr="006144D2">
        <w:rPr>
          <w:b/>
          <w:i/>
        </w:rPr>
        <w:t>Outcomes</w:t>
      </w:r>
      <w:r w:rsidR="00872F7F" w:rsidRPr="006144D2">
        <w:rPr>
          <w:b/>
          <w:i/>
        </w:rPr>
        <w:t xml:space="preserve"> to be addressed</w:t>
      </w:r>
      <w:r w:rsidR="00872F7F" w:rsidRPr="006144D2">
        <w:rPr>
          <w:b/>
          <w:i/>
          <w:highlight w:val="yellow"/>
        </w:rPr>
        <w:t xml:space="preserve"> </w:t>
      </w:r>
    </w:p>
    <w:p w:rsidR="00901F85" w:rsidRPr="00BD1E62" w:rsidRDefault="004363F3" w:rsidP="006144D2">
      <w:pPr>
        <w:pStyle w:val="BMJNormal0"/>
        <w:rPr>
          <w:lang w:eastAsia="en-US"/>
        </w:rPr>
      </w:pPr>
      <w:r>
        <w:rPr>
          <w:lang w:eastAsia="en-US"/>
        </w:rPr>
        <w:t xml:space="preserve">If data allow, </w:t>
      </w:r>
      <w:r w:rsidR="008122E6">
        <w:rPr>
          <w:lang w:eastAsia="en-US"/>
        </w:rPr>
        <w:t xml:space="preserve">outcome measures </w:t>
      </w:r>
      <w:r w:rsidR="00901F85" w:rsidRPr="00BD1E62">
        <w:rPr>
          <w:lang w:eastAsia="en-US"/>
        </w:rPr>
        <w:t xml:space="preserve">will </w:t>
      </w:r>
      <w:r w:rsidR="008122E6">
        <w:rPr>
          <w:lang w:eastAsia="en-US"/>
        </w:rPr>
        <w:t>include</w:t>
      </w:r>
      <w:r w:rsidR="00901F85" w:rsidRPr="00BD1E62">
        <w:rPr>
          <w:lang w:eastAsia="en-US"/>
        </w:rPr>
        <w:t>:</w:t>
      </w:r>
    </w:p>
    <w:p w:rsidR="00901F85" w:rsidRPr="00BD1E62" w:rsidRDefault="008122E6" w:rsidP="006144D2">
      <w:pPr>
        <w:pStyle w:val="BMJNormal0"/>
        <w:numPr>
          <w:ilvl w:val="0"/>
          <w:numId w:val="32"/>
        </w:numPr>
        <w:spacing w:line="240" w:lineRule="auto"/>
      </w:pPr>
      <w:r>
        <w:t>O</w:t>
      </w:r>
      <w:r w:rsidR="00901F85" w:rsidRPr="00BD1E62">
        <w:t>verall survival</w:t>
      </w:r>
      <w:r w:rsidR="00901F85">
        <w:t>;</w:t>
      </w:r>
    </w:p>
    <w:p w:rsidR="00901F85" w:rsidRPr="00BD1E62" w:rsidRDefault="008122E6" w:rsidP="006144D2">
      <w:pPr>
        <w:pStyle w:val="BMJNormal0"/>
        <w:numPr>
          <w:ilvl w:val="0"/>
          <w:numId w:val="30"/>
        </w:numPr>
        <w:spacing w:line="240" w:lineRule="auto"/>
        <w:ind w:left="714" w:hanging="357"/>
      </w:pPr>
      <w:r>
        <w:t>P</w:t>
      </w:r>
      <w:r w:rsidR="00901F85" w:rsidRPr="00BD1E62">
        <w:t>rogression-free survival</w:t>
      </w:r>
      <w:r w:rsidR="00901F85">
        <w:t>;</w:t>
      </w:r>
    </w:p>
    <w:p w:rsidR="00901F85" w:rsidRPr="00BD1E62" w:rsidRDefault="008122E6" w:rsidP="006144D2">
      <w:pPr>
        <w:pStyle w:val="BMJNormal0"/>
        <w:numPr>
          <w:ilvl w:val="0"/>
          <w:numId w:val="30"/>
        </w:numPr>
        <w:spacing w:line="240" w:lineRule="auto"/>
        <w:ind w:left="714" w:hanging="357"/>
      </w:pPr>
      <w:r>
        <w:t>R</w:t>
      </w:r>
      <w:r w:rsidR="00901F85" w:rsidRPr="00BD1E62">
        <w:t>esponse rate</w:t>
      </w:r>
      <w:r w:rsidR="00D9477C">
        <w:t>s</w:t>
      </w:r>
      <w:r w:rsidR="00153E1A">
        <w:t xml:space="preserve"> (objective response rate, clinical benefit rate</w:t>
      </w:r>
      <w:r w:rsidR="0054291C">
        <w:t xml:space="preserve">, </w:t>
      </w:r>
      <w:r w:rsidR="00153E1A">
        <w:t>disease control rate)</w:t>
      </w:r>
      <w:r w:rsidR="00901F85">
        <w:t>;</w:t>
      </w:r>
    </w:p>
    <w:p w:rsidR="00901F85" w:rsidRPr="003F3D39" w:rsidRDefault="008122E6" w:rsidP="006144D2">
      <w:pPr>
        <w:pStyle w:val="BMJNormal0"/>
        <w:numPr>
          <w:ilvl w:val="0"/>
          <w:numId w:val="30"/>
        </w:numPr>
        <w:spacing w:line="240" w:lineRule="auto"/>
        <w:ind w:left="714" w:hanging="357"/>
      </w:pPr>
      <w:r>
        <w:lastRenderedPageBreak/>
        <w:t>A</w:t>
      </w:r>
      <w:r w:rsidR="00901F85" w:rsidRPr="003F3D39">
        <w:t>dverse effects of treatment</w:t>
      </w:r>
      <w:r w:rsidR="00901F85" w:rsidRPr="00FD74D4">
        <w:t>;</w:t>
      </w:r>
    </w:p>
    <w:p w:rsidR="00901F85" w:rsidRDefault="008122E6" w:rsidP="006144D2">
      <w:pPr>
        <w:pStyle w:val="BMJNormal0"/>
        <w:numPr>
          <w:ilvl w:val="0"/>
          <w:numId w:val="30"/>
        </w:numPr>
        <w:spacing w:line="240" w:lineRule="auto"/>
        <w:ind w:left="714" w:hanging="357"/>
      </w:pPr>
      <w:r>
        <w:t>H</w:t>
      </w:r>
      <w:r w:rsidR="00901F85">
        <w:t>ealth-</w:t>
      </w:r>
      <w:r w:rsidR="00901F85" w:rsidRPr="00BD1E62">
        <w:t>related quality of life</w:t>
      </w:r>
      <w:r w:rsidR="00901F85">
        <w:t xml:space="preserve"> (</w:t>
      </w:r>
      <w:proofErr w:type="spellStart"/>
      <w:r w:rsidR="00901F85">
        <w:t>HRQoL</w:t>
      </w:r>
      <w:proofErr w:type="spellEnd"/>
      <w:r w:rsidR="00901F85">
        <w:t>)</w:t>
      </w:r>
      <w:r>
        <w:t>.</w:t>
      </w:r>
    </w:p>
    <w:p w:rsidR="00545E9F" w:rsidRPr="003E1D1C" w:rsidRDefault="00545E9F" w:rsidP="00545E9F">
      <w:pPr>
        <w:pStyle w:val="BMJnormal"/>
        <w:spacing w:line="240" w:lineRule="auto"/>
        <w:ind w:left="357"/>
      </w:pPr>
    </w:p>
    <w:p w:rsidR="00FC2B14" w:rsidRPr="00FC2B14" w:rsidRDefault="00872F7F" w:rsidP="00FC2B14">
      <w:pPr>
        <w:pStyle w:val="Heading1"/>
        <w:spacing w:before="0" w:after="240"/>
      </w:pPr>
      <w:r w:rsidRPr="00872F7F">
        <w:t>Report met</w:t>
      </w:r>
      <w:r w:rsidR="00FC2B14">
        <w:t xml:space="preserve">hods for synthesis of </w:t>
      </w:r>
      <w:r w:rsidRPr="00872F7F">
        <w:t>evidence of clinical effectiveness</w:t>
      </w:r>
    </w:p>
    <w:p w:rsidR="003D64DD" w:rsidRPr="003D64DD" w:rsidRDefault="00CF06F6" w:rsidP="00FC2B14">
      <w:pPr>
        <w:pStyle w:val="BMJnormal"/>
      </w:pPr>
      <w:r w:rsidRPr="00FC2B14">
        <w:t>T</w:t>
      </w:r>
      <w:r w:rsidRPr="003D64DD">
        <w:t xml:space="preserve">his MTA will include a review of </w:t>
      </w:r>
      <w:proofErr w:type="spellStart"/>
      <w:r w:rsidRPr="003D64DD">
        <w:t>axitinib</w:t>
      </w:r>
      <w:proofErr w:type="spellEnd"/>
      <w:r w:rsidRPr="003D64DD">
        <w:t xml:space="preserve">, </w:t>
      </w:r>
      <w:proofErr w:type="spellStart"/>
      <w:r w:rsidRPr="003D64DD">
        <w:t>sorafenib</w:t>
      </w:r>
      <w:proofErr w:type="spellEnd"/>
      <w:r w:rsidRPr="003D64DD">
        <w:t xml:space="preserve">, and </w:t>
      </w:r>
      <w:proofErr w:type="spellStart"/>
      <w:r w:rsidRPr="003D64DD">
        <w:t>sunitinib</w:t>
      </w:r>
      <w:proofErr w:type="spellEnd"/>
      <w:r w:rsidRPr="003D64DD">
        <w:t xml:space="preserve"> for people who have received previous cytokine therapy (</w:t>
      </w:r>
      <w:proofErr w:type="spellStart"/>
      <w:r w:rsidRPr="003D64DD">
        <w:t>aldesleukin</w:t>
      </w:r>
      <w:proofErr w:type="spellEnd"/>
      <w:r w:rsidRPr="003D64DD">
        <w:t xml:space="preserve"> or interferon alfa), and </w:t>
      </w:r>
      <w:proofErr w:type="spellStart"/>
      <w:r w:rsidRPr="003D64DD">
        <w:t>axitinib</w:t>
      </w:r>
      <w:proofErr w:type="spellEnd"/>
      <w:r w:rsidRPr="003D64DD">
        <w:t xml:space="preserve">, </w:t>
      </w:r>
      <w:proofErr w:type="spellStart"/>
      <w:r w:rsidRPr="003D64DD">
        <w:t>everolimu</w:t>
      </w:r>
      <w:r w:rsidR="008B0E92">
        <w:t>s</w:t>
      </w:r>
      <w:proofErr w:type="spellEnd"/>
      <w:r w:rsidRPr="003D64DD">
        <w:t xml:space="preserve"> and </w:t>
      </w:r>
      <w:proofErr w:type="spellStart"/>
      <w:r w:rsidRPr="003D64DD">
        <w:t>sunitinib</w:t>
      </w:r>
      <w:proofErr w:type="spellEnd"/>
      <w:r w:rsidRPr="003D64DD">
        <w:t xml:space="preserve"> for people who have received previous vascular endothelial growth (VEGF)-targeted therapy for the treatment of advanced and/or metastatic RCC. </w:t>
      </w:r>
      <w:r w:rsidR="003D64DD">
        <w:t>This will include a review of TA333 (</w:t>
      </w:r>
      <w:proofErr w:type="spellStart"/>
      <w:r w:rsidR="003D64DD">
        <w:t>Axitinib</w:t>
      </w:r>
      <w:proofErr w:type="spellEnd"/>
      <w:r w:rsidR="003D64DD">
        <w:t xml:space="preserve"> for treating advanced RCC after failure of prior systemic treatment), TA219 (</w:t>
      </w:r>
      <w:proofErr w:type="spellStart"/>
      <w:r w:rsidR="003D64DD">
        <w:t>Everolimus</w:t>
      </w:r>
      <w:proofErr w:type="spellEnd"/>
      <w:r w:rsidR="003D64DD">
        <w:t xml:space="preserve"> for the second-line treatment of advanced RCC)</w:t>
      </w:r>
      <w:r w:rsidR="001B490D">
        <w:t xml:space="preserve"> </w:t>
      </w:r>
      <w:r w:rsidR="003D64DD">
        <w:t>and a part-review of TA178</w:t>
      </w:r>
      <w:r w:rsidR="00A24FC3">
        <w:t>,</w:t>
      </w:r>
      <w:r w:rsidR="003D64DD">
        <w:t xml:space="preserve"> </w:t>
      </w:r>
      <w:r w:rsidR="001B490D">
        <w:t>(</w:t>
      </w:r>
      <w:proofErr w:type="spellStart"/>
      <w:r w:rsidR="003D64DD">
        <w:t>sorafenib</w:t>
      </w:r>
      <w:proofErr w:type="spellEnd"/>
      <w:r w:rsidR="003D64DD">
        <w:t xml:space="preserve"> </w:t>
      </w:r>
      <w:r w:rsidR="003F47B1">
        <w:t xml:space="preserve">and </w:t>
      </w:r>
      <w:proofErr w:type="spellStart"/>
      <w:r w:rsidR="003D64DD">
        <w:t>sunitinib</w:t>
      </w:r>
      <w:proofErr w:type="spellEnd"/>
      <w:r w:rsidR="0008708B">
        <w:t>)</w:t>
      </w:r>
      <w:r w:rsidR="00A24FC3">
        <w:t xml:space="preserve"> </w:t>
      </w:r>
      <w:r w:rsidR="003D64DD">
        <w:t xml:space="preserve">for the </w:t>
      </w:r>
      <w:r w:rsidR="0008708B">
        <w:t>second</w:t>
      </w:r>
      <w:r w:rsidR="00A33D66">
        <w:t>-</w:t>
      </w:r>
      <w:r w:rsidR="0008708B">
        <w:t xml:space="preserve">line </w:t>
      </w:r>
      <w:r w:rsidR="003D64DD">
        <w:t xml:space="preserve">treatment of advanced and/or metastatic RCC). </w:t>
      </w:r>
      <w:r w:rsidR="003D64DD" w:rsidRPr="003D64DD">
        <w:t>The</w:t>
      </w:r>
      <w:r w:rsidR="00A426C0">
        <w:t xml:space="preserve"> systematic review</w:t>
      </w:r>
      <w:r w:rsidR="003D64DD" w:rsidRPr="003D64DD">
        <w:t xml:space="preserve"> will be undertaken following the general principles published by the NHS Centre for Reviews and Dissemination.</w:t>
      </w:r>
      <w:r w:rsidR="009304C3" w:rsidRPr="009D21EC">
        <w:rPr>
          <w:vertAlign w:val="superscript"/>
        </w:rPr>
        <w:fldChar w:fldCharType="begin"/>
      </w:r>
      <w:r w:rsidR="00156BCD">
        <w:rPr>
          <w:vertAlign w:val="superscript"/>
        </w:rPr>
        <w:instrText xml:space="preserve"> ADDIN EN.CITE &lt;EndNote&gt;&lt;Cite&gt;&lt;Author&gt;Centre for Reviews and Dissemination (CRD)&lt;/Author&gt;&lt;RecNum&gt;1450&lt;/RecNum&gt;&lt;DisplayText&gt;(8)&lt;/DisplayText&gt;&lt;record&gt;&lt;rec-number&gt;1450&lt;/rec-number&gt;&lt;foreign-keys&gt;&lt;key app="EN" db-id="esp95wd9g0ewpfef5z9v2r5odpdv09av02et" timestamp="1443542085"&gt;1450&lt;/key&gt;&lt;/foreign-keys&gt;&lt;ref-type name="Journal Article"&gt;17&lt;/ref-type&gt;&lt;contributors&gt;&lt;authors&gt;&lt;author&gt;Centre for Reviews and Dissemination (CRD),&lt;/author&gt;&lt;/authors&gt;&lt;/contributors&gt;&lt;titles&gt;&lt;title&gt;CRD’s guidance for undertaking reviews in healthcare. 2011&lt;/title&gt;&lt;secondary-title&gt;[accessed September 2015]; Available from: http://www.york.ac.uk/inst/crd/SysRev/!SSL!/WebHelp/SysRev3.htm)&lt;/secondary-title&gt;&lt;/titles&gt;&lt;periodical&gt;&lt;full-title&gt;[accessed September 2015]; Available from: http://www.york.ac.uk/inst/crd/SysRev/!SSL!/WebHelp/SysRev3.htm)&lt;/full-title&gt;&lt;/periodical&gt;&lt;dates&gt;&lt;/dates&gt;&lt;urls&gt;&lt;/urls&gt;&lt;/record&gt;&lt;/Cite&gt;&lt;/EndNote&gt;</w:instrText>
      </w:r>
      <w:r w:rsidR="009304C3" w:rsidRPr="009D21EC">
        <w:rPr>
          <w:vertAlign w:val="superscript"/>
        </w:rPr>
        <w:fldChar w:fldCharType="separate"/>
      </w:r>
      <w:r w:rsidR="009004AC">
        <w:rPr>
          <w:noProof/>
          <w:vertAlign w:val="superscript"/>
        </w:rPr>
        <w:t>(8)</w:t>
      </w:r>
      <w:r w:rsidR="009304C3" w:rsidRPr="009D21EC">
        <w:rPr>
          <w:vertAlign w:val="superscript"/>
        </w:rPr>
        <w:fldChar w:fldCharType="end"/>
      </w:r>
      <w:r w:rsidR="003D64DD" w:rsidRPr="003D64DD">
        <w:t xml:space="preserve"> </w:t>
      </w:r>
    </w:p>
    <w:p w:rsidR="00872F7F" w:rsidRPr="00D51BD6" w:rsidRDefault="00A83A8C" w:rsidP="00D51BD6">
      <w:pPr>
        <w:pStyle w:val="BMJnormal"/>
        <w:rPr>
          <w:highlight w:val="yellow"/>
        </w:rPr>
      </w:pPr>
      <w:r>
        <w:rPr>
          <w:b/>
          <w:i/>
        </w:rPr>
        <w:t xml:space="preserve">5.1 </w:t>
      </w:r>
      <w:r w:rsidR="00872F7F" w:rsidRPr="00FB2834">
        <w:rPr>
          <w:b/>
          <w:i/>
        </w:rPr>
        <w:t>Search strategy</w:t>
      </w:r>
    </w:p>
    <w:p w:rsidR="00160B4A" w:rsidRDefault="00160B4A" w:rsidP="00881299">
      <w:pPr>
        <w:pStyle w:val="BMJnormal"/>
      </w:pPr>
      <w:r>
        <w:t xml:space="preserve">This MTA will include a review of </w:t>
      </w:r>
      <w:proofErr w:type="spellStart"/>
      <w:r>
        <w:t>axitinib</w:t>
      </w:r>
      <w:proofErr w:type="spellEnd"/>
      <w:r>
        <w:t xml:space="preserve">, </w:t>
      </w:r>
      <w:proofErr w:type="spellStart"/>
      <w:r>
        <w:t>sorafenib</w:t>
      </w:r>
      <w:proofErr w:type="spellEnd"/>
      <w:r>
        <w:t xml:space="preserve"> and </w:t>
      </w:r>
      <w:proofErr w:type="spellStart"/>
      <w:r>
        <w:t>sunitinib</w:t>
      </w:r>
      <w:proofErr w:type="spellEnd"/>
      <w:r>
        <w:t xml:space="preserve"> for patients who have received previous cytokine therapy (e.g. </w:t>
      </w:r>
      <w:proofErr w:type="spellStart"/>
      <w:r>
        <w:t>aldesleukin</w:t>
      </w:r>
      <w:proofErr w:type="spellEnd"/>
      <w:r>
        <w:t xml:space="preserve"> or interferon alfa), and </w:t>
      </w:r>
      <w:proofErr w:type="spellStart"/>
      <w:r>
        <w:t>axitinib</w:t>
      </w:r>
      <w:proofErr w:type="spellEnd"/>
      <w:r>
        <w:t xml:space="preserve">, </w:t>
      </w:r>
      <w:proofErr w:type="spellStart"/>
      <w:r>
        <w:t>everolimus</w:t>
      </w:r>
      <w:proofErr w:type="spellEnd"/>
      <w:r>
        <w:t xml:space="preserve"> and </w:t>
      </w:r>
      <w:proofErr w:type="spellStart"/>
      <w:r>
        <w:t>sunitinib</w:t>
      </w:r>
      <w:proofErr w:type="spellEnd"/>
      <w:r>
        <w:t xml:space="preserve"> for people who have received vascular endothelial growth factor-targeted (VEGF) therapy.</w:t>
      </w:r>
    </w:p>
    <w:p w:rsidR="00881299" w:rsidRDefault="00881299" w:rsidP="00881299">
      <w:pPr>
        <w:pStyle w:val="BMJnormal"/>
      </w:pPr>
      <w:r w:rsidRPr="00B930C2">
        <w:t xml:space="preserve">Should the randomised evidence base be insufficient to inform the decision problem that is the focus of this </w:t>
      </w:r>
      <w:r>
        <w:t>MTA</w:t>
      </w:r>
      <w:r w:rsidRPr="00B930C2">
        <w:t xml:space="preserve">, </w:t>
      </w:r>
      <w:r>
        <w:t xml:space="preserve">a search for </w:t>
      </w:r>
      <w:r w:rsidR="001E22A0">
        <w:t xml:space="preserve">comparative </w:t>
      </w:r>
      <w:r>
        <w:t xml:space="preserve">non-randomised trials will be </w:t>
      </w:r>
      <w:proofErr w:type="gramStart"/>
      <w:r>
        <w:t>conducted.</w:t>
      </w:r>
      <w:proofErr w:type="gramEnd"/>
      <w:r>
        <w:t xml:space="preserve"> </w:t>
      </w:r>
      <w:r w:rsidRPr="00B930C2">
        <w:t>Any non-RCT evidence identified will be considered for suitability and recommended methods used to minimise the introduction of bias.</w:t>
      </w:r>
      <w:r w:rsidR="009304C3" w:rsidRPr="00D87C4D">
        <w:rPr>
          <w:vertAlign w:val="superscript"/>
        </w:rPr>
        <w:fldChar w:fldCharType="begin"/>
      </w:r>
      <w:r w:rsidR="00960313">
        <w:rPr>
          <w:vertAlign w:val="superscript"/>
        </w:rPr>
        <w:instrText xml:space="preserve"> ADDIN EN.CITE &lt;EndNote&gt;&lt;Cite&gt;&lt;Author&gt;National Institute for Health and Care Excellence (NICE)&lt;/Author&gt;&lt;Year&gt;2013&lt;/Year&gt;&lt;RecNum&gt;1368&lt;/RecNum&gt;&lt;DisplayText&gt;(9)&lt;/DisplayText&gt;&lt;record&gt;&lt;rec-number&gt;1368&lt;/rec-number&gt;&lt;foreign-keys&gt;&lt;key app="EN" db-id="f2zd9vv2gsxse8ed0f5vdr57sz05f92pd5tx" timestamp="1443524248"&gt;1368&lt;/key&gt;&lt;/foreign-keys&gt;&lt;ref-type name="Report"&gt;27&lt;/ref-type&gt;&lt;contributors&gt;&lt;authors&gt;&lt;author&gt;National Institute for Health and Care Excellence (NICE),&lt;/author&gt;&lt;/authors&gt;&lt;/contributors&gt;&lt;titles&gt;&lt;title&gt;Guide to the methods of technology appraisal 2013&lt;/title&gt;&lt;secondary-title&gt;Process and methods guides&lt;/secondary-title&gt;&lt;/titles&gt;&lt;dates&gt;&lt;year&gt;2013&lt;/year&gt;&lt;/dates&gt;&lt;publisher&gt;Available at https://www.nice.org.uk/article/pmg9/resources/non-guidance-guide-to-the-methods-of-technology-appraisal-2013-pdf&lt;/publisher&gt;&lt;urls&gt;&lt;related-urls&gt;&lt;url&gt;http://publications.nice.org.uk/pmg9&lt;/url&gt;&lt;/related-urls&gt;&lt;/urls&gt;&lt;/record&gt;&lt;/Cite&gt;&lt;/EndNote&gt;</w:instrText>
      </w:r>
      <w:r w:rsidR="009304C3" w:rsidRPr="00D87C4D">
        <w:rPr>
          <w:vertAlign w:val="superscript"/>
        </w:rPr>
        <w:fldChar w:fldCharType="separate"/>
      </w:r>
      <w:r w:rsidR="0054291C">
        <w:rPr>
          <w:noProof/>
          <w:vertAlign w:val="superscript"/>
        </w:rPr>
        <w:t>(9)</w:t>
      </w:r>
      <w:r w:rsidR="009304C3" w:rsidRPr="00D87C4D">
        <w:rPr>
          <w:vertAlign w:val="superscript"/>
        </w:rPr>
        <w:fldChar w:fldCharType="end"/>
      </w:r>
    </w:p>
    <w:p w:rsidR="00881299" w:rsidRDefault="00881299" w:rsidP="00881299">
      <w:pPr>
        <w:pStyle w:val="BMJnormal"/>
      </w:pPr>
      <w:r w:rsidRPr="003A25E7">
        <w:t xml:space="preserve">To identify relevant RCTs, </w:t>
      </w:r>
      <w:r>
        <w:t xml:space="preserve">a comprehensive search strategy will be designed and used to search </w:t>
      </w:r>
      <w:r w:rsidRPr="003A25E7">
        <w:t xml:space="preserve">multiple electronic databases including MEDLINE, EMBASE, </w:t>
      </w:r>
      <w:r>
        <w:t>Cochrane Library (</w:t>
      </w:r>
      <w:r w:rsidRPr="003A25E7">
        <w:t>CENTRAL</w:t>
      </w:r>
      <w:r>
        <w:t>)</w:t>
      </w:r>
      <w:r w:rsidRPr="003A25E7">
        <w:t>, and DARE. Bibliographies of retrieved studies</w:t>
      </w:r>
      <w:r>
        <w:t xml:space="preserve"> (RCTs and systematic reviews)</w:t>
      </w:r>
      <w:r w:rsidRPr="003A25E7">
        <w:t xml:space="preserve"> identified as relevant will be manually reviewed for potentially eligible studies. Ongoing clinical trials will be identified by searching clinical trial registries, including ClinicalTrials.gov and the EU Clinical Trials Register. The Index to Scientific and Technical Proceedings will be searched to identify relevant conference proceedings. </w:t>
      </w:r>
      <w:r>
        <w:t>Appropriate</w:t>
      </w:r>
      <w:r w:rsidRPr="003A25E7">
        <w:t xml:space="preserve"> organisational websites, databases, and registers will also be searched. In addition, experts in the field will be contacted with a request for details of published and unpublished studies of </w:t>
      </w:r>
      <w:r w:rsidRPr="003A25E7">
        <w:lastRenderedPageBreak/>
        <w:t>which they may have knowledge.</w:t>
      </w:r>
      <w:r>
        <w:t xml:space="preserve"> Furthermore, submissions provided by </w:t>
      </w:r>
      <w:r w:rsidR="004C0273">
        <w:t>companie</w:t>
      </w:r>
      <w:r>
        <w:t>s will be assessed for unpublished data.</w:t>
      </w:r>
    </w:p>
    <w:p w:rsidR="003D68C5" w:rsidRDefault="00791F8F" w:rsidP="00881299">
      <w:pPr>
        <w:pStyle w:val="BMJnormal"/>
      </w:pPr>
      <w:r w:rsidRPr="006463C0">
        <w:t xml:space="preserve">The search strategy will combine terms </w:t>
      </w:r>
      <w:r>
        <w:t>for</w:t>
      </w:r>
      <w:r w:rsidRPr="006463C0">
        <w:t xml:space="preserve"> the interventions or comparators of interest </w:t>
      </w:r>
      <w:r w:rsidR="00EF7F50">
        <w:t>with terms for</w:t>
      </w:r>
      <w:r w:rsidR="00EF7F50" w:rsidRPr="006463C0">
        <w:t xml:space="preserve"> </w:t>
      </w:r>
      <w:r w:rsidRPr="006463C0">
        <w:t>the target condition (RCC).</w:t>
      </w:r>
      <w:r>
        <w:t xml:space="preserve"> </w:t>
      </w:r>
      <w:r w:rsidR="00E10798">
        <w:t xml:space="preserve">Additional search terms of </w:t>
      </w:r>
      <w:r>
        <w:t xml:space="preserve">interventions outside the scope of this MTA </w:t>
      </w:r>
      <w:r w:rsidR="00E10798">
        <w:t xml:space="preserve">that may be relevant for creating a connective network diagram will be </w:t>
      </w:r>
      <w:r>
        <w:t>used. H</w:t>
      </w:r>
      <w:r w:rsidR="00E10798">
        <w:t>owever</w:t>
      </w:r>
      <w:r>
        <w:t>,</w:t>
      </w:r>
      <w:r w:rsidR="00E10798">
        <w:t xml:space="preserve"> </w:t>
      </w:r>
      <w:r>
        <w:t xml:space="preserve">trials of interventions not listed in the scope </w:t>
      </w:r>
      <w:r w:rsidR="00460582">
        <w:t xml:space="preserve">will only be included </w:t>
      </w:r>
      <w:r w:rsidR="00E10798">
        <w:t xml:space="preserve">if </w:t>
      </w:r>
      <w:r w:rsidR="00460582">
        <w:t xml:space="preserve">they are needed to create </w:t>
      </w:r>
      <w:r w:rsidR="00E10798">
        <w:t xml:space="preserve">a network </w:t>
      </w:r>
      <w:r w:rsidR="00EF7F50">
        <w:t>linking the interventions and comparators listed in the scope</w:t>
      </w:r>
      <w:r w:rsidR="00E10798">
        <w:t>.</w:t>
      </w:r>
    </w:p>
    <w:p w:rsidR="00881299" w:rsidRDefault="00881299" w:rsidP="00881299">
      <w:pPr>
        <w:pStyle w:val="BMJnormal"/>
      </w:pPr>
      <w:r w:rsidRPr="003A25E7">
        <w:t xml:space="preserve">No </w:t>
      </w:r>
      <w:r w:rsidR="00E10798">
        <w:t xml:space="preserve">date or </w:t>
      </w:r>
      <w:r w:rsidRPr="003A25E7">
        <w:t>language restrictions will be applied to the search strategy. Full details of the terms used in the scoping search are presented in Appendix 9.1.</w:t>
      </w:r>
      <w:r>
        <w:t xml:space="preserve"> </w:t>
      </w:r>
      <w:r w:rsidRPr="0089020C">
        <w:t>All searches will be updated when the draft report is under peer review, prior to submission of the final report.</w:t>
      </w:r>
    </w:p>
    <w:p w:rsidR="00901F85" w:rsidRPr="00872F7F" w:rsidRDefault="00901F85" w:rsidP="00901F85">
      <w:pPr>
        <w:pStyle w:val="BMJnormal"/>
      </w:pPr>
      <w:r>
        <w:rPr>
          <w:b/>
          <w:i/>
        </w:rPr>
        <w:t xml:space="preserve">5.2 </w:t>
      </w:r>
      <w:r w:rsidRPr="00207C2E">
        <w:rPr>
          <w:b/>
          <w:i/>
        </w:rPr>
        <w:t>Study selection criteria and procedures</w:t>
      </w:r>
      <w:r w:rsidRPr="00FB2834">
        <w:rPr>
          <w:b/>
          <w:i/>
        </w:rPr>
        <w:t xml:space="preserve"> </w:t>
      </w:r>
    </w:p>
    <w:p w:rsidR="003D64DD" w:rsidRPr="003D64DD" w:rsidRDefault="00881299" w:rsidP="003D64DD">
      <w:pPr>
        <w:pStyle w:val="BMJnormal"/>
      </w:pPr>
      <w:r w:rsidRPr="003D64DD">
        <w:t xml:space="preserve">Two reviewers will independently screen all titles and abstracts according to the inclusion criteria (see Table 1). It is anticipated that relevant </w:t>
      </w:r>
      <w:r w:rsidR="001547CD">
        <w:t>companies</w:t>
      </w:r>
      <w:r w:rsidR="001547CD" w:rsidRPr="003D64DD">
        <w:t xml:space="preserve"> </w:t>
      </w:r>
      <w:r w:rsidRPr="003D64DD">
        <w:t>will provide submissions that may include unpublished data that will be considered. Full paper manuscripts of any titles/abstracts that may be relevant will be obtained where possible and the relevance of each study assessed. Discrepancies will be resolved by consensus, with involvement of a third reviewer when necessary.</w:t>
      </w:r>
    </w:p>
    <w:p w:rsidR="00F80700" w:rsidRPr="00F80700" w:rsidRDefault="00881299" w:rsidP="00F80700">
      <w:pPr>
        <w:pStyle w:val="BMJCAPTION"/>
      </w:pPr>
      <w:proofErr w:type="gramStart"/>
      <w:r w:rsidRPr="00CF7A95">
        <w:t xml:space="preserve">Table </w:t>
      </w:r>
      <w:r w:rsidR="009304C3">
        <w:fldChar w:fldCharType="begin"/>
      </w:r>
      <w:r w:rsidR="008F70C6">
        <w:instrText xml:space="preserve"> SEQ Table \* ARABIC </w:instrText>
      </w:r>
      <w:r w:rsidR="009304C3">
        <w:fldChar w:fldCharType="separate"/>
      </w:r>
      <w:r w:rsidRPr="00CF7A95">
        <w:rPr>
          <w:noProof/>
        </w:rPr>
        <w:t>1</w:t>
      </w:r>
      <w:r w:rsidR="009304C3">
        <w:rPr>
          <w:noProof/>
        </w:rPr>
        <w:fldChar w:fldCharType="end"/>
      </w:r>
      <w:r w:rsidRPr="00CF7A95">
        <w:t>.</w:t>
      </w:r>
      <w:proofErr w:type="gramEnd"/>
      <w:r w:rsidRPr="00CF7A95">
        <w:t xml:space="preserve"> Inclusion criteria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4"/>
        <w:gridCol w:w="6200"/>
      </w:tblGrid>
      <w:tr w:rsidR="0054291C" w:rsidTr="0054291C">
        <w:trPr>
          <w:tblHeader/>
        </w:trPr>
        <w:tc>
          <w:tcPr>
            <w:tcW w:w="8114" w:type="dxa"/>
            <w:gridSpan w:val="2"/>
            <w:shd w:val="clear" w:color="auto" w:fill="C6D9F1"/>
          </w:tcPr>
          <w:p w:rsidR="0054291C" w:rsidRDefault="0054291C" w:rsidP="00F80700">
            <w:pPr>
              <w:pStyle w:val="BMJTABLEHEADER"/>
              <w:keepNext w:val="0"/>
              <w:widowControl w:val="0"/>
              <w:jc w:val="left"/>
            </w:pPr>
            <w:r>
              <w:t>Inclusion criteria</w:t>
            </w:r>
          </w:p>
        </w:tc>
      </w:tr>
      <w:tr w:rsidR="00881299" w:rsidTr="00160B4A">
        <w:tc>
          <w:tcPr>
            <w:tcW w:w="1914" w:type="dxa"/>
          </w:tcPr>
          <w:p w:rsidR="00881299" w:rsidRPr="00C53A51" w:rsidRDefault="00881299" w:rsidP="00F80700">
            <w:pPr>
              <w:pStyle w:val="BMJTABLEHEADER"/>
              <w:keepNext w:val="0"/>
              <w:widowControl w:val="0"/>
              <w:jc w:val="left"/>
              <w:rPr>
                <w:b w:val="0"/>
              </w:rPr>
            </w:pPr>
            <w:r>
              <w:rPr>
                <w:b w:val="0"/>
              </w:rPr>
              <w:t>Study design</w:t>
            </w:r>
          </w:p>
        </w:tc>
        <w:tc>
          <w:tcPr>
            <w:tcW w:w="6200" w:type="dxa"/>
          </w:tcPr>
          <w:p w:rsidR="00881299" w:rsidRPr="00291193" w:rsidRDefault="00881299" w:rsidP="00F80700">
            <w:pPr>
              <w:pStyle w:val="BMJTABLEHEADER"/>
              <w:keepNext w:val="0"/>
              <w:widowControl w:val="0"/>
              <w:jc w:val="left"/>
              <w:rPr>
                <w:b w:val="0"/>
                <w:szCs w:val="18"/>
              </w:rPr>
            </w:pPr>
            <w:r w:rsidRPr="00291193">
              <w:rPr>
                <w:b w:val="0"/>
                <w:szCs w:val="18"/>
              </w:rPr>
              <w:t xml:space="preserve">RCTs </w:t>
            </w:r>
            <w:r>
              <w:rPr>
                <w:b w:val="0"/>
                <w:szCs w:val="18"/>
              </w:rPr>
              <w:t>(</w:t>
            </w:r>
            <w:r w:rsidR="001547CD">
              <w:rPr>
                <w:b w:val="0"/>
                <w:szCs w:val="18"/>
              </w:rPr>
              <w:t xml:space="preserve">comparative </w:t>
            </w:r>
            <w:r>
              <w:rPr>
                <w:b w:val="0"/>
                <w:szCs w:val="18"/>
              </w:rPr>
              <w:t>non-RCTs will be considered when RCT evidence is insufficient to inform decision problem)</w:t>
            </w:r>
          </w:p>
        </w:tc>
      </w:tr>
      <w:tr w:rsidR="00881299" w:rsidTr="00160B4A">
        <w:tc>
          <w:tcPr>
            <w:tcW w:w="1914" w:type="dxa"/>
          </w:tcPr>
          <w:p w:rsidR="00881299" w:rsidRPr="00C53A51" w:rsidRDefault="00881299" w:rsidP="00F80700">
            <w:pPr>
              <w:pStyle w:val="BMJTABLEHEADER"/>
              <w:keepNext w:val="0"/>
              <w:widowControl w:val="0"/>
              <w:jc w:val="left"/>
              <w:rPr>
                <w:b w:val="0"/>
              </w:rPr>
            </w:pPr>
            <w:r>
              <w:rPr>
                <w:b w:val="0"/>
              </w:rPr>
              <w:t>Population</w:t>
            </w:r>
          </w:p>
        </w:tc>
        <w:tc>
          <w:tcPr>
            <w:tcW w:w="6200" w:type="dxa"/>
          </w:tcPr>
          <w:p w:rsidR="00881299" w:rsidRPr="00C53A51" w:rsidRDefault="00881299" w:rsidP="00F80700">
            <w:pPr>
              <w:pStyle w:val="BMJTABLEHEADER"/>
              <w:keepNext w:val="0"/>
              <w:widowControl w:val="0"/>
              <w:jc w:val="left"/>
              <w:rPr>
                <w:b w:val="0"/>
              </w:rPr>
            </w:pPr>
            <w:r>
              <w:rPr>
                <w:b w:val="0"/>
              </w:rPr>
              <w:t>Patients with previously treated, advanced or metastatic RCC</w:t>
            </w:r>
          </w:p>
        </w:tc>
      </w:tr>
      <w:tr w:rsidR="00881299" w:rsidTr="00160B4A">
        <w:tc>
          <w:tcPr>
            <w:tcW w:w="1914" w:type="dxa"/>
          </w:tcPr>
          <w:p w:rsidR="00881299" w:rsidRDefault="00881299" w:rsidP="00F80700">
            <w:pPr>
              <w:pStyle w:val="BMJTABLEHEADER"/>
              <w:keepNext w:val="0"/>
              <w:widowControl w:val="0"/>
              <w:jc w:val="left"/>
              <w:rPr>
                <w:b w:val="0"/>
              </w:rPr>
            </w:pPr>
            <w:r>
              <w:rPr>
                <w:b w:val="0"/>
              </w:rPr>
              <w:t>Interventions</w:t>
            </w:r>
          </w:p>
        </w:tc>
        <w:tc>
          <w:tcPr>
            <w:tcW w:w="6200" w:type="dxa"/>
          </w:tcPr>
          <w:p w:rsidR="00881299" w:rsidRPr="00703A79" w:rsidRDefault="00881299" w:rsidP="00F80700">
            <w:pPr>
              <w:pStyle w:val="BMJTABLEHEADER"/>
              <w:keepNext w:val="0"/>
              <w:widowControl w:val="0"/>
              <w:jc w:val="left"/>
              <w:rPr>
                <w:b w:val="0"/>
              </w:rPr>
            </w:pPr>
            <w:r w:rsidRPr="00703A79">
              <w:rPr>
                <w:b w:val="0"/>
              </w:rPr>
              <w:t xml:space="preserve">For </w:t>
            </w:r>
            <w:r>
              <w:rPr>
                <w:b w:val="0"/>
              </w:rPr>
              <w:t>people who have received previous cytokine therapy (</w:t>
            </w:r>
            <w:proofErr w:type="spellStart"/>
            <w:r>
              <w:rPr>
                <w:b w:val="0"/>
              </w:rPr>
              <w:t>aldesleukin</w:t>
            </w:r>
            <w:proofErr w:type="spellEnd"/>
            <w:r>
              <w:rPr>
                <w:b w:val="0"/>
              </w:rPr>
              <w:t xml:space="preserve"> or interferon alfa)</w:t>
            </w:r>
            <w:r w:rsidRPr="00703A79">
              <w:rPr>
                <w:b w:val="0"/>
              </w:rPr>
              <w:t>:</w:t>
            </w:r>
          </w:p>
          <w:p w:rsidR="00881299" w:rsidRDefault="00881299" w:rsidP="00F80700">
            <w:pPr>
              <w:pStyle w:val="BMJTABLEHEADER"/>
              <w:keepNext w:val="0"/>
              <w:widowControl w:val="0"/>
              <w:numPr>
                <w:ilvl w:val="0"/>
                <w:numId w:val="11"/>
              </w:numPr>
              <w:jc w:val="left"/>
              <w:rPr>
                <w:b w:val="0"/>
              </w:rPr>
            </w:pPr>
            <w:proofErr w:type="spellStart"/>
            <w:r>
              <w:rPr>
                <w:b w:val="0"/>
              </w:rPr>
              <w:t>Axitinib</w:t>
            </w:r>
            <w:proofErr w:type="spellEnd"/>
          </w:p>
          <w:p w:rsidR="00881299" w:rsidRDefault="00395A52" w:rsidP="00F80700">
            <w:pPr>
              <w:pStyle w:val="BMJTABLEHEADER"/>
              <w:keepNext w:val="0"/>
              <w:widowControl w:val="0"/>
              <w:numPr>
                <w:ilvl w:val="0"/>
                <w:numId w:val="11"/>
              </w:numPr>
              <w:jc w:val="left"/>
              <w:rPr>
                <w:b w:val="0"/>
              </w:rPr>
            </w:pPr>
            <w:proofErr w:type="spellStart"/>
            <w:r>
              <w:rPr>
                <w:b w:val="0"/>
              </w:rPr>
              <w:t>Sorafenib</w:t>
            </w:r>
            <w:proofErr w:type="spellEnd"/>
          </w:p>
          <w:p w:rsidR="00881299" w:rsidRPr="00AB2C7C" w:rsidRDefault="00881299" w:rsidP="00F80700">
            <w:pPr>
              <w:pStyle w:val="BMJTABLEHEADER"/>
              <w:keepNext w:val="0"/>
              <w:widowControl w:val="0"/>
              <w:numPr>
                <w:ilvl w:val="0"/>
                <w:numId w:val="11"/>
              </w:numPr>
              <w:jc w:val="left"/>
              <w:rPr>
                <w:b w:val="0"/>
              </w:rPr>
            </w:pPr>
            <w:proofErr w:type="spellStart"/>
            <w:r>
              <w:rPr>
                <w:b w:val="0"/>
              </w:rPr>
              <w:t>Sunitinib</w:t>
            </w:r>
            <w:proofErr w:type="spellEnd"/>
          </w:p>
          <w:p w:rsidR="00881299" w:rsidRPr="00703A79" w:rsidRDefault="00881299" w:rsidP="00F80700">
            <w:pPr>
              <w:pStyle w:val="BMJTABLEHEADER"/>
              <w:keepNext w:val="0"/>
              <w:widowControl w:val="0"/>
              <w:jc w:val="left"/>
              <w:rPr>
                <w:b w:val="0"/>
              </w:rPr>
            </w:pPr>
            <w:r w:rsidRPr="00703A79">
              <w:rPr>
                <w:b w:val="0"/>
              </w:rPr>
              <w:t xml:space="preserve">For </w:t>
            </w:r>
            <w:r>
              <w:rPr>
                <w:b w:val="0"/>
              </w:rPr>
              <w:t>people who have received previous VEGF-targeted therapy</w:t>
            </w:r>
            <w:r w:rsidRPr="00703A79">
              <w:rPr>
                <w:b w:val="0"/>
              </w:rPr>
              <w:t>:</w:t>
            </w:r>
          </w:p>
          <w:p w:rsidR="00881299" w:rsidRDefault="00881299" w:rsidP="00F80700">
            <w:pPr>
              <w:pStyle w:val="BMJTABLEHEADER"/>
              <w:keepNext w:val="0"/>
              <w:widowControl w:val="0"/>
              <w:numPr>
                <w:ilvl w:val="0"/>
                <w:numId w:val="12"/>
              </w:numPr>
              <w:jc w:val="left"/>
              <w:rPr>
                <w:b w:val="0"/>
              </w:rPr>
            </w:pPr>
            <w:proofErr w:type="spellStart"/>
            <w:r>
              <w:rPr>
                <w:b w:val="0"/>
              </w:rPr>
              <w:t>Axitinib</w:t>
            </w:r>
            <w:proofErr w:type="spellEnd"/>
          </w:p>
          <w:p w:rsidR="00881299" w:rsidRPr="003304A1" w:rsidRDefault="00881299" w:rsidP="003304A1">
            <w:pPr>
              <w:pStyle w:val="BMJTABLEHEADER"/>
              <w:keepNext w:val="0"/>
              <w:widowControl w:val="0"/>
              <w:numPr>
                <w:ilvl w:val="0"/>
                <w:numId w:val="12"/>
              </w:numPr>
              <w:jc w:val="left"/>
              <w:rPr>
                <w:b w:val="0"/>
              </w:rPr>
            </w:pPr>
            <w:proofErr w:type="spellStart"/>
            <w:r>
              <w:rPr>
                <w:b w:val="0"/>
              </w:rPr>
              <w:t>Everolimus</w:t>
            </w:r>
            <w:proofErr w:type="spellEnd"/>
          </w:p>
          <w:p w:rsidR="00881299" w:rsidRPr="00AB2C7C" w:rsidRDefault="00881299" w:rsidP="00F80700">
            <w:pPr>
              <w:pStyle w:val="BMJTABLEHEADER"/>
              <w:keepNext w:val="0"/>
              <w:widowControl w:val="0"/>
              <w:numPr>
                <w:ilvl w:val="0"/>
                <w:numId w:val="12"/>
              </w:numPr>
              <w:jc w:val="left"/>
              <w:rPr>
                <w:b w:val="0"/>
              </w:rPr>
            </w:pPr>
            <w:proofErr w:type="spellStart"/>
            <w:r>
              <w:rPr>
                <w:b w:val="0"/>
              </w:rPr>
              <w:t>Sunitinib</w:t>
            </w:r>
            <w:proofErr w:type="spellEnd"/>
          </w:p>
        </w:tc>
      </w:tr>
      <w:tr w:rsidR="00881299" w:rsidTr="00160B4A">
        <w:tc>
          <w:tcPr>
            <w:tcW w:w="1914" w:type="dxa"/>
          </w:tcPr>
          <w:p w:rsidR="00881299" w:rsidRDefault="00881299" w:rsidP="00F80700">
            <w:pPr>
              <w:pStyle w:val="BMJTABLEHEADER"/>
              <w:keepNext w:val="0"/>
              <w:widowControl w:val="0"/>
              <w:jc w:val="left"/>
              <w:rPr>
                <w:b w:val="0"/>
              </w:rPr>
            </w:pPr>
            <w:r>
              <w:rPr>
                <w:b w:val="0"/>
              </w:rPr>
              <w:t>Comparators</w:t>
            </w:r>
          </w:p>
        </w:tc>
        <w:tc>
          <w:tcPr>
            <w:tcW w:w="6200" w:type="dxa"/>
          </w:tcPr>
          <w:p w:rsidR="00881299" w:rsidRDefault="00881299" w:rsidP="00F80700">
            <w:pPr>
              <w:pStyle w:val="BMJTABLEHEADER"/>
              <w:keepNext w:val="0"/>
              <w:widowControl w:val="0"/>
              <w:numPr>
                <w:ilvl w:val="0"/>
                <w:numId w:val="13"/>
              </w:numPr>
              <w:jc w:val="left"/>
              <w:rPr>
                <w:b w:val="0"/>
              </w:rPr>
            </w:pPr>
            <w:r>
              <w:rPr>
                <w:b w:val="0"/>
              </w:rPr>
              <w:t>The interventions listed above compared with each other</w:t>
            </w:r>
          </w:p>
          <w:p w:rsidR="00881299" w:rsidRPr="00AB2C7C" w:rsidRDefault="00881299" w:rsidP="00F80700">
            <w:pPr>
              <w:pStyle w:val="BMJTABLEHEADER"/>
              <w:keepNext w:val="0"/>
              <w:widowControl w:val="0"/>
              <w:numPr>
                <w:ilvl w:val="0"/>
                <w:numId w:val="13"/>
              </w:numPr>
              <w:jc w:val="left"/>
              <w:rPr>
                <w:b w:val="0"/>
              </w:rPr>
            </w:pPr>
            <w:r>
              <w:rPr>
                <w:b w:val="0"/>
              </w:rPr>
              <w:t>Best supportive care</w:t>
            </w:r>
          </w:p>
        </w:tc>
      </w:tr>
      <w:tr w:rsidR="00881299" w:rsidTr="00160B4A">
        <w:tc>
          <w:tcPr>
            <w:tcW w:w="1914" w:type="dxa"/>
          </w:tcPr>
          <w:p w:rsidR="00881299" w:rsidRDefault="00881299" w:rsidP="00F80700">
            <w:pPr>
              <w:pStyle w:val="BMJTABLEHEADER"/>
              <w:keepNext w:val="0"/>
              <w:widowControl w:val="0"/>
              <w:jc w:val="left"/>
              <w:rPr>
                <w:b w:val="0"/>
              </w:rPr>
            </w:pPr>
            <w:r>
              <w:rPr>
                <w:b w:val="0"/>
              </w:rPr>
              <w:t>Outcome</w:t>
            </w:r>
          </w:p>
        </w:tc>
        <w:tc>
          <w:tcPr>
            <w:tcW w:w="6200" w:type="dxa"/>
          </w:tcPr>
          <w:p w:rsidR="00881299" w:rsidRDefault="00881299" w:rsidP="00F80700">
            <w:pPr>
              <w:pStyle w:val="BMJTABLEHEADER"/>
              <w:keepNext w:val="0"/>
              <w:widowControl w:val="0"/>
              <w:numPr>
                <w:ilvl w:val="0"/>
                <w:numId w:val="13"/>
              </w:numPr>
              <w:jc w:val="left"/>
              <w:rPr>
                <w:b w:val="0"/>
              </w:rPr>
            </w:pPr>
            <w:r>
              <w:rPr>
                <w:b w:val="0"/>
              </w:rPr>
              <w:t>Overall survival</w:t>
            </w:r>
          </w:p>
          <w:p w:rsidR="00881299" w:rsidRDefault="00881299" w:rsidP="00F80700">
            <w:pPr>
              <w:pStyle w:val="BMJTABLEHEADER"/>
              <w:keepNext w:val="0"/>
              <w:widowControl w:val="0"/>
              <w:numPr>
                <w:ilvl w:val="0"/>
                <w:numId w:val="13"/>
              </w:numPr>
              <w:jc w:val="left"/>
              <w:rPr>
                <w:b w:val="0"/>
              </w:rPr>
            </w:pPr>
            <w:r>
              <w:rPr>
                <w:b w:val="0"/>
              </w:rPr>
              <w:t>Progression free survival</w:t>
            </w:r>
          </w:p>
          <w:p w:rsidR="00881299" w:rsidRDefault="00881299" w:rsidP="00F80700">
            <w:pPr>
              <w:pStyle w:val="BMJTABLEHEADER"/>
              <w:keepNext w:val="0"/>
              <w:widowControl w:val="0"/>
              <w:numPr>
                <w:ilvl w:val="0"/>
                <w:numId w:val="13"/>
              </w:numPr>
              <w:jc w:val="left"/>
              <w:rPr>
                <w:b w:val="0"/>
              </w:rPr>
            </w:pPr>
            <w:r>
              <w:rPr>
                <w:b w:val="0"/>
              </w:rPr>
              <w:t>Response rates</w:t>
            </w:r>
          </w:p>
          <w:p w:rsidR="00881299" w:rsidRDefault="00881299" w:rsidP="00F80700">
            <w:pPr>
              <w:pStyle w:val="BMJTABLEHEADER"/>
              <w:keepNext w:val="0"/>
              <w:widowControl w:val="0"/>
              <w:numPr>
                <w:ilvl w:val="0"/>
                <w:numId w:val="13"/>
              </w:numPr>
              <w:jc w:val="left"/>
              <w:rPr>
                <w:b w:val="0"/>
              </w:rPr>
            </w:pPr>
            <w:r>
              <w:rPr>
                <w:b w:val="0"/>
              </w:rPr>
              <w:t>Adverse effects of treatment</w:t>
            </w:r>
          </w:p>
          <w:p w:rsidR="00881299" w:rsidRDefault="00881299" w:rsidP="00F80700">
            <w:pPr>
              <w:pStyle w:val="BMJTABLEHEADER"/>
              <w:keepNext w:val="0"/>
              <w:widowControl w:val="0"/>
              <w:numPr>
                <w:ilvl w:val="0"/>
                <w:numId w:val="13"/>
              </w:numPr>
              <w:jc w:val="left"/>
              <w:rPr>
                <w:b w:val="0"/>
              </w:rPr>
            </w:pPr>
            <w:proofErr w:type="spellStart"/>
            <w:r>
              <w:rPr>
                <w:b w:val="0"/>
              </w:rPr>
              <w:t>HRQ</w:t>
            </w:r>
            <w:r w:rsidR="0054291C">
              <w:rPr>
                <w:b w:val="0"/>
              </w:rPr>
              <w:t>o</w:t>
            </w:r>
            <w:r>
              <w:rPr>
                <w:b w:val="0"/>
              </w:rPr>
              <w:t>L</w:t>
            </w:r>
            <w:proofErr w:type="spellEnd"/>
          </w:p>
        </w:tc>
      </w:tr>
      <w:tr w:rsidR="00881299" w:rsidRPr="0054291C" w:rsidTr="00160B4A">
        <w:tc>
          <w:tcPr>
            <w:tcW w:w="8114" w:type="dxa"/>
            <w:gridSpan w:val="2"/>
          </w:tcPr>
          <w:p w:rsidR="00881299" w:rsidRPr="0054291C" w:rsidRDefault="00A00244" w:rsidP="003304A1">
            <w:pPr>
              <w:pStyle w:val="BMJTABLEHEADER"/>
              <w:keepNext w:val="0"/>
              <w:widowControl w:val="0"/>
              <w:jc w:val="left"/>
              <w:rPr>
                <w:b w:val="0"/>
                <w:sz w:val="16"/>
                <w:szCs w:val="16"/>
              </w:rPr>
            </w:pPr>
            <w:r>
              <w:rPr>
                <w:b w:val="0"/>
                <w:sz w:val="16"/>
                <w:szCs w:val="16"/>
              </w:rPr>
              <w:t xml:space="preserve">Abbreviations used in table: </w:t>
            </w:r>
            <w:proofErr w:type="spellStart"/>
            <w:r>
              <w:rPr>
                <w:b w:val="0"/>
                <w:sz w:val="16"/>
                <w:szCs w:val="16"/>
              </w:rPr>
              <w:t>HRQ</w:t>
            </w:r>
            <w:r w:rsidR="0054291C">
              <w:rPr>
                <w:b w:val="0"/>
                <w:sz w:val="16"/>
                <w:szCs w:val="16"/>
              </w:rPr>
              <w:t>o</w:t>
            </w:r>
            <w:r>
              <w:rPr>
                <w:b w:val="0"/>
                <w:sz w:val="16"/>
                <w:szCs w:val="16"/>
              </w:rPr>
              <w:t>L</w:t>
            </w:r>
            <w:proofErr w:type="spellEnd"/>
            <w:r>
              <w:rPr>
                <w:b w:val="0"/>
                <w:sz w:val="16"/>
                <w:szCs w:val="16"/>
              </w:rPr>
              <w:t>, health-related quality of life; RCC, renal cell carcinoma; RCT, randomised controlled trial; VEGF, vascular endothelial growth factor</w:t>
            </w:r>
          </w:p>
        </w:tc>
      </w:tr>
    </w:tbl>
    <w:p w:rsidR="00901F85" w:rsidRDefault="00445856" w:rsidP="00901F85">
      <w:pPr>
        <w:pStyle w:val="BMJnormal"/>
        <w:rPr>
          <w:b/>
          <w:i/>
        </w:rPr>
      </w:pPr>
      <w:r>
        <w:rPr>
          <w:b/>
          <w:i/>
        </w:rPr>
        <w:lastRenderedPageBreak/>
        <w:t>5.3 Sub</w:t>
      </w:r>
      <w:r w:rsidR="00901F85">
        <w:rPr>
          <w:b/>
          <w:i/>
        </w:rPr>
        <w:t>groups</w:t>
      </w:r>
    </w:p>
    <w:p w:rsidR="00CE2EAE" w:rsidRDefault="00CE2EAE" w:rsidP="00CE2EAE">
      <w:pPr>
        <w:pStyle w:val="BMJNormal0"/>
      </w:pPr>
      <w:r w:rsidRPr="00D05BC5">
        <w:t>If the evidence allows</w:t>
      </w:r>
      <w:r>
        <w:t>, data will be analysed according to</w:t>
      </w:r>
      <w:r w:rsidRPr="00D05BC5">
        <w:t xml:space="preserve"> the </w:t>
      </w:r>
      <w:r>
        <w:t xml:space="preserve">following </w:t>
      </w:r>
      <w:r w:rsidRPr="00D05BC5">
        <w:t>subgroup</w:t>
      </w:r>
      <w:r>
        <w:t>s:</w:t>
      </w:r>
    </w:p>
    <w:p w:rsidR="00CE2EAE" w:rsidRPr="003E1D1C" w:rsidRDefault="00CE2EAE" w:rsidP="00CE2EAE">
      <w:pPr>
        <w:pStyle w:val="BMJNormal0"/>
        <w:numPr>
          <w:ilvl w:val="0"/>
          <w:numId w:val="31"/>
        </w:numPr>
        <w:spacing w:line="240" w:lineRule="auto"/>
        <w:ind w:left="714" w:hanging="357"/>
      </w:pPr>
      <w:r>
        <w:t>Previous treatment</w:t>
      </w:r>
      <w:r w:rsidRPr="003E1D1C">
        <w:t xml:space="preserve">; </w:t>
      </w:r>
    </w:p>
    <w:p w:rsidR="00CE2EAE" w:rsidRPr="00AB7931" w:rsidRDefault="00CE2EAE" w:rsidP="00CE2EAE">
      <w:pPr>
        <w:pStyle w:val="BMJNormal0"/>
        <w:numPr>
          <w:ilvl w:val="0"/>
          <w:numId w:val="31"/>
        </w:numPr>
        <w:rPr>
          <w:b/>
          <w:i/>
        </w:rPr>
      </w:pPr>
      <w:r>
        <w:t xml:space="preserve">Patients’ prognostic scores (for example ECOG or </w:t>
      </w:r>
      <w:proofErr w:type="spellStart"/>
      <w:r>
        <w:t>Motzer</w:t>
      </w:r>
      <w:proofErr w:type="spellEnd"/>
      <w:r>
        <w:t>).</w:t>
      </w:r>
    </w:p>
    <w:p w:rsidR="00CE2EAE" w:rsidRDefault="00CE2EAE" w:rsidP="00901F85">
      <w:pPr>
        <w:pStyle w:val="BMJnormal"/>
        <w:rPr>
          <w:rFonts w:cs="Arial"/>
          <w:lang w:eastAsia="en-GB"/>
        </w:rPr>
      </w:pPr>
    </w:p>
    <w:p w:rsidR="00901F85" w:rsidRDefault="00901F85" w:rsidP="00901F85">
      <w:pPr>
        <w:pStyle w:val="BMJnormal"/>
        <w:rPr>
          <w:b/>
          <w:i/>
        </w:rPr>
      </w:pPr>
      <w:r>
        <w:rPr>
          <w:b/>
          <w:i/>
        </w:rPr>
        <w:t xml:space="preserve">5.4 </w:t>
      </w:r>
      <w:r w:rsidRPr="00D63C40">
        <w:rPr>
          <w:b/>
          <w:i/>
        </w:rPr>
        <w:t xml:space="preserve">Outcomes </w:t>
      </w:r>
    </w:p>
    <w:p w:rsidR="00881299" w:rsidRPr="00D05BC5" w:rsidRDefault="00881299" w:rsidP="00881299">
      <w:pPr>
        <w:pStyle w:val="Title"/>
        <w:spacing w:after="240"/>
        <w:jc w:val="both"/>
        <w:outlineLvl w:val="9"/>
        <w:rPr>
          <w:rFonts w:ascii="Times New Roman" w:hAnsi="Times New Roman"/>
          <w:b w:val="0"/>
          <w:bCs w:val="0"/>
          <w:kern w:val="0"/>
          <w:sz w:val="22"/>
          <w:szCs w:val="22"/>
          <w:lang w:eastAsia="en-US"/>
        </w:rPr>
      </w:pPr>
      <w:r w:rsidRPr="00D05BC5">
        <w:rPr>
          <w:rFonts w:ascii="Times New Roman" w:hAnsi="Times New Roman"/>
          <w:b w:val="0"/>
          <w:bCs w:val="0"/>
          <w:kern w:val="0"/>
          <w:sz w:val="22"/>
          <w:szCs w:val="22"/>
          <w:lang w:eastAsia="en-US"/>
        </w:rPr>
        <w:t xml:space="preserve">Data on the following outcome measures will be </w:t>
      </w:r>
      <w:r>
        <w:rPr>
          <w:rFonts w:ascii="Times New Roman" w:hAnsi="Times New Roman"/>
          <w:b w:val="0"/>
          <w:bCs w:val="0"/>
          <w:kern w:val="0"/>
          <w:sz w:val="22"/>
          <w:szCs w:val="22"/>
          <w:lang w:eastAsia="en-US"/>
        </w:rPr>
        <w:t>assessed</w:t>
      </w:r>
      <w:r w:rsidRPr="00D05BC5">
        <w:rPr>
          <w:rFonts w:ascii="Times New Roman" w:hAnsi="Times New Roman"/>
          <w:b w:val="0"/>
          <w:bCs w:val="0"/>
          <w:kern w:val="0"/>
          <w:sz w:val="22"/>
          <w:szCs w:val="22"/>
          <w:lang w:eastAsia="en-US"/>
        </w:rPr>
        <w:t>:</w:t>
      </w:r>
    </w:p>
    <w:p w:rsidR="00881299" w:rsidRPr="00D05BC5" w:rsidRDefault="00881299" w:rsidP="00881299">
      <w:pPr>
        <w:pStyle w:val="BodyText2"/>
        <w:numPr>
          <w:ilvl w:val="0"/>
          <w:numId w:val="9"/>
        </w:numPr>
        <w:spacing w:before="120" w:line="240" w:lineRule="auto"/>
        <w:jc w:val="both"/>
        <w:rPr>
          <w:rFonts w:cs="Arial"/>
          <w:sz w:val="22"/>
          <w:szCs w:val="22"/>
        </w:rPr>
      </w:pPr>
      <w:r>
        <w:rPr>
          <w:rFonts w:cs="Arial"/>
          <w:sz w:val="22"/>
          <w:szCs w:val="22"/>
        </w:rPr>
        <w:t>O</w:t>
      </w:r>
      <w:r w:rsidRPr="00D05BC5">
        <w:rPr>
          <w:rFonts w:cs="Arial"/>
          <w:sz w:val="22"/>
          <w:szCs w:val="22"/>
        </w:rPr>
        <w:t>verall survival</w:t>
      </w:r>
      <w:r>
        <w:rPr>
          <w:rFonts w:cs="Arial"/>
          <w:sz w:val="22"/>
          <w:szCs w:val="22"/>
        </w:rPr>
        <w:t>;</w:t>
      </w:r>
    </w:p>
    <w:p w:rsidR="00881299" w:rsidRPr="00D05BC5" w:rsidRDefault="00881299" w:rsidP="00881299">
      <w:pPr>
        <w:pStyle w:val="BodyText2"/>
        <w:numPr>
          <w:ilvl w:val="0"/>
          <w:numId w:val="9"/>
        </w:numPr>
        <w:spacing w:before="120" w:line="240" w:lineRule="auto"/>
        <w:jc w:val="both"/>
        <w:rPr>
          <w:rFonts w:cs="Arial"/>
          <w:sz w:val="22"/>
          <w:szCs w:val="22"/>
        </w:rPr>
      </w:pPr>
      <w:r>
        <w:rPr>
          <w:rFonts w:cs="Arial"/>
          <w:sz w:val="22"/>
          <w:szCs w:val="22"/>
        </w:rPr>
        <w:t>P</w:t>
      </w:r>
      <w:r w:rsidRPr="00D05BC5">
        <w:rPr>
          <w:rFonts w:cs="Arial"/>
          <w:sz w:val="22"/>
          <w:szCs w:val="22"/>
        </w:rPr>
        <w:t>rogression-free survival</w:t>
      </w:r>
      <w:r>
        <w:rPr>
          <w:rFonts w:cs="Arial"/>
          <w:sz w:val="22"/>
          <w:szCs w:val="22"/>
        </w:rPr>
        <w:t>;</w:t>
      </w:r>
    </w:p>
    <w:p w:rsidR="00881299" w:rsidRPr="00D05BC5" w:rsidRDefault="00881299" w:rsidP="00881299">
      <w:pPr>
        <w:pStyle w:val="BodyText2"/>
        <w:numPr>
          <w:ilvl w:val="0"/>
          <w:numId w:val="9"/>
        </w:numPr>
        <w:spacing w:before="120" w:line="240" w:lineRule="auto"/>
        <w:jc w:val="both"/>
        <w:rPr>
          <w:rFonts w:cs="Arial"/>
          <w:sz w:val="22"/>
          <w:szCs w:val="22"/>
        </w:rPr>
      </w:pPr>
      <w:r>
        <w:rPr>
          <w:rFonts w:cs="Arial"/>
          <w:sz w:val="22"/>
          <w:szCs w:val="22"/>
        </w:rPr>
        <w:t>R</w:t>
      </w:r>
      <w:r w:rsidRPr="00D05BC5">
        <w:rPr>
          <w:rFonts w:cs="Arial"/>
          <w:sz w:val="22"/>
          <w:szCs w:val="22"/>
        </w:rPr>
        <w:t>esponse rate</w:t>
      </w:r>
      <w:r>
        <w:rPr>
          <w:rFonts w:cs="Arial"/>
          <w:sz w:val="22"/>
          <w:szCs w:val="22"/>
        </w:rPr>
        <w:t>s;</w:t>
      </w:r>
    </w:p>
    <w:p w:rsidR="00391BEE" w:rsidRDefault="00881299" w:rsidP="00391BEE">
      <w:pPr>
        <w:pStyle w:val="BodyText2"/>
        <w:numPr>
          <w:ilvl w:val="0"/>
          <w:numId w:val="9"/>
        </w:numPr>
        <w:spacing w:before="120" w:line="240" w:lineRule="auto"/>
        <w:jc w:val="both"/>
        <w:rPr>
          <w:rFonts w:cs="Arial"/>
          <w:sz w:val="22"/>
          <w:szCs w:val="22"/>
        </w:rPr>
      </w:pPr>
      <w:r>
        <w:rPr>
          <w:rFonts w:cs="Arial"/>
          <w:sz w:val="22"/>
          <w:szCs w:val="22"/>
        </w:rPr>
        <w:t>A</w:t>
      </w:r>
      <w:r w:rsidRPr="00D05BC5">
        <w:rPr>
          <w:rFonts w:cs="Arial"/>
          <w:sz w:val="22"/>
          <w:szCs w:val="22"/>
        </w:rPr>
        <w:t>dverse effects of treatment</w:t>
      </w:r>
      <w:r w:rsidR="00391BEE" w:rsidRPr="00391BEE">
        <w:rPr>
          <w:rFonts w:cs="Arial"/>
          <w:sz w:val="22"/>
          <w:szCs w:val="22"/>
        </w:rPr>
        <w:t>;</w:t>
      </w:r>
    </w:p>
    <w:p w:rsidR="00391BEE" w:rsidRDefault="00881299" w:rsidP="00391BEE">
      <w:pPr>
        <w:pStyle w:val="BodyText2"/>
        <w:numPr>
          <w:ilvl w:val="0"/>
          <w:numId w:val="9"/>
        </w:numPr>
        <w:spacing w:before="120" w:line="240" w:lineRule="auto"/>
        <w:jc w:val="both"/>
        <w:rPr>
          <w:rFonts w:cs="Arial"/>
          <w:sz w:val="22"/>
          <w:szCs w:val="22"/>
        </w:rPr>
      </w:pPr>
      <w:proofErr w:type="spellStart"/>
      <w:r>
        <w:rPr>
          <w:rFonts w:cs="Arial"/>
          <w:sz w:val="22"/>
          <w:szCs w:val="22"/>
        </w:rPr>
        <w:t>HRQoL</w:t>
      </w:r>
      <w:proofErr w:type="spellEnd"/>
      <w:r w:rsidRPr="00D05BC5">
        <w:rPr>
          <w:rFonts w:cs="Arial"/>
          <w:sz w:val="22"/>
          <w:szCs w:val="22"/>
        </w:rPr>
        <w:t>.</w:t>
      </w:r>
    </w:p>
    <w:p w:rsidR="001D05F0" w:rsidRDefault="001D05F0">
      <w:pPr>
        <w:pStyle w:val="BMJnormal"/>
      </w:pPr>
    </w:p>
    <w:p w:rsidR="00901F85" w:rsidRPr="00D51BD6" w:rsidRDefault="00901F85" w:rsidP="00901F85">
      <w:pPr>
        <w:pStyle w:val="BMJnormal"/>
        <w:rPr>
          <w:highlight w:val="yellow"/>
        </w:rPr>
      </w:pPr>
      <w:r>
        <w:rPr>
          <w:b/>
          <w:i/>
        </w:rPr>
        <w:t xml:space="preserve">5.5 </w:t>
      </w:r>
      <w:r w:rsidRPr="00FB2834">
        <w:rPr>
          <w:b/>
          <w:i/>
        </w:rPr>
        <w:t>Data extraction strategy</w:t>
      </w:r>
    </w:p>
    <w:p w:rsidR="00881299" w:rsidRPr="00184FCA" w:rsidRDefault="00881299" w:rsidP="00881299">
      <w:pPr>
        <w:pStyle w:val="BMJnormal"/>
      </w:pPr>
      <w:r w:rsidRPr="008A73EE">
        <w:t xml:space="preserve">Full paper manuscripts of any </w:t>
      </w:r>
      <w:r>
        <w:t xml:space="preserve">included reference </w:t>
      </w:r>
      <w:r w:rsidRPr="008A73EE">
        <w:t>will be obtained where possible.</w:t>
      </w:r>
      <w:r>
        <w:t xml:space="preserve"> </w:t>
      </w:r>
      <w:r w:rsidRPr="00184FCA">
        <w:t>Data will be extracted independently by two reviewers using a standardised data extraction form (</w:t>
      </w:r>
      <w:r w:rsidRPr="00FD74D4">
        <w:t>see Appendix 9.2</w:t>
      </w:r>
      <w:r w:rsidRPr="00184FCA">
        <w:t xml:space="preserve">). </w:t>
      </w:r>
      <w:r>
        <w:t>Information extracted will include details of the study’s design and methodology, baseline characteristics of participants and results including any adverse events reported. Where there is incomplete information the study authors will be contacted to gain further details</w:t>
      </w:r>
      <w:r w:rsidR="00160B4A">
        <w:t>, allowing about two weeks timeframe</w:t>
      </w:r>
      <w:r>
        <w:t xml:space="preserve">. </w:t>
      </w:r>
      <w:r w:rsidRPr="00184FCA">
        <w:t>Discrepancies will be resolved by discussion, with involvement of a third reviewer when necessary.</w:t>
      </w:r>
    </w:p>
    <w:p w:rsidR="00901F85" w:rsidRPr="00D51BD6" w:rsidRDefault="00901F85" w:rsidP="00901F85">
      <w:pPr>
        <w:pStyle w:val="BMJnormal"/>
        <w:rPr>
          <w:highlight w:val="yellow"/>
        </w:rPr>
      </w:pPr>
      <w:r>
        <w:rPr>
          <w:b/>
          <w:i/>
        </w:rPr>
        <w:t xml:space="preserve">5.6 </w:t>
      </w:r>
      <w:r w:rsidRPr="00FB2834">
        <w:rPr>
          <w:b/>
          <w:i/>
        </w:rPr>
        <w:t>Quality assessment strategy</w:t>
      </w:r>
    </w:p>
    <w:p w:rsidR="00881299" w:rsidRDefault="00881299" w:rsidP="00881299">
      <w:pPr>
        <w:pStyle w:val="BMJnormal"/>
      </w:pPr>
      <w:r w:rsidRPr="00B53B65">
        <w:t xml:space="preserve">The quality </w:t>
      </w:r>
      <w:r w:rsidRPr="00EF050E">
        <w:t xml:space="preserve">of the </w:t>
      </w:r>
      <w:r w:rsidRPr="00EF050E">
        <w:rPr>
          <w:iCs/>
        </w:rPr>
        <w:t>clinical effectiveness</w:t>
      </w:r>
      <w:r w:rsidRPr="00B53B65">
        <w:t xml:space="preserve"> studies will be assessed by one reviewer, and independently checked for agreement by a second reviewer. Any disagreements will be resolved by consensus and if necessary a third reviewer will be consulted</w:t>
      </w:r>
      <w:r>
        <w:t xml:space="preserve">. </w:t>
      </w:r>
      <w:r w:rsidRPr="00F67F09">
        <w:rPr>
          <w:iCs/>
        </w:rPr>
        <w:t xml:space="preserve">The study quality will be assessed </w:t>
      </w:r>
      <w:r>
        <w:t>according to recommendations by the NHS Centre for Reviews and Dissemination</w:t>
      </w:r>
      <w:r w:rsidR="009304C3" w:rsidRPr="001473E3">
        <w:rPr>
          <w:vertAlign w:val="superscript"/>
        </w:rPr>
        <w:fldChar w:fldCharType="begin"/>
      </w:r>
      <w:r w:rsidR="00156BCD">
        <w:rPr>
          <w:vertAlign w:val="superscript"/>
        </w:rPr>
        <w:instrText xml:space="preserve"> ADDIN EN.CITE &lt;EndNote&gt;&lt;Cite&gt;&lt;Author&gt;Centre for Reviews and Dissemination (CRD)&lt;/Author&gt;&lt;RecNum&gt;1450&lt;/RecNum&gt;&lt;DisplayText&gt;(8)&lt;/DisplayText&gt;&lt;record&gt;&lt;rec-number&gt;1450&lt;/rec-number&gt;&lt;foreign-keys&gt;&lt;key app="EN" db-id="esp95wd9g0ewpfef5z9v2r5odpdv09av02et" timestamp="1443542085"&gt;1450&lt;/key&gt;&lt;/foreign-keys&gt;&lt;ref-type name="Journal Article"&gt;17&lt;/ref-type&gt;&lt;contributors&gt;&lt;authors&gt;&lt;author&gt;Centre for Reviews and Dissemination (CRD),&lt;/author&gt;&lt;/authors&gt;&lt;/contributors&gt;&lt;titles&gt;&lt;title&gt;CRD’s guidance for undertaking reviews in healthcare. 2011&lt;/title&gt;&lt;secondary-title&gt;[accessed September 2015]; Available from: http://www.york.ac.uk/inst/crd/SysRev/!SSL!/WebHelp/SysRev3.htm)&lt;/secondary-title&gt;&lt;/titles&gt;&lt;periodical&gt;&lt;full-title&gt;[accessed September 2015]; Available from: http://www.york.ac.uk/inst/crd/SysRev/!SSL!/WebHelp/SysRev3.htm)&lt;/full-title&gt;&lt;/periodical&gt;&lt;dates&gt;&lt;/dates&gt;&lt;urls&gt;&lt;/urls&gt;&lt;/record&gt;&lt;/Cite&gt;&lt;/EndNote&gt;</w:instrText>
      </w:r>
      <w:r w:rsidR="009304C3" w:rsidRPr="001473E3">
        <w:rPr>
          <w:vertAlign w:val="superscript"/>
        </w:rPr>
        <w:fldChar w:fldCharType="separate"/>
      </w:r>
      <w:r w:rsidR="009004AC">
        <w:rPr>
          <w:noProof/>
          <w:vertAlign w:val="superscript"/>
        </w:rPr>
        <w:t>(8)</w:t>
      </w:r>
      <w:r w:rsidR="009304C3" w:rsidRPr="001473E3">
        <w:rPr>
          <w:vertAlign w:val="superscript"/>
        </w:rPr>
        <w:fldChar w:fldCharType="end"/>
      </w:r>
      <w:r>
        <w:t xml:space="preserve"> and </w:t>
      </w:r>
      <w:r w:rsidR="00391BEE" w:rsidRPr="002C7B8A">
        <w:rPr>
          <w:i/>
        </w:rPr>
        <w:t>Cochrane Handbook for Systematic Reviews of Interventions</w:t>
      </w:r>
      <w:r>
        <w:t>.</w:t>
      </w:r>
      <w:r w:rsidR="009304C3" w:rsidRPr="001473E3">
        <w:rPr>
          <w:vertAlign w:val="superscript"/>
        </w:rPr>
        <w:fldChar w:fldCharType="begin"/>
      </w:r>
      <w:r w:rsidR="00960313">
        <w:rPr>
          <w:vertAlign w:val="superscript"/>
        </w:rPr>
        <w:instrText xml:space="preserve"> ADDIN EN.CITE &lt;EndNote&gt;&lt;Cite&gt;&lt;Author&gt;Higgins&lt;/Author&gt;&lt;Year&gt;2011&lt;/Year&gt;&lt;RecNum&gt;159&lt;/RecNum&gt;&lt;DisplayText&gt;(10)&lt;/DisplayText&gt;&lt;record&gt;&lt;rec-number&gt;159&lt;/rec-number&gt;&lt;foreign-keys&gt;&lt;key app="EN" db-id="f2zd9vv2gsxse8ed0f5vdr57sz05f92pd5tx" timestamp="1430910441"&gt;159&lt;/key&gt;&lt;/foreign-keys&gt;&lt;ref-type name="Journal Article"&gt;17&lt;/ref-type&gt;&lt;contributors&gt;&lt;authors&gt;&lt;author&gt;Higgins, J. P. T.&lt;/author&gt;&lt;author&gt;Green, S.&lt;/author&gt;&lt;/authors&gt;&lt;/contributors&gt;&lt;titles&gt;&lt;title&gt;Cochrane Handbook for Systematic Reviews of Interventions&lt;/title&gt;&lt;secondary-title&gt;The Cochrane Collaboration&lt;/secondary-title&gt;&lt;/titles&gt;&lt;periodical&gt;&lt;full-title&gt;The Cochrane Collaboration&lt;/full-title&gt;&lt;/periodical&gt;&lt;volume&gt;Version 5.1.0&lt;/volume&gt;&lt;dates&gt;&lt;year&gt;2011&lt;/year&gt;&lt;/dates&gt;&lt;urls&gt;&lt;related-urls&gt;&lt;url&gt;www.cochrane-handbook.org. &lt;/url&gt;&lt;/related-urls&gt;&lt;/urls&gt;&lt;/record&gt;&lt;/Cite&gt;&lt;/EndNote&gt;</w:instrText>
      </w:r>
      <w:r w:rsidR="009304C3" w:rsidRPr="001473E3">
        <w:rPr>
          <w:vertAlign w:val="superscript"/>
        </w:rPr>
        <w:fldChar w:fldCharType="separate"/>
      </w:r>
      <w:r w:rsidR="009004AC">
        <w:rPr>
          <w:noProof/>
          <w:vertAlign w:val="superscript"/>
        </w:rPr>
        <w:t>(10)</w:t>
      </w:r>
      <w:r w:rsidR="009304C3" w:rsidRPr="001473E3">
        <w:rPr>
          <w:vertAlign w:val="superscript"/>
        </w:rPr>
        <w:fldChar w:fldCharType="end"/>
      </w:r>
      <w:r>
        <w:t xml:space="preserve"> </w:t>
      </w:r>
      <w:r w:rsidRPr="00EF050E">
        <w:t xml:space="preserve">This </w:t>
      </w:r>
      <w:r>
        <w:t>will include assessing the following factors:</w:t>
      </w:r>
    </w:p>
    <w:p w:rsidR="00881299" w:rsidRPr="00F67F09" w:rsidRDefault="003D64DD" w:rsidP="00881299">
      <w:pPr>
        <w:pStyle w:val="BodyText2"/>
        <w:numPr>
          <w:ilvl w:val="0"/>
          <w:numId w:val="9"/>
        </w:numPr>
        <w:spacing w:before="120" w:line="240" w:lineRule="auto"/>
        <w:jc w:val="both"/>
        <w:rPr>
          <w:rFonts w:cs="Arial"/>
          <w:sz w:val="22"/>
          <w:szCs w:val="22"/>
        </w:rPr>
      </w:pPr>
      <w:r>
        <w:rPr>
          <w:rFonts w:cs="Arial"/>
          <w:sz w:val="22"/>
          <w:szCs w:val="22"/>
        </w:rPr>
        <w:t>R</w:t>
      </w:r>
      <w:r w:rsidR="00881299" w:rsidRPr="00F67F09">
        <w:rPr>
          <w:rFonts w:cs="Arial"/>
          <w:sz w:val="22"/>
          <w:szCs w:val="22"/>
        </w:rPr>
        <w:t>andom sequence generation;</w:t>
      </w:r>
    </w:p>
    <w:p w:rsidR="00881299" w:rsidRPr="00F67F09" w:rsidRDefault="003D64DD" w:rsidP="00881299">
      <w:pPr>
        <w:pStyle w:val="BodyText2"/>
        <w:numPr>
          <w:ilvl w:val="0"/>
          <w:numId w:val="9"/>
        </w:numPr>
        <w:spacing w:before="120" w:line="240" w:lineRule="auto"/>
        <w:jc w:val="both"/>
        <w:rPr>
          <w:rFonts w:cs="Arial"/>
          <w:sz w:val="22"/>
          <w:szCs w:val="22"/>
        </w:rPr>
      </w:pPr>
      <w:r>
        <w:rPr>
          <w:rFonts w:cs="Arial"/>
          <w:sz w:val="22"/>
          <w:szCs w:val="22"/>
        </w:rPr>
        <w:t>A</w:t>
      </w:r>
      <w:r w:rsidR="00881299" w:rsidRPr="00F67F09">
        <w:rPr>
          <w:rFonts w:cs="Arial"/>
          <w:sz w:val="22"/>
          <w:szCs w:val="22"/>
        </w:rPr>
        <w:t>llocation concealment;</w:t>
      </w:r>
    </w:p>
    <w:p w:rsidR="00881299" w:rsidRPr="00F67F09" w:rsidRDefault="003D64DD" w:rsidP="00881299">
      <w:pPr>
        <w:pStyle w:val="BodyText2"/>
        <w:numPr>
          <w:ilvl w:val="0"/>
          <w:numId w:val="9"/>
        </w:numPr>
        <w:spacing w:before="120" w:line="240" w:lineRule="auto"/>
        <w:jc w:val="both"/>
        <w:rPr>
          <w:rFonts w:cs="Arial"/>
          <w:sz w:val="22"/>
          <w:szCs w:val="22"/>
        </w:rPr>
      </w:pPr>
      <w:r>
        <w:rPr>
          <w:rFonts w:cs="Arial"/>
          <w:sz w:val="22"/>
          <w:szCs w:val="22"/>
        </w:rPr>
        <w:lastRenderedPageBreak/>
        <w:t>B</w:t>
      </w:r>
      <w:r w:rsidR="00881299" w:rsidRPr="00F67F09">
        <w:rPr>
          <w:rFonts w:cs="Arial"/>
          <w:sz w:val="22"/>
          <w:szCs w:val="22"/>
        </w:rPr>
        <w:t>linding of participants, personnel and outcome assessment;</w:t>
      </w:r>
    </w:p>
    <w:p w:rsidR="00881299" w:rsidRPr="00F67F09" w:rsidRDefault="003D64DD" w:rsidP="00881299">
      <w:pPr>
        <w:pStyle w:val="BodyText2"/>
        <w:numPr>
          <w:ilvl w:val="0"/>
          <w:numId w:val="9"/>
        </w:numPr>
        <w:spacing w:before="120" w:line="240" w:lineRule="auto"/>
        <w:jc w:val="both"/>
        <w:rPr>
          <w:rFonts w:cs="Arial"/>
          <w:sz w:val="22"/>
          <w:szCs w:val="22"/>
        </w:rPr>
      </w:pPr>
      <w:r>
        <w:rPr>
          <w:rFonts w:cs="Arial"/>
          <w:sz w:val="22"/>
          <w:szCs w:val="22"/>
        </w:rPr>
        <w:t>I</w:t>
      </w:r>
      <w:r w:rsidR="00881299" w:rsidRPr="00F67F09">
        <w:rPr>
          <w:rFonts w:cs="Arial"/>
          <w:sz w:val="22"/>
          <w:szCs w:val="22"/>
        </w:rPr>
        <w:t>ncomplete outcome data;</w:t>
      </w:r>
    </w:p>
    <w:p w:rsidR="00881299" w:rsidRPr="00F67F09" w:rsidRDefault="003D64DD" w:rsidP="00881299">
      <w:pPr>
        <w:pStyle w:val="BodyText2"/>
        <w:numPr>
          <w:ilvl w:val="0"/>
          <w:numId w:val="9"/>
        </w:numPr>
        <w:spacing w:before="120" w:line="240" w:lineRule="auto"/>
        <w:jc w:val="both"/>
        <w:rPr>
          <w:rFonts w:cs="Arial"/>
          <w:sz w:val="22"/>
          <w:szCs w:val="22"/>
        </w:rPr>
      </w:pPr>
      <w:r>
        <w:rPr>
          <w:rFonts w:cs="Arial"/>
          <w:sz w:val="22"/>
          <w:szCs w:val="22"/>
        </w:rPr>
        <w:t>S</w:t>
      </w:r>
      <w:r w:rsidR="00881299">
        <w:rPr>
          <w:rFonts w:cs="Arial"/>
          <w:sz w:val="22"/>
          <w:szCs w:val="22"/>
        </w:rPr>
        <w:t xml:space="preserve">elective outcome reporting; </w:t>
      </w:r>
    </w:p>
    <w:p w:rsidR="00881299" w:rsidRPr="003D64DD" w:rsidRDefault="00881299" w:rsidP="00881299">
      <w:pPr>
        <w:pStyle w:val="BodyText2"/>
        <w:numPr>
          <w:ilvl w:val="0"/>
          <w:numId w:val="9"/>
        </w:numPr>
        <w:spacing w:before="120" w:line="240" w:lineRule="auto"/>
        <w:jc w:val="both"/>
        <w:rPr>
          <w:rFonts w:cs="Arial"/>
          <w:sz w:val="22"/>
          <w:szCs w:val="22"/>
        </w:rPr>
      </w:pPr>
      <w:r>
        <w:rPr>
          <w:rFonts w:cs="Arial"/>
          <w:sz w:val="22"/>
          <w:szCs w:val="22"/>
        </w:rPr>
        <w:t>O</w:t>
      </w:r>
      <w:r w:rsidRPr="00F67F09">
        <w:rPr>
          <w:rFonts w:cs="Arial"/>
          <w:sz w:val="22"/>
          <w:szCs w:val="22"/>
        </w:rPr>
        <w:t>ther bias.</w:t>
      </w:r>
    </w:p>
    <w:p w:rsidR="001D05F0" w:rsidRDefault="001D05F0">
      <w:pPr>
        <w:pStyle w:val="BMJnormal"/>
      </w:pPr>
    </w:p>
    <w:p w:rsidR="00901F85" w:rsidRPr="00320ABE" w:rsidRDefault="00901F85" w:rsidP="00901F85">
      <w:pPr>
        <w:pStyle w:val="BMJnormal"/>
        <w:rPr>
          <w:b/>
          <w:i/>
        </w:rPr>
      </w:pPr>
      <w:r>
        <w:rPr>
          <w:b/>
          <w:i/>
        </w:rPr>
        <w:t xml:space="preserve">5.7 </w:t>
      </w:r>
      <w:r w:rsidRPr="00320ABE">
        <w:rPr>
          <w:b/>
          <w:i/>
        </w:rPr>
        <w:t>Methods of analysis/synthesis</w:t>
      </w:r>
    </w:p>
    <w:p w:rsidR="00881299" w:rsidRDefault="00881299" w:rsidP="00881299">
      <w:pPr>
        <w:pStyle w:val="BMJnormal"/>
      </w:pPr>
      <w:r>
        <w:t>E</w:t>
      </w:r>
      <w:r w:rsidRPr="003F2989">
        <w:t>xtracted data and quality assessment for each study of clinical effectiveness will be presented in structured tables and as a narrative summary.</w:t>
      </w:r>
      <w:r w:rsidRPr="003F2989">
        <w:rPr>
          <w:color w:val="00B050"/>
        </w:rPr>
        <w:t xml:space="preserve"> </w:t>
      </w:r>
      <w:r w:rsidRPr="003F2989">
        <w:t>The possible effects of study quality on the effectiveness data and review findings will be discussed.</w:t>
      </w:r>
      <w:r w:rsidRPr="003F2989">
        <w:rPr>
          <w:color w:val="00B050"/>
        </w:rPr>
        <w:t xml:space="preserve"> </w:t>
      </w:r>
      <w:r w:rsidRPr="00CD6CDF">
        <w:t>Should sufficient comparable data be identified, standard pair-wise comparisons and</w:t>
      </w:r>
      <w:r w:rsidR="00156BCD">
        <w:t>/or</w:t>
      </w:r>
      <w:r>
        <w:t xml:space="preserve"> </w:t>
      </w:r>
      <w:r w:rsidRPr="00CD6CDF">
        <w:t xml:space="preserve">mixed-treatment comparisons </w:t>
      </w:r>
      <w:r w:rsidR="00BA3FE7">
        <w:t xml:space="preserve">(MTC) </w:t>
      </w:r>
      <w:r w:rsidRPr="00CD6CDF">
        <w:t>will be performed to evaluate the clinical effectiveness</w:t>
      </w:r>
      <w:r>
        <w:t xml:space="preserve">. </w:t>
      </w:r>
    </w:p>
    <w:p w:rsidR="00E302CF" w:rsidRDefault="00E302CF" w:rsidP="00E302CF">
      <w:pPr>
        <w:pStyle w:val="BMJnormal"/>
      </w:pPr>
      <w:r w:rsidRPr="00705CA7">
        <w:rPr>
          <w:color w:val="222222"/>
          <w:shd w:val="clear" w:color="auto" w:fill="FFFFFF"/>
        </w:rPr>
        <w:t>Treatment effects will be presented as odds ratios for dichotomous data, (weighted) mean differences for continuous data or as hazard ratios where appropriate. Mixed-treatment comparisons will be performed using a Bayesian (Markov Chain Monte Carlo (MCMC) simulation.</w:t>
      </w:r>
      <w:r w:rsidR="009304C3" w:rsidRPr="000D6B38">
        <w:rPr>
          <w:vertAlign w:val="superscript"/>
        </w:rPr>
        <w:fldChar w:fldCharType="begin"/>
      </w:r>
      <w:r>
        <w:rPr>
          <w:vertAlign w:val="superscript"/>
        </w:rPr>
        <w:instrText xml:space="preserve"> ADDIN EN.CITE &lt;EndNote&gt;&lt;Cite&gt;&lt;Author&gt;Dias&lt;/Author&gt;&lt;Year&gt;2011&lt;/Year&gt;&lt;RecNum&gt;78&lt;/RecNum&gt;&lt;DisplayText&gt;(11)&lt;/DisplayText&gt;&lt;record&gt;&lt;rec-number&gt;78&lt;/rec-number&gt;&lt;foreign-keys&gt;&lt;key app="EN" db-id="29v9pdwsytr9e4e05piv555k2zwwpr052x0e" timestamp="1438683160"&gt;78&lt;/key&gt;&lt;key app="ENWeb" db-id=""&gt;0&lt;/key&gt;&lt;/foreign-keys&gt;&lt;ref-type name="Report"&gt;27&lt;/ref-type&gt;&lt;contributors&gt;&lt;authors&gt;&lt;author&gt;Dias, S. &lt;/author&gt;&lt;author&gt;Welton, N. J.  &lt;/author&gt;&lt;author&gt;Sutton, A. J. &lt;/author&gt;&lt;author&gt;Ades, A. E.&lt;/author&gt;&lt;/authors&gt;&lt;/contributors&gt;&lt;titles&gt;&lt;title&gt;NICE DSU Technical Support Document 2: A Generalised Linear Modelling Framework for Pairwise and Network Meta-Analysis of Randomised Controlled Trials&lt;/title&gt;&lt;/titles&gt;&lt;dates&gt;&lt;year&gt;2011&lt;/year&gt;&lt;pub-dates&gt;&lt;date&gt;last updated April 2014&lt;/date&gt;&lt;/pub-dates&gt;&lt;/dates&gt;&lt;urls&gt;&lt;related-urls&gt;&lt;url&gt;Available from: http://www.nicedsu.org.uk&lt;/url&gt;&lt;/related-urls&gt;&lt;/urls&gt;&lt;access-date&gt;27/04/2015&lt;/access-date&gt;&lt;/record&gt;&lt;/Cite&gt;&lt;/EndNote&gt;</w:instrText>
      </w:r>
      <w:r w:rsidR="009304C3" w:rsidRPr="000D6B38">
        <w:rPr>
          <w:vertAlign w:val="superscript"/>
        </w:rPr>
        <w:fldChar w:fldCharType="separate"/>
      </w:r>
      <w:r>
        <w:rPr>
          <w:noProof/>
          <w:vertAlign w:val="superscript"/>
        </w:rPr>
        <w:t>(11)</w:t>
      </w:r>
      <w:r w:rsidR="009304C3" w:rsidRPr="000D6B38">
        <w:rPr>
          <w:vertAlign w:val="superscript"/>
        </w:rPr>
        <w:fldChar w:fldCharType="end"/>
      </w:r>
      <w:r w:rsidRPr="00705CA7">
        <w:rPr>
          <w:color w:val="222222"/>
          <w:shd w:val="clear" w:color="auto" w:fill="FFFFFF"/>
        </w:rPr>
        <w:t xml:space="preserve"> Pair-wise meta-analysis will be carried out using Comprehensive </w:t>
      </w:r>
      <w:proofErr w:type="spellStart"/>
      <w:r w:rsidRPr="00705CA7">
        <w:rPr>
          <w:color w:val="222222"/>
          <w:shd w:val="clear" w:color="auto" w:fill="FFFFFF"/>
        </w:rPr>
        <w:t>Meta Analysis</w:t>
      </w:r>
      <w:proofErr w:type="spellEnd"/>
      <w:r w:rsidRPr="00705CA7">
        <w:rPr>
          <w:color w:val="222222"/>
          <w:shd w:val="clear" w:color="auto" w:fill="FFFFFF"/>
        </w:rPr>
        <w:t xml:space="preserve"> software, with the use of fixed- and/or random-effects model appropriate to the assembled datasets. Clinical and methodological heterogeneity of potentially included studies will be assessed prior to data analysis. Statistical heterogeneity will be investigates to identify plausible potential causes based on the studies analysed</w:t>
      </w:r>
      <w:r>
        <w:rPr>
          <w:rFonts w:ascii="Arial" w:hAnsi="Arial" w:cs="Arial"/>
          <w:color w:val="222222"/>
          <w:sz w:val="16"/>
          <w:szCs w:val="16"/>
          <w:shd w:val="clear" w:color="auto" w:fill="FFFFFF"/>
        </w:rPr>
        <w:t>.</w:t>
      </w:r>
      <w:r>
        <w:t xml:space="preserve"> </w:t>
      </w:r>
    </w:p>
    <w:p w:rsidR="00AB2C46" w:rsidRDefault="00AB2C46" w:rsidP="00E302CF">
      <w:pPr>
        <w:pStyle w:val="BMJnormal"/>
      </w:pPr>
    </w:p>
    <w:p w:rsidR="00271ED1" w:rsidRPr="00665BAC" w:rsidRDefault="00271ED1" w:rsidP="00271ED1">
      <w:pPr>
        <w:pStyle w:val="Heading1"/>
        <w:numPr>
          <w:ilvl w:val="0"/>
          <w:numId w:val="4"/>
        </w:numPr>
        <w:spacing w:before="0" w:after="240"/>
      </w:pPr>
      <w:r w:rsidRPr="00665BAC">
        <w:t>Report</w:t>
      </w:r>
      <w:r w:rsidRPr="00872F7F">
        <w:t xml:space="preserve"> methods for synthesising evidence of cost-effectiveness</w:t>
      </w:r>
    </w:p>
    <w:p w:rsidR="00271ED1" w:rsidRPr="00665BAC" w:rsidRDefault="00271ED1" w:rsidP="00271ED1">
      <w:pPr>
        <w:pStyle w:val="BMJnormal"/>
      </w:pPr>
      <w:r w:rsidRPr="00665BAC">
        <w:t>The purpose of this MTA will be to a</w:t>
      </w:r>
      <w:r>
        <w:t xml:space="preserve">ssess the cost-effectiveness of </w:t>
      </w:r>
      <w:proofErr w:type="spellStart"/>
      <w:r>
        <w:t>axitinib</w:t>
      </w:r>
      <w:proofErr w:type="spellEnd"/>
      <w:r>
        <w:t xml:space="preserve">, </w:t>
      </w:r>
      <w:proofErr w:type="spellStart"/>
      <w:r>
        <w:t>everolimus</w:t>
      </w:r>
      <w:proofErr w:type="spellEnd"/>
      <w:r>
        <w:t xml:space="preserve">, </w:t>
      </w:r>
      <w:proofErr w:type="spellStart"/>
      <w:r>
        <w:t>sorafenib</w:t>
      </w:r>
      <w:proofErr w:type="spellEnd"/>
      <w:r>
        <w:t xml:space="preserve"> and </w:t>
      </w:r>
      <w:proofErr w:type="spellStart"/>
      <w:r>
        <w:t>sunitinib</w:t>
      </w:r>
      <w:proofErr w:type="spellEnd"/>
      <w:r>
        <w:t xml:space="preserve"> </w:t>
      </w:r>
      <w:r w:rsidRPr="00665BAC">
        <w:t xml:space="preserve">within their </w:t>
      </w:r>
      <w:r>
        <w:t>marketing authorisations</w:t>
      </w:r>
      <w:r w:rsidRPr="00665BAC">
        <w:t xml:space="preserve"> for </w:t>
      </w:r>
      <w:r>
        <w:t xml:space="preserve">the treatment of advanced or metastatic RCC </w:t>
      </w:r>
      <w:r w:rsidRPr="00665BAC">
        <w:t xml:space="preserve">in the UK. These interventions will be compared with each other and with </w:t>
      </w:r>
      <w:r>
        <w:t>best supportive care</w:t>
      </w:r>
      <w:r w:rsidRPr="00665BAC">
        <w:t xml:space="preserve"> used in the NHS. This overarching objective will be met through identification and appraisal of:</w:t>
      </w:r>
    </w:p>
    <w:p w:rsidR="00271ED1" w:rsidRDefault="00271ED1" w:rsidP="00271ED1">
      <w:pPr>
        <w:pStyle w:val="BMJnormal"/>
        <w:numPr>
          <w:ilvl w:val="0"/>
          <w:numId w:val="33"/>
        </w:numPr>
        <w:spacing w:line="240" w:lineRule="auto"/>
        <w:ind w:left="714" w:hanging="357"/>
      </w:pPr>
      <w:r>
        <w:t>P</w:t>
      </w:r>
      <w:r w:rsidRPr="00EC5365">
        <w:t xml:space="preserve">ublished economic evaluations from the literature or submitted economic evaluations from </w:t>
      </w:r>
      <w:r>
        <w:t>companies’ submissions</w:t>
      </w:r>
      <w:r w:rsidRPr="00EC5365">
        <w:t>;</w:t>
      </w:r>
    </w:p>
    <w:p w:rsidR="00271ED1" w:rsidRDefault="00271ED1" w:rsidP="00271ED1">
      <w:pPr>
        <w:pStyle w:val="BMJnormal"/>
        <w:numPr>
          <w:ilvl w:val="0"/>
          <w:numId w:val="33"/>
        </w:numPr>
        <w:spacing w:line="240" w:lineRule="auto"/>
        <w:ind w:left="714" w:hanging="357"/>
      </w:pPr>
      <w:proofErr w:type="spellStart"/>
      <w:r>
        <w:t>HRQoL</w:t>
      </w:r>
      <w:proofErr w:type="spellEnd"/>
      <w:r>
        <w:t xml:space="preserve"> studies of advanced or metastatic RCC including safety data;</w:t>
      </w:r>
    </w:p>
    <w:p w:rsidR="00271ED1" w:rsidRPr="00CD072D" w:rsidRDefault="00271ED1" w:rsidP="00271ED1">
      <w:pPr>
        <w:pStyle w:val="BMJnormal"/>
        <w:numPr>
          <w:ilvl w:val="0"/>
          <w:numId w:val="33"/>
        </w:numPr>
        <w:ind w:left="714" w:hanging="357"/>
      </w:pPr>
      <w:r>
        <w:t xml:space="preserve">UK specific </w:t>
      </w:r>
      <w:r w:rsidRPr="00CD072D">
        <w:t>resource use data</w:t>
      </w:r>
      <w:r>
        <w:t>. N</w:t>
      </w:r>
      <w:r w:rsidRPr="00CD072D">
        <w:t>on</w:t>
      </w:r>
      <w:r>
        <w:t>-</w:t>
      </w:r>
      <w:r w:rsidRPr="00CD072D">
        <w:t>UK sources will be considered</w:t>
      </w:r>
      <w:r>
        <w:t xml:space="preserve"> if there is insufficient UK specific information.</w:t>
      </w:r>
    </w:p>
    <w:p w:rsidR="008E4DD8" w:rsidRDefault="00271ED1" w:rsidP="009B4260">
      <w:pPr>
        <w:pStyle w:val="BMJnormal"/>
      </w:pPr>
      <w:r>
        <w:lastRenderedPageBreak/>
        <w:t xml:space="preserve">Should the published or submitted economic evaluations prove insufficient to answer the review question; </w:t>
      </w:r>
      <w:r w:rsidRPr="00EC5365">
        <w:t xml:space="preserve">an independent </w:t>
      </w:r>
      <w:r w:rsidRPr="00E50C9B">
        <w:rPr>
          <w:i/>
        </w:rPr>
        <w:t>de novo</w:t>
      </w:r>
      <w:r w:rsidRPr="00EC5365">
        <w:t xml:space="preserve"> economic model</w:t>
      </w:r>
      <w:r>
        <w:t xml:space="preserve"> will be developed</w:t>
      </w:r>
      <w:r w:rsidRPr="00EC5365">
        <w:t>.</w:t>
      </w:r>
    </w:p>
    <w:p w:rsidR="00B930C2" w:rsidRDefault="00B930C2" w:rsidP="00B930C2">
      <w:pPr>
        <w:pStyle w:val="BMJH4"/>
        <w:spacing w:line="360" w:lineRule="auto"/>
        <w:rPr>
          <w:b/>
        </w:rPr>
      </w:pPr>
      <w:r>
        <w:rPr>
          <w:b/>
        </w:rPr>
        <w:t>6.1 Search strategy</w:t>
      </w:r>
    </w:p>
    <w:p w:rsidR="00B930C2" w:rsidRPr="006463C0" w:rsidRDefault="00145120" w:rsidP="00B930C2">
      <w:pPr>
        <w:pStyle w:val="BMJnormal"/>
      </w:pPr>
      <w:r w:rsidRPr="00411E46">
        <w:t>T</w:t>
      </w:r>
      <w:r w:rsidR="00B930C2" w:rsidRPr="00411E46">
        <w:t xml:space="preserve">his MTA is an update of </w:t>
      </w:r>
      <w:r w:rsidRPr="00411E46">
        <w:t>TA333 (search</w:t>
      </w:r>
      <w:r w:rsidR="00AC2843">
        <w:t xml:space="preserve"> for cost-effectiveness evidence on </w:t>
      </w:r>
      <w:proofErr w:type="spellStart"/>
      <w:r w:rsidR="00AC2843">
        <w:t>axitinib</w:t>
      </w:r>
      <w:proofErr w:type="spellEnd"/>
      <w:r w:rsidR="00411E46" w:rsidRPr="00411E46">
        <w:t xml:space="preserve"> carried in</w:t>
      </w:r>
      <w:r w:rsidRPr="00411E46">
        <w:t xml:space="preserve"> June 2012), TA219 (</w:t>
      </w:r>
      <w:r w:rsidR="00411E46" w:rsidRPr="00411E46">
        <w:t>search</w:t>
      </w:r>
      <w:r w:rsidR="00AC2843">
        <w:t xml:space="preserve"> for cost-effectiveness evidence on </w:t>
      </w:r>
      <w:proofErr w:type="spellStart"/>
      <w:r w:rsidR="00AC2843">
        <w:t>everolimus</w:t>
      </w:r>
      <w:proofErr w:type="spellEnd"/>
      <w:r w:rsidR="00411E46" w:rsidRPr="00411E46">
        <w:t xml:space="preserve"> carried in June 2009</w:t>
      </w:r>
      <w:r w:rsidRPr="00411E46">
        <w:t xml:space="preserve">) and a part-update of TA178 </w:t>
      </w:r>
      <w:r w:rsidR="00B930C2" w:rsidRPr="00411E46">
        <w:t>(</w:t>
      </w:r>
      <w:r w:rsidR="00411E46" w:rsidRPr="00411E46">
        <w:t>search for cost-effectiveness</w:t>
      </w:r>
      <w:r w:rsidR="00AC2843">
        <w:t xml:space="preserve"> evidence on </w:t>
      </w:r>
      <w:proofErr w:type="spellStart"/>
      <w:r w:rsidR="00AC2843">
        <w:t>sorafenib</w:t>
      </w:r>
      <w:proofErr w:type="spellEnd"/>
      <w:r w:rsidR="00747B98">
        <w:t xml:space="preserve"> and </w:t>
      </w:r>
      <w:proofErr w:type="spellStart"/>
      <w:r w:rsidR="00747B98">
        <w:t>sunitinib</w:t>
      </w:r>
      <w:proofErr w:type="spellEnd"/>
      <w:r w:rsidR="00411E46" w:rsidRPr="00411E46">
        <w:t xml:space="preserve"> carried in February 2008</w:t>
      </w:r>
      <w:r w:rsidR="00B930C2" w:rsidRPr="00411E46">
        <w:t>)</w:t>
      </w:r>
      <w:r w:rsidR="00411E46" w:rsidRPr="00411E46">
        <w:t>.</w:t>
      </w:r>
      <w:r w:rsidR="00411E46">
        <w:t xml:space="preserve"> </w:t>
      </w:r>
      <w:r w:rsidR="00B930C2" w:rsidRPr="006463C0">
        <w:t xml:space="preserve">The cost-effectiveness search will aim to identify full economic evaluations, costing studies and </w:t>
      </w:r>
      <w:proofErr w:type="spellStart"/>
      <w:r w:rsidR="00B930C2" w:rsidRPr="006463C0">
        <w:t>HRQoL</w:t>
      </w:r>
      <w:proofErr w:type="spellEnd"/>
      <w:r w:rsidR="00B930C2" w:rsidRPr="006463C0">
        <w:t xml:space="preserve"> studies. The following electronic databases will be searched in order to identify economic evaluations and quality of life studies for the interventions considered:</w:t>
      </w:r>
    </w:p>
    <w:p w:rsidR="00B930C2" w:rsidRPr="006463C0" w:rsidRDefault="00B930C2" w:rsidP="00B930C2">
      <w:pPr>
        <w:pStyle w:val="BMJBULLET"/>
      </w:pPr>
      <w:r w:rsidRPr="006463C0">
        <w:t>MEDLINE (Ovid);</w:t>
      </w:r>
    </w:p>
    <w:p w:rsidR="00B930C2" w:rsidRPr="006463C0" w:rsidRDefault="00B930C2" w:rsidP="00B930C2">
      <w:pPr>
        <w:pStyle w:val="BMJBULLET"/>
      </w:pPr>
      <w:r w:rsidRPr="006463C0">
        <w:t>EMBASE (Ovid);</w:t>
      </w:r>
    </w:p>
    <w:p w:rsidR="00B930C2" w:rsidRPr="006463C0" w:rsidRDefault="00B930C2" w:rsidP="00B930C2">
      <w:pPr>
        <w:pStyle w:val="BMJBULLET"/>
      </w:pPr>
      <w:r w:rsidRPr="006463C0">
        <w:t>Database of Reviews of Effects (DARE);</w:t>
      </w:r>
    </w:p>
    <w:p w:rsidR="00B930C2" w:rsidRPr="006463C0" w:rsidRDefault="00B930C2" w:rsidP="00B930C2">
      <w:pPr>
        <w:pStyle w:val="BMJBULLET"/>
        <w:spacing w:line="360" w:lineRule="auto"/>
      </w:pPr>
      <w:r w:rsidRPr="006463C0">
        <w:t>NHS Economic Evaluations Database (NHS EED).</w:t>
      </w:r>
    </w:p>
    <w:p w:rsidR="001D05F0" w:rsidRDefault="00B930C2">
      <w:pPr>
        <w:pStyle w:val="BMJnormal"/>
      </w:pPr>
      <w:r w:rsidRPr="00AC2843">
        <w:t xml:space="preserve">Databases will be searched from inception for evidence on </w:t>
      </w:r>
      <w:r w:rsidR="007D597C">
        <w:t>all the relevant interventions.</w:t>
      </w:r>
    </w:p>
    <w:p w:rsidR="001D05F0" w:rsidRDefault="001547CD">
      <w:pPr>
        <w:pStyle w:val="BMJnormal"/>
      </w:pPr>
      <w:r>
        <w:t>As an example, t</w:t>
      </w:r>
      <w:r w:rsidR="00B930C2" w:rsidRPr="006463C0">
        <w:t xml:space="preserve">he details of the </w:t>
      </w:r>
      <w:r>
        <w:t xml:space="preserve">MEDLINE </w:t>
      </w:r>
      <w:r w:rsidR="00B930C2" w:rsidRPr="006463C0">
        <w:t>search strategy are presented in full in Appendix 9.1. The search strategy will combine terms capturing the interventions or comparators of interest and the target condition (</w:t>
      </w:r>
      <w:r w:rsidR="006463C0" w:rsidRPr="006463C0">
        <w:t>RCC</w:t>
      </w:r>
      <w:r w:rsidR="00B930C2" w:rsidRPr="006463C0">
        <w:t xml:space="preserve">). Health economic and quality of life search terms will be applied to capture the study designs of interest (cost-effectiveness, cost and quality of life, health state utility values [HSUVs]). No language (to assess volume of foreign language studies available), setting or country restrictions will be applied to the search strategy. In addition, experts in the field will be contacted with a request for details of published and unpublished studies of which they may have knowledge. Furthermore, identified systematic reviews and </w:t>
      </w:r>
      <w:r w:rsidR="006463C0" w:rsidRPr="006463C0">
        <w:t>companies</w:t>
      </w:r>
      <w:r w:rsidR="00B930C2" w:rsidRPr="006463C0">
        <w:t>’ submissions will be searched for additional references. All searches will be updated when the draft report is under peer review</w:t>
      </w:r>
      <w:r w:rsidR="008F70C6">
        <w:t xml:space="preserve"> by the Assessment Group’s clinical and health economist experts</w:t>
      </w:r>
      <w:r w:rsidR="008F70C6" w:rsidRPr="006463C0">
        <w:t>,</w:t>
      </w:r>
      <w:r w:rsidR="008F70C6">
        <w:t xml:space="preserve"> </w:t>
      </w:r>
      <w:r w:rsidR="00B930C2" w:rsidRPr="006463C0">
        <w:t>prior to submission of the final report.</w:t>
      </w:r>
    </w:p>
    <w:p w:rsidR="00B930C2" w:rsidRPr="00021193" w:rsidRDefault="00B930C2" w:rsidP="00021193">
      <w:pPr>
        <w:pStyle w:val="BMJNormal0"/>
        <w:rPr>
          <w:b/>
          <w:i/>
        </w:rPr>
      </w:pPr>
      <w:r w:rsidRPr="00021193">
        <w:rPr>
          <w:b/>
          <w:i/>
        </w:rPr>
        <w:t>6.2 Inclusion and exclusion criteria</w:t>
      </w:r>
    </w:p>
    <w:p w:rsidR="00021193" w:rsidRDefault="00B930C2" w:rsidP="00021193">
      <w:pPr>
        <w:pStyle w:val="BMJnormal"/>
      </w:pPr>
      <w:r w:rsidRPr="00F869B0">
        <w:t>The titles and abstracts of papers identified through the searches outlined above will be independently assessed for inclusion by two reviewers using the following criteria:</w:t>
      </w:r>
    </w:p>
    <w:p w:rsidR="00B930C2" w:rsidRPr="00021193" w:rsidRDefault="00B930C2" w:rsidP="00021193">
      <w:pPr>
        <w:pStyle w:val="BMJnormal"/>
        <w:rPr>
          <w:i/>
        </w:rPr>
      </w:pPr>
      <w:r w:rsidRPr="00021193">
        <w:rPr>
          <w:i/>
        </w:rPr>
        <w:t>Inclusion criteria:</w:t>
      </w:r>
    </w:p>
    <w:p w:rsidR="00B930C2" w:rsidRPr="00F869B0" w:rsidRDefault="00021193" w:rsidP="00021193">
      <w:pPr>
        <w:pStyle w:val="BMJnormal"/>
        <w:numPr>
          <w:ilvl w:val="0"/>
          <w:numId w:val="34"/>
        </w:numPr>
        <w:spacing w:line="240" w:lineRule="auto"/>
        <w:ind w:left="714" w:hanging="357"/>
      </w:pPr>
      <w:r>
        <w:t>A</w:t>
      </w:r>
      <w:r w:rsidR="00B930C2" w:rsidRPr="00F869B0">
        <w:t>ll economic evaluations (cost-effectiveness,</w:t>
      </w:r>
      <w:r w:rsidR="00156BCD">
        <w:t xml:space="preserve"> cost-utility,</w:t>
      </w:r>
      <w:r w:rsidR="00B930C2" w:rsidRPr="00F869B0">
        <w:t xml:space="preserve"> cost-benefit</w:t>
      </w:r>
      <w:r w:rsidR="00B930C2">
        <w:t xml:space="preserve">, cost-consequence </w:t>
      </w:r>
      <w:r w:rsidR="00B930C2" w:rsidRPr="00F869B0">
        <w:t>or cost</w:t>
      </w:r>
      <w:r w:rsidR="00156BCD">
        <w:t>-</w:t>
      </w:r>
      <w:r w:rsidR="00B930C2" w:rsidRPr="00F869B0">
        <w:t>minimisation)</w:t>
      </w:r>
      <w:r w:rsidR="00B930C2">
        <w:t>;</w:t>
      </w:r>
    </w:p>
    <w:p w:rsidR="00B930C2" w:rsidRPr="00F869B0" w:rsidRDefault="00021193" w:rsidP="00021193">
      <w:pPr>
        <w:pStyle w:val="BMJnormal"/>
        <w:numPr>
          <w:ilvl w:val="0"/>
          <w:numId w:val="34"/>
        </w:numPr>
        <w:spacing w:line="240" w:lineRule="auto"/>
        <w:ind w:left="714" w:hanging="357"/>
      </w:pPr>
      <w:r>
        <w:lastRenderedPageBreak/>
        <w:t>A</w:t>
      </w:r>
      <w:r w:rsidR="00B930C2" w:rsidRPr="00F869B0">
        <w:t>ny setting (to be as inclusive as possible)</w:t>
      </w:r>
      <w:r w:rsidR="00B930C2">
        <w:t>;</w:t>
      </w:r>
    </w:p>
    <w:p w:rsidR="001B77B3" w:rsidRDefault="00021193" w:rsidP="00021193">
      <w:pPr>
        <w:pStyle w:val="BMJnormal"/>
        <w:numPr>
          <w:ilvl w:val="0"/>
          <w:numId w:val="34"/>
        </w:numPr>
        <w:spacing w:line="240" w:lineRule="auto"/>
        <w:ind w:left="714" w:hanging="357"/>
      </w:pPr>
      <w:r>
        <w:t>I</w:t>
      </w:r>
      <w:r w:rsidR="00B930C2" w:rsidRPr="00F869B0">
        <w:t>ntervention</w:t>
      </w:r>
      <w:r w:rsidR="00B930C2">
        <w:t xml:space="preserve"> or comparators as per the final scope</w:t>
      </w:r>
      <w:r w:rsidR="001B77B3">
        <w:t>:</w:t>
      </w:r>
    </w:p>
    <w:p w:rsidR="00391BEE" w:rsidRDefault="001B77B3" w:rsidP="00391BEE">
      <w:pPr>
        <w:pStyle w:val="BMJnormal"/>
        <w:numPr>
          <w:ilvl w:val="1"/>
          <w:numId w:val="34"/>
        </w:numPr>
        <w:spacing w:line="240" w:lineRule="auto"/>
      </w:pPr>
      <w:proofErr w:type="spellStart"/>
      <w:r>
        <w:t>Axitinib</w:t>
      </w:r>
      <w:proofErr w:type="spellEnd"/>
    </w:p>
    <w:p w:rsidR="00391BEE" w:rsidRDefault="001B77B3" w:rsidP="00391BEE">
      <w:pPr>
        <w:pStyle w:val="BMJnormal"/>
        <w:numPr>
          <w:ilvl w:val="1"/>
          <w:numId w:val="34"/>
        </w:numPr>
        <w:spacing w:line="240" w:lineRule="auto"/>
      </w:pPr>
      <w:proofErr w:type="spellStart"/>
      <w:r>
        <w:t>Everolimus</w:t>
      </w:r>
      <w:proofErr w:type="spellEnd"/>
    </w:p>
    <w:p w:rsidR="00391BEE" w:rsidRDefault="001B77B3" w:rsidP="00391BEE">
      <w:pPr>
        <w:pStyle w:val="BMJnormal"/>
        <w:numPr>
          <w:ilvl w:val="1"/>
          <w:numId w:val="34"/>
        </w:numPr>
        <w:spacing w:line="240" w:lineRule="auto"/>
      </w:pPr>
      <w:proofErr w:type="spellStart"/>
      <w:r>
        <w:t>Sorafenib</w:t>
      </w:r>
      <w:proofErr w:type="spellEnd"/>
    </w:p>
    <w:p w:rsidR="00391BEE" w:rsidRDefault="001B77B3" w:rsidP="00391BEE">
      <w:pPr>
        <w:pStyle w:val="BMJnormal"/>
        <w:numPr>
          <w:ilvl w:val="1"/>
          <w:numId w:val="34"/>
        </w:numPr>
        <w:spacing w:line="240" w:lineRule="auto"/>
      </w:pPr>
      <w:proofErr w:type="spellStart"/>
      <w:r>
        <w:t>Sunitinib</w:t>
      </w:r>
      <w:proofErr w:type="spellEnd"/>
    </w:p>
    <w:p w:rsidR="00B930C2" w:rsidRPr="00F869B0" w:rsidRDefault="00021193" w:rsidP="00021193">
      <w:pPr>
        <w:pStyle w:val="BMJnormal"/>
        <w:numPr>
          <w:ilvl w:val="0"/>
          <w:numId w:val="34"/>
        </w:numPr>
        <w:spacing w:line="240" w:lineRule="auto"/>
        <w:ind w:left="714" w:hanging="357"/>
      </w:pPr>
      <w:r>
        <w:t>S</w:t>
      </w:r>
      <w:r w:rsidR="00B930C2">
        <w:t>tudy outcomes</w:t>
      </w:r>
      <w:r w:rsidR="00B930C2" w:rsidRPr="00F869B0">
        <w:t xml:space="preserve"> </w:t>
      </w:r>
      <w:r w:rsidR="00B930C2">
        <w:t xml:space="preserve">reported </w:t>
      </w:r>
      <w:r w:rsidR="00B930C2" w:rsidRPr="00F869B0">
        <w:t xml:space="preserve">in terms of life-years </w:t>
      </w:r>
      <w:r w:rsidR="00B930C2">
        <w:t>gained (LYG</w:t>
      </w:r>
      <w:r w:rsidR="00B930C2" w:rsidRPr="00F869B0">
        <w:t>) or quality adjusted life years (QALYs)</w:t>
      </w:r>
      <w:r w:rsidR="00B930C2">
        <w:t>;</w:t>
      </w:r>
    </w:p>
    <w:p w:rsidR="00B930C2" w:rsidRDefault="00021193" w:rsidP="00021193">
      <w:pPr>
        <w:pStyle w:val="BMJnormal"/>
        <w:numPr>
          <w:ilvl w:val="0"/>
          <w:numId w:val="34"/>
        </w:numPr>
        <w:spacing w:line="240" w:lineRule="auto"/>
        <w:ind w:left="714" w:hanging="357"/>
      </w:pPr>
      <w:r>
        <w:t>F</w:t>
      </w:r>
      <w:r w:rsidR="00B930C2">
        <w:t>ull publications in English (numbers of relevant non-</w:t>
      </w:r>
      <w:r w:rsidR="00B930C2" w:rsidRPr="005D314D">
        <w:t xml:space="preserve">English </w:t>
      </w:r>
      <w:r w:rsidR="00B930C2">
        <w:t>studies</w:t>
      </w:r>
      <w:r w:rsidR="00B930C2" w:rsidRPr="005D314D">
        <w:t xml:space="preserve"> will be reported);</w:t>
      </w:r>
    </w:p>
    <w:p w:rsidR="00B930C2" w:rsidRDefault="00021193" w:rsidP="00021193">
      <w:pPr>
        <w:pStyle w:val="BMJnormal"/>
        <w:numPr>
          <w:ilvl w:val="0"/>
          <w:numId w:val="34"/>
        </w:numPr>
        <w:spacing w:line="240" w:lineRule="auto"/>
        <w:ind w:left="714" w:hanging="357"/>
      </w:pPr>
      <w:r>
        <w:t>Q</w:t>
      </w:r>
      <w:r w:rsidR="00B930C2">
        <w:t xml:space="preserve">uality of life studies in </w:t>
      </w:r>
      <w:r>
        <w:t>RCC;</w:t>
      </w:r>
    </w:p>
    <w:p w:rsidR="00F27C00" w:rsidRPr="00F27C00" w:rsidRDefault="00021193" w:rsidP="00F27C00">
      <w:pPr>
        <w:pStyle w:val="BMJnormal"/>
        <w:numPr>
          <w:ilvl w:val="0"/>
          <w:numId w:val="34"/>
        </w:numPr>
      </w:pPr>
      <w:r w:rsidRPr="00F27C00">
        <w:t>C</w:t>
      </w:r>
      <w:r w:rsidR="00B930C2" w:rsidRPr="00F27C00">
        <w:t xml:space="preserve">osting/resource use studies in </w:t>
      </w:r>
      <w:r w:rsidRPr="00F27C00">
        <w:t>RCC</w:t>
      </w:r>
      <w:r w:rsidR="00B930C2" w:rsidRPr="00F27C00">
        <w:t xml:space="preserve"> (for resource use review)</w:t>
      </w:r>
      <w:r w:rsidRPr="00F27C00">
        <w:t>.</w:t>
      </w:r>
    </w:p>
    <w:p w:rsidR="00B930C2" w:rsidRPr="00021193" w:rsidRDefault="00B930C2" w:rsidP="00021193">
      <w:pPr>
        <w:pStyle w:val="BMJnormal"/>
        <w:rPr>
          <w:i/>
        </w:rPr>
      </w:pPr>
      <w:r w:rsidRPr="00021193">
        <w:rPr>
          <w:i/>
        </w:rPr>
        <w:t>Exclusion criteria:</w:t>
      </w:r>
    </w:p>
    <w:p w:rsidR="00B930C2" w:rsidRPr="00F869B0" w:rsidRDefault="00021193" w:rsidP="00021193">
      <w:pPr>
        <w:pStyle w:val="BMJnormal"/>
        <w:numPr>
          <w:ilvl w:val="0"/>
          <w:numId w:val="35"/>
        </w:numPr>
      </w:pPr>
      <w:r>
        <w:t>A</w:t>
      </w:r>
      <w:r w:rsidR="00B930C2">
        <w:t>bstracts with insufficient methodological details;</w:t>
      </w:r>
    </w:p>
    <w:p w:rsidR="00021193" w:rsidRDefault="00021193" w:rsidP="00021193">
      <w:pPr>
        <w:pStyle w:val="BMJnormal"/>
        <w:numPr>
          <w:ilvl w:val="0"/>
          <w:numId w:val="35"/>
        </w:numPr>
      </w:pPr>
      <w:r>
        <w:t>S</w:t>
      </w:r>
      <w:r w:rsidR="00B930C2">
        <w:t xml:space="preserve">ystematic </w:t>
      </w:r>
      <w:r w:rsidR="0030095E">
        <w:t>reviews;</w:t>
      </w:r>
    </w:p>
    <w:p w:rsidR="001D05F0" w:rsidRDefault="0030095E">
      <w:pPr>
        <w:pStyle w:val="BMJnormal"/>
        <w:numPr>
          <w:ilvl w:val="0"/>
          <w:numId w:val="35"/>
        </w:numPr>
      </w:pPr>
      <w:r>
        <w:t>Studies not available in the English language.</w:t>
      </w:r>
    </w:p>
    <w:p w:rsidR="001D05F0" w:rsidRDefault="00104094">
      <w:pPr>
        <w:pStyle w:val="BMJnormal"/>
      </w:pPr>
      <w:r>
        <w:t>Sources of evidence reporting data for additional interventions considered relevant in advanced and metastatic RCC treatment will be identified in the systematic search. These sources however will not be data-extracted and included in the literature review unless:</w:t>
      </w:r>
    </w:p>
    <w:p w:rsidR="00104094" w:rsidRDefault="00104094" w:rsidP="00104094">
      <w:pPr>
        <w:pStyle w:val="BMJnormal"/>
        <w:numPr>
          <w:ilvl w:val="0"/>
          <w:numId w:val="35"/>
        </w:numPr>
      </w:pPr>
      <w:r>
        <w:t>They report data of special interest or relevance, or;</w:t>
      </w:r>
    </w:p>
    <w:p w:rsidR="00104094" w:rsidRDefault="00104094" w:rsidP="00104094">
      <w:pPr>
        <w:pStyle w:val="BMJnormal"/>
        <w:numPr>
          <w:ilvl w:val="0"/>
          <w:numId w:val="35"/>
        </w:numPr>
      </w:pPr>
      <w:r>
        <w:t>The evidence already collected is not considered sufficient.</w:t>
      </w:r>
    </w:p>
    <w:p w:rsidR="001D05F0" w:rsidRDefault="00EE1A8A">
      <w:pPr>
        <w:pStyle w:val="BMJnormal"/>
      </w:pPr>
      <w:r>
        <w:t>The additional interventions considered are: bevacizumab, interferon-</w:t>
      </w:r>
      <m:oMath>
        <m:r>
          <w:rPr>
            <w:rFonts w:ascii="Cambria Math" w:hAnsi="Cambria Math"/>
          </w:rPr>
          <m:t>α</m:t>
        </m:r>
      </m:oMath>
      <w:r>
        <w:t>, nivolumab, pazopanib, temsirolimus and tivozanib.</w:t>
      </w:r>
    </w:p>
    <w:p w:rsidR="00B930C2" w:rsidRPr="00021193" w:rsidRDefault="00B930C2" w:rsidP="00021193">
      <w:pPr>
        <w:pStyle w:val="BMJnormal"/>
        <w:rPr>
          <w:b/>
          <w:i/>
        </w:rPr>
      </w:pPr>
      <w:r w:rsidRPr="00021193">
        <w:rPr>
          <w:b/>
          <w:i/>
        </w:rPr>
        <w:t xml:space="preserve">6.3 Data extraction strategy </w:t>
      </w:r>
    </w:p>
    <w:p w:rsidR="00B930C2" w:rsidRPr="003304A1" w:rsidRDefault="00B930C2" w:rsidP="00A33D66">
      <w:pPr>
        <w:pStyle w:val="BMJnormal"/>
      </w:pPr>
      <w:r w:rsidRPr="00DF1982">
        <w:t xml:space="preserve">Data will be extracted by one reviewer using a standardised data extraction table and checked by a second reviewer for accuracy. Disagreement will be resolved by discussion, however, if no consensus is reached, a third reviewer will be consulted. In cases where there are missing data or unclear reporting in the published or submitted economic evidence or quality of life </w:t>
      </w:r>
      <w:r w:rsidRPr="00DF1982">
        <w:lastRenderedPageBreak/>
        <w:t>studies, attempts will be made to contact authors. Studies published in the UK will be reported in greater detail than non-UK studies as they are more likely to be relevant to the NHS</w:t>
      </w:r>
      <w:r w:rsidR="00DF1982">
        <w:t>. Tables 2 and 3 exemplify</w:t>
      </w:r>
      <w:r w:rsidRPr="00DF1982">
        <w:t xml:space="preserve"> the health economic evaluation and quality of life data that will be sought from each study. In addition, the reason for exclusion of each excluded study will be </w:t>
      </w:r>
      <w:r w:rsidR="00602136" w:rsidRPr="00DF1982">
        <w:t>documented</w:t>
      </w:r>
      <w:r w:rsidRPr="00DF1982">
        <w:t xml:space="preserve"> (Table 4).</w:t>
      </w:r>
      <w:r w:rsidRPr="003304A1">
        <w:t>Table 2. Health economic evaluation data extraction table</w:t>
      </w:r>
    </w:p>
    <w:tbl>
      <w:tblPr>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1417"/>
        <w:gridCol w:w="851"/>
        <w:gridCol w:w="1276"/>
        <w:gridCol w:w="1417"/>
        <w:gridCol w:w="1135"/>
        <w:gridCol w:w="1418"/>
      </w:tblGrid>
      <w:tr w:rsidR="00B930C2" w:rsidRPr="00681E1F" w:rsidDel="00816167" w:rsidTr="00156BCD">
        <w:trPr>
          <w:cantSplit/>
          <w:trHeight w:val="283"/>
          <w:tblHeader/>
        </w:trPr>
        <w:tc>
          <w:tcPr>
            <w:tcW w:w="566"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391BEE" w:rsidRDefault="00B930C2" w:rsidP="00391BEE">
            <w:pPr>
              <w:pStyle w:val="BMJTableheading"/>
              <w:spacing w:before="60" w:after="60"/>
            </w:pPr>
            <w:r>
              <w:t>Author, year, c</w:t>
            </w:r>
            <w:r w:rsidRPr="00681E1F" w:rsidDel="00816167">
              <w:t>ountry</w:t>
            </w:r>
          </w:p>
        </w:tc>
        <w:tc>
          <w:tcPr>
            <w:tcW w:w="836"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391BEE" w:rsidRDefault="00B930C2" w:rsidP="00391BEE">
            <w:pPr>
              <w:pStyle w:val="BMJTableheading"/>
              <w:spacing w:before="60" w:after="60"/>
            </w:pPr>
            <w:r w:rsidRPr="00681E1F" w:rsidDel="00816167">
              <w:rPr>
                <w:rFonts w:cs="Arial"/>
                <w:szCs w:val="18"/>
              </w:rPr>
              <w:t>Perspective</w:t>
            </w:r>
            <w:r>
              <w:rPr>
                <w:rFonts w:cs="Arial"/>
                <w:szCs w:val="18"/>
              </w:rPr>
              <w:t>, discounting &amp; cost year</w:t>
            </w:r>
          </w:p>
        </w:tc>
        <w:tc>
          <w:tcPr>
            <w:tcW w:w="502"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391BEE" w:rsidRDefault="00B930C2" w:rsidP="00391BEE">
            <w:pPr>
              <w:pStyle w:val="BMJTableheading"/>
              <w:spacing w:before="60" w:after="60"/>
            </w:pPr>
            <w:r w:rsidRPr="00681E1F" w:rsidDel="00816167">
              <w:rPr>
                <w:rFonts w:cs="Arial"/>
                <w:szCs w:val="18"/>
              </w:rPr>
              <w:t>Model type</w:t>
            </w:r>
          </w:p>
        </w:tc>
        <w:tc>
          <w:tcPr>
            <w:tcW w:w="753"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391BEE" w:rsidRDefault="00B930C2" w:rsidP="00391BEE">
            <w:pPr>
              <w:pStyle w:val="BMJTableheading"/>
              <w:spacing w:before="60" w:after="60"/>
            </w:pPr>
            <w:r w:rsidRPr="00681E1F" w:rsidDel="00816167">
              <w:rPr>
                <w:rFonts w:cs="Arial"/>
                <w:szCs w:val="18"/>
              </w:rPr>
              <w:t>Patient population</w:t>
            </w:r>
          </w:p>
        </w:tc>
        <w:tc>
          <w:tcPr>
            <w:tcW w:w="836"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391BEE" w:rsidRDefault="00B930C2" w:rsidP="00391BEE">
            <w:pPr>
              <w:pStyle w:val="BMJTableheading"/>
              <w:spacing w:before="60" w:after="60"/>
            </w:pPr>
            <w:r w:rsidRPr="00681E1F" w:rsidDel="00816167">
              <w:rPr>
                <w:rFonts w:cs="Arial"/>
                <w:szCs w:val="18"/>
              </w:rPr>
              <w:t>Intervention</w:t>
            </w:r>
            <w:r>
              <w:rPr>
                <w:rFonts w:cs="Arial"/>
                <w:szCs w:val="18"/>
              </w:rPr>
              <w:t>/</w:t>
            </w:r>
            <w:r w:rsidRPr="00681E1F" w:rsidDel="00816167">
              <w:rPr>
                <w:rFonts w:cs="Arial"/>
                <w:szCs w:val="18"/>
              </w:rPr>
              <w:br/>
              <w:t>comparator</w:t>
            </w:r>
          </w:p>
        </w:tc>
        <w:tc>
          <w:tcPr>
            <w:tcW w:w="670"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391BEE" w:rsidRDefault="00B930C2" w:rsidP="00391BEE">
            <w:pPr>
              <w:pStyle w:val="BMJTableheading"/>
              <w:spacing w:before="60" w:after="60"/>
            </w:pPr>
            <w:r w:rsidRPr="00681E1F" w:rsidDel="00816167">
              <w:rPr>
                <w:rFonts w:cs="Arial"/>
                <w:szCs w:val="18"/>
              </w:rPr>
              <w:t>Outcomes</w:t>
            </w:r>
          </w:p>
        </w:tc>
        <w:tc>
          <w:tcPr>
            <w:tcW w:w="837"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391BEE" w:rsidRDefault="00B930C2" w:rsidP="00391BEE">
            <w:pPr>
              <w:pStyle w:val="BMJTableheading"/>
              <w:spacing w:before="60" w:after="60"/>
            </w:pPr>
            <w:r>
              <w:t xml:space="preserve">Results </w:t>
            </w:r>
            <w:r w:rsidRPr="00681E1F" w:rsidDel="00816167">
              <w:t>ICER (per QALY gained)</w:t>
            </w:r>
            <w:r>
              <w:t xml:space="preserve"> incl</w:t>
            </w:r>
            <w:r w:rsidR="001547CD">
              <w:t>.</w:t>
            </w:r>
            <w:r>
              <w:t xml:space="preserve"> uncertainty</w:t>
            </w:r>
          </w:p>
        </w:tc>
      </w:tr>
      <w:tr w:rsidR="00B930C2" w:rsidRPr="00681E1F" w:rsidDel="00816167" w:rsidTr="00156BCD">
        <w:trPr>
          <w:cantSplit/>
          <w:trHeight w:val="283"/>
        </w:trPr>
        <w:tc>
          <w:tcPr>
            <w:tcW w:w="566" w:type="pct"/>
            <w:tcBorders>
              <w:top w:val="single" w:sz="4" w:space="0" w:color="auto"/>
              <w:left w:val="single" w:sz="4" w:space="0" w:color="auto"/>
              <w:bottom w:val="single" w:sz="4" w:space="0" w:color="auto"/>
              <w:right w:val="single" w:sz="4" w:space="0" w:color="auto"/>
            </w:tcBorders>
            <w:shd w:val="clear" w:color="auto" w:fill="auto"/>
          </w:tcPr>
          <w:p w:rsidR="00391BEE" w:rsidRDefault="00391BEE" w:rsidP="00391BEE">
            <w:pPr>
              <w:pStyle w:val="BMJTabletext0"/>
              <w:spacing w:before="60" w:after="60"/>
              <w:rPr>
                <w:lang w:val="en-GB"/>
              </w:rPr>
            </w:pPr>
          </w:p>
        </w:tc>
        <w:tc>
          <w:tcPr>
            <w:tcW w:w="836" w:type="pct"/>
            <w:tcBorders>
              <w:top w:val="single" w:sz="4" w:space="0" w:color="auto"/>
              <w:left w:val="single" w:sz="4" w:space="0" w:color="auto"/>
              <w:bottom w:val="single" w:sz="4" w:space="0" w:color="auto"/>
              <w:right w:val="single" w:sz="4" w:space="0" w:color="auto"/>
            </w:tcBorders>
          </w:tcPr>
          <w:p w:rsidR="00391BEE" w:rsidRDefault="00391BEE" w:rsidP="00391BEE">
            <w:pPr>
              <w:pStyle w:val="BMJTabletext0"/>
              <w:spacing w:before="60" w:after="60"/>
              <w:rPr>
                <w:lang w:val="en-GB"/>
              </w:rPr>
            </w:pPr>
          </w:p>
        </w:tc>
        <w:tc>
          <w:tcPr>
            <w:tcW w:w="502" w:type="pct"/>
            <w:tcBorders>
              <w:top w:val="single" w:sz="4" w:space="0" w:color="auto"/>
              <w:left w:val="single" w:sz="4" w:space="0" w:color="auto"/>
              <w:bottom w:val="single" w:sz="4" w:space="0" w:color="auto"/>
              <w:right w:val="single" w:sz="4" w:space="0" w:color="auto"/>
            </w:tcBorders>
            <w:shd w:val="clear" w:color="auto" w:fill="auto"/>
          </w:tcPr>
          <w:p w:rsidR="00391BEE" w:rsidRDefault="00391BEE" w:rsidP="00391BEE">
            <w:pPr>
              <w:pStyle w:val="BMJTabletext0"/>
              <w:spacing w:before="60" w:after="60"/>
              <w:rPr>
                <w:lang w:val="en-GB"/>
              </w:rPr>
            </w:pPr>
          </w:p>
        </w:tc>
        <w:tc>
          <w:tcPr>
            <w:tcW w:w="753" w:type="pct"/>
            <w:tcBorders>
              <w:top w:val="single" w:sz="4" w:space="0" w:color="auto"/>
              <w:left w:val="single" w:sz="4" w:space="0" w:color="auto"/>
              <w:bottom w:val="single" w:sz="4" w:space="0" w:color="auto"/>
              <w:right w:val="single" w:sz="4" w:space="0" w:color="auto"/>
            </w:tcBorders>
            <w:shd w:val="clear" w:color="auto" w:fill="auto"/>
          </w:tcPr>
          <w:p w:rsidR="00391BEE" w:rsidRDefault="00391BEE" w:rsidP="00391BEE">
            <w:pPr>
              <w:pStyle w:val="BMJTabletext0"/>
              <w:spacing w:before="60" w:after="60"/>
            </w:pPr>
          </w:p>
        </w:tc>
        <w:tc>
          <w:tcPr>
            <w:tcW w:w="836" w:type="pct"/>
            <w:tcBorders>
              <w:top w:val="single" w:sz="4" w:space="0" w:color="auto"/>
              <w:left w:val="single" w:sz="4" w:space="0" w:color="auto"/>
              <w:bottom w:val="single" w:sz="4" w:space="0" w:color="auto"/>
              <w:right w:val="single" w:sz="4" w:space="0" w:color="auto"/>
            </w:tcBorders>
            <w:shd w:val="clear" w:color="auto" w:fill="auto"/>
          </w:tcPr>
          <w:p w:rsidR="00391BEE" w:rsidRDefault="00391BEE" w:rsidP="00391BEE">
            <w:pPr>
              <w:pStyle w:val="BMJTabletext0"/>
              <w:spacing w:before="60" w:after="60"/>
            </w:pPr>
          </w:p>
        </w:tc>
        <w:tc>
          <w:tcPr>
            <w:tcW w:w="670" w:type="pct"/>
            <w:tcBorders>
              <w:top w:val="single" w:sz="4" w:space="0" w:color="auto"/>
              <w:left w:val="single" w:sz="4" w:space="0" w:color="auto"/>
              <w:bottom w:val="single" w:sz="4" w:space="0" w:color="auto"/>
              <w:right w:val="single" w:sz="4" w:space="0" w:color="auto"/>
            </w:tcBorders>
            <w:shd w:val="clear" w:color="auto" w:fill="auto"/>
          </w:tcPr>
          <w:p w:rsidR="00391BEE" w:rsidRDefault="00391BEE" w:rsidP="00391BEE">
            <w:pPr>
              <w:pStyle w:val="BMJTabletext0"/>
              <w:spacing w:before="60" w:after="60"/>
              <w:rPr>
                <w:lang w:val="en-GB"/>
              </w:rPr>
            </w:pPr>
          </w:p>
        </w:tc>
        <w:tc>
          <w:tcPr>
            <w:tcW w:w="837" w:type="pct"/>
            <w:tcBorders>
              <w:top w:val="single" w:sz="4" w:space="0" w:color="auto"/>
              <w:left w:val="single" w:sz="4" w:space="0" w:color="auto"/>
              <w:bottom w:val="single" w:sz="4" w:space="0" w:color="auto"/>
              <w:right w:val="single" w:sz="4" w:space="0" w:color="auto"/>
            </w:tcBorders>
            <w:shd w:val="clear" w:color="auto" w:fill="auto"/>
          </w:tcPr>
          <w:p w:rsidR="00391BEE" w:rsidRDefault="00391BEE" w:rsidP="00391BEE">
            <w:pPr>
              <w:pStyle w:val="BMJTabletext0"/>
              <w:spacing w:before="60" w:after="60"/>
            </w:pPr>
          </w:p>
        </w:tc>
      </w:tr>
      <w:tr w:rsidR="00B930C2" w:rsidRPr="00681E1F" w:rsidDel="00816167" w:rsidTr="00074414">
        <w:trPr>
          <w:cantSplit/>
          <w:trHeight w:val="283"/>
        </w:trPr>
        <w:tc>
          <w:tcPr>
            <w:tcW w:w="5000" w:type="pct"/>
            <w:gridSpan w:val="7"/>
            <w:tcBorders>
              <w:top w:val="single" w:sz="4" w:space="0" w:color="auto"/>
              <w:left w:val="single" w:sz="4" w:space="0" w:color="auto"/>
              <w:bottom w:val="single" w:sz="4" w:space="0" w:color="auto"/>
              <w:right w:val="single" w:sz="4" w:space="0" w:color="auto"/>
            </w:tcBorders>
            <w:shd w:val="clear" w:color="auto" w:fill="auto"/>
          </w:tcPr>
          <w:p w:rsidR="00391BEE" w:rsidRDefault="00B930C2" w:rsidP="00391BEE">
            <w:pPr>
              <w:pStyle w:val="BMJTabletext0"/>
              <w:spacing w:before="60" w:after="60"/>
            </w:pPr>
            <w:r>
              <w:t>Reviewer’s comments:</w:t>
            </w:r>
          </w:p>
        </w:tc>
      </w:tr>
      <w:tr w:rsidR="00B930C2" w:rsidRPr="00156BCD" w:rsidDel="00816167" w:rsidTr="00074414">
        <w:trPr>
          <w:cantSplit/>
          <w:trHeight w:val="283"/>
        </w:trPr>
        <w:tc>
          <w:tcPr>
            <w:tcW w:w="5000" w:type="pct"/>
            <w:gridSpan w:val="7"/>
            <w:tcBorders>
              <w:top w:val="single" w:sz="4" w:space="0" w:color="auto"/>
              <w:left w:val="single" w:sz="4" w:space="0" w:color="auto"/>
              <w:bottom w:val="single" w:sz="4" w:space="0" w:color="auto"/>
              <w:right w:val="single" w:sz="4" w:space="0" w:color="auto"/>
            </w:tcBorders>
            <w:shd w:val="clear" w:color="auto" w:fill="auto"/>
          </w:tcPr>
          <w:p w:rsidR="00391BEE" w:rsidRPr="00391BEE" w:rsidRDefault="00A00244" w:rsidP="00391BEE">
            <w:pPr>
              <w:pStyle w:val="BMJTabletext0"/>
              <w:spacing w:before="60" w:after="60"/>
              <w:rPr>
                <w:sz w:val="16"/>
                <w:szCs w:val="16"/>
              </w:rPr>
            </w:pPr>
            <w:r>
              <w:rPr>
                <w:sz w:val="16"/>
                <w:szCs w:val="16"/>
              </w:rPr>
              <w:t>Abbreviations used in table:</w:t>
            </w:r>
            <w:r w:rsidR="00156BCD">
              <w:rPr>
                <w:sz w:val="16"/>
                <w:szCs w:val="16"/>
              </w:rPr>
              <w:t xml:space="preserve"> ICER, incremental cost-effectiveness ratio;</w:t>
            </w:r>
            <w:r>
              <w:rPr>
                <w:sz w:val="16"/>
                <w:szCs w:val="16"/>
              </w:rPr>
              <w:t xml:space="preserve"> QALY, quality adjusted life year</w:t>
            </w:r>
          </w:p>
        </w:tc>
      </w:tr>
    </w:tbl>
    <w:p w:rsidR="00B930C2" w:rsidRDefault="00B930C2" w:rsidP="00B930C2">
      <w:pPr>
        <w:pStyle w:val="BMJnormal"/>
        <w:spacing w:after="0"/>
        <w:rPr>
          <w:b/>
          <w:i/>
        </w:rPr>
      </w:pPr>
    </w:p>
    <w:p w:rsidR="00B930C2" w:rsidRPr="00952D16" w:rsidRDefault="00B930C2" w:rsidP="00B930C2">
      <w:pPr>
        <w:pStyle w:val="BMJCAPTION"/>
      </w:pPr>
      <w:proofErr w:type="gramStart"/>
      <w:r>
        <w:t>Table 3.</w:t>
      </w:r>
      <w:proofErr w:type="gramEnd"/>
      <w:r>
        <w:t xml:space="preserve"> </w:t>
      </w:r>
      <w:r w:rsidRPr="00952D16">
        <w:t>Quality of life data extraction table</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276"/>
        <w:gridCol w:w="1843"/>
        <w:gridCol w:w="2268"/>
        <w:gridCol w:w="1701"/>
      </w:tblGrid>
      <w:tr w:rsidR="00B930C2" w:rsidRPr="00681E1F" w:rsidTr="00074414">
        <w:trPr>
          <w:trHeight w:val="283"/>
        </w:trPr>
        <w:tc>
          <w:tcPr>
            <w:tcW w:w="1384" w:type="dxa"/>
            <w:shd w:val="clear" w:color="auto" w:fill="C6D9F1" w:themeFill="text2" w:themeFillTint="33"/>
            <w:noWrap/>
            <w:hideMark/>
          </w:tcPr>
          <w:p w:rsidR="00391BEE" w:rsidRDefault="00B930C2" w:rsidP="00391BEE">
            <w:pPr>
              <w:pStyle w:val="BMJTableheading"/>
              <w:spacing w:before="60" w:after="60"/>
            </w:pPr>
            <w:r w:rsidRPr="00681E1F">
              <w:t>Author</w:t>
            </w:r>
            <w:r>
              <w:t>, y</w:t>
            </w:r>
            <w:r w:rsidRPr="00681E1F">
              <w:t>ear</w:t>
            </w:r>
            <w:r>
              <w:t>,</w:t>
            </w:r>
          </w:p>
          <w:p w:rsidR="00391BEE" w:rsidRDefault="00B930C2" w:rsidP="00391BEE">
            <w:pPr>
              <w:pStyle w:val="BMJTableheading"/>
              <w:spacing w:before="60" w:after="60"/>
            </w:pPr>
            <w:r>
              <w:t>c</w:t>
            </w:r>
            <w:r w:rsidRPr="00681E1F">
              <w:t>ountry</w:t>
            </w:r>
          </w:p>
        </w:tc>
        <w:tc>
          <w:tcPr>
            <w:tcW w:w="1276" w:type="dxa"/>
            <w:shd w:val="clear" w:color="auto" w:fill="C6D9F1" w:themeFill="text2" w:themeFillTint="33"/>
            <w:noWrap/>
            <w:hideMark/>
          </w:tcPr>
          <w:p w:rsidR="00391BEE" w:rsidRDefault="00B930C2" w:rsidP="00391BEE">
            <w:pPr>
              <w:pStyle w:val="BMJTableheading"/>
              <w:spacing w:before="60" w:after="60"/>
            </w:pPr>
            <w:r w:rsidRPr="00681E1F">
              <w:t>Sample size</w:t>
            </w:r>
          </w:p>
        </w:tc>
        <w:tc>
          <w:tcPr>
            <w:tcW w:w="1843" w:type="dxa"/>
            <w:shd w:val="clear" w:color="auto" w:fill="C6D9F1" w:themeFill="text2" w:themeFillTint="33"/>
            <w:noWrap/>
            <w:hideMark/>
          </w:tcPr>
          <w:p w:rsidR="00391BEE" w:rsidRDefault="00B930C2" w:rsidP="00391BEE">
            <w:pPr>
              <w:pStyle w:val="BMJTableheading"/>
              <w:spacing w:before="60" w:after="60"/>
            </w:pPr>
            <w:r>
              <w:t>Patient p</w:t>
            </w:r>
            <w:r w:rsidRPr="00681E1F">
              <w:t>opulation</w:t>
            </w:r>
          </w:p>
        </w:tc>
        <w:tc>
          <w:tcPr>
            <w:tcW w:w="2268" w:type="dxa"/>
            <w:shd w:val="clear" w:color="auto" w:fill="C6D9F1" w:themeFill="text2" w:themeFillTint="33"/>
            <w:noWrap/>
            <w:hideMark/>
          </w:tcPr>
          <w:p w:rsidR="00391BEE" w:rsidRDefault="00B930C2" w:rsidP="00391BEE">
            <w:pPr>
              <w:pStyle w:val="BMJTableheading"/>
              <w:spacing w:before="60" w:after="60"/>
            </w:pPr>
            <w:r w:rsidRPr="00681E1F">
              <w:t>Instrument (Valuation)</w:t>
            </w:r>
          </w:p>
        </w:tc>
        <w:tc>
          <w:tcPr>
            <w:tcW w:w="1701" w:type="dxa"/>
            <w:shd w:val="clear" w:color="auto" w:fill="C6D9F1" w:themeFill="text2" w:themeFillTint="33"/>
            <w:noWrap/>
            <w:hideMark/>
          </w:tcPr>
          <w:p w:rsidR="00391BEE" w:rsidRDefault="00B930C2" w:rsidP="00391BEE">
            <w:pPr>
              <w:pStyle w:val="BMJTableheading"/>
              <w:spacing w:before="60" w:after="60"/>
            </w:pPr>
            <w:r w:rsidRPr="00681E1F">
              <w:t>Utility results</w:t>
            </w:r>
          </w:p>
        </w:tc>
      </w:tr>
      <w:tr w:rsidR="00B930C2" w:rsidRPr="00681E1F" w:rsidTr="00074414">
        <w:trPr>
          <w:trHeight w:val="283"/>
        </w:trPr>
        <w:tc>
          <w:tcPr>
            <w:tcW w:w="1384" w:type="dxa"/>
            <w:shd w:val="clear" w:color="auto" w:fill="auto"/>
            <w:noWrap/>
            <w:hideMark/>
          </w:tcPr>
          <w:p w:rsidR="00391BEE" w:rsidRDefault="00391BEE" w:rsidP="00391BEE">
            <w:pPr>
              <w:pStyle w:val="BMJTabletext0"/>
              <w:spacing w:before="60" w:after="60"/>
            </w:pPr>
          </w:p>
        </w:tc>
        <w:tc>
          <w:tcPr>
            <w:tcW w:w="1276" w:type="dxa"/>
            <w:shd w:val="clear" w:color="auto" w:fill="auto"/>
            <w:noWrap/>
            <w:hideMark/>
          </w:tcPr>
          <w:p w:rsidR="00391BEE" w:rsidRDefault="00391BEE" w:rsidP="00391BEE">
            <w:pPr>
              <w:pStyle w:val="BMJTabletext0"/>
              <w:spacing w:before="60" w:after="60"/>
            </w:pPr>
          </w:p>
        </w:tc>
        <w:tc>
          <w:tcPr>
            <w:tcW w:w="1843" w:type="dxa"/>
            <w:shd w:val="clear" w:color="auto" w:fill="auto"/>
            <w:noWrap/>
            <w:hideMark/>
          </w:tcPr>
          <w:p w:rsidR="00391BEE" w:rsidRDefault="00391BEE" w:rsidP="00391BEE">
            <w:pPr>
              <w:pStyle w:val="BMJTabletext0"/>
              <w:spacing w:before="60" w:after="60"/>
            </w:pPr>
          </w:p>
        </w:tc>
        <w:tc>
          <w:tcPr>
            <w:tcW w:w="2268" w:type="dxa"/>
            <w:shd w:val="clear" w:color="auto" w:fill="auto"/>
            <w:noWrap/>
            <w:hideMark/>
          </w:tcPr>
          <w:p w:rsidR="00391BEE" w:rsidRDefault="00391BEE" w:rsidP="00391BEE">
            <w:pPr>
              <w:pStyle w:val="BMJTabletext0"/>
              <w:spacing w:before="60" w:after="60"/>
            </w:pPr>
          </w:p>
        </w:tc>
        <w:tc>
          <w:tcPr>
            <w:tcW w:w="1701" w:type="dxa"/>
            <w:shd w:val="clear" w:color="auto" w:fill="auto"/>
            <w:noWrap/>
            <w:hideMark/>
          </w:tcPr>
          <w:p w:rsidR="00391BEE" w:rsidRDefault="00391BEE" w:rsidP="00391BEE">
            <w:pPr>
              <w:keepNext/>
              <w:spacing w:before="60" w:after="60"/>
              <w:rPr>
                <w:rFonts w:ascii="Arial" w:hAnsi="Arial" w:cs="Arial"/>
                <w:color w:val="000000"/>
                <w:sz w:val="18"/>
                <w:szCs w:val="18"/>
              </w:rPr>
            </w:pPr>
          </w:p>
        </w:tc>
      </w:tr>
      <w:tr w:rsidR="00B930C2" w:rsidRPr="00681E1F" w:rsidTr="00074414">
        <w:trPr>
          <w:trHeight w:val="283"/>
        </w:trPr>
        <w:tc>
          <w:tcPr>
            <w:tcW w:w="8472" w:type="dxa"/>
            <w:gridSpan w:val="5"/>
            <w:shd w:val="clear" w:color="auto" w:fill="auto"/>
            <w:noWrap/>
            <w:hideMark/>
          </w:tcPr>
          <w:p w:rsidR="00391BEE" w:rsidRDefault="00B930C2" w:rsidP="00391BEE">
            <w:pPr>
              <w:pStyle w:val="BMJTabletext0"/>
              <w:spacing w:before="60" w:after="60"/>
            </w:pPr>
            <w:r>
              <w:t>Reviewer’s comments:</w:t>
            </w:r>
          </w:p>
        </w:tc>
      </w:tr>
    </w:tbl>
    <w:p w:rsidR="00B930C2" w:rsidRDefault="00B930C2" w:rsidP="00B930C2">
      <w:pPr>
        <w:pStyle w:val="BMJnormal"/>
        <w:spacing w:after="0"/>
        <w:rPr>
          <w:b/>
          <w:i/>
        </w:rPr>
      </w:pPr>
    </w:p>
    <w:p w:rsidR="00B930C2" w:rsidRPr="00952D16" w:rsidRDefault="00B930C2" w:rsidP="00B930C2">
      <w:pPr>
        <w:pStyle w:val="BMJCAPTION"/>
      </w:pPr>
      <w:proofErr w:type="gramStart"/>
      <w:r>
        <w:t>Table 4.</w:t>
      </w:r>
      <w:proofErr w:type="gramEnd"/>
      <w:r>
        <w:t xml:space="preserve"> </w:t>
      </w:r>
      <w:r w:rsidRPr="00952D16">
        <w:t>Data exclusion table</w:t>
      </w:r>
    </w:p>
    <w:tbl>
      <w:tblPr>
        <w:tblStyle w:val="TableGrid"/>
        <w:tblW w:w="0" w:type="auto"/>
        <w:tblLook w:val="04A0" w:firstRow="1" w:lastRow="0" w:firstColumn="1" w:lastColumn="0" w:noHBand="0" w:noVBand="1"/>
      </w:tblPr>
      <w:tblGrid>
        <w:gridCol w:w="3936"/>
        <w:gridCol w:w="4536"/>
      </w:tblGrid>
      <w:tr w:rsidR="00B930C2" w:rsidRPr="0037502A" w:rsidTr="00074414">
        <w:trPr>
          <w:trHeight w:val="283"/>
        </w:trPr>
        <w:tc>
          <w:tcPr>
            <w:tcW w:w="3936" w:type="dxa"/>
            <w:shd w:val="clear" w:color="auto" w:fill="C6D9F1" w:themeFill="text2" w:themeFillTint="33"/>
          </w:tcPr>
          <w:p w:rsidR="00391BEE" w:rsidRDefault="00B930C2" w:rsidP="00391BEE">
            <w:pPr>
              <w:pStyle w:val="BMJTableheading"/>
              <w:spacing w:before="60" w:after="60"/>
            </w:pPr>
            <w:r w:rsidRPr="00C452DE">
              <w:t>Bibliographic reference</w:t>
            </w:r>
          </w:p>
        </w:tc>
        <w:tc>
          <w:tcPr>
            <w:tcW w:w="4536" w:type="dxa"/>
            <w:shd w:val="clear" w:color="auto" w:fill="C6D9F1" w:themeFill="text2" w:themeFillTint="33"/>
          </w:tcPr>
          <w:p w:rsidR="00391BEE" w:rsidRDefault="00B930C2" w:rsidP="00391BEE">
            <w:pPr>
              <w:pStyle w:val="BMJTableheading"/>
              <w:spacing w:before="60" w:after="60"/>
            </w:pPr>
            <w:r w:rsidRPr="00C452DE">
              <w:t>Reasons for exclusion</w:t>
            </w:r>
          </w:p>
        </w:tc>
      </w:tr>
      <w:tr w:rsidR="00B930C2" w:rsidRPr="0037502A" w:rsidTr="00074414">
        <w:trPr>
          <w:trHeight w:val="283"/>
        </w:trPr>
        <w:tc>
          <w:tcPr>
            <w:tcW w:w="3936" w:type="dxa"/>
          </w:tcPr>
          <w:p w:rsidR="00391BEE" w:rsidRDefault="00391BEE" w:rsidP="00391BEE">
            <w:pPr>
              <w:pStyle w:val="BMJnormal"/>
              <w:keepNext/>
              <w:spacing w:before="60" w:after="60" w:line="240" w:lineRule="auto"/>
              <w:jc w:val="left"/>
              <w:rPr>
                <w:rFonts w:ascii="Arial" w:hAnsi="Arial" w:cs="Arial"/>
                <w:sz w:val="18"/>
                <w:szCs w:val="18"/>
              </w:rPr>
            </w:pPr>
          </w:p>
        </w:tc>
        <w:tc>
          <w:tcPr>
            <w:tcW w:w="4536" w:type="dxa"/>
          </w:tcPr>
          <w:p w:rsidR="00391BEE" w:rsidRDefault="00391BEE" w:rsidP="00391BEE">
            <w:pPr>
              <w:pStyle w:val="BMJnormal"/>
              <w:keepNext/>
              <w:spacing w:before="60" w:after="60" w:line="240" w:lineRule="auto"/>
              <w:jc w:val="left"/>
              <w:rPr>
                <w:rFonts w:ascii="Arial" w:hAnsi="Arial" w:cs="Arial"/>
                <w:sz w:val="18"/>
                <w:szCs w:val="18"/>
              </w:rPr>
            </w:pPr>
          </w:p>
        </w:tc>
      </w:tr>
      <w:tr w:rsidR="001B77B3" w:rsidRPr="0037502A" w:rsidTr="009118EE">
        <w:trPr>
          <w:trHeight w:val="283"/>
        </w:trPr>
        <w:tc>
          <w:tcPr>
            <w:tcW w:w="8472" w:type="dxa"/>
            <w:gridSpan w:val="2"/>
          </w:tcPr>
          <w:p w:rsidR="001B77B3" w:rsidRPr="0037502A" w:rsidRDefault="001B77B3" w:rsidP="00156BCD">
            <w:pPr>
              <w:pStyle w:val="BMJnormal"/>
              <w:keepNext/>
              <w:spacing w:before="60" w:after="60" w:line="240" w:lineRule="auto"/>
              <w:jc w:val="left"/>
              <w:rPr>
                <w:rFonts w:ascii="Arial" w:hAnsi="Arial" w:cs="Arial"/>
                <w:sz w:val="18"/>
                <w:szCs w:val="18"/>
              </w:rPr>
            </w:pPr>
            <w:r>
              <w:rPr>
                <w:rFonts w:ascii="Arial" w:hAnsi="Arial" w:cs="Arial"/>
                <w:sz w:val="18"/>
                <w:szCs w:val="18"/>
              </w:rPr>
              <w:t>Reviewer’s comments:</w:t>
            </w:r>
          </w:p>
        </w:tc>
      </w:tr>
    </w:tbl>
    <w:p w:rsidR="007D597C" w:rsidRDefault="007D597C" w:rsidP="00B930C2">
      <w:pPr>
        <w:pStyle w:val="BMJnormal"/>
        <w:spacing w:after="0"/>
        <w:rPr>
          <w:b/>
          <w:i/>
        </w:rPr>
      </w:pPr>
    </w:p>
    <w:p w:rsidR="00B930C2" w:rsidRPr="00F869B0" w:rsidRDefault="00B930C2" w:rsidP="00B930C2">
      <w:pPr>
        <w:pStyle w:val="BMJnormal"/>
        <w:rPr>
          <w:b/>
          <w:bCs/>
          <w:i/>
        </w:rPr>
      </w:pPr>
      <w:r>
        <w:rPr>
          <w:b/>
          <w:bCs/>
          <w:i/>
        </w:rPr>
        <w:t>6.4 Quality assessment strategy</w:t>
      </w:r>
    </w:p>
    <w:p w:rsidR="00B930C2" w:rsidRPr="00F869B0" w:rsidRDefault="00B930C2" w:rsidP="00B930C2">
      <w:pPr>
        <w:pStyle w:val="BMJnormal"/>
      </w:pPr>
      <w:r w:rsidRPr="00F869B0">
        <w:t>A</w:t>
      </w:r>
      <w:r>
        <w:t xml:space="preserve">ll </w:t>
      </w:r>
      <w:r w:rsidRPr="00F869B0">
        <w:t xml:space="preserve">published economic evaluations </w:t>
      </w:r>
      <w:r>
        <w:t>identified</w:t>
      </w:r>
      <w:r w:rsidRPr="00F869B0">
        <w:t xml:space="preserve"> </w:t>
      </w:r>
      <w:r>
        <w:t xml:space="preserve">within the review </w:t>
      </w:r>
      <w:r w:rsidRPr="00F869B0">
        <w:t xml:space="preserve">and any economic evaluations submitted </w:t>
      </w:r>
      <w:r>
        <w:t xml:space="preserve">by </w:t>
      </w:r>
      <w:r w:rsidR="00B333A5">
        <w:t xml:space="preserve">companies </w:t>
      </w:r>
      <w:r w:rsidRPr="00F869B0">
        <w:t xml:space="preserve">to NICE will be </w:t>
      </w:r>
      <w:r>
        <w:t xml:space="preserve">subject to </w:t>
      </w:r>
      <w:r w:rsidRPr="00F869B0">
        <w:t>critical appraisal</w:t>
      </w:r>
      <w:r>
        <w:t xml:space="preserve">. </w:t>
      </w:r>
      <w:r w:rsidRPr="00F869B0">
        <w:rPr>
          <w:rFonts w:eastAsia="NewBaskervilleITCbyBT-Roman"/>
        </w:rPr>
        <w:t xml:space="preserve">The methodological quality of </w:t>
      </w:r>
      <w:r>
        <w:rPr>
          <w:rFonts w:eastAsia="NewBaskervilleITCbyBT-Roman"/>
        </w:rPr>
        <w:t xml:space="preserve">each </w:t>
      </w:r>
      <w:r w:rsidRPr="00F869B0">
        <w:rPr>
          <w:rFonts w:eastAsia="NewBaskervilleITCbyBT-Roman"/>
        </w:rPr>
        <w:t xml:space="preserve">economic evaluation will be assessed </w:t>
      </w:r>
      <w:r>
        <w:rPr>
          <w:rFonts w:eastAsia="NewBaskervilleITCbyBT-Roman"/>
        </w:rPr>
        <w:t>against</w:t>
      </w:r>
      <w:r w:rsidR="00156BCD">
        <w:rPr>
          <w:rFonts w:eastAsia="NewBaskervilleITCbyBT-Roman"/>
        </w:rPr>
        <w:t xml:space="preserve"> the</w:t>
      </w:r>
      <w:r w:rsidRPr="00F869B0">
        <w:rPr>
          <w:rFonts w:eastAsia="NewBaskervilleITCbyBT-Roman"/>
        </w:rPr>
        <w:t xml:space="preserve"> </w:t>
      </w:r>
      <w:r w:rsidRPr="00F869B0">
        <w:t>NICE reference checklist for economic evaluations</w:t>
      </w:r>
      <w:r w:rsidR="009304C3" w:rsidRPr="008F70C6">
        <w:rPr>
          <w:vertAlign w:val="superscript"/>
        </w:rPr>
        <w:fldChar w:fldCharType="begin"/>
      </w:r>
      <w:r w:rsidR="00960313">
        <w:rPr>
          <w:vertAlign w:val="superscript"/>
        </w:rPr>
        <w:instrText xml:space="preserve"> ADDIN EN.CITE &lt;EndNote&gt;&lt;Cite&gt;&lt;Author&gt;National Institute for Health and Care Excellence (NICE)&lt;/Author&gt;&lt;Year&gt;2013&lt;/Year&gt;&lt;RecNum&gt;1368&lt;/RecNum&gt;&lt;DisplayText&gt;(9)&lt;/DisplayText&gt;&lt;record&gt;&lt;rec-number&gt;1368&lt;/rec-number&gt;&lt;foreign-keys&gt;&lt;key app="EN" db-id="f2zd9vv2gsxse8ed0f5vdr57sz05f92pd5tx" timestamp="1443524248"&gt;1368&lt;/key&gt;&lt;/foreign-keys&gt;&lt;ref-type name="Report"&gt;27&lt;/ref-type&gt;&lt;contributors&gt;&lt;authors&gt;&lt;author&gt;National Institute for Health and Care Excellence (NICE),&lt;/author&gt;&lt;/authors&gt;&lt;/contributors&gt;&lt;titles&gt;&lt;title&gt;Guide to the methods of technology appraisal 2013&lt;/title&gt;&lt;secondary-title&gt;Process and methods guides&lt;/secondary-title&gt;&lt;/titles&gt;&lt;dates&gt;&lt;year&gt;2013&lt;/year&gt;&lt;/dates&gt;&lt;publisher&gt;Available at https://www.nice.org.uk/article/pmg9/resources/non-guidance-guide-to-the-methods-of-technology-appraisal-2013-pdf&lt;/publisher&gt;&lt;urls&gt;&lt;related-urls&gt;&lt;url&gt;http://publications.nice.org.uk/pmg9&lt;/url&gt;&lt;/related-urls&gt;&lt;/urls&gt;&lt;/record&gt;&lt;/Cite&gt;&lt;/EndNote&gt;</w:instrText>
      </w:r>
      <w:r w:rsidR="009304C3" w:rsidRPr="008F70C6">
        <w:rPr>
          <w:vertAlign w:val="superscript"/>
        </w:rPr>
        <w:fldChar w:fldCharType="separate"/>
      </w:r>
      <w:r w:rsidR="009004AC">
        <w:rPr>
          <w:noProof/>
          <w:vertAlign w:val="superscript"/>
        </w:rPr>
        <w:t>(9)</w:t>
      </w:r>
      <w:r w:rsidR="009304C3" w:rsidRPr="008F70C6">
        <w:rPr>
          <w:vertAlign w:val="superscript"/>
        </w:rPr>
        <w:fldChar w:fldCharType="end"/>
      </w:r>
      <w:r w:rsidR="009304C3" w:rsidRPr="00A238E9">
        <w:rPr>
          <w:vertAlign w:val="superscript"/>
        </w:rPr>
        <w:fldChar w:fldCharType="begin"/>
      </w:r>
      <w:r w:rsidR="008A4306">
        <w:rPr>
          <w:vertAlign w:val="superscript"/>
        </w:rPr>
        <w:instrText xml:space="preserve"> ADDIN REFMGR.CITE &lt;Refman&gt;&lt;Cite&gt;&lt;Author&gt;National Institute for Health and Clinical Excellence&lt;/Author&gt;&lt;Year&gt;2008&lt;/Year&gt;&lt;RecNum&gt;55&lt;/RecNum&gt;&lt;IDText&gt;Guide to the methods of technology appraisal&lt;/IDText&gt;&lt;MDL Ref_Type="Electronic Citation"&gt;&lt;Ref_Type&gt;Electronic Citation&lt;/Ref_Type&gt;&lt;Ref_ID&gt;55&lt;/Ref_ID&gt;&lt;Title_Primary&gt;Guide to the methods of technology appraisal&lt;/Title_Primary&gt;&lt;Authors_Primary&gt;National Institute for Health and Clinical Excellence&lt;/Authors_Primary&gt;&lt;Date_Primary&gt;2008=Accessed 6th July 2011&lt;/Date_Primary&gt;&lt;Keywords&gt;methods&lt;/Keywords&gt;&lt;Reprint&gt;Not in File&lt;/Reprint&gt;&lt;Periodical&gt;National Institute for Health and Clinical Excellence&lt;/Periodical&gt;&lt;Web_URL&gt;&lt;u&gt;http://www.nice.org.uk/media/B52/A7/TAMethodsGuideUpdatedJune2008.pdf&lt;/u&gt;&lt;/Web_URL&gt;&lt;Web_URL_Link1&gt;&lt;u&gt;http://www.nice.org.uk/media/B52/A7/TAMethodsGuideUpdatedJune2008.pdf&lt;/u&gt;&lt;/Web_URL_Link1&gt;&lt;ZZ_JournalFull&gt;&lt;f name="System"&gt;National Institute for Health and Clinical Excellence&lt;/f&gt;&lt;/ZZ_JournalFull&gt;&lt;ZZ_WorkformID&gt;34&lt;/ZZ_WorkformID&gt;&lt;/MDL&gt;&lt;/Cite&gt;&lt;/Refman&gt;</w:instrText>
      </w:r>
      <w:r w:rsidR="009304C3" w:rsidRPr="00A238E9">
        <w:rPr>
          <w:vertAlign w:val="superscript"/>
        </w:rPr>
        <w:fldChar w:fldCharType="end"/>
      </w:r>
      <w:r w:rsidR="00E6272B">
        <w:t xml:space="preserve"> </w:t>
      </w:r>
      <w:r>
        <w:t>together with the Phi</w:t>
      </w:r>
      <w:r w:rsidRPr="00F869B0">
        <w:t xml:space="preserve">lips </w:t>
      </w:r>
      <w:r w:rsidRPr="00D24862">
        <w:t>checklis</w:t>
      </w:r>
      <w:r w:rsidR="00E6272B">
        <w:t>t</w:t>
      </w:r>
      <w:r w:rsidR="009304C3" w:rsidRPr="008F70C6">
        <w:rPr>
          <w:vertAlign w:val="superscript"/>
        </w:rPr>
        <w:fldChar w:fldCharType="begin">
          <w:fldData xml:space="preserve">PEVuZE5vdGU+PENpdGU+PEF1dGhvcj5QaGlsaXBzPC9BdXRob3I+PFllYXI+MjAwNDwvWWVhcj48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=
</w:fldData>
        </w:fldChar>
      </w:r>
      <w:r w:rsidR="00960313">
        <w:rPr>
          <w:vertAlign w:val="superscript"/>
        </w:rPr>
        <w:instrText xml:space="preserve"> ADDIN EN.CITE </w:instrText>
      </w:r>
      <w:r w:rsidR="009304C3">
        <w:rPr>
          <w:vertAlign w:val="superscript"/>
        </w:rPr>
        <w:fldChar w:fldCharType="begin">
          <w:fldData xml:space="preserve">PEVuZE5vdGU+PENpdGU+PEF1dGhvcj5QaGlsaXBzPC9BdXRob3I+PFllYXI+MjAwNDwvWWVhcj48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=
</w:fldData>
        </w:fldChar>
      </w:r>
      <w:r w:rsidR="00960313">
        <w:rPr>
          <w:vertAlign w:val="superscript"/>
        </w:rPr>
        <w:instrText xml:space="preserve"> ADDIN EN.CITE.DATA </w:instrText>
      </w:r>
      <w:r w:rsidR="009304C3">
        <w:rPr>
          <w:vertAlign w:val="superscript"/>
        </w:rPr>
      </w:r>
      <w:r w:rsidR="009304C3">
        <w:rPr>
          <w:vertAlign w:val="superscript"/>
        </w:rPr>
        <w:fldChar w:fldCharType="end"/>
      </w:r>
      <w:r w:rsidR="009304C3" w:rsidRPr="008F70C6">
        <w:rPr>
          <w:vertAlign w:val="superscript"/>
        </w:rPr>
      </w:r>
      <w:r w:rsidR="009304C3" w:rsidRPr="008F70C6">
        <w:rPr>
          <w:vertAlign w:val="superscript"/>
        </w:rPr>
        <w:fldChar w:fldCharType="separate"/>
      </w:r>
      <w:r w:rsidR="009004AC">
        <w:rPr>
          <w:noProof/>
          <w:vertAlign w:val="superscript"/>
        </w:rPr>
        <w:t>(12)</w:t>
      </w:r>
      <w:r w:rsidR="009304C3" w:rsidRPr="008F70C6">
        <w:rPr>
          <w:vertAlign w:val="superscript"/>
        </w:rPr>
        <w:fldChar w:fldCharType="end"/>
      </w:r>
      <w:r w:rsidRPr="00D24862">
        <w:t xml:space="preserve"> on</w:t>
      </w:r>
      <w:r w:rsidRPr="00F869B0">
        <w:t xml:space="preserve"> mathematical models </w:t>
      </w:r>
      <w:r>
        <w:t>used</w:t>
      </w:r>
      <w:r w:rsidRPr="00F869B0">
        <w:t xml:space="preserve"> in technology assessments</w:t>
      </w:r>
      <w:r>
        <w:t xml:space="preserve"> (see </w:t>
      </w:r>
      <w:r w:rsidRPr="007A28D8">
        <w:t xml:space="preserve">Appendix </w:t>
      </w:r>
      <w:r>
        <w:t>9.3)</w:t>
      </w:r>
      <w:r w:rsidRPr="00F869B0">
        <w:t xml:space="preserve">. </w:t>
      </w:r>
      <w:r>
        <w:t xml:space="preserve">Each economic evaluation will be </w:t>
      </w:r>
      <w:r w:rsidRPr="00F869B0">
        <w:t xml:space="preserve">assessed </w:t>
      </w:r>
      <w:r>
        <w:t xml:space="preserve">by one health economist </w:t>
      </w:r>
      <w:r w:rsidRPr="00F869B0">
        <w:t xml:space="preserve">and </w:t>
      </w:r>
      <w:r>
        <w:t>the details of the assessment checked by a second health economist.</w:t>
      </w:r>
      <w:r w:rsidRPr="00F869B0">
        <w:t xml:space="preserve"> </w:t>
      </w:r>
    </w:p>
    <w:p w:rsidR="006623EB" w:rsidRPr="006623EB" w:rsidRDefault="00B930C2" w:rsidP="006623EB">
      <w:pPr>
        <w:pStyle w:val="BMJNormal0"/>
        <w:rPr>
          <w:b/>
          <w:i/>
        </w:rPr>
      </w:pPr>
      <w:r w:rsidRPr="006623EB">
        <w:rPr>
          <w:b/>
          <w:i/>
        </w:rPr>
        <w:t>6.5 Methods of analysis</w:t>
      </w:r>
    </w:p>
    <w:p w:rsidR="006623EB" w:rsidRPr="006623EB" w:rsidRDefault="00B930C2" w:rsidP="006623EB">
      <w:pPr>
        <w:pStyle w:val="BMJNormal0"/>
        <w:rPr>
          <w:i/>
          <w:lang w:eastAsia="en-US"/>
        </w:rPr>
      </w:pPr>
      <w:r w:rsidRPr="006623EB">
        <w:rPr>
          <w:i/>
          <w:lang w:eastAsia="en-US"/>
        </w:rPr>
        <w:t>Published and submitted economic evaluations</w:t>
      </w:r>
    </w:p>
    <w:p w:rsidR="006623EB" w:rsidRDefault="00B930C2" w:rsidP="006623EB">
      <w:pPr>
        <w:pStyle w:val="BMJNormal0"/>
      </w:pPr>
      <w:r w:rsidRPr="00F869B0">
        <w:t>A narrative summary and acc</w:t>
      </w:r>
      <w:r w:rsidR="00B333A5">
        <w:t>ompanying data extraction table</w:t>
      </w:r>
      <w:r w:rsidRPr="00F869B0">
        <w:t xml:space="preserve"> will be presented</w:t>
      </w:r>
      <w:r>
        <w:t xml:space="preserve"> to summarise evidence from published or submitted economic evaluations. </w:t>
      </w:r>
    </w:p>
    <w:p w:rsidR="00B930C2" w:rsidRPr="00B175AF" w:rsidRDefault="00B930C2" w:rsidP="006623EB">
      <w:pPr>
        <w:pStyle w:val="BMJNormal0"/>
        <w:rPr>
          <w:i/>
        </w:rPr>
      </w:pPr>
      <w:r w:rsidRPr="00B175AF">
        <w:rPr>
          <w:i/>
        </w:rPr>
        <w:lastRenderedPageBreak/>
        <w:t xml:space="preserve">Economic </w:t>
      </w:r>
      <w:r>
        <w:rPr>
          <w:i/>
        </w:rPr>
        <w:t>m</w:t>
      </w:r>
      <w:r w:rsidRPr="00B175AF">
        <w:rPr>
          <w:i/>
        </w:rPr>
        <w:t>odelling</w:t>
      </w:r>
    </w:p>
    <w:p w:rsidR="00B930C2" w:rsidRPr="00F869B0" w:rsidRDefault="00B930C2" w:rsidP="006623EB">
      <w:pPr>
        <w:pStyle w:val="BMJNormal0"/>
      </w:pPr>
      <w:r>
        <w:t>Should the</w:t>
      </w:r>
      <w:r w:rsidRPr="00E76564">
        <w:t xml:space="preserve"> economic evidence identified </w:t>
      </w:r>
      <w:r>
        <w:t>prove</w:t>
      </w:r>
      <w:r w:rsidRPr="00E76564">
        <w:t xml:space="preserve"> insufficient </w:t>
      </w:r>
      <w:r w:rsidR="006623EB">
        <w:t>to answer the research</w:t>
      </w:r>
      <w:r>
        <w:t xml:space="preserve"> question; </w:t>
      </w:r>
      <w:r>
        <w:rPr>
          <w:bCs/>
        </w:rPr>
        <w:t>a</w:t>
      </w:r>
      <w:r w:rsidRPr="00F869B0">
        <w:rPr>
          <w:bCs/>
        </w:rPr>
        <w:t xml:space="preserve"> </w:t>
      </w:r>
      <w:r w:rsidRPr="00040542">
        <w:rPr>
          <w:bCs/>
          <w:i/>
        </w:rPr>
        <w:t>de novo</w:t>
      </w:r>
      <w:r>
        <w:rPr>
          <w:bCs/>
        </w:rPr>
        <w:t xml:space="preserve"> </w:t>
      </w:r>
      <w:r w:rsidRPr="00F869B0">
        <w:rPr>
          <w:bCs/>
        </w:rPr>
        <w:t xml:space="preserve">economic </w:t>
      </w:r>
      <w:r>
        <w:rPr>
          <w:bCs/>
        </w:rPr>
        <w:t>model</w:t>
      </w:r>
      <w:r w:rsidRPr="00F869B0">
        <w:rPr>
          <w:bCs/>
        </w:rPr>
        <w:t xml:space="preserve"> will be developed</w:t>
      </w:r>
      <w:r w:rsidR="00156BCD">
        <w:rPr>
          <w:bCs/>
        </w:rPr>
        <w:t xml:space="preserve"> in Microsoft Excel</w:t>
      </w:r>
      <w:r w:rsidR="00391BEE" w:rsidRPr="00391BEE">
        <w:rPr>
          <w:bCs/>
          <w:vertAlign w:val="superscript"/>
        </w:rPr>
        <w:t>®</w:t>
      </w:r>
      <w:r>
        <w:rPr>
          <w:bCs/>
        </w:rPr>
        <w:t xml:space="preserve">. The structure of the </w:t>
      </w:r>
      <w:r w:rsidRPr="00992721">
        <w:rPr>
          <w:bCs/>
          <w:i/>
        </w:rPr>
        <w:t>de novo</w:t>
      </w:r>
      <w:r>
        <w:rPr>
          <w:bCs/>
        </w:rPr>
        <w:t xml:space="preserve"> model will be informed by economic evaluations identified i</w:t>
      </w:r>
      <w:r w:rsidR="006F11C1">
        <w:rPr>
          <w:bCs/>
        </w:rPr>
        <w:t xml:space="preserve">n the published literature, clinical expert opinion and </w:t>
      </w:r>
      <w:r w:rsidR="00BC08A5">
        <w:rPr>
          <w:bCs/>
        </w:rPr>
        <w:t>company submissions</w:t>
      </w:r>
      <w:r w:rsidR="00156BCD">
        <w:rPr>
          <w:bCs/>
        </w:rPr>
        <w:t>.</w:t>
      </w:r>
      <w:r w:rsidR="009304C3" w:rsidRPr="00391BEE">
        <w:rPr>
          <w:bCs/>
          <w:vertAlign w:val="superscript"/>
        </w:rPr>
        <w:fldChar w:fldCharType="begin">
          <w:fldData xml:space="preserve">PEVuZE5vdGU+PENpdGU+PEF1dGhvcj5LYWx0aGVuaGFsZXI8L0F1dGhvcj48WWVhcj4yMDExPC9Z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</w:fldData>
        </w:fldChar>
      </w:r>
      <w:r w:rsidR="00960313">
        <w:rPr>
          <w:bCs/>
          <w:vertAlign w:val="superscript"/>
        </w:rPr>
        <w:instrText xml:space="preserve"> ADDIN EN.CITE </w:instrText>
      </w:r>
      <w:r w:rsidR="009304C3">
        <w:rPr>
          <w:bCs/>
          <w:vertAlign w:val="superscript"/>
        </w:rPr>
        <w:fldChar w:fldCharType="begin">
          <w:fldData xml:space="preserve">PEVuZE5vdGU+PENpdGU+PEF1dGhvcj5LYWx0aGVuaGFsZXI8L0F1dGhvcj48WWVhcj4yMDExPC9Z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</w:fldData>
        </w:fldChar>
      </w:r>
      <w:r w:rsidR="00960313">
        <w:rPr>
          <w:bCs/>
          <w:vertAlign w:val="superscript"/>
        </w:rPr>
        <w:instrText xml:space="preserve"> ADDIN EN.CITE.DATA </w:instrText>
      </w:r>
      <w:r w:rsidR="009304C3">
        <w:rPr>
          <w:bCs/>
          <w:vertAlign w:val="superscript"/>
        </w:rPr>
      </w:r>
      <w:r w:rsidR="009304C3">
        <w:rPr>
          <w:bCs/>
          <w:vertAlign w:val="superscript"/>
        </w:rPr>
        <w:fldChar w:fldCharType="end"/>
      </w:r>
      <w:r w:rsidR="009304C3" w:rsidRPr="00391BEE">
        <w:rPr>
          <w:bCs/>
          <w:vertAlign w:val="superscript"/>
        </w:rPr>
      </w:r>
      <w:r w:rsidR="009304C3" w:rsidRPr="00391BEE">
        <w:rPr>
          <w:bCs/>
          <w:vertAlign w:val="superscript"/>
        </w:rPr>
        <w:fldChar w:fldCharType="separate"/>
      </w:r>
      <w:r w:rsidR="003304A1">
        <w:rPr>
          <w:bCs/>
          <w:noProof/>
          <w:vertAlign w:val="superscript"/>
        </w:rPr>
        <w:t>(13, 14)</w:t>
      </w:r>
      <w:r w:rsidR="009304C3" w:rsidRPr="00391BEE">
        <w:rPr>
          <w:bCs/>
          <w:vertAlign w:val="superscript"/>
        </w:rPr>
        <w:fldChar w:fldCharType="end"/>
      </w:r>
      <w:r>
        <w:rPr>
          <w:bCs/>
        </w:rPr>
        <w:t xml:space="preserve"> </w:t>
      </w:r>
      <w:r w:rsidR="00156BCD">
        <w:rPr>
          <w:bCs/>
        </w:rPr>
        <w:t>A</w:t>
      </w:r>
      <w:r>
        <w:rPr>
          <w:bCs/>
        </w:rPr>
        <w:t>ll structural assumptions will be documented and accompanying rationales provided. It is anticipated that the</w:t>
      </w:r>
      <w:r w:rsidRPr="00F869B0">
        <w:t xml:space="preserve"> model used in the previous </w:t>
      </w:r>
      <w:r w:rsidR="00C45FA8">
        <w:t xml:space="preserve">RCC </w:t>
      </w:r>
      <w:r w:rsidRPr="00F869B0">
        <w:t>MTA</w:t>
      </w:r>
      <w:r>
        <w:t xml:space="preserve"> will be the most informative in the development of any </w:t>
      </w:r>
      <w:r w:rsidRPr="00992721">
        <w:rPr>
          <w:i/>
        </w:rPr>
        <w:t>de novo</w:t>
      </w:r>
      <w:r>
        <w:t xml:space="preserve"> economic evaluation</w:t>
      </w:r>
      <w:r w:rsidR="00E6272B">
        <w:t>.</w:t>
      </w:r>
      <w:r w:rsidR="009304C3" w:rsidRPr="008F70C6">
        <w:rPr>
          <w:vertAlign w:val="superscript"/>
        </w:rPr>
        <w:fldChar w:fldCharType="begin"/>
      </w:r>
      <w:r w:rsidR="003304A1">
        <w:rPr>
          <w:vertAlign w:val="superscript"/>
        </w:rPr>
        <w:instrText xml:space="preserve"> ADDIN EN.CITE &lt;EndNote&gt;&lt;Cite&gt;&lt;Author&gt;national Institute for Health and Care Excellence (NICE)&lt;/Author&gt;&lt;Year&gt;2009&lt;/Year&gt;&lt;RecNum&gt;2824&lt;/RecNum&gt;&lt;DisplayText&gt;(15)&lt;/DisplayText&gt;&lt;record&gt;&lt;rec-number&gt;2824&lt;/rec-number&gt;&lt;foreign-keys&gt;&lt;key app="EN" db-id="29v9pdwsytr9e4e05piv555k2zwwpr052x0e" timestamp="1449143075"&gt;2824&lt;/key&gt;&lt;/foreign-keys&gt;&lt;ref-type name="Journal Article"&gt;17&lt;/ref-type&gt;&lt;contributors&gt;&lt;authors&gt;&lt;author&gt;National Institute for Health and Care Excellence (NICE),&lt;/author&gt;&lt;/authors&gt;&lt;/contributors&gt;&lt;titles&gt;&lt;title&gt;Bevacizumab (first-line), sorafenib (first- and second-line), sunitinib (second-line) and temsirolimus (firstline) for the treatment of advanced and/or metastatic renal cell carcinoma&lt;/title&gt;&lt;secondary-title&gt;Available athttps://www.nice.org.uk/guidance/ta178/resources/bevacizumab-firstline-sorafenib-first-and-secondline-sunitinib-secondline-and-temsirolimus-firstline-for-the-treatment-of-advanced-andor-metastatic-renal-cell-carcinoma-82598442394309. [Accessed 02/12/15]&lt;/secondary-title&gt;&lt;/titles&gt;&lt;volume&gt;NICE technology appraisal guidance 178; guidance.nice.org.uk/ta178&lt;/volume&gt;&lt;dates&gt;&lt;year&gt;2009&lt;/year&gt;&lt;/dates&gt;&lt;urls&gt;&lt;/urls&gt;&lt;/record&gt;&lt;/Cite&gt;&lt;/EndNote&gt;</w:instrText>
      </w:r>
      <w:r w:rsidR="009304C3" w:rsidRPr="008F70C6">
        <w:rPr>
          <w:vertAlign w:val="superscript"/>
        </w:rPr>
        <w:fldChar w:fldCharType="separate"/>
      </w:r>
      <w:r w:rsidR="003304A1">
        <w:rPr>
          <w:noProof/>
          <w:vertAlign w:val="superscript"/>
        </w:rPr>
        <w:t>(15)</w:t>
      </w:r>
      <w:r w:rsidR="009304C3" w:rsidRPr="008F70C6">
        <w:rPr>
          <w:vertAlign w:val="superscript"/>
        </w:rPr>
        <w:fldChar w:fldCharType="end"/>
      </w:r>
      <w:r w:rsidRPr="00F869B0">
        <w:t xml:space="preserve"> </w:t>
      </w:r>
      <w:r>
        <w:t>However</w:t>
      </w:r>
      <w:r w:rsidRPr="00F869B0">
        <w:t xml:space="preserve">, </w:t>
      </w:r>
      <w:r w:rsidR="007F3255">
        <w:t xml:space="preserve">the previous MTA considered first-line treatment regimens in RCC, while the present MTA will only consider further treatment lines for </w:t>
      </w:r>
      <w:r w:rsidR="006F11C1">
        <w:t>advanced or metastatic RCC</w:t>
      </w:r>
      <w:r w:rsidRPr="006F11C1">
        <w:t xml:space="preserve">. The clinical effectiveness parameters required for the economic model will be informed by the review of clinical effectiveness discussed in Section 5. </w:t>
      </w:r>
      <w:r w:rsidR="006F11C1" w:rsidRPr="006F11C1">
        <w:t>P</w:t>
      </w:r>
      <w:r w:rsidRPr="006F11C1">
        <w:t xml:space="preserve">arameters such as estimates of quality of life (utility data) </w:t>
      </w:r>
      <w:r w:rsidRPr="006F11C1">
        <w:rPr>
          <w:bCs/>
        </w:rPr>
        <w:t xml:space="preserve">will be informed by the published literature, identified in the review. </w:t>
      </w:r>
      <w:r w:rsidRPr="006F11C1">
        <w:t>In cases where parameters required to populate the model are not available from published studies</w:t>
      </w:r>
      <w:r w:rsidR="00B333A5">
        <w:t xml:space="preserve"> or </w:t>
      </w:r>
      <w:r w:rsidR="00BC08A5" w:rsidRPr="00BC08A5">
        <w:t>company submissions</w:t>
      </w:r>
      <w:r w:rsidRPr="006F11C1">
        <w:t>, expert clinical opinion will be considered.</w:t>
      </w:r>
      <w:r>
        <w:t xml:space="preserve"> </w:t>
      </w:r>
    </w:p>
    <w:p w:rsidR="00B930C2" w:rsidRPr="00F869B0" w:rsidRDefault="00B930C2" w:rsidP="006623EB">
      <w:pPr>
        <w:pStyle w:val="BMJNormal0"/>
      </w:pPr>
      <w:r>
        <w:t>The cost-effectiveness of the interventions will be estimated in terms of an incremental cost per additional QALY gained, as well as the incremental cost per LYG</w:t>
      </w:r>
      <w:r w:rsidRPr="00A004CB">
        <w:t>. As appropriate, cost data will be obtained from NHS reference costs</w:t>
      </w:r>
      <w:r w:rsidR="009304C3" w:rsidRPr="008F70C6">
        <w:rPr>
          <w:vertAlign w:val="superscript"/>
        </w:rPr>
        <w:fldChar w:fldCharType="begin">
          <w:fldData xml:space="preserve">PEVuZE5vdGU+PENpdGU+PFllYXI+MjAxNDwvWWVhcj48UmVjTnVtPjEwMDwvUmVjTnVtPjxEaXNw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</w:fldData>
        </w:fldChar>
      </w:r>
      <w:r w:rsidR="003304A1">
        <w:rPr>
          <w:vertAlign w:val="superscript"/>
        </w:rPr>
        <w:instrText xml:space="preserve"> ADDIN EN.CITE </w:instrText>
      </w:r>
      <w:r w:rsidR="009304C3">
        <w:rPr>
          <w:vertAlign w:val="superscript"/>
        </w:rPr>
        <w:fldChar w:fldCharType="begin">
          <w:fldData xml:space="preserve">PEVuZE5vdGU+PENpdGU+PFllYXI+MjAxNDwvWWVhcj48UmVjTnVtPjEwMDwvUmVjTnVtPjxEaXNw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</w:fldData>
        </w:fldChar>
      </w:r>
      <w:r w:rsidR="003304A1">
        <w:rPr>
          <w:vertAlign w:val="superscript"/>
        </w:rPr>
        <w:instrText xml:space="preserve"> ADDIN EN.CITE.DATA </w:instrText>
      </w:r>
      <w:r w:rsidR="009304C3">
        <w:rPr>
          <w:vertAlign w:val="superscript"/>
        </w:rPr>
      </w:r>
      <w:r w:rsidR="009304C3">
        <w:rPr>
          <w:vertAlign w:val="superscript"/>
        </w:rPr>
        <w:fldChar w:fldCharType="end"/>
      </w:r>
      <w:r w:rsidR="009304C3" w:rsidRPr="008F70C6">
        <w:rPr>
          <w:vertAlign w:val="superscript"/>
        </w:rPr>
      </w:r>
      <w:r w:rsidR="009304C3" w:rsidRPr="008F70C6">
        <w:rPr>
          <w:vertAlign w:val="superscript"/>
        </w:rPr>
        <w:fldChar w:fldCharType="separate"/>
      </w:r>
      <w:r w:rsidR="003304A1">
        <w:rPr>
          <w:noProof/>
          <w:vertAlign w:val="superscript"/>
        </w:rPr>
        <w:t>(16)</w:t>
      </w:r>
      <w:r w:rsidR="009304C3" w:rsidRPr="008F70C6">
        <w:rPr>
          <w:vertAlign w:val="superscript"/>
        </w:rPr>
        <w:fldChar w:fldCharType="end"/>
      </w:r>
      <w:r w:rsidRPr="00A004CB">
        <w:t>, British National Formulary</w:t>
      </w:r>
      <w:r w:rsidR="009304C3" w:rsidRPr="008F70C6">
        <w:rPr>
          <w:vertAlign w:val="superscript"/>
        </w:rPr>
        <w:fldChar w:fldCharType="begin"/>
      </w:r>
      <w:r w:rsidR="00960313">
        <w:rPr>
          <w:vertAlign w:val="superscript"/>
        </w:rPr>
        <w:instrText xml:space="preserve"> ADDIN EN.CITE &lt;EndNote&gt;&lt;Cite&gt;&lt;Year&gt;2015&lt;/Year&gt;&lt;RecNum&gt;110&lt;/RecNum&gt;&lt;DisplayText&gt;(17)&lt;/DisplayText&gt;&lt;record&gt;&lt;rec-number&gt;110&lt;/rec-number&gt;&lt;foreign-keys&gt;&lt;key app="EN" db-id="f2zd9vv2gsxse8ed0f5vdr57sz05f92pd5tx" timestamp="1430910385"&gt;110&lt;/key&gt;&lt;/foreign-keys&gt;&lt;ref-type name="Online Database"&gt;45&lt;/ref-type&gt;&lt;contributors&gt;&lt;/contributors&gt;&lt;titles&gt;&lt;title&gt;British National Formulary. BNF 69&lt;/title&gt;&lt;/titles&gt;&lt;dates&gt;&lt;year&gt;2015&lt;/year&gt;&lt;/dates&gt;&lt;pub-location&gt;Medicines Complete&lt;/pub-location&gt;&lt;urls&gt;&lt;/urls&gt;&lt;/record&gt;&lt;/Cite&gt;&lt;/EndNote&gt;</w:instrText>
      </w:r>
      <w:r w:rsidR="009304C3" w:rsidRPr="008F70C6">
        <w:rPr>
          <w:vertAlign w:val="superscript"/>
        </w:rPr>
        <w:fldChar w:fldCharType="separate"/>
      </w:r>
      <w:r w:rsidR="003304A1">
        <w:rPr>
          <w:noProof/>
          <w:vertAlign w:val="superscript"/>
        </w:rPr>
        <w:t>(17)</w:t>
      </w:r>
      <w:r w:rsidR="009304C3" w:rsidRPr="008F70C6">
        <w:rPr>
          <w:vertAlign w:val="superscript"/>
        </w:rPr>
        <w:fldChar w:fldCharType="end"/>
      </w:r>
      <w:r w:rsidRPr="00A004CB">
        <w:t>, Unit Costs of Health and Social Care</w:t>
      </w:r>
      <w:r w:rsidR="009304C3" w:rsidRPr="008F70C6">
        <w:rPr>
          <w:vertAlign w:val="superscript"/>
        </w:rPr>
        <w:fldChar w:fldCharType="begin"/>
      </w:r>
      <w:r w:rsidR="00960313">
        <w:rPr>
          <w:vertAlign w:val="superscript"/>
        </w:rPr>
        <w:instrText xml:space="preserve"> ADDIN EN.CITE &lt;EndNote&gt;&lt;Cite&gt;&lt;Author&gt;Curtis&lt;/Author&gt;&lt;Year&gt;2014&lt;/Year&gt;&lt;RecNum&gt;108&lt;/RecNum&gt;&lt;DisplayText&gt;(18)&lt;/DisplayText&gt;&lt;record&gt;&lt;rec-number&gt;108&lt;/rec-number&gt;&lt;foreign-keys&gt;&lt;key app="EN" db-id="f2zd9vv2gsxse8ed0f5vdr57sz05f92pd5tx" timestamp="1430910385"&gt;108&lt;/key&gt;&lt;/foreign-keys&gt;&lt;ref-type name="Electronic Article"&gt;43&lt;/ref-type&gt;&lt;contributors&gt;&lt;authors&gt;&lt;author&gt;Curtis, L.&lt;/author&gt;&lt;/authors&gt;&lt;/contributors&gt;&lt;titles&gt;&lt;title&gt;Unit Costs of Health &amp;amp; Social Care 2014. Personal Social Services Research Unit (PSSRU)&lt;/title&gt;&lt;/titles&gt;&lt;dates&gt;&lt;year&gt;2014&lt;/year&gt;&lt;pub-dates&gt;&lt;date&gt;13/04/2015&lt;/date&gt;&lt;/pub-dates&gt;&lt;/dates&gt;&lt;pub-location&gt;http://www.pssru.ac.uk/project-pages/unit-costs/2014/&lt;/pub-location&gt;&lt;urls&gt;&lt;/urls&gt;&lt;/record&gt;&lt;/Cite&gt;&lt;/EndNote&gt;</w:instrText>
      </w:r>
      <w:r w:rsidR="009304C3" w:rsidRPr="008F70C6">
        <w:rPr>
          <w:vertAlign w:val="superscript"/>
        </w:rPr>
        <w:fldChar w:fldCharType="separate"/>
      </w:r>
      <w:r w:rsidR="003304A1">
        <w:rPr>
          <w:noProof/>
          <w:vertAlign w:val="superscript"/>
        </w:rPr>
        <w:t>(18)</w:t>
      </w:r>
      <w:r w:rsidR="009304C3" w:rsidRPr="008F70C6">
        <w:rPr>
          <w:vertAlign w:val="superscript"/>
        </w:rPr>
        <w:fldChar w:fldCharType="end"/>
      </w:r>
      <w:r w:rsidR="009304C3" w:rsidRPr="00B930C2">
        <w:rPr>
          <w:vertAlign w:val="superscript"/>
        </w:rPr>
        <w:fldChar w:fldCharType="begin"/>
      </w:r>
      <w:r w:rsidR="008A4306">
        <w:rPr>
          <w:vertAlign w:val="superscript"/>
        </w:rPr>
        <w:instrText xml:space="preserve"> ADDIN REFMGR.CITE &lt;Refman&gt;&lt;Cite&gt;&lt;Author&gt;Curtis L&lt;/Author&gt;&lt;Year&gt;2011&lt;/Year&gt;&lt;RecNum&gt;76&lt;/RecNum&gt;&lt;IDText&gt;Unit Costs of Health and Social Care 2011&lt;/IDText&gt;&lt;MDL Ref_Type="Generic"&gt;&lt;Ref_Type&gt;Generic&lt;/Ref_Type&gt;&lt;Ref_ID&gt;76&lt;/Ref_ID&gt;&lt;Title_Primary&gt;Unit Costs of Health and Social Care 2011&lt;/Title_Primary&gt;&lt;Authors_Primary&gt;Curtis L&lt;/Authors_Primary&gt;&lt;Date_Primary&gt;2011&lt;/Date_Primary&gt;&lt;Reprint&gt;Not in File&lt;/Reprint&gt;&lt;Web_URL&gt;&lt;u&gt;http://www.pssru.ac.uk/pdf/uc/uc2010/uc2010.pdf&lt;/u&gt;&lt;/Web_URL&gt;&lt;ZZ_WorkformID&gt;33&lt;/ZZ_WorkformID&gt;&lt;/MDL&gt;&lt;/Cite&gt;&lt;/Refman&gt;</w:instrText>
      </w:r>
      <w:r w:rsidR="009304C3" w:rsidRPr="00B930C2">
        <w:rPr>
          <w:vertAlign w:val="superscript"/>
        </w:rPr>
        <w:fldChar w:fldCharType="end"/>
      </w:r>
      <w:r w:rsidR="005C589D">
        <w:t xml:space="preserve"> or </w:t>
      </w:r>
      <w:r w:rsidR="00BC08A5" w:rsidRPr="00BC08A5">
        <w:t>company submissions</w:t>
      </w:r>
      <w:r w:rsidRPr="00F869B0">
        <w:t xml:space="preserve">. Costs will consist of direct medical </w:t>
      </w:r>
      <w:r>
        <w:t xml:space="preserve">costs </w:t>
      </w:r>
      <w:r w:rsidRPr="00F869B0">
        <w:t>(</w:t>
      </w:r>
      <w:r>
        <w:t xml:space="preserve">e.g. </w:t>
      </w:r>
      <w:r w:rsidRPr="00F869B0">
        <w:t>drug costs and cost of adverse events</w:t>
      </w:r>
      <w:r>
        <w:t xml:space="preserve">, </w:t>
      </w:r>
      <w:r w:rsidRPr="00314A47">
        <w:t>monitoring</w:t>
      </w:r>
      <w:r w:rsidRPr="00F869B0">
        <w:t xml:space="preserve"> and administering </w:t>
      </w:r>
      <w:r w:rsidR="005C589D">
        <w:t>costs</w:t>
      </w:r>
      <w:r w:rsidRPr="00F869B0">
        <w:t xml:space="preserve">) and </w:t>
      </w:r>
      <w:r>
        <w:t>direct non-</w:t>
      </w:r>
      <w:r w:rsidRPr="00F869B0">
        <w:t xml:space="preserve">medical costs </w:t>
      </w:r>
      <w:r>
        <w:t>(e.g. costs</w:t>
      </w:r>
      <w:r w:rsidR="003304A1">
        <w:t xml:space="preserve"> of healthcare professional</w:t>
      </w:r>
      <w:r>
        <w:t>)</w:t>
      </w:r>
      <w:r w:rsidRPr="00F869B0">
        <w:t xml:space="preserve">. </w:t>
      </w:r>
      <w:r>
        <w:t>Resource use and costs will be valued from</w:t>
      </w:r>
      <w:r w:rsidRPr="00F869B0">
        <w:t xml:space="preserve"> the NHS and Personal Social Services</w:t>
      </w:r>
      <w:r w:rsidR="003304A1">
        <w:t xml:space="preserve"> (PSS)</w:t>
      </w:r>
      <w:r w:rsidRPr="00F869B0">
        <w:t xml:space="preserve"> perspective</w:t>
      </w:r>
      <w:r>
        <w:t>.</w:t>
      </w:r>
      <w:r w:rsidRPr="00F869B0">
        <w:t xml:space="preserve"> Both cost</w:t>
      </w:r>
      <w:r>
        <w:t>s</w:t>
      </w:r>
      <w:r w:rsidRPr="00F869B0">
        <w:t xml:space="preserve"> and outcomes will be discounted at 3.5% </w:t>
      </w:r>
      <w:r>
        <w:t>per annum after the first year</w:t>
      </w:r>
      <w:r w:rsidRPr="00F869B0">
        <w:t xml:space="preserve"> in accordance </w:t>
      </w:r>
      <w:r>
        <w:t>with</w:t>
      </w:r>
      <w:r w:rsidRPr="00F869B0">
        <w:t xml:space="preserve"> NICE </w:t>
      </w:r>
      <w:r>
        <w:t>methods guidance</w:t>
      </w:r>
      <w:r w:rsidRPr="00F869B0">
        <w:t>.</w:t>
      </w:r>
      <w:r w:rsidR="009304C3" w:rsidRPr="008F70C6">
        <w:rPr>
          <w:vertAlign w:val="superscript"/>
        </w:rPr>
        <w:fldChar w:fldCharType="begin"/>
      </w:r>
      <w:r w:rsidR="00960313">
        <w:rPr>
          <w:vertAlign w:val="superscript"/>
        </w:rPr>
        <w:instrText xml:space="preserve"> ADDIN EN.CITE &lt;EndNote&gt;&lt;Cite&gt;&lt;Author&gt;National Institute for Health and Care Excellence (NICE)&lt;/Author&gt;&lt;Year&gt;2013&lt;/Year&gt;&lt;RecNum&gt;1368&lt;/RecNum&gt;&lt;DisplayText&gt;(9)&lt;/DisplayText&gt;&lt;record&gt;&lt;rec-number&gt;1368&lt;/rec-number&gt;&lt;foreign-keys&gt;&lt;key app="EN" db-id="f2zd9vv2gsxse8ed0f5vdr57sz05f92pd5tx" timestamp="1443524248"&gt;1368&lt;/key&gt;&lt;/foreign-keys&gt;&lt;ref-type name="Report"&gt;27&lt;/ref-type&gt;&lt;contributors&gt;&lt;authors&gt;&lt;author&gt;National Institute for Health and Care Excellence (NICE),&lt;/author&gt;&lt;/authors&gt;&lt;/contributors&gt;&lt;titles&gt;&lt;title&gt;Guide to the methods of technology appraisal 2013&lt;/title&gt;&lt;secondary-title&gt;Process and methods guides&lt;/secondary-title&gt;&lt;/titles&gt;&lt;dates&gt;&lt;year&gt;2013&lt;/year&gt;&lt;/dates&gt;&lt;publisher&gt;Available at https://www.nice.org.uk/article/pmg9/resources/non-guidance-guide-to-the-methods-of-technology-appraisal-2013-pdf&lt;/publisher&gt;&lt;urls&gt;&lt;related-urls&gt;&lt;url&gt;http://publications.nice.org.uk/pmg9&lt;/url&gt;&lt;/related-urls&gt;&lt;/urls&gt;&lt;/record&gt;&lt;/Cite&gt;&lt;/EndNote&gt;</w:instrText>
      </w:r>
      <w:r w:rsidR="009304C3" w:rsidRPr="008F70C6">
        <w:rPr>
          <w:vertAlign w:val="superscript"/>
        </w:rPr>
        <w:fldChar w:fldCharType="separate"/>
      </w:r>
      <w:r w:rsidR="009004AC">
        <w:rPr>
          <w:noProof/>
          <w:vertAlign w:val="superscript"/>
        </w:rPr>
        <w:t>(9)</w:t>
      </w:r>
      <w:r w:rsidR="009304C3" w:rsidRPr="008F70C6">
        <w:rPr>
          <w:vertAlign w:val="superscript"/>
        </w:rPr>
        <w:fldChar w:fldCharType="end"/>
      </w:r>
      <w:r w:rsidRPr="00F869B0">
        <w:t xml:space="preserve"> The time horizon for </w:t>
      </w:r>
      <w:r>
        <w:t xml:space="preserve">the economic </w:t>
      </w:r>
      <w:r w:rsidRPr="00F869B0">
        <w:t xml:space="preserve">analysis will be </w:t>
      </w:r>
      <w:r w:rsidR="005C589D">
        <w:t>long enough to reflect any differences in costs or outcomes between the technologies under comparison</w:t>
      </w:r>
      <w:r w:rsidRPr="00F869B0">
        <w:rPr>
          <w:bCs/>
        </w:rPr>
        <w:t xml:space="preserve">. </w:t>
      </w:r>
    </w:p>
    <w:p w:rsidR="00B930C2" w:rsidRPr="001D790D" w:rsidRDefault="00B930C2" w:rsidP="006623EB">
      <w:pPr>
        <w:pStyle w:val="BMJNormal0"/>
        <w:rPr>
          <w:b/>
          <w:bCs/>
          <w:i/>
          <w:iCs/>
        </w:rPr>
      </w:pPr>
      <w:r w:rsidRPr="001D790D">
        <w:rPr>
          <w:b/>
          <w:bCs/>
          <w:i/>
          <w:iCs/>
        </w:rPr>
        <w:t xml:space="preserve">6.6 Methods for estimating quality of life </w:t>
      </w:r>
    </w:p>
    <w:p w:rsidR="00B930C2" w:rsidRDefault="00B930C2" w:rsidP="006623EB">
      <w:pPr>
        <w:pStyle w:val="BMJNormal0"/>
      </w:pPr>
      <w:r w:rsidRPr="00A004CB">
        <w:rPr>
          <w:bCs/>
        </w:rPr>
        <w:t>Ideally,</w:t>
      </w:r>
      <w:r w:rsidRPr="00F869B0">
        <w:rPr>
          <w:bCs/>
        </w:rPr>
        <w:t xml:space="preserve"> evidence o</w:t>
      </w:r>
      <w:r>
        <w:rPr>
          <w:bCs/>
        </w:rPr>
        <w:t>f</w:t>
      </w:r>
      <w:r w:rsidRPr="00F869B0">
        <w:rPr>
          <w:bCs/>
        </w:rPr>
        <w:t xml:space="preserve"> the impact of </w:t>
      </w:r>
      <w:proofErr w:type="spellStart"/>
      <w:r w:rsidR="006F11C1">
        <w:rPr>
          <w:bCs/>
        </w:rPr>
        <w:t>axitinib</w:t>
      </w:r>
      <w:proofErr w:type="spellEnd"/>
      <w:r w:rsidR="006F11C1">
        <w:rPr>
          <w:bCs/>
        </w:rPr>
        <w:t xml:space="preserve">, </w:t>
      </w:r>
      <w:proofErr w:type="spellStart"/>
      <w:r w:rsidR="006F11C1">
        <w:rPr>
          <w:bCs/>
        </w:rPr>
        <w:t>everolimus</w:t>
      </w:r>
      <w:proofErr w:type="spellEnd"/>
      <w:r w:rsidR="006F11C1">
        <w:rPr>
          <w:bCs/>
        </w:rPr>
        <w:t xml:space="preserve">, </w:t>
      </w:r>
      <w:proofErr w:type="spellStart"/>
      <w:r w:rsidR="006F11C1">
        <w:rPr>
          <w:bCs/>
        </w:rPr>
        <w:t>sorafenib</w:t>
      </w:r>
      <w:proofErr w:type="spellEnd"/>
      <w:r w:rsidR="006F11C1">
        <w:rPr>
          <w:bCs/>
        </w:rPr>
        <w:t xml:space="preserve"> and </w:t>
      </w:r>
      <w:proofErr w:type="spellStart"/>
      <w:r w:rsidR="006F11C1">
        <w:rPr>
          <w:bCs/>
        </w:rPr>
        <w:t>sunitinib</w:t>
      </w:r>
      <w:proofErr w:type="spellEnd"/>
      <w:r w:rsidR="006F11C1">
        <w:rPr>
          <w:bCs/>
        </w:rPr>
        <w:t xml:space="preserve"> on</w:t>
      </w:r>
      <w:r w:rsidR="00D0736B">
        <w:rPr>
          <w:bCs/>
        </w:rPr>
        <w:t xml:space="preserve"> patients’</w:t>
      </w:r>
      <w:r w:rsidR="00D04FA4">
        <w:rPr>
          <w:bCs/>
        </w:rPr>
        <w:t xml:space="preserve"> quality of life</w:t>
      </w:r>
      <w:r w:rsidR="006F11C1">
        <w:rPr>
          <w:bCs/>
        </w:rPr>
        <w:t xml:space="preserve"> </w:t>
      </w:r>
      <w:r w:rsidRPr="00F869B0">
        <w:rPr>
          <w:bCs/>
        </w:rPr>
        <w:t xml:space="preserve">will be available directly from </w:t>
      </w:r>
      <w:r>
        <w:rPr>
          <w:bCs/>
        </w:rPr>
        <w:t xml:space="preserve">identified </w:t>
      </w:r>
      <w:r w:rsidRPr="00F869B0">
        <w:rPr>
          <w:bCs/>
        </w:rPr>
        <w:t xml:space="preserve">trials. In the absence of such evidence, </w:t>
      </w:r>
      <w:r>
        <w:rPr>
          <w:bCs/>
        </w:rPr>
        <w:t>any</w:t>
      </w:r>
      <w:r w:rsidRPr="00F869B0">
        <w:rPr>
          <w:bCs/>
        </w:rPr>
        <w:t xml:space="preserve"> </w:t>
      </w:r>
      <w:r w:rsidRPr="00F869B0">
        <w:rPr>
          <w:bCs/>
          <w:i/>
        </w:rPr>
        <w:t>de novo</w:t>
      </w:r>
      <w:r w:rsidRPr="00F869B0">
        <w:rPr>
          <w:bCs/>
        </w:rPr>
        <w:t xml:space="preserve"> economic model may use indirect evidence on quality of life from alternative </w:t>
      </w:r>
      <w:r>
        <w:rPr>
          <w:bCs/>
        </w:rPr>
        <w:t xml:space="preserve">literature </w:t>
      </w:r>
      <w:r w:rsidRPr="00F869B0">
        <w:rPr>
          <w:bCs/>
        </w:rPr>
        <w:t xml:space="preserve">sources, such as related technology appraisals or clinical guidelines. </w:t>
      </w:r>
      <w:r w:rsidRPr="00F869B0">
        <w:t>In ac</w:t>
      </w:r>
      <w:r>
        <w:t>cordance with NICE methods guidance,</w:t>
      </w:r>
      <w:r w:rsidRPr="00F869B0">
        <w:t xml:space="preserve"> utility values will be taken from studies that have been based on “public” preferences elicited using a choice-based </w:t>
      </w:r>
      <w:r w:rsidRPr="00D24862">
        <w:t>method</w:t>
      </w:r>
      <w:r w:rsidR="00E060C2">
        <w:t>.</w:t>
      </w:r>
      <w:r w:rsidR="009304C3" w:rsidRPr="008F70C6">
        <w:rPr>
          <w:vertAlign w:val="superscript"/>
        </w:rPr>
        <w:fldChar w:fldCharType="begin"/>
      </w:r>
      <w:r w:rsidR="00960313">
        <w:rPr>
          <w:vertAlign w:val="superscript"/>
        </w:rPr>
        <w:instrText xml:space="preserve"> ADDIN EN.CITE &lt;EndNote&gt;&lt;Cite&gt;&lt;Author&gt;National Institute for Health and Care Excellence (NICE)&lt;/Author&gt;&lt;Year&gt;2013&lt;/Year&gt;&lt;RecNum&gt;1368&lt;/RecNum&gt;&lt;DisplayText&gt;(9)&lt;/DisplayText&gt;&lt;record&gt;&lt;rec-number&gt;1368&lt;/rec-number&gt;&lt;foreign-keys&gt;&lt;key app="EN" db-id="f2zd9vv2gsxse8ed0f5vdr57sz05f92pd5tx" timestamp="1443524248"&gt;1368&lt;/key&gt;&lt;/foreign-keys&gt;&lt;ref-type name="Report"&gt;27&lt;/ref-type&gt;&lt;contributors&gt;&lt;authors&gt;&lt;author&gt;National Institute for Health and Care Excellence (NICE),&lt;/author&gt;&lt;/authors&gt;&lt;/contributors&gt;&lt;titles&gt;&lt;title&gt;Guide to the methods of technology appraisal 2013&lt;/title&gt;&lt;secondary-title&gt;Process and methods guides&lt;/secondary-title&gt;&lt;/titles&gt;&lt;dates&gt;&lt;year&gt;2013&lt;/year&gt;&lt;/dates&gt;&lt;publisher&gt;Available at https://www.nice.org.uk/article/pmg9/resources/non-guidance-guide-to-the-methods-of-technology-appraisal-2013-pdf&lt;/publisher&gt;&lt;urls&gt;&lt;related-urls&gt;&lt;url&gt;http://publications.nice.org.uk/pmg9&lt;/url&gt;&lt;/related-urls&gt;&lt;/urls&gt;&lt;/record&gt;&lt;/Cite&gt;&lt;/EndNote&gt;</w:instrText>
      </w:r>
      <w:r w:rsidR="009304C3" w:rsidRPr="008F70C6">
        <w:rPr>
          <w:vertAlign w:val="superscript"/>
        </w:rPr>
        <w:fldChar w:fldCharType="separate"/>
      </w:r>
      <w:r w:rsidR="009004AC">
        <w:rPr>
          <w:noProof/>
          <w:vertAlign w:val="superscript"/>
        </w:rPr>
        <w:t>(9)</w:t>
      </w:r>
      <w:r w:rsidR="009304C3" w:rsidRPr="008F70C6">
        <w:rPr>
          <w:vertAlign w:val="superscript"/>
        </w:rPr>
        <w:fldChar w:fldCharType="end"/>
      </w:r>
      <w:r w:rsidR="00E060C2" w:rsidRPr="00F869B0">
        <w:t xml:space="preserve"> </w:t>
      </w:r>
    </w:p>
    <w:p w:rsidR="001D790D" w:rsidRDefault="001D790D">
      <w:pPr>
        <w:rPr>
          <w:rFonts w:eastAsiaTheme="minorEastAsia"/>
          <w:sz w:val="22"/>
          <w:szCs w:val="22"/>
        </w:rPr>
      </w:pPr>
      <w:r>
        <w:br w:type="page"/>
      </w:r>
    </w:p>
    <w:p w:rsidR="00B930C2" w:rsidRPr="001D790D" w:rsidRDefault="00B930C2" w:rsidP="006623EB">
      <w:pPr>
        <w:pStyle w:val="BMJNormal0"/>
        <w:rPr>
          <w:b/>
          <w:bCs/>
          <w:i/>
          <w:iCs/>
        </w:rPr>
      </w:pPr>
      <w:r w:rsidRPr="001D790D">
        <w:rPr>
          <w:b/>
          <w:bCs/>
          <w:i/>
          <w:iCs/>
        </w:rPr>
        <w:lastRenderedPageBreak/>
        <w:t xml:space="preserve">6.7 Analysis of uncertainty </w:t>
      </w:r>
    </w:p>
    <w:p w:rsidR="00B930C2" w:rsidRDefault="00E917E4" w:rsidP="006623EB">
      <w:pPr>
        <w:pStyle w:val="BMJNormal0"/>
      </w:pPr>
      <w:r>
        <w:t xml:space="preserve">Extensive sensitivity analysis will be undertaken to explore uncertainty. Probabilistic </w:t>
      </w:r>
      <w:r w:rsidR="000853E8">
        <w:t>sensitivity</w:t>
      </w:r>
      <w:r>
        <w:t xml:space="preserve"> analysis (PSA) will be undertaken, by which a</w:t>
      </w:r>
      <w:r w:rsidR="00B930C2">
        <w:t xml:space="preserve">ll </w:t>
      </w:r>
      <w:r w:rsidR="00B930C2" w:rsidRPr="00F869B0">
        <w:t xml:space="preserve">relevant input parameters </w:t>
      </w:r>
      <w:r w:rsidR="00B930C2">
        <w:t>will be</w:t>
      </w:r>
      <w:r w:rsidR="00B930C2" w:rsidRPr="00F869B0">
        <w:t xml:space="preserve"> entered as probability distributions and Monte Carlo simulation</w:t>
      </w:r>
      <w:r w:rsidR="000853E8">
        <w:t>s</w:t>
      </w:r>
      <w:r w:rsidR="00B930C2" w:rsidRPr="00F869B0">
        <w:t xml:space="preserve"> </w:t>
      </w:r>
      <w:r w:rsidR="00B930C2">
        <w:t>will be</w:t>
      </w:r>
      <w:r w:rsidR="00B930C2" w:rsidRPr="00F869B0">
        <w:t xml:space="preserve"> </w:t>
      </w:r>
      <w:r w:rsidR="000853E8">
        <w:t>run</w:t>
      </w:r>
      <w:r w:rsidR="00B930C2" w:rsidRPr="00F869B0">
        <w:t xml:space="preserve"> to reflect uncertainty in the model’s results. In addition</w:t>
      </w:r>
      <w:r w:rsidR="00B930C2">
        <w:t>,</w:t>
      </w:r>
      <w:r w:rsidR="00B930C2" w:rsidRPr="00F869B0">
        <w:t xml:space="preserve"> uncertainty will </w:t>
      </w:r>
      <w:r w:rsidR="00B930C2">
        <w:t xml:space="preserve">also </w:t>
      </w:r>
      <w:r w:rsidR="00B930C2" w:rsidRPr="00F869B0">
        <w:t xml:space="preserve">be explored through one-way sensitivity analysis. The outputs of </w:t>
      </w:r>
      <w:r>
        <w:t>the PSA</w:t>
      </w:r>
      <w:r w:rsidR="00B930C2" w:rsidRPr="00F869B0">
        <w:t xml:space="preserve"> will be presented </w:t>
      </w:r>
      <w:r w:rsidR="00B930C2">
        <w:t>in the</w:t>
      </w:r>
      <w:r w:rsidR="00B930C2" w:rsidRPr="00F869B0">
        <w:t xml:space="preserve"> cost-effectiveness plane and </w:t>
      </w:r>
      <w:r w:rsidR="00B930C2">
        <w:t xml:space="preserve">through the use of </w:t>
      </w:r>
      <w:r w:rsidR="00B930C2" w:rsidRPr="00F869B0">
        <w:t>cost-effectiveness acceptability curves</w:t>
      </w:r>
      <w:r w:rsidR="00B930C2">
        <w:t>. One</w:t>
      </w:r>
      <w:r w:rsidR="00B930C2" w:rsidRPr="00F869B0">
        <w:t xml:space="preserve"> way sensitivity analysis </w:t>
      </w:r>
      <w:r w:rsidR="00B930C2">
        <w:t xml:space="preserve">outputs </w:t>
      </w:r>
      <w:r w:rsidR="00B930C2" w:rsidRPr="00F869B0">
        <w:t xml:space="preserve">will be presented </w:t>
      </w:r>
      <w:r w:rsidR="00B930C2">
        <w:t>in</w:t>
      </w:r>
      <w:r w:rsidR="00B930C2" w:rsidRPr="00F869B0">
        <w:t xml:space="preserve"> tables and tornado diagrams. </w:t>
      </w:r>
      <w:r w:rsidR="00B930C2">
        <w:t>Where possible, uncertainty pertaining to the structural assumptions used will be assessed in scenario analyses using alternative structural assumptions. If data permits, t</w:t>
      </w:r>
      <w:r w:rsidR="00B930C2" w:rsidRPr="00F869B0">
        <w:t>he impact</w:t>
      </w:r>
      <w:r>
        <w:t xml:space="preserve"> of patient heterogeneity (e.g. previous RCC treatments received</w:t>
      </w:r>
      <w:r w:rsidR="00B930C2" w:rsidRPr="00F869B0">
        <w:t xml:space="preserve">) </w:t>
      </w:r>
      <w:r w:rsidR="00B930C2">
        <w:t xml:space="preserve">on cost-effectiveness results </w:t>
      </w:r>
      <w:r w:rsidR="00B930C2" w:rsidRPr="00F869B0">
        <w:t xml:space="preserve">will be explored in </w:t>
      </w:r>
      <w:r w:rsidR="00B930C2">
        <w:t>subgroup</w:t>
      </w:r>
      <w:r w:rsidR="00B930C2" w:rsidRPr="00F869B0">
        <w:t xml:space="preserve"> analyses. </w:t>
      </w:r>
    </w:p>
    <w:p w:rsidR="00274BA0" w:rsidRPr="00274BA0" w:rsidRDefault="00274BA0" w:rsidP="00EA6C5C">
      <w:pPr>
        <w:pStyle w:val="Heading1"/>
        <w:numPr>
          <w:ilvl w:val="0"/>
          <w:numId w:val="4"/>
        </w:numPr>
        <w:spacing w:line="360" w:lineRule="auto"/>
        <w:rPr>
          <w:rFonts w:ascii="Arial" w:hAnsi="Arial" w:cs="Arial"/>
          <w:szCs w:val="32"/>
        </w:rPr>
      </w:pPr>
      <w:r w:rsidRPr="00274BA0">
        <w:rPr>
          <w:rFonts w:ascii="Arial" w:hAnsi="Arial" w:cs="Arial"/>
          <w:szCs w:val="32"/>
        </w:rPr>
        <w:t>Handling the company submission(s)</w:t>
      </w:r>
    </w:p>
    <w:p w:rsidR="00D04FA4" w:rsidRDefault="00274BA0" w:rsidP="00D04FA4">
      <w:pPr>
        <w:pStyle w:val="BMJnormal"/>
      </w:pPr>
      <w:r w:rsidRPr="00766CFE">
        <w:t xml:space="preserve">All data submitted by the drug </w:t>
      </w:r>
      <w:r w:rsidR="00BC08A5">
        <w:t>companies</w:t>
      </w:r>
      <w:r w:rsidRPr="00766CFE">
        <w:t xml:space="preserve">/sponsors will be considered if received by the TAR group on or before </w:t>
      </w:r>
      <w:r w:rsidR="000853E8">
        <w:t>05/05/2016</w:t>
      </w:r>
      <w:r w:rsidRPr="00766CFE">
        <w:t>. Data arriving after this date will not be considered. D</w:t>
      </w:r>
      <w:r w:rsidRPr="00627515">
        <w:t xml:space="preserve">ata meeting the inclusion criteria for the review will be extracted and quality assessed in accordance with the procedures outlined in this protocol. </w:t>
      </w:r>
      <w:r w:rsidRPr="00627515">
        <w:rPr>
          <w:iCs/>
        </w:rPr>
        <w:t xml:space="preserve">Any economic evaluation included in the </w:t>
      </w:r>
      <w:r w:rsidR="00437ADA">
        <w:rPr>
          <w:iCs/>
        </w:rPr>
        <w:t>companies’ submissions</w:t>
      </w:r>
      <w:r w:rsidRPr="00627515">
        <w:rPr>
          <w:iCs/>
        </w:rPr>
        <w:t>, provided it complies with NICE’s advice on presentation, will be assessed for</w:t>
      </w:r>
      <w:r w:rsidR="00437ADA">
        <w:t xml:space="preserve"> clinical validity </w:t>
      </w:r>
      <w:r w:rsidRPr="00627515">
        <w:t>and appropriateness of the data</w:t>
      </w:r>
      <w:r w:rsidR="00437ADA">
        <w:t xml:space="preserve"> and assumptions</w:t>
      </w:r>
      <w:r w:rsidRPr="00627515">
        <w:t xml:space="preserve"> used in the economic model. </w:t>
      </w:r>
    </w:p>
    <w:p w:rsidR="00274BA0" w:rsidRPr="00766CFE" w:rsidRDefault="00274BA0" w:rsidP="00D04FA4">
      <w:pPr>
        <w:pStyle w:val="BMJnormal"/>
        <w:rPr>
          <w:iCs/>
          <w:snapToGrid w:val="0"/>
        </w:rPr>
      </w:pPr>
      <w:r w:rsidRPr="00627515">
        <w:rPr>
          <w:snapToGrid w:val="0"/>
        </w:rPr>
        <w:t xml:space="preserve">Any ‘commercial in confidence’ data taken from a </w:t>
      </w:r>
      <w:r w:rsidR="00437ADA">
        <w:rPr>
          <w:snapToGrid w:val="0"/>
        </w:rPr>
        <w:t>company</w:t>
      </w:r>
      <w:r w:rsidRPr="00627515">
        <w:rPr>
          <w:snapToGrid w:val="0"/>
        </w:rPr>
        <w:t xml:space="preserve">’s submission, and specified as confidential in the supplied check list, will be </w:t>
      </w:r>
      <w:r w:rsidRPr="00627515">
        <w:rPr>
          <w:snapToGrid w:val="0"/>
          <w:highlight w:val="cyan"/>
          <w:u w:val="single"/>
        </w:rPr>
        <w:t xml:space="preserve">highlighted in blue and </w:t>
      </w:r>
      <w:r w:rsidRPr="00627515">
        <w:rPr>
          <w:iCs/>
          <w:snapToGrid w:val="0"/>
          <w:highlight w:val="cyan"/>
          <w:u w:val="single"/>
        </w:rPr>
        <w:t>underlined</w:t>
      </w:r>
      <w:r w:rsidRPr="00627515">
        <w:rPr>
          <w:iCs/>
          <w:snapToGrid w:val="0"/>
        </w:rPr>
        <w:t xml:space="preserve"> in the assessment report (followed by an</w:t>
      </w:r>
      <w:r w:rsidR="00437ADA">
        <w:rPr>
          <w:iCs/>
          <w:snapToGrid w:val="0"/>
        </w:rPr>
        <w:t xml:space="preserve"> indication of the relevant company’s</w:t>
      </w:r>
      <w:r w:rsidRPr="00627515">
        <w:rPr>
          <w:iCs/>
          <w:snapToGrid w:val="0"/>
        </w:rPr>
        <w:t xml:space="preserve"> name, for example, in brackets). </w:t>
      </w:r>
      <w:r w:rsidRPr="00627515">
        <w:rPr>
          <w:snapToGrid w:val="0"/>
        </w:rPr>
        <w:t xml:space="preserve">Any ‘academic in confidence’ data taken from a </w:t>
      </w:r>
      <w:r w:rsidR="00437ADA">
        <w:rPr>
          <w:snapToGrid w:val="0"/>
        </w:rPr>
        <w:t>company</w:t>
      </w:r>
      <w:r w:rsidRPr="00627515">
        <w:rPr>
          <w:snapToGrid w:val="0"/>
        </w:rPr>
        <w:t xml:space="preserve">’s submission, and specified as confidential in the supplied check list, will be </w:t>
      </w:r>
      <w:r w:rsidRPr="00627515">
        <w:rPr>
          <w:snapToGrid w:val="0"/>
          <w:highlight w:val="yellow"/>
          <w:u w:val="single"/>
        </w:rPr>
        <w:t xml:space="preserve">highlighted in yellow and </w:t>
      </w:r>
      <w:r w:rsidRPr="00627515">
        <w:rPr>
          <w:iCs/>
          <w:snapToGrid w:val="0"/>
          <w:highlight w:val="yellow"/>
          <w:u w:val="single"/>
        </w:rPr>
        <w:t>underlined</w:t>
      </w:r>
      <w:r w:rsidRPr="00627515">
        <w:rPr>
          <w:iCs/>
          <w:snapToGrid w:val="0"/>
        </w:rPr>
        <w:t xml:space="preserve"> in the assessment report.</w:t>
      </w:r>
    </w:p>
    <w:p w:rsidR="00872F7F" w:rsidRPr="00872F7F" w:rsidRDefault="00872F7F" w:rsidP="00D51BD6">
      <w:pPr>
        <w:pStyle w:val="Heading1"/>
      </w:pPr>
      <w:r w:rsidRPr="00872F7F">
        <w:t>Competing interests of authors</w:t>
      </w:r>
      <w:r w:rsidR="00D330F8">
        <w:t xml:space="preserve"> </w:t>
      </w:r>
    </w:p>
    <w:p w:rsidR="00872F7F" w:rsidRPr="00872F7F" w:rsidRDefault="008D3917" w:rsidP="00D51BD6">
      <w:pPr>
        <w:pStyle w:val="BMJnormal"/>
        <w:rPr>
          <w:b/>
          <w:bCs/>
        </w:rPr>
      </w:pPr>
      <w:proofErr w:type="gramStart"/>
      <w:r w:rsidRPr="008D3917">
        <w:rPr>
          <w:bCs/>
        </w:rPr>
        <w:t>None</w:t>
      </w:r>
      <w:r w:rsidR="00872F7F" w:rsidRPr="008D3917">
        <w:t>.</w:t>
      </w:r>
      <w:proofErr w:type="gramEnd"/>
    </w:p>
    <w:p w:rsidR="00872F7F" w:rsidRPr="00872F7F" w:rsidRDefault="00872F7F" w:rsidP="00D51BD6">
      <w:pPr>
        <w:pStyle w:val="Heading1"/>
      </w:pPr>
      <w:r w:rsidRPr="00872F7F">
        <w:t xml:space="preserve">Appendices </w:t>
      </w:r>
    </w:p>
    <w:p w:rsidR="00872F7F" w:rsidRDefault="0068170E" w:rsidP="00334521">
      <w:pPr>
        <w:pStyle w:val="BMJH4"/>
        <w:rPr>
          <w:b/>
          <w:bCs/>
          <w:iCs/>
        </w:rPr>
      </w:pPr>
      <w:proofErr w:type="gramStart"/>
      <w:r w:rsidRPr="00334521">
        <w:rPr>
          <w:b/>
          <w:bCs/>
          <w:iCs/>
        </w:rPr>
        <w:t>Appendix 9.1.</w:t>
      </w:r>
      <w:proofErr w:type="gramEnd"/>
      <w:r w:rsidRPr="00334521">
        <w:rPr>
          <w:b/>
          <w:bCs/>
          <w:iCs/>
        </w:rPr>
        <w:t xml:space="preserve"> Draft search strategy</w:t>
      </w:r>
    </w:p>
    <w:p w:rsidR="00616A4D" w:rsidRPr="004A3466" w:rsidRDefault="00616A4D" w:rsidP="00616A4D">
      <w:pPr>
        <w:rPr>
          <w:b/>
          <w:i/>
          <w:sz w:val="22"/>
          <w:szCs w:val="22"/>
          <w:lang w:eastAsia="en-US"/>
        </w:rPr>
      </w:pPr>
      <w:r>
        <w:rPr>
          <w:b/>
          <w:i/>
          <w:sz w:val="22"/>
          <w:szCs w:val="22"/>
          <w:lang w:eastAsia="en-US"/>
        </w:rPr>
        <w:t>Clinical</w:t>
      </w:r>
      <w:r w:rsidRPr="004A3466">
        <w:rPr>
          <w:b/>
          <w:i/>
          <w:sz w:val="22"/>
          <w:szCs w:val="22"/>
          <w:lang w:eastAsia="en-US"/>
        </w:rPr>
        <w:t xml:space="preserve"> draft search strategy</w:t>
      </w:r>
    </w:p>
    <w:p w:rsidR="00616A4D" w:rsidRDefault="00616A4D" w:rsidP="00334521">
      <w:pPr>
        <w:rPr>
          <w:sz w:val="22"/>
          <w:szCs w:val="22"/>
          <w:lang w:eastAsia="en-US"/>
        </w:rPr>
      </w:pPr>
    </w:p>
    <w:p w:rsidR="00D52C21" w:rsidRPr="007D7EFB" w:rsidRDefault="00D52C21" w:rsidP="00D52C21">
      <w:pPr>
        <w:rPr>
          <w:sz w:val="22"/>
          <w:szCs w:val="22"/>
        </w:rPr>
      </w:pPr>
      <w:r w:rsidRPr="007D7EFB">
        <w:rPr>
          <w:sz w:val="22"/>
          <w:szCs w:val="22"/>
          <w:lang w:eastAsia="en-US"/>
        </w:rPr>
        <w:lastRenderedPageBreak/>
        <w:t xml:space="preserve">Database: </w:t>
      </w:r>
      <w:r w:rsidRPr="007D7EFB">
        <w:rPr>
          <w:rStyle w:val="dbname"/>
          <w:bCs/>
          <w:color w:val="0A0905"/>
          <w:sz w:val="22"/>
          <w:szCs w:val="22"/>
          <w:shd w:val="clear" w:color="auto" w:fill="FFFFFF"/>
        </w:rPr>
        <w:t>Ovid MEDLINE(R) In-Process &amp; Other Non-Indexed Citations and Ovid MEDLINE(R)</w:t>
      </w:r>
      <w:r w:rsidRPr="007D7EFB">
        <w:rPr>
          <w:rStyle w:val="apple-converted-space"/>
          <w:bCs/>
          <w:color w:val="0A0905"/>
          <w:sz w:val="22"/>
          <w:szCs w:val="22"/>
          <w:shd w:val="clear" w:color="auto" w:fill="FFFFFF"/>
        </w:rPr>
        <w:t> </w:t>
      </w:r>
      <w:r w:rsidR="00F10CFF">
        <w:rPr>
          <w:rStyle w:val="dbdate"/>
          <w:color w:val="0A0905"/>
          <w:sz w:val="22"/>
          <w:szCs w:val="22"/>
          <w:shd w:val="clear" w:color="auto" w:fill="FFFFFF"/>
        </w:rPr>
        <w:t xml:space="preserve">1946 to Present; </w:t>
      </w:r>
      <w:r>
        <w:rPr>
          <w:rStyle w:val="dbdate"/>
          <w:color w:val="0A0905"/>
          <w:sz w:val="22"/>
          <w:szCs w:val="22"/>
          <w:shd w:val="clear" w:color="auto" w:fill="FFFFFF"/>
        </w:rPr>
        <w:t>search run on 08/12</w:t>
      </w:r>
      <w:r w:rsidRPr="007D7EFB">
        <w:rPr>
          <w:rStyle w:val="dbdate"/>
          <w:color w:val="0A0905"/>
          <w:sz w:val="22"/>
          <w:szCs w:val="22"/>
          <w:shd w:val="clear" w:color="auto" w:fill="FFFFFF"/>
        </w:rPr>
        <w:t>/15</w:t>
      </w:r>
    </w:p>
    <w:p w:rsidR="00D52C21" w:rsidRPr="007D7EFB" w:rsidRDefault="00D52C21" w:rsidP="00D52C21">
      <w:pPr>
        <w:rPr>
          <w:sz w:val="22"/>
          <w:szCs w:val="22"/>
          <w:lang w:eastAsia="en-US"/>
        </w:rPr>
      </w:pPr>
      <w:r w:rsidRPr="007D7EFB">
        <w:rPr>
          <w:sz w:val="22"/>
          <w:szCs w:val="22"/>
          <w:lang w:eastAsia="en-US"/>
        </w:rPr>
        <w:t>Limits:</w:t>
      </w:r>
    </w:p>
    <w:p w:rsidR="00D52C21" w:rsidRPr="007D7EFB" w:rsidRDefault="00D52C21" w:rsidP="00D52C21">
      <w:pPr>
        <w:pStyle w:val="ListParagraph"/>
        <w:numPr>
          <w:ilvl w:val="0"/>
          <w:numId w:val="10"/>
        </w:numPr>
        <w:rPr>
          <w:sz w:val="22"/>
          <w:szCs w:val="22"/>
          <w:lang w:eastAsia="en-US"/>
        </w:rPr>
      </w:pPr>
      <w:r w:rsidRPr="007D7EFB">
        <w:rPr>
          <w:sz w:val="22"/>
          <w:szCs w:val="22"/>
          <w:lang w:eastAsia="en-US"/>
        </w:rPr>
        <w:t>Animal-only studies excluded</w:t>
      </w:r>
    </w:p>
    <w:p w:rsidR="00D52C21" w:rsidRDefault="00D52C21" w:rsidP="00D52C21">
      <w:pPr>
        <w:pStyle w:val="ListParagraph"/>
        <w:numPr>
          <w:ilvl w:val="0"/>
          <w:numId w:val="10"/>
        </w:numPr>
        <w:rPr>
          <w:sz w:val="22"/>
          <w:szCs w:val="22"/>
          <w:lang w:eastAsia="en-US"/>
        </w:rPr>
      </w:pPr>
      <w:r w:rsidRPr="00207C2E">
        <w:rPr>
          <w:sz w:val="22"/>
          <w:szCs w:val="22"/>
          <w:lang w:eastAsia="en-US"/>
        </w:rPr>
        <w:t>No limits applied for study design</w:t>
      </w:r>
      <w:r w:rsidR="00D25918">
        <w:rPr>
          <w:sz w:val="22"/>
          <w:szCs w:val="22"/>
          <w:lang w:eastAsia="en-US"/>
        </w:rPr>
        <w:t>, date</w:t>
      </w:r>
      <w:r w:rsidRPr="00207C2E">
        <w:rPr>
          <w:sz w:val="22"/>
          <w:szCs w:val="22"/>
          <w:lang w:eastAsia="en-US"/>
        </w:rPr>
        <w:t xml:space="preserve"> or language</w:t>
      </w:r>
    </w:p>
    <w:p w:rsidR="00D25918" w:rsidRPr="00D25918" w:rsidRDefault="00D25918" w:rsidP="00D25918">
      <w:pPr>
        <w:pStyle w:val="ListParagraph"/>
        <w:rPr>
          <w:sz w:val="22"/>
          <w:szCs w:val="22"/>
          <w:lang w:eastAsia="en-US"/>
        </w:rPr>
      </w:pPr>
    </w:p>
    <w:p w:rsidR="00D25918" w:rsidRPr="00F14228" w:rsidRDefault="00D25918" w:rsidP="00D25918">
      <w:pPr>
        <w:rPr>
          <w:rStyle w:val="searchhistory-search-term"/>
          <w:color w:val="0A0905"/>
          <w:sz w:val="22"/>
          <w:szCs w:val="22"/>
        </w:rPr>
      </w:pPr>
      <w:r w:rsidRPr="00F14228">
        <w:rPr>
          <w:sz w:val="22"/>
          <w:szCs w:val="22"/>
        </w:rPr>
        <w:t xml:space="preserve">1   </w:t>
      </w:r>
      <w:r w:rsidRPr="00F14228">
        <w:rPr>
          <w:rStyle w:val="searchhistory-search-term"/>
          <w:color w:val="0A0905"/>
          <w:sz w:val="22"/>
          <w:szCs w:val="22"/>
        </w:rPr>
        <w:t>Carcinoma, Renal Cell/</w:t>
      </w:r>
      <w:r>
        <w:rPr>
          <w:rStyle w:val="searchhistory-search-term"/>
          <w:color w:val="0A0905"/>
        </w:rPr>
        <w:t xml:space="preserve">                                                                                                                                        </w:t>
      </w:r>
      <w:r w:rsidRPr="00F14228">
        <w:rPr>
          <w:rStyle w:val="searchhistory-search-term"/>
          <w:color w:val="0A0905"/>
          <w:sz w:val="22"/>
          <w:szCs w:val="22"/>
        </w:rPr>
        <w:t xml:space="preserve">2   (renal cell carcinoma$ or cell renal carcinoma$ or renal carcinoma$ or kidney carcinoma$ or kidney cell carcinoma$ or renal adenocarcinoma$ or kidney adenocarcinoma$ or </w:t>
      </w:r>
      <w:proofErr w:type="spellStart"/>
      <w:r w:rsidRPr="00F14228">
        <w:rPr>
          <w:rStyle w:val="searchhistory-search-term"/>
          <w:color w:val="0A0905"/>
          <w:sz w:val="22"/>
          <w:szCs w:val="22"/>
        </w:rPr>
        <w:t>adenocarcinoma$renal</w:t>
      </w:r>
      <w:proofErr w:type="spellEnd"/>
      <w:r w:rsidRPr="00F14228">
        <w:rPr>
          <w:rStyle w:val="searchhistory-search-term"/>
          <w:color w:val="0A0905"/>
          <w:sz w:val="22"/>
          <w:szCs w:val="22"/>
        </w:rPr>
        <w:t xml:space="preserve"> or </w:t>
      </w:r>
      <w:proofErr w:type="spellStart"/>
      <w:r w:rsidRPr="00F14228">
        <w:rPr>
          <w:rStyle w:val="searchhistory-search-term"/>
          <w:color w:val="0A0905"/>
          <w:sz w:val="22"/>
          <w:szCs w:val="22"/>
        </w:rPr>
        <w:t>adenocarcinoma$kidney</w:t>
      </w:r>
      <w:proofErr w:type="spellEnd"/>
      <w:r w:rsidRPr="00F14228">
        <w:rPr>
          <w:rStyle w:val="searchhistory-search-term"/>
          <w:color w:val="0A0905"/>
          <w:sz w:val="22"/>
          <w:szCs w:val="22"/>
        </w:rPr>
        <w:t>$).</w:t>
      </w:r>
      <w:proofErr w:type="spellStart"/>
      <w:r w:rsidRPr="00F14228">
        <w:rPr>
          <w:rStyle w:val="searchhistory-search-term"/>
          <w:color w:val="0A0905"/>
          <w:sz w:val="22"/>
          <w:szCs w:val="22"/>
        </w:rPr>
        <w:t>mp</w:t>
      </w:r>
      <w:proofErr w:type="spellEnd"/>
      <w:r>
        <w:rPr>
          <w:rStyle w:val="searchhistory-search-term"/>
          <w:color w:val="0A0905"/>
        </w:rPr>
        <w:t xml:space="preserve">                                                                                             </w:t>
      </w:r>
      <w:r w:rsidRPr="00F14228">
        <w:rPr>
          <w:rStyle w:val="searchhistory-search-term"/>
          <w:color w:val="0A0905"/>
          <w:sz w:val="22"/>
          <w:szCs w:val="22"/>
        </w:rPr>
        <w:t>3   (</w:t>
      </w:r>
      <w:proofErr w:type="spellStart"/>
      <w:r w:rsidRPr="00F14228">
        <w:rPr>
          <w:rStyle w:val="searchhistory-search-term"/>
          <w:color w:val="0A0905"/>
          <w:sz w:val="22"/>
          <w:szCs w:val="22"/>
        </w:rPr>
        <w:t>hypernephroma</w:t>
      </w:r>
      <w:proofErr w:type="spellEnd"/>
      <w:r w:rsidRPr="00F14228">
        <w:rPr>
          <w:rStyle w:val="searchhistory-search-term"/>
          <w:color w:val="0A0905"/>
          <w:sz w:val="22"/>
          <w:szCs w:val="22"/>
        </w:rPr>
        <w:t xml:space="preserve">$ or </w:t>
      </w:r>
      <w:proofErr w:type="spellStart"/>
      <w:r w:rsidRPr="00F14228">
        <w:rPr>
          <w:rStyle w:val="searchhistory-search-term"/>
          <w:color w:val="0A0905"/>
          <w:sz w:val="22"/>
          <w:szCs w:val="22"/>
        </w:rPr>
        <w:t>nephroid</w:t>
      </w:r>
      <w:proofErr w:type="spellEnd"/>
      <w:r w:rsidRPr="00F14228">
        <w:rPr>
          <w:rStyle w:val="searchhistory-search-term"/>
          <w:color w:val="0A0905"/>
          <w:sz w:val="22"/>
          <w:szCs w:val="22"/>
        </w:rPr>
        <w:t xml:space="preserve"> carcinoma$ or </w:t>
      </w:r>
      <w:proofErr w:type="spellStart"/>
      <w:r w:rsidRPr="00F14228">
        <w:rPr>
          <w:rStyle w:val="searchhistory-search-term"/>
          <w:color w:val="0A0905"/>
          <w:sz w:val="22"/>
          <w:szCs w:val="22"/>
        </w:rPr>
        <w:t>hypernephroid</w:t>
      </w:r>
      <w:proofErr w:type="spellEnd"/>
      <w:r w:rsidRPr="00F14228">
        <w:rPr>
          <w:rStyle w:val="searchhistory-search-term"/>
          <w:color w:val="0A0905"/>
          <w:sz w:val="22"/>
          <w:szCs w:val="22"/>
        </w:rPr>
        <w:t xml:space="preserve"> carcinoma$ or kidney </w:t>
      </w:r>
      <w:proofErr w:type="spellStart"/>
      <w:r w:rsidRPr="00F14228">
        <w:rPr>
          <w:rStyle w:val="searchhistory-search-term"/>
          <w:color w:val="0A0905"/>
          <w:sz w:val="22"/>
          <w:szCs w:val="22"/>
        </w:rPr>
        <w:t>hypernephroma</w:t>
      </w:r>
      <w:proofErr w:type="spellEnd"/>
      <w:r w:rsidRPr="00F14228">
        <w:rPr>
          <w:rStyle w:val="searchhistory-search-term"/>
          <w:color w:val="0A0905"/>
          <w:sz w:val="22"/>
          <w:szCs w:val="22"/>
        </w:rPr>
        <w:t xml:space="preserve">$ or kidney pelvic carcinoma$ or kidney </w:t>
      </w:r>
      <w:proofErr w:type="spellStart"/>
      <w:r w:rsidRPr="00F14228">
        <w:rPr>
          <w:rStyle w:val="searchhistory-search-term"/>
          <w:color w:val="0A0905"/>
          <w:sz w:val="22"/>
          <w:szCs w:val="22"/>
        </w:rPr>
        <w:t>pyelocarcinoma</w:t>
      </w:r>
      <w:proofErr w:type="spellEnd"/>
      <w:r w:rsidRPr="00F14228">
        <w:rPr>
          <w:rStyle w:val="searchhistory-search-term"/>
          <w:color w:val="0A0905"/>
          <w:sz w:val="22"/>
          <w:szCs w:val="22"/>
        </w:rPr>
        <w:t xml:space="preserve">$ or renal </w:t>
      </w:r>
      <w:proofErr w:type="spellStart"/>
      <w:r w:rsidRPr="00F14228">
        <w:rPr>
          <w:rStyle w:val="searchhistory-search-term"/>
          <w:color w:val="0A0905"/>
          <w:sz w:val="22"/>
          <w:szCs w:val="22"/>
        </w:rPr>
        <w:t>hypernephroma</w:t>
      </w:r>
      <w:proofErr w:type="spellEnd"/>
      <w:r w:rsidRPr="00F14228">
        <w:rPr>
          <w:rStyle w:val="searchhistory-search-term"/>
          <w:color w:val="0A0905"/>
          <w:sz w:val="22"/>
          <w:szCs w:val="22"/>
        </w:rPr>
        <w:t xml:space="preserve">$ or </w:t>
      </w:r>
      <w:proofErr w:type="spellStart"/>
      <w:r w:rsidRPr="00F14228">
        <w:rPr>
          <w:rStyle w:val="searchhistory-search-term"/>
          <w:color w:val="0A0905"/>
          <w:sz w:val="22"/>
          <w:szCs w:val="22"/>
        </w:rPr>
        <w:t>grawitz</w:t>
      </w:r>
      <w:proofErr w:type="spellEnd"/>
      <w:r w:rsidRPr="00F14228">
        <w:rPr>
          <w:rStyle w:val="searchhistory-search-term"/>
          <w:color w:val="0A0905"/>
          <w:sz w:val="22"/>
          <w:szCs w:val="22"/>
        </w:rPr>
        <w:t xml:space="preserve"> </w:t>
      </w:r>
      <w:proofErr w:type="spellStart"/>
      <w:r w:rsidRPr="00F14228">
        <w:rPr>
          <w:rStyle w:val="searchhistory-search-term"/>
          <w:color w:val="0A0905"/>
          <w:sz w:val="22"/>
          <w:szCs w:val="22"/>
        </w:rPr>
        <w:t>tumo?r</w:t>
      </w:r>
      <w:proofErr w:type="spellEnd"/>
      <w:r w:rsidRPr="00F14228">
        <w:rPr>
          <w:rStyle w:val="searchhistory-search-term"/>
          <w:color w:val="0A0905"/>
          <w:sz w:val="22"/>
          <w:szCs w:val="22"/>
        </w:rPr>
        <w:t xml:space="preserve">$ or renal cell neoplasm$ or renal cell cancer$ or renal </w:t>
      </w:r>
      <w:proofErr w:type="spellStart"/>
      <w:r w:rsidRPr="00F14228">
        <w:rPr>
          <w:rStyle w:val="searchhistory-search-term"/>
          <w:color w:val="0A0905"/>
          <w:sz w:val="22"/>
          <w:szCs w:val="22"/>
        </w:rPr>
        <w:t>tumo?r</w:t>
      </w:r>
      <w:proofErr w:type="spellEnd"/>
      <w:r w:rsidRPr="00F14228">
        <w:rPr>
          <w:rStyle w:val="searchhistory-search-term"/>
          <w:color w:val="0A0905"/>
          <w:sz w:val="22"/>
          <w:szCs w:val="22"/>
        </w:rPr>
        <w:t xml:space="preserve">$ or carcinoma </w:t>
      </w:r>
      <w:proofErr w:type="spellStart"/>
      <w:r w:rsidRPr="00F14228">
        <w:rPr>
          <w:rStyle w:val="searchhistory-search-term"/>
          <w:color w:val="0A0905"/>
          <w:sz w:val="22"/>
          <w:szCs w:val="22"/>
        </w:rPr>
        <w:t>chromophobe</w:t>
      </w:r>
      <w:proofErr w:type="spellEnd"/>
      <w:r w:rsidRPr="00F14228">
        <w:rPr>
          <w:rStyle w:val="searchhistory-search-term"/>
          <w:color w:val="0A0905"/>
          <w:sz w:val="22"/>
          <w:szCs w:val="22"/>
        </w:rPr>
        <w:t xml:space="preserve"> cell kidney$ or </w:t>
      </w:r>
      <w:proofErr w:type="spellStart"/>
      <w:r w:rsidRPr="00F14228">
        <w:rPr>
          <w:rStyle w:val="searchhistory-search-term"/>
          <w:color w:val="0A0905"/>
          <w:sz w:val="22"/>
          <w:szCs w:val="22"/>
        </w:rPr>
        <w:t>chromophobe</w:t>
      </w:r>
      <w:proofErr w:type="spellEnd"/>
      <w:r w:rsidRPr="00F14228">
        <w:rPr>
          <w:rStyle w:val="searchhistory-search-term"/>
          <w:color w:val="0A0905"/>
          <w:sz w:val="22"/>
          <w:szCs w:val="22"/>
        </w:rPr>
        <w:t xml:space="preserve"> cell kidney carcinoma$).</w:t>
      </w:r>
      <w:proofErr w:type="spellStart"/>
      <w:r w:rsidRPr="00F14228">
        <w:rPr>
          <w:rStyle w:val="searchhistory-search-term"/>
          <w:color w:val="0A0905"/>
          <w:sz w:val="22"/>
          <w:szCs w:val="22"/>
        </w:rPr>
        <w:t>mp</w:t>
      </w:r>
      <w:proofErr w:type="spellEnd"/>
      <w:r>
        <w:rPr>
          <w:rStyle w:val="searchhistory-search-term"/>
          <w:color w:val="0A0905"/>
        </w:rPr>
        <w:t xml:space="preserve">                                                                                                                                 </w:t>
      </w:r>
      <w:r w:rsidRPr="00F14228">
        <w:rPr>
          <w:rStyle w:val="searchhistory-search-term"/>
          <w:color w:val="0A0905"/>
          <w:sz w:val="22"/>
          <w:szCs w:val="22"/>
        </w:rPr>
        <w:t>4   kidney neoplasms/</w:t>
      </w:r>
      <w:r>
        <w:rPr>
          <w:rStyle w:val="searchhistory-search-term"/>
          <w:color w:val="0A0905"/>
        </w:rPr>
        <w:t xml:space="preserve">                                                                                                                                             </w:t>
      </w:r>
      <w:r w:rsidRPr="00F14228">
        <w:rPr>
          <w:rStyle w:val="searchhistory-search-term"/>
          <w:color w:val="0A0905"/>
          <w:sz w:val="22"/>
          <w:szCs w:val="22"/>
        </w:rPr>
        <w:t>5   (cancer$ adj2 kidney$1).</w:t>
      </w:r>
      <w:proofErr w:type="spellStart"/>
      <w:r w:rsidRPr="00F14228">
        <w:rPr>
          <w:rStyle w:val="searchhistory-search-term"/>
          <w:color w:val="0A0905"/>
          <w:sz w:val="22"/>
          <w:szCs w:val="22"/>
        </w:rPr>
        <w:t>ti,ab</w:t>
      </w:r>
      <w:proofErr w:type="spellEnd"/>
      <w:r>
        <w:rPr>
          <w:rStyle w:val="searchhistory-search-term"/>
          <w:color w:val="0A0905"/>
        </w:rPr>
        <w:t xml:space="preserve">                                                                                                                    </w:t>
      </w:r>
      <w:r w:rsidRPr="00F14228">
        <w:rPr>
          <w:rStyle w:val="searchhistory-search-term"/>
          <w:color w:val="0A0905"/>
          <w:sz w:val="22"/>
          <w:szCs w:val="22"/>
        </w:rPr>
        <w:t>6   (neoplasm$1 adj2 kidney$1).</w:t>
      </w:r>
      <w:proofErr w:type="spellStart"/>
      <w:r w:rsidRPr="00F14228">
        <w:rPr>
          <w:rStyle w:val="searchhistory-search-term"/>
          <w:color w:val="0A0905"/>
          <w:sz w:val="22"/>
          <w:szCs w:val="22"/>
        </w:rPr>
        <w:t>ti,ab</w:t>
      </w:r>
      <w:proofErr w:type="spellEnd"/>
      <w:r>
        <w:rPr>
          <w:rStyle w:val="searchhistory-search-term"/>
          <w:color w:val="0A0905"/>
        </w:rPr>
        <w:t xml:space="preserve">                                                                                                                     </w:t>
      </w:r>
      <w:r w:rsidRPr="00F14228">
        <w:rPr>
          <w:rStyle w:val="searchhistory-search-term"/>
          <w:color w:val="0A0905"/>
          <w:sz w:val="22"/>
          <w:szCs w:val="22"/>
        </w:rPr>
        <w:t>7   (neoplasm$1 adj2 renal).</w:t>
      </w:r>
      <w:proofErr w:type="spellStart"/>
      <w:r w:rsidRPr="00F14228">
        <w:rPr>
          <w:rStyle w:val="searchhistory-search-term"/>
          <w:color w:val="0A0905"/>
          <w:sz w:val="22"/>
          <w:szCs w:val="22"/>
        </w:rPr>
        <w:t>ti,ab</w:t>
      </w:r>
      <w:proofErr w:type="spellEnd"/>
      <w:r>
        <w:rPr>
          <w:rStyle w:val="searchhistory-search-term"/>
          <w:color w:val="0A0905"/>
        </w:rPr>
        <w:t xml:space="preserve">                                                                                                                                   </w:t>
      </w:r>
      <w:r w:rsidRPr="00F14228">
        <w:rPr>
          <w:rStyle w:val="searchhistory-search-term"/>
          <w:color w:val="0A0905"/>
          <w:sz w:val="22"/>
          <w:szCs w:val="22"/>
        </w:rPr>
        <w:t>8   (cancer$ adj2 renal).</w:t>
      </w:r>
      <w:proofErr w:type="spellStart"/>
      <w:r w:rsidRPr="00F14228">
        <w:rPr>
          <w:rStyle w:val="searchhistory-search-term"/>
          <w:color w:val="0A0905"/>
          <w:sz w:val="22"/>
          <w:szCs w:val="22"/>
        </w:rPr>
        <w:t>ti,ab</w:t>
      </w:r>
      <w:proofErr w:type="spellEnd"/>
      <w:r>
        <w:rPr>
          <w:rStyle w:val="searchhistory-search-term"/>
          <w:color w:val="0A0905"/>
        </w:rPr>
        <w:t xml:space="preserve">                                                                                                                              </w:t>
      </w:r>
      <w:r w:rsidRPr="00F14228">
        <w:rPr>
          <w:rStyle w:val="searchhistory-search-term"/>
          <w:color w:val="0A0905"/>
          <w:sz w:val="22"/>
          <w:szCs w:val="22"/>
        </w:rPr>
        <w:t xml:space="preserve">9   (tumo?r$1 adj2 </w:t>
      </w:r>
      <w:r>
        <w:rPr>
          <w:rStyle w:val="searchhistory-search-term"/>
          <w:color w:val="0A0905"/>
        </w:rPr>
        <w:t>kidney$1).</w:t>
      </w:r>
      <w:proofErr w:type="spellStart"/>
      <w:r>
        <w:rPr>
          <w:rStyle w:val="searchhistory-search-term"/>
          <w:color w:val="0A0905"/>
        </w:rPr>
        <w:t>ti,ab</w:t>
      </w:r>
      <w:proofErr w:type="spellEnd"/>
      <w:r>
        <w:rPr>
          <w:rStyle w:val="searchhistory-search-term"/>
          <w:color w:val="0A0905"/>
        </w:rPr>
        <w:t xml:space="preserve">                                                                                                                                    </w:t>
      </w:r>
      <w:r w:rsidRPr="00F14228">
        <w:rPr>
          <w:rStyle w:val="searchhistory-search-term"/>
          <w:color w:val="0A0905"/>
          <w:sz w:val="22"/>
          <w:szCs w:val="22"/>
        </w:rPr>
        <w:t>10  (tumo?r$1 adj2 renal).</w:t>
      </w:r>
      <w:proofErr w:type="spellStart"/>
      <w:r w:rsidRPr="00F14228">
        <w:rPr>
          <w:rStyle w:val="searchhistory-search-term"/>
          <w:color w:val="0A0905"/>
          <w:sz w:val="22"/>
          <w:szCs w:val="22"/>
        </w:rPr>
        <w:t>ti,ab</w:t>
      </w:r>
      <w:proofErr w:type="spellEnd"/>
      <w:r>
        <w:rPr>
          <w:rStyle w:val="searchhistory-search-term"/>
          <w:color w:val="0A0905"/>
        </w:rPr>
        <w:t xml:space="preserve">                                                                                                                                   </w:t>
      </w:r>
      <w:r w:rsidRPr="00F14228">
        <w:rPr>
          <w:rStyle w:val="searchhistory-search-term"/>
          <w:color w:val="0A0905"/>
          <w:sz w:val="22"/>
          <w:szCs w:val="22"/>
        </w:rPr>
        <w:t>11 or/1-10</w:t>
      </w:r>
      <w:r>
        <w:rPr>
          <w:rStyle w:val="searchhistory-search-term"/>
          <w:color w:val="0A0905"/>
        </w:rPr>
        <w:t xml:space="preserve">                                                                                                                                                                  </w:t>
      </w:r>
      <w:r w:rsidRPr="00F14228">
        <w:rPr>
          <w:rStyle w:val="searchhistory-search-term"/>
          <w:color w:val="0A0905"/>
          <w:sz w:val="22"/>
          <w:szCs w:val="22"/>
        </w:rPr>
        <w:t>12  (</w:t>
      </w:r>
      <w:proofErr w:type="spellStart"/>
      <w:r w:rsidRPr="00F14228">
        <w:rPr>
          <w:rStyle w:val="searchhistory-search-term"/>
          <w:color w:val="0A0905"/>
          <w:sz w:val="22"/>
          <w:szCs w:val="22"/>
        </w:rPr>
        <w:t>axitinib</w:t>
      </w:r>
      <w:proofErr w:type="spellEnd"/>
      <w:r w:rsidRPr="00F14228">
        <w:rPr>
          <w:rStyle w:val="searchhistory-search-term"/>
          <w:color w:val="0A0905"/>
          <w:sz w:val="22"/>
          <w:szCs w:val="22"/>
        </w:rPr>
        <w:t xml:space="preserve"> or </w:t>
      </w:r>
      <w:proofErr w:type="spellStart"/>
      <w:r w:rsidRPr="00F14228">
        <w:rPr>
          <w:rStyle w:val="searchhistory-search-term"/>
          <w:color w:val="0A0905"/>
          <w:sz w:val="22"/>
          <w:szCs w:val="22"/>
        </w:rPr>
        <w:t>inlyta</w:t>
      </w:r>
      <w:proofErr w:type="spellEnd"/>
      <w:r w:rsidRPr="00F14228">
        <w:rPr>
          <w:rStyle w:val="searchhistory-search-term"/>
          <w:color w:val="0A0905"/>
          <w:sz w:val="22"/>
          <w:szCs w:val="22"/>
        </w:rPr>
        <w:t xml:space="preserve"> or AG013736 or "AG 013736").</w:t>
      </w:r>
      <w:proofErr w:type="spellStart"/>
      <w:r w:rsidRPr="00F14228">
        <w:rPr>
          <w:rStyle w:val="searchhistory-search-term"/>
          <w:color w:val="0A0905"/>
          <w:sz w:val="22"/>
          <w:szCs w:val="22"/>
        </w:rPr>
        <w:t>mp</w:t>
      </w:r>
      <w:proofErr w:type="spellEnd"/>
      <w:r>
        <w:rPr>
          <w:rStyle w:val="searchhistory-search-term"/>
          <w:color w:val="0A0905"/>
        </w:rPr>
        <w:t xml:space="preserve">                                                                                             </w:t>
      </w:r>
      <w:r w:rsidRPr="00F14228">
        <w:rPr>
          <w:rStyle w:val="searchhistory-search-term"/>
          <w:color w:val="0A0905"/>
          <w:sz w:val="22"/>
          <w:szCs w:val="22"/>
        </w:rPr>
        <w:t>13  (</w:t>
      </w:r>
      <w:proofErr w:type="spellStart"/>
      <w:r w:rsidRPr="00F14228">
        <w:rPr>
          <w:rStyle w:val="searchhistory-search-term"/>
          <w:color w:val="0A0905"/>
          <w:sz w:val="22"/>
          <w:szCs w:val="22"/>
        </w:rPr>
        <w:t>sorafenib</w:t>
      </w:r>
      <w:proofErr w:type="spellEnd"/>
      <w:r w:rsidRPr="00F14228">
        <w:rPr>
          <w:rStyle w:val="searchhistory-search-term"/>
          <w:color w:val="0A0905"/>
          <w:sz w:val="22"/>
          <w:szCs w:val="22"/>
        </w:rPr>
        <w:t xml:space="preserve"> or </w:t>
      </w:r>
      <w:proofErr w:type="spellStart"/>
      <w:r w:rsidRPr="00F14228">
        <w:rPr>
          <w:rStyle w:val="searchhistory-search-term"/>
          <w:color w:val="0A0905"/>
          <w:sz w:val="22"/>
          <w:szCs w:val="22"/>
        </w:rPr>
        <w:t>nexavar</w:t>
      </w:r>
      <w:proofErr w:type="spellEnd"/>
      <w:r w:rsidRPr="00F14228">
        <w:rPr>
          <w:rStyle w:val="searchhistory-search-term"/>
          <w:color w:val="0A0905"/>
          <w:sz w:val="22"/>
          <w:szCs w:val="22"/>
        </w:rPr>
        <w:t xml:space="preserve"> or bay 43-9006 or bay 439006 or bay43-9006 or bay439006).</w:t>
      </w:r>
      <w:proofErr w:type="spellStart"/>
      <w:r w:rsidRPr="00F14228">
        <w:rPr>
          <w:rStyle w:val="searchhistory-search-term"/>
          <w:color w:val="0A0905"/>
          <w:sz w:val="22"/>
          <w:szCs w:val="22"/>
        </w:rPr>
        <w:t>mp</w:t>
      </w:r>
      <w:proofErr w:type="spellEnd"/>
      <w:r>
        <w:rPr>
          <w:rStyle w:val="searchhistory-search-term"/>
          <w:color w:val="0A0905"/>
        </w:rPr>
        <w:t xml:space="preserve">                                                    </w:t>
      </w:r>
      <w:r w:rsidRPr="00F14228">
        <w:rPr>
          <w:rStyle w:val="searchhistory-search-term"/>
          <w:color w:val="0A0905"/>
          <w:sz w:val="22"/>
          <w:szCs w:val="22"/>
        </w:rPr>
        <w:t>14  (</w:t>
      </w:r>
      <w:proofErr w:type="spellStart"/>
      <w:r w:rsidRPr="00F14228">
        <w:rPr>
          <w:rStyle w:val="searchhistory-search-term"/>
          <w:color w:val="0A0905"/>
          <w:sz w:val="22"/>
          <w:szCs w:val="22"/>
        </w:rPr>
        <w:t>sunitinib</w:t>
      </w:r>
      <w:proofErr w:type="spellEnd"/>
      <w:r w:rsidRPr="00F14228">
        <w:rPr>
          <w:rStyle w:val="searchhistory-search-term"/>
          <w:color w:val="0A0905"/>
          <w:sz w:val="22"/>
          <w:szCs w:val="22"/>
        </w:rPr>
        <w:t xml:space="preserve"> or </w:t>
      </w:r>
      <w:proofErr w:type="spellStart"/>
      <w:r w:rsidRPr="00F14228">
        <w:rPr>
          <w:rStyle w:val="searchhistory-search-term"/>
          <w:color w:val="0A0905"/>
          <w:sz w:val="22"/>
          <w:szCs w:val="22"/>
        </w:rPr>
        <w:t>sutent</w:t>
      </w:r>
      <w:proofErr w:type="spellEnd"/>
      <w:r w:rsidRPr="00F14228">
        <w:rPr>
          <w:rStyle w:val="searchhistory-search-term"/>
          <w:color w:val="0A0905"/>
          <w:sz w:val="22"/>
          <w:szCs w:val="22"/>
        </w:rPr>
        <w:t xml:space="preserve"> or </w:t>
      </w:r>
      <w:proofErr w:type="spellStart"/>
      <w:r w:rsidRPr="00F14228">
        <w:rPr>
          <w:rStyle w:val="searchhistory-search-term"/>
          <w:color w:val="0A0905"/>
          <w:sz w:val="22"/>
          <w:szCs w:val="22"/>
        </w:rPr>
        <w:t>pha</w:t>
      </w:r>
      <w:proofErr w:type="spellEnd"/>
      <w:r w:rsidRPr="00F14228">
        <w:rPr>
          <w:rStyle w:val="searchhistory-search-term"/>
          <w:color w:val="0A0905"/>
          <w:sz w:val="22"/>
          <w:szCs w:val="22"/>
        </w:rPr>
        <w:t xml:space="preserve"> 2909040ad or pha2909040ad or "</w:t>
      </w:r>
      <w:proofErr w:type="spellStart"/>
      <w:r w:rsidRPr="00F14228">
        <w:rPr>
          <w:rStyle w:val="searchhistory-search-term"/>
          <w:color w:val="0A0905"/>
          <w:sz w:val="22"/>
          <w:szCs w:val="22"/>
        </w:rPr>
        <w:t>su</w:t>
      </w:r>
      <w:proofErr w:type="spellEnd"/>
      <w:r w:rsidRPr="00F14228">
        <w:rPr>
          <w:rStyle w:val="searchhistory-search-term"/>
          <w:color w:val="0A0905"/>
          <w:sz w:val="22"/>
          <w:szCs w:val="22"/>
        </w:rPr>
        <w:t xml:space="preserve"> 010398" or "</w:t>
      </w:r>
      <w:proofErr w:type="spellStart"/>
      <w:r w:rsidRPr="00F14228">
        <w:rPr>
          <w:rStyle w:val="searchhistory-search-term"/>
          <w:color w:val="0A0905"/>
          <w:sz w:val="22"/>
          <w:szCs w:val="22"/>
        </w:rPr>
        <w:t>su</w:t>
      </w:r>
      <w:proofErr w:type="spellEnd"/>
      <w:r w:rsidRPr="00F14228">
        <w:rPr>
          <w:rStyle w:val="searchhistory-search-term"/>
          <w:color w:val="0A0905"/>
          <w:sz w:val="22"/>
          <w:szCs w:val="22"/>
        </w:rPr>
        <w:t xml:space="preserve"> 011248" or </w:t>
      </w:r>
      <w:proofErr w:type="spellStart"/>
      <w:r w:rsidRPr="00F14228">
        <w:rPr>
          <w:rStyle w:val="searchhistory-search-term"/>
          <w:color w:val="0A0905"/>
          <w:sz w:val="22"/>
          <w:szCs w:val="22"/>
        </w:rPr>
        <w:t>su</w:t>
      </w:r>
      <w:proofErr w:type="spellEnd"/>
      <w:r w:rsidRPr="00F14228">
        <w:rPr>
          <w:rStyle w:val="searchhistory-search-term"/>
          <w:color w:val="0A0905"/>
          <w:sz w:val="22"/>
          <w:szCs w:val="22"/>
        </w:rPr>
        <w:t xml:space="preserve"> 10398 or su10398 or </w:t>
      </w:r>
      <w:proofErr w:type="spellStart"/>
      <w:r w:rsidRPr="00F14228">
        <w:rPr>
          <w:rStyle w:val="searchhistory-search-term"/>
          <w:color w:val="0A0905"/>
          <w:sz w:val="22"/>
          <w:szCs w:val="22"/>
        </w:rPr>
        <w:t>su</w:t>
      </w:r>
      <w:proofErr w:type="spellEnd"/>
      <w:r w:rsidRPr="00F14228">
        <w:rPr>
          <w:rStyle w:val="searchhistory-search-term"/>
          <w:color w:val="0A0905"/>
          <w:sz w:val="22"/>
          <w:szCs w:val="22"/>
        </w:rPr>
        <w:t xml:space="preserve"> 11248 or su010398 or su011248 or su11248).</w:t>
      </w:r>
      <w:proofErr w:type="spellStart"/>
      <w:r w:rsidRPr="00F14228">
        <w:rPr>
          <w:rStyle w:val="searchhistory-search-term"/>
          <w:color w:val="0A0905"/>
          <w:sz w:val="22"/>
          <w:szCs w:val="22"/>
        </w:rPr>
        <w:t>mp</w:t>
      </w:r>
      <w:proofErr w:type="spellEnd"/>
      <w:r>
        <w:rPr>
          <w:rStyle w:val="searchhistory-search-term"/>
          <w:color w:val="0A0905"/>
        </w:rPr>
        <w:t xml:space="preserve">                                                               </w:t>
      </w:r>
      <w:r w:rsidRPr="00F14228">
        <w:rPr>
          <w:rStyle w:val="searchhistory-search-term"/>
          <w:color w:val="0A0905"/>
          <w:sz w:val="22"/>
          <w:szCs w:val="22"/>
        </w:rPr>
        <w:t>15  (</w:t>
      </w:r>
      <w:proofErr w:type="spellStart"/>
      <w:r w:rsidRPr="00F14228">
        <w:rPr>
          <w:rStyle w:val="searchhistory-search-term"/>
          <w:color w:val="0A0905"/>
          <w:sz w:val="22"/>
          <w:szCs w:val="22"/>
        </w:rPr>
        <w:t>everolimus</w:t>
      </w:r>
      <w:proofErr w:type="spellEnd"/>
      <w:r w:rsidRPr="00F14228">
        <w:rPr>
          <w:rStyle w:val="searchhistory-search-term"/>
          <w:color w:val="0A0905"/>
          <w:sz w:val="22"/>
          <w:szCs w:val="22"/>
        </w:rPr>
        <w:t xml:space="preserve"> or </w:t>
      </w:r>
      <w:proofErr w:type="spellStart"/>
      <w:r w:rsidRPr="00F14228">
        <w:rPr>
          <w:rStyle w:val="searchhistory-search-term"/>
          <w:color w:val="0A0905"/>
          <w:sz w:val="22"/>
          <w:szCs w:val="22"/>
        </w:rPr>
        <w:t>afinitor</w:t>
      </w:r>
      <w:proofErr w:type="spellEnd"/>
      <w:r w:rsidRPr="00F14228">
        <w:rPr>
          <w:rStyle w:val="searchhistory-search-term"/>
          <w:color w:val="0A0905"/>
          <w:sz w:val="22"/>
          <w:szCs w:val="22"/>
        </w:rPr>
        <w:t xml:space="preserve"> or </w:t>
      </w:r>
      <w:proofErr w:type="spellStart"/>
      <w:r w:rsidRPr="00F14228">
        <w:rPr>
          <w:rStyle w:val="searchhistory-search-term"/>
          <w:color w:val="0A0905"/>
          <w:sz w:val="22"/>
          <w:szCs w:val="22"/>
        </w:rPr>
        <w:t>certican</w:t>
      </w:r>
      <w:proofErr w:type="spellEnd"/>
      <w:r w:rsidRPr="00F14228">
        <w:rPr>
          <w:rStyle w:val="searchhistory-search-term"/>
          <w:color w:val="0A0905"/>
          <w:sz w:val="22"/>
          <w:szCs w:val="22"/>
        </w:rPr>
        <w:t xml:space="preserve"> or </w:t>
      </w:r>
      <w:proofErr w:type="spellStart"/>
      <w:r w:rsidRPr="00F14228">
        <w:rPr>
          <w:rStyle w:val="searchhistory-search-term"/>
          <w:color w:val="0A0905"/>
          <w:sz w:val="22"/>
          <w:szCs w:val="22"/>
        </w:rPr>
        <w:t>zortress</w:t>
      </w:r>
      <w:proofErr w:type="spellEnd"/>
      <w:r w:rsidRPr="00F14228">
        <w:rPr>
          <w:rStyle w:val="searchhistory-search-term"/>
          <w:color w:val="0A0905"/>
          <w:sz w:val="22"/>
          <w:szCs w:val="22"/>
        </w:rPr>
        <w:t xml:space="preserve"> or nvp-rad-001 or rad-001 or rad 001a or rad001 or rad001a or </w:t>
      </w:r>
      <w:proofErr w:type="spellStart"/>
      <w:r w:rsidRPr="00F14228">
        <w:rPr>
          <w:rStyle w:val="searchhistory-search-term"/>
          <w:color w:val="0A0905"/>
          <w:sz w:val="22"/>
          <w:szCs w:val="22"/>
        </w:rPr>
        <w:t>sdz</w:t>
      </w:r>
      <w:proofErr w:type="spellEnd"/>
      <w:r w:rsidRPr="00F14228">
        <w:rPr>
          <w:rStyle w:val="searchhistory-search-term"/>
          <w:color w:val="0A0905"/>
          <w:sz w:val="22"/>
          <w:szCs w:val="22"/>
        </w:rPr>
        <w:t xml:space="preserve"> rad).</w:t>
      </w:r>
      <w:proofErr w:type="spellStart"/>
      <w:r w:rsidRPr="00F14228">
        <w:rPr>
          <w:rStyle w:val="searchhistory-search-term"/>
          <w:color w:val="0A0905"/>
          <w:sz w:val="22"/>
          <w:szCs w:val="22"/>
        </w:rPr>
        <w:t>mp</w:t>
      </w:r>
      <w:proofErr w:type="spellEnd"/>
      <w:r>
        <w:rPr>
          <w:rStyle w:val="searchhistory-search-term"/>
          <w:color w:val="0A0905"/>
        </w:rPr>
        <w:t xml:space="preserve">                                                                                                                                      </w:t>
      </w:r>
      <w:r w:rsidRPr="00F14228">
        <w:rPr>
          <w:rStyle w:val="searchhistory-search-term"/>
          <w:color w:val="0A0905"/>
          <w:sz w:val="22"/>
          <w:szCs w:val="22"/>
        </w:rPr>
        <w:t>16  (</w:t>
      </w:r>
      <w:proofErr w:type="spellStart"/>
      <w:r w:rsidRPr="00F14228">
        <w:rPr>
          <w:rStyle w:val="searchhistory-search-term"/>
          <w:color w:val="0A0905"/>
          <w:sz w:val="22"/>
          <w:szCs w:val="22"/>
        </w:rPr>
        <w:t>nivolumab</w:t>
      </w:r>
      <w:proofErr w:type="spellEnd"/>
      <w:r w:rsidRPr="00F14228">
        <w:rPr>
          <w:rStyle w:val="searchhistory-search-term"/>
          <w:color w:val="0A0905"/>
          <w:sz w:val="22"/>
          <w:szCs w:val="22"/>
        </w:rPr>
        <w:t xml:space="preserve"> or </w:t>
      </w:r>
      <w:proofErr w:type="spellStart"/>
      <w:r w:rsidRPr="00F14228">
        <w:rPr>
          <w:rStyle w:val="searchhistory-search-term"/>
          <w:color w:val="0A0905"/>
          <w:sz w:val="22"/>
          <w:szCs w:val="22"/>
        </w:rPr>
        <w:t>opdivo</w:t>
      </w:r>
      <w:proofErr w:type="spellEnd"/>
      <w:r w:rsidRPr="00F14228">
        <w:rPr>
          <w:rStyle w:val="searchhistory-search-term"/>
          <w:color w:val="0A0905"/>
          <w:sz w:val="22"/>
          <w:szCs w:val="22"/>
        </w:rPr>
        <w:t xml:space="preserve"> or ONO4538 or ONO 4538 or BMS936558 or BMS 936558 or MDX1106 or MDX 1106).</w:t>
      </w:r>
      <w:proofErr w:type="spellStart"/>
      <w:r w:rsidRPr="00F14228">
        <w:rPr>
          <w:rStyle w:val="searchhistory-search-term"/>
          <w:color w:val="0A0905"/>
          <w:sz w:val="22"/>
          <w:szCs w:val="22"/>
        </w:rPr>
        <w:t>mp</w:t>
      </w:r>
      <w:proofErr w:type="spellEnd"/>
      <w:r>
        <w:rPr>
          <w:rStyle w:val="searchhistory-search-term"/>
          <w:color w:val="0A0905"/>
        </w:rPr>
        <w:t xml:space="preserve">                                                                                                                                              </w:t>
      </w:r>
      <w:r w:rsidRPr="00F14228">
        <w:rPr>
          <w:rStyle w:val="searchhistory-search-term"/>
          <w:color w:val="0A0905"/>
          <w:sz w:val="22"/>
          <w:szCs w:val="22"/>
        </w:rPr>
        <w:t>17  (</w:t>
      </w:r>
      <w:proofErr w:type="spellStart"/>
      <w:r w:rsidRPr="00F14228">
        <w:rPr>
          <w:rStyle w:val="searchhistory-search-term"/>
          <w:color w:val="0A0905"/>
          <w:sz w:val="22"/>
          <w:szCs w:val="22"/>
        </w:rPr>
        <w:t>temsirolimus</w:t>
      </w:r>
      <w:proofErr w:type="spellEnd"/>
      <w:r w:rsidRPr="00F14228">
        <w:rPr>
          <w:rStyle w:val="searchhistory-search-term"/>
          <w:color w:val="0A0905"/>
          <w:sz w:val="22"/>
          <w:szCs w:val="22"/>
        </w:rPr>
        <w:t xml:space="preserve"> or cci-779 or cell-cycle-inhibitor-779 or </w:t>
      </w:r>
      <w:proofErr w:type="spellStart"/>
      <w:r w:rsidRPr="00F14228">
        <w:rPr>
          <w:rStyle w:val="searchhistory-search-term"/>
          <w:color w:val="0A0905"/>
          <w:sz w:val="22"/>
          <w:szCs w:val="22"/>
        </w:rPr>
        <w:t>nsc</w:t>
      </w:r>
      <w:proofErr w:type="spellEnd"/>
      <w:r w:rsidRPr="00F14228">
        <w:rPr>
          <w:rStyle w:val="searchhistory-search-term"/>
          <w:color w:val="0A0905"/>
          <w:sz w:val="22"/>
          <w:szCs w:val="22"/>
        </w:rPr>
        <w:t xml:space="preserve"> 683864 or nsc683864 or </w:t>
      </w:r>
      <w:proofErr w:type="spellStart"/>
      <w:r w:rsidRPr="00F14228">
        <w:rPr>
          <w:rStyle w:val="searchhistory-search-term"/>
          <w:color w:val="0A0905"/>
          <w:sz w:val="22"/>
          <w:szCs w:val="22"/>
        </w:rPr>
        <w:t>torisel</w:t>
      </w:r>
      <w:proofErr w:type="spellEnd"/>
      <w:r w:rsidRPr="00F14228">
        <w:rPr>
          <w:rStyle w:val="searchhistory-search-term"/>
          <w:color w:val="0A0905"/>
          <w:sz w:val="22"/>
          <w:szCs w:val="22"/>
        </w:rPr>
        <w:t>).</w:t>
      </w:r>
      <w:proofErr w:type="spellStart"/>
      <w:r w:rsidRPr="00F14228">
        <w:rPr>
          <w:rStyle w:val="searchhistory-search-term"/>
          <w:color w:val="0A0905"/>
          <w:sz w:val="22"/>
          <w:szCs w:val="22"/>
        </w:rPr>
        <w:t>mp</w:t>
      </w:r>
      <w:proofErr w:type="spellEnd"/>
      <w:r>
        <w:rPr>
          <w:rStyle w:val="searchhistory-search-term"/>
          <w:color w:val="0A0905"/>
        </w:rPr>
        <w:t xml:space="preserve">                                               </w:t>
      </w:r>
      <w:r w:rsidR="00445D0A">
        <w:rPr>
          <w:rStyle w:val="searchhistory-search-term"/>
          <w:color w:val="0A0905"/>
        </w:rPr>
        <w:t xml:space="preserve">                                                                                     </w:t>
      </w:r>
      <w:r w:rsidRPr="00F14228">
        <w:rPr>
          <w:rStyle w:val="searchhistory-search-term"/>
          <w:color w:val="0A0905"/>
          <w:sz w:val="22"/>
          <w:szCs w:val="22"/>
        </w:rPr>
        <w:t xml:space="preserve">18  (bevacizumab or </w:t>
      </w:r>
      <w:proofErr w:type="spellStart"/>
      <w:r w:rsidRPr="00F14228">
        <w:rPr>
          <w:rStyle w:val="searchhistory-search-term"/>
          <w:color w:val="0A0905"/>
          <w:sz w:val="22"/>
          <w:szCs w:val="22"/>
        </w:rPr>
        <w:t>avastin</w:t>
      </w:r>
      <w:proofErr w:type="spellEnd"/>
      <w:r w:rsidRPr="00F14228">
        <w:rPr>
          <w:rStyle w:val="searchhistory-search-term"/>
          <w:color w:val="0A0905"/>
          <w:sz w:val="22"/>
          <w:szCs w:val="22"/>
        </w:rPr>
        <w:t xml:space="preserve"> or </w:t>
      </w:r>
      <w:proofErr w:type="spellStart"/>
      <w:r w:rsidRPr="00F14228">
        <w:rPr>
          <w:rStyle w:val="searchhistory-search-term"/>
          <w:color w:val="0A0905"/>
          <w:sz w:val="22"/>
          <w:szCs w:val="22"/>
        </w:rPr>
        <w:t>nsc</w:t>
      </w:r>
      <w:proofErr w:type="spellEnd"/>
      <w:r w:rsidRPr="00F14228">
        <w:rPr>
          <w:rStyle w:val="searchhistory-search-term"/>
          <w:color w:val="0A0905"/>
          <w:sz w:val="22"/>
          <w:szCs w:val="22"/>
        </w:rPr>
        <w:t xml:space="preserve"> 704865 or nsc704865 or anti-</w:t>
      </w:r>
      <w:proofErr w:type="spellStart"/>
      <w:r w:rsidRPr="00F14228">
        <w:rPr>
          <w:rStyle w:val="searchhistory-search-term"/>
          <w:color w:val="0A0905"/>
          <w:sz w:val="22"/>
          <w:szCs w:val="22"/>
        </w:rPr>
        <w:t>vegf</w:t>
      </w:r>
      <w:proofErr w:type="spellEnd"/>
      <w:r w:rsidRPr="00F14228">
        <w:rPr>
          <w:rStyle w:val="searchhistory-search-term"/>
          <w:color w:val="0A0905"/>
          <w:sz w:val="22"/>
          <w:szCs w:val="22"/>
        </w:rPr>
        <w:t xml:space="preserve"> or </w:t>
      </w:r>
      <w:proofErr w:type="spellStart"/>
      <w:r w:rsidRPr="00F14228">
        <w:rPr>
          <w:rStyle w:val="searchhistory-search-term"/>
          <w:color w:val="0A0905"/>
          <w:sz w:val="22"/>
          <w:szCs w:val="22"/>
        </w:rPr>
        <w:t>rhumab-vegf</w:t>
      </w:r>
      <w:proofErr w:type="spellEnd"/>
      <w:r w:rsidRPr="00F14228">
        <w:rPr>
          <w:rStyle w:val="searchhistory-search-term"/>
          <w:color w:val="0A0905"/>
          <w:sz w:val="22"/>
          <w:szCs w:val="22"/>
        </w:rPr>
        <w:t>).</w:t>
      </w:r>
      <w:proofErr w:type="spellStart"/>
      <w:r w:rsidRPr="00F14228">
        <w:rPr>
          <w:rStyle w:val="searchhistory-search-term"/>
          <w:color w:val="0A0905"/>
          <w:sz w:val="22"/>
          <w:szCs w:val="22"/>
        </w:rPr>
        <w:t>mp</w:t>
      </w:r>
      <w:proofErr w:type="spellEnd"/>
      <w:r>
        <w:rPr>
          <w:rStyle w:val="searchhistory-search-term"/>
          <w:color w:val="0A0905"/>
        </w:rPr>
        <w:t xml:space="preserve">                                      </w:t>
      </w:r>
      <w:r w:rsidRPr="00F14228">
        <w:rPr>
          <w:rStyle w:val="searchhistory-search-term"/>
          <w:color w:val="0A0905"/>
          <w:sz w:val="22"/>
          <w:szCs w:val="22"/>
        </w:rPr>
        <w:t xml:space="preserve">19  (alpha-interferon or </w:t>
      </w:r>
      <w:proofErr w:type="spellStart"/>
      <w:r w:rsidRPr="00F14228">
        <w:rPr>
          <w:rStyle w:val="searchhistory-search-term"/>
          <w:color w:val="0A0905"/>
          <w:sz w:val="22"/>
          <w:szCs w:val="22"/>
        </w:rPr>
        <w:t>alfaferone</w:t>
      </w:r>
      <w:proofErr w:type="spellEnd"/>
      <w:r w:rsidRPr="00F14228">
        <w:rPr>
          <w:rStyle w:val="searchhistory-search-term"/>
          <w:color w:val="0A0905"/>
          <w:sz w:val="22"/>
          <w:szCs w:val="22"/>
        </w:rPr>
        <w:t xml:space="preserve"> or </w:t>
      </w:r>
      <w:proofErr w:type="spellStart"/>
      <w:r w:rsidRPr="00F14228">
        <w:rPr>
          <w:rStyle w:val="searchhistory-search-term"/>
          <w:color w:val="0A0905"/>
          <w:sz w:val="22"/>
          <w:szCs w:val="22"/>
        </w:rPr>
        <w:t>alferon</w:t>
      </w:r>
      <w:proofErr w:type="spellEnd"/>
      <w:r w:rsidRPr="00F14228">
        <w:rPr>
          <w:rStyle w:val="searchhistory-search-term"/>
          <w:color w:val="0A0905"/>
          <w:sz w:val="22"/>
          <w:szCs w:val="22"/>
        </w:rPr>
        <w:t xml:space="preserve"> or alpha </w:t>
      </w:r>
      <w:proofErr w:type="spellStart"/>
      <w:r w:rsidRPr="00F14228">
        <w:rPr>
          <w:rStyle w:val="searchhistory-search-term"/>
          <w:color w:val="0A0905"/>
          <w:sz w:val="22"/>
          <w:szCs w:val="22"/>
        </w:rPr>
        <w:t>ferone</w:t>
      </w:r>
      <w:proofErr w:type="spellEnd"/>
      <w:r w:rsidRPr="00F14228">
        <w:rPr>
          <w:rStyle w:val="searchhistory-search-term"/>
          <w:color w:val="0A0905"/>
          <w:sz w:val="22"/>
          <w:szCs w:val="22"/>
        </w:rPr>
        <w:t xml:space="preserve"> or </w:t>
      </w:r>
      <w:proofErr w:type="spellStart"/>
      <w:r w:rsidRPr="00F14228">
        <w:rPr>
          <w:rStyle w:val="searchhistory-search-term"/>
          <w:color w:val="0A0905"/>
          <w:sz w:val="22"/>
          <w:szCs w:val="22"/>
        </w:rPr>
        <w:t>cilferon</w:t>
      </w:r>
      <w:proofErr w:type="spellEnd"/>
      <w:r w:rsidRPr="00F14228">
        <w:rPr>
          <w:rStyle w:val="searchhistory-search-term"/>
          <w:color w:val="0A0905"/>
          <w:sz w:val="22"/>
          <w:szCs w:val="22"/>
        </w:rPr>
        <w:t xml:space="preserve"> or </w:t>
      </w:r>
      <w:proofErr w:type="spellStart"/>
      <w:r w:rsidRPr="00F14228">
        <w:rPr>
          <w:rStyle w:val="searchhistory-search-term"/>
          <w:color w:val="0A0905"/>
          <w:sz w:val="22"/>
          <w:szCs w:val="22"/>
        </w:rPr>
        <w:t>ginterferon</w:t>
      </w:r>
      <w:proofErr w:type="spellEnd"/>
      <w:r w:rsidRPr="00F14228">
        <w:rPr>
          <w:rStyle w:val="searchhistory-search-term"/>
          <w:color w:val="0A0905"/>
          <w:sz w:val="22"/>
          <w:szCs w:val="22"/>
        </w:rPr>
        <w:t xml:space="preserve"> or interferon-alpha or </w:t>
      </w:r>
      <w:proofErr w:type="spellStart"/>
      <w:r w:rsidRPr="00F14228">
        <w:rPr>
          <w:rStyle w:val="searchhistory-search-term"/>
          <w:color w:val="0A0905"/>
          <w:sz w:val="22"/>
          <w:szCs w:val="22"/>
        </w:rPr>
        <w:t>introma</w:t>
      </w:r>
      <w:proofErr w:type="spellEnd"/>
      <w:r w:rsidRPr="00F14228">
        <w:rPr>
          <w:rStyle w:val="searchhistory-search-term"/>
          <w:color w:val="0A0905"/>
          <w:sz w:val="22"/>
          <w:szCs w:val="22"/>
        </w:rPr>
        <w:t xml:space="preserve"> or </w:t>
      </w:r>
      <w:proofErr w:type="spellStart"/>
      <w:r w:rsidRPr="00F14228">
        <w:rPr>
          <w:rStyle w:val="searchhistory-search-term"/>
          <w:color w:val="0A0905"/>
          <w:sz w:val="22"/>
          <w:szCs w:val="22"/>
        </w:rPr>
        <w:t>kemron</w:t>
      </w:r>
      <w:proofErr w:type="spellEnd"/>
      <w:r w:rsidRPr="00F14228">
        <w:rPr>
          <w:rStyle w:val="searchhistory-search-term"/>
          <w:color w:val="0A0905"/>
          <w:sz w:val="22"/>
          <w:szCs w:val="22"/>
        </w:rPr>
        <w:t xml:space="preserve"> or </w:t>
      </w:r>
      <w:proofErr w:type="spellStart"/>
      <w:r w:rsidRPr="00F14228">
        <w:rPr>
          <w:rStyle w:val="searchhistory-search-term"/>
          <w:color w:val="0A0905"/>
          <w:sz w:val="22"/>
          <w:szCs w:val="22"/>
        </w:rPr>
        <w:t>leukinferon</w:t>
      </w:r>
      <w:proofErr w:type="spellEnd"/>
      <w:r w:rsidRPr="00F14228">
        <w:rPr>
          <w:rStyle w:val="searchhistory-search-term"/>
          <w:color w:val="0A0905"/>
          <w:sz w:val="22"/>
          <w:szCs w:val="22"/>
        </w:rPr>
        <w:t xml:space="preserve"> or </w:t>
      </w:r>
      <w:proofErr w:type="spellStart"/>
      <w:r w:rsidRPr="00F14228">
        <w:rPr>
          <w:rStyle w:val="searchhistory-search-term"/>
          <w:color w:val="0A0905"/>
          <w:sz w:val="22"/>
          <w:szCs w:val="22"/>
        </w:rPr>
        <w:t>leukinferron</w:t>
      </w:r>
      <w:proofErr w:type="spellEnd"/>
      <w:r w:rsidRPr="00F14228">
        <w:rPr>
          <w:rStyle w:val="searchhistory-search-term"/>
          <w:color w:val="0A0905"/>
          <w:sz w:val="22"/>
          <w:szCs w:val="22"/>
        </w:rPr>
        <w:t xml:space="preserve"> or leukocyte interferon or </w:t>
      </w:r>
      <w:proofErr w:type="spellStart"/>
      <w:r w:rsidRPr="00F14228">
        <w:rPr>
          <w:rStyle w:val="searchhistory-search-term"/>
          <w:color w:val="0A0905"/>
          <w:sz w:val="22"/>
          <w:szCs w:val="22"/>
        </w:rPr>
        <w:t>refecon</w:t>
      </w:r>
      <w:proofErr w:type="spellEnd"/>
      <w:r w:rsidRPr="00F14228">
        <w:rPr>
          <w:rStyle w:val="searchhistory-search-term"/>
          <w:color w:val="0A0905"/>
          <w:sz w:val="22"/>
          <w:szCs w:val="22"/>
        </w:rPr>
        <w:t xml:space="preserve"> a or </w:t>
      </w:r>
      <w:proofErr w:type="spellStart"/>
      <w:r w:rsidRPr="00F14228">
        <w:rPr>
          <w:rStyle w:val="searchhistory-search-term"/>
          <w:color w:val="0A0905"/>
          <w:sz w:val="22"/>
          <w:szCs w:val="22"/>
        </w:rPr>
        <w:t>referon</w:t>
      </w:r>
      <w:proofErr w:type="spellEnd"/>
      <w:r w:rsidRPr="00F14228">
        <w:rPr>
          <w:rStyle w:val="searchhistory-search-term"/>
          <w:color w:val="0A0905"/>
          <w:sz w:val="22"/>
          <w:szCs w:val="22"/>
        </w:rPr>
        <w:t xml:space="preserve"> a3 or </w:t>
      </w:r>
      <w:proofErr w:type="spellStart"/>
      <w:r w:rsidRPr="00F14228">
        <w:rPr>
          <w:rStyle w:val="searchhistory-search-term"/>
          <w:color w:val="0A0905"/>
          <w:sz w:val="22"/>
          <w:szCs w:val="22"/>
        </w:rPr>
        <w:t>sumiferon</w:t>
      </w:r>
      <w:proofErr w:type="spellEnd"/>
      <w:r w:rsidRPr="00F14228">
        <w:rPr>
          <w:rStyle w:val="searchhistory-search-term"/>
          <w:color w:val="0A0905"/>
          <w:sz w:val="22"/>
          <w:szCs w:val="22"/>
        </w:rPr>
        <w:t xml:space="preserve"> or </w:t>
      </w:r>
      <w:proofErr w:type="spellStart"/>
      <w:r w:rsidRPr="00F14228">
        <w:rPr>
          <w:rStyle w:val="searchhistory-search-term"/>
          <w:color w:val="0A0905"/>
          <w:sz w:val="22"/>
          <w:szCs w:val="22"/>
        </w:rPr>
        <w:t>sumipheron</w:t>
      </w:r>
      <w:proofErr w:type="spellEnd"/>
      <w:r w:rsidRPr="00F14228">
        <w:rPr>
          <w:rStyle w:val="searchhistory-search-term"/>
          <w:color w:val="0A0905"/>
          <w:sz w:val="22"/>
          <w:szCs w:val="22"/>
        </w:rPr>
        <w:t xml:space="preserve"> or </w:t>
      </w:r>
      <w:proofErr w:type="spellStart"/>
      <w:r w:rsidRPr="00F14228">
        <w:rPr>
          <w:rStyle w:val="searchhistory-search-term"/>
          <w:color w:val="0A0905"/>
          <w:sz w:val="22"/>
          <w:szCs w:val="22"/>
        </w:rPr>
        <w:t>veldona</w:t>
      </w:r>
      <w:proofErr w:type="spellEnd"/>
      <w:r w:rsidRPr="00F14228">
        <w:rPr>
          <w:rStyle w:val="searchhistory-search-term"/>
          <w:color w:val="0A0905"/>
          <w:sz w:val="22"/>
          <w:szCs w:val="22"/>
        </w:rPr>
        <w:t>).</w:t>
      </w:r>
      <w:proofErr w:type="spellStart"/>
      <w:r w:rsidRPr="00F14228">
        <w:rPr>
          <w:rStyle w:val="searchhistory-search-term"/>
          <w:color w:val="0A0905"/>
          <w:sz w:val="22"/>
          <w:szCs w:val="22"/>
        </w:rPr>
        <w:t>mp</w:t>
      </w:r>
      <w:proofErr w:type="spellEnd"/>
      <w:r>
        <w:rPr>
          <w:rStyle w:val="searchhistory-search-term"/>
          <w:color w:val="0A0905"/>
        </w:rPr>
        <w:t xml:space="preserve">                                                                                      </w:t>
      </w:r>
      <w:r w:rsidRPr="00F14228">
        <w:rPr>
          <w:rStyle w:val="searchhistory-search-term"/>
          <w:color w:val="0A0905"/>
          <w:sz w:val="22"/>
          <w:szCs w:val="22"/>
        </w:rPr>
        <w:t>20  (</w:t>
      </w:r>
      <w:proofErr w:type="spellStart"/>
      <w:r w:rsidRPr="00F14228">
        <w:rPr>
          <w:rStyle w:val="searchhistory-search-term"/>
          <w:color w:val="0A0905"/>
          <w:sz w:val="22"/>
          <w:szCs w:val="22"/>
        </w:rPr>
        <w:t>armala</w:t>
      </w:r>
      <w:proofErr w:type="spellEnd"/>
      <w:r w:rsidRPr="00F14228">
        <w:rPr>
          <w:rStyle w:val="searchhistory-search-term"/>
          <w:color w:val="0A0905"/>
          <w:sz w:val="22"/>
          <w:szCs w:val="22"/>
        </w:rPr>
        <w:t xml:space="preserve"> or </w:t>
      </w:r>
      <w:proofErr w:type="spellStart"/>
      <w:r w:rsidRPr="00F14228">
        <w:rPr>
          <w:rStyle w:val="searchhistory-search-term"/>
          <w:color w:val="0A0905"/>
          <w:sz w:val="22"/>
          <w:szCs w:val="22"/>
        </w:rPr>
        <w:t>pazopanib</w:t>
      </w:r>
      <w:proofErr w:type="spellEnd"/>
      <w:r w:rsidRPr="00F14228">
        <w:rPr>
          <w:rStyle w:val="searchhistory-search-term"/>
          <w:color w:val="0A0905"/>
          <w:sz w:val="22"/>
          <w:szCs w:val="22"/>
        </w:rPr>
        <w:t xml:space="preserve"> or gw786034 or </w:t>
      </w:r>
      <w:proofErr w:type="spellStart"/>
      <w:r w:rsidRPr="00F14228">
        <w:rPr>
          <w:rStyle w:val="searchhistory-search-term"/>
          <w:color w:val="0A0905"/>
          <w:sz w:val="22"/>
          <w:szCs w:val="22"/>
        </w:rPr>
        <w:t>gw</w:t>
      </w:r>
      <w:proofErr w:type="spellEnd"/>
      <w:r w:rsidRPr="00F14228">
        <w:rPr>
          <w:rStyle w:val="searchhistory-search-term"/>
          <w:color w:val="0A0905"/>
          <w:sz w:val="22"/>
          <w:szCs w:val="22"/>
        </w:rPr>
        <w:t xml:space="preserve"> 786034 or </w:t>
      </w:r>
      <w:proofErr w:type="spellStart"/>
      <w:r w:rsidRPr="00F14228">
        <w:rPr>
          <w:rStyle w:val="searchhistory-search-term"/>
          <w:color w:val="0A0905"/>
          <w:sz w:val="22"/>
          <w:szCs w:val="22"/>
        </w:rPr>
        <w:t>sb</w:t>
      </w:r>
      <w:proofErr w:type="spellEnd"/>
      <w:r w:rsidRPr="00F14228">
        <w:rPr>
          <w:rStyle w:val="searchhistory-search-term"/>
          <w:color w:val="0A0905"/>
          <w:sz w:val="22"/>
          <w:szCs w:val="22"/>
        </w:rPr>
        <w:t xml:space="preserve"> 710468 or sb710468 or </w:t>
      </w:r>
      <w:proofErr w:type="spellStart"/>
      <w:r w:rsidRPr="00F14228">
        <w:rPr>
          <w:rStyle w:val="searchhistory-search-term"/>
          <w:color w:val="0A0905"/>
          <w:sz w:val="22"/>
          <w:szCs w:val="22"/>
        </w:rPr>
        <w:t>votrient</w:t>
      </w:r>
      <w:proofErr w:type="spellEnd"/>
      <w:r w:rsidRPr="00F14228">
        <w:rPr>
          <w:rStyle w:val="searchhistory-search-term"/>
          <w:color w:val="0A0905"/>
          <w:sz w:val="22"/>
          <w:szCs w:val="22"/>
        </w:rPr>
        <w:t>).</w:t>
      </w:r>
      <w:proofErr w:type="spellStart"/>
      <w:r w:rsidRPr="00F14228">
        <w:rPr>
          <w:rStyle w:val="searchhistory-search-term"/>
          <w:color w:val="0A0905"/>
          <w:sz w:val="22"/>
          <w:szCs w:val="22"/>
        </w:rPr>
        <w:t>mp</w:t>
      </w:r>
      <w:proofErr w:type="spellEnd"/>
      <w:r>
        <w:rPr>
          <w:rStyle w:val="searchhistory-search-term"/>
          <w:color w:val="0A0905"/>
        </w:rPr>
        <w:t xml:space="preserve">                                     </w:t>
      </w:r>
      <w:r w:rsidR="00445D0A">
        <w:rPr>
          <w:rStyle w:val="searchhistory-search-term"/>
          <w:color w:val="0A0905"/>
        </w:rPr>
        <w:t xml:space="preserve">                                                                                        </w:t>
      </w:r>
      <w:r w:rsidRPr="00F14228">
        <w:rPr>
          <w:rStyle w:val="searchhistory-search-term"/>
          <w:color w:val="0A0905"/>
          <w:sz w:val="22"/>
          <w:szCs w:val="22"/>
        </w:rPr>
        <w:t>21  (</w:t>
      </w:r>
      <w:proofErr w:type="spellStart"/>
      <w:r w:rsidRPr="00F14228">
        <w:rPr>
          <w:rStyle w:val="searchhistory-search-term"/>
          <w:color w:val="0A0905"/>
          <w:sz w:val="22"/>
          <w:szCs w:val="22"/>
        </w:rPr>
        <w:t>biotest</w:t>
      </w:r>
      <w:proofErr w:type="spellEnd"/>
      <w:r w:rsidRPr="00F14228">
        <w:rPr>
          <w:rStyle w:val="searchhistory-search-term"/>
          <w:color w:val="0A0905"/>
          <w:sz w:val="22"/>
          <w:szCs w:val="22"/>
        </w:rPr>
        <w:t xml:space="preserve"> or </w:t>
      </w:r>
      <w:proofErr w:type="spellStart"/>
      <w:r w:rsidRPr="00F14228">
        <w:rPr>
          <w:rStyle w:val="searchhistory-search-term"/>
          <w:color w:val="0A0905"/>
          <w:sz w:val="22"/>
          <w:szCs w:val="22"/>
        </w:rPr>
        <w:t>bioleukin</w:t>
      </w:r>
      <w:proofErr w:type="spellEnd"/>
      <w:r w:rsidRPr="00F14228">
        <w:rPr>
          <w:rStyle w:val="searchhistory-search-term"/>
          <w:color w:val="0A0905"/>
          <w:sz w:val="22"/>
          <w:szCs w:val="22"/>
        </w:rPr>
        <w:t xml:space="preserve"> or interleukin-ii or 'interleukin-2 or il-2 or il2 or ro-236019 or </w:t>
      </w:r>
      <w:proofErr w:type="spellStart"/>
      <w:r w:rsidRPr="00F14228">
        <w:rPr>
          <w:rStyle w:val="searchhistory-search-term"/>
          <w:color w:val="0A0905"/>
          <w:sz w:val="22"/>
          <w:szCs w:val="22"/>
        </w:rPr>
        <w:t>tcgf</w:t>
      </w:r>
      <w:proofErr w:type="spellEnd"/>
      <w:r w:rsidRPr="00F14228">
        <w:rPr>
          <w:rStyle w:val="searchhistory-search-term"/>
          <w:color w:val="0A0905"/>
          <w:sz w:val="22"/>
          <w:szCs w:val="22"/>
        </w:rPr>
        <w:t xml:space="preserve"> or </w:t>
      </w:r>
      <w:proofErr w:type="spellStart"/>
      <w:r w:rsidRPr="00F14228">
        <w:rPr>
          <w:rStyle w:val="searchhistory-search-term"/>
          <w:color w:val="0A0905"/>
          <w:sz w:val="22"/>
          <w:szCs w:val="22"/>
        </w:rPr>
        <w:t>tsf</w:t>
      </w:r>
      <w:proofErr w:type="spellEnd"/>
      <w:r w:rsidRPr="00F14228">
        <w:rPr>
          <w:rStyle w:val="searchhistory-search-term"/>
          <w:color w:val="0A0905"/>
          <w:sz w:val="22"/>
          <w:szCs w:val="22"/>
        </w:rPr>
        <w:t>).</w:t>
      </w:r>
      <w:proofErr w:type="spellStart"/>
      <w:r w:rsidRPr="00F14228">
        <w:rPr>
          <w:rStyle w:val="searchhistory-search-term"/>
          <w:color w:val="0A0905"/>
          <w:sz w:val="22"/>
          <w:szCs w:val="22"/>
        </w:rPr>
        <w:t>mp</w:t>
      </w:r>
      <w:proofErr w:type="spellEnd"/>
      <w:r>
        <w:rPr>
          <w:rStyle w:val="searchhistory-search-term"/>
          <w:color w:val="0A0905"/>
        </w:rPr>
        <w:t xml:space="preserve">            </w:t>
      </w:r>
      <w:r w:rsidR="00445D0A">
        <w:rPr>
          <w:rStyle w:val="searchhistory-search-term"/>
          <w:color w:val="0A0905"/>
        </w:rPr>
        <w:t xml:space="preserve">                                                                                                                                  </w:t>
      </w:r>
      <w:r w:rsidRPr="00F14228">
        <w:rPr>
          <w:rStyle w:val="searchhistory-search-term"/>
          <w:color w:val="0A0905"/>
          <w:sz w:val="22"/>
          <w:szCs w:val="22"/>
        </w:rPr>
        <w:t>22  or/12-21</w:t>
      </w:r>
      <w:r>
        <w:rPr>
          <w:rStyle w:val="searchhistory-search-term"/>
          <w:color w:val="0A0905"/>
        </w:rPr>
        <w:t xml:space="preserve">                                                                                                                                                       </w:t>
      </w:r>
      <w:r w:rsidRPr="00F14228">
        <w:rPr>
          <w:rStyle w:val="searchhistory-search-term"/>
          <w:color w:val="0A0905"/>
          <w:sz w:val="22"/>
          <w:szCs w:val="22"/>
        </w:rPr>
        <w:t>23 11 and 22</w:t>
      </w:r>
      <w:r>
        <w:rPr>
          <w:rStyle w:val="searchhistory-search-term"/>
          <w:color w:val="0A0905"/>
        </w:rPr>
        <w:t xml:space="preserve">                                                                                                                                                                             </w:t>
      </w:r>
      <w:r w:rsidRPr="00F14228">
        <w:rPr>
          <w:rStyle w:val="searchhistory-search-term"/>
          <w:color w:val="0A0905"/>
          <w:sz w:val="22"/>
          <w:szCs w:val="22"/>
        </w:rPr>
        <w:t>24 Animals/ not Humans/</w:t>
      </w:r>
      <w:r>
        <w:rPr>
          <w:rStyle w:val="searchhistory-search-term"/>
          <w:color w:val="0A0905"/>
        </w:rPr>
        <w:t xml:space="preserve">                                                                                                                                         </w:t>
      </w:r>
      <w:r w:rsidRPr="00F14228">
        <w:rPr>
          <w:rStyle w:val="searchhistory-search-term"/>
          <w:color w:val="0A0905"/>
          <w:sz w:val="22"/>
          <w:szCs w:val="22"/>
        </w:rPr>
        <w:t>25 23 not 24</w:t>
      </w:r>
      <w:r>
        <w:rPr>
          <w:rStyle w:val="searchhistory-search-term"/>
          <w:color w:val="0A0905"/>
        </w:rPr>
        <w:t xml:space="preserve">                                                                                                                                                       </w:t>
      </w:r>
      <w:r w:rsidRPr="00F14228">
        <w:rPr>
          <w:rStyle w:val="searchhistory-search-term"/>
          <w:color w:val="0A0905"/>
          <w:sz w:val="22"/>
          <w:szCs w:val="22"/>
        </w:rPr>
        <w:t>26  (editorial or letter).</w:t>
      </w:r>
      <w:proofErr w:type="spellStart"/>
      <w:r w:rsidRPr="00F14228">
        <w:rPr>
          <w:rStyle w:val="searchhistory-search-term"/>
          <w:color w:val="0A0905"/>
          <w:sz w:val="22"/>
          <w:szCs w:val="22"/>
        </w:rPr>
        <w:t>pt</w:t>
      </w:r>
      <w:proofErr w:type="spellEnd"/>
      <w:r>
        <w:rPr>
          <w:rStyle w:val="searchhistory-search-term"/>
          <w:color w:val="0A0905"/>
        </w:rPr>
        <w:t xml:space="preserve">                                                                                                                                          </w:t>
      </w:r>
      <w:r w:rsidRPr="00F14228">
        <w:rPr>
          <w:rStyle w:val="searchhistory-search-term"/>
          <w:color w:val="0A0905"/>
          <w:sz w:val="22"/>
          <w:szCs w:val="22"/>
        </w:rPr>
        <w:t>27  25 not 26</w:t>
      </w:r>
    </w:p>
    <w:p w:rsidR="002C02E4" w:rsidRPr="00D25918" w:rsidRDefault="002C02E4" w:rsidP="00616A4D">
      <w:pPr>
        <w:rPr>
          <w:sz w:val="22"/>
          <w:szCs w:val="22"/>
          <w:lang w:eastAsia="en-US"/>
        </w:rPr>
      </w:pPr>
    </w:p>
    <w:p w:rsidR="002C02E4" w:rsidRDefault="002C02E4" w:rsidP="00616A4D">
      <w:pPr>
        <w:rPr>
          <w:b/>
          <w:i/>
          <w:sz w:val="22"/>
          <w:szCs w:val="22"/>
          <w:lang w:eastAsia="en-US"/>
        </w:rPr>
      </w:pPr>
    </w:p>
    <w:p w:rsidR="00616A4D" w:rsidRPr="004A3466" w:rsidRDefault="00616A4D" w:rsidP="00616A4D">
      <w:pPr>
        <w:rPr>
          <w:b/>
          <w:i/>
          <w:sz w:val="22"/>
          <w:szCs w:val="22"/>
          <w:lang w:eastAsia="en-US"/>
        </w:rPr>
      </w:pPr>
      <w:r w:rsidRPr="004A3466">
        <w:rPr>
          <w:b/>
          <w:i/>
          <w:sz w:val="22"/>
          <w:szCs w:val="22"/>
          <w:lang w:eastAsia="en-US"/>
        </w:rPr>
        <w:t>Health economics draft search strategy</w:t>
      </w:r>
    </w:p>
    <w:p w:rsidR="00616A4D" w:rsidRDefault="00616A4D" w:rsidP="00616A4D">
      <w:pPr>
        <w:rPr>
          <w:sz w:val="22"/>
          <w:szCs w:val="22"/>
          <w:lang w:eastAsia="en-US"/>
        </w:rPr>
      </w:pPr>
    </w:p>
    <w:p w:rsidR="00616A4D" w:rsidRPr="00AB4E14" w:rsidRDefault="00616A4D" w:rsidP="00616A4D">
      <w:pPr>
        <w:rPr>
          <w:sz w:val="22"/>
          <w:szCs w:val="22"/>
          <w:lang w:eastAsia="en-US"/>
        </w:rPr>
      </w:pPr>
      <w:r w:rsidRPr="00AB4E14">
        <w:rPr>
          <w:sz w:val="22"/>
          <w:szCs w:val="22"/>
          <w:lang w:eastAsia="en-US"/>
        </w:rPr>
        <w:t xml:space="preserve">Database: </w:t>
      </w:r>
      <w:r w:rsidR="00395A52" w:rsidRPr="007D7EFB">
        <w:rPr>
          <w:rStyle w:val="dbname"/>
          <w:bCs/>
          <w:color w:val="0A0905"/>
          <w:sz w:val="22"/>
          <w:szCs w:val="22"/>
          <w:shd w:val="clear" w:color="auto" w:fill="FFFFFF"/>
        </w:rPr>
        <w:t>Ovid MEDLINE(R) In-Process &amp; Other Non-Indexed Citations and Ovid MEDLINE(R)</w:t>
      </w:r>
      <w:r w:rsidR="00395A52" w:rsidRPr="007D7EFB">
        <w:rPr>
          <w:rStyle w:val="apple-converted-space"/>
          <w:bCs/>
          <w:color w:val="0A0905"/>
          <w:sz w:val="22"/>
          <w:szCs w:val="22"/>
          <w:shd w:val="clear" w:color="auto" w:fill="FFFFFF"/>
        </w:rPr>
        <w:t> </w:t>
      </w:r>
      <w:r w:rsidR="00395A52">
        <w:rPr>
          <w:rStyle w:val="dbdate"/>
          <w:color w:val="0A0905"/>
          <w:sz w:val="22"/>
          <w:szCs w:val="22"/>
          <w:shd w:val="clear" w:color="auto" w:fill="FFFFFF"/>
        </w:rPr>
        <w:t xml:space="preserve">1946 to Present; </w:t>
      </w:r>
      <w:r w:rsidRPr="00AB4E14">
        <w:rPr>
          <w:sz w:val="22"/>
          <w:szCs w:val="22"/>
          <w:lang w:eastAsia="en-US"/>
        </w:rPr>
        <w:t xml:space="preserve">search run: </w:t>
      </w:r>
      <w:r w:rsidR="00395A52">
        <w:rPr>
          <w:sz w:val="22"/>
          <w:szCs w:val="22"/>
          <w:lang w:eastAsia="en-US"/>
        </w:rPr>
        <w:t>8</w:t>
      </w:r>
      <w:r w:rsidR="00FE2621">
        <w:rPr>
          <w:sz w:val="22"/>
          <w:szCs w:val="22"/>
          <w:lang w:eastAsia="en-US"/>
        </w:rPr>
        <w:t>/12/2015</w:t>
      </w:r>
    </w:p>
    <w:p w:rsidR="00616A4D" w:rsidRDefault="00616A4D" w:rsidP="00616A4D">
      <w:pPr>
        <w:rPr>
          <w:sz w:val="22"/>
          <w:szCs w:val="22"/>
          <w:lang w:eastAsia="en-US"/>
        </w:rPr>
      </w:pPr>
    </w:p>
    <w:p w:rsidR="00BE0E68" w:rsidRPr="00BE0E68" w:rsidRDefault="00BE0E68" w:rsidP="00BE0E68">
      <w:pPr>
        <w:rPr>
          <w:sz w:val="22"/>
          <w:szCs w:val="22"/>
          <w:lang w:eastAsia="en-US"/>
        </w:rPr>
      </w:pPr>
      <w:r>
        <w:rPr>
          <w:sz w:val="22"/>
          <w:szCs w:val="22"/>
          <w:lang w:eastAsia="en-US"/>
        </w:rPr>
        <w:t xml:space="preserve">1   </w:t>
      </w:r>
      <w:r w:rsidRPr="00BE0E68">
        <w:rPr>
          <w:sz w:val="22"/>
          <w:szCs w:val="22"/>
          <w:lang w:eastAsia="en-US"/>
        </w:rPr>
        <w:t>Carcinoma, Renal Cell/</w:t>
      </w:r>
      <w:r w:rsidR="006C1D0E">
        <w:rPr>
          <w:sz w:val="22"/>
          <w:szCs w:val="22"/>
          <w:lang w:eastAsia="en-US"/>
        </w:rPr>
        <w:t xml:space="preserve">  </w:t>
      </w:r>
    </w:p>
    <w:p w:rsidR="00BE0E68" w:rsidRPr="00BE0E68" w:rsidRDefault="00BE0E68" w:rsidP="00BE0E68">
      <w:pPr>
        <w:rPr>
          <w:sz w:val="22"/>
          <w:szCs w:val="22"/>
          <w:lang w:eastAsia="en-US"/>
        </w:rPr>
      </w:pPr>
      <w:proofErr w:type="gramStart"/>
      <w:r>
        <w:rPr>
          <w:sz w:val="22"/>
          <w:szCs w:val="22"/>
          <w:lang w:eastAsia="en-US"/>
        </w:rPr>
        <w:lastRenderedPageBreak/>
        <w:t xml:space="preserve">2   </w:t>
      </w:r>
      <w:r w:rsidRPr="00BE0E68">
        <w:rPr>
          <w:sz w:val="22"/>
          <w:szCs w:val="22"/>
          <w:lang w:eastAsia="en-US"/>
        </w:rPr>
        <w:t xml:space="preserve">(renal cell carcinoma$ or cell renal carcinoma$ or renal carcinoma$ or kidney carcinoma$ or kidney cell carcinoma$ or renal adenocarcinoma$ or kidney adenocarcinoma$ or </w:t>
      </w:r>
      <w:proofErr w:type="spellStart"/>
      <w:r w:rsidRPr="00BE0E68">
        <w:rPr>
          <w:sz w:val="22"/>
          <w:szCs w:val="22"/>
          <w:lang w:eastAsia="en-US"/>
        </w:rPr>
        <w:t>adenocarcinoma$renal</w:t>
      </w:r>
      <w:proofErr w:type="spellEnd"/>
      <w:r w:rsidRPr="00BE0E68">
        <w:rPr>
          <w:sz w:val="22"/>
          <w:szCs w:val="22"/>
          <w:lang w:eastAsia="en-US"/>
        </w:rPr>
        <w:t xml:space="preserve"> or </w:t>
      </w:r>
      <w:proofErr w:type="spellStart"/>
      <w:r w:rsidRPr="00BE0E68">
        <w:rPr>
          <w:sz w:val="22"/>
          <w:szCs w:val="22"/>
          <w:lang w:eastAsia="en-US"/>
        </w:rPr>
        <w:t>adenocarci</w:t>
      </w:r>
      <w:r w:rsidR="00395A52">
        <w:rPr>
          <w:sz w:val="22"/>
          <w:szCs w:val="22"/>
          <w:lang w:eastAsia="en-US"/>
        </w:rPr>
        <w:t>noma$kidney</w:t>
      </w:r>
      <w:proofErr w:type="spellEnd"/>
      <w:r w:rsidR="00395A52">
        <w:rPr>
          <w:sz w:val="22"/>
          <w:szCs w:val="22"/>
          <w:lang w:eastAsia="en-US"/>
        </w:rPr>
        <w:t>$).</w:t>
      </w:r>
      <w:proofErr w:type="spellStart"/>
      <w:r w:rsidR="00395A52">
        <w:rPr>
          <w:sz w:val="22"/>
          <w:szCs w:val="22"/>
          <w:lang w:eastAsia="en-US"/>
        </w:rPr>
        <w:t>tw</w:t>
      </w:r>
      <w:proofErr w:type="spellEnd"/>
      <w:r w:rsidR="0081792B">
        <w:rPr>
          <w:sz w:val="22"/>
          <w:szCs w:val="22"/>
          <w:lang w:eastAsia="en-US"/>
        </w:rPr>
        <w:t>.</w:t>
      </w:r>
      <w:proofErr w:type="gramEnd"/>
      <w:r w:rsidR="0081792B">
        <w:rPr>
          <w:sz w:val="22"/>
          <w:szCs w:val="22"/>
          <w:lang w:eastAsia="en-US"/>
        </w:rPr>
        <w:t xml:space="preserve"> </w:t>
      </w:r>
      <w:r w:rsidR="00395A52">
        <w:rPr>
          <w:sz w:val="22"/>
          <w:szCs w:val="22"/>
          <w:lang w:eastAsia="en-US"/>
        </w:rPr>
        <w:t>(</w:t>
      </w:r>
      <w:r w:rsidR="00395A52" w:rsidRPr="00395A52">
        <w:rPr>
          <w:sz w:val="22"/>
          <w:szCs w:val="22"/>
          <w:lang w:eastAsia="en-US"/>
        </w:rPr>
        <w:t>30852</w:t>
      </w:r>
      <w:r w:rsidR="00395A52">
        <w:rPr>
          <w:sz w:val="22"/>
          <w:szCs w:val="22"/>
          <w:lang w:eastAsia="en-US"/>
        </w:rPr>
        <w:t>)</w:t>
      </w:r>
    </w:p>
    <w:p w:rsidR="00BE0E68" w:rsidRPr="00BE0E68" w:rsidRDefault="00BE0E68" w:rsidP="00BE0E68">
      <w:pPr>
        <w:rPr>
          <w:sz w:val="22"/>
          <w:szCs w:val="22"/>
          <w:lang w:eastAsia="en-US"/>
        </w:rPr>
      </w:pPr>
      <w:r>
        <w:rPr>
          <w:sz w:val="22"/>
          <w:szCs w:val="22"/>
          <w:lang w:eastAsia="en-US"/>
        </w:rPr>
        <w:t xml:space="preserve">3   </w:t>
      </w:r>
      <w:r w:rsidRPr="00BE0E68">
        <w:rPr>
          <w:sz w:val="22"/>
          <w:szCs w:val="22"/>
          <w:lang w:eastAsia="en-US"/>
        </w:rPr>
        <w:t>(</w:t>
      </w:r>
      <w:proofErr w:type="spellStart"/>
      <w:r w:rsidRPr="00BE0E68">
        <w:rPr>
          <w:sz w:val="22"/>
          <w:szCs w:val="22"/>
          <w:lang w:eastAsia="en-US"/>
        </w:rPr>
        <w:t>hypernephroma</w:t>
      </w:r>
      <w:proofErr w:type="spellEnd"/>
      <w:r w:rsidRPr="00BE0E68">
        <w:rPr>
          <w:sz w:val="22"/>
          <w:szCs w:val="22"/>
          <w:lang w:eastAsia="en-US"/>
        </w:rPr>
        <w:t xml:space="preserve">$ or </w:t>
      </w:r>
      <w:proofErr w:type="spellStart"/>
      <w:r w:rsidRPr="00BE0E68">
        <w:rPr>
          <w:sz w:val="22"/>
          <w:szCs w:val="22"/>
          <w:lang w:eastAsia="en-US"/>
        </w:rPr>
        <w:t>nephroid</w:t>
      </w:r>
      <w:proofErr w:type="spellEnd"/>
      <w:r w:rsidRPr="00BE0E68">
        <w:rPr>
          <w:sz w:val="22"/>
          <w:szCs w:val="22"/>
          <w:lang w:eastAsia="en-US"/>
        </w:rPr>
        <w:t xml:space="preserve"> carcinoma$ or </w:t>
      </w:r>
      <w:proofErr w:type="spellStart"/>
      <w:r w:rsidRPr="00BE0E68">
        <w:rPr>
          <w:sz w:val="22"/>
          <w:szCs w:val="22"/>
          <w:lang w:eastAsia="en-US"/>
        </w:rPr>
        <w:t>hypernephroid</w:t>
      </w:r>
      <w:proofErr w:type="spellEnd"/>
      <w:r w:rsidRPr="00BE0E68">
        <w:rPr>
          <w:sz w:val="22"/>
          <w:szCs w:val="22"/>
          <w:lang w:eastAsia="en-US"/>
        </w:rPr>
        <w:t xml:space="preserve"> carcinoma$ or kidney </w:t>
      </w:r>
      <w:proofErr w:type="spellStart"/>
      <w:r w:rsidRPr="00BE0E68">
        <w:rPr>
          <w:sz w:val="22"/>
          <w:szCs w:val="22"/>
          <w:lang w:eastAsia="en-US"/>
        </w:rPr>
        <w:t>hypernephroma</w:t>
      </w:r>
      <w:proofErr w:type="spellEnd"/>
      <w:r w:rsidRPr="00BE0E68">
        <w:rPr>
          <w:sz w:val="22"/>
          <w:szCs w:val="22"/>
          <w:lang w:eastAsia="en-US"/>
        </w:rPr>
        <w:t xml:space="preserve">$ or kidney pelvic carcinoma$ or kidney </w:t>
      </w:r>
      <w:proofErr w:type="spellStart"/>
      <w:r w:rsidRPr="00BE0E68">
        <w:rPr>
          <w:sz w:val="22"/>
          <w:szCs w:val="22"/>
          <w:lang w:eastAsia="en-US"/>
        </w:rPr>
        <w:t>pyelocarcinoma</w:t>
      </w:r>
      <w:proofErr w:type="spellEnd"/>
      <w:r w:rsidRPr="00BE0E68">
        <w:rPr>
          <w:sz w:val="22"/>
          <w:szCs w:val="22"/>
          <w:lang w:eastAsia="en-US"/>
        </w:rPr>
        <w:t xml:space="preserve">$ or renal </w:t>
      </w:r>
      <w:proofErr w:type="spellStart"/>
      <w:r w:rsidRPr="00BE0E68">
        <w:rPr>
          <w:sz w:val="22"/>
          <w:szCs w:val="22"/>
          <w:lang w:eastAsia="en-US"/>
        </w:rPr>
        <w:t>hypernephroma</w:t>
      </w:r>
      <w:proofErr w:type="spellEnd"/>
      <w:r w:rsidRPr="00BE0E68">
        <w:rPr>
          <w:sz w:val="22"/>
          <w:szCs w:val="22"/>
          <w:lang w:eastAsia="en-US"/>
        </w:rPr>
        <w:t xml:space="preserve">$ or </w:t>
      </w:r>
      <w:proofErr w:type="spellStart"/>
      <w:r w:rsidRPr="00BE0E68">
        <w:rPr>
          <w:sz w:val="22"/>
          <w:szCs w:val="22"/>
          <w:lang w:eastAsia="en-US"/>
        </w:rPr>
        <w:t>grawitz</w:t>
      </w:r>
      <w:proofErr w:type="spellEnd"/>
      <w:r w:rsidRPr="00BE0E68">
        <w:rPr>
          <w:sz w:val="22"/>
          <w:szCs w:val="22"/>
          <w:lang w:eastAsia="en-US"/>
        </w:rPr>
        <w:t xml:space="preserve"> </w:t>
      </w:r>
      <w:proofErr w:type="spellStart"/>
      <w:r w:rsidRPr="00BE0E68">
        <w:rPr>
          <w:sz w:val="22"/>
          <w:szCs w:val="22"/>
          <w:lang w:eastAsia="en-US"/>
        </w:rPr>
        <w:t>tumo</w:t>
      </w:r>
      <w:proofErr w:type="gramStart"/>
      <w:r w:rsidRPr="00BE0E68">
        <w:rPr>
          <w:sz w:val="22"/>
          <w:szCs w:val="22"/>
          <w:lang w:eastAsia="en-US"/>
        </w:rPr>
        <w:t>?r</w:t>
      </w:r>
      <w:proofErr w:type="spellEnd"/>
      <w:proofErr w:type="gramEnd"/>
      <w:r w:rsidRPr="00BE0E68">
        <w:rPr>
          <w:sz w:val="22"/>
          <w:szCs w:val="22"/>
          <w:lang w:eastAsia="en-US"/>
        </w:rPr>
        <w:t xml:space="preserve">$ or renal cell neoplasm$ or renal cell cancer$ or renal </w:t>
      </w:r>
      <w:proofErr w:type="spellStart"/>
      <w:r w:rsidRPr="00BE0E68">
        <w:rPr>
          <w:sz w:val="22"/>
          <w:szCs w:val="22"/>
          <w:lang w:eastAsia="en-US"/>
        </w:rPr>
        <w:t>tumo?r</w:t>
      </w:r>
      <w:proofErr w:type="spellEnd"/>
      <w:r w:rsidRPr="00BE0E68">
        <w:rPr>
          <w:sz w:val="22"/>
          <w:szCs w:val="22"/>
          <w:lang w:eastAsia="en-US"/>
        </w:rPr>
        <w:t xml:space="preserve">$ or carcinoma </w:t>
      </w:r>
      <w:proofErr w:type="spellStart"/>
      <w:r w:rsidRPr="00BE0E68">
        <w:rPr>
          <w:sz w:val="22"/>
          <w:szCs w:val="22"/>
          <w:lang w:eastAsia="en-US"/>
        </w:rPr>
        <w:t>chromophobe</w:t>
      </w:r>
      <w:proofErr w:type="spellEnd"/>
      <w:r w:rsidRPr="00BE0E68">
        <w:rPr>
          <w:sz w:val="22"/>
          <w:szCs w:val="22"/>
          <w:lang w:eastAsia="en-US"/>
        </w:rPr>
        <w:t xml:space="preserve"> cell kidney$ or </w:t>
      </w:r>
      <w:proofErr w:type="spellStart"/>
      <w:r w:rsidRPr="00BE0E68">
        <w:rPr>
          <w:sz w:val="22"/>
          <w:szCs w:val="22"/>
          <w:lang w:eastAsia="en-US"/>
        </w:rPr>
        <w:t>chromo</w:t>
      </w:r>
      <w:r w:rsidR="00395A52">
        <w:rPr>
          <w:sz w:val="22"/>
          <w:szCs w:val="22"/>
          <w:lang w:eastAsia="en-US"/>
        </w:rPr>
        <w:t>phobe</w:t>
      </w:r>
      <w:proofErr w:type="spellEnd"/>
      <w:r w:rsidR="00395A52">
        <w:rPr>
          <w:sz w:val="22"/>
          <w:szCs w:val="22"/>
          <w:lang w:eastAsia="en-US"/>
        </w:rPr>
        <w:t xml:space="preserve"> cell kidney carcinoma$).</w:t>
      </w:r>
      <w:proofErr w:type="spellStart"/>
      <w:r w:rsidR="00395A52">
        <w:rPr>
          <w:sz w:val="22"/>
          <w:szCs w:val="22"/>
          <w:lang w:eastAsia="en-US"/>
        </w:rPr>
        <w:t>tw</w:t>
      </w:r>
      <w:proofErr w:type="spellEnd"/>
      <w:r w:rsidR="0081792B">
        <w:rPr>
          <w:sz w:val="22"/>
          <w:szCs w:val="22"/>
          <w:lang w:eastAsia="en-US"/>
        </w:rPr>
        <w:t xml:space="preserve">. </w:t>
      </w:r>
    </w:p>
    <w:p w:rsidR="00BE0E68" w:rsidRPr="00BE0E68" w:rsidRDefault="00BE0E68" w:rsidP="00BE0E68">
      <w:pPr>
        <w:rPr>
          <w:sz w:val="22"/>
          <w:szCs w:val="22"/>
          <w:lang w:eastAsia="en-US"/>
        </w:rPr>
      </w:pPr>
      <w:r>
        <w:rPr>
          <w:sz w:val="22"/>
          <w:szCs w:val="22"/>
          <w:lang w:eastAsia="en-US"/>
        </w:rPr>
        <w:t xml:space="preserve">4   </w:t>
      </w:r>
      <w:r w:rsidRPr="00BE0E68">
        <w:rPr>
          <w:sz w:val="22"/>
          <w:szCs w:val="22"/>
          <w:lang w:eastAsia="en-US"/>
        </w:rPr>
        <w:t>kidney neoplasms/</w:t>
      </w:r>
      <w:r w:rsidR="006C1D0E">
        <w:rPr>
          <w:sz w:val="22"/>
          <w:szCs w:val="22"/>
          <w:lang w:eastAsia="en-US"/>
        </w:rPr>
        <w:t xml:space="preserve">  </w:t>
      </w:r>
    </w:p>
    <w:p w:rsidR="00BE0E68" w:rsidRPr="00BE0E68" w:rsidRDefault="00BE0E68" w:rsidP="00BE0E68">
      <w:pPr>
        <w:rPr>
          <w:sz w:val="22"/>
          <w:szCs w:val="22"/>
          <w:lang w:eastAsia="en-US"/>
        </w:rPr>
      </w:pPr>
      <w:r>
        <w:rPr>
          <w:sz w:val="22"/>
          <w:szCs w:val="22"/>
          <w:lang w:eastAsia="en-US"/>
        </w:rPr>
        <w:t xml:space="preserve">5   </w:t>
      </w:r>
      <w:r w:rsidRPr="00BE0E68">
        <w:rPr>
          <w:sz w:val="22"/>
          <w:szCs w:val="22"/>
          <w:lang w:eastAsia="en-US"/>
        </w:rPr>
        <w:t>(cancer$ adj2 kidney$1).</w:t>
      </w:r>
      <w:proofErr w:type="spellStart"/>
      <w:r w:rsidRPr="00BE0E68">
        <w:rPr>
          <w:sz w:val="22"/>
          <w:szCs w:val="22"/>
          <w:lang w:eastAsia="en-US"/>
        </w:rPr>
        <w:t>ti</w:t>
      </w:r>
      <w:proofErr w:type="gramStart"/>
      <w:r w:rsidRPr="00BE0E68">
        <w:rPr>
          <w:sz w:val="22"/>
          <w:szCs w:val="22"/>
          <w:lang w:eastAsia="en-US"/>
        </w:rPr>
        <w:t>,ab</w:t>
      </w:r>
      <w:proofErr w:type="spellEnd"/>
      <w:proofErr w:type="gramEnd"/>
      <w:r w:rsidR="0081792B">
        <w:rPr>
          <w:sz w:val="22"/>
          <w:szCs w:val="22"/>
          <w:lang w:eastAsia="en-US"/>
        </w:rPr>
        <w:t xml:space="preserve">. </w:t>
      </w:r>
    </w:p>
    <w:p w:rsidR="00BE0E68" w:rsidRPr="002E05C4" w:rsidRDefault="00391BEE" w:rsidP="00BE0E68">
      <w:pPr>
        <w:rPr>
          <w:sz w:val="22"/>
          <w:szCs w:val="22"/>
          <w:lang w:val="it-IT" w:eastAsia="en-US"/>
        </w:rPr>
      </w:pPr>
      <w:r w:rsidRPr="00391BEE">
        <w:rPr>
          <w:sz w:val="22"/>
          <w:szCs w:val="22"/>
          <w:lang w:val="it-IT" w:eastAsia="en-US"/>
        </w:rPr>
        <w:t xml:space="preserve">6   (neoplasm$1 adj2 kidney$1).ti,ab. </w:t>
      </w:r>
    </w:p>
    <w:p w:rsidR="00BE0E68" w:rsidRPr="002E05C4" w:rsidRDefault="00391BEE" w:rsidP="00BE0E68">
      <w:pPr>
        <w:rPr>
          <w:sz w:val="22"/>
          <w:szCs w:val="22"/>
          <w:lang w:val="it-IT" w:eastAsia="en-US"/>
        </w:rPr>
      </w:pPr>
      <w:r w:rsidRPr="00391BEE">
        <w:rPr>
          <w:sz w:val="22"/>
          <w:szCs w:val="22"/>
          <w:lang w:val="it-IT" w:eastAsia="en-US"/>
        </w:rPr>
        <w:t xml:space="preserve">7   (neoplasm$1 adj2 renal).ti,ab. </w:t>
      </w:r>
    </w:p>
    <w:p w:rsidR="00BE0E68" w:rsidRPr="002E05C4" w:rsidRDefault="00391BEE" w:rsidP="00BE0E68">
      <w:pPr>
        <w:rPr>
          <w:sz w:val="22"/>
          <w:szCs w:val="22"/>
          <w:lang w:val="it-IT" w:eastAsia="en-US"/>
        </w:rPr>
      </w:pPr>
      <w:r w:rsidRPr="00391BEE">
        <w:rPr>
          <w:sz w:val="22"/>
          <w:szCs w:val="22"/>
          <w:lang w:val="it-IT" w:eastAsia="en-US"/>
        </w:rPr>
        <w:t xml:space="preserve">8   (cancer$ adj2 renal).ti,ab. </w:t>
      </w:r>
    </w:p>
    <w:p w:rsidR="00BE0E68" w:rsidRPr="002E05C4" w:rsidRDefault="00391BEE" w:rsidP="00BE0E68">
      <w:pPr>
        <w:rPr>
          <w:sz w:val="22"/>
          <w:szCs w:val="22"/>
          <w:lang w:val="it-IT" w:eastAsia="en-US"/>
        </w:rPr>
      </w:pPr>
      <w:r w:rsidRPr="00391BEE">
        <w:rPr>
          <w:sz w:val="22"/>
          <w:szCs w:val="22"/>
          <w:lang w:val="it-IT" w:eastAsia="en-US"/>
        </w:rPr>
        <w:t xml:space="preserve">9   (tumo?r$1 adj2 kidney$1).ti,ab. </w:t>
      </w:r>
    </w:p>
    <w:p w:rsidR="00BE0E68" w:rsidRPr="002E05C4" w:rsidRDefault="00391BEE" w:rsidP="00BE0E68">
      <w:pPr>
        <w:rPr>
          <w:sz w:val="22"/>
          <w:szCs w:val="22"/>
          <w:lang w:val="it-IT" w:eastAsia="en-US"/>
        </w:rPr>
      </w:pPr>
      <w:r w:rsidRPr="00391BEE">
        <w:rPr>
          <w:sz w:val="22"/>
          <w:szCs w:val="22"/>
          <w:lang w:val="it-IT" w:eastAsia="en-US"/>
        </w:rPr>
        <w:t xml:space="preserve">10 (tumo?r$1 adj2 renal).ti,ab. </w:t>
      </w:r>
    </w:p>
    <w:p w:rsidR="00616A4D" w:rsidRPr="00692AC7" w:rsidRDefault="00BE0E68" w:rsidP="00BE0E68">
      <w:pPr>
        <w:rPr>
          <w:sz w:val="22"/>
          <w:szCs w:val="22"/>
          <w:lang w:eastAsia="en-US"/>
        </w:rPr>
      </w:pPr>
      <w:proofErr w:type="gramStart"/>
      <w:r>
        <w:rPr>
          <w:sz w:val="22"/>
          <w:szCs w:val="22"/>
          <w:lang w:eastAsia="en-US"/>
        </w:rPr>
        <w:t xml:space="preserve">11  </w:t>
      </w:r>
      <w:r w:rsidR="00EE0B05">
        <w:rPr>
          <w:sz w:val="22"/>
          <w:szCs w:val="22"/>
          <w:lang w:eastAsia="en-US"/>
        </w:rPr>
        <w:t xml:space="preserve"> </w:t>
      </w:r>
      <w:r>
        <w:rPr>
          <w:sz w:val="22"/>
          <w:szCs w:val="22"/>
          <w:lang w:eastAsia="en-US"/>
        </w:rPr>
        <w:t>or/1-10</w:t>
      </w:r>
      <w:proofErr w:type="gramEnd"/>
      <w:r w:rsidR="006C1D0E">
        <w:rPr>
          <w:sz w:val="22"/>
          <w:szCs w:val="22"/>
          <w:lang w:eastAsia="en-US"/>
        </w:rPr>
        <w:t xml:space="preserve"> </w:t>
      </w:r>
    </w:p>
    <w:p w:rsidR="00616A4D" w:rsidRPr="00692AC7" w:rsidRDefault="00BE0E68" w:rsidP="00616A4D">
      <w:pPr>
        <w:rPr>
          <w:sz w:val="22"/>
          <w:szCs w:val="22"/>
          <w:lang w:eastAsia="en-US"/>
        </w:rPr>
      </w:pPr>
      <w:proofErr w:type="gramStart"/>
      <w:r>
        <w:rPr>
          <w:sz w:val="22"/>
          <w:szCs w:val="22"/>
          <w:lang w:eastAsia="en-US"/>
        </w:rPr>
        <w:t>12</w:t>
      </w:r>
      <w:r w:rsidR="00616A4D" w:rsidRPr="00692AC7">
        <w:rPr>
          <w:sz w:val="22"/>
          <w:szCs w:val="22"/>
          <w:lang w:eastAsia="en-US"/>
        </w:rPr>
        <w:t xml:space="preserve">  </w:t>
      </w:r>
      <w:r w:rsidR="00C8624C" w:rsidRPr="00C8624C">
        <w:rPr>
          <w:sz w:val="22"/>
          <w:szCs w:val="22"/>
          <w:lang w:eastAsia="en-US"/>
        </w:rPr>
        <w:t>(</w:t>
      </w:r>
      <w:proofErr w:type="spellStart"/>
      <w:proofErr w:type="gramEnd"/>
      <w:r w:rsidR="00C8624C" w:rsidRPr="00C8624C">
        <w:rPr>
          <w:sz w:val="22"/>
          <w:szCs w:val="22"/>
          <w:lang w:eastAsia="en-US"/>
        </w:rPr>
        <w:t>ax</w:t>
      </w:r>
      <w:r w:rsidR="007656DC">
        <w:rPr>
          <w:sz w:val="22"/>
          <w:szCs w:val="22"/>
          <w:lang w:eastAsia="en-US"/>
        </w:rPr>
        <w:t>itinib</w:t>
      </w:r>
      <w:proofErr w:type="spellEnd"/>
      <w:r w:rsidR="007656DC">
        <w:rPr>
          <w:sz w:val="22"/>
          <w:szCs w:val="22"/>
          <w:lang w:eastAsia="en-US"/>
        </w:rPr>
        <w:t xml:space="preserve"> or ag013736 or </w:t>
      </w:r>
      <w:proofErr w:type="spellStart"/>
      <w:r w:rsidR="007656DC">
        <w:rPr>
          <w:sz w:val="22"/>
          <w:szCs w:val="22"/>
          <w:lang w:eastAsia="en-US"/>
        </w:rPr>
        <w:t>inlyta</w:t>
      </w:r>
      <w:proofErr w:type="spellEnd"/>
      <w:r w:rsidR="007656DC">
        <w:rPr>
          <w:sz w:val="22"/>
          <w:szCs w:val="22"/>
          <w:lang w:eastAsia="en-US"/>
        </w:rPr>
        <w:t>).</w:t>
      </w:r>
      <w:proofErr w:type="spellStart"/>
      <w:r w:rsidR="007656DC">
        <w:rPr>
          <w:sz w:val="22"/>
          <w:szCs w:val="22"/>
          <w:lang w:eastAsia="en-US"/>
        </w:rPr>
        <w:t>tw</w:t>
      </w:r>
      <w:proofErr w:type="spellEnd"/>
      <w:r w:rsidR="00C8624C" w:rsidRPr="00C8624C">
        <w:rPr>
          <w:sz w:val="22"/>
          <w:szCs w:val="22"/>
          <w:lang w:eastAsia="en-US"/>
        </w:rPr>
        <w:t xml:space="preserve">. </w:t>
      </w:r>
    </w:p>
    <w:p w:rsidR="00616A4D" w:rsidRPr="00692AC7" w:rsidRDefault="00BE0E68" w:rsidP="00616A4D">
      <w:pPr>
        <w:rPr>
          <w:sz w:val="22"/>
          <w:szCs w:val="22"/>
          <w:lang w:eastAsia="en-US"/>
        </w:rPr>
      </w:pPr>
      <w:proofErr w:type="gramStart"/>
      <w:r>
        <w:rPr>
          <w:sz w:val="22"/>
          <w:szCs w:val="22"/>
          <w:lang w:eastAsia="en-US"/>
        </w:rPr>
        <w:t>13</w:t>
      </w:r>
      <w:r w:rsidR="00616A4D" w:rsidRPr="00692AC7">
        <w:rPr>
          <w:sz w:val="22"/>
          <w:szCs w:val="22"/>
          <w:lang w:eastAsia="en-US"/>
        </w:rPr>
        <w:t xml:space="preserve">  </w:t>
      </w:r>
      <w:r w:rsidR="007656DC">
        <w:rPr>
          <w:sz w:val="22"/>
          <w:szCs w:val="22"/>
          <w:lang w:eastAsia="en-US"/>
        </w:rPr>
        <w:t>(</w:t>
      </w:r>
      <w:proofErr w:type="spellStart"/>
      <w:proofErr w:type="gramEnd"/>
      <w:r w:rsidR="007656DC">
        <w:rPr>
          <w:sz w:val="22"/>
          <w:szCs w:val="22"/>
          <w:lang w:eastAsia="en-US"/>
        </w:rPr>
        <w:t>tivozanib</w:t>
      </w:r>
      <w:proofErr w:type="spellEnd"/>
      <w:r w:rsidR="007656DC">
        <w:rPr>
          <w:sz w:val="22"/>
          <w:szCs w:val="22"/>
          <w:lang w:eastAsia="en-US"/>
        </w:rPr>
        <w:t xml:space="preserve"> or av-951).</w:t>
      </w:r>
      <w:proofErr w:type="spellStart"/>
      <w:r w:rsidR="007656DC">
        <w:rPr>
          <w:sz w:val="22"/>
          <w:szCs w:val="22"/>
          <w:lang w:eastAsia="en-US"/>
        </w:rPr>
        <w:t>tw</w:t>
      </w:r>
      <w:proofErr w:type="spellEnd"/>
      <w:r w:rsidR="00C8624C" w:rsidRPr="00C8624C">
        <w:rPr>
          <w:sz w:val="22"/>
          <w:szCs w:val="22"/>
          <w:lang w:eastAsia="en-US"/>
        </w:rPr>
        <w:t>.</w:t>
      </w:r>
      <w:r w:rsidR="006C1D0E">
        <w:rPr>
          <w:sz w:val="22"/>
          <w:szCs w:val="22"/>
          <w:lang w:eastAsia="en-US"/>
        </w:rPr>
        <w:t xml:space="preserve"> </w:t>
      </w:r>
    </w:p>
    <w:p w:rsidR="00616A4D" w:rsidRPr="00692AC7" w:rsidRDefault="00BE0E68" w:rsidP="00616A4D">
      <w:pPr>
        <w:rPr>
          <w:sz w:val="22"/>
          <w:szCs w:val="22"/>
          <w:lang w:eastAsia="en-US"/>
        </w:rPr>
      </w:pPr>
      <w:proofErr w:type="gramStart"/>
      <w:r>
        <w:rPr>
          <w:sz w:val="22"/>
          <w:szCs w:val="22"/>
          <w:lang w:eastAsia="en-US"/>
        </w:rPr>
        <w:t>14</w:t>
      </w:r>
      <w:r w:rsidR="00616A4D" w:rsidRPr="00692AC7">
        <w:rPr>
          <w:sz w:val="22"/>
          <w:szCs w:val="22"/>
          <w:lang w:eastAsia="en-US"/>
        </w:rPr>
        <w:t xml:space="preserve">  </w:t>
      </w:r>
      <w:r w:rsidR="00C8624C" w:rsidRPr="00C8624C">
        <w:rPr>
          <w:sz w:val="22"/>
          <w:szCs w:val="22"/>
          <w:lang w:eastAsia="en-US"/>
        </w:rPr>
        <w:t>(</w:t>
      </w:r>
      <w:proofErr w:type="spellStart"/>
      <w:proofErr w:type="gramEnd"/>
      <w:r w:rsidR="00C8624C" w:rsidRPr="00C8624C">
        <w:rPr>
          <w:sz w:val="22"/>
          <w:szCs w:val="22"/>
          <w:lang w:eastAsia="en-US"/>
        </w:rPr>
        <w:t>pazopanib</w:t>
      </w:r>
      <w:proofErr w:type="spellEnd"/>
      <w:r w:rsidR="00C8624C" w:rsidRPr="00C8624C">
        <w:rPr>
          <w:sz w:val="22"/>
          <w:szCs w:val="22"/>
          <w:lang w:eastAsia="en-US"/>
        </w:rPr>
        <w:t xml:space="preserve"> or </w:t>
      </w:r>
      <w:proofErr w:type="spellStart"/>
      <w:r w:rsidR="00C8624C" w:rsidRPr="00C8624C">
        <w:rPr>
          <w:sz w:val="22"/>
          <w:szCs w:val="22"/>
          <w:lang w:eastAsia="en-US"/>
        </w:rPr>
        <w:t>ar</w:t>
      </w:r>
      <w:r w:rsidR="007656DC">
        <w:rPr>
          <w:sz w:val="22"/>
          <w:szCs w:val="22"/>
          <w:lang w:eastAsia="en-US"/>
        </w:rPr>
        <w:t>mala</w:t>
      </w:r>
      <w:proofErr w:type="spellEnd"/>
      <w:r w:rsidR="007656DC">
        <w:rPr>
          <w:sz w:val="22"/>
          <w:szCs w:val="22"/>
          <w:lang w:eastAsia="en-US"/>
        </w:rPr>
        <w:t xml:space="preserve"> or gw786034 or sb710468).</w:t>
      </w:r>
      <w:proofErr w:type="spellStart"/>
      <w:r w:rsidR="007656DC">
        <w:rPr>
          <w:sz w:val="22"/>
          <w:szCs w:val="22"/>
          <w:lang w:eastAsia="en-US"/>
        </w:rPr>
        <w:t>tw</w:t>
      </w:r>
      <w:proofErr w:type="spellEnd"/>
      <w:r w:rsidR="00C8624C" w:rsidRPr="00C8624C">
        <w:rPr>
          <w:sz w:val="22"/>
          <w:szCs w:val="22"/>
          <w:lang w:eastAsia="en-US"/>
        </w:rPr>
        <w:t>.</w:t>
      </w:r>
      <w:r w:rsidR="006C1D0E">
        <w:rPr>
          <w:sz w:val="22"/>
          <w:szCs w:val="22"/>
          <w:lang w:eastAsia="en-US"/>
        </w:rPr>
        <w:t xml:space="preserve"> </w:t>
      </w:r>
    </w:p>
    <w:p w:rsidR="00616A4D" w:rsidRPr="00692AC7" w:rsidRDefault="00BE0E68" w:rsidP="00616A4D">
      <w:pPr>
        <w:rPr>
          <w:sz w:val="22"/>
          <w:szCs w:val="22"/>
          <w:lang w:eastAsia="en-US"/>
        </w:rPr>
      </w:pPr>
      <w:proofErr w:type="gramStart"/>
      <w:r>
        <w:rPr>
          <w:sz w:val="22"/>
          <w:szCs w:val="22"/>
          <w:lang w:eastAsia="en-US"/>
        </w:rPr>
        <w:t>15</w:t>
      </w:r>
      <w:r w:rsidR="00616A4D" w:rsidRPr="00692AC7">
        <w:rPr>
          <w:sz w:val="22"/>
          <w:szCs w:val="22"/>
          <w:lang w:eastAsia="en-US"/>
        </w:rPr>
        <w:t xml:space="preserve">  </w:t>
      </w:r>
      <w:r w:rsidR="00C8624C" w:rsidRPr="00C8624C">
        <w:rPr>
          <w:sz w:val="22"/>
          <w:szCs w:val="22"/>
          <w:lang w:eastAsia="en-US"/>
        </w:rPr>
        <w:t>(</w:t>
      </w:r>
      <w:proofErr w:type="gramEnd"/>
      <w:r w:rsidR="00C8624C" w:rsidRPr="00C8624C">
        <w:rPr>
          <w:sz w:val="22"/>
          <w:szCs w:val="22"/>
          <w:lang w:eastAsia="en-US"/>
        </w:rPr>
        <w:t xml:space="preserve">alpha-interferon or </w:t>
      </w:r>
      <w:proofErr w:type="spellStart"/>
      <w:r w:rsidR="00C8624C" w:rsidRPr="00C8624C">
        <w:rPr>
          <w:sz w:val="22"/>
          <w:szCs w:val="22"/>
          <w:lang w:eastAsia="en-US"/>
        </w:rPr>
        <w:t>alfaferone</w:t>
      </w:r>
      <w:proofErr w:type="spellEnd"/>
      <w:r w:rsidR="00C8624C" w:rsidRPr="00C8624C">
        <w:rPr>
          <w:sz w:val="22"/>
          <w:szCs w:val="22"/>
          <w:lang w:eastAsia="en-US"/>
        </w:rPr>
        <w:t xml:space="preserve"> or </w:t>
      </w:r>
      <w:proofErr w:type="spellStart"/>
      <w:r w:rsidR="00C8624C" w:rsidRPr="00C8624C">
        <w:rPr>
          <w:sz w:val="22"/>
          <w:szCs w:val="22"/>
          <w:lang w:eastAsia="en-US"/>
        </w:rPr>
        <w:t>alferon</w:t>
      </w:r>
      <w:proofErr w:type="spellEnd"/>
      <w:r w:rsidR="00C8624C" w:rsidRPr="00C8624C">
        <w:rPr>
          <w:sz w:val="22"/>
          <w:szCs w:val="22"/>
          <w:lang w:eastAsia="en-US"/>
        </w:rPr>
        <w:t xml:space="preserve"> or alpha </w:t>
      </w:r>
      <w:proofErr w:type="spellStart"/>
      <w:r w:rsidR="00C8624C" w:rsidRPr="00C8624C">
        <w:rPr>
          <w:sz w:val="22"/>
          <w:szCs w:val="22"/>
          <w:lang w:eastAsia="en-US"/>
        </w:rPr>
        <w:t>ferone</w:t>
      </w:r>
      <w:proofErr w:type="spellEnd"/>
      <w:r w:rsidR="00C8624C" w:rsidRPr="00C8624C">
        <w:rPr>
          <w:sz w:val="22"/>
          <w:szCs w:val="22"/>
          <w:lang w:eastAsia="en-US"/>
        </w:rPr>
        <w:t xml:space="preserve"> or </w:t>
      </w:r>
      <w:proofErr w:type="spellStart"/>
      <w:r w:rsidR="00C8624C" w:rsidRPr="00C8624C">
        <w:rPr>
          <w:sz w:val="22"/>
          <w:szCs w:val="22"/>
          <w:lang w:eastAsia="en-US"/>
        </w:rPr>
        <w:t>cilferon</w:t>
      </w:r>
      <w:proofErr w:type="spellEnd"/>
      <w:r w:rsidR="00C8624C" w:rsidRPr="00C8624C">
        <w:rPr>
          <w:sz w:val="22"/>
          <w:szCs w:val="22"/>
          <w:lang w:eastAsia="en-US"/>
        </w:rPr>
        <w:t xml:space="preserve"> or </w:t>
      </w:r>
      <w:proofErr w:type="spellStart"/>
      <w:r w:rsidR="00C8624C" w:rsidRPr="00C8624C">
        <w:rPr>
          <w:sz w:val="22"/>
          <w:szCs w:val="22"/>
          <w:lang w:eastAsia="en-US"/>
        </w:rPr>
        <w:t>ginterferon</w:t>
      </w:r>
      <w:proofErr w:type="spellEnd"/>
      <w:r w:rsidR="00C8624C" w:rsidRPr="00C8624C">
        <w:rPr>
          <w:sz w:val="22"/>
          <w:szCs w:val="22"/>
          <w:lang w:eastAsia="en-US"/>
        </w:rPr>
        <w:t xml:space="preserve"> or interferon-alpha or </w:t>
      </w:r>
      <w:proofErr w:type="spellStart"/>
      <w:r w:rsidR="00C8624C" w:rsidRPr="00C8624C">
        <w:rPr>
          <w:sz w:val="22"/>
          <w:szCs w:val="22"/>
          <w:lang w:eastAsia="en-US"/>
        </w:rPr>
        <w:t>introma</w:t>
      </w:r>
      <w:proofErr w:type="spellEnd"/>
      <w:r w:rsidR="00C8624C" w:rsidRPr="00C8624C">
        <w:rPr>
          <w:sz w:val="22"/>
          <w:szCs w:val="22"/>
          <w:lang w:eastAsia="en-US"/>
        </w:rPr>
        <w:t xml:space="preserve"> or </w:t>
      </w:r>
      <w:proofErr w:type="spellStart"/>
      <w:r w:rsidR="00C8624C" w:rsidRPr="00C8624C">
        <w:rPr>
          <w:sz w:val="22"/>
          <w:szCs w:val="22"/>
          <w:lang w:eastAsia="en-US"/>
        </w:rPr>
        <w:t>kemron</w:t>
      </w:r>
      <w:proofErr w:type="spellEnd"/>
      <w:r w:rsidR="00C8624C" w:rsidRPr="00C8624C">
        <w:rPr>
          <w:sz w:val="22"/>
          <w:szCs w:val="22"/>
          <w:lang w:eastAsia="en-US"/>
        </w:rPr>
        <w:t xml:space="preserve"> or </w:t>
      </w:r>
      <w:proofErr w:type="spellStart"/>
      <w:r w:rsidR="00C8624C" w:rsidRPr="00C8624C">
        <w:rPr>
          <w:sz w:val="22"/>
          <w:szCs w:val="22"/>
          <w:lang w:eastAsia="en-US"/>
        </w:rPr>
        <w:t>leukinferon</w:t>
      </w:r>
      <w:proofErr w:type="spellEnd"/>
      <w:r w:rsidR="00C8624C" w:rsidRPr="00C8624C">
        <w:rPr>
          <w:sz w:val="22"/>
          <w:szCs w:val="22"/>
          <w:lang w:eastAsia="en-US"/>
        </w:rPr>
        <w:t xml:space="preserve"> or </w:t>
      </w:r>
      <w:proofErr w:type="spellStart"/>
      <w:r w:rsidR="00C8624C" w:rsidRPr="00C8624C">
        <w:rPr>
          <w:sz w:val="22"/>
          <w:szCs w:val="22"/>
          <w:lang w:eastAsia="en-US"/>
        </w:rPr>
        <w:t>leukinferron</w:t>
      </w:r>
      <w:proofErr w:type="spellEnd"/>
      <w:r w:rsidR="00C8624C" w:rsidRPr="00C8624C">
        <w:rPr>
          <w:sz w:val="22"/>
          <w:szCs w:val="22"/>
          <w:lang w:eastAsia="en-US"/>
        </w:rPr>
        <w:t xml:space="preserve"> or leukocyte interferon or </w:t>
      </w:r>
      <w:proofErr w:type="spellStart"/>
      <w:r w:rsidR="00C8624C" w:rsidRPr="00C8624C">
        <w:rPr>
          <w:sz w:val="22"/>
          <w:szCs w:val="22"/>
          <w:lang w:eastAsia="en-US"/>
        </w:rPr>
        <w:t>refecon</w:t>
      </w:r>
      <w:proofErr w:type="spellEnd"/>
      <w:r w:rsidR="00C8624C" w:rsidRPr="00C8624C">
        <w:rPr>
          <w:sz w:val="22"/>
          <w:szCs w:val="22"/>
          <w:lang w:eastAsia="en-US"/>
        </w:rPr>
        <w:t xml:space="preserve"> a or </w:t>
      </w:r>
      <w:proofErr w:type="spellStart"/>
      <w:r w:rsidR="00C8624C" w:rsidRPr="00C8624C">
        <w:rPr>
          <w:sz w:val="22"/>
          <w:szCs w:val="22"/>
          <w:lang w:eastAsia="en-US"/>
        </w:rPr>
        <w:t>referon</w:t>
      </w:r>
      <w:proofErr w:type="spellEnd"/>
      <w:r w:rsidR="00C8624C" w:rsidRPr="00C8624C">
        <w:rPr>
          <w:sz w:val="22"/>
          <w:szCs w:val="22"/>
          <w:lang w:eastAsia="en-US"/>
        </w:rPr>
        <w:t xml:space="preserve"> a3 or </w:t>
      </w:r>
      <w:proofErr w:type="spellStart"/>
      <w:r w:rsidR="00C8624C" w:rsidRPr="00C8624C">
        <w:rPr>
          <w:sz w:val="22"/>
          <w:szCs w:val="22"/>
          <w:lang w:eastAsia="en-US"/>
        </w:rPr>
        <w:t>sumiferon</w:t>
      </w:r>
      <w:proofErr w:type="spellEnd"/>
      <w:r w:rsidR="00C8624C" w:rsidRPr="00C8624C">
        <w:rPr>
          <w:sz w:val="22"/>
          <w:szCs w:val="22"/>
          <w:lang w:eastAsia="en-US"/>
        </w:rPr>
        <w:t xml:space="preserve"> or </w:t>
      </w:r>
      <w:proofErr w:type="spellStart"/>
      <w:r w:rsidR="00C8624C" w:rsidRPr="00C8624C">
        <w:rPr>
          <w:sz w:val="22"/>
          <w:szCs w:val="22"/>
          <w:lang w:eastAsia="en-US"/>
        </w:rPr>
        <w:t>sumipheron</w:t>
      </w:r>
      <w:proofErr w:type="spellEnd"/>
      <w:r w:rsidR="00C8624C" w:rsidRPr="00C8624C">
        <w:rPr>
          <w:sz w:val="22"/>
          <w:szCs w:val="22"/>
          <w:lang w:eastAsia="en-US"/>
        </w:rPr>
        <w:t xml:space="preserve"> or </w:t>
      </w:r>
      <w:proofErr w:type="spellStart"/>
      <w:r w:rsidR="00C8624C" w:rsidRPr="00C8624C">
        <w:rPr>
          <w:sz w:val="22"/>
          <w:szCs w:val="22"/>
          <w:lang w:eastAsia="en-US"/>
        </w:rPr>
        <w:t>veldona</w:t>
      </w:r>
      <w:proofErr w:type="spellEnd"/>
      <w:r w:rsidR="00C8624C" w:rsidRPr="00C8624C">
        <w:rPr>
          <w:sz w:val="22"/>
          <w:szCs w:val="22"/>
          <w:lang w:eastAsia="en-US"/>
        </w:rPr>
        <w:t>).</w:t>
      </w:r>
      <w:proofErr w:type="spellStart"/>
      <w:r w:rsidR="00C8624C" w:rsidRPr="00C8624C">
        <w:rPr>
          <w:sz w:val="22"/>
          <w:szCs w:val="22"/>
          <w:lang w:eastAsia="en-US"/>
        </w:rPr>
        <w:t>tw</w:t>
      </w:r>
      <w:proofErr w:type="spellEnd"/>
      <w:r w:rsidR="00C8624C" w:rsidRPr="00C8624C">
        <w:rPr>
          <w:sz w:val="22"/>
          <w:szCs w:val="22"/>
          <w:lang w:eastAsia="en-US"/>
        </w:rPr>
        <w:t>.</w:t>
      </w:r>
      <w:r w:rsidR="006C1D0E">
        <w:rPr>
          <w:sz w:val="22"/>
          <w:szCs w:val="22"/>
          <w:lang w:eastAsia="en-US"/>
        </w:rPr>
        <w:t xml:space="preserve"> </w:t>
      </w:r>
    </w:p>
    <w:p w:rsidR="00616A4D" w:rsidRPr="00692AC7" w:rsidRDefault="00BE0E68" w:rsidP="00616A4D">
      <w:pPr>
        <w:rPr>
          <w:sz w:val="22"/>
          <w:szCs w:val="22"/>
          <w:lang w:eastAsia="en-US"/>
        </w:rPr>
      </w:pPr>
      <w:proofErr w:type="gramStart"/>
      <w:r>
        <w:rPr>
          <w:sz w:val="22"/>
          <w:szCs w:val="22"/>
          <w:lang w:eastAsia="en-US"/>
        </w:rPr>
        <w:t>16</w:t>
      </w:r>
      <w:r w:rsidR="00616A4D" w:rsidRPr="00692AC7">
        <w:rPr>
          <w:sz w:val="22"/>
          <w:szCs w:val="22"/>
          <w:lang w:eastAsia="en-US"/>
        </w:rPr>
        <w:t xml:space="preserve">  </w:t>
      </w:r>
      <w:r w:rsidR="00C8624C" w:rsidRPr="00C8624C">
        <w:rPr>
          <w:sz w:val="22"/>
          <w:szCs w:val="22"/>
          <w:lang w:eastAsia="en-US"/>
        </w:rPr>
        <w:t>(</w:t>
      </w:r>
      <w:proofErr w:type="spellStart"/>
      <w:proofErr w:type="gramEnd"/>
      <w:r w:rsidR="00C8624C" w:rsidRPr="00C8624C">
        <w:rPr>
          <w:sz w:val="22"/>
          <w:szCs w:val="22"/>
          <w:lang w:eastAsia="en-US"/>
        </w:rPr>
        <w:t>biotest</w:t>
      </w:r>
      <w:proofErr w:type="spellEnd"/>
      <w:r w:rsidR="00C8624C" w:rsidRPr="00C8624C">
        <w:rPr>
          <w:sz w:val="22"/>
          <w:szCs w:val="22"/>
          <w:lang w:eastAsia="en-US"/>
        </w:rPr>
        <w:t xml:space="preserve"> or </w:t>
      </w:r>
      <w:proofErr w:type="spellStart"/>
      <w:r w:rsidR="00C8624C" w:rsidRPr="00C8624C">
        <w:rPr>
          <w:sz w:val="22"/>
          <w:szCs w:val="22"/>
          <w:lang w:eastAsia="en-US"/>
        </w:rPr>
        <w:t>bioleukin</w:t>
      </w:r>
      <w:proofErr w:type="spellEnd"/>
      <w:r w:rsidR="00C8624C" w:rsidRPr="00C8624C">
        <w:rPr>
          <w:sz w:val="22"/>
          <w:szCs w:val="22"/>
          <w:lang w:eastAsia="en-US"/>
        </w:rPr>
        <w:t xml:space="preserve"> or interleukin-ii or interleukin-2 or il-2 or il2</w:t>
      </w:r>
      <w:r w:rsidR="007656DC">
        <w:rPr>
          <w:sz w:val="22"/>
          <w:szCs w:val="22"/>
          <w:lang w:eastAsia="en-US"/>
        </w:rPr>
        <w:t xml:space="preserve"> or ro-236019 or </w:t>
      </w:r>
      <w:proofErr w:type="spellStart"/>
      <w:r w:rsidR="007656DC">
        <w:rPr>
          <w:sz w:val="22"/>
          <w:szCs w:val="22"/>
          <w:lang w:eastAsia="en-US"/>
        </w:rPr>
        <w:t>tcgf</w:t>
      </w:r>
      <w:proofErr w:type="spellEnd"/>
      <w:r w:rsidR="007656DC">
        <w:rPr>
          <w:sz w:val="22"/>
          <w:szCs w:val="22"/>
          <w:lang w:eastAsia="en-US"/>
        </w:rPr>
        <w:t xml:space="preserve"> or </w:t>
      </w:r>
      <w:proofErr w:type="spellStart"/>
      <w:r w:rsidR="007656DC">
        <w:rPr>
          <w:sz w:val="22"/>
          <w:szCs w:val="22"/>
          <w:lang w:eastAsia="en-US"/>
        </w:rPr>
        <w:t>tsf</w:t>
      </w:r>
      <w:proofErr w:type="spellEnd"/>
      <w:r w:rsidR="007656DC">
        <w:rPr>
          <w:sz w:val="22"/>
          <w:szCs w:val="22"/>
          <w:lang w:eastAsia="en-US"/>
        </w:rPr>
        <w:t>).</w:t>
      </w:r>
      <w:proofErr w:type="spellStart"/>
      <w:r w:rsidR="007656DC">
        <w:rPr>
          <w:sz w:val="22"/>
          <w:szCs w:val="22"/>
          <w:lang w:eastAsia="en-US"/>
        </w:rPr>
        <w:t>tw</w:t>
      </w:r>
      <w:proofErr w:type="spellEnd"/>
      <w:r w:rsidR="00C8624C" w:rsidRPr="00C8624C">
        <w:rPr>
          <w:sz w:val="22"/>
          <w:szCs w:val="22"/>
          <w:lang w:eastAsia="en-US"/>
        </w:rPr>
        <w:t xml:space="preserve">. </w:t>
      </w:r>
    </w:p>
    <w:p w:rsidR="00616A4D" w:rsidRPr="00692AC7" w:rsidRDefault="00BE0E68" w:rsidP="00616A4D">
      <w:pPr>
        <w:rPr>
          <w:sz w:val="22"/>
          <w:szCs w:val="22"/>
          <w:lang w:eastAsia="en-US"/>
        </w:rPr>
      </w:pPr>
      <w:proofErr w:type="gramStart"/>
      <w:r>
        <w:rPr>
          <w:sz w:val="22"/>
          <w:szCs w:val="22"/>
          <w:lang w:eastAsia="en-US"/>
        </w:rPr>
        <w:t>17</w:t>
      </w:r>
      <w:r w:rsidR="00616A4D" w:rsidRPr="00692AC7">
        <w:rPr>
          <w:sz w:val="22"/>
          <w:szCs w:val="22"/>
          <w:lang w:eastAsia="en-US"/>
        </w:rPr>
        <w:t xml:space="preserve">  </w:t>
      </w:r>
      <w:r w:rsidR="007656DC">
        <w:rPr>
          <w:sz w:val="22"/>
          <w:szCs w:val="22"/>
          <w:lang w:eastAsia="en-US"/>
        </w:rPr>
        <w:t>interleukin</w:t>
      </w:r>
      <w:proofErr w:type="gramEnd"/>
      <w:r w:rsidR="007656DC">
        <w:rPr>
          <w:sz w:val="22"/>
          <w:szCs w:val="22"/>
          <w:lang w:eastAsia="en-US"/>
        </w:rPr>
        <w:t>$.tw</w:t>
      </w:r>
      <w:r w:rsidR="00C8624C" w:rsidRPr="00C8624C">
        <w:rPr>
          <w:sz w:val="22"/>
          <w:szCs w:val="22"/>
          <w:lang w:eastAsia="en-US"/>
        </w:rPr>
        <w:t xml:space="preserve">. </w:t>
      </w:r>
    </w:p>
    <w:p w:rsidR="00616A4D" w:rsidRPr="00692AC7" w:rsidRDefault="00BE0E68" w:rsidP="00616A4D">
      <w:pPr>
        <w:rPr>
          <w:sz w:val="22"/>
          <w:szCs w:val="22"/>
          <w:lang w:eastAsia="en-US"/>
        </w:rPr>
      </w:pPr>
      <w:proofErr w:type="gramStart"/>
      <w:r>
        <w:rPr>
          <w:sz w:val="22"/>
          <w:szCs w:val="22"/>
          <w:lang w:eastAsia="en-US"/>
        </w:rPr>
        <w:t>18</w:t>
      </w:r>
      <w:r w:rsidR="00616A4D" w:rsidRPr="00692AC7">
        <w:rPr>
          <w:sz w:val="22"/>
          <w:szCs w:val="22"/>
          <w:lang w:eastAsia="en-US"/>
        </w:rPr>
        <w:t xml:space="preserve">  </w:t>
      </w:r>
      <w:r w:rsidR="00C8624C" w:rsidRPr="00C8624C">
        <w:rPr>
          <w:sz w:val="22"/>
          <w:szCs w:val="22"/>
          <w:lang w:eastAsia="en-US"/>
        </w:rPr>
        <w:t>(</w:t>
      </w:r>
      <w:proofErr w:type="spellStart"/>
      <w:proofErr w:type="gramEnd"/>
      <w:r w:rsidR="00C8624C" w:rsidRPr="00C8624C">
        <w:rPr>
          <w:sz w:val="22"/>
          <w:szCs w:val="22"/>
          <w:lang w:eastAsia="en-US"/>
        </w:rPr>
        <w:t>sunitinib</w:t>
      </w:r>
      <w:proofErr w:type="spellEnd"/>
      <w:r w:rsidR="00C8624C" w:rsidRPr="00C8624C">
        <w:rPr>
          <w:sz w:val="22"/>
          <w:szCs w:val="22"/>
          <w:lang w:eastAsia="en-US"/>
        </w:rPr>
        <w:t xml:space="preserve"> or </w:t>
      </w:r>
      <w:proofErr w:type="spellStart"/>
      <w:r w:rsidR="00C8624C" w:rsidRPr="00C8624C">
        <w:rPr>
          <w:sz w:val="22"/>
          <w:szCs w:val="22"/>
          <w:lang w:eastAsia="en-US"/>
        </w:rPr>
        <w:t>sutent</w:t>
      </w:r>
      <w:proofErr w:type="spellEnd"/>
      <w:r w:rsidR="00C8624C" w:rsidRPr="00C8624C">
        <w:rPr>
          <w:sz w:val="22"/>
          <w:szCs w:val="22"/>
          <w:lang w:eastAsia="en-US"/>
        </w:rPr>
        <w:t xml:space="preserve"> or </w:t>
      </w:r>
      <w:proofErr w:type="spellStart"/>
      <w:r w:rsidR="00C8624C" w:rsidRPr="00C8624C">
        <w:rPr>
          <w:sz w:val="22"/>
          <w:szCs w:val="22"/>
          <w:lang w:eastAsia="en-US"/>
        </w:rPr>
        <w:t>pha</w:t>
      </w:r>
      <w:proofErr w:type="spellEnd"/>
      <w:r w:rsidR="00C8624C" w:rsidRPr="00C8624C">
        <w:rPr>
          <w:sz w:val="22"/>
          <w:szCs w:val="22"/>
          <w:lang w:eastAsia="en-US"/>
        </w:rPr>
        <w:t xml:space="preserve"> 2909040ad or pha2909040ad or "</w:t>
      </w:r>
      <w:proofErr w:type="spellStart"/>
      <w:r w:rsidR="00C8624C" w:rsidRPr="00C8624C">
        <w:rPr>
          <w:sz w:val="22"/>
          <w:szCs w:val="22"/>
          <w:lang w:eastAsia="en-US"/>
        </w:rPr>
        <w:t>su</w:t>
      </w:r>
      <w:proofErr w:type="spellEnd"/>
      <w:r w:rsidR="00C8624C" w:rsidRPr="00C8624C">
        <w:rPr>
          <w:sz w:val="22"/>
          <w:szCs w:val="22"/>
          <w:lang w:eastAsia="en-US"/>
        </w:rPr>
        <w:t xml:space="preserve"> 010398" or "</w:t>
      </w:r>
      <w:proofErr w:type="spellStart"/>
      <w:r w:rsidR="00C8624C" w:rsidRPr="00C8624C">
        <w:rPr>
          <w:sz w:val="22"/>
          <w:szCs w:val="22"/>
          <w:lang w:eastAsia="en-US"/>
        </w:rPr>
        <w:t>su</w:t>
      </w:r>
      <w:proofErr w:type="spellEnd"/>
      <w:r w:rsidR="00C8624C" w:rsidRPr="00C8624C">
        <w:rPr>
          <w:sz w:val="22"/>
          <w:szCs w:val="22"/>
          <w:lang w:eastAsia="en-US"/>
        </w:rPr>
        <w:t xml:space="preserve"> 011248" or </w:t>
      </w:r>
      <w:proofErr w:type="spellStart"/>
      <w:r w:rsidR="00C8624C" w:rsidRPr="00C8624C">
        <w:rPr>
          <w:sz w:val="22"/>
          <w:szCs w:val="22"/>
          <w:lang w:eastAsia="en-US"/>
        </w:rPr>
        <w:t>su</w:t>
      </w:r>
      <w:proofErr w:type="spellEnd"/>
      <w:r w:rsidR="00C8624C" w:rsidRPr="00C8624C">
        <w:rPr>
          <w:sz w:val="22"/>
          <w:szCs w:val="22"/>
          <w:lang w:eastAsia="en-US"/>
        </w:rPr>
        <w:t xml:space="preserve"> 10398 or su10398 or </w:t>
      </w:r>
      <w:proofErr w:type="spellStart"/>
      <w:r w:rsidR="00C8624C" w:rsidRPr="00C8624C">
        <w:rPr>
          <w:sz w:val="22"/>
          <w:szCs w:val="22"/>
          <w:lang w:eastAsia="en-US"/>
        </w:rPr>
        <w:t>su</w:t>
      </w:r>
      <w:proofErr w:type="spellEnd"/>
      <w:r w:rsidR="00C8624C" w:rsidRPr="00C8624C">
        <w:rPr>
          <w:sz w:val="22"/>
          <w:szCs w:val="22"/>
          <w:lang w:eastAsia="en-US"/>
        </w:rPr>
        <w:t xml:space="preserve"> 11248 or su0</w:t>
      </w:r>
      <w:r w:rsidR="007656DC">
        <w:rPr>
          <w:sz w:val="22"/>
          <w:szCs w:val="22"/>
          <w:lang w:eastAsia="en-US"/>
        </w:rPr>
        <w:t>10398 or su011248 or su11248).</w:t>
      </w:r>
      <w:proofErr w:type="spellStart"/>
      <w:r w:rsidR="007656DC">
        <w:rPr>
          <w:sz w:val="22"/>
          <w:szCs w:val="22"/>
          <w:lang w:eastAsia="en-US"/>
        </w:rPr>
        <w:t>tw</w:t>
      </w:r>
      <w:proofErr w:type="spellEnd"/>
      <w:r w:rsidR="00C8624C" w:rsidRPr="00C8624C">
        <w:rPr>
          <w:sz w:val="22"/>
          <w:szCs w:val="22"/>
          <w:lang w:eastAsia="en-US"/>
        </w:rPr>
        <w:t xml:space="preserve">. </w:t>
      </w:r>
    </w:p>
    <w:p w:rsidR="00616A4D" w:rsidRPr="00692AC7" w:rsidRDefault="00BE0E68" w:rsidP="00616A4D">
      <w:pPr>
        <w:rPr>
          <w:sz w:val="22"/>
          <w:szCs w:val="22"/>
          <w:lang w:eastAsia="en-US"/>
        </w:rPr>
      </w:pPr>
      <w:proofErr w:type="gramStart"/>
      <w:r>
        <w:rPr>
          <w:sz w:val="22"/>
          <w:szCs w:val="22"/>
          <w:lang w:eastAsia="en-US"/>
        </w:rPr>
        <w:t>19</w:t>
      </w:r>
      <w:r w:rsidR="00616A4D" w:rsidRPr="00692AC7">
        <w:rPr>
          <w:sz w:val="22"/>
          <w:szCs w:val="22"/>
          <w:lang w:eastAsia="en-US"/>
        </w:rPr>
        <w:t xml:space="preserve">  </w:t>
      </w:r>
      <w:r w:rsidR="00C8624C" w:rsidRPr="00C8624C">
        <w:rPr>
          <w:sz w:val="22"/>
          <w:szCs w:val="22"/>
          <w:lang w:eastAsia="en-US"/>
        </w:rPr>
        <w:t>(</w:t>
      </w:r>
      <w:proofErr w:type="spellStart"/>
      <w:proofErr w:type="gramEnd"/>
      <w:r w:rsidR="00C8624C" w:rsidRPr="00C8624C">
        <w:rPr>
          <w:sz w:val="22"/>
          <w:szCs w:val="22"/>
          <w:lang w:eastAsia="en-US"/>
        </w:rPr>
        <w:t>sorafenib</w:t>
      </w:r>
      <w:proofErr w:type="spellEnd"/>
      <w:r w:rsidR="00C8624C" w:rsidRPr="00C8624C">
        <w:rPr>
          <w:sz w:val="22"/>
          <w:szCs w:val="22"/>
          <w:lang w:eastAsia="en-US"/>
        </w:rPr>
        <w:t xml:space="preserve"> bay 43-9006 or bay 439006 or bay43-</w:t>
      </w:r>
      <w:r w:rsidR="007656DC">
        <w:rPr>
          <w:sz w:val="22"/>
          <w:szCs w:val="22"/>
          <w:lang w:eastAsia="en-US"/>
        </w:rPr>
        <w:t xml:space="preserve">9006 or bay439006 or </w:t>
      </w:r>
      <w:proofErr w:type="spellStart"/>
      <w:r w:rsidR="007656DC">
        <w:rPr>
          <w:sz w:val="22"/>
          <w:szCs w:val="22"/>
          <w:lang w:eastAsia="en-US"/>
        </w:rPr>
        <w:t>nexavar</w:t>
      </w:r>
      <w:proofErr w:type="spellEnd"/>
      <w:r w:rsidR="007656DC">
        <w:rPr>
          <w:sz w:val="22"/>
          <w:szCs w:val="22"/>
          <w:lang w:eastAsia="en-US"/>
        </w:rPr>
        <w:t>).</w:t>
      </w:r>
      <w:proofErr w:type="spellStart"/>
      <w:r w:rsidR="007656DC">
        <w:rPr>
          <w:sz w:val="22"/>
          <w:szCs w:val="22"/>
          <w:lang w:eastAsia="en-US"/>
        </w:rPr>
        <w:t>tw</w:t>
      </w:r>
      <w:proofErr w:type="spellEnd"/>
      <w:r w:rsidR="00C8624C" w:rsidRPr="00C8624C">
        <w:rPr>
          <w:sz w:val="22"/>
          <w:szCs w:val="22"/>
          <w:lang w:eastAsia="en-US"/>
        </w:rPr>
        <w:t>.</w:t>
      </w:r>
      <w:r w:rsidR="006C1D0E">
        <w:rPr>
          <w:sz w:val="22"/>
          <w:szCs w:val="22"/>
          <w:lang w:eastAsia="en-US"/>
        </w:rPr>
        <w:t xml:space="preserve"> </w:t>
      </w:r>
    </w:p>
    <w:p w:rsidR="00616A4D" w:rsidRPr="00692AC7" w:rsidRDefault="00BE0E68" w:rsidP="00616A4D">
      <w:pPr>
        <w:rPr>
          <w:sz w:val="22"/>
          <w:szCs w:val="22"/>
          <w:lang w:eastAsia="en-US"/>
        </w:rPr>
      </w:pPr>
      <w:proofErr w:type="gramStart"/>
      <w:r>
        <w:rPr>
          <w:sz w:val="22"/>
          <w:szCs w:val="22"/>
          <w:lang w:eastAsia="en-US"/>
        </w:rPr>
        <w:t>20</w:t>
      </w:r>
      <w:r w:rsidR="00AA1C92">
        <w:rPr>
          <w:sz w:val="22"/>
          <w:szCs w:val="22"/>
          <w:lang w:eastAsia="en-US"/>
        </w:rPr>
        <w:t xml:space="preserve">  </w:t>
      </w:r>
      <w:r w:rsidR="00C8624C" w:rsidRPr="00C8624C">
        <w:rPr>
          <w:sz w:val="22"/>
          <w:szCs w:val="22"/>
          <w:lang w:eastAsia="en-US"/>
        </w:rPr>
        <w:t>(</w:t>
      </w:r>
      <w:proofErr w:type="spellStart"/>
      <w:proofErr w:type="gramEnd"/>
      <w:r w:rsidR="00C8624C" w:rsidRPr="00C8624C">
        <w:rPr>
          <w:sz w:val="22"/>
          <w:szCs w:val="22"/>
          <w:lang w:eastAsia="en-US"/>
        </w:rPr>
        <w:t>everolimus</w:t>
      </w:r>
      <w:proofErr w:type="spellEnd"/>
      <w:r w:rsidR="00C8624C" w:rsidRPr="00C8624C">
        <w:rPr>
          <w:sz w:val="22"/>
          <w:szCs w:val="22"/>
          <w:lang w:eastAsia="en-US"/>
        </w:rPr>
        <w:t xml:space="preserve"> or </w:t>
      </w:r>
      <w:proofErr w:type="spellStart"/>
      <w:r w:rsidR="00C8624C" w:rsidRPr="00C8624C">
        <w:rPr>
          <w:sz w:val="22"/>
          <w:szCs w:val="22"/>
          <w:lang w:eastAsia="en-US"/>
        </w:rPr>
        <w:t>afinitor</w:t>
      </w:r>
      <w:proofErr w:type="spellEnd"/>
      <w:r w:rsidR="00C8624C" w:rsidRPr="00C8624C">
        <w:rPr>
          <w:sz w:val="22"/>
          <w:szCs w:val="22"/>
          <w:lang w:eastAsia="en-US"/>
        </w:rPr>
        <w:t xml:space="preserve"> or nvp-rad-001 or rad-001 or rad 001a or rad001 or rad001a or </w:t>
      </w:r>
      <w:proofErr w:type="spellStart"/>
      <w:r w:rsidR="00C8624C" w:rsidRPr="00C8624C">
        <w:rPr>
          <w:sz w:val="22"/>
          <w:szCs w:val="22"/>
          <w:lang w:eastAsia="en-US"/>
        </w:rPr>
        <w:t>sd</w:t>
      </w:r>
      <w:r w:rsidR="007656DC">
        <w:rPr>
          <w:sz w:val="22"/>
          <w:szCs w:val="22"/>
          <w:lang w:eastAsia="en-US"/>
        </w:rPr>
        <w:t>z</w:t>
      </w:r>
      <w:proofErr w:type="spellEnd"/>
      <w:r w:rsidR="007656DC">
        <w:rPr>
          <w:sz w:val="22"/>
          <w:szCs w:val="22"/>
          <w:lang w:eastAsia="en-US"/>
        </w:rPr>
        <w:t xml:space="preserve"> rad).</w:t>
      </w:r>
      <w:proofErr w:type="spellStart"/>
      <w:r w:rsidR="007656DC">
        <w:rPr>
          <w:sz w:val="22"/>
          <w:szCs w:val="22"/>
          <w:lang w:eastAsia="en-US"/>
        </w:rPr>
        <w:t>tw</w:t>
      </w:r>
      <w:proofErr w:type="spellEnd"/>
      <w:r w:rsidR="00C8624C" w:rsidRPr="00C8624C">
        <w:rPr>
          <w:sz w:val="22"/>
          <w:szCs w:val="22"/>
          <w:lang w:eastAsia="en-US"/>
        </w:rPr>
        <w:t>.</w:t>
      </w:r>
      <w:r w:rsidR="006C1D0E">
        <w:rPr>
          <w:sz w:val="22"/>
          <w:szCs w:val="22"/>
          <w:lang w:eastAsia="en-US"/>
        </w:rPr>
        <w:t xml:space="preserve"> </w:t>
      </w:r>
    </w:p>
    <w:p w:rsidR="00616A4D" w:rsidRPr="00692AC7" w:rsidRDefault="00BE0E68" w:rsidP="00616A4D">
      <w:pPr>
        <w:rPr>
          <w:sz w:val="22"/>
          <w:szCs w:val="22"/>
          <w:lang w:eastAsia="en-US"/>
        </w:rPr>
      </w:pPr>
      <w:proofErr w:type="gramStart"/>
      <w:r>
        <w:rPr>
          <w:sz w:val="22"/>
          <w:szCs w:val="22"/>
          <w:lang w:eastAsia="en-US"/>
        </w:rPr>
        <w:t>21</w:t>
      </w:r>
      <w:r w:rsidR="00AA1C92">
        <w:rPr>
          <w:sz w:val="22"/>
          <w:szCs w:val="22"/>
          <w:lang w:eastAsia="en-US"/>
        </w:rPr>
        <w:t xml:space="preserve">  </w:t>
      </w:r>
      <w:r w:rsidR="00C8624C" w:rsidRPr="00C8624C">
        <w:rPr>
          <w:sz w:val="22"/>
          <w:szCs w:val="22"/>
          <w:lang w:eastAsia="en-US"/>
        </w:rPr>
        <w:t>(</w:t>
      </w:r>
      <w:proofErr w:type="spellStart"/>
      <w:proofErr w:type="gramEnd"/>
      <w:r w:rsidR="00C8624C" w:rsidRPr="00C8624C">
        <w:rPr>
          <w:sz w:val="22"/>
          <w:szCs w:val="22"/>
          <w:lang w:eastAsia="en-US"/>
        </w:rPr>
        <w:t>temsirolimus</w:t>
      </w:r>
      <w:proofErr w:type="spellEnd"/>
      <w:r w:rsidR="00C8624C" w:rsidRPr="00C8624C">
        <w:rPr>
          <w:sz w:val="22"/>
          <w:szCs w:val="22"/>
          <w:lang w:eastAsia="en-US"/>
        </w:rPr>
        <w:t xml:space="preserve"> or cci-779 or cell-cycle-inhibitor-779 or </w:t>
      </w:r>
      <w:proofErr w:type="spellStart"/>
      <w:r w:rsidR="00C8624C" w:rsidRPr="00C8624C">
        <w:rPr>
          <w:sz w:val="22"/>
          <w:szCs w:val="22"/>
          <w:lang w:eastAsia="en-US"/>
        </w:rPr>
        <w:t>nsc</w:t>
      </w:r>
      <w:proofErr w:type="spellEnd"/>
      <w:r w:rsidR="00C8624C" w:rsidRPr="00C8624C">
        <w:rPr>
          <w:sz w:val="22"/>
          <w:szCs w:val="22"/>
          <w:lang w:eastAsia="en-US"/>
        </w:rPr>
        <w:t xml:space="preserve"> 68</w:t>
      </w:r>
      <w:r w:rsidR="007656DC">
        <w:rPr>
          <w:sz w:val="22"/>
          <w:szCs w:val="22"/>
          <w:lang w:eastAsia="en-US"/>
        </w:rPr>
        <w:t xml:space="preserve">3864 or nsc683864 or </w:t>
      </w:r>
      <w:proofErr w:type="spellStart"/>
      <w:r w:rsidR="007656DC">
        <w:rPr>
          <w:sz w:val="22"/>
          <w:szCs w:val="22"/>
          <w:lang w:eastAsia="en-US"/>
        </w:rPr>
        <w:t>torisel</w:t>
      </w:r>
      <w:proofErr w:type="spellEnd"/>
      <w:r w:rsidR="007656DC">
        <w:rPr>
          <w:sz w:val="22"/>
          <w:szCs w:val="22"/>
          <w:lang w:eastAsia="en-US"/>
        </w:rPr>
        <w:t>).</w:t>
      </w:r>
      <w:proofErr w:type="spellStart"/>
      <w:r w:rsidR="007656DC">
        <w:rPr>
          <w:sz w:val="22"/>
          <w:szCs w:val="22"/>
          <w:lang w:eastAsia="en-US"/>
        </w:rPr>
        <w:t>tw</w:t>
      </w:r>
      <w:proofErr w:type="spellEnd"/>
      <w:r w:rsidR="00C8624C" w:rsidRPr="00C8624C">
        <w:rPr>
          <w:sz w:val="22"/>
          <w:szCs w:val="22"/>
          <w:lang w:eastAsia="en-US"/>
        </w:rPr>
        <w:t>.</w:t>
      </w:r>
      <w:r w:rsidR="006C1D0E">
        <w:rPr>
          <w:sz w:val="22"/>
          <w:szCs w:val="22"/>
          <w:lang w:eastAsia="en-US"/>
        </w:rPr>
        <w:t xml:space="preserve"> </w:t>
      </w:r>
    </w:p>
    <w:p w:rsidR="00616A4D" w:rsidRPr="00692AC7" w:rsidRDefault="00AA1C92" w:rsidP="00616A4D">
      <w:pPr>
        <w:rPr>
          <w:sz w:val="22"/>
          <w:szCs w:val="22"/>
          <w:lang w:eastAsia="en-US"/>
        </w:rPr>
      </w:pPr>
      <w:proofErr w:type="gramStart"/>
      <w:r>
        <w:rPr>
          <w:sz w:val="22"/>
          <w:szCs w:val="22"/>
          <w:lang w:eastAsia="en-US"/>
        </w:rPr>
        <w:t>2</w:t>
      </w:r>
      <w:r w:rsidR="00BE0E68">
        <w:rPr>
          <w:sz w:val="22"/>
          <w:szCs w:val="22"/>
          <w:lang w:eastAsia="en-US"/>
        </w:rPr>
        <w:t>2</w:t>
      </w:r>
      <w:r>
        <w:rPr>
          <w:sz w:val="22"/>
          <w:szCs w:val="22"/>
          <w:lang w:eastAsia="en-US"/>
        </w:rPr>
        <w:t xml:space="preserve">  </w:t>
      </w:r>
      <w:r w:rsidR="00C8624C" w:rsidRPr="00C8624C">
        <w:rPr>
          <w:sz w:val="22"/>
          <w:szCs w:val="22"/>
          <w:lang w:eastAsia="en-US"/>
        </w:rPr>
        <w:t>(</w:t>
      </w:r>
      <w:proofErr w:type="gramEnd"/>
      <w:r w:rsidR="00C8624C" w:rsidRPr="00C8624C">
        <w:rPr>
          <w:sz w:val="22"/>
          <w:szCs w:val="22"/>
          <w:lang w:eastAsia="en-US"/>
        </w:rPr>
        <w:t xml:space="preserve">bevacizumab or </w:t>
      </w:r>
      <w:proofErr w:type="spellStart"/>
      <w:r w:rsidR="00C8624C" w:rsidRPr="00C8624C">
        <w:rPr>
          <w:sz w:val="22"/>
          <w:szCs w:val="22"/>
          <w:lang w:eastAsia="en-US"/>
        </w:rPr>
        <w:t>avastin</w:t>
      </w:r>
      <w:proofErr w:type="spellEnd"/>
      <w:r w:rsidR="00C8624C" w:rsidRPr="00C8624C">
        <w:rPr>
          <w:sz w:val="22"/>
          <w:szCs w:val="22"/>
          <w:lang w:eastAsia="en-US"/>
        </w:rPr>
        <w:t xml:space="preserve"> or </w:t>
      </w:r>
      <w:proofErr w:type="spellStart"/>
      <w:r w:rsidR="00C8624C" w:rsidRPr="00C8624C">
        <w:rPr>
          <w:sz w:val="22"/>
          <w:szCs w:val="22"/>
          <w:lang w:eastAsia="en-US"/>
        </w:rPr>
        <w:t>nsc</w:t>
      </w:r>
      <w:proofErr w:type="spellEnd"/>
      <w:r w:rsidR="00C8624C" w:rsidRPr="00C8624C">
        <w:rPr>
          <w:sz w:val="22"/>
          <w:szCs w:val="22"/>
          <w:lang w:eastAsia="en-US"/>
        </w:rPr>
        <w:t xml:space="preserve"> 704865 or nsc704865</w:t>
      </w:r>
      <w:r w:rsidR="007656DC">
        <w:rPr>
          <w:sz w:val="22"/>
          <w:szCs w:val="22"/>
          <w:lang w:eastAsia="en-US"/>
        </w:rPr>
        <w:t xml:space="preserve"> or anti-</w:t>
      </w:r>
      <w:proofErr w:type="spellStart"/>
      <w:r w:rsidR="007656DC">
        <w:rPr>
          <w:sz w:val="22"/>
          <w:szCs w:val="22"/>
          <w:lang w:eastAsia="en-US"/>
        </w:rPr>
        <w:t>vegf</w:t>
      </w:r>
      <w:proofErr w:type="spellEnd"/>
      <w:r w:rsidR="007656DC">
        <w:rPr>
          <w:sz w:val="22"/>
          <w:szCs w:val="22"/>
          <w:lang w:eastAsia="en-US"/>
        </w:rPr>
        <w:t xml:space="preserve"> or </w:t>
      </w:r>
      <w:proofErr w:type="spellStart"/>
      <w:r w:rsidR="007656DC">
        <w:rPr>
          <w:sz w:val="22"/>
          <w:szCs w:val="22"/>
          <w:lang w:eastAsia="en-US"/>
        </w:rPr>
        <w:t>rhumab-vegf</w:t>
      </w:r>
      <w:proofErr w:type="spellEnd"/>
      <w:r w:rsidR="007656DC">
        <w:rPr>
          <w:sz w:val="22"/>
          <w:szCs w:val="22"/>
          <w:lang w:eastAsia="en-US"/>
        </w:rPr>
        <w:t>).</w:t>
      </w:r>
      <w:proofErr w:type="spellStart"/>
      <w:r w:rsidR="007656DC">
        <w:rPr>
          <w:sz w:val="22"/>
          <w:szCs w:val="22"/>
          <w:lang w:eastAsia="en-US"/>
        </w:rPr>
        <w:t>tw</w:t>
      </w:r>
      <w:proofErr w:type="spellEnd"/>
      <w:r w:rsidR="00C8624C" w:rsidRPr="00C8624C">
        <w:rPr>
          <w:sz w:val="22"/>
          <w:szCs w:val="22"/>
          <w:lang w:eastAsia="en-US"/>
        </w:rPr>
        <w:t>.</w:t>
      </w:r>
      <w:r w:rsidR="006C1D0E">
        <w:rPr>
          <w:sz w:val="22"/>
          <w:szCs w:val="22"/>
          <w:lang w:eastAsia="en-US"/>
        </w:rPr>
        <w:t xml:space="preserve"> </w:t>
      </w:r>
    </w:p>
    <w:p w:rsidR="00C8624C" w:rsidRDefault="00BE0E68" w:rsidP="00616A4D">
      <w:pPr>
        <w:rPr>
          <w:sz w:val="22"/>
          <w:szCs w:val="22"/>
          <w:lang w:eastAsia="en-US"/>
        </w:rPr>
      </w:pPr>
      <w:proofErr w:type="gramStart"/>
      <w:r>
        <w:rPr>
          <w:sz w:val="22"/>
          <w:szCs w:val="22"/>
          <w:lang w:eastAsia="en-US"/>
        </w:rPr>
        <w:t>23</w:t>
      </w:r>
      <w:r w:rsidR="00616A4D" w:rsidRPr="00692AC7">
        <w:rPr>
          <w:sz w:val="22"/>
          <w:szCs w:val="22"/>
          <w:lang w:eastAsia="en-US"/>
        </w:rPr>
        <w:t xml:space="preserve">  </w:t>
      </w:r>
      <w:r w:rsidR="00C8624C" w:rsidRPr="00C8624C">
        <w:rPr>
          <w:sz w:val="22"/>
          <w:szCs w:val="22"/>
          <w:lang w:eastAsia="en-US"/>
        </w:rPr>
        <w:t>(</w:t>
      </w:r>
      <w:proofErr w:type="spellStart"/>
      <w:proofErr w:type="gramEnd"/>
      <w:r w:rsidR="00C8624C" w:rsidRPr="00C8624C">
        <w:rPr>
          <w:sz w:val="22"/>
          <w:szCs w:val="22"/>
          <w:lang w:eastAsia="en-US"/>
        </w:rPr>
        <w:t>nivolumab</w:t>
      </w:r>
      <w:proofErr w:type="spellEnd"/>
      <w:r w:rsidR="00C8624C" w:rsidRPr="00C8624C">
        <w:rPr>
          <w:sz w:val="22"/>
          <w:szCs w:val="22"/>
          <w:lang w:eastAsia="en-US"/>
        </w:rPr>
        <w:t xml:space="preserve"> or </w:t>
      </w:r>
      <w:proofErr w:type="spellStart"/>
      <w:r w:rsidR="00C8624C" w:rsidRPr="00C8624C">
        <w:rPr>
          <w:sz w:val="22"/>
          <w:szCs w:val="22"/>
          <w:lang w:eastAsia="en-US"/>
        </w:rPr>
        <w:t>opdivo</w:t>
      </w:r>
      <w:proofErr w:type="spellEnd"/>
      <w:r w:rsidR="00C8624C" w:rsidRPr="00C8624C">
        <w:rPr>
          <w:sz w:val="22"/>
          <w:szCs w:val="22"/>
          <w:lang w:eastAsia="en-US"/>
        </w:rPr>
        <w:t xml:space="preserve"> or ONO4538 or ONO 4538 or BMS936558 or BMS 9</w:t>
      </w:r>
      <w:r w:rsidR="007656DC">
        <w:rPr>
          <w:sz w:val="22"/>
          <w:szCs w:val="22"/>
          <w:lang w:eastAsia="en-US"/>
        </w:rPr>
        <w:t>36558 or MDX1106 or MDX 1106).</w:t>
      </w:r>
      <w:proofErr w:type="spellStart"/>
      <w:r w:rsidR="007656DC">
        <w:rPr>
          <w:sz w:val="22"/>
          <w:szCs w:val="22"/>
          <w:lang w:eastAsia="en-US"/>
        </w:rPr>
        <w:t>tw</w:t>
      </w:r>
      <w:proofErr w:type="spellEnd"/>
      <w:r w:rsidR="0081792B">
        <w:rPr>
          <w:sz w:val="22"/>
          <w:szCs w:val="22"/>
          <w:lang w:eastAsia="en-US"/>
        </w:rPr>
        <w:t xml:space="preserve">. </w:t>
      </w:r>
    </w:p>
    <w:p w:rsidR="00616A4D" w:rsidRDefault="00BE0E68" w:rsidP="00616A4D">
      <w:pPr>
        <w:rPr>
          <w:sz w:val="22"/>
          <w:szCs w:val="22"/>
          <w:lang w:eastAsia="en-US"/>
        </w:rPr>
      </w:pPr>
      <w:proofErr w:type="gramStart"/>
      <w:r>
        <w:rPr>
          <w:sz w:val="22"/>
          <w:szCs w:val="22"/>
          <w:lang w:eastAsia="en-US"/>
        </w:rPr>
        <w:t>24</w:t>
      </w:r>
      <w:r w:rsidR="00C8624C">
        <w:rPr>
          <w:sz w:val="22"/>
          <w:szCs w:val="22"/>
          <w:lang w:eastAsia="en-US"/>
        </w:rPr>
        <w:t xml:space="preserve">  </w:t>
      </w:r>
      <w:r>
        <w:rPr>
          <w:sz w:val="22"/>
          <w:szCs w:val="22"/>
          <w:lang w:eastAsia="en-US"/>
        </w:rPr>
        <w:t>or</w:t>
      </w:r>
      <w:proofErr w:type="gramEnd"/>
      <w:r>
        <w:rPr>
          <w:sz w:val="22"/>
          <w:szCs w:val="22"/>
          <w:lang w:eastAsia="en-US"/>
        </w:rPr>
        <w:t>/12-23</w:t>
      </w:r>
      <w:r w:rsidR="006C1D0E">
        <w:rPr>
          <w:sz w:val="22"/>
          <w:szCs w:val="22"/>
          <w:lang w:eastAsia="en-US"/>
        </w:rPr>
        <w:t xml:space="preserve">  </w:t>
      </w:r>
    </w:p>
    <w:p w:rsidR="003E21AA" w:rsidRPr="00692AC7" w:rsidRDefault="00BE0E68" w:rsidP="00616A4D">
      <w:pPr>
        <w:rPr>
          <w:sz w:val="22"/>
          <w:szCs w:val="22"/>
          <w:lang w:eastAsia="en-US"/>
        </w:rPr>
      </w:pPr>
      <w:proofErr w:type="gramStart"/>
      <w:r>
        <w:rPr>
          <w:sz w:val="22"/>
          <w:szCs w:val="22"/>
          <w:lang w:eastAsia="en-US"/>
        </w:rPr>
        <w:t>25  11</w:t>
      </w:r>
      <w:proofErr w:type="gramEnd"/>
      <w:r>
        <w:rPr>
          <w:sz w:val="22"/>
          <w:szCs w:val="22"/>
          <w:lang w:eastAsia="en-US"/>
        </w:rPr>
        <w:t xml:space="preserve"> and 24</w:t>
      </w:r>
      <w:r w:rsidR="006C1D0E">
        <w:rPr>
          <w:sz w:val="22"/>
          <w:szCs w:val="22"/>
          <w:lang w:eastAsia="en-US"/>
        </w:rPr>
        <w:t xml:space="preserve">  </w:t>
      </w:r>
    </w:p>
    <w:p w:rsidR="00616A4D" w:rsidRPr="00692AC7" w:rsidRDefault="00BE0E68" w:rsidP="00616A4D">
      <w:pPr>
        <w:rPr>
          <w:sz w:val="22"/>
          <w:szCs w:val="22"/>
          <w:lang w:eastAsia="en-US"/>
        </w:rPr>
      </w:pPr>
      <w:r>
        <w:rPr>
          <w:sz w:val="22"/>
          <w:szCs w:val="22"/>
          <w:lang w:eastAsia="en-US"/>
        </w:rPr>
        <w:t>26</w:t>
      </w:r>
      <w:r w:rsidR="007656DC">
        <w:rPr>
          <w:sz w:val="22"/>
          <w:szCs w:val="22"/>
          <w:lang w:eastAsia="en-US"/>
        </w:rPr>
        <w:t xml:space="preserve">   A</w:t>
      </w:r>
      <w:r w:rsidR="00616A4D" w:rsidRPr="00692AC7">
        <w:rPr>
          <w:sz w:val="22"/>
          <w:szCs w:val="22"/>
          <w:lang w:eastAsia="en-US"/>
        </w:rPr>
        <w:t>nimal</w:t>
      </w:r>
      <w:r w:rsidR="007656DC">
        <w:rPr>
          <w:sz w:val="22"/>
          <w:szCs w:val="22"/>
          <w:lang w:eastAsia="en-US"/>
        </w:rPr>
        <w:t>s</w:t>
      </w:r>
      <w:r w:rsidR="00616A4D" w:rsidRPr="00692AC7">
        <w:rPr>
          <w:sz w:val="22"/>
          <w:szCs w:val="22"/>
          <w:lang w:eastAsia="en-US"/>
        </w:rPr>
        <w:t>/</w:t>
      </w:r>
      <w:r w:rsidR="00C8624C">
        <w:rPr>
          <w:sz w:val="22"/>
          <w:szCs w:val="22"/>
          <w:lang w:eastAsia="en-US"/>
        </w:rPr>
        <w:t xml:space="preserve"> </w:t>
      </w:r>
      <w:r w:rsidR="007656DC">
        <w:rPr>
          <w:sz w:val="22"/>
          <w:szCs w:val="22"/>
          <w:lang w:eastAsia="en-US"/>
        </w:rPr>
        <w:t>not Humans/</w:t>
      </w:r>
      <w:r w:rsidR="008526E0">
        <w:rPr>
          <w:sz w:val="22"/>
          <w:szCs w:val="22"/>
          <w:lang w:eastAsia="en-US"/>
        </w:rPr>
        <w:t xml:space="preserve"> </w:t>
      </w:r>
      <w:r w:rsidR="007656DC">
        <w:rPr>
          <w:sz w:val="22"/>
          <w:szCs w:val="22"/>
          <w:lang w:eastAsia="en-US"/>
        </w:rPr>
        <w:t xml:space="preserve"> </w:t>
      </w:r>
    </w:p>
    <w:p w:rsidR="00616A4D" w:rsidRPr="00692AC7" w:rsidRDefault="00BE0E68" w:rsidP="00616A4D">
      <w:pPr>
        <w:rPr>
          <w:sz w:val="22"/>
          <w:szCs w:val="22"/>
          <w:lang w:eastAsia="en-US"/>
        </w:rPr>
      </w:pPr>
      <w:r>
        <w:rPr>
          <w:sz w:val="22"/>
          <w:szCs w:val="22"/>
          <w:lang w:eastAsia="en-US"/>
        </w:rPr>
        <w:t>27</w:t>
      </w:r>
      <w:r w:rsidR="00616A4D" w:rsidRPr="00692AC7">
        <w:rPr>
          <w:sz w:val="22"/>
          <w:szCs w:val="22"/>
          <w:lang w:eastAsia="en-US"/>
        </w:rPr>
        <w:t xml:space="preserve">   </w:t>
      </w:r>
      <w:r>
        <w:rPr>
          <w:sz w:val="22"/>
          <w:szCs w:val="22"/>
          <w:lang w:eastAsia="en-US"/>
        </w:rPr>
        <w:t>25</w:t>
      </w:r>
      <w:r w:rsidR="00616A4D" w:rsidRPr="00692AC7">
        <w:rPr>
          <w:sz w:val="22"/>
          <w:szCs w:val="22"/>
          <w:lang w:eastAsia="en-US"/>
        </w:rPr>
        <w:t xml:space="preserve"> not </w:t>
      </w:r>
      <w:r>
        <w:rPr>
          <w:sz w:val="22"/>
          <w:szCs w:val="22"/>
          <w:lang w:eastAsia="en-US"/>
        </w:rPr>
        <w:t>26</w:t>
      </w:r>
      <w:r w:rsidR="00616A4D" w:rsidRPr="00692AC7">
        <w:rPr>
          <w:sz w:val="22"/>
          <w:szCs w:val="22"/>
          <w:lang w:eastAsia="en-US"/>
        </w:rPr>
        <w:t xml:space="preserve"> </w:t>
      </w:r>
      <w:r w:rsidR="008526E0">
        <w:rPr>
          <w:sz w:val="22"/>
          <w:szCs w:val="22"/>
          <w:lang w:eastAsia="en-US"/>
        </w:rPr>
        <w:t xml:space="preserve"> </w:t>
      </w:r>
    </w:p>
    <w:p w:rsidR="00616A4D" w:rsidRPr="00692AC7" w:rsidRDefault="00BE0E68" w:rsidP="00616A4D">
      <w:pPr>
        <w:rPr>
          <w:sz w:val="22"/>
          <w:szCs w:val="22"/>
          <w:lang w:eastAsia="en-US"/>
        </w:rPr>
      </w:pPr>
      <w:r>
        <w:rPr>
          <w:sz w:val="22"/>
          <w:szCs w:val="22"/>
          <w:lang w:eastAsia="en-US"/>
        </w:rPr>
        <w:t>28</w:t>
      </w:r>
      <w:r w:rsidR="00616A4D" w:rsidRPr="00692AC7">
        <w:rPr>
          <w:sz w:val="22"/>
          <w:szCs w:val="22"/>
          <w:lang w:eastAsia="en-US"/>
        </w:rPr>
        <w:t xml:space="preserve">   economics/ </w:t>
      </w:r>
      <w:r w:rsidR="008526E0">
        <w:rPr>
          <w:sz w:val="22"/>
          <w:szCs w:val="22"/>
          <w:lang w:eastAsia="en-US"/>
        </w:rPr>
        <w:t xml:space="preserve"> </w:t>
      </w:r>
    </w:p>
    <w:p w:rsidR="00616A4D" w:rsidRPr="00692AC7" w:rsidRDefault="00BE0E68" w:rsidP="00616A4D">
      <w:pPr>
        <w:rPr>
          <w:sz w:val="22"/>
          <w:szCs w:val="22"/>
          <w:lang w:eastAsia="en-US"/>
        </w:rPr>
      </w:pPr>
      <w:r>
        <w:rPr>
          <w:sz w:val="22"/>
          <w:szCs w:val="22"/>
          <w:lang w:eastAsia="en-US"/>
        </w:rPr>
        <w:t>29</w:t>
      </w:r>
      <w:r w:rsidR="003E21AA">
        <w:rPr>
          <w:sz w:val="22"/>
          <w:szCs w:val="22"/>
          <w:lang w:eastAsia="en-US"/>
        </w:rPr>
        <w:t xml:space="preserve">  </w:t>
      </w:r>
      <w:r w:rsidR="00616A4D" w:rsidRPr="00692AC7">
        <w:rPr>
          <w:sz w:val="22"/>
          <w:szCs w:val="22"/>
          <w:lang w:eastAsia="en-US"/>
        </w:rPr>
        <w:t xml:space="preserve"> </w:t>
      </w:r>
      <w:proofErr w:type="spellStart"/>
      <w:r w:rsidR="00986DA0" w:rsidRPr="00986DA0">
        <w:rPr>
          <w:sz w:val="22"/>
          <w:szCs w:val="22"/>
          <w:lang w:eastAsia="en-US"/>
        </w:rPr>
        <w:t>exp</w:t>
      </w:r>
      <w:proofErr w:type="spellEnd"/>
      <w:r w:rsidR="00986DA0" w:rsidRPr="00986DA0">
        <w:rPr>
          <w:sz w:val="22"/>
          <w:szCs w:val="22"/>
          <w:lang w:eastAsia="en-US"/>
        </w:rPr>
        <w:t xml:space="preserve"> "costs and cost analysis"/</w:t>
      </w:r>
      <w:r w:rsidR="00616A4D" w:rsidRPr="00692AC7">
        <w:rPr>
          <w:sz w:val="22"/>
          <w:szCs w:val="22"/>
          <w:lang w:eastAsia="en-US"/>
        </w:rPr>
        <w:t xml:space="preserve"> </w:t>
      </w:r>
      <w:r w:rsidR="008526E0">
        <w:rPr>
          <w:sz w:val="22"/>
          <w:szCs w:val="22"/>
          <w:lang w:eastAsia="en-US"/>
        </w:rPr>
        <w:t xml:space="preserve"> </w:t>
      </w:r>
    </w:p>
    <w:p w:rsidR="00616A4D" w:rsidRPr="00692AC7" w:rsidRDefault="00BE0E68" w:rsidP="00616A4D">
      <w:pPr>
        <w:rPr>
          <w:sz w:val="22"/>
          <w:szCs w:val="22"/>
          <w:lang w:eastAsia="en-US"/>
        </w:rPr>
      </w:pPr>
      <w:r>
        <w:rPr>
          <w:sz w:val="22"/>
          <w:szCs w:val="22"/>
          <w:lang w:eastAsia="en-US"/>
        </w:rPr>
        <w:t>30</w:t>
      </w:r>
      <w:r w:rsidR="00616A4D" w:rsidRPr="00692AC7">
        <w:rPr>
          <w:sz w:val="22"/>
          <w:szCs w:val="22"/>
          <w:lang w:eastAsia="en-US"/>
        </w:rPr>
        <w:t xml:space="preserve">   </w:t>
      </w:r>
      <w:proofErr w:type="spellStart"/>
      <w:r w:rsidR="00616A4D" w:rsidRPr="00692AC7">
        <w:rPr>
          <w:sz w:val="22"/>
          <w:szCs w:val="22"/>
          <w:lang w:eastAsia="en-US"/>
        </w:rPr>
        <w:t>exp</w:t>
      </w:r>
      <w:proofErr w:type="spellEnd"/>
      <w:r w:rsidR="00616A4D" w:rsidRPr="00692AC7">
        <w:rPr>
          <w:sz w:val="22"/>
          <w:szCs w:val="22"/>
          <w:lang w:eastAsia="en-US"/>
        </w:rPr>
        <w:t xml:space="preserve"> economics, hospital/ </w:t>
      </w:r>
      <w:r w:rsidR="008526E0">
        <w:rPr>
          <w:sz w:val="22"/>
          <w:szCs w:val="22"/>
          <w:lang w:eastAsia="en-US"/>
        </w:rPr>
        <w:t xml:space="preserve"> </w:t>
      </w:r>
    </w:p>
    <w:p w:rsidR="00616A4D" w:rsidRPr="00692AC7" w:rsidRDefault="00BE0E68" w:rsidP="00616A4D">
      <w:pPr>
        <w:rPr>
          <w:sz w:val="22"/>
          <w:szCs w:val="22"/>
          <w:lang w:eastAsia="en-US"/>
        </w:rPr>
      </w:pPr>
      <w:r>
        <w:rPr>
          <w:sz w:val="22"/>
          <w:szCs w:val="22"/>
          <w:lang w:eastAsia="en-US"/>
        </w:rPr>
        <w:t>31</w:t>
      </w:r>
      <w:r w:rsidR="00616A4D" w:rsidRPr="00692AC7">
        <w:rPr>
          <w:sz w:val="22"/>
          <w:szCs w:val="22"/>
          <w:lang w:eastAsia="en-US"/>
        </w:rPr>
        <w:t xml:space="preserve">   economics, medical/ </w:t>
      </w:r>
      <w:r w:rsidR="008526E0">
        <w:rPr>
          <w:sz w:val="22"/>
          <w:szCs w:val="22"/>
          <w:lang w:eastAsia="en-US"/>
        </w:rPr>
        <w:t xml:space="preserve"> </w:t>
      </w:r>
    </w:p>
    <w:p w:rsidR="00616A4D" w:rsidRPr="00692AC7" w:rsidRDefault="00BE0E68" w:rsidP="00616A4D">
      <w:pPr>
        <w:rPr>
          <w:sz w:val="22"/>
          <w:szCs w:val="22"/>
          <w:lang w:eastAsia="en-US"/>
        </w:rPr>
      </w:pPr>
      <w:r>
        <w:rPr>
          <w:sz w:val="22"/>
          <w:szCs w:val="22"/>
          <w:lang w:eastAsia="en-US"/>
        </w:rPr>
        <w:t>32</w:t>
      </w:r>
      <w:r w:rsidR="00616A4D" w:rsidRPr="00692AC7">
        <w:rPr>
          <w:sz w:val="22"/>
          <w:szCs w:val="22"/>
          <w:lang w:eastAsia="en-US"/>
        </w:rPr>
        <w:t xml:space="preserve">   economics, pharmaceutical/ </w:t>
      </w:r>
      <w:r w:rsidR="008526E0">
        <w:rPr>
          <w:sz w:val="22"/>
          <w:szCs w:val="22"/>
          <w:lang w:eastAsia="en-US"/>
        </w:rPr>
        <w:t xml:space="preserve"> </w:t>
      </w:r>
    </w:p>
    <w:p w:rsidR="00616A4D" w:rsidRPr="00692AC7" w:rsidRDefault="00BE0E68" w:rsidP="00616A4D">
      <w:pPr>
        <w:rPr>
          <w:sz w:val="22"/>
          <w:szCs w:val="22"/>
          <w:lang w:eastAsia="en-US"/>
        </w:rPr>
      </w:pPr>
      <w:proofErr w:type="gramStart"/>
      <w:r>
        <w:rPr>
          <w:sz w:val="22"/>
          <w:szCs w:val="22"/>
          <w:lang w:eastAsia="en-US"/>
        </w:rPr>
        <w:t>33</w:t>
      </w:r>
      <w:r w:rsidR="00616A4D" w:rsidRPr="00692AC7">
        <w:rPr>
          <w:sz w:val="22"/>
          <w:szCs w:val="22"/>
          <w:lang w:eastAsia="en-US"/>
        </w:rPr>
        <w:t xml:space="preserve">   (economic$ or </w:t>
      </w:r>
      <w:proofErr w:type="spellStart"/>
      <w:r w:rsidR="00616A4D" w:rsidRPr="00692AC7">
        <w:rPr>
          <w:sz w:val="22"/>
          <w:szCs w:val="22"/>
          <w:lang w:eastAsia="en-US"/>
        </w:rPr>
        <w:t>pharmaeconomic</w:t>
      </w:r>
      <w:proofErr w:type="spellEnd"/>
      <w:r w:rsidR="00616A4D" w:rsidRPr="00692AC7">
        <w:rPr>
          <w:sz w:val="22"/>
          <w:szCs w:val="22"/>
          <w:lang w:eastAsia="en-US"/>
        </w:rPr>
        <w:t xml:space="preserve">$ or </w:t>
      </w:r>
      <w:proofErr w:type="spellStart"/>
      <w:r w:rsidR="00616A4D" w:rsidRPr="00692AC7">
        <w:rPr>
          <w:sz w:val="22"/>
          <w:szCs w:val="22"/>
          <w:lang w:eastAsia="en-US"/>
        </w:rPr>
        <w:t>pharmacoeconomic</w:t>
      </w:r>
      <w:proofErr w:type="spellEnd"/>
      <w:r w:rsidR="00616A4D" w:rsidRPr="00692AC7">
        <w:rPr>
          <w:sz w:val="22"/>
          <w:szCs w:val="22"/>
          <w:lang w:eastAsia="en-US"/>
        </w:rPr>
        <w:t xml:space="preserve">$ or </w:t>
      </w:r>
      <w:proofErr w:type="spellStart"/>
      <w:r w:rsidR="00616A4D" w:rsidRPr="00692AC7">
        <w:rPr>
          <w:sz w:val="22"/>
          <w:szCs w:val="22"/>
          <w:lang w:eastAsia="en-US"/>
        </w:rPr>
        <w:t>pharmaco</w:t>
      </w:r>
      <w:proofErr w:type="spellEnd"/>
      <w:r w:rsidR="00616A4D" w:rsidRPr="00692AC7">
        <w:rPr>
          <w:sz w:val="22"/>
          <w:szCs w:val="22"/>
          <w:lang w:eastAsia="en-US"/>
        </w:rPr>
        <w:t>-economic$</w:t>
      </w:r>
      <w:r w:rsidR="00986DA0">
        <w:rPr>
          <w:sz w:val="22"/>
          <w:szCs w:val="22"/>
          <w:lang w:eastAsia="en-US"/>
        </w:rPr>
        <w:t>).</w:t>
      </w:r>
      <w:proofErr w:type="spellStart"/>
      <w:r w:rsidR="00986DA0">
        <w:rPr>
          <w:sz w:val="22"/>
          <w:szCs w:val="22"/>
          <w:lang w:eastAsia="en-US"/>
        </w:rPr>
        <w:t>tw</w:t>
      </w:r>
      <w:proofErr w:type="spellEnd"/>
      <w:r w:rsidR="006C1D0E">
        <w:rPr>
          <w:sz w:val="22"/>
          <w:szCs w:val="22"/>
          <w:lang w:eastAsia="en-US"/>
        </w:rPr>
        <w:t>.</w:t>
      </w:r>
      <w:proofErr w:type="gramEnd"/>
      <w:r w:rsidR="006C1D0E">
        <w:rPr>
          <w:sz w:val="22"/>
          <w:szCs w:val="22"/>
          <w:lang w:eastAsia="en-US"/>
        </w:rPr>
        <w:t xml:space="preserve"> </w:t>
      </w:r>
    </w:p>
    <w:p w:rsidR="00616A4D" w:rsidRPr="00692AC7" w:rsidRDefault="00BE0E68" w:rsidP="00616A4D">
      <w:pPr>
        <w:rPr>
          <w:sz w:val="22"/>
          <w:szCs w:val="22"/>
          <w:lang w:eastAsia="en-US"/>
        </w:rPr>
      </w:pPr>
      <w:proofErr w:type="gramStart"/>
      <w:r>
        <w:rPr>
          <w:sz w:val="22"/>
          <w:szCs w:val="22"/>
          <w:lang w:eastAsia="en-US"/>
        </w:rPr>
        <w:t>34</w:t>
      </w:r>
      <w:r w:rsidR="00616A4D" w:rsidRPr="00692AC7">
        <w:rPr>
          <w:sz w:val="22"/>
          <w:szCs w:val="22"/>
          <w:lang w:eastAsia="en-US"/>
        </w:rPr>
        <w:t xml:space="preserve">   (cost or costs or</w:t>
      </w:r>
      <w:r w:rsidR="003B476B">
        <w:rPr>
          <w:sz w:val="22"/>
          <w:szCs w:val="22"/>
          <w:lang w:eastAsia="en-US"/>
        </w:rPr>
        <w:t xml:space="preserve"> costly or costing or costed).</w:t>
      </w:r>
      <w:proofErr w:type="spellStart"/>
      <w:r w:rsidR="003B476B">
        <w:rPr>
          <w:sz w:val="22"/>
          <w:szCs w:val="22"/>
          <w:lang w:eastAsia="en-US"/>
        </w:rPr>
        <w:t>t</w:t>
      </w:r>
      <w:r w:rsidR="00986DA0">
        <w:rPr>
          <w:sz w:val="22"/>
          <w:szCs w:val="22"/>
          <w:lang w:eastAsia="en-US"/>
        </w:rPr>
        <w:t>w</w:t>
      </w:r>
      <w:proofErr w:type="spellEnd"/>
      <w:r w:rsidR="006C1D0E">
        <w:rPr>
          <w:sz w:val="22"/>
          <w:szCs w:val="22"/>
          <w:lang w:eastAsia="en-US"/>
        </w:rPr>
        <w:t>.</w:t>
      </w:r>
      <w:proofErr w:type="gramEnd"/>
      <w:r w:rsidR="006C1D0E">
        <w:rPr>
          <w:sz w:val="22"/>
          <w:szCs w:val="22"/>
          <w:lang w:eastAsia="en-US"/>
        </w:rPr>
        <w:t xml:space="preserve"> </w:t>
      </w:r>
    </w:p>
    <w:p w:rsidR="00616A4D" w:rsidRPr="00692AC7" w:rsidRDefault="00BE0E68" w:rsidP="00616A4D">
      <w:pPr>
        <w:rPr>
          <w:sz w:val="22"/>
          <w:szCs w:val="22"/>
          <w:lang w:eastAsia="en-US"/>
        </w:rPr>
      </w:pPr>
      <w:r>
        <w:rPr>
          <w:sz w:val="22"/>
          <w:szCs w:val="22"/>
          <w:lang w:eastAsia="en-US"/>
        </w:rPr>
        <w:t>35</w:t>
      </w:r>
      <w:r w:rsidR="003E21AA">
        <w:rPr>
          <w:sz w:val="22"/>
          <w:szCs w:val="22"/>
          <w:lang w:eastAsia="en-US"/>
        </w:rPr>
        <w:t xml:space="preserve">   </w:t>
      </w:r>
      <w:r w:rsidR="00986DA0">
        <w:rPr>
          <w:sz w:val="22"/>
          <w:szCs w:val="22"/>
          <w:lang w:eastAsia="en-US"/>
        </w:rPr>
        <w:t>value for money.tw</w:t>
      </w:r>
      <w:r w:rsidR="006C1D0E">
        <w:rPr>
          <w:sz w:val="22"/>
          <w:szCs w:val="22"/>
          <w:lang w:eastAsia="en-US"/>
        </w:rPr>
        <w:t xml:space="preserve">. </w:t>
      </w:r>
    </w:p>
    <w:p w:rsidR="00951063" w:rsidRPr="00692AC7" w:rsidRDefault="00BE0E68" w:rsidP="00616A4D">
      <w:pPr>
        <w:rPr>
          <w:sz w:val="22"/>
          <w:szCs w:val="22"/>
          <w:lang w:eastAsia="en-US"/>
        </w:rPr>
      </w:pPr>
      <w:proofErr w:type="gramStart"/>
      <w:r>
        <w:rPr>
          <w:sz w:val="22"/>
          <w:szCs w:val="22"/>
          <w:lang w:eastAsia="en-US"/>
        </w:rPr>
        <w:t>36</w:t>
      </w:r>
      <w:r w:rsidR="00951063">
        <w:rPr>
          <w:sz w:val="22"/>
          <w:szCs w:val="22"/>
          <w:lang w:eastAsia="en-US"/>
        </w:rPr>
        <w:t xml:space="preserve">   </w:t>
      </w:r>
      <w:r w:rsidR="00951063" w:rsidRPr="00951063">
        <w:rPr>
          <w:sz w:val="22"/>
          <w:szCs w:val="22"/>
          <w:lang w:eastAsia="en-US"/>
        </w:rPr>
        <w:t>(Quality-</w:t>
      </w:r>
      <w:r w:rsidR="00986DA0">
        <w:rPr>
          <w:sz w:val="22"/>
          <w:szCs w:val="22"/>
          <w:lang w:eastAsia="en-US"/>
        </w:rPr>
        <w:t>adjusted life year$ or QALY$).</w:t>
      </w:r>
      <w:proofErr w:type="spellStart"/>
      <w:r w:rsidR="00986DA0">
        <w:rPr>
          <w:sz w:val="22"/>
          <w:szCs w:val="22"/>
          <w:lang w:eastAsia="en-US"/>
        </w:rPr>
        <w:t>tw</w:t>
      </w:r>
      <w:proofErr w:type="spellEnd"/>
      <w:r w:rsidR="0081792B">
        <w:rPr>
          <w:sz w:val="22"/>
          <w:szCs w:val="22"/>
          <w:lang w:eastAsia="en-US"/>
        </w:rPr>
        <w:t>.</w:t>
      </w:r>
      <w:proofErr w:type="gramEnd"/>
      <w:r w:rsidR="0081792B">
        <w:rPr>
          <w:sz w:val="22"/>
          <w:szCs w:val="22"/>
          <w:lang w:eastAsia="en-US"/>
        </w:rPr>
        <w:t xml:space="preserve"> </w:t>
      </w:r>
    </w:p>
    <w:p w:rsidR="00616A4D" w:rsidRPr="00692AC7" w:rsidRDefault="00BE0E68" w:rsidP="00616A4D">
      <w:pPr>
        <w:rPr>
          <w:sz w:val="22"/>
          <w:szCs w:val="22"/>
          <w:lang w:eastAsia="en-US"/>
        </w:rPr>
      </w:pPr>
      <w:proofErr w:type="gramStart"/>
      <w:r>
        <w:rPr>
          <w:sz w:val="22"/>
          <w:szCs w:val="22"/>
          <w:lang w:eastAsia="en-US"/>
        </w:rPr>
        <w:t>37</w:t>
      </w:r>
      <w:r w:rsidR="003E21AA">
        <w:rPr>
          <w:sz w:val="22"/>
          <w:szCs w:val="22"/>
          <w:lang w:eastAsia="en-US"/>
        </w:rPr>
        <w:t xml:space="preserve">  </w:t>
      </w:r>
      <w:r w:rsidR="00616A4D" w:rsidRPr="00692AC7">
        <w:rPr>
          <w:sz w:val="22"/>
          <w:szCs w:val="22"/>
          <w:lang w:eastAsia="en-US"/>
        </w:rPr>
        <w:t xml:space="preserve"> </w:t>
      </w:r>
      <w:r>
        <w:rPr>
          <w:sz w:val="22"/>
          <w:szCs w:val="22"/>
          <w:lang w:eastAsia="en-US"/>
        </w:rPr>
        <w:t>or/28</w:t>
      </w:r>
      <w:r w:rsidR="00951063">
        <w:rPr>
          <w:sz w:val="22"/>
          <w:szCs w:val="22"/>
          <w:lang w:eastAsia="en-US"/>
        </w:rPr>
        <w:t>-36</w:t>
      </w:r>
      <w:proofErr w:type="gramEnd"/>
      <w:r w:rsidR="006C1D0E">
        <w:rPr>
          <w:sz w:val="22"/>
          <w:szCs w:val="22"/>
          <w:lang w:eastAsia="en-US"/>
        </w:rPr>
        <w:t xml:space="preserve"> </w:t>
      </w:r>
    </w:p>
    <w:p w:rsidR="00616A4D" w:rsidRPr="00692AC7" w:rsidRDefault="00BE0E68" w:rsidP="00616A4D">
      <w:pPr>
        <w:rPr>
          <w:sz w:val="22"/>
          <w:szCs w:val="22"/>
          <w:lang w:eastAsia="en-US"/>
        </w:rPr>
      </w:pPr>
      <w:r>
        <w:rPr>
          <w:sz w:val="22"/>
          <w:szCs w:val="22"/>
          <w:lang w:eastAsia="en-US"/>
        </w:rPr>
        <w:t>38</w:t>
      </w:r>
      <w:r w:rsidR="00616A4D" w:rsidRPr="00692AC7">
        <w:rPr>
          <w:sz w:val="22"/>
          <w:szCs w:val="22"/>
          <w:lang w:eastAsia="en-US"/>
        </w:rPr>
        <w:t xml:space="preserve">   </w:t>
      </w:r>
      <w:r w:rsidR="00951063">
        <w:rPr>
          <w:sz w:val="22"/>
          <w:szCs w:val="22"/>
          <w:lang w:eastAsia="en-US"/>
        </w:rPr>
        <w:t>limit 37</w:t>
      </w:r>
      <w:r w:rsidR="003E21AA">
        <w:rPr>
          <w:sz w:val="22"/>
          <w:szCs w:val="22"/>
          <w:lang w:eastAsia="en-US"/>
        </w:rPr>
        <w:t xml:space="preserve"> to </w:t>
      </w:r>
      <w:proofErr w:type="spellStart"/>
      <w:r w:rsidR="003E21AA">
        <w:rPr>
          <w:sz w:val="22"/>
          <w:szCs w:val="22"/>
          <w:lang w:eastAsia="en-US"/>
        </w:rPr>
        <w:t>yr</w:t>
      </w:r>
      <w:proofErr w:type="spellEnd"/>
      <w:r w:rsidR="003E21AA">
        <w:rPr>
          <w:sz w:val="22"/>
          <w:szCs w:val="22"/>
          <w:lang w:eastAsia="en-US"/>
        </w:rPr>
        <w:t>=2006-2015</w:t>
      </w:r>
      <w:r w:rsidR="006C1D0E">
        <w:rPr>
          <w:sz w:val="22"/>
          <w:szCs w:val="22"/>
          <w:lang w:eastAsia="en-US"/>
        </w:rPr>
        <w:t xml:space="preserve"> </w:t>
      </w:r>
    </w:p>
    <w:p w:rsidR="00616A4D" w:rsidRDefault="00BE0E68" w:rsidP="00616A4D">
      <w:pPr>
        <w:rPr>
          <w:sz w:val="22"/>
          <w:szCs w:val="22"/>
          <w:lang w:eastAsia="en-US"/>
        </w:rPr>
      </w:pPr>
      <w:r>
        <w:rPr>
          <w:sz w:val="22"/>
          <w:szCs w:val="22"/>
          <w:lang w:eastAsia="en-US"/>
        </w:rPr>
        <w:t>39</w:t>
      </w:r>
      <w:r w:rsidR="00616A4D" w:rsidRPr="00692AC7">
        <w:rPr>
          <w:sz w:val="22"/>
          <w:szCs w:val="22"/>
          <w:lang w:eastAsia="en-US"/>
        </w:rPr>
        <w:t xml:space="preserve">   </w:t>
      </w:r>
      <w:r>
        <w:rPr>
          <w:sz w:val="22"/>
          <w:szCs w:val="22"/>
          <w:lang w:eastAsia="en-US"/>
        </w:rPr>
        <w:t>27</w:t>
      </w:r>
      <w:r w:rsidR="00951063">
        <w:rPr>
          <w:sz w:val="22"/>
          <w:szCs w:val="22"/>
          <w:lang w:eastAsia="en-US"/>
        </w:rPr>
        <w:t xml:space="preserve"> and 38</w:t>
      </w:r>
      <w:r w:rsidR="003E21AA">
        <w:rPr>
          <w:sz w:val="22"/>
          <w:szCs w:val="22"/>
          <w:lang w:eastAsia="en-US"/>
        </w:rPr>
        <w:t xml:space="preserve"> </w:t>
      </w:r>
      <w:r w:rsidR="008526E0">
        <w:rPr>
          <w:sz w:val="22"/>
          <w:szCs w:val="22"/>
          <w:lang w:eastAsia="en-US"/>
        </w:rPr>
        <w:t xml:space="preserve"> </w:t>
      </w:r>
    </w:p>
    <w:p w:rsidR="008526E0" w:rsidRDefault="00BE0E68" w:rsidP="00616A4D">
      <w:pPr>
        <w:rPr>
          <w:sz w:val="22"/>
          <w:szCs w:val="22"/>
          <w:lang w:eastAsia="en-US"/>
        </w:rPr>
      </w:pPr>
      <w:r>
        <w:rPr>
          <w:sz w:val="22"/>
          <w:szCs w:val="22"/>
          <w:lang w:eastAsia="en-US"/>
        </w:rPr>
        <w:t>40   27</w:t>
      </w:r>
      <w:r w:rsidR="006C1D0E">
        <w:rPr>
          <w:sz w:val="22"/>
          <w:szCs w:val="22"/>
          <w:lang w:eastAsia="en-US"/>
        </w:rPr>
        <w:t xml:space="preserve"> and 37  </w:t>
      </w:r>
    </w:p>
    <w:p w:rsidR="001D790D" w:rsidRDefault="001D790D" w:rsidP="00616A4D">
      <w:pPr>
        <w:rPr>
          <w:sz w:val="22"/>
          <w:szCs w:val="22"/>
          <w:lang w:eastAsia="en-US"/>
        </w:rPr>
      </w:pPr>
    </w:p>
    <w:p w:rsidR="001D790D" w:rsidRPr="00692AC7" w:rsidRDefault="001D790D" w:rsidP="00616A4D">
      <w:pPr>
        <w:rPr>
          <w:sz w:val="22"/>
          <w:szCs w:val="22"/>
          <w:lang w:eastAsia="en-US"/>
        </w:rPr>
      </w:pPr>
    </w:p>
    <w:p w:rsidR="00D52C21" w:rsidRPr="00395A52" w:rsidRDefault="00334521" w:rsidP="00395A52">
      <w:pPr>
        <w:pStyle w:val="BMJH4"/>
        <w:rPr>
          <w:b/>
          <w:bCs/>
          <w:iCs/>
        </w:rPr>
      </w:pPr>
      <w:proofErr w:type="gramStart"/>
      <w:r w:rsidRPr="00334521">
        <w:rPr>
          <w:b/>
          <w:bCs/>
          <w:iCs/>
        </w:rPr>
        <w:lastRenderedPageBreak/>
        <w:t xml:space="preserve">Appendix </w:t>
      </w:r>
      <w:r w:rsidR="00872F7F" w:rsidRPr="00334521">
        <w:rPr>
          <w:b/>
          <w:bCs/>
          <w:iCs/>
        </w:rPr>
        <w:t>9.2.</w:t>
      </w:r>
      <w:proofErr w:type="gramEnd"/>
      <w:r w:rsidR="00872F7F" w:rsidRPr="00334521">
        <w:rPr>
          <w:b/>
          <w:bCs/>
          <w:iCs/>
        </w:rPr>
        <w:t xml:space="preserve"> Data extraction form </w:t>
      </w:r>
      <w:r w:rsidR="00395A52">
        <w:rPr>
          <w:b/>
          <w:bCs/>
          <w:iCs/>
        </w:rPr>
        <w:t>clinical effectiveness studies</w:t>
      </w:r>
    </w:p>
    <w:tbl>
      <w:tblPr>
        <w:tblStyle w:val="TableGrid"/>
        <w:tblW w:w="8472" w:type="dxa"/>
        <w:tblLayout w:type="fixed"/>
        <w:tblLook w:val="04A0" w:firstRow="1" w:lastRow="0" w:firstColumn="1" w:lastColumn="0" w:noHBand="0" w:noVBand="1"/>
      </w:tblPr>
      <w:tblGrid>
        <w:gridCol w:w="2370"/>
        <w:gridCol w:w="1788"/>
        <w:gridCol w:w="14"/>
        <w:gridCol w:w="27"/>
        <w:gridCol w:w="7"/>
        <w:gridCol w:w="143"/>
        <w:gridCol w:w="7"/>
        <w:gridCol w:w="288"/>
        <w:gridCol w:w="419"/>
        <w:gridCol w:w="1846"/>
        <w:gridCol w:w="82"/>
        <w:gridCol w:w="1481"/>
      </w:tblGrid>
      <w:tr w:rsidR="00D52C21" w:rsidRPr="00AE3EF8" w:rsidTr="001B77B3">
        <w:trPr>
          <w:tblHeader/>
        </w:trPr>
        <w:tc>
          <w:tcPr>
            <w:tcW w:w="8472" w:type="dxa"/>
            <w:gridSpan w:val="12"/>
            <w:tcBorders>
              <w:bottom w:val="single" w:sz="4" w:space="0" w:color="auto"/>
            </w:tcBorders>
            <w:shd w:val="clear" w:color="auto" w:fill="C6D9F1" w:themeFill="text2" w:themeFillTint="33"/>
          </w:tcPr>
          <w:p w:rsidR="00391BEE" w:rsidRDefault="00D52C21" w:rsidP="00391BEE">
            <w:pPr>
              <w:spacing w:before="60" w:after="60"/>
              <w:rPr>
                <w:rFonts w:ascii="Arial" w:hAnsi="Arial" w:cs="Arial"/>
                <w:sz w:val="18"/>
                <w:szCs w:val="18"/>
              </w:rPr>
            </w:pPr>
            <w:r w:rsidRPr="00AE3EF8">
              <w:rPr>
                <w:rFonts w:ascii="Arial" w:hAnsi="Arial" w:cs="Arial"/>
                <w:b/>
                <w:sz w:val="18"/>
                <w:szCs w:val="18"/>
              </w:rPr>
              <w:t xml:space="preserve">STUDY: </w:t>
            </w:r>
          </w:p>
        </w:tc>
      </w:tr>
      <w:tr w:rsidR="00D52C21" w:rsidRPr="00AE3EF8" w:rsidTr="00D52C21">
        <w:tc>
          <w:tcPr>
            <w:tcW w:w="8472" w:type="dxa"/>
            <w:gridSpan w:val="12"/>
            <w:tcBorders>
              <w:bottom w:val="single" w:sz="4" w:space="0" w:color="auto"/>
            </w:tcBorders>
            <w:shd w:val="clear" w:color="auto" w:fill="FFFFFF" w:themeFill="background1"/>
          </w:tcPr>
          <w:p w:rsidR="00391BEE" w:rsidRDefault="00D52C21" w:rsidP="00391BEE">
            <w:pPr>
              <w:spacing w:before="60" w:after="60"/>
              <w:rPr>
                <w:rFonts w:ascii="Arial" w:hAnsi="Arial" w:cs="Arial"/>
                <w:sz w:val="18"/>
                <w:szCs w:val="18"/>
              </w:rPr>
            </w:pPr>
            <w:r>
              <w:rPr>
                <w:rFonts w:ascii="Arial" w:hAnsi="Arial" w:cs="Arial"/>
                <w:sz w:val="18"/>
                <w:szCs w:val="18"/>
              </w:rPr>
              <w:t>Full</w:t>
            </w:r>
            <w:r w:rsidRPr="00AE3EF8">
              <w:rPr>
                <w:rFonts w:ascii="Arial" w:hAnsi="Arial" w:cs="Arial"/>
                <w:sz w:val="18"/>
                <w:szCs w:val="18"/>
              </w:rPr>
              <w:t xml:space="preserve"> reference:</w:t>
            </w:r>
          </w:p>
        </w:tc>
      </w:tr>
      <w:tr w:rsidR="001B77B3" w:rsidRPr="00AE3EF8" w:rsidTr="009118EE">
        <w:tc>
          <w:tcPr>
            <w:tcW w:w="8472" w:type="dxa"/>
            <w:gridSpan w:val="12"/>
            <w:shd w:val="clear" w:color="auto" w:fill="F2F2F2" w:themeFill="background1" w:themeFillShade="F2"/>
          </w:tcPr>
          <w:p w:rsidR="00391BEE" w:rsidRDefault="001B77B3" w:rsidP="00391BEE">
            <w:pPr>
              <w:spacing w:before="60" w:after="60"/>
              <w:rPr>
                <w:rFonts w:ascii="Arial" w:hAnsi="Arial" w:cs="Arial"/>
                <w:sz w:val="18"/>
                <w:szCs w:val="18"/>
              </w:rPr>
            </w:pPr>
            <w:r w:rsidRPr="00AE3EF8">
              <w:rPr>
                <w:rFonts w:ascii="Arial" w:hAnsi="Arial" w:cs="Arial"/>
                <w:b/>
                <w:sz w:val="18"/>
                <w:szCs w:val="18"/>
              </w:rPr>
              <w:t>DESIGN</w:t>
            </w:r>
          </w:p>
        </w:tc>
      </w:tr>
      <w:tr w:rsidR="00D52C21" w:rsidRPr="00AE3EF8" w:rsidTr="00D52C21">
        <w:tc>
          <w:tcPr>
            <w:tcW w:w="2370" w:type="dxa"/>
            <w:tcBorders>
              <w:right w:val="single" w:sz="4" w:space="0" w:color="auto"/>
            </w:tcBorders>
          </w:tcPr>
          <w:p w:rsidR="00391BEE" w:rsidRDefault="00D52C21" w:rsidP="00391BEE">
            <w:pPr>
              <w:spacing w:before="60" w:after="60"/>
              <w:rPr>
                <w:rFonts w:ascii="Arial" w:hAnsi="Arial" w:cs="Arial"/>
                <w:sz w:val="18"/>
                <w:szCs w:val="18"/>
              </w:rPr>
            </w:pPr>
            <w:r w:rsidRPr="00AE3EF8">
              <w:rPr>
                <w:rFonts w:ascii="Arial" w:hAnsi="Arial" w:cs="Arial"/>
                <w:sz w:val="18"/>
                <w:szCs w:val="18"/>
              </w:rPr>
              <w:t>Study design</w:t>
            </w:r>
          </w:p>
        </w:tc>
        <w:tc>
          <w:tcPr>
            <w:tcW w:w="6102" w:type="dxa"/>
            <w:gridSpan w:val="11"/>
            <w:tcBorders>
              <w:left w:val="single" w:sz="4" w:space="0" w:color="auto"/>
            </w:tcBorders>
          </w:tcPr>
          <w:p w:rsidR="00391BEE" w:rsidRDefault="00391BEE" w:rsidP="00391BEE">
            <w:pPr>
              <w:spacing w:before="60" w:after="60"/>
              <w:rPr>
                <w:rFonts w:ascii="Arial" w:hAnsi="Arial" w:cs="Arial"/>
                <w:sz w:val="18"/>
                <w:szCs w:val="18"/>
              </w:rPr>
            </w:pPr>
          </w:p>
        </w:tc>
      </w:tr>
      <w:tr w:rsidR="00D52C21" w:rsidRPr="00AE3EF8" w:rsidTr="00D52C21">
        <w:tc>
          <w:tcPr>
            <w:tcW w:w="2370" w:type="dxa"/>
            <w:tcBorders>
              <w:right w:val="single" w:sz="4" w:space="0" w:color="auto"/>
            </w:tcBorders>
          </w:tcPr>
          <w:p w:rsidR="00391BEE" w:rsidRDefault="00D52C21" w:rsidP="00391BEE">
            <w:pPr>
              <w:spacing w:before="60" w:after="60"/>
              <w:rPr>
                <w:rFonts w:ascii="Arial" w:hAnsi="Arial" w:cs="Arial"/>
                <w:sz w:val="18"/>
                <w:szCs w:val="18"/>
              </w:rPr>
            </w:pPr>
            <w:r w:rsidRPr="00AE3EF8">
              <w:rPr>
                <w:rFonts w:ascii="Arial" w:hAnsi="Arial" w:cs="Arial"/>
                <w:sz w:val="18"/>
                <w:szCs w:val="18"/>
              </w:rPr>
              <w:t>Number of centres</w:t>
            </w:r>
            <w:r>
              <w:rPr>
                <w:rFonts w:ascii="Arial" w:hAnsi="Arial" w:cs="Arial"/>
                <w:sz w:val="18"/>
                <w:szCs w:val="18"/>
              </w:rPr>
              <w:t xml:space="preserve"> &amp;</w:t>
            </w:r>
            <w:r w:rsidRPr="00AE3EF8">
              <w:rPr>
                <w:rFonts w:ascii="Arial" w:hAnsi="Arial" w:cs="Arial"/>
                <w:sz w:val="18"/>
                <w:szCs w:val="18"/>
              </w:rPr>
              <w:t xml:space="preserve"> Country/countries</w:t>
            </w:r>
          </w:p>
        </w:tc>
        <w:tc>
          <w:tcPr>
            <w:tcW w:w="6102" w:type="dxa"/>
            <w:gridSpan w:val="11"/>
            <w:tcBorders>
              <w:left w:val="single" w:sz="4" w:space="0" w:color="auto"/>
            </w:tcBorders>
          </w:tcPr>
          <w:p w:rsidR="00391BEE" w:rsidRDefault="00391BEE" w:rsidP="00391BEE">
            <w:pPr>
              <w:spacing w:before="60" w:after="60"/>
              <w:rPr>
                <w:rFonts w:ascii="Arial" w:hAnsi="Arial" w:cs="Arial"/>
                <w:sz w:val="18"/>
                <w:szCs w:val="18"/>
              </w:rPr>
            </w:pPr>
          </w:p>
        </w:tc>
      </w:tr>
      <w:tr w:rsidR="00D52C21" w:rsidRPr="00AE3EF8" w:rsidTr="00D52C21">
        <w:tc>
          <w:tcPr>
            <w:tcW w:w="2370" w:type="dxa"/>
            <w:tcBorders>
              <w:right w:val="single" w:sz="4" w:space="0" w:color="auto"/>
            </w:tcBorders>
          </w:tcPr>
          <w:p w:rsidR="00391BEE" w:rsidRDefault="00D52C21" w:rsidP="00391BEE">
            <w:pPr>
              <w:spacing w:before="60" w:after="60"/>
              <w:rPr>
                <w:rFonts w:ascii="Arial" w:hAnsi="Arial" w:cs="Arial"/>
                <w:sz w:val="18"/>
                <w:szCs w:val="18"/>
              </w:rPr>
            </w:pPr>
            <w:r w:rsidRPr="00AE3EF8">
              <w:rPr>
                <w:rFonts w:ascii="Arial" w:hAnsi="Arial" w:cs="Arial"/>
                <w:sz w:val="18"/>
                <w:szCs w:val="18"/>
              </w:rPr>
              <w:t>Recruitment dates</w:t>
            </w:r>
          </w:p>
        </w:tc>
        <w:tc>
          <w:tcPr>
            <w:tcW w:w="6102" w:type="dxa"/>
            <w:gridSpan w:val="11"/>
            <w:tcBorders>
              <w:left w:val="single" w:sz="4" w:space="0" w:color="auto"/>
            </w:tcBorders>
          </w:tcPr>
          <w:p w:rsidR="00391BEE" w:rsidRDefault="00391BEE" w:rsidP="00391BEE">
            <w:pPr>
              <w:spacing w:before="60" w:after="60"/>
              <w:rPr>
                <w:rFonts w:ascii="Arial" w:hAnsi="Arial" w:cs="Arial"/>
                <w:sz w:val="18"/>
                <w:szCs w:val="18"/>
              </w:rPr>
            </w:pPr>
          </w:p>
        </w:tc>
      </w:tr>
      <w:tr w:rsidR="00D52C21" w:rsidRPr="00AE3EF8" w:rsidTr="00D52C21">
        <w:tc>
          <w:tcPr>
            <w:tcW w:w="2370" w:type="dxa"/>
            <w:tcBorders>
              <w:right w:val="single" w:sz="4" w:space="0" w:color="auto"/>
            </w:tcBorders>
          </w:tcPr>
          <w:p w:rsidR="00391BEE" w:rsidRDefault="00D52C21" w:rsidP="00391BEE">
            <w:pPr>
              <w:spacing w:before="60" w:after="60"/>
              <w:rPr>
                <w:rFonts w:ascii="Arial" w:hAnsi="Arial" w:cs="Arial"/>
                <w:sz w:val="18"/>
                <w:szCs w:val="18"/>
              </w:rPr>
            </w:pPr>
            <w:r w:rsidRPr="00AE3EF8">
              <w:rPr>
                <w:rFonts w:ascii="Arial" w:hAnsi="Arial" w:cs="Arial"/>
                <w:sz w:val="18"/>
                <w:szCs w:val="18"/>
              </w:rPr>
              <w:t>Length of follow-up</w:t>
            </w:r>
          </w:p>
        </w:tc>
        <w:tc>
          <w:tcPr>
            <w:tcW w:w="6102" w:type="dxa"/>
            <w:gridSpan w:val="11"/>
            <w:tcBorders>
              <w:left w:val="single" w:sz="4" w:space="0" w:color="auto"/>
            </w:tcBorders>
          </w:tcPr>
          <w:p w:rsidR="00391BEE" w:rsidRDefault="00391BEE" w:rsidP="00391BEE">
            <w:pPr>
              <w:spacing w:before="60" w:after="60"/>
              <w:rPr>
                <w:rFonts w:ascii="Arial" w:hAnsi="Arial" w:cs="Arial"/>
                <w:sz w:val="18"/>
                <w:szCs w:val="18"/>
              </w:rPr>
            </w:pPr>
          </w:p>
        </w:tc>
      </w:tr>
      <w:tr w:rsidR="00D52C21" w:rsidRPr="00AE3EF8" w:rsidTr="00D52C21">
        <w:tc>
          <w:tcPr>
            <w:tcW w:w="2370" w:type="dxa"/>
            <w:tcBorders>
              <w:bottom w:val="single" w:sz="4" w:space="0" w:color="auto"/>
              <w:right w:val="single" w:sz="4" w:space="0" w:color="auto"/>
            </w:tcBorders>
          </w:tcPr>
          <w:p w:rsidR="00391BEE" w:rsidRDefault="00D52C21" w:rsidP="00391BEE">
            <w:pPr>
              <w:spacing w:before="60" w:after="60"/>
              <w:rPr>
                <w:rFonts w:ascii="Arial" w:hAnsi="Arial" w:cs="Arial"/>
                <w:sz w:val="18"/>
                <w:szCs w:val="18"/>
              </w:rPr>
            </w:pPr>
            <w:r w:rsidRPr="00AE3EF8">
              <w:rPr>
                <w:rFonts w:ascii="Arial" w:hAnsi="Arial" w:cs="Arial"/>
                <w:sz w:val="18"/>
                <w:szCs w:val="18"/>
              </w:rPr>
              <w:t>Source of funding</w:t>
            </w:r>
          </w:p>
        </w:tc>
        <w:tc>
          <w:tcPr>
            <w:tcW w:w="6102" w:type="dxa"/>
            <w:gridSpan w:val="11"/>
            <w:tcBorders>
              <w:left w:val="single" w:sz="4" w:space="0" w:color="auto"/>
              <w:bottom w:val="single" w:sz="4" w:space="0" w:color="auto"/>
            </w:tcBorders>
          </w:tcPr>
          <w:p w:rsidR="00391BEE" w:rsidRDefault="00391BEE" w:rsidP="00391BEE">
            <w:pPr>
              <w:spacing w:before="60" w:after="60"/>
              <w:rPr>
                <w:rFonts w:ascii="Arial" w:hAnsi="Arial" w:cs="Arial"/>
                <w:sz w:val="18"/>
                <w:szCs w:val="18"/>
              </w:rPr>
            </w:pPr>
          </w:p>
        </w:tc>
      </w:tr>
      <w:tr w:rsidR="00D52C21" w:rsidRPr="00AE3EF8" w:rsidTr="00D52C21">
        <w:tc>
          <w:tcPr>
            <w:tcW w:w="2370" w:type="dxa"/>
            <w:tcBorders>
              <w:right w:val="single" w:sz="4" w:space="0" w:color="auto"/>
            </w:tcBorders>
            <w:shd w:val="clear" w:color="auto" w:fill="F2F2F2" w:themeFill="background1" w:themeFillShade="F2"/>
          </w:tcPr>
          <w:p w:rsidR="00391BEE" w:rsidRDefault="00D52C21" w:rsidP="00391BEE">
            <w:pPr>
              <w:spacing w:before="60" w:after="60"/>
              <w:rPr>
                <w:rFonts w:ascii="Arial" w:hAnsi="Arial" w:cs="Arial"/>
                <w:b/>
                <w:sz w:val="18"/>
                <w:szCs w:val="18"/>
              </w:rPr>
            </w:pPr>
            <w:r w:rsidRPr="00AE3EF8">
              <w:rPr>
                <w:rFonts w:ascii="Arial" w:hAnsi="Arial" w:cs="Arial"/>
                <w:b/>
                <w:sz w:val="18"/>
                <w:szCs w:val="18"/>
              </w:rPr>
              <w:t>PARTICIPANTS</w:t>
            </w:r>
            <w:r>
              <w:rPr>
                <w:rFonts w:ascii="Arial" w:hAnsi="Arial" w:cs="Arial"/>
                <w:b/>
                <w:sz w:val="18"/>
                <w:szCs w:val="18"/>
              </w:rPr>
              <w:t xml:space="preserve"> &amp; TREATMENT ARMS</w:t>
            </w:r>
          </w:p>
        </w:tc>
        <w:tc>
          <w:tcPr>
            <w:tcW w:w="2274" w:type="dxa"/>
            <w:gridSpan w:val="7"/>
            <w:tcBorders>
              <w:left w:val="single" w:sz="4" w:space="0" w:color="auto"/>
            </w:tcBorders>
            <w:shd w:val="clear" w:color="auto" w:fill="F2F2F2" w:themeFill="background1" w:themeFillShade="F2"/>
          </w:tcPr>
          <w:p w:rsidR="00391BEE" w:rsidRDefault="00D52C21" w:rsidP="00391BEE">
            <w:pPr>
              <w:spacing w:before="60" w:after="60"/>
              <w:rPr>
                <w:rFonts w:ascii="Arial" w:hAnsi="Arial" w:cs="Arial"/>
                <w:sz w:val="18"/>
                <w:szCs w:val="18"/>
              </w:rPr>
            </w:pPr>
            <w:r>
              <w:rPr>
                <w:rFonts w:ascii="Arial" w:hAnsi="Arial" w:cs="Arial"/>
                <w:sz w:val="18"/>
                <w:szCs w:val="18"/>
              </w:rPr>
              <w:t>Arm 1</w:t>
            </w:r>
          </w:p>
        </w:tc>
        <w:tc>
          <w:tcPr>
            <w:tcW w:w="2347" w:type="dxa"/>
            <w:gridSpan w:val="3"/>
            <w:tcBorders>
              <w:left w:val="single" w:sz="4" w:space="0" w:color="auto"/>
            </w:tcBorders>
            <w:shd w:val="clear" w:color="auto" w:fill="F2F2F2" w:themeFill="background1" w:themeFillShade="F2"/>
          </w:tcPr>
          <w:p w:rsidR="00391BEE" w:rsidRDefault="00D52C21" w:rsidP="00391BEE">
            <w:pPr>
              <w:spacing w:before="60" w:after="60"/>
              <w:rPr>
                <w:rFonts w:ascii="Arial" w:hAnsi="Arial" w:cs="Arial"/>
                <w:sz w:val="18"/>
                <w:szCs w:val="18"/>
              </w:rPr>
            </w:pPr>
            <w:r>
              <w:rPr>
                <w:rFonts w:ascii="Arial" w:hAnsi="Arial" w:cs="Arial"/>
                <w:sz w:val="18"/>
                <w:szCs w:val="18"/>
              </w:rPr>
              <w:t>Arm 2</w:t>
            </w:r>
          </w:p>
        </w:tc>
        <w:tc>
          <w:tcPr>
            <w:tcW w:w="1481" w:type="dxa"/>
            <w:tcBorders>
              <w:left w:val="single" w:sz="4" w:space="0" w:color="auto"/>
            </w:tcBorders>
            <w:shd w:val="clear" w:color="auto" w:fill="F2F2F2" w:themeFill="background1" w:themeFillShade="F2"/>
          </w:tcPr>
          <w:p w:rsidR="00391BEE" w:rsidRDefault="00D52C21" w:rsidP="00391BEE">
            <w:pPr>
              <w:spacing w:before="60" w:after="60"/>
              <w:rPr>
                <w:rFonts w:ascii="Arial" w:hAnsi="Arial" w:cs="Arial"/>
                <w:sz w:val="18"/>
                <w:szCs w:val="18"/>
              </w:rPr>
            </w:pPr>
            <w:r>
              <w:rPr>
                <w:rFonts w:ascii="Arial" w:hAnsi="Arial" w:cs="Arial"/>
                <w:sz w:val="18"/>
                <w:szCs w:val="18"/>
              </w:rPr>
              <w:t>Arm 3</w:t>
            </w:r>
          </w:p>
        </w:tc>
      </w:tr>
      <w:tr w:rsidR="00D52C21" w:rsidRPr="00AE3EF8" w:rsidTr="00D52C21">
        <w:tc>
          <w:tcPr>
            <w:tcW w:w="2370" w:type="dxa"/>
            <w:tcBorders>
              <w:right w:val="single" w:sz="4" w:space="0" w:color="auto"/>
            </w:tcBorders>
          </w:tcPr>
          <w:p w:rsidR="00391BEE" w:rsidRDefault="00D52C21" w:rsidP="00391BEE">
            <w:pPr>
              <w:spacing w:before="60" w:after="60"/>
              <w:rPr>
                <w:rFonts w:ascii="Arial" w:hAnsi="Arial" w:cs="Arial"/>
                <w:sz w:val="18"/>
                <w:szCs w:val="18"/>
              </w:rPr>
            </w:pPr>
            <w:r>
              <w:rPr>
                <w:rFonts w:ascii="Arial" w:hAnsi="Arial" w:cs="Arial"/>
                <w:sz w:val="18"/>
                <w:szCs w:val="18"/>
              </w:rPr>
              <w:t>Intervention, dose and frequency</w:t>
            </w:r>
          </w:p>
        </w:tc>
        <w:tc>
          <w:tcPr>
            <w:tcW w:w="6102" w:type="dxa"/>
            <w:gridSpan w:val="11"/>
            <w:tcBorders>
              <w:left w:val="single" w:sz="4" w:space="0" w:color="auto"/>
            </w:tcBorders>
          </w:tcPr>
          <w:p w:rsidR="00391BEE" w:rsidRDefault="00391BEE" w:rsidP="00391BEE">
            <w:pPr>
              <w:spacing w:before="60" w:after="60"/>
              <w:rPr>
                <w:rFonts w:ascii="Arial" w:hAnsi="Arial" w:cs="Arial"/>
                <w:sz w:val="18"/>
                <w:szCs w:val="18"/>
              </w:rPr>
            </w:pPr>
          </w:p>
        </w:tc>
      </w:tr>
      <w:tr w:rsidR="00D52C21" w:rsidRPr="00AE3EF8" w:rsidTr="00D52C21">
        <w:tc>
          <w:tcPr>
            <w:tcW w:w="2370" w:type="dxa"/>
            <w:tcBorders>
              <w:right w:val="single" w:sz="4" w:space="0" w:color="auto"/>
            </w:tcBorders>
          </w:tcPr>
          <w:p w:rsidR="00391BEE" w:rsidRDefault="00D52C21" w:rsidP="00391BEE">
            <w:pPr>
              <w:spacing w:before="60" w:after="60"/>
              <w:rPr>
                <w:rFonts w:ascii="Arial" w:hAnsi="Arial" w:cs="Arial"/>
                <w:sz w:val="18"/>
                <w:szCs w:val="18"/>
              </w:rPr>
            </w:pPr>
            <w:r>
              <w:rPr>
                <w:rFonts w:ascii="Arial" w:hAnsi="Arial" w:cs="Arial"/>
                <w:sz w:val="18"/>
                <w:szCs w:val="18"/>
              </w:rPr>
              <w:t>Method of delivery, number of cycles, dose reductions</w:t>
            </w:r>
          </w:p>
        </w:tc>
        <w:tc>
          <w:tcPr>
            <w:tcW w:w="6102" w:type="dxa"/>
            <w:gridSpan w:val="11"/>
            <w:tcBorders>
              <w:left w:val="single" w:sz="4" w:space="0" w:color="auto"/>
            </w:tcBorders>
          </w:tcPr>
          <w:p w:rsidR="00391BEE" w:rsidRDefault="00391BEE" w:rsidP="00391BEE">
            <w:pPr>
              <w:spacing w:before="60" w:after="60"/>
              <w:rPr>
                <w:rFonts w:ascii="Arial" w:hAnsi="Arial" w:cs="Arial"/>
                <w:sz w:val="18"/>
                <w:szCs w:val="18"/>
              </w:rPr>
            </w:pPr>
          </w:p>
        </w:tc>
      </w:tr>
      <w:tr w:rsidR="00D52C21" w:rsidRPr="00AE3EF8" w:rsidTr="00D52C21">
        <w:tc>
          <w:tcPr>
            <w:tcW w:w="2370" w:type="dxa"/>
            <w:tcBorders>
              <w:right w:val="single" w:sz="4" w:space="0" w:color="auto"/>
            </w:tcBorders>
          </w:tcPr>
          <w:p w:rsidR="00391BEE" w:rsidRDefault="00D52C21" w:rsidP="00391BEE">
            <w:pPr>
              <w:spacing w:before="60" w:after="60"/>
              <w:rPr>
                <w:rFonts w:ascii="Arial" w:hAnsi="Arial" w:cs="Arial"/>
                <w:sz w:val="18"/>
                <w:szCs w:val="18"/>
              </w:rPr>
            </w:pPr>
            <w:r>
              <w:rPr>
                <w:rFonts w:ascii="Arial" w:hAnsi="Arial" w:cs="Arial"/>
                <w:sz w:val="18"/>
                <w:szCs w:val="18"/>
              </w:rPr>
              <w:t>Concomitant medication(s)</w:t>
            </w:r>
          </w:p>
        </w:tc>
        <w:tc>
          <w:tcPr>
            <w:tcW w:w="6102" w:type="dxa"/>
            <w:gridSpan w:val="11"/>
            <w:tcBorders>
              <w:left w:val="single" w:sz="4" w:space="0" w:color="auto"/>
            </w:tcBorders>
          </w:tcPr>
          <w:p w:rsidR="00391BEE" w:rsidRDefault="00391BEE" w:rsidP="00391BEE">
            <w:pPr>
              <w:spacing w:before="60" w:after="60"/>
              <w:rPr>
                <w:rFonts w:ascii="Arial" w:hAnsi="Arial" w:cs="Arial"/>
                <w:sz w:val="18"/>
                <w:szCs w:val="18"/>
              </w:rPr>
            </w:pPr>
          </w:p>
        </w:tc>
      </w:tr>
      <w:tr w:rsidR="00D52C21" w:rsidRPr="00AE3EF8" w:rsidTr="00D52C21">
        <w:tc>
          <w:tcPr>
            <w:tcW w:w="2370" w:type="dxa"/>
            <w:tcBorders>
              <w:right w:val="single" w:sz="4" w:space="0" w:color="auto"/>
            </w:tcBorders>
          </w:tcPr>
          <w:p w:rsidR="00391BEE" w:rsidRDefault="00D52C21" w:rsidP="00391BEE">
            <w:pPr>
              <w:spacing w:before="60" w:after="60"/>
              <w:rPr>
                <w:rFonts w:ascii="Arial" w:hAnsi="Arial" w:cs="Arial"/>
                <w:sz w:val="18"/>
                <w:szCs w:val="18"/>
              </w:rPr>
            </w:pPr>
            <w:r>
              <w:rPr>
                <w:rFonts w:ascii="Arial" w:hAnsi="Arial" w:cs="Arial"/>
                <w:sz w:val="18"/>
                <w:szCs w:val="18"/>
              </w:rPr>
              <w:t>Number randomised</w:t>
            </w:r>
          </w:p>
        </w:tc>
        <w:tc>
          <w:tcPr>
            <w:tcW w:w="6102" w:type="dxa"/>
            <w:gridSpan w:val="11"/>
            <w:tcBorders>
              <w:left w:val="single" w:sz="4" w:space="0" w:color="auto"/>
            </w:tcBorders>
          </w:tcPr>
          <w:p w:rsidR="00391BEE" w:rsidRDefault="00391BEE" w:rsidP="00391BEE">
            <w:pPr>
              <w:spacing w:before="60" w:after="60"/>
              <w:rPr>
                <w:rFonts w:ascii="Arial" w:hAnsi="Arial" w:cs="Arial"/>
                <w:sz w:val="18"/>
                <w:szCs w:val="18"/>
              </w:rPr>
            </w:pPr>
          </w:p>
        </w:tc>
      </w:tr>
      <w:tr w:rsidR="00D52C21" w:rsidRPr="00AE3EF8" w:rsidTr="00D52C21">
        <w:tc>
          <w:tcPr>
            <w:tcW w:w="2370" w:type="dxa"/>
            <w:tcBorders>
              <w:right w:val="single" w:sz="4" w:space="0" w:color="auto"/>
            </w:tcBorders>
          </w:tcPr>
          <w:p w:rsidR="00391BEE" w:rsidRDefault="00D52C21" w:rsidP="00391BEE">
            <w:pPr>
              <w:spacing w:before="60" w:after="60"/>
              <w:rPr>
                <w:rFonts w:ascii="Arial" w:hAnsi="Arial" w:cs="Arial"/>
                <w:sz w:val="18"/>
                <w:szCs w:val="18"/>
              </w:rPr>
            </w:pPr>
            <w:r>
              <w:rPr>
                <w:rFonts w:ascii="Arial" w:hAnsi="Arial" w:cs="Arial"/>
                <w:sz w:val="18"/>
                <w:szCs w:val="18"/>
              </w:rPr>
              <w:t>Number withdrawn</w:t>
            </w:r>
          </w:p>
        </w:tc>
        <w:tc>
          <w:tcPr>
            <w:tcW w:w="6102" w:type="dxa"/>
            <w:gridSpan w:val="11"/>
            <w:tcBorders>
              <w:left w:val="single" w:sz="4" w:space="0" w:color="auto"/>
            </w:tcBorders>
          </w:tcPr>
          <w:p w:rsidR="00391BEE" w:rsidRDefault="00391BEE" w:rsidP="00391BEE">
            <w:pPr>
              <w:spacing w:before="60" w:after="60"/>
              <w:rPr>
                <w:rFonts w:ascii="Arial" w:hAnsi="Arial" w:cs="Arial"/>
                <w:sz w:val="18"/>
                <w:szCs w:val="18"/>
              </w:rPr>
            </w:pPr>
          </w:p>
        </w:tc>
      </w:tr>
      <w:tr w:rsidR="00D52C21" w:rsidRPr="00AE3EF8" w:rsidTr="00D52C21">
        <w:tc>
          <w:tcPr>
            <w:tcW w:w="2370" w:type="dxa"/>
            <w:tcBorders>
              <w:right w:val="single" w:sz="4" w:space="0" w:color="auto"/>
            </w:tcBorders>
          </w:tcPr>
          <w:p w:rsidR="00391BEE" w:rsidRDefault="00D52C21" w:rsidP="00391BEE">
            <w:pPr>
              <w:spacing w:before="60" w:after="60"/>
              <w:rPr>
                <w:rFonts w:ascii="Arial" w:hAnsi="Arial" w:cs="Arial"/>
                <w:sz w:val="18"/>
                <w:szCs w:val="18"/>
              </w:rPr>
            </w:pPr>
            <w:r w:rsidRPr="00AE3EF8">
              <w:rPr>
                <w:rFonts w:ascii="Arial" w:hAnsi="Arial" w:cs="Arial"/>
                <w:sz w:val="18"/>
                <w:szCs w:val="18"/>
              </w:rPr>
              <w:t xml:space="preserve">Advanced </w:t>
            </w:r>
            <w:r>
              <w:rPr>
                <w:rFonts w:ascii="Arial" w:hAnsi="Arial" w:cs="Arial"/>
                <w:sz w:val="18"/>
                <w:szCs w:val="18"/>
              </w:rPr>
              <w:t>and/</w:t>
            </w:r>
            <w:r w:rsidRPr="00AE3EF8">
              <w:rPr>
                <w:rFonts w:ascii="Arial" w:hAnsi="Arial" w:cs="Arial"/>
                <w:sz w:val="18"/>
                <w:szCs w:val="18"/>
              </w:rPr>
              <w:t>or metastatic disease</w:t>
            </w:r>
          </w:p>
        </w:tc>
        <w:tc>
          <w:tcPr>
            <w:tcW w:w="6102" w:type="dxa"/>
            <w:gridSpan w:val="11"/>
            <w:tcBorders>
              <w:left w:val="single" w:sz="4" w:space="0" w:color="auto"/>
            </w:tcBorders>
          </w:tcPr>
          <w:p w:rsidR="00391BEE" w:rsidRDefault="00391BEE" w:rsidP="00391BEE">
            <w:pPr>
              <w:spacing w:before="60" w:after="60"/>
              <w:rPr>
                <w:rFonts w:ascii="Arial" w:hAnsi="Arial" w:cs="Arial"/>
                <w:sz w:val="18"/>
                <w:szCs w:val="18"/>
              </w:rPr>
            </w:pPr>
          </w:p>
        </w:tc>
      </w:tr>
      <w:tr w:rsidR="00D52C21" w:rsidRPr="00AE3EF8" w:rsidTr="00D52C21">
        <w:tc>
          <w:tcPr>
            <w:tcW w:w="2370" w:type="dxa"/>
            <w:tcBorders>
              <w:right w:val="single" w:sz="4" w:space="0" w:color="auto"/>
            </w:tcBorders>
          </w:tcPr>
          <w:p w:rsidR="00391BEE" w:rsidRDefault="00D52C21" w:rsidP="00391BEE">
            <w:pPr>
              <w:spacing w:before="60" w:after="60"/>
              <w:rPr>
                <w:rFonts w:ascii="Arial" w:hAnsi="Arial" w:cs="Arial"/>
                <w:sz w:val="18"/>
                <w:szCs w:val="18"/>
              </w:rPr>
            </w:pPr>
            <w:r w:rsidRPr="00AE3EF8">
              <w:rPr>
                <w:rFonts w:ascii="Arial" w:hAnsi="Arial" w:cs="Arial"/>
                <w:sz w:val="18"/>
                <w:szCs w:val="18"/>
              </w:rPr>
              <w:t>Previous treatments</w:t>
            </w:r>
          </w:p>
        </w:tc>
        <w:tc>
          <w:tcPr>
            <w:tcW w:w="6102" w:type="dxa"/>
            <w:gridSpan w:val="11"/>
            <w:tcBorders>
              <w:left w:val="single" w:sz="4" w:space="0" w:color="auto"/>
            </w:tcBorders>
          </w:tcPr>
          <w:p w:rsidR="00391BEE" w:rsidRDefault="00391BEE" w:rsidP="00391BEE">
            <w:pPr>
              <w:spacing w:before="60" w:after="60"/>
              <w:rPr>
                <w:rFonts w:ascii="Arial" w:hAnsi="Arial" w:cs="Arial"/>
                <w:sz w:val="18"/>
                <w:szCs w:val="18"/>
              </w:rPr>
            </w:pPr>
          </w:p>
        </w:tc>
      </w:tr>
      <w:tr w:rsidR="00D52C21" w:rsidRPr="00AE3EF8" w:rsidTr="00D52C21">
        <w:tc>
          <w:tcPr>
            <w:tcW w:w="2370" w:type="dxa"/>
            <w:tcBorders>
              <w:right w:val="single" w:sz="4" w:space="0" w:color="auto"/>
            </w:tcBorders>
          </w:tcPr>
          <w:p w:rsidR="00391BEE" w:rsidRDefault="00D52C21" w:rsidP="00391BEE">
            <w:pPr>
              <w:spacing w:before="60" w:after="60"/>
              <w:rPr>
                <w:rFonts w:ascii="Arial" w:hAnsi="Arial" w:cs="Arial"/>
                <w:sz w:val="18"/>
                <w:szCs w:val="18"/>
              </w:rPr>
            </w:pPr>
            <w:r w:rsidRPr="00AE3EF8">
              <w:rPr>
                <w:rFonts w:ascii="Arial" w:hAnsi="Arial" w:cs="Arial"/>
                <w:sz w:val="18"/>
                <w:szCs w:val="18"/>
              </w:rPr>
              <w:t xml:space="preserve">Age, years: </w:t>
            </w:r>
            <w:proofErr w:type="spellStart"/>
            <w:r w:rsidRPr="00AE3EF8">
              <w:rPr>
                <w:rFonts w:ascii="Arial" w:hAnsi="Arial" w:cs="Arial"/>
                <w:sz w:val="18"/>
                <w:szCs w:val="18"/>
              </w:rPr>
              <w:t>mean±SD</w:t>
            </w:r>
            <w:proofErr w:type="spellEnd"/>
            <w:r w:rsidRPr="00AE3EF8">
              <w:rPr>
                <w:rFonts w:ascii="Arial" w:hAnsi="Arial" w:cs="Arial"/>
                <w:sz w:val="18"/>
                <w:szCs w:val="18"/>
              </w:rPr>
              <w:t xml:space="preserve"> (range)</w:t>
            </w:r>
          </w:p>
        </w:tc>
        <w:tc>
          <w:tcPr>
            <w:tcW w:w="6102" w:type="dxa"/>
            <w:gridSpan w:val="11"/>
            <w:tcBorders>
              <w:left w:val="single" w:sz="4" w:space="0" w:color="auto"/>
            </w:tcBorders>
          </w:tcPr>
          <w:p w:rsidR="00391BEE" w:rsidRDefault="00391BEE" w:rsidP="00391BEE">
            <w:pPr>
              <w:spacing w:before="60" w:after="60"/>
              <w:rPr>
                <w:rFonts w:ascii="Arial" w:hAnsi="Arial" w:cs="Arial"/>
                <w:sz w:val="18"/>
                <w:szCs w:val="18"/>
              </w:rPr>
            </w:pPr>
          </w:p>
        </w:tc>
      </w:tr>
      <w:tr w:rsidR="00D52C21" w:rsidRPr="00AE3EF8" w:rsidTr="00D52C21">
        <w:tc>
          <w:tcPr>
            <w:tcW w:w="2370" w:type="dxa"/>
            <w:tcBorders>
              <w:right w:val="single" w:sz="4" w:space="0" w:color="auto"/>
            </w:tcBorders>
          </w:tcPr>
          <w:p w:rsidR="00391BEE" w:rsidRDefault="00D52C21" w:rsidP="00391BEE">
            <w:pPr>
              <w:spacing w:before="60" w:after="60"/>
              <w:rPr>
                <w:rFonts w:ascii="Arial" w:hAnsi="Arial" w:cs="Arial"/>
                <w:sz w:val="18"/>
                <w:szCs w:val="18"/>
              </w:rPr>
            </w:pPr>
            <w:r w:rsidRPr="00AE3EF8">
              <w:rPr>
                <w:rFonts w:ascii="Arial" w:hAnsi="Arial" w:cs="Arial"/>
                <w:sz w:val="18"/>
                <w:szCs w:val="18"/>
              </w:rPr>
              <w:t>Ethnicity, n (%)</w:t>
            </w:r>
          </w:p>
        </w:tc>
        <w:tc>
          <w:tcPr>
            <w:tcW w:w="6102" w:type="dxa"/>
            <w:gridSpan w:val="11"/>
            <w:tcBorders>
              <w:left w:val="single" w:sz="4" w:space="0" w:color="auto"/>
            </w:tcBorders>
          </w:tcPr>
          <w:p w:rsidR="00391BEE" w:rsidRDefault="00391BEE" w:rsidP="00391BEE">
            <w:pPr>
              <w:spacing w:before="60" w:after="60"/>
              <w:rPr>
                <w:rFonts w:ascii="Arial" w:hAnsi="Arial" w:cs="Arial"/>
                <w:sz w:val="18"/>
                <w:szCs w:val="18"/>
              </w:rPr>
            </w:pPr>
          </w:p>
        </w:tc>
      </w:tr>
      <w:tr w:rsidR="00D52C21" w:rsidRPr="00AE3EF8" w:rsidTr="00D52C21">
        <w:tc>
          <w:tcPr>
            <w:tcW w:w="2370" w:type="dxa"/>
            <w:tcBorders>
              <w:right w:val="single" w:sz="4" w:space="0" w:color="auto"/>
            </w:tcBorders>
          </w:tcPr>
          <w:p w:rsidR="00391BEE" w:rsidRDefault="00D52C21" w:rsidP="00391BEE">
            <w:pPr>
              <w:spacing w:before="60" w:after="60"/>
              <w:rPr>
                <w:rFonts w:ascii="Arial" w:hAnsi="Arial" w:cs="Arial"/>
                <w:sz w:val="18"/>
                <w:szCs w:val="18"/>
              </w:rPr>
            </w:pPr>
            <w:r w:rsidRPr="00AE3EF8">
              <w:rPr>
                <w:rFonts w:ascii="Arial" w:hAnsi="Arial" w:cs="Arial"/>
                <w:sz w:val="18"/>
                <w:szCs w:val="18"/>
              </w:rPr>
              <w:t>Inclusion criteria</w:t>
            </w:r>
          </w:p>
        </w:tc>
        <w:tc>
          <w:tcPr>
            <w:tcW w:w="6102" w:type="dxa"/>
            <w:gridSpan w:val="11"/>
            <w:tcBorders>
              <w:left w:val="single" w:sz="4" w:space="0" w:color="auto"/>
            </w:tcBorders>
          </w:tcPr>
          <w:p w:rsidR="00391BEE" w:rsidRDefault="00391BEE" w:rsidP="00391BEE">
            <w:pPr>
              <w:spacing w:before="60" w:after="60"/>
              <w:rPr>
                <w:rFonts w:ascii="Arial" w:hAnsi="Arial" w:cs="Arial"/>
                <w:sz w:val="18"/>
                <w:szCs w:val="18"/>
              </w:rPr>
            </w:pPr>
          </w:p>
        </w:tc>
      </w:tr>
      <w:tr w:rsidR="00D52C21" w:rsidRPr="00AE3EF8" w:rsidTr="00D52C21">
        <w:tc>
          <w:tcPr>
            <w:tcW w:w="2370" w:type="dxa"/>
            <w:tcBorders>
              <w:bottom w:val="single" w:sz="4" w:space="0" w:color="auto"/>
              <w:right w:val="single" w:sz="4" w:space="0" w:color="auto"/>
            </w:tcBorders>
          </w:tcPr>
          <w:p w:rsidR="00391BEE" w:rsidRDefault="00D52C21" w:rsidP="00391BEE">
            <w:pPr>
              <w:spacing w:before="60" w:after="60"/>
              <w:rPr>
                <w:rFonts w:ascii="Arial" w:hAnsi="Arial" w:cs="Arial"/>
                <w:sz w:val="18"/>
                <w:szCs w:val="18"/>
              </w:rPr>
            </w:pPr>
            <w:r w:rsidRPr="00AE3EF8">
              <w:rPr>
                <w:rFonts w:ascii="Arial" w:hAnsi="Arial" w:cs="Arial"/>
                <w:sz w:val="18"/>
                <w:szCs w:val="18"/>
              </w:rPr>
              <w:t>Exclusion criteria</w:t>
            </w:r>
          </w:p>
        </w:tc>
        <w:tc>
          <w:tcPr>
            <w:tcW w:w="6102" w:type="dxa"/>
            <w:gridSpan w:val="11"/>
            <w:tcBorders>
              <w:left w:val="single" w:sz="4" w:space="0" w:color="auto"/>
              <w:bottom w:val="single" w:sz="4" w:space="0" w:color="auto"/>
            </w:tcBorders>
          </w:tcPr>
          <w:p w:rsidR="00391BEE" w:rsidRDefault="00391BEE" w:rsidP="00391BEE">
            <w:pPr>
              <w:spacing w:before="60" w:after="60"/>
              <w:rPr>
                <w:rFonts w:ascii="Arial" w:hAnsi="Arial" w:cs="Arial"/>
                <w:sz w:val="18"/>
                <w:szCs w:val="18"/>
              </w:rPr>
            </w:pPr>
          </w:p>
        </w:tc>
      </w:tr>
      <w:tr w:rsidR="00D52C21" w:rsidRPr="00AE3EF8" w:rsidTr="00D52C21">
        <w:tc>
          <w:tcPr>
            <w:tcW w:w="2370" w:type="dxa"/>
            <w:tcBorders>
              <w:bottom w:val="single" w:sz="4" w:space="0" w:color="auto"/>
              <w:right w:val="single" w:sz="4" w:space="0" w:color="auto"/>
            </w:tcBorders>
          </w:tcPr>
          <w:p w:rsidR="00391BEE" w:rsidRDefault="00D52C21" w:rsidP="00391BEE">
            <w:pPr>
              <w:spacing w:before="60" w:after="60"/>
              <w:rPr>
                <w:rFonts w:ascii="Arial" w:hAnsi="Arial" w:cs="Arial"/>
                <w:sz w:val="18"/>
                <w:szCs w:val="18"/>
              </w:rPr>
            </w:pPr>
            <w:r w:rsidRPr="00AE3EF8">
              <w:rPr>
                <w:rFonts w:ascii="Arial" w:hAnsi="Arial" w:cs="Arial"/>
                <w:sz w:val="18"/>
                <w:szCs w:val="18"/>
              </w:rPr>
              <w:t>Subgroups</w:t>
            </w:r>
          </w:p>
        </w:tc>
        <w:tc>
          <w:tcPr>
            <w:tcW w:w="6102" w:type="dxa"/>
            <w:gridSpan w:val="11"/>
            <w:tcBorders>
              <w:left w:val="single" w:sz="4" w:space="0" w:color="auto"/>
              <w:bottom w:val="single" w:sz="4" w:space="0" w:color="auto"/>
            </w:tcBorders>
          </w:tcPr>
          <w:p w:rsidR="00391BEE" w:rsidRDefault="00391BEE" w:rsidP="00391BEE">
            <w:pPr>
              <w:spacing w:before="60" w:after="60"/>
              <w:rPr>
                <w:rFonts w:ascii="Arial" w:hAnsi="Arial" w:cs="Arial"/>
                <w:sz w:val="18"/>
                <w:szCs w:val="18"/>
              </w:rPr>
            </w:pPr>
          </w:p>
        </w:tc>
      </w:tr>
      <w:tr w:rsidR="001B77B3" w:rsidRPr="00AE3EF8" w:rsidTr="009118EE">
        <w:tc>
          <w:tcPr>
            <w:tcW w:w="8472" w:type="dxa"/>
            <w:gridSpan w:val="12"/>
            <w:shd w:val="clear" w:color="auto" w:fill="F2F2F2" w:themeFill="background1" w:themeFillShade="F2"/>
          </w:tcPr>
          <w:p w:rsidR="00391BEE" w:rsidRDefault="001B77B3" w:rsidP="00391BEE">
            <w:pPr>
              <w:spacing w:before="60" w:after="60"/>
              <w:rPr>
                <w:rFonts w:ascii="Arial" w:hAnsi="Arial" w:cs="Arial"/>
                <w:sz w:val="18"/>
                <w:szCs w:val="18"/>
              </w:rPr>
            </w:pPr>
            <w:r w:rsidRPr="00AE3EF8">
              <w:rPr>
                <w:rFonts w:ascii="Arial" w:hAnsi="Arial" w:cs="Arial"/>
                <w:b/>
                <w:sz w:val="18"/>
                <w:szCs w:val="18"/>
              </w:rPr>
              <w:t>ANALYSIS</w:t>
            </w:r>
          </w:p>
        </w:tc>
      </w:tr>
      <w:tr w:rsidR="00D52C21" w:rsidRPr="00AE3EF8" w:rsidTr="00D52C21">
        <w:tc>
          <w:tcPr>
            <w:tcW w:w="2370" w:type="dxa"/>
            <w:tcBorders>
              <w:right w:val="single" w:sz="4" w:space="0" w:color="auto"/>
            </w:tcBorders>
          </w:tcPr>
          <w:p w:rsidR="00391BEE" w:rsidRDefault="00D52C21" w:rsidP="00391BEE">
            <w:pPr>
              <w:spacing w:before="60" w:after="60"/>
              <w:rPr>
                <w:rFonts w:ascii="Arial" w:hAnsi="Arial" w:cs="Arial"/>
                <w:sz w:val="18"/>
                <w:szCs w:val="18"/>
              </w:rPr>
            </w:pPr>
            <w:r w:rsidRPr="00AE3EF8">
              <w:rPr>
                <w:rFonts w:ascii="Arial" w:hAnsi="Arial" w:cs="Arial"/>
                <w:sz w:val="18"/>
                <w:szCs w:val="18"/>
              </w:rPr>
              <w:t>Primary outcome</w:t>
            </w:r>
          </w:p>
        </w:tc>
        <w:tc>
          <w:tcPr>
            <w:tcW w:w="6102" w:type="dxa"/>
            <w:gridSpan w:val="11"/>
            <w:tcBorders>
              <w:left w:val="single" w:sz="4" w:space="0" w:color="auto"/>
            </w:tcBorders>
          </w:tcPr>
          <w:p w:rsidR="00391BEE" w:rsidRDefault="00391BEE" w:rsidP="00391BEE">
            <w:pPr>
              <w:spacing w:before="60" w:after="60"/>
              <w:rPr>
                <w:rFonts w:ascii="Arial" w:hAnsi="Arial" w:cs="Arial"/>
                <w:sz w:val="18"/>
                <w:szCs w:val="18"/>
              </w:rPr>
            </w:pPr>
          </w:p>
        </w:tc>
      </w:tr>
      <w:tr w:rsidR="00D52C21" w:rsidRPr="00AE3EF8" w:rsidTr="00D52C21">
        <w:tc>
          <w:tcPr>
            <w:tcW w:w="2370" w:type="dxa"/>
            <w:tcBorders>
              <w:bottom w:val="single" w:sz="4" w:space="0" w:color="auto"/>
              <w:right w:val="single" w:sz="4" w:space="0" w:color="auto"/>
            </w:tcBorders>
          </w:tcPr>
          <w:p w:rsidR="00391BEE" w:rsidRDefault="00D52C21" w:rsidP="00391BEE">
            <w:pPr>
              <w:spacing w:before="60" w:after="60"/>
              <w:rPr>
                <w:rFonts w:ascii="Arial" w:hAnsi="Arial" w:cs="Arial"/>
                <w:sz w:val="18"/>
                <w:szCs w:val="18"/>
              </w:rPr>
            </w:pPr>
            <w:r w:rsidRPr="00AE3EF8">
              <w:rPr>
                <w:rFonts w:ascii="Arial" w:hAnsi="Arial" w:cs="Arial"/>
                <w:sz w:val="18"/>
                <w:szCs w:val="18"/>
              </w:rPr>
              <w:t>Secondary outcomes</w:t>
            </w:r>
          </w:p>
        </w:tc>
        <w:tc>
          <w:tcPr>
            <w:tcW w:w="6102" w:type="dxa"/>
            <w:gridSpan w:val="11"/>
            <w:tcBorders>
              <w:left w:val="single" w:sz="4" w:space="0" w:color="auto"/>
              <w:bottom w:val="single" w:sz="4" w:space="0" w:color="auto"/>
            </w:tcBorders>
          </w:tcPr>
          <w:p w:rsidR="00391BEE" w:rsidRDefault="00391BEE" w:rsidP="00391BEE">
            <w:pPr>
              <w:spacing w:before="60" w:after="60"/>
              <w:rPr>
                <w:rFonts w:ascii="Arial" w:hAnsi="Arial" w:cs="Arial"/>
                <w:sz w:val="18"/>
                <w:szCs w:val="18"/>
              </w:rPr>
            </w:pPr>
          </w:p>
        </w:tc>
      </w:tr>
      <w:tr w:rsidR="00D52C21" w:rsidRPr="00AE3EF8" w:rsidTr="00D52C21">
        <w:tc>
          <w:tcPr>
            <w:tcW w:w="2370" w:type="dxa"/>
            <w:tcBorders>
              <w:right w:val="single" w:sz="4" w:space="0" w:color="auto"/>
            </w:tcBorders>
            <w:shd w:val="clear" w:color="auto" w:fill="F2F2F2" w:themeFill="background1" w:themeFillShade="F2"/>
          </w:tcPr>
          <w:p w:rsidR="00391BEE" w:rsidRDefault="00D52C21" w:rsidP="00391BEE">
            <w:pPr>
              <w:spacing w:before="60" w:after="60"/>
              <w:rPr>
                <w:rFonts w:ascii="Arial" w:hAnsi="Arial" w:cs="Arial"/>
                <w:b/>
                <w:sz w:val="18"/>
                <w:szCs w:val="18"/>
              </w:rPr>
            </w:pPr>
            <w:r>
              <w:rPr>
                <w:rFonts w:ascii="Arial" w:hAnsi="Arial" w:cs="Arial"/>
                <w:b/>
                <w:sz w:val="18"/>
                <w:szCs w:val="18"/>
              </w:rPr>
              <w:t>BINARY O</w:t>
            </w:r>
            <w:r w:rsidRPr="00AE3EF8">
              <w:rPr>
                <w:rFonts w:ascii="Arial" w:hAnsi="Arial" w:cs="Arial"/>
                <w:b/>
                <w:sz w:val="18"/>
                <w:szCs w:val="18"/>
              </w:rPr>
              <w:t>UTCOMES</w:t>
            </w:r>
          </w:p>
        </w:tc>
        <w:tc>
          <w:tcPr>
            <w:tcW w:w="1836" w:type="dxa"/>
            <w:gridSpan w:val="4"/>
            <w:tcBorders>
              <w:left w:val="single" w:sz="4" w:space="0" w:color="auto"/>
            </w:tcBorders>
            <w:shd w:val="clear" w:color="auto" w:fill="F2F2F2" w:themeFill="background1" w:themeFillShade="F2"/>
          </w:tcPr>
          <w:p w:rsidR="00391BEE" w:rsidRDefault="00D52C21" w:rsidP="00391BEE">
            <w:pPr>
              <w:spacing w:before="60" w:after="60"/>
              <w:rPr>
                <w:rFonts w:ascii="Arial" w:hAnsi="Arial" w:cs="Arial"/>
                <w:b/>
                <w:sz w:val="18"/>
                <w:szCs w:val="18"/>
              </w:rPr>
            </w:pPr>
            <w:r w:rsidRPr="008E6F92">
              <w:rPr>
                <w:rFonts w:ascii="Arial" w:hAnsi="Arial" w:cs="Arial"/>
                <w:b/>
                <w:sz w:val="18"/>
                <w:szCs w:val="18"/>
              </w:rPr>
              <w:t>Arm 1 (n=)</w:t>
            </w:r>
          </w:p>
        </w:tc>
        <w:tc>
          <w:tcPr>
            <w:tcW w:w="2703" w:type="dxa"/>
            <w:gridSpan w:val="5"/>
            <w:tcBorders>
              <w:left w:val="single" w:sz="6" w:space="0" w:color="757575"/>
              <w:right w:val="single" w:sz="4" w:space="0" w:color="auto"/>
            </w:tcBorders>
            <w:shd w:val="clear" w:color="auto" w:fill="F2F2F2" w:themeFill="background1" w:themeFillShade="F2"/>
          </w:tcPr>
          <w:p w:rsidR="00391BEE" w:rsidRDefault="00D52C21" w:rsidP="00391BEE">
            <w:pPr>
              <w:spacing w:before="60" w:after="60"/>
              <w:rPr>
                <w:rFonts w:ascii="Arial" w:hAnsi="Arial" w:cs="Arial"/>
                <w:b/>
                <w:sz w:val="18"/>
                <w:szCs w:val="18"/>
              </w:rPr>
            </w:pPr>
            <w:r w:rsidRPr="008E6F92">
              <w:rPr>
                <w:rFonts w:ascii="Arial" w:hAnsi="Arial" w:cs="Arial"/>
                <w:b/>
                <w:sz w:val="18"/>
                <w:szCs w:val="18"/>
              </w:rPr>
              <w:t>Arm 2 (n=)</w:t>
            </w:r>
          </w:p>
        </w:tc>
        <w:tc>
          <w:tcPr>
            <w:tcW w:w="1563" w:type="dxa"/>
            <w:gridSpan w:val="2"/>
            <w:tcBorders>
              <w:left w:val="single" w:sz="4" w:space="0" w:color="auto"/>
            </w:tcBorders>
            <w:shd w:val="clear" w:color="auto" w:fill="F2F2F2" w:themeFill="background1" w:themeFillShade="F2"/>
          </w:tcPr>
          <w:p w:rsidR="00391BEE" w:rsidRDefault="00D52C21" w:rsidP="00391BEE">
            <w:pPr>
              <w:spacing w:before="60" w:after="60"/>
              <w:rPr>
                <w:rFonts w:ascii="Arial" w:hAnsi="Arial" w:cs="Arial"/>
                <w:b/>
                <w:sz w:val="18"/>
                <w:szCs w:val="18"/>
              </w:rPr>
            </w:pPr>
            <w:r w:rsidRPr="00AE3EF8">
              <w:rPr>
                <w:rFonts w:ascii="Arial" w:hAnsi="Arial" w:cs="Arial"/>
                <w:b/>
                <w:sz w:val="18"/>
                <w:szCs w:val="18"/>
              </w:rPr>
              <w:t>Arm 3 (n=)</w:t>
            </w:r>
          </w:p>
        </w:tc>
      </w:tr>
      <w:tr w:rsidR="00D52C21" w:rsidRPr="00AE3EF8" w:rsidTr="00D52C21">
        <w:tc>
          <w:tcPr>
            <w:tcW w:w="2370" w:type="dxa"/>
            <w:vMerge w:val="restart"/>
            <w:tcBorders>
              <w:right w:val="single" w:sz="4" w:space="0" w:color="auto"/>
            </w:tcBorders>
          </w:tcPr>
          <w:p w:rsidR="00391BEE" w:rsidRDefault="00D52C21" w:rsidP="00391BEE">
            <w:pPr>
              <w:spacing w:before="60" w:after="60"/>
              <w:rPr>
                <w:rFonts w:ascii="Arial" w:hAnsi="Arial" w:cs="Arial"/>
                <w:sz w:val="18"/>
                <w:szCs w:val="18"/>
              </w:rPr>
            </w:pPr>
            <w:r w:rsidRPr="00AE3EF8">
              <w:rPr>
                <w:rFonts w:ascii="Arial" w:hAnsi="Arial" w:cs="Arial"/>
                <w:sz w:val="18"/>
                <w:szCs w:val="18"/>
              </w:rPr>
              <w:t>Overall survival, n (%)</w:t>
            </w:r>
          </w:p>
        </w:tc>
        <w:tc>
          <w:tcPr>
            <w:tcW w:w="1836" w:type="dxa"/>
            <w:gridSpan w:val="4"/>
            <w:tcBorders>
              <w:left w:val="single" w:sz="4" w:space="0" w:color="auto"/>
            </w:tcBorders>
          </w:tcPr>
          <w:p w:rsidR="00391BEE" w:rsidRDefault="00391BEE" w:rsidP="00391BEE">
            <w:pPr>
              <w:spacing w:before="60" w:after="60"/>
              <w:rPr>
                <w:rFonts w:ascii="Arial" w:hAnsi="Arial" w:cs="Arial"/>
                <w:sz w:val="18"/>
                <w:szCs w:val="18"/>
              </w:rPr>
            </w:pPr>
          </w:p>
        </w:tc>
        <w:tc>
          <w:tcPr>
            <w:tcW w:w="2703" w:type="dxa"/>
            <w:gridSpan w:val="5"/>
            <w:tcBorders>
              <w:left w:val="single" w:sz="6" w:space="0" w:color="757575"/>
              <w:right w:val="single" w:sz="4" w:space="0" w:color="auto"/>
            </w:tcBorders>
          </w:tcPr>
          <w:p w:rsidR="00391BEE" w:rsidRDefault="00391BEE" w:rsidP="00391BEE">
            <w:pPr>
              <w:spacing w:before="60" w:after="60"/>
              <w:rPr>
                <w:rFonts w:ascii="Arial" w:hAnsi="Arial" w:cs="Arial"/>
                <w:sz w:val="18"/>
                <w:szCs w:val="18"/>
              </w:rPr>
            </w:pPr>
          </w:p>
        </w:tc>
        <w:tc>
          <w:tcPr>
            <w:tcW w:w="1563" w:type="dxa"/>
            <w:gridSpan w:val="2"/>
            <w:tcBorders>
              <w:left w:val="single" w:sz="4" w:space="0" w:color="auto"/>
            </w:tcBorders>
          </w:tcPr>
          <w:p w:rsidR="00391BEE" w:rsidRDefault="00391BEE" w:rsidP="00391BEE">
            <w:pPr>
              <w:spacing w:before="60" w:after="60"/>
              <w:rPr>
                <w:rFonts w:ascii="Arial" w:hAnsi="Arial" w:cs="Arial"/>
                <w:sz w:val="18"/>
                <w:szCs w:val="18"/>
              </w:rPr>
            </w:pPr>
          </w:p>
        </w:tc>
      </w:tr>
      <w:tr w:rsidR="00D52C21" w:rsidRPr="00AE3EF8" w:rsidTr="00D52C21">
        <w:trPr>
          <w:trHeight w:val="317"/>
        </w:trPr>
        <w:tc>
          <w:tcPr>
            <w:tcW w:w="2370" w:type="dxa"/>
            <w:vMerge/>
            <w:tcBorders>
              <w:right w:val="single" w:sz="4" w:space="0" w:color="auto"/>
            </w:tcBorders>
          </w:tcPr>
          <w:p w:rsidR="00391BEE" w:rsidRDefault="00391BEE" w:rsidP="00391BEE">
            <w:pPr>
              <w:spacing w:before="60" w:after="60"/>
              <w:rPr>
                <w:rFonts w:ascii="Arial" w:hAnsi="Arial" w:cs="Arial"/>
                <w:sz w:val="18"/>
                <w:szCs w:val="18"/>
              </w:rPr>
            </w:pPr>
          </w:p>
        </w:tc>
        <w:tc>
          <w:tcPr>
            <w:tcW w:w="6102" w:type="dxa"/>
            <w:gridSpan w:val="11"/>
            <w:tcBorders>
              <w:left w:val="single" w:sz="4" w:space="0" w:color="auto"/>
            </w:tcBorders>
          </w:tcPr>
          <w:p w:rsidR="00391BEE" w:rsidRDefault="00D52C21" w:rsidP="00391BEE">
            <w:pPr>
              <w:spacing w:before="60" w:after="60"/>
              <w:rPr>
                <w:rFonts w:ascii="Arial" w:hAnsi="Arial" w:cs="Arial"/>
                <w:sz w:val="18"/>
                <w:szCs w:val="18"/>
              </w:rPr>
            </w:pPr>
            <w:r w:rsidRPr="008E6F92">
              <w:rPr>
                <w:rFonts w:ascii="Arial" w:hAnsi="Arial" w:cs="Arial"/>
                <w:sz w:val="18"/>
                <w:szCs w:val="18"/>
              </w:rPr>
              <w:t>Notes: p-value, 95% CI and subgroups</w:t>
            </w:r>
          </w:p>
        </w:tc>
      </w:tr>
      <w:tr w:rsidR="00D52C21" w:rsidRPr="00AE3EF8" w:rsidTr="00D52C21">
        <w:tc>
          <w:tcPr>
            <w:tcW w:w="2370" w:type="dxa"/>
            <w:vMerge w:val="restart"/>
            <w:tcBorders>
              <w:top w:val="single" w:sz="6" w:space="0" w:color="757575"/>
              <w:right w:val="single" w:sz="4" w:space="0" w:color="auto"/>
            </w:tcBorders>
          </w:tcPr>
          <w:p w:rsidR="00391BEE" w:rsidRDefault="00D52C21" w:rsidP="00391BEE">
            <w:pPr>
              <w:spacing w:before="60" w:after="60"/>
              <w:rPr>
                <w:rFonts w:ascii="Arial" w:hAnsi="Arial" w:cs="Arial"/>
                <w:sz w:val="18"/>
                <w:szCs w:val="18"/>
              </w:rPr>
            </w:pPr>
            <w:r w:rsidRPr="00AE3EF8">
              <w:rPr>
                <w:rFonts w:ascii="Arial" w:hAnsi="Arial" w:cs="Arial"/>
                <w:sz w:val="18"/>
                <w:szCs w:val="18"/>
              </w:rPr>
              <w:t>Complete response, n (%)</w:t>
            </w:r>
          </w:p>
        </w:tc>
        <w:tc>
          <w:tcPr>
            <w:tcW w:w="1829" w:type="dxa"/>
            <w:gridSpan w:val="3"/>
            <w:tcBorders>
              <w:left w:val="single" w:sz="4" w:space="0" w:color="auto"/>
            </w:tcBorders>
          </w:tcPr>
          <w:p w:rsidR="00391BEE" w:rsidRDefault="00391BEE" w:rsidP="00391BEE">
            <w:pPr>
              <w:spacing w:before="60" w:after="60"/>
              <w:rPr>
                <w:rFonts w:ascii="Arial" w:hAnsi="Arial" w:cs="Arial"/>
                <w:sz w:val="18"/>
                <w:szCs w:val="18"/>
              </w:rPr>
            </w:pPr>
          </w:p>
        </w:tc>
        <w:tc>
          <w:tcPr>
            <w:tcW w:w="2710" w:type="dxa"/>
            <w:gridSpan w:val="6"/>
            <w:tcBorders>
              <w:left w:val="single" w:sz="6" w:space="0" w:color="757575"/>
            </w:tcBorders>
          </w:tcPr>
          <w:p w:rsidR="00391BEE" w:rsidRDefault="00391BEE" w:rsidP="00391BEE">
            <w:pPr>
              <w:spacing w:before="60" w:after="60"/>
              <w:rPr>
                <w:rFonts w:ascii="Arial" w:hAnsi="Arial" w:cs="Arial"/>
                <w:sz w:val="18"/>
                <w:szCs w:val="18"/>
              </w:rPr>
            </w:pPr>
          </w:p>
        </w:tc>
        <w:tc>
          <w:tcPr>
            <w:tcW w:w="1563" w:type="dxa"/>
            <w:gridSpan w:val="2"/>
            <w:tcBorders>
              <w:left w:val="single" w:sz="6" w:space="0" w:color="757575"/>
            </w:tcBorders>
          </w:tcPr>
          <w:p w:rsidR="00391BEE" w:rsidRDefault="00391BEE" w:rsidP="00391BEE">
            <w:pPr>
              <w:spacing w:before="60" w:after="60"/>
              <w:rPr>
                <w:rFonts w:ascii="Arial" w:hAnsi="Arial" w:cs="Arial"/>
                <w:sz w:val="18"/>
                <w:szCs w:val="18"/>
              </w:rPr>
            </w:pPr>
          </w:p>
        </w:tc>
      </w:tr>
      <w:tr w:rsidR="00D52C21" w:rsidRPr="00AE3EF8" w:rsidTr="00D52C21">
        <w:trPr>
          <w:trHeight w:val="297"/>
        </w:trPr>
        <w:tc>
          <w:tcPr>
            <w:tcW w:w="2370" w:type="dxa"/>
            <w:vMerge/>
            <w:tcBorders>
              <w:right w:val="single" w:sz="4" w:space="0" w:color="auto"/>
            </w:tcBorders>
          </w:tcPr>
          <w:p w:rsidR="00391BEE" w:rsidRDefault="00391BEE" w:rsidP="00391BEE">
            <w:pPr>
              <w:spacing w:before="60" w:after="60"/>
              <w:rPr>
                <w:rFonts w:ascii="Arial" w:hAnsi="Arial" w:cs="Arial"/>
                <w:sz w:val="18"/>
                <w:szCs w:val="18"/>
              </w:rPr>
            </w:pPr>
          </w:p>
        </w:tc>
        <w:tc>
          <w:tcPr>
            <w:tcW w:w="6102" w:type="dxa"/>
            <w:gridSpan w:val="11"/>
            <w:tcBorders>
              <w:left w:val="single" w:sz="4" w:space="0" w:color="auto"/>
            </w:tcBorders>
          </w:tcPr>
          <w:p w:rsidR="00391BEE" w:rsidRDefault="00D52C21" w:rsidP="00391BEE">
            <w:pPr>
              <w:spacing w:before="60" w:after="60"/>
              <w:rPr>
                <w:rFonts w:ascii="Arial" w:hAnsi="Arial" w:cs="Arial"/>
                <w:sz w:val="18"/>
                <w:szCs w:val="18"/>
              </w:rPr>
            </w:pPr>
            <w:r w:rsidRPr="008E6F92">
              <w:rPr>
                <w:rFonts w:ascii="Arial" w:hAnsi="Arial" w:cs="Arial"/>
                <w:sz w:val="18"/>
                <w:szCs w:val="18"/>
              </w:rPr>
              <w:t>Notes: p-value, 95% CI and subgroups</w:t>
            </w:r>
          </w:p>
        </w:tc>
      </w:tr>
      <w:tr w:rsidR="00D52C21" w:rsidRPr="00AE3EF8" w:rsidTr="00D52C21">
        <w:tc>
          <w:tcPr>
            <w:tcW w:w="2370" w:type="dxa"/>
            <w:vMerge w:val="restart"/>
            <w:tcBorders>
              <w:top w:val="single" w:sz="6" w:space="0" w:color="757575"/>
              <w:right w:val="single" w:sz="4" w:space="0" w:color="auto"/>
            </w:tcBorders>
          </w:tcPr>
          <w:p w:rsidR="00391BEE" w:rsidRDefault="00D52C21" w:rsidP="00391BEE">
            <w:pPr>
              <w:spacing w:before="60" w:after="60"/>
              <w:rPr>
                <w:rFonts w:ascii="Arial" w:hAnsi="Arial" w:cs="Arial"/>
                <w:sz w:val="18"/>
                <w:szCs w:val="18"/>
              </w:rPr>
            </w:pPr>
            <w:r w:rsidRPr="00AE3EF8">
              <w:rPr>
                <w:rFonts w:ascii="Arial" w:hAnsi="Arial" w:cs="Arial"/>
                <w:sz w:val="18"/>
                <w:szCs w:val="18"/>
              </w:rPr>
              <w:t>Partial response, n (%)</w:t>
            </w:r>
          </w:p>
        </w:tc>
        <w:tc>
          <w:tcPr>
            <w:tcW w:w="1802" w:type="dxa"/>
            <w:gridSpan w:val="2"/>
            <w:tcBorders>
              <w:left w:val="single" w:sz="4" w:space="0" w:color="auto"/>
            </w:tcBorders>
          </w:tcPr>
          <w:p w:rsidR="00391BEE" w:rsidRDefault="00391BEE" w:rsidP="00391BEE">
            <w:pPr>
              <w:spacing w:before="60" w:after="60"/>
              <w:rPr>
                <w:rFonts w:ascii="Arial" w:hAnsi="Arial" w:cs="Arial"/>
                <w:sz w:val="18"/>
                <w:szCs w:val="18"/>
              </w:rPr>
            </w:pPr>
          </w:p>
        </w:tc>
        <w:tc>
          <w:tcPr>
            <w:tcW w:w="2737" w:type="dxa"/>
            <w:gridSpan w:val="7"/>
            <w:tcBorders>
              <w:left w:val="single" w:sz="6" w:space="0" w:color="757575"/>
              <w:right w:val="single" w:sz="4" w:space="0" w:color="auto"/>
            </w:tcBorders>
          </w:tcPr>
          <w:p w:rsidR="00391BEE" w:rsidRDefault="00391BEE" w:rsidP="00391BEE">
            <w:pPr>
              <w:spacing w:before="60" w:after="60"/>
              <w:rPr>
                <w:rFonts w:ascii="Arial" w:hAnsi="Arial" w:cs="Arial"/>
                <w:sz w:val="18"/>
                <w:szCs w:val="18"/>
              </w:rPr>
            </w:pPr>
          </w:p>
        </w:tc>
        <w:tc>
          <w:tcPr>
            <w:tcW w:w="1563" w:type="dxa"/>
            <w:gridSpan w:val="2"/>
            <w:tcBorders>
              <w:left w:val="single" w:sz="4" w:space="0" w:color="auto"/>
            </w:tcBorders>
          </w:tcPr>
          <w:p w:rsidR="00391BEE" w:rsidRDefault="00391BEE" w:rsidP="00391BEE">
            <w:pPr>
              <w:spacing w:before="60" w:after="60"/>
              <w:rPr>
                <w:rFonts w:ascii="Arial" w:hAnsi="Arial" w:cs="Arial"/>
                <w:sz w:val="18"/>
                <w:szCs w:val="18"/>
              </w:rPr>
            </w:pPr>
          </w:p>
        </w:tc>
      </w:tr>
      <w:tr w:rsidR="00D52C21" w:rsidRPr="00AE3EF8" w:rsidTr="00D52C21">
        <w:trPr>
          <w:trHeight w:val="305"/>
        </w:trPr>
        <w:tc>
          <w:tcPr>
            <w:tcW w:w="2370" w:type="dxa"/>
            <w:vMerge/>
            <w:tcBorders>
              <w:right w:val="single" w:sz="4" w:space="0" w:color="auto"/>
            </w:tcBorders>
          </w:tcPr>
          <w:p w:rsidR="00391BEE" w:rsidRDefault="00391BEE" w:rsidP="00391BEE">
            <w:pPr>
              <w:spacing w:before="60" w:after="60"/>
              <w:rPr>
                <w:rFonts w:ascii="Arial" w:hAnsi="Arial" w:cs="Arial"/>
                <w:sz w:val="18"/>
                <w:szCs w:val="18"/>
              </w:rPr>
            </w:pPr>
          </w:p>
        </w:tc>
        <w:tc>
          <w:tcPr>
            <w:tcW w:w="6102" w:type="dxa"/>
            <w:gridSpan w:val="11"/>
            <w:tcBorders>
              <w:left w:val="single" w:sz="4" w:space="0" w:color="auto"/>
            </w:tcBorders>
          </w:tcPr>
          <w:p w:rsidR="00391BEE" w:rsidRDefault="00D52C21" w:rsidP="00391BEE">
            <w:pPr>
              <w:spacing w:before="60" w:after="60"/>
              <w:rPr>
                <w:rFonts w:ascii="Arial" w:hAnsi="Arial" w:cs="Arial"/>
                <w:sz w:val="18"/>
                <w:szCs w:val="18"/>
              </w:rPr>
            </w:pPr>
            <w:r w:rsidRPr="008E6F92">
              <w:rPr>
                <w:rFonts w:ascii="Arial" w:hAnsi="Arial" w:cs="Arial"/>
                <w:sz w:val="18"/>
                <w:szCs w:val="18"/>
              </w:rPr>
              <w:t>Notes: p-value, 95% CI and subgroups</w:t>
            </w:r>
          </w:p>
        </w:tc>
      </w:tr>
      <w:tr w:rsidR="00D52C21" w:rsidRPr="00AE3EF8" w:rsidTr="00D52C21">
        <w:tc>
          <w:tcPr>
            <w:tcW w:w="2370" w:type="dxa"/>
            <w:vMerge w:val="restart"/>
            <w:tcBorders>
              <w:top w:val="single" w:sz="6" w:space="0" w:color="757575"/>
              <w:right w:val="single" w:sz="4" w:space="0" w:color="auto"/>
            </w:tcBorders>
          </w:tcPr>
          <w:p w:rsidR="00391BEE" w:rsidRDefault="00D52C21" w:rsidP="00391BEE">
            <w:pPr>
              <w:spacing w:before="60" w:after="60"/>
              <w:rPr>
                <w:rFonts w:ascii="Arial" w:hAnsi="Arial" w:cs="Arial"/>
                <w:sz w:val="18"/>
                <w:szCs w:val="18"/>
              </w:rPr>
            </w:pPr>
            <w:r w:rsidRPr="00AE3EF8">
              <w:rPr>
                <w:rFonts w:ascii="Arial" w:hAnsi="Arial" w:cs="Arial"/>
                <w:sz w:val="18"/>
                <w:szCs w:val="18"/>
              </w:rPr>
              <w:t>Overall response, n (%)</w:t>
            </w:r>
          </w:p>
        </w:tc>
        <w:tc>
          <w:tcPr>
            <w:tcW w:w="1802" w:type="dxa"/>
            <w:gridSpan w:val="2"/>
            <w:tcBorders>
              <w:top w:val="single" w:sz="6" w:space="0" w:color="757575"/>
              <w:left w:val="single" w:sz="4" w:space="0" w:color="auto"/>
            </w:tcBorders>
          </w:tcPr>
          <w:p w:rsidR="00391BEE" w:rsidRDefault="00391BEE" w:rsidP="00391BEE">
            <w:pPr>
              <w:spacing w:before="60" w:after="60"/>
              <w:rPr>
                <w:rFonts w:ascii="Arial" w:hAnsi="Arial" w:cs="Arial"/>
                <w:sz w:val="18"/>
                <w:szCs w:val="18"/>
              </w:rPr>
            </w:pPr>
          </w:p>
        </w:tc>
        <w:tc>
          <w:tcPr>
            <w:tcW w:w="2737" w:type="dxa"/>
            <w:gridSpan w:val="7"/>
            <w:tcBorders>
              <w:left w:val="single" w:sz="6" w:space="0" w:color="757575"/>
              <w:right w:val="single" w:sz="4" w:space="0" w:color="auto"/>
            </w:tcBorders>
          </w:tcPr>
          <w:p w:rsidR="00391BEE" w:rsidRDefault="00391BEE" w:rsidP="00391BEE">
            <w:pPr>
              <w:spacing w:before="60" w:after="60"/>
              <w:rPr>
                <w:rFonts w:ascii="Arial" w:hAnsi="Arial" w:cs="Arial"/>
                <w:sz w:val="18"/>
                <w:szCs w:val="18"/>
              </w:rPr>
            </w:pPr>
          </w:p>
        </w:tc>
        <w:tc>
          <w:tcPr>
            <w:tcW w:w="1563" w:type="dxa"/>
            <w:gridSpan w:val="2"/>
            <w:tcBorders>
              <w:left w:val="single" w:sz="4" w:space="0" w:color="auto"/>
            </w:tcBorders>
          </w:tcPr>
          <w:p w:rsidR="00391BEE" w:rsidRDefault="00391BEE" w:rsidP="00391BEE">
            <w:pPr>
              <w:spacing w:before="60" w:after="60"/>
              <w:rPr>
                <w:rFonts w:ascii="Arial" w:hAnsi="Arial" w:cs="Arial"/>
                <w:sz w:val="18"/>
                <w:szCs w:val="18"/>
              </w:rPr>
            </w:pPr>
          </w:p>
        </w:tc>
      </w:tr>
      <w:tr w:rsidR="00D52C21" w:rsidRPr="00AE3EF8" w:rsidTr="00D52C21">
        <w:trPr>
          <w:trHeight w:val="294"/>
        </w:trPr>
        <w:tc>
          <w:tcPr>
            <w:tcW w:w="2370" w:type="dxa"/>
            <w:vMerge/>
            <w:tcBorders>
              <w:top w:val="single" w:sz="6" w:space="0" w:color="757575"/>
              <w:right w:val="single" w:sz="4" w:space="0" w:color="auto"/>
            </w:tcBorders>
          </w:tcPr>
          <w:p w:rsidR="00391BEE" w:rsidRDefault="00391BEE" w:rsidP="00391BEE">
            <w:pPr>
              <w:spacing w:before="60" w:after="60"/>
              <w:rPr>
                <w:rFonts w:ascii="Arial" w:hAnsi="Arial" w:cs="Arial"/>
                <w:sz w:val="18"/>
                <w:szCs w:val="18"/>
              </w:rPr>
            </w:pPr>
          </w:p>
        </w:tc>
        <w:tc>
          <w:tcPr>
            <w:tcW w:w="6102" w:type="dxa"/>
            <w:gridSpan w:val="11"/>
            <w:tcBorders>
              <w:top w:val="single" w:sz="6" w:space="0" w:color="757575"/>
              <w:left w:val="single" w:sz="4" w:space="0" w:color="auto"/>
            </w:tcBorders>
          </w:tcPr>
          <w:p w:rsidR="00391BEE" w:rsidRDefault="00D52C21" w:rsidP="00391BEE">
            <w:pPr>
              <w:spacing w:before="60" w:after="60"/>
              <w:rPr>
                <w:rFonts w:ascii="Arial" w:hAnsi="Arial" w:cs="Arial"/>
                <w:sz w:val="18"/>
                <w:szCs w:val="18"/>
              </w:rPr>
            </w:pPr>
            <w:r w:rsidRPr="008E6F92">
              <w:rPr>
                <w:rFonts w:ascii="Arial" w:hAnsi="Arial" w:cs="Arial"/>
                <w:sz w:val="18"/>
                <w:szCs w:val="18"/>
              </w:rPr>
              <w:t>Notes: p-value, 95% CI and subgroups</w:t>
            </w:r>
          </w:p>
        </w:tc>
      </w:tr>
      <w:tr w:rsidR="00D52C21" w:rsidRPr="00AE3EF8" w:rsidTr="00D52C21">
        <w:tc>
          <w:tcPr>
            <w:tcW w:w="2370" w:type="dxa"/>
            <w:vMerge w:val="restart"/>
            <w:tcBorders>
              <w:right w:val="single" w:sz="4" w:space="0" w:color="auto"/>
            </w:tcBorders>
          </w:tcPr>
          <w:p w:rsidR="00391BEE" w:rsidRDefault="00D52C21" w:rsidP="00391BEE">
            <w:pPr>
              <w:spacing w:before="60" w:after="60"/>
              <w:rPr>
                <w:rFonts w:ascii="Arial" w:hAnsi="Arial" w:cs="Arial"/>
                <w:sz w:val="18"/>
                <w:szCs w:val="18"/>
              </w:rPr>
            </w:pPr>
            <w:r w:rsidRPr="00AE3EF8">
              <w:rPr>
                <w:rFonts w:ascii="Arial" w:hAnsi="Arial" w:cs="Arial"/>
                <w:sz w:val="18"/>
                <w:szCs w:val="18"/>
              </w:rPr>
              <w:t>Stable disease, n (%)</w:t>
            </w:r>
          </w:p>
        </w:tc>
        <w:tc>
          <w:tcPr>
            <w:tcW w:w="1788" w:type="dxa"/>
            <w:tcBorders>
              <w:left w:val="single" w:sz="4" w:space="0" w:color="auto"/>
              <w:bottom w:val="single" w:sz="6" w:space="0" w:color="757575"/>
            </w:tcBorders>
          </w:tcPr>
          <w:p w:rsidR="00391BEE" w:rsidRDefault="00391BEE" w:rsidP="00391BEE">
            <w:pPr>
              <w:spacing w:before="60" w:after="60"/>
              <w:rPr>
                <w:rFonts w:ascii="Arial" w:hAnsi="Arial" w:cs="Arial"/>
                <w:sz w:val="18"/>
                <w:szCs w:val="18"/>
              </w:rPr>
            </w:pPr>
          </w:p>
        </w:tc>
        <w:tc>
          <w:tcPr>
            <w:tcW w:w="2751" w:type="dxa"/>
            <w:gridSpan w:val="8"/>
            <w:tcBorders>
              <w:left w:val="single" w:sz="6" w:space="0" w:color="757575"/>
              <w:bottom w:val="single" w:sz="6" w:space="0" w:color="757575"/>
              <w:right w:val="single" w:sz="4" w:space="0" w:color="auto"/>
            </w:tcBorders>
          </w:tcPr>
          <w:p w:rsidR="00391BEE" w:rsidRDefault="00391BEE" w:rsidP="00391BEE">
            <w:pPr>
              <w:spacing w:before="60" w:after="60"/>
              <w:rPr>
                <w:rFonts w:ascii="Arial" w:hAnsi="Arial" w:cs="Arial"/>
                <w:sz w:val="18"/>
                <w:szCs w:val="18"/>
              </w:rPr>
            </w:pPr>
          </w:p>
        </w:tc>
        <w:tc>
          <w:tcPr>
            <w:tcW w:w="1563" w:type="dxa"/>
            <w:gridSpan w:val="2"/>
            <w:tcBorders>
              <w:left w:val="single" w:sz="4" w:space="0" w:color="auto"/>
              <w:bottom w:val="single" w:sz="6" w:space="0" w:color="757575"/>
            </w:tcBorders>
          </w:tcPr>
          <w:p w:rsidR="00391BEE" w:rsidRDefault="00391BEE" w:rsidP="00391BEE">
            <w:pPr>
              <w:spacing w:before="60" w:after="60"/>
              <w:rPr>
                <w:rFonts w:ascii="Arial" w:hAnsi="Arial" w:cs="Arial"/>
                <w:sz w:val="18"/>
                <w:szCs w:val="18"/>
              </w:rPr>
            </w:pPr>
          </w:p>
        </w:tc>
      </w:tr>
      <w:tr w:rsidR="00D52C21" w:rsidRPr="00AE3EF8" w:rsidTr="00D52C21">
        <w:trPr>
          <w:trHeight w:val="160"/>
        </w:trPr>
        <w:tc>
          <w:tcPr>
            <w:tcW w:w="2370" w:type="dxa"/>
            <w:vMerge/>
            <w:tcBorders>
              <w:right w:val="single" w:sz="4" w:space="0" w:color="auto"/>
            </w:tcBorders>
          </w:tcPr>
          <w:p w:rsidR="00391BEE" w:rsidRDefault="00391BEE" w:rsidP="00391BEE">
            <w:pPr>
              <w:spacing w:before="60" w:after="60"/>
              <w:rPr>
                <w:rFonts w:ascii="Arial" w:hAnsi="Arial" w:cs="Arial"/>
                <w:sz w:val="18"/>
                <w:szCs w:val="18"/>
              </w:rPr>
            </w:pPr>
          </w:p>
        </w:tc>
        <w:tc>
          <w:tcPr>
            <w:tcW w:w="6102" w:type="dxa"/>
            <w:gridSpan w:val="11"/>
            <w:tcBorders>
              <w:left w:val="single" w:sz="4" w:space="0" w:color="auto"/>
            </w:tcBorders>
          </w:tcPr>
          <w:p w:rsidR="00391BEE" w:rsidRDefault="00D52C21" w:rsidP="00391BEE">
            <w:pPr>
              <w:spacing w:before="60" w:after="60"/>
              <w:rPr>
                <w:rFonts w:ascii="Arial" w:hAnsi="Arial" w:cs="Arial"/>
                <w:sz w:val="18"/>
                <w:szCs w:val="18"/>
              </w:rPr>
            </w:pPr>
            <w:r w:rsidRPr="008E6F92">
              <w:rPr>
                <w:rFonts w:ascii="Arial" w:hAnsi="Arial" w:cs="Arial"/>
                <w:sz w:val="18"/>
                <w:szCs w:val="18"/>
              </w:rPr>
              <w:t>Notes: p-value, 95% CI and subgroups</w:t>
            </w:r>
          </w:p>
        </w:tc>
      </w:tr>
      <w:tr w:rsidR="00D52C21" w:rsidRPr="00AE3EF8" w:rsidTr="00D52C21">
        <w:tc>
          <w:tcPr>
            <w:tcW w:w="2370" w:type="dxa"/>
            <w:vMerge w:val="restart"/>
            <w:tcBorders>
              <w:top w:val="single" w:sz="6" w:space="0" w:color="757575"/>
              <w:right w:val="single" w:sz="4" w:space="0" w:color="auto"/>
            </w:tcBorders>
          </w:tcPr>
          <w:p w:rsidR="00391BEE" w:rsidRDefault="00D52C21" w:rsidP="00391BEE">
            <w:pPr>
              <w:spacing w:before="60" w:after="60"/>
              <w:rPr>
                <w:rFonts w:ascii="Arial" w:hAnsi="Arial" w:cs="Arial"/>
                <w:sz w:val="18"/>
                <w:szCs w:val="18"/>
              </w:rPr>
            </w:pPr>
            <w:r w:rsidRPr="00AE3EF8">
              <w:rPr>
                <w:rFonts w:ascii="Arial" w:hAnsi="Arial" w:cs="Arial"/>
                <w:sz w:val="18"/>
                <w:szCs w:val="18"/>
              </w:rPr>
              <w:lastRenderedPageBreak/>
              <w:t>Withdrawals</w:t>
            </w:r>
          </w:p>
        </w:tc>
        <w:tc>
          <w:tcPr>
            <w:tcW w:w="1802" w:type="dxa"/>
            <w:gridSpan w:val="2"/>
            <w:tcBorders>
              <w:top w:val="single" w:sz="6" w:space="0" w:color="757575"/>
              <w:left w:val="single" w:sz="4" w:space="0" w:color="auto"/>
            </w:tcBorders>
          </w:tcPr>
          <w:p w:rsidR="00391BEE" w:rsidRDefault="00391BEE" w:rsidP="00391BEE">
            <w:pPr>
              <w:spacing w:before="60" w:after="60"/>
              <w:rPr>
                <w:rFonts w:ascii="Arial" w:hAnsi="Arial" w:cs="Arial"/>
                <w:sz w:val="18"/>
                <w:szCs w:val="18"/>
              </w:rPr>
            </w:pPr>
          </w:p>
        </w:tc>
        <w:tc>
          <w:tcPr>
            <w:tcW w:w="2737" w:type="dxa"/>
            <w:gridSpan w:val="7"/>
            <w:tcBorders>
              <w:left w:val="single" w:sz="6" w:space="0" w:color="757575"/>
              <w:right w:val="single" w:sz="4" w:space="0" w:color="auto"/>
            </w:tcBorders>
          </w:tcPr>
          <w:p w:rsidR="00391BEE" w:rsidRDefault="00391BEE" w:rsidP="00391BEE">
            <w:pPr>
              <w:spacing w:before="60" w:after="60"/>
              <w:rPr>
                <w:rFonts w:ascii="Arial" w:hAnsi="Arial" w:cs="Arial"/>
                <w:sz w:val="18"/>
                <w:szCs w:val="18"/>
              </w:rPr>
            </w:pPr>
          </w:p>
        </w:tc>
        <w:tc>
          <w:tcPr>
            <w:tcW w:w="1563" w:type="dxa"/>
            <w:gridSpan w:val="2"/>
            <w:tcBorders>
              <w:left w:val="single" w:sz="4" w:space="0" w:color="auto"/>
            </w:tcBorders>
          </w:tcPr>
          <w:p w:rsidR="00391BEE" w:rsidRDefault="00391BEE" w:rsidP="00391BEE">
            <w:pPr>
              <w:spacing w:before="60" w:after="60"/>
              <w:rPr>
                <w:rFonts w:ascii="Arial" w:hAnsi="Arial" w:cs="Arial"/>
                <w:sz w:val="18"/>
                <w:szCs w:val="18"/>
              </w:rPr>
            </w:pPr>
          </w:p>
        </w:tc>
      </w:tr>
      <w:tr w:rsidR="00D52C21" w:rsidRPr="00AE3EF8" w:rsidTr="00D52C21">
        <w:trPr>
          <w:trHeight w:val="229"/>
        </w:trPr>
        <w:tc>
          <w:tcPr>
            <w:tcW w:w="2370" w:type="dxa"/>
            <w:vMerge/>
            <w:tcBorders>
              <w:right w:val="single" w:sz="4" w:space="0" w:color="auto"/>
            </w:tcBorders>
          </w:tcPr>
          <w:p w:rsidR="00391BEE" w:rsidRDefault="00391BEE" w:rsidP="00391BEE">
            <w:pPr>
              <w:spacing w:before="60" w:after="60"/>
              <w:rPr>
                <w:rFonts w:ascii="Arial" w:hAnsi="Arial" w:cs="Arial"/>
                <w:sz w:val="18"/>
                <w:szCs w:val="18"/>
              </w:rPr>
            </w:pPr>
          </w:p>
        </w:tc>
        <w:tc>
          <w:tcPr>
            <w:tcW w:w="6102" w:type="dxa"/>
            <w:gridSpan w:val="11"/>
            <w:tcBorders>
              <w:left w:val="single" w:sz="4" w:space="0" w:color="auto"/>
            </w:tcBorders>
          </w:tcPr>
          <w:p w:rsidR="00391BEE" w:rsidRDefault="00D52C21" w:rsidP="00391BEE">
            <w:pPr>
              <w:spacing w:before="60" w:after="60"/>
              <w:rPr>
                <w:rFonts w:ascii="Arial" w:hAnsi="Arial" w:cs="Arial"/>
                <w:sz w:val="18"/>
                <w:szCs w:val="18"/>
              </w:rPr>
            </w:pPr>
            <w:r w:rsidRPr="008E6F92">
              <w:rPr>
                <w:rFonts w:ascii="Arial" w:hAnsi="Arial" w:cs="Arial"/>
                <w:sz w:val="18"/>
                <w:szCs w:val="18"/>
              </w:rPr>
              <w:t>Notes: p-value, 95% CI and subgroups</w:t>
            </w:r>
          </w:p>
        </w:tc>
      </w:tr>
      <w:tr w:rsidR="00D52C21" w:rsidRPr="00AE3EF8" w:rsidTr="00D52C21">
        <w:tc>
          <w:tcPr>
            <w:tcW w:w="2370" w:type="dxa"/>
            <w:vMerge w:val="restart"/>
            <w:tcBorders>
              <w:right w:val="single" w:sz="4" w:space="0" w:color="auto"/>
            </w:tcBorders>
          </w:tcPr>
          <w:p w:rsidR="00391BEE" w:rsidRDefault="00D52C21" w:rsidP="00391BEE">
            <w:pPr>
              <w:spacing w:before="60" w:after="60"/>
              <w:rPr>
                <w:rFonts w:ascii="Arial" w:hAnsi="Arial" w:cs="Arial"/>
                <w:sz w:val="18"/>
                <w:szCs w:val="18"/>
              </w:rPr>
            </w:pPr>
            <w:r w:rsidRPr="00AE3EF8">
              <w:rPr>
                <w:rFonts w:ascii="Arial" w:hAnsi="Arial" w:cs="Arial"/>
                <w:sz w:val="18"/>
                <w:szCs w:val="18"/>
              </w:rPr>
              <w:t>Any other outcome</w:t>
            </w:r>
          </w:p>
        </w:tc>
        <w:tc>
          <w:tcPr>
            <w:tcW w:w="1802" w:type="dxa"/>
            <w:gridSpan w:val="2"/>
            <w:tcBorders>
              <w:left w:val="single" w:sz="4" w:space="0" w:color="auto"/>
            </w:tcBorders>
          </w:tcPr>
          <w:p w:rsidR="00391BEE" w:rsidRDefault="00391BEE" w:rsidP="00391BEE">
            <w:pPr>
              <w:spacing w:before="60" w:after="60"/>
              <w:rPr>
                <w:rFonts w:ascii="Arial" w:hAnsi="Arial" w:cs="Arial"/>
                <w:sz w:val="18"/>
                <w:szCs w:val="18"/>
              </w:rPr>
            </w:pPr>
          </w:p>
        </w:tc>
        <w:tc>
          <w:tcPr>
            <w:tcW w:w="2737" w:type="dxa"/>
            <w:gridSpan w:val="7"/>
            <w:tcBorders>
              <w:left w:val="single" w:sz="6" w:space="0" w:color="757575"/>
              <w:right w:val="single" w:sz="4" w:space="0" w:color="auto"/>
            </w:tcBorders>
          </w:tcPr>
          <w:p w:rsidR="00391BEE" w:rsidRDefault="00391BEE" w:rsidP="00391BEE">
            <w:pPr>
              <w:spacing w:before="60" w:after="60"/>
              <w:rPr>
                <w:rFonts w:ascii="Arial" w:hAnsi="Arial" w:cs="Arial"/>
                <w:sz w:val="18"/>
                <w:szCs w:val="18"/>
              </w:rPr>
            </w:pPr>
          </w:p>
        </w:tc>
        <w:tc>
          <w:tcPr>
            <w:tcW w:w="1563" w:type="dxa"/>
            <w:gridSpan w:val="2"/>
            <w:tcBorders>
              <w:left w:val="single" w:sz="4" w:space="0" w:color="auto"/>
            </w:tcBorders>
          </w:tcPr>
          <w:p w:rsidR="00391BEE" w:rsidRDefault="00391BEE" w:rsidP="00391BEE">
            <w:pPr>
              <w:spacing w:before="60" w:after="60"/>
              <w:rPr>
                <w:rFonts w:ascii="Arial" w:hAnsi="Arial" w:cs="Arial"/>
                <w:sz w:val="18"/>
                <w:szCs w:val="18"/>
              </w:rPr>
            </w:pPr>
          </w:p>
        </w:tc>
      </w:tr>
      <w:tr w:rsidR="00D52C21" w:rsidRPr="00AE3EF8" w:rsidTr="00D52C21">
        <w:trPr>
          <w:trHeight w:val="293"/>
        </w:trPr>
        <w:tc>
          <w:tcPr>
            <w:tcW w:w="2370" w:type="dxa"/>
            <w:vMerge/>
            <w:tcBorders>
              <w:right w:val="single" w:sz="4" w:space="0" w:color="auto"/>
            </w:tcBorders>
          </w:tcPr>
          <w:p w:rsidR="00391BEE" w:rsidRDefault="00391BEE" w:rsidP="00391BEE">
            <w:pPr>
              <w:spacing w:before="60" w:after="60"/>
              <w:rPr>
                <w:rFonts w:ascii="Arial" w:hAnsi="Arial" w:cs="Arial"/>
                <w:sz w:val="18"/>
                <w:szCs w:val="18"/>
              </w:rPr>
            </w:pPr>
          </w:p>
        </w:tc>
        <w:tc>
          <w:tcPr>
            <w:tcW w:w="6102" w:type="dxa"/>
            <w:gridSpan w:val="11"/>
            <w:tcBorders>
              <w:left w:val="single" w:sz="4" w:space="0" w:color="auto"/>
            </w:tcBorders>
          </w:tcPr>
          <w:p w:rsidR="00391BEE" w:rsidRDefault="00D52C21" w:rsidP="00391BEE">
            <w:pPr>
              <w:spacing w:before="60" w:after="60"/>
              <w:rPr>
                <w:rFonts w:ascii="Arial" w:hAnsi="Arial" w:cs="Arial"/>
                <w:sz w:val="18"/>
                <w:szCs w:val="18"/>
              </w:rPr>
            </w:pPr>
            <w:r w:rsidRPr="008E6F92">
              <w:rPr>
                <w:rFonts w:ascii="Arial" w:hAnsi="Arial" w:cs="Arial"/>
                <w:sz w:val="18"/>
                <w:szCs w:val="18"/>
              </w:rPr>
              <w:t>Notes: p-value, 95% CI and subgroups</w:t>
            </w:r>
          </w:p>
        </w:tc>
      </w:tr>
      <w:tr w:rsidR="00D52C21" w:rsidRPr="00AE3EF8" w:rsidTr="00D52C21">
        <w:trPr>
          <w:trHeight w:val="258"/>
        </w:trPr>
        <w:tc>
          <w:tcPr>
            <w:tcW w:w="2370" w:type="dxa"/>
            <w:vMerge w:val="restart"/>
            <w:tcBorders>
              <w:right w:val="single" w:sz="4" w:space="0" w:color="auto"/>
            </w:tcBorders>
          </w:tcPr>
          <w:p w:rsidR="00391BEE" w:rsidRDefault="00D52C21" w:rsidP="00391BEE">
            <w:pPr>
              <w:spacing w:before="60" w:after="60"/>
              <w:rPr>
                <w:rFonts w:ascii="Arial" w:hAnsi="Arial" w:cs="Arial"/>
                <w:sz w:val="18"/>
                <w:szCs w:val="18"/>
              </w:rPr>
            </w:pPr>
            <w:r w:rsidRPr="00AE3EF8">
              <w:rPr>
                <w:rFonts w:ascii="Arial" w:hAnsi="Arial" w:cs="Arial"/>
                <w:sz w:val="18"/>
                <w:szCs w:val="18"/>
              </w:rPr>
              <w:t>Adverse events of treatment, n (%)</w:t>
            </w:r>
          </w:p>
        </w:tc>
        <w:tc>
          <w:tcPr>
            <w:tcW w:w="1986" w:type="dxa"/>
            <w:gridSpan w:val="6"/>
            <w:tcBorders>
              <w:left w:val="single" w:sz="4" w:space="0" w:color="auto"/>
              <w:bottom w:val="single" w:sz="6" w:space="0" w:color="757575"/>
              <w:right w:val="single" w:sz="4" w:space="0" w:color="auto"/>
            </w:tcBorders>
          </w:tcPr>
          <w:p w:rsidR="00391BEE" w:rsidRDefault="00D52C21" w:rsidP="00391BEE">
            <w:pPr>
              <w:spacing w:before="60" w:after="60"/>
              <w:rPr>
                <w:rFonts w:ascii="Arial" w:hAnsi="Arial" w:cs="Arial"/>
                <w:sz w:val="18"/>
                <w:szCs w:val="18"/>
              </w:rPr>
            </w:pPr>
            <w:proofErr w:type="spellStart"/>
            <w:r w:rsidRPr="00AE3EF8">
              <w:rPr>
                <w:rFonts w:ascii="Arial" w:hAnsi="Arial" w:cs="Arial"/>
                <w:sz w:val="18"/>
                <w:szCs w:val="18"/>
              </w:rPr>
              <w:t>i</w:t>
            </w:r>
            <w:proofErr w:type="spellEnd"/>
            <w:r w:rsidRPr="00AE3EF8">
              <w:rPr>
                <w:rFonts w:ascii="Arial" w:hAnsi="Arial" w:cs="Arial"/>
                <w:sz w:val="18"/>
                <w:szCs w:val="18"/>
              </w:rPr>
              <w:t>.</w:t>
            </w:r>
          </w:p>
        </w:tc>
        <w:tc>
          <w:tcPr>
            <w:tcW w:w="2553" w:type="dxa"/>
            <w:gridSpan w:val="3"/>
            <w:tcBorders>
              <w:left w:val="single" w:sz="4" w:space="0" w:color="auto"/>
              <w:bottom w:val="single" w:sz="6" w:space="0" w:color="757575"/>
              <w:right w:val="single" w:sz="4" w:space="0" w:color="auto"/>
            </w:tcBorders>
          </w:tcPr>
          <w:p w:rsidR="00391BEE" w:rsidRDefault="00391BEE" w:rsidP="00391BEE">
            <w:pPr>
              <w:spacing w:before="60" w:after="60"/>
              <w:rPr>
                <w:rFonts w:ascii="Arial" w:hAnsi="Arial" w:cs="Arial"/>
                <w:sz w:val="18"/>
                <w:szCs w:val="18"/>
              </w:rPr>
            </w:pPr>
          </w:p>
        </w:tc>
        <w:tc>
          <w:tcPr>
            <w:tcW w:w="1563" w:type="dxa"/>
            <w:gridSpan w:val="2"/>
            <w:tcBorders>
              <w:left w:val="single" w:sz="4" w:space="0" w:color="auto"/>
              <w:bottom w:val="single" w:sz="6" w:space="0" w:color="757575"/>
            </w:tcBorders>
          </w:tcPr>
          <w:p w:rsidR="00391BEE" w:rsidRDefault="00391BEE" w:rsidP="00391BEE">
            <w:pPr>
              <w:spacing w:before="60" w:after="60"/>
              <w:rPr>
                <w:rFonts w:ascii="Arial" w:hAnsi="Arial" w:cs="Arial"/>
                <w:sz w:val="18"/>
                <w:szCs w:val="18"/>
              </w:rPr>
            </w:pPr>
          </w:p>
        </w:tc>
      </w:tr>
      <w:tr w:rsidR="00D52C21" w:rsidRPr="00AE3EF8" w:rsidTr="00D52C21">
        <w:trPr>
          <w:trHeight w:val="239"/>
        </w:trPr>
        <w:tc>
          <w:tcPr>
            <w:tcW w:w="2370" w:type="dxa"/>
            <w:vMerge/>
            <w:tcBorders>
              <w:right w:val="single" w:sz="4" w:space="0" w:color="auto"/>
            </w:tcBorders>
          </w:tcPr>
          <w:p w:rsidR="00391BEE" w:rsidRDefault="00391BEE" w:rsidP="00391BEE">
            <w:pPr>
              <w:spacing w:before="60" w:after="60"/>
              <w:rPr>
                <w:rFonts w:ascii="Arial" w:hAnsi="Arial" w:cs="Arial"/>
                <w:sz w:val="18"/>
                <w:szCs w:val="18"/>
              </w:rPr>
            </w:pPr>
          </w:p>
        </w:tc>
        <w:tc>
          <w:tcPr>
            <w:tcW w:w="1986" w:type="dxa"/>
            <w:gridSpan w:val="6"/>
            <w:tcBorders>
              <w:top w:val="single" w:sz="6" w:space="0" w:color="757575"/>
              <w:left w:val="single" w:sz="4" w:space="0" w:color="auto"/>
              <w:bottom w:val="single" w:sz="6" w:space="0" w:color="757575"/>
              <w:right w:val="single" w:sz="4" w:space="0" w:color="auto"/>
            </w:tcBorders>
          </w:tcPr>
          <w:p w:rsidR="00391BEE" w:rsidRDefault="00D52C21" w:rsidP="00391BEE">
            <w:pPr>
              <w:spacing w:before="60" w:after="60"/>
              <w:rPr>
                <w:rFonts w:ascii="Arial" w:hAnsi="Arial" w:cs="Arial"/>
                <w:sz w:val="18"/>
                <w:szCs w:val="18"/>
              </w:rPr>
            </w:pPr>
            <w:r w:rsidRPr="00AE3EF8">
              <w:rPr>
                <w:rFonts w:ascii="Arial" w:hAnsi="Arial" w:cs="Arial"/>
                <w:sz w:val="18"/>
                <w:szCs w:val="18"/>
              </w:rPr>
              <w:t>ii.</w:t>
            </w:r>
          </w:p>
        </w:tc>
        <w:tc>
          <w:tcPr>
            <w:tcW w:w="2553" w:type="dxa"/>
            <w:gridSpan w:val="3"/>
            <w:tcBorders>
              <w:top w:val="single" w:sz="6" w:space="0" w:color="757575"/>
              <w:left w:val="single" w:sz="4" w:space="0" w:color="auto"/>
              <w:bottom w:val="single" w:sz="6" w:space="0" w:color="757575"/>
              <w:right w:val="single" w:sz="4" w:space="0" w:color="auto"/>
            </w:tcBorders>
          </w:tcPr>
          <w:p w:rsidR="00391BEE" w:rsidRDefault="00391BEE" w:rsidP="00391BEE">
            <w:pPr>
              <w:spacing w:before="60" w:after="60"/>
              <w:rPr>
                <w:rFonts w:ascii="Arial" w:hAnsi="Arial" w:cs="Arial"/>
                <w:sz w:val="18"/>
                <w:szCs w:val="18"/>
              </w:rPr>
            </w:pPr>
          </w:p>
        </w:tc>
        <w:tc>
          <w:tcPr>
            <w:tcW w:w="1563" w:type="dxa"/>
            <w:gridSpan w:val="2"/>
            <w:tcBorders>
              <w:top w:val="single" w:sz="6" w:space="0" w:color="757575"/>
              <w:left w:val="single" w:sz="4" w:space="0" w:color="auto"/>
              <w:bottom w:val="single" w:sz="6" w:space="0" w:color="757575"/>
            </w:tcBorders>
          </w:tcPr>
          <w:p w:rsidR="00391BEE" w:rsidRDefault="00391BEE" w:rsidP="00391BEE">
            <w:pPr>
              <w:spacing w:before="60" w:after="60"/>
              <w:rPr>
                <w:rFonts w:ascii="Arial" w:hAnsi="Arial" w:cs="Arial"/>
                <w:sz w:val="18"/>
                <w:szCs w:val="18"/>
              </w:rPr>
            </w:pPr>
          </w:p>
        </w:tc>
      </w:tr>
      <w:tr w:rsidR="00D52C21" w:rsidRPr="00AE3EF8" w:rsidTr="00D52C21">
        <w:trPr>
          <w:trHeight w:val="231"/>
        </w:trPr>
        <w:tc>
          <w:tcPr>
            <w:tcW w:w="2370" w:type="dxa"/>
            <w:vMerge/>
            <w:tcBorders>
              <w:right w:val="single" w:sz="4" w:space="0" w:color="auto"/>
            </w:tcBorders>
          </w:tcPr>
          <w:p w:rsidR="00391BEE" w:rsidRDefault="00391BEE" w:rsidP="00391BEE">
            <w:pPr>
              <w:spacing w:before="60" w:after="60"/>
              <w:rPr>
                <w:rFonts w:ascii="Arial" w:hAnsi="Arial" w:cs="Arial"/>
                <w:sz w:val="18"/>
                <w:szCs w:val="18"/>
              </w:rPr>
            </w:pPr>
          </w:p>
        </w:tc>
        <w:tc>
          <w:tcPr>
            <w:tcW w:w="1986" w:type="dxa"/>
            <w:gridSpan w:val="6"/>
            <w:tcBorders>
              <w:top w:val="single" w:sz="6" w:space="0" w:color="757575"/>
              <w:left w:val="single" w:sz="4" w:space="0" w:color="auto"/>
              <w:bottom w:val="single" w:sz="6" w:space="0" w:color="757575"/>
              <w:right w:val="single" w:sz="4" w:space="0" w:color="auto"/>
            </w:tcBorders>
          </w:tcPr>
          <w:p w:rsidR="00391BEE" w:rsidRDefault="00D52C21" w:rsidP="00391BEE">
            <w:pPr>
              <w:spacing w:before="60" w:after="60"/>
              <w:rPr>
                <w:rFonts w:ascii="Arial" w:hAnsi="Arial" w:cs="Arial"/>
                <w:sz w:val="18"/>
                <w:szCs w:val="18"/>
              </w:rPr>
            </w:pPr>
            <w:r w:rsidRPr="00AE3EF8">
              <w:rPr>
                <w:rFonts w:ascii="Arial" w:hAnsi="Arial" w:cs="Arial"/>
                <w:sz w:val="18"/>
                <w:szCs w:val="18"/>
              </w:rPr>
              <w:t>ii.</w:t>
            </w:r>
          </w:p>
        </w:tc>
        <w:tc>
          <w:tcPr>
            <w:tcW w:w="2553" w:type="dxa"/>
            <w:gridSpan w:val="3"/>
            <w:tcBorders>
              <w:top w:val="single" w:sz="6" w:space="0" w:color="757575"/>
              <w:left w:val="single" w:sz="4" w:space="0" w:color="auto"/>
              <w:bottom w:val="single" w:sz="6" w:space="0" w:color="757575"/>
              <w:right w:val="single" w:sz="4" w:space="0" w:color="auto"/>
            </w:tcBorders>
          </w:tcPr>
          <w:p w:rsidR="00391BEE" w:rsidRDefault="00391BEE" w:rsidP="00391BEE">
            <w:pPr>
              <w:spacing w:before="60" w:after="60"/>
              <w:rPr>
                <w:rFonts w:ascii="Arial" w:hAnsi="Arial" w:cs="Arial"/>
                <w:sz w:val="18"/>
                <w:szCs w:val="18"/>
              </w:rPr>
            </w:pPr>
          </w:p>
        </w:tc>
        <w:tc>
          <w:tcPr>
            <w:tcW w:w="1563" w:type="dxa"/>
            <w:gridSpan w:val="2"/>
            <w:tcBorders>
              <w:top w:val="single" w:sz="6" w:space="0" w:color="757575"/>
              <w:left w:val="single" w:sz="4" w:space="0" w:color="auto"/>
              <w:bottom w:val="single" w:sz="6" w:space="0" w:color="757575"/>
            </w:tcBorders>
          </w:tcPr>
          <w:p w:rsidR="00391BEE" w:rsidRDefault="00391BEE" w:rsidP="00391BEE">
            <w:pPr>
              <w:spacing w:before="60" w:after="60"/>
              <w:rPr>
                <w:rFonts w:ascii="Arial" w:hAnsi="Arial" w:cs="Arial"/>
                <w:sz w:val="18"/>
                <w:szCs w:val="18"/>
              </w:rPr>
            </w:pPr>
          </w:p>
        </w:tc>
      </w:tr>
      <w:tr w:rsidR="00D52C21" w:rsidRPr="00AE3EF8" w:rsidTr="00D52C21">
        <w:trPr>
          <w:trHeight w:val="231"/>
        </w:trPr>
        <w:tc>
          <w:tcPr>
            <w:tcW w:w="2370" w:type="dxa"/>
            <w:vMerge/>
            <w:tcBorders>
              <w:right w:val="single" w:sz="4" w:space="0" w:color="auto"/>
            </w:tcBorders>
          </w:tcPr>
          <w:p w:rsidR="00391BEE" w:rsidRDefault="00391BEE" w:rsidP="00391BEE">
            <w:pPr>
              <w:spacing w:before="60" w:after="60"/>
              <w:rPr>
                <w:rFonts w:ascii="Arial" w:hAnsi="Arial" w:cs="Arial"/>
                <w:sz w:val="18"/>
                <w:szCs w:val="18"/>
              </w:rPr>
            </w:pPr>
          </w:p>
        </w:tc>
        <w:tc>
          <w:tcPr>
            <w:tcW w:w="1986" w:type="dxa"/>
            <w:gridSpan w:val="6"/>
            <w:tcBorders>
              <w:top w:val="single" w:sz="6" w:space="0" w:color="757575"/>
              <w:left w:val="single" w:sz="4" w:space="0" w:color="auto"/>
              <w:bottom w:val="single" w:sz="6" w:space="0" w:color="757575"/>
              <w:right w:val="single" w:sz="4" w:space="0" w:color="auto"/>
            </w:tcBorders>
          </w:tcPr>
          <w:p w:rsidR="00391BEE" w:rsidRDefault="00D52C21" w:rsidP="00391BEE">
            <w:pPr>
              <w:spacing w:before="60" w:after="60"/>
              <w:rPr>
                <w:rFonts w:ascii="Arial" w:hAnsi="Arial" w:cs="Arial"/>
                <w:sz w:val="18"/>
                <w:szCs w:val="18"/>
              </w:rPr>
            </w:pPr>
            <w:r w:rsidRPr="00AE3EF8">
              <w:rPr>
                <w:rFonts w:ascii="Arial" w:hAnsi="Arial" w:cs="Arial"/>
                <w:sz w:val="18"/>
                <w:szCs w:val="18"/>
              </w:rPr>
              <w:t>iv.</w:t>
            </w:r>
          </w:p>
        </w:tc>
        <w:tc>
          <w:tcPr>
            <w:tcW w:w="2553" w:type="dxa"/>
            <w:gridSpan w:val="3"/>
            <w:tcBorders>
              <w:top w:val="single" w:sz="6" w:space="0" w:color="757575"/>
              <w:left w:val="single" w:sz="4" w:space="0" w:color="auto"/>
              <w:bottom w:val="single" w:sz="6" w:space="0" w:color="757575"/>
              <w:right w:val="single" w:sz="4" w:space="0" w:color="auto"/>
            </w:tcBorders>
          </w:tcPr>
          <w:p w:rsidR="00391BEE" w:rsidRDefault="00391BEE" w:rsidP="00391BEE">
            <w:pPr>
              <w:spacing w:before="60" w:after="60"/>
              <w:rPr>
                <w:rFonts w:ascii="Arial" w:hAnsi="Arial" w:cs="Arial"/>
                <w:sz w:val="18"/>
                <w:szCs w:val="18"/>
              </w:rPr>
            </w:pPr>
          </w:p>
        </w:tc>
        <w:tc>
          <w:tcPr>
            <w:tcW w:w="1563" w:type="dxa"/>
            <w:gridSpan w:val="2"/>
            <w:tcBorders>
              <w:top w:val="single" w:sz="6" w:space="0" w:color="757575"/>
              <w:left w:val="single" w:sz="4" w:space="0" w:color="auto"/>
              <w:bottom w:val="single" w:sz="6" w:space="0" w:color="757575"/>
            </w:tcBorders>
          </w:tcPr>
          <w:p w:rsidR="00391BEE" w:rsidRDefault="00391BEE" w:rsidP="00391BEE">
            <w:pPr>
              <w:spacing w:before="60" w:after="60"/>
              <w:rPr>
                <w:rFonts w:ascii="Arial" w:hAnsi="Arial" w:cs="Arial"/>
                <w:sz w:val="18"/>
                <w:szCs w:val="18"/>
              </w:rPr>
            </w:pPr>
          </w:p>
        </w:tc>
      </w:tr>
      <w:tr w:rsidR="00D52C21" w:rsidRPr="00AE3EF8" w:rsidTr="00D52C21">
        <w:trPr>
          <w:trHeight w:val="217"/>
        </w:trPr>
        <w:tc>
          <w:tcPr>
            <w:tcW w:w="2370" w:type="dxa"/>
            <w:vMerge/>
            <w:tcBorders>
              <w:right w:val="single" w:sz="4" w:space="0" w:color="auto"/>
            </w:tcBorders>
          </w:tcPr>
          <w:p w:rsidR="00391BEE" w:rsidRDefault="00391BEE" w:rsidP="00391BEE">
            <w:pPr>
              <w:spacing w:before="60" w:after="60"/>
              <w:rPr>
                <w:rFonts w:ascii="Arial" w:hAnsi="Arial" w:cs="Arial"/>
                <w:sz w:val="18"/>
                <w:szCs w:val="18"/>
              </w:rPr>
            </w:pPr>
          </w:p>
        </w:tc>
        <w:tc>
          <w:tcPr>
            <w:tcW w:w="1986" w:type="dxa"/>
            <w:gridSpan w:val="6"/>
            <w:tcBorders>
              <w:top w:val="single" w:sz="6" w:space="0" w:color="757575"/>
              <w:left w:val="single" w:sz="4" w:space="0" w:color="auto"/>
              <w:bottom w:val="single" w:sz="6" w:space="0" w:color="757575"/>
              <w:right w:val="single" w:sz="4" w:space="0" w:color="auto"/>
            </w:tcBorders>
          </w:tcPr>
          <w:p w:rsidR="00391BEE" w:rsidRDefault="00D52C21" w:rsidP="00391BEE">
            <w:pPr>
              <w:spacing w:before="60" w:after="60"/>
              <w:rPr>
                <w:rFonts w:ascii="Arial" w:hAnsi="Arial" w:cs="Arial"/>
                <w:sz w:val="18"/>
                <w:szCs w:val="18"/>
              </w:rPr>
            </w:pPr>
            <w:r w:rsidRPr="00AE3EF8">
              <w:rPr>
                <w:rFonts w:ascii="Arial" w:hAnsi="Arial" w:cs="Arial"/>
                <w:sz w:val="18"/>
                <w:szCs w:val="18"/>
              </w:rPr>
              <w:t>v.</w:t>
            </w:r>
          </w:p>
        </w:tc>
        <w:tc>
          <w:tcPr>
            <w:tcW w:w="2553" w:type="dxa"/>
            <w:gridSpan w:val="3"/>
            <w:tcBorders>
              <w:top w:val="single" w:sz="6" w:space="0" w:color="757575"/>
              <w:left w:val="single" w:sz="4" w:space="0" w:color="auto"/>
              <w:bottom w:val="single" w:sz="6" w:space="0" w:color="757575"/>
              <w:right w:val="single" w:sz="4" w:space="0" w:color="auto"/>
            </w:tcBorders>
          </w:tcPr>
          <w:p w:rsidR="00391BEE" w:rsidRDefault="00391BEE" w:rsidP="00391BEE">
            <w:pPr>
              <w:spacing w:before="60" w:after="60"/>
              <w:rPr>
                <w:rFonts w:ascii="Arial" w:hAnsi="Arial" w:cs="Arial"/>
                <w:sz w:val="18"/>
                <w:szCs w:val="18"/>
              </w:rPr>
            </w:pPr>
          </w:p>
        </w:tc>
        <w:tc>
          <w:tcPr>
            <w:tcW w:w="1563" w:type="dxa"/>
            <w:gridSpan w:val="2"/>
            <w:tcBorders>
              <w:top w:val="single" w:sz="6" w:space="0" w:color="757575"/>
              <w:left w:val="single" w:sz="4" w:space="0" w:color="auto"/>
              <w:bottom w:val="single" w:sz="6" w:space="0" w:color="757575"/>
            </w:tcBorders>
          </w:tcPr>
          <w:p w:rsidR="00391BEE" w:rsidRDefault="00391BEE" w:rsidP="00391BEE">
            <w:pPr>
              <w:spacing w:before="60" w:after="60"/>
              <w:rPr>
                <w:rFonts w:ascii="Arial" w:hAnsi="Arial" w:cs="Arial"/>
                <w:sz w:val="18"/>
                <w:szCs w:val="18"/>
              </w:rPr>
            </w:pPr>
          </w:p>
        </w:tc>
      </w:tr>
      <w:tr w:rsidR="00D52C21" w:rsidRPr="00AE3EF8" w:rsidTr="00D52C21">
        <w:trPr>
          <w:trHeight w:val="267"/>
        </w:trPr>
        <w:tc>
          <w:tcPr>
            <w:tcW w:w="2370" w:type="dxa"/>
            <w:vMerge/>
            <w:tcBorders>
              <w:right w:val="single" w:sz="4" w:space="0" w:color="auto"/>
            </w:tcBorders>
          </w:tcPr>
          <w:p w:rsidR="00391BEE" w:rsidRDefault="00391BEE" w:rsidP="00391BEE">
            <w:pPr>
              <w:spacing w:before="60" w:after="60"/>
              <w:rPr>
                <w:rFonts w:ascii="Arial" w:hAnsi="Arial" w:cs="Arial"/>
                <w:sz w:val="18"/>
                <w:szCs w:val="18"/>
              </w:rPr>
            </w:pPr>
          </w:p>
        </w:tc>
        <w:tc>
          <w:tcPr>
            <w:tcW w:w="1986" w:type="dxa"/>
            <w:gridSpan w:val="6"/>
            <w:tcBorders>
              <w:top w:val="single" w:sz="6" w:space="0" w:color="757575"/>
              <w:left w:val="single" w:sz="4" w:space="0" w:color="auto"/>
              <w:bottom w:val="single" w:sz="6" w:space="0" w:color="757575"/>
              <w:right w:val="single" w:sz="4" w:space="0" w:color="auto"/>
            </w:tcBorders>
          </w:tcPr>
          <w:p w:rsidR="00391BEE" w:rsidRDefault="00D52C21" w:rsidP="00391BEE">
            <w:pPr>
              <w:spacing w:before="60" w:after="60"/>
              <w:rPr>
                <w:rFonts w:ascii="Arial" w:hAnsi="Arial" w:cs="Arial"/>
                <w:sz w:val="18"/>
                <w:szCs w:val="18"/>
              </w:rPr>
            </w:pPr>
            <w:r w:rsidRPr="00AE3EF8">
              <w:rPr>
                <w:rFonts w:ascii="Arial" w:hAnsi="Arial" w:cs="Arial"/>
                <w:sz w:val="18"/>
                <w:szCs w:val="18"/>
              </w:rPr>
              <w:t>vi.</w:t>
            </w:r>
          </w:p>
        </w:tc>
        <w:tc>
          <w:tcPr>
            <w:tcW w:w="2553" w:type="dxa"/>
            <w:gridSpan w:val="3"/>
            <w:tcBorders>
              <w:top w:val="single" w:sz="6" w:space="0" w:color="757575"/>
              <w:left w:val="single" w:sz="4" w:space="0" w:color="auto"/>
              <w:bottom w:val="single" w:sz="4" w:space="0" w:color="auto"/>
              <w:right w:val="single" w:sz="4" w:space="0" w:color="auto"/>
            </w:tcBorders>
          </w:tcPr>
          <w:p w:rsidR="00391BEE" w:rsidRDefault="00391BEE" w:rsidP="00391BEE">
            <w:pPr>
              <w:spacing w:before="60" w:after="60"/>
              <w:rPr>
                <w:rFonts w:ascii="Arial" w:hAnsi="Arial" w:cs="Arial"/>
                <w:sz w:val="18"/>
                <w:szCs w:val="18"/>
              </w:rPr>
            </w:pPr>
          </w:p>
        </w:tc>
        <w:tc>
          <w:tcPr>
            <w:tcW w:w="1563" w:type="dxa"/>
            <w:gridSpan w:val="2"/>
            <w:tcBorders>
              <w:top w:val="single" w:sz="6" w:space="0" w:color="757575"/>
              <w:left w:val="single" w:sz="4" w:space="0" w:color="auto"/>
              <w:bottom w:val="single" w:sz="4" w:space="0" w:color="auto"/>
            </w:tcBorders>
          </w:tcPr>
          <w:p w:rsidR="00391BEE" w:rsidRDefault="00391BEE" w:rsidP="00391BEE">
            <w:pPr>
              <w:spacing w:before="60" w:after="60"/>
              <w:rPr>
                <w:rFonts w:ascii="Arial" w:hAnsi="Arial" w:cs="Arial"/>
                <w:sz w:val="18"/>
                <w:szCs w:val="18"/>
              </w:rPr>
            </w:pPr>
          </w:p>
        </w:tc>
      </w:tr>
      <w:tr w:rsidR="00D52C21" w:rsidRPr="00AE3EF8" w:rsidTr="00D52C21">
        <w:trPr>
          <w:trHeight w:val="237"/>
        </w:trPr>
        <w:tc>
          <w:tcPr>
            <w:tcW w:w="2370" w:type="dxa"/>
            <w:vMerge/>
            <w:tcBorders>
              <w:right w:val="single" w:sz="4" w:space="0" w:color="auto"/>
            </w:tcBorders>
          </w:tcPr>
          <w:p w:rsidR="00391BEE" w:rsidRDefault="00391BEE" w:rsidP="00391BEE">
            <w:pPr>
              <w:spacing w:before="60" w:after="60"/>
              <w:rPr>
                <w:rFonts w:ascii="Arial" w:hAnsi="Arial" w:cs="Arial"/>
                <w:sz w:val="18"/>
                <w:szCs w:val="18"/>
              </w:rPr>
            </w:pPr>
          </w:p>
        </w:tc>
        <w:tc>
          <w:tcPr>
            <w:tcW w:w="6102" w:type="dxa"/>
            <w:gridSpan w:val="11"/>
            <w:tcBorders>
              <w:left w:val="single" w:sz="4" w:space="0" w:color="auto"/>
            </w:tcBorders>
          </w:tcPr>
          <w:p w:rsidR="00391BEE" w:rsidRDefault="00D52C21" w:rsidP="00391BEE">
            <w:pPr>
              <w:spacing w:before="60" w:after="60"/>
              <w:rPr>
                <w:rFonts w:ascii="Arial" w:hAnsi="Arial" w:cs="Arial"/>
                <w:sz w:val="18"/>
                <w:szCs w:val="18"/>
              </w:rPr>
            </w:pPr>
            <w:r w:rsidRPr="00AE3EF8">
              <w:rPr>
                <w:rFonts w:ascii="Arial" w:hAnsi="Arial" w:cs="Arial"/>
                <w:sz w:val="18"/>
                <w:szCs w:val="18"/>
              </w:rPr>
              <w:t>Notes: p-value, 95% CI</w:t>
            </w:r>
            <w:r>
              <w:rPr>
                <w:rFonts w:ascii="Arial" w:hAnsi="Arial" w:cs="Arial"/>
                <w:sz w:val="18"/>
                <w:szCs w:val="18"/>
              </w:rPr>
              <w:t xml:space="preserve"> and subgroups</w:t>
            </w:r>
          </w:p>
        </w:tc>
      </w:tr>
      <w:tr w:rsidR="00D52C21" w:rsidRPr="00AE3EF8" w:rsidTr="00D52C21">
        <w:tc>
          <w:tcPr>
            <w:tcW w:w="2370" w:type="dxa"/>
            <w:tcBorders>
              <w:right w:val="single" w:sz="4" w:space="0" w:color="auto"/>
            </w:tcBorders>
            <w:shd w:val="clear" w:color="auto" w:fill="F2F2F2" w:themeFill="background1" w:themeFillShade="F2"/>
          </w:tcPr>
          <w:p w:rsidR="00391BEE" w:rsidRDefault="00D52C21" w:rsidP="00391BEE">
            <w:pPr>
              <w:spacing w:before="60" w:after="60"/>
              <w:rPr>
                <w:rFonts w:ascii="Arial" w:hAnsi="Arial" w:cs="Arial"/>
                <w:b/>
                <w:sz w:val="18"/>
                <w:szCs w:val="18"/>
              </w:rPr>
            </w:pPr>
            <w:r>
              <w:rPr>
                <w:rFonts w:ascii="Arial" w:hAnsi="Arial" w:cs="Arial"/>
                <w:b/>
                <w:sz w:val="18"/>
                <w:szCs w:val="18"/>
              </w:rPr>
              <w:t xml:space="preserve">CONTINUOUS </w:t>
            </w:r>
            <w:r w:rsidRPr="00AE3EF8">
              <w:rPr>
                <w:rFonts w:ascii="Arial" w:hAnsi="Arial" w:cs="Arial"/>
                <w:b/>
                <w:sz w:val="18"/>
                <w:szCs w:val="18"/>
              </w:rPr>
              <w:t>OUTCOMES</w:t>
            </w:r>
          </w:p>
        </w:tc>
        <w:tc>
          <w:tcPr>
            <w:tcW w:w="1986" w:type="dxa"/>
            <w:gridSpan w:val="6"/>
            <w:tcBorders>
              <w:left w:val="single" w:sz="4" w:space="0" w:color="auto"/>
              <w:right w:val="single" w:sz="4" w:space="0" w:color="auto"/>
            </w:tcBorders>
            <w:shd w:val="clear" w:color="auto" w:fill="F2F2F2" w:themeFill="background1" w:themeFillShade="F2"/>
          </w:tcPr>
          <w:p w:rsidR="00391BEE" w:rsidRDefault="00D52C21" w:rsidP="00391BEE">
            <w:pPr>
              <w:spacing w:before="60" w:after="60"/>
              <w:rPr>
                <w:rFonts w:ascii="Arial" w:hAnsi="Arial" w:cs="Arial"/>
                <w:b/>
                <w:sz w:val="18"/>
                <w:szCs w:val="18"/>
              </w:rPr>
            </w:pPr>
            <w:r w:rsidRPr="00AE3EF8">
              <w:rPr>
                <w:rFonts w:ascii="Arial" w:hAnsi="Arial" w:cs="Arial"/>
                <w:b/>
                <w:sz w:val="18"/>
                <w:szCs w:val="18"/>
              </w:rPr>
              <w:t>Arm 1 (n=)</w:t>
            </w:r>
          </w:p>
        </w:tc>
        <w:tc>
          <w:tcPr>
            <w:tcW w:w="2553" w:type="dxa"/>
            <w:gridSpan w:val="3"/>
            <w:tcBorders>
              <w:left w:val="single" w:sz="4" w:space="0" w:color="auto"/>
              <w:right w:val="single" w:sz="4" w:space="0" w:color="auto"/>
            </w:tcBorders>
            <w:shd w:val="clear" w:color="auto" w:fill="F2F2F2" w:themeFill="background1" w:themeFillShade="F2"/>
          </w:tcPr>
          <w:p w:rsidR="00391BEE" w:rsidRDefault="00D52C21" w:rsidP="00391BEE">
            <w:pPr>
              <w:spacing w:before="60" w:after="60"/>
              <w:rPr>
                <w:rFonts w:ascii="Arial" w:hAnsi="Arial" w:cs="Arial"/>
                <w:b/>
                <w:sz w:val="18"/>
                <w:szCs w:val="18"/>
              </w:rPr>
            </w:pPr>
            <w:r w:rsidRPr="00AE3EF8">
              <w:rPr>
                <w:rFonts w:ascii="Arial" w:hAnsi="Arial" w:cs="Arial"/>
                <w:b/>
                <w:sz w:val="18"/>
                <w:szCs w:val="18"/>
              </w:rPr>
              <w:t>Arm 2 (n=)</w:t>
            </w:r>
          </w:p>
        </w:tc>
        <w:tc>
          <w:tcPr>
            <w:tcW w:w="1563" w:type="dxa"/>
            <w:gridSpan w:val="2"/>
            <w:tcBorders>
              <w:left w:val="single" w:sz="4" w:space="0" w:color="auto"/>
            </w:tcBorders>
            <w:shd w:val="clear" w:color="auto" w:fill="F2F2F2" w:themeFill="background1" w:themeFillShade="F2"/>
          </w:tcPr>
          <w:p w:rsidR="00391BEE" w:rsidRDefault="00D52C21" w:rsidP="00391BEE">
            <w:pPr>
              <w:spacing w:before="60" w:after="60"/>
              <w:rPr>
                <w:rFonts w:ascii="Arial" w:hAnsi="Arial" w:cs="Arial"/>
                <w:b/>
                <w:sz w:val="18"/>
                <w:szCs w:val="18"/>
              </w:rPr>
            </w:pPr>
            <w:r w:rsidRPr="00AE3EF8">
              <w:rPr>
                <w:rFonts w:ascii="Arial" w:hAnsi="Arial" w:cs="Arial"/>
                <w:b/>
                <w:sz w:val="18"/>
                <w:szCs w:val="18"/>
              </w:rPr>
              <w:t>Arm 3 (n=)</w:t>
            </w:r>
          </w:p>
        </w:tc>
      </w:tr>
      <w:tr w:rsidR="00D52C21" w:rsidRPr="00AE3EF8" w:rsidTr="00D52C21">
        <w:tc>
          <w:tcPr>
            <w:tcW w:w="2370" w:type="dxa"/>
            <w:vMerge w:val="restart"/>
            <w:tcBorders>
              <w:right w:val="single" w:sz="4" w:space="0" w:color="auto"/>
            </w:tcBorders>
          </w:tcPr>
          <w:p w:rsidR="00391BEE" w:rsidRDefault="00D52C21" w:rsidP="00391BEE">
            <w:pPr>
              <w:spacing w:before="60" w:after="60"/>
              <w:rPr>
                <w:rFonts w:ascii="Arial" w:hAnsi="Arial" w:cs="Arial"/>
                <w:sz w:val="18"/>
                <w:szCs w:val="18"/>
              </w:rPr>
            </w:pPr>
            <w:r w:rsidRPr="00AE3EF8">
              <w:rPr>
                <w:rFonts w:ascii="Arial" w:hAnsi="Arial" w:cs="Arial"/>
                <w:sz w:val="18"/>
                <w:szCs w:val="18"/>
              </w:rPr>
              <w:t xml:space="preserve">Progression free survival, </w:t>
            </w:r>
            <w:r>
              <w:rPr>
                <w:rFonts w:ascii="Arial" w:hAnsi="Arial" w:cs="Arial"/>
                <w:sz w:val="18"/>
                <w:szCs w:val="18"/>
              </w:rPr>
              <w:t>months</w:t>
            </w:r>
          </w:p>
          <w:p w:rsidR="00391BEE" w:rsidRDefault="00D52C21" w:rsidP="00391BEE">
            <w:pPr>
              <w:spacing w:before="60" w:after="60"/>
              <w:rPr>
                <w:rFonts w:ascii="Arial" w:hAnsi="Arial" w:cs="Arial"/>
                <w:sz w:val="18"/>
                <w:szCs w:val="18"/>
              </w:rPr>
            </w:pPr>
            <w:r>
              <w:rPr>
                <w:rFonts w:ascii="Arial" w:hAnsi="Arial" w:cs="Arial"/>
                <w:sz w:val="18"/>
                <w:szCs w:val="18"/>
              </w:rPr>
              <w:t xml:space="preserve">mean ± SD </w:t>
            </w:r>
          </w:p>
          <w:p w:rsidR="00391BEE" w:rsidRDefault="00D52C21" w:rsidP="00391BEE">
            <w:pPr>
              <w:spacing w:before="60" w:after="60"/>
              <w:rPr>
                <w:rFonts w:ascii="Arial" w:hAnsi="Arial" w:cs="Arial"/>
                <w:sz w:val="18"/>
                <w:szCs w:val="18"/>
              </w:rPr>
            </w:pPr>
            <w:r>
              <w:rPr>
                <w:rFonts w:ascii="Arial" w:hAnsi="Arial" w:cs="Arial"/>
                <w:sz w:val="18"/>
                <w:szCs w:val="18"/>
              </w:rPr>
              <w:t>(median [range])</w:t>
            </w:r>
          </w:p>
        </w:tc>
        <w:tc>
          <w:tcPr>
            <w:tcW w:w="1986" w:type="dxa"/>
            <w:gridSpan w:val="6"/>
            <w:tcBorders>
              <w:left w:val="single" w:sz="4" w:space="0" w:color="auto"/>
              <w:right w:val="single" w:sz="4" w:space="0" w:color="auto"/>
            </w:tcBorders>
          </w:tcPr>
          <w:p w:rsidR="00391BEE" w:rsidRDefault="00391BEE" w:rsidP="00391BEE">
            <w:pPr>
              <w:spacing w:before="60" w:after="60"/>
              <w:rPr>
                <w:rFonts w:ascii="Arial" w:hAnsi="Arial" w:cs="Arial"/>
                <w:sz w:val="18"/>
                <w:szCs w:val="18"/>
              </w:rPr>
            </w:pPr>
          </w:p>
        </w:tc>
        <w:tc>
          <w:tcPr>
            <w:tcW w:w="2553" w:type="dxa"/>
            <w:gridSpan w:val="3"/>
            <w:tcBorders>
              <w:left w:val="single" w:sz="4" w:space="0" w:color="auto"/>
              <w:right w:val="single" w:sz="4" w:space="0" w:color="auto"/>
            </w:tcBorders>
          </w:tcPr>
          <w:p w:rsidR="00391BEE" w:rsidRDefault="00391BEE" w:rsidP="00391BEE">
            <w:pPr>
              <w:spacing w:before="60" w:after="60"/>
              <w:rPr>
                <w:rFonts w:ascii="Arial" w:hAnsi="Arial" w:cs="Arial"/>
                <w:sz w:val="18"/>
                <w:szCs w:val="18"/>
              </w:rPr>
            </w:pPr>
          </w:p>
        </w:tc>
        <w:tc>
          <w:tcPr>
            <w:tcW w:w="1563" w:type="dxa"/>
            <w:gridSpan w:val="2"/>
            <w:tcBorders>
              <w:left w:val="single" w:sz="4" w:space="0" w:color="auto"/>
            </w:tcBorders>
          </w:tcPr>
          <w:p w:rsidR="00391BEE" w:rsidRDefault="00391BEE" w:rsidP="00391BEE">
            <w:pPr>
              <w:spacing w:before="60" w:after="60"/>
              <w:rPr>
                <w:rFonts w:ascii="Arial" w:hAnsi="Arial" w:cs="Arial"/>
                <w:sz w:val="18"/>
                <w:szCs w:val="18"/>
              </w:rPr>
            </w:pPr>
          </w:p>
          <w:p w:rsidR="00391BEE" w:rsidRDefault="00391BEE" w:rsidP="00391BEE">
            <w:pPr>
              <w:spacing w:before="60" w:after="60"/>
              <w:rPr>
                <w:rFonts w:ascii="Arial" w:hAnsi="Arial" w:cs="Arial"/>
                <w:sz w:val="18"/>
                <w:szCs w:val="18"/>
              </w:rPr>
            </w:pPr>
          </w:p>
          <w:p w:rsidR="00391BEE" w:rsidRDefault="00391BEE" w:rsidP="00391BEE">
            <w:pPr>
              <w:spacing w:before="60" w:after="60"/>
              <w:rPr>
                <w:rFonts w:ascii="Arial" w:hAnsi="Arial" w:cs="Arial"/>
                <w:sz w:val="18"/>
                <w:szCs w:val="18"/>
              </w:rPr>
            </w:pPr>
          </w:p>
        </w:tc>
      </w:tr>
      <w:tr w:rsidR="00D52C21" w:rsidRPr="00AE3EF8" w:rsidTr="00D52C21">
        <w:trPr>
          <w:trHeight w:val="301"/>
        </w:trPr>
        <w:tc>
          <w:tcPr>
            <w:tcW w:w="2370" w:type="dxa"/>
            <w:vMerge/>
            <w:tcBorders>
              <w:right w:val="single" w:sz="4" w:space="0" w:color="auto"/>
            </w:tcBorders>
          </w:tcPr>
          <w:p w:rsidR="00391BEE" w:rsidRDefault="00391BEE" w:rsidP="00391BEE">
            <w:pPr>
              <w:spacing w:before="60" w:after="60"/>
              <w:rPr>
                <w:rFonts w:ascii="Arial" w:hAnsi="Arial" w:cs="Arial"/>
                <w:sz w:val="18"/>
                <w:szCs w:val="18"/>
              </w:rPr>
            </w:pPr>
          </w:p>
        </w:tc>
        <w:tc>
          <w:tcPr>
            <w:tcW w:w="6102" w:type="dxa"/>
            <w:gridSpan w:val="11"/>
            <w:tcBorders>
              <w:left w:val="single" w:sz="4" w:space="0" w:color="auto"/>
            </w:tcBorders>
          </w:tcPr>
          <w:p w:rsidR="00391BEE" w:rsidRDefault="00D52C21" w:rsidP="00391BEE">
            <w:pPr>
              <w:spacing w:before="60" w:after="60"/>
              <w:rPr>
                <w:rFonts w:ascii="Arial" w:hAnsi="Arial" w:cs="Arial"/>
                <w:sz w:val="18"/>
                <w:szCs w:val="18"/>
              </w:rPr>
            </w:pPr>
            <w:r w:rsidRPr="00AE3EF8">
              <w:rPr>
                <w:rFonts w:ascii="Arial" w:hAnsi="Arial" w:cs="Arial"/>
                <w:sz w:val="18"/>
                <w:szCs w:val="18"/>
              </w:rPr>
              <w:t>Notes: p-value, 95% CI</w:t>
            </w:r>
            <w:r>
              <w:rPr>
                <w:rFonts w:ascii="Arial" w:hAnsi="Arial" w:cs="Arial"/>
                <w:sz w:val="18"/>
                <w:szCs w:val="18"/>
              </w:rPr>
              <w:t xml:space="preserve"> and subgroups</w:t>
            </w:r>
          </w:p>
        </w:tc>
      </w:tr>
      <w:tr w:rsidR="00D52C21" w:rsidRPr="00AE3EF8" w:rsidTr="00D52C21">
        <w:tc>
          <w:tcPr>
            <w:tcW w:w="2370" w:type="dxa"/>
            <w:vMerge w:val="restart"/>
            <w:tcBorders>
              <w:right w:val="single" w:sz="4" w:space="0" w:color="auto"/>
            </w:tcBorders>
          </w:tcPr>
          <w:p w:rsidR="00391BEE" w:rsidRDefault="00D52C21" w:rsidP="00391BEE">
            <w:pPr>
              <w:spacing w:before="60" w:after="60"/>
              <w:rPr>
                <w:rFonts w:ascii="Arial" w:hAnsi="Arial" w:cs="Arial"/>
                <w:sz w:val="18"/>
                <w:szCs w:val="18"/>
              </w:rPr>
            </w:pPr>
            <w:r w:rsidRPr="00AE3EF8">
              <w:rPr>
                <w:rFonts w:ascii="Arial" w:hAnsi="Arial" w:cs="Arial"/>
                <w:sz w:val="18"/>
                <w:szCs w:val="18"/>
              </w:rPr>
              <w:t>Time to response,</w:t>
            </w:r>
            <w:r>
              <w:rPr>
                <w:rFonts w:ascii="Arial" w:hAnsi="Arial" w:cs="Arial"/>
                <w:sz w:val="18"/>
                <w:szCs w:val="18"/>
              </w:rPr>
              <w:t xml:space="preserve"> months            </w:t>
            </w:r>
            <w:r w:rsidRPr="00AE3EF8">
              <w:rPr>
                <w:rFonts w:ascii="Arial" w:hAnsi="Arial" w:cs="Arial"/>
                <w:sz w:val="18"/>
                <w:szCs w:val="18"/>
              </w:rPr>
              <w:t xml:space="preserve"> </w:t>
            </w:r>
            <w:r>
              <w:rPr>
                <w:rFonts w:ascii="Arial" w:hAnsi="Arial" w:cs="Arial"/>
                <w:sz w:val="18"/>
                <w:szCs w:val="18"/>
              </w:rPr>
              <w:t xml:space="preserve">mean ± SD </w:t>
            </w:r>
          </w:p>
          <w:p w:rsidR="00391BEE" w:rsidRDefault="00D52C21" w:rsidP="00391BEE">
            <w:pPr>
              <w:spacing w:before="60" w:after="60"/>
              <w:rPr>
                <w:rFonts w:ascii="Arial" w:hAnsi="Arial" w:cs="Arial"/>
                <w:sz w:val="18"/>
                <w:szCs w:val="18"/>
              </w:rPr>
            </w:pPr>
            <w:r>
              <w:rPr>
                <w:rFonts w:ascii="Arial" w:hAnsi="Arial" w:cs="Arial"/>
                <w:sz w:val="18"/>
                <w:szCs w:val="18"/>
              </w:rPr>
              <w:t>(median [range])</w:t>
            </w:r>
          </w:p>
        </w:tc>
        <w:tc>
          <w:tcPr>
            <w:tcW w:w="1986" w:type="dxa"/>
            <w:gridSpan w:val="6"/>
            <w:tcBorders>
              <w:left w:val="single" w:sz="4" w:space="0" w:color="auto"/>
              <w:right w:val="single" w:sz="4" w:space="0" w:color="auto"/>
            </w:tcBorders>
          </w:tcPr>
          <w:p w:rsidR="00391BEE" w:rsidRDefault="00391BEE" w:rsidP="00391BEE">
            <w:pPr>
              <w:spacing w:before="60" w:after="60"/>
              <w:rPr>
                <w:rFonts w:ascii="Arial" w:hAnsi="Arial" w:cs="Arial"/>
                <w:sz w:val="18"/>
                <w:szCs w:val="18"/>
              </w:rPr>
            </w:pPr>
          </w:p>
        </w:tc>
        <w:tc>
          <w:tcPr>
            <w:tcW w:w="2553" w:type="dxa"/>
            <w:gridSpan w:val="3"/>
            <w:tcBorders>
              <w:left w:val="single" w:sz="4" w:space="0" w:color="auto"/>
              <w:right w:val="single" w:sz="4" w:space="0" w:color="auto"/>
            </w:tcBorders>
          </w:tcPr>
          <w:p w:rsidR="00391BEE" w:rsidRDefault="00391BEE" w:rsidP="00391BEE">
            <w:pPr>
              <w:spacing w:before="60" w:after="60"/>
              <w:rPr>
                <w:rFonts w:ascii="Arial" w:hAnsi="Arial" w:cs="Arial"/>
                <w:sz w:val="18"/>
                <w:szCs w:val="18"/>
              </w:rPr>
            </w:pPr>
          </w:p>
        </w:tc>
        <w:tc>
          <w:tcPr>
            <w:tcW w:w="1563" w:type="dxa"/>
            <w:gridSpan w:val="2"/>
            <w:tcBorders>
              <w:left w:val="single" w:sz="4" w:space="0" w:color="auto"/>
            </w:tcBorders>
          </w:tcPr>
          <w:p w:rsidR="00391BEE" w:rsidRDefault="00391BEE" w:rsidP="00391BEE">
            <w:pPr>
              <w:spacing w:before="60" w:after="60"/>
              <w:rPr>
                <w:rFonts w:ascii="Arial" w:hAnsi="Arial" w:cs="Arial"/>
                <w:sz w:val="18"/>
                <w:szCs w:val="18"/>
              </w:rPr>
            </w:pPr>
          </w:p>
          <w:p w:rsidR="00391BEE" w:rsidRDefault="00391BEE" w:rsidP="00391BEE">
            <w:pPr>
              <w:spacing w:before="60" w:after="60"/>
              <w:rPr>
                <w:rFonts w:ascii="Arial" w:hAnsi="Arial" w:cs="Arial"/>
                <w:sz w:val="18"/>
                <w:szCs w:val="18"/>
              </w:rPr>
            </w:pPr>
          </w:p>
          <w:p w:rsidR="00391BEE" w:rsidRDefault="00391BEE" w:rsidP="00391BEE">
            <w:pPr>
              <w:spacing w:before="60" w:after="60"/>
              <w:rPr>
                <w:rFonts w:ascii="Arial" w:hAnsi="Arial" w:cs="Arial"/>
                <w:sz w:val="18"/>
                <w:szCs w:val="18"/>
              </w:rPr>
            </w:pPr>
          </w:p>
        </w:tc>
      </w:tr>
      <w:tr w:rsidR="00D52C21" w:rsidRPr="00AE3EF8" w:rsidTr="00D52C21">
        <w:trPr>
          <w:trHeight w:val="319"/>
        </w:trPr>
        <w:tc>
          <w:tcPr>
            <w:tcW w:w="2370" w:type="dxa"/>
            <w:vMerge/>
            <w:tcBorders>
              <w:right w:val="single" w:sz="4" w:space="0" w:color="auto"/>
            </w:tcBorders>
          </w:tcPr>
          <w:p w:rsidR="00391BEE" w:rsidRDefault="00391BEE" w:rsidP="00391BEE">
            <w:pPr>
              <w:spacing w:before="60" w:after="60"/>
              <w:rPr>
                <w:rFonts w:ascii="Arial" w:hAnsi="Arial" w:cs="Arial"/>
                <w:sz w:val="18"/>
                <w:szCs w:val="18"/>
              </w:rPr>
            </w:pPr>
          </w:p>
        </w:tc>
        <w:tc>
          <w:tcPr>
            <w:tcW w:w="6102" w:type="dxa"/>
            <w:gridSpan w:val="11"/>
            <w:tcBorders>
              <w:left w:val="single" w:sz="4" w:space="0" w:color="auto"/>
            </w:tcBorders>
          </w:tcPr>
          <w:p w:rsidR="00391BEE" w:rsidRDefault="00D52C21" w:rsidP="00391BEE">
            <w:pPr>
              <w:spacing w:before="60" w:after="60"/>
              <w:rPr>
                <w:rFonts w:ascii="Arial" w:hAnsi="Arial" w:cs="Arial"/>
                <w:sz w:val="18"/>
                <w:szCs w:val="18"/>
              </w:rPr>
            </w:pPr>
            <w:r w:rsidRPr="00AE3EF8">
              <w:rPr>
                <w:rFonts w:ascii="Arial" w:hAnsi="Arial" w:cs="Arial"/>
                <w:sz w:val="18"/>
                <w:szCs w:val="18"/>
              </w:rPr>
              <w:t>Notes: p-value, 95% CI</w:t>
            </w:r>
            <w:r>
              <w:rPr>
                <w:rFonts w:ascii="Arial" w:hAnsi="Arial" w:cs="Arial"/>
                <w:sz w:val="18"/>
                <w:szCs w:val="18"/>
              </w:rPr>
              <w:t xml:space="preserve"> and subgroups</w:t>
            </w:r>
          </w:p>
        </w:tc>
      </w:tr>
      <w:tr w:rsidR="00D52C21" w:rsidRPr="00AE3EF8" w:rsidTr="00D52C21">
        <w:tc>
          <w:tcPr>
            <w:tcW w:w="2370" w:type="dxa"/>
            <w:vMerge w:val="restart"/>
            <w:tcBorders>
              <w:right w:val="single" w:sz="4" w:space="0" w:color="auto"/>
            </w:tcBorders>
          </w:tcPr>
          <w:p w:rsidR="00391BEE" w:rsidRDefault="00D52C21" w:rsidP="00391BEE">
            <w:pPr>
              <w:spacing w:before="60" w:after="60"/>
              <w:rPr>
                <w:rFonts w:ascii="Arial" w:hAnsi="Arial" w:cs="Arial"/>
                <w:sz w:val="18"/>
                <w:szCs w:val="18"/>
              </w:rPr>
            </w:pPr>
            <w:r w:rsidRPr="00AE3EF8">
              <w:rPr>
                <w:rFonts w:ascii="Arial" w:hAnsi="Arial" w:cs="Arial"/>
                <w:sz w:val="18"/>
                <w:szCs w:val="18"/>
              </w:rPr>
              <w:t>Duration of response, months</w:t>
            </w:r>
          </w:p>
          <w:p w:rsidR="00391BEE" w:rsidRDefault="00D52C21" w:rsidP="00391BEE">
            <w:pPr>
              <w:spacing w:before="60" w:after="60"/>
              <w:rPr>
                <w:rFonts w:ascii="Arial" w:hAnsi="Arial" w:cs="Arial"/>
                <w:sz w:val="18"/>
                <w:szCs w:val="18"/>
              </w:rPr>
            </w:pPr>
            <w:r>
              <w:rPr>
                <w:rFonts w:ascii="Arial" w:hAnsi="Arial" w:cs="Arial"/>
                <w:sz w:val="18"/>
                <w:szCs w:val="18"/>
              </w:rPr>
              <w:t xml:space="preserve">mean ± SD </w:t>
            </w:r>
          </w:p>
          <w:p w:rsidR="00391BEE" w:rsidRDefault="00D52C21" w:rsidP="00391BEE">
            <w:pPr>
              <w:spacing w:before="60" w:after="60"/>
              <w:rPr>
                <w:rFonts w:ascii="Arial" w:hAnsi="Arial" w:cs="Arial"/>
                <w:sz w:val="18"/>
                <w:szCs w:val="18"/>
              </w:rPr>
            </w:pPr>
            <w:r>
              <w:rPr>
                <w:rFonts w:ascii="Arial" w:hAnsi="Arial" w:cs="Arial"/>
                <w:sz w:val="18"/>
                <w:szCs w:val="18"/>
              </w:rPr>
              <w:t>(median [range])</w:t>
            </w:r>
          </w:p>
        </w:tc>
        <w:tc>
          <w:tcPr>
            <w:tcW w:w="1979" w:type="dxa"/>
            <w:gridSpan w:val="5"/>
            <w:tcBorders>
              <w:left w:val="single" w:sz="4" w:space="0" w:color="auto"/>
              <w:right w:val="single" w:sz="4" w:space="0" w:color="auto"/>
            </w:tcBorders>
          </w:tcPr>
          <w:p w:rsidR="00391BEE" w:rsidRDefault="00391BEE" w:rsidP="00391BEE">
            <w:pPr>
              <w:spacing w:before="60" w:after="60"/>
              <w:rPr>
                <w:rFonts w:ascii="Arial" w:hAnsi="Arial" w:cs="Arial"/>
                <w:sz w:val="18"/>
                <w:szCs w:val="18"/>
              </w:rPr>
            </w:pPr>
          </w:p>
        </w:tc>
        <w:tc>
          <w:tcPr>
            <w:tcW w:w="2560" w:type="dxa"/>
            <w:gridSpan w:val="4"/>
            <w:tcBorders>
              <w:left w:val="single" w:sz="4" w:space="0" w:color="auto"/>
              <w:right w:val="single" w:sz="4" w:space="0" w:color="auto"/>
            </w:tcBorders>
          </w:tcPr>
          <w:p w:rsidR="00391BEE" w:rsidRDefault="00391BEE" w:rsidP="00391BEE">
            <w:pPr>
              <w:spacing w:before="60" w:after="60"/>
              <w:rPr>
                <w:rFonts w:ascii="Arial" w:hAnsi="Arial" w:cs="Arial"/>
                <w:sz w:val="18"/>
                <w:szCs w:val="18"/>
              </w:rPr>
            </w:pPr>
          </w:p>
        </w:tc>
        <w:tc>
          <w:tcPr>
            <w:tcW w:w="1563" w:type="dxa"/>
            <w:gridSpan w:val="2"/>
            <w:tcBorders>
              <w:left w:val="single" w:sz="4" w:space="0" w:color="auto"/>
            </w:tcBorders>
          </w:tcPr>
          <w:p w:rsidR="00391BEE" w:rsidRDefault="00391BEE" w:rsidP="00391BEE">
            <w:pPr>
              <w:spacing w:before="60" w:after="60"/>
              <w:rPr>
                <w:rFonts w:ascii="Arial" w:hAnsi="Arial" w:cs="Arial"/>
                <w:sz w:val="18"/>
                <w:szCs w:val="18"/>
              </w:rPr>
            </w:pPr>
          </w:p>
          <w:p w:rsidR="00391BEE" w:rsidRDefault="00391BEE" w:rsidP="00391BEE">
            <w:pPr>
              <w:spacing w:before="60" w:after="60"/>
              <w:rPr>
                <w:rFonts w:ascii="Arial" w:hAnsi="Arial" w:cs="Arial"/>
                <w:sz w:val="18"/>
                <w:szCs w:val="18"/>
              </w:rPr>
            </w:pPr>
          </w:p>
          <w:p w:rsidR="00391BEE" w:rsidRDefault="00391BEE" w:rsidP="00391BEE">
            <w:pPr>
              <w:spacing w:before="60" w:after="60"/>
              <w:rPr>
                <w:rFonts w:ascii="Arial" w:hAnsi="Arial" w:cs="Arial"/>
                <w:sz w:val="18"/>
                <w:szCs w:val="18"/>
              </w:rPr>
            </w:pPr>
          </w:p>
        </w:tc>
      </w:tr>
      <w:tr w:rsidR="00D52C21" w:rsidRPr="00AE3EF8" w:rsidTr="00D52C21">
        <w:trPr>
          <w:trHeight w:val="295"/>
        </w:trPr>
        <w:tc>
          <w:tcPr>
            <w:tcW w:w="2370" w:type="dxa"/>
            <w:vMerge/>
            <w:tcBorders>
              <w:right w:val="single" w:sz="4" w:space="0" w:color="auto"/>
            </w:tcBorders>
          </w:tcPr>
          <w:p w:rsidR="00391BEE" w:rsidRDefault="00391BEE" w:rsidP="00391BEE">
            <w:pPr>
              <w:spacing w:before="60" w:after="60"/>
              <w:rPr>
                <w:rFonts w:ascii="Arial" w:hAnsi="Arial" w:cs="Arial"/>
                <w:sz w:val="18"/>
                <w:szCs w:val="18"/>
              </w:rPr>
            </w:pPr>
          </w:p>
        </w:tc>
        <w:tc>
          <w:tcPr>
            <w:tcW w:w="6102" w:type="dxa"/>
            <w:gridSpan w:val="11"/>
            <w:tcBorders>
              <w:left w:val="single" w:sz="4" w:space="0" w:color="auto"/>
            </w:tcBorders>
          </w:tcPr>
          <w:p w:rsidR="00391BEE" w:rsidRDefault="00D52C21" w:rsidP="00391BEE">
            <w:pPr>
              <w:spacing w:before="60" w:after="60"/>
              <w:rPr>
                <w:rFonts w:ascii="Arial" w:hAnsi="Arial" w:cs="Arial"/>
                <w:sz w:val="18"/>
                <w:szCs w:val="18"/>
              </w:rPr>
            </w:pPr>
            <w:r w:rsidRPr="00AE3EF8">
              <w:rPr>
                <w:rFonts w:ascii="Arial" w:hAnsi="Arial" w:cs="Arial"/>
                <w:sz w:val="18"/>
                <w:szCs w:val="18"/>
              </w:rPr>
              <w:t>Notes: p-value, 95% CI</w:t>
            </w:r>
            <w:r>
              <w:rPr>
                <w:rFonts w:ascii="Arial" w:hAnsi="Arial" w:cs="Arial"/>
                <w:sz w:val="18"/>
                <w:szCs w:val="18"/>
              </w:rPr>
              <w:t xml:space="preserve"> and subgroups</w:t>
            </w:r>
          </w:p>
        </w:tc>
      </w:tr>
      <w:tr w:rsidR="00D52C21" w:rsidRPr="00AE3EF8" w:rsidTr="00D52C21">
        <w:tc>
          <w:tcPr>
            <w:tcW w:w="2370" w:type="dxa"/>
            <w:vMerge w:val="restart"/>
            <w:tcBorders>
              <w:right w:val="single" w:sz="4" w:space="0" w:color="auto"/>
            </w:tcBorders>
          </w:tcPr>
          <w:p w:rsidR="00391BEE" w:rsidRDefault="00D52C21" w:rsidP="00391BEE">
            <w:pPr>
              <w:spacing w:before="60" w:after="60"/>
              <w:rPr>
                <w:rFonts w:ascii="Arial" w:hAnsi="Arial" w:cs="Arial"/>
                <w:sz w:val="18"/>
                <w:szCs w:val="18"/>
              </w:rPr>
            </w:pPr>
            <w:r w:rsidRPr="00AE3EF8">
              <w:rPr>
                <w:rFonts w:ascii="Arial" w:hAnsi="Arial" w:cs="Arial"/>
                <w:sz w:val="18"/>
                <w:szCs w:val="18"/>
              </w:rPr>
              <w:t>Healt</w:t>
            </w:r>
            <w:r>
              <w:rPr>
                <w:rFonts w:ascii="Arial" w:hAnsi="Arial" w:cs="Arial"/>
                <w:sz w:val="18"/>
                <w:szCs w:val="18"/>
              </w:rPr>
              <w:t>h-related quality of life</w:t>
            </w:r>
          </w:p>
          <w:p w:rsidR="00391BEE" w:rsidRDefault="00D52C21" w:rsidP="00391BEE">
            <w:pPr>
              <w:spacing w:before="60" w:after="60"/>
              <w:rPr>
                <w:rFonts w:ascii="Arial" w:hAnsi="Arial" w:cs="Arial"/>
                <w:sz w:val="18"/>
                <w:szCs w:val="18"/>
              </w:rPr>
            </w:pPr>
            <w:r>
              <w:rPr>
                <w:rFonts w:ascii="Arial" w:hAnsi="Arial" w:cs="Arial"/>
                <w:sz w:val="18"/>
                <w:szCs w:val="18"/>
              </w:rPr>
              <w:t xml:space="preserve">mean ± SD </w:t>
            </w:r>
          </w:p>
          <w:p w:rsidR="00391BEE" w:rsidRDefault="00D52C21" w:rsidP="00391BEE">
            <w:pPr>
              <w:spacing w:before="60" w:after="60"/>
              <w:rPr>
                <w:rFonts w:ascii="Arial" w:hAnsi="Arial" w:cs="Arial"/>
                <w:sz w:val="18"/>
                <w:szCs w:val="18"/>
              </w:rPr>
            </w:pPr>
            <w:r>
              <w:rPr>
                <w:rFonts w:ascii="Arial" w:hAnsi="Arial" w:cs="Arial"/>
                <w:sz w:val="18"/>
                <w:szCs w:val="18"/>
              </w:rPr>
              <w:t>(median [range])</w:t>
            </w:r>
          </w:p>
        </w:tc>
        <w:tc>
          <w:tcPr>
            <w:tcW w:w="1986" w:type="dxa"/>
            <w:gridSpan w:val="6"/>
            <w:tcBorders>
              <w:left w:val="single" w:sz="4" w:space="0" w:color="auto"/>
              <w:right w:val="single" w:sz="4" w:space="0" w:color="auto"/>
            </w:tcBorders>
          </w:tcPr>
          <w:p w:rsidR="00391BEE" w:rsidRDefault="00391BEE" w:rsidP="00391BEE">
            <w:pPr>
              <w:spacing w:before="60" w:after="60"/>
              <w:rPr>
                <w:rFonts w:ascii="Arial" w:hAnsi="Arial" w:cs="Arial"/>
                <w:sz w:val="18"/>
                <w:szCs w:val="18"/>
              </w:rPr>
            </w:pPr>
          </w:p>
        </w:tc>
        <w:tc>
          <w:tcPr>
            <w:tcW w:w="2553" w:type="dxa"/>
            <w:gridSpan w:val="3"/>
            <w:tcBorders>
              <w:left w:val="single" w:sz="4" w:space="0" w:color="auto"/>
              <w:right w:val="single" w:sz="4" w:space="0" w:color="auto"/>
            </w:tcBorders>
          </w:tcPr>
          <w:p w:rsidR="00391BEE" w:rsidRDefault="00391BEE" w:rsidP="00391BEE">
            <w:pPr>
              <w:spacing w:before="60" w:after="60"/>
              <w:rPr>
                <w:rFonts w:ascii="Arial" w:hAnsi="Arial" w:cs="Arial"/>
                <w:sz w:val="18"/>
                <w:szCs w:val="18"/>
              </w:rPr>
            </w:pPr>
          </w:p>
        </w:tc>
        <w:tc>
          <w:tcPr>
            <w:tcW w:w="1563" w:type="dxa"/>
            <w:gridSpan w:val="2"/>
            <w:tcBorders>
              <w:left w:val="single" w:sz="4" w:space="0" w:color="auto"/>
            </w:tcBorders>
          </w:tcPr>
          <w:p w:rsidR="00391BEE" w:rsidRDefault="00391BEE" w:rsidP="00391BEE">
            <w:pPr>
              <w:spacing w:before="60" w:after="60"/>
              <w:rPr>
                <w:rFonts w:ascii="Arial" w:hAnsi="Arial" w:cs="Arial"/>
                <w:sz w:val="18"/>
                <w:szCs w:val="18"/>
              </w:rPr>
            </w:pPr>
          </w:p>
          <w:p w:rsidR="00391BEE" w:rsidRDefault="00391BEE" w:rsidP="00391BEE">
            <w:pPr>
              <w:spacing w:before="60" w:after="60"/>
              <w:rPr>
                <w:rFonts w:ascii="Arial" w:hAnsi="Arial" w:cs="Arial"/>
                <w:sz w:val="18"/>
                <w:szCs w:val="18"/>
              </w:rPr>
            </w:pPr>
          </w:p>
          <w:p w:rsidR="00391BEE" w:rsidRDefault="00391BEE" w:rsidP="00391BEE">
            <w:pPr>
              <w:spacing w:before="60" w:after="60"/>
              <w:rPr>
                <w:rFonts w:ascii="Arial" w:hAnsi="Arial" w:cs="Arial"/>
                <w:sz w:val="18"/>
                <w:szCs w:val="18"/>
              </w:rPr>
            </w:pPr>
          </w:p>
        </w:tc>
      </w:tr>
      <w:tr w:rsidR="00D52C21" w:rsidRPr="00AE3EF8" w:rsidTr="00D52C21">
        <w:trPr>
          <w:trHeight w:val="299"/>
        </w:trPr>
        <w:tc>
          <w:tcPr>
            <w:tcW w:w="2370" w:type="dxa"/>
            <w:vMerge/>
            <w:tcBorders>
              <w:right w:val="single" w:sz="4" w:space="0" w:color="auto"/>
            </w:tcBorders>
          </w:tcPr>
          <w:p w:rsidR="00391BEE" w:rsidRDefault="00391BEE" w:rsidP="00391BEE">
            <w:pPr>
              <w:spacing w:before="60" w:after="60"/>
              <w:rPr>
                <w:rFonts w:ascii="Arial" w:hAnsi="Arial" w:cs="Arial"/>
                <w:sz w:val="18"/>
                <w:szCs w:val="18"/>
              </w:rPr>
            </w:pPr>
          </w:p>
        </w:tc>
        <w:tc>
          <w:tcPr>
            <w:tcW w:w="6102" w:type="dxa"/>
            <w:gridSpan w:val="11"/>
            <w:tcBorders>
              <w:left w:val="single" w:sz="4" w:space="0" w:color="auto"/>
            </w:tcBorders>
          </w:tcPr>
          <w:p w:rsidR="00391BEE" w:rsidRDefault="00D52C21" w:rsidP="00391BEE">
            <w:pPr>
              <w:spacing w:before="60" w:after="60"/>
              <w:rPr>
                <w:rFonts w:ascii="Arial" w:hAnsi="Arial" w:cs="Arial"/>
                <w:sz w:val="18"/>
                <w:szCs w:val="18"/>
              </w:rPr>
            </w:pPr>
            <w:r w:rsidRPr="00AE3EF8">
              <w:rPr>
                <w:rFonts w:ascii="Arial" w:hAnsi="Arial" w:cs="Arial"/>
                <w:sz w:val="18"/>
                <w:szCs w:val="18"/>
              </w:rPr>
              <w:t>Notes: p-value, 95% CI</w:t>
            </w:r>
            <w:r>
              <w:rPr>
                <w:rFonts w:ascii="Arial" w:hAnsi="Arial" w:cs="Arial"/>
                <w:sz w:val="18"/>
                <w:szCs w:val="18"/>
              </w:rPr>
              <w:t xml:space="preserve"> and subgroups</w:t>
            </w:r>
          </w:p>
        </w:tc>
      </w:tr>
      <w:tr w:rsidR="001B77B3" w:rsidRPr="00AE3EF8" w:rsidTr="009118EE">
        <w:tc>
          <w:tcPr>
            <w:tcW w:w="8472" w:type="dxa"/>
            <w:gridSpan w:val="12"/>
            <w:shd w:val="clear" w:color="auto" w:fill="F2F2F2" w:themeFill="background1" w:themeFillShade="F2"/>
          </w:tcPr>
          <w:p w:rsidR="00391BEE" w:rsidRDefault="001B77B3" w:rsidP="00391BEE">
            <w:pPr>
              <w:spacing w:before="60" w:after="60"/>
              <w:rPr>
                <w:rFonts w:ascii="Arial" w:hAnsi="Arial" w:cs="Arial"/>
                <w:sz w:val="18"/>
                <w:szCs w:val="18"/>
              </w:rPr>
            </w:pPr>
            <w:r w:rsidRPr="00AE3EF8">
              <w:rPr>
                <w:rFonts w:ascii="Arial" w:hAnsi="Arial" w:cs="Arial"/>
                <w:b/>
                <w:sz w:val="18"/>
                <w:szCs w:val="18"/>
              </w:rPr>
              <w:t>RISK OF BIAS OF RCT</w:t>
            </w:r>
            <w:r>
              <w:rPr>
                <w:rFonts w:ascii="Arial" w:hAnsi="Arial" w:cs="Arial"/>
                <w:b/>
                <w:sz w:val="18"/>
                <w:szCs w:val="18"/>
              </w:rPr>
              <w:t>s</w:t>
            </w:r>
          </w:p>
        </w:tc>
      </w:tr>
      <w:tr w:rsidR="00D52C21" w:rsidRPr="00AE3EF8" w:rsidTr="00D52C21">
        <w:tc>
          <w:tcPr>
            <w:tcW w:w="2370" w:type="dxa"/>
            <w:tcBorders>
              <w:right w:val="single" w:sz="4" w:space="0" w:color="auto"/>
            </w:tcBorders>
          </w:tcPr>
          <w:p w:rsidR="00391BEE" w:rsidRDefault="00391BEE" w:rsidP="00391BEE">
            <w:pPr>
              <w:spacing w:before="60" w:after="60"/>
              <w:rPr>
                <w:rFonts w:ascii="Arial" w:hAnsi="Arial" w:cs="Arial"/>
                <w:sz w:val="18"/>
                <w:szCs w:val="18"/>
              </w:rPr>
            </w:pPr>
          </w:p>
        </w:tc>
        <w:tc>
          <w:tcPr>
            <w:tcW w:w="2693" w:type="dxa"/>
            <w:gridSpan w:val="8"/>
            <w:tcBorders>
              <w:left w:val="single" w:sz="4" w:space="0" w:color="auto"/>
              <w:right w:val="single" w:sz="4" w:space="0" w:color="auto"/>
            </w:tcBorders>
          </w:tcPr>
          <w:p w:rsidR="00391BEE" w:rsidRDefault="00D52C21" w:rsidP="00391BEE">
            <w:pPr>
              <w:spacing w:before="60" w:after="60"/>
              <w:jc w:val="center"/>
              <w:rPr>
                <w:rFonts w:ascii="Arial" w:hAnsi="Arial" w:cs="Arial"/>
                <w:b/>
                <w:sz w:val="18"/>
                <w:szCs w:val="18"/>
              </w:rPr>
            </w:pPr>
            <w:r w:rsidRPr="00AE3EF8">
              <w:rPr>
                <w:rFonts w:ascii="Arial" w:hAnsi="Arial" w:cs="Arial"/>
                <w:b/>
                <w:sz w:val="18"/>
                <w:szCs w:val="18"/>
              </w:rPr>
              <w:t xml:space="preserve">Risk assessment </w:t>
            </w:r>
          </w:p>
          <w:p w:rsidR="00391BEE" w:rsidRDefault="00D52C21" w:rsidP="00391BEE">
            <w:pPr>
              <w:spacing w:before="60" w:after="60"/>
              <w:jc w:val="center"/>
              <w:rPr>
                <w:rFonts w:ascii="Arial" w:hAnsi="Arial" w:cs="Arial"/>
                <w:b/>
                <w:sz w:val="18"/>
                <w:szCs w:val="18"/>
              </w:rPr>
            </w:pPr>
            <w:r w:rsidRPr="00AE3EF8">
              <w:rPr>
                <w:rFonts w:ascii="Arial" w:hAnsi="Arial" w:cs="Arial"/>
                <w:sz w:val="18"/>
                <w:szCs w:val="18"/>
              </w:rPr>
              <w:t>(low risk, high risk, unclear risk)</w:t>
            </w:r>
          </w:p>
        </w:tc>
        <w:tc>
          <w:tcPr>
            <w:tcW w:w="3409" w:type="dxa"/>
            <w:gridSpan w:val="3"/>
            <w:tcBorders>
              <w:left w:val="single" w:sz="4" w:space="0" w:color="auto"/>
            </w:tcBorders>
          </w:tcPr>
          <w:p w:rsidR="00391BEE" w:rsidRDefault="00D52C21" w:rsidP="00391BEE">
            <w:pPr>
              <w:spacing w:before="60" w:after="60"/>
              <w:jc w:val="center"/>
              <w:rPr>
                <w:rFonts w:ascii="Arial" w:hAnsi="Arial" w:cs="Arial"/>
                <w:b/>
                <w:sz w:val="18"/>
                <w:szCs w:val="18"/>
              </w:rPr>
            </w:pPr>
            <w:r w:rsidRPr="00AE3EF8">
              <w:rPr>
                <w:rFonts w:ascii="Arial" w:hAnsi="Arial" w:cs="Arial"/>
                <w:b/>
                <w:sz w:val="18"/>
                <w:szCs w:val="18"/>
              </w:rPr>
              <w:t>Comments</w:t>
            </w:r>
          </w:p>
        </w:tc>
      </w:tr>
      <w:tr w:rsidR="00D52C21" w:rsidRPr="00AE3EF8" w:rsidTr="00D52C21">
        <w:tc>
          <w:tcPr>
            <w:tcW w:w="2370" w:type="dxa"/>
            <w:tcBorders>
              <w:right w:val="single" w:sz="4" w:space="0" w:color="auto"/>
            </w:tcBorders>
          </w:tcPr>
          <w:p w:rsidR="00391BEE" w:rsidRDefault="00D52C21" w:rsidP="00391BEE">
            <w:pPr>
              <w:spacing w:before="60" w:after="60"/>
              <w:rPr>
                <w:rFonts w:ascii="Arial" w:hAnsi="Arial" w:cs="Arial"/>
                <w:b/>
                <w:sz w:val="18"/>
                <w:szCs w:val="18"/>
              </w:rPr>
            </w:pPr>
            <w:r w:rsidRPr="008A208F">
              <w:rPr>
                <w:rFonts w:ascii="Arial" w:eastAsia="Calibri" w:hAnsi="Arial" w:cs="Arial"/>
                <w:b/>
                <w:sz w:val="18"/>
                <w:szCs w:val="18"/>
              </w:rPr>
              <w:t>Random sequence generation</w:t>
            </w:r>
          </w:p>
        </w:tc>
        <w:tc>
          <w:tcPr>
            <w:tcW w:w="2693" w:type="dxa"/>
            <w:gridSpan w:val="8"/>
            <w:tcBorders>
              <w:left w:val="single" w:sz="4" w:space="0" w:color="auto"/>
              <w:right w:val="single" w:sz="4" w:space="0" w:color="auto"/>
            </w:tcBorders>
          </w:tcPr>
          <w:p w:rsidR="00391BEE" w:rsidRDefault="00391BEE" w:rsidP="00391BEE">
            <w:pPr>
              <w:spacing w:before="60" w:after="60"/>
              <w:rPr>
                <w:rFonts w:ascii="Arial" w:hAnsi="Arial" w:cs="Arial"/>
                <w:sz w:val="18"/>
                <w:szCs w:val="18"/>
              </w:rPr>
            </w:pPr>
          </w:p>
        </w:tc>
        <w:tc>
          <w:tcPr>
            <w:tcW w:w="3409" w:type="dxa"/>
            <w:gridSpan w:val="3"/>
            <w:tcBorders>
              <w:left w:val="single" w:sz="4" w:space="0" w:color="auto"/>
            </w:tcBorders>
          </w:tcPr>
          <w:p w:rsidR="00391BEE" w:rsidRDefault="00391BEE" w:rsidP="00391BEE">
            <w:pPr>
              <w:spacing w:before="60" w:after="60"/>
              <w:rPr>
                <w:rFonts w:ascii="Arial" w:hAnsi="Arial" w:cs="Arial"/>
                <w:sz w:val="18"/>
                <w:szCs w:val="18"/>
              </w:rPr>
            </w:pPr>
          </w:p>
        </w:tc>
      </w:tr>
      <w:tr w:rsidR="00D52C21" w:rsidRPr="00AE3EF8" w:rsidTr="00D52C21">
        <w:tc>
          <w:tcPr>
            <w:tcW w:w="2370" w:type="dxa"/>
            <w:tcBorders>
              <w:right w:val="single" w:sz="4" w:space="0" w:color="auto"/>
            </w:tcBorders>
          </w:tcPr>
          <w:p w:rsidR="00391BEE" w:rsidRDefault="00D52C21" w:rsidP="00391BEE">
            <w:pPr>
              <w:spacing w:before="60" w:after="60"/>
              <w:rPr>
                <w:rFonts w:ascii="Arial" w:hAnsi="Arial" w:cs="Arial"/>
                <w:sz w:val="18"/>
                <w:szCs w:val="18"/>
              </w:rPr>
            </w:pPr>
            <w:r w:rsidRPr="00AE3EF8">
              <w:rPr>
                <w:rFonts w:ascii="Arial" w:eastAsia="Calibri" w:hAnsi="Arial" w:cs="Arial"/>
                <w:sz w:val="18"/>
                <w:szCs w:val="18"/>
              </w:rPr>
              <w:t>Allocation concealment</w:t>
            </w:r>
          </w:p>
        </w:tc>
        <w:tc>
          <w:tcPr>
            <w:tcW w:w="2693" w:type="dxa"/>
            <w:gridSpan w:val="8"/>
            <w:tcBorders>
              <w:left w:val="single" w:sz="4" w:space="0" w:color="auto"/>
              <w:right w:val="single" w:sz="4" w:space="0" w:color="auto"/>
            </w:tcBorders>
          </w:tcPr>
          <w:p w:rsidR="00391BEE" w:rsidRDefault="00391BEE" w:rsidP="00391BEE">
            <w:pPr>
              <w:spacing w:before="60" w:after="60"/>
              <w:rPr>
                <w:rFonts w:ascii="Arial" w:hAnsi="Arial" w:cs="Arial"/>
                <w:sz w:val="18"/>
                <w:szCs w:val="18"/>
              </w:rPr>
            </w:pPr>
          </w:p>
        </w:tc>
        <w:tc>
          <w:tcPr>
            <w:tcW w:w="3409" w:type="dxa"/>
            <w:gridSpan w:val="3"/>
            <w:tcBorders>
              <w:left w:val="single" w:sz="4" w:space="0" w:color="auto"/>
            </w:tcBorders>
          </w:tcPr>
          <w:p w:rsidR="00391BEE" w:rsidRDefault="00391BEE" w:rsidP="00391BEE">
            <w:pPr>
              <w:spacing w:before="60" w:after="60"/>
              <w:rPr>
                <w:rFonts w:ascii="Arial" w:hAnsi="Arial" w:cs="Arial"/>
                <w:sz w:val="18"/>
                <w:szCs w:val="18"/>
              </w:rPr>
            </w:pPr>
          </w:p>
        </w:tc>
      </w:tr>
      <w:tr w:rsidR="00D52C21" w:rsidRPr="00AE3EF8" w:rsidTr="00D52C21">
        <w:tc>
          <w:tcPr>
            <w:tcW w:w="2370" w:type="dxa"/>
            <w:tcBorders>
              <w:right w:val="single" w:sz="4" w:space="0" w:color="auto"/>
            </w:tcBorders>
          </w:tcPr>
          <w:p w:rsidR="00391BEE" w:rsidRDefault="00D52C21" w:rsidP="00391BEE">
            <w:pPr>
              <w:spacing w:before="60" w:after="60"/>
              <w:rPr>
                <w:rFonts w:ascii="Arial" w:hAnsi="Arial" w:cs="Arial"/>
                <w:sz w:val="18"/>
                <w:szCs w:val="18"/>
              </w:rPr>
            </w:pPr>
            <w:r w:rsidRPr="00AE3EF8">
              <w:rPr>
                <w:rFonts w:ascii="Arial" w:eastAsia="Calibri" w:hAnsi="Arial" w:cs="Arial"/>
                <w:sz w:val="18"/>
                <w:szCs w:val="18"/>
              </w:rPr>
              <w:t>Selective reporting</w:t>
            </w:r>
          </w:p>
        </w:tc>
        <w:tc>
          <w:tcPr>
            <w:tcW w:w="2693" w:type="dxa"/>
            <w:gridSpan w:val="8"/>
            <w:tcBorders>
              <w:left w:val="single" w:sz="4" w:space="0" w:color="auto"/>
              <w:right w:val="single" w:sz="4" w:space="0" w:color="auto"/>
            </w:tcBorders>
          </w:tcPr>
          <w:p w:rsidR="00391BEE" w:rsidRDefault="00391BEE" w:rsidP="00391BEE">
            <w:pPr>
              <w:spacing w:before="60" w:after="60"/>
              <w:rPr>
                <w:rFonts w:ascii="Arial" w:hAnsi="Arial" w:cs="Arial"/>
                <w:sz w:val="18"/>
                <w:szCs w:val="18"/>
              </w:rPr>
            </w:pPr>
          </w:p>
        </w:tc>
        <w:tc>
          <w:tcPr>
            <w:tcW w:w="3409" w:type="dxa"/>
            <w:gridSpan w:val="3"/>
            <w:tcBorders>
              <w:left w:val="single" w:sz="4" w:space="0" w:color="auto"/>
            </w:tcBorders>
          </w:tcPr>
          <w:p w:rsidR="00391BEE" w:rsidRDefault="00391BEE" w:rsidP="00391BEE">
            <w:pPr>
              <w:spacing w:before="60" w:after="60"/>
              <w:rPr>
                <w:rFonts w:ascii="Arial" w:hAnsi="Arial" w:cs="Arial"/>
                <w:sz w:val="18"/>
                <w:szCs w:val="18"/>
              </w:rPr>
            </w:pPr>
          </w:p>
        </w:tc>
      </w:tr>
      <w:tr w:rsidR="00D52C21" w:rsidRPr="00AE3EF8" w:rsidTr="00D52C21">
        <w:tc>
          <w:tcPr>
            <w:tcW w:w="2370" w:type="dxa"/>
            <w:tcBorders>
              <w:right w:val="single" w:sz="4" w:space="0" w:color="auto"/>
            </w:tcBorders>
          </w:tcPr>
          <w:p w:rsidR="00391BEE" w:rsidRDefault="00D52C21" w:rsidP="00391BEE">
            <w:pPr>
              <w:spacing w:before="60" w:after="60"/>
              <w:rPr>
                <w:rFonts w:ascii="Arial" w:hAnsi="Arial" w:cs="Arial"/>
                <w:sz w:val="18"/>
                <w:szCs w:val="18"/>
              </w:rPr>
            </w:pPr>
            <w:r w:rsidRPr="00AE3EF8">
              <w:rPr>
                <w:rFonts w:ascii="Arial" w:hAnsi="Arial" w:cs="Arial"/>
                <w:sz w:val="18"/>
                <w:szCs w:val="18"/>
              </w:rPr>
              <w:t>Blinding (who [</w:t>
            </w:r>
            <w:r w:rsidRPr="00AE3EF8">
              <w:rPr>
                <w:rFonts w:ascii="Arial" w:eastAsia="Calibri" w:hAnsi="Arial" w:cs="Arial"/>
                <w:sz w:val="18"/>
                <w:szCs w:val="18"/>
              </w:rPr>
              <w:t>participants, personnel], and method)</w:t>
            </w:r>
          </w:p>
        </w:tc>
        <w:tc>
          <w:tcPr>
            <w:tcW w:w="2693" w:type="dxa"/>
            <w:gridSpan w:val="8"/>
            <w:tcBorders>
              <w:left w:val="single" w:sz="4" w:space="0" w:color="auto"/>
              <w:right w:val="single" w:sz="4" w:space="0" w:color="auto"/>
            </w:tcBorders>
          </w:tcPr>
          <w:p w:rsidR="00391BEE" w:rsidRDefault="00391BEE" w:rsidP="00391BEE">
            <w:pPr>
              <w:spacing w:before="60" w:after="60"/>
              <w:rPr>
                <w:rFonts w:ascii="Arial" w:hAnsi="Arial" w:cs="Arial"/>
                <w:sz w:val="18"/>
                <w:szCs w:val="18"/>
              </w:rPr>
            </w:pPr>
          </w:p>
        </w:tc>
        <w:tc>
          <w:tcPr>
            <w:tcW w:w="3409" w:type="dxa"/>
            <w:gridSpan w:val="3"/>
            <w:tcBorders>
              <w:left w:val="single" w:sz="4" w:space="0" w:color="auto"/>
            </w:tcBorders>
          </w:tcPr>
          <w:p w:rsidR="00391BEE" w:rsidRDefault="00391BEE" w:rsidP="00391BEE">
            <w:pPr>
              <w:spacing w:before="60" w:after="60"/>
              <w:rPr>
                <w:rFonts w:ascii="Arial" w:hAnsi="Arial" w:cs="Arial"/>
                <w:sz w:val="18"/>
                <w:szCs w:val="18"/>
              </w:rPr>
            </w:pPr>
          </w:p>
        </w:tc>
      </w:tr>
      <w:tr w:rsidR="00D52C21" w:rsidRPr="00AE3EF8" w:rsidTr="00D52C21">
        <w:tc>
          <w:tcPr>
            <w:tcW w:w="2370" w:type="dxa"/>
            <w:tcBorders>
              <w:right w:val="single" w:sz="4" w:space="0" w:color="auto"/>
            </w:tcBorders>
          </w:tcPr>
          <w:p w:rsidR="00391BEE" w:rsidRDefault="00D52C21" w:rsidP="00391BEE">
            <w:pPr>
              <w:spacing w:before="60" w:after="60"/>
              <w:rPr>
                <w:rFonts w:ascii="Arial" w:hAnsi="Arial" w:cs="Arial"/>
                <w:sz w:val="18"/>
                <w:szCs w:val="18"/>
              </w:rPr>
            </w:pPr>
            <w:r w:rsidRPr="00AE3EF8">
              <w:rPr>
                <w:rFonts w:ascii="Arial" w:eastAsia="Calibri" w:hAnsi="Arial" w:cs="Arial"/>
                <w:sz w:val="18"/>
                <w:szCs w:val="18"/>
              </w:rPr>
              <w:t>Blinding of outcome assessment</w:t>
            </w:r>
          </w:p>
        </w:tc>
        <w:tc>
          <w:tcPr>
            <w:tcW w:w="2693" w:type="dxa"/>
            <w:gridSpan w:val="8"/>
            <w:tcBorders>
              <w:left w:val="single" w:sz="4" w:space="0" w:color="auto"/>
              <w:right w:val="single" w:sz="4" w:space="0" w:color="auto"/>
            </w:tcBorders>
          </w:tcPr>
          <w:p w:rsidR="00391BEE" w:rsidRDefault="00391BEE" w:rsidP="00391BEE">
            <w:pPr>
              <w:spacing w:before="60" w:after="60"/>
              <w:rPr>
                <w:rFonts w:ascii="Arial" w:hAnsi="Arial" w:cs="Arial"/>
                <w:sz w:val="18"/>
                <w:szCs w:val="18"/>
              </w:rPr>
            </w:pPr>
          </w:p>
        </w:tc>
        <w:tc>
          <w:tcPr>
            <w:tcW w:w="3409" w:type="dxa"/>
            <w:gridSpan w:val="3"/>
            <w:tcBorders>
              <w:left w:val="single" w:sz="4" w:space="0" w:color="auto"/>
            </w:tcBorders>
          </w:tcPr>
          <w:p w:rsidR="00391BEE" w:rsidRDefault="00391BEE" w:rsidP="00391BEE">
            <w:pPr>
              <w:spacing w:before="60" w:after="60"/>
              <w:rPr>
                <w:rFonts w:ascii="Arial" w:hAnsi="Arial" w:cs="Arial"/>
                <w:sz w:val="18"/>
                <w:szCs w:val="18"/>
              </w:rPr>
            </w:pPr>
          </w:p>
        </w:tc>
      </w:tr>
      <w:tr w:rsidR="00D52C21" w:rsidRPr="00AE3EF8" w:rsidTr="00D52C21">
        <w:tc>
          <w:tcPr>
            <w:tcW w:w="2370" w:type="dxa"/>
            <w:tcBorders>
              <w:right w:val="single" w:sz="4" w:space="0" w:color="auto"/>
            </w:tcBorders>
          </w:tcPr>
          <w:p w:rsidR="00391BEE" w:rsidRDefault="00D52C21" w:rsidP="00391BEE">
            <w:pPr>
              <w:spacing w:before="60" w:after="60"/>
              <w:rPr>
                <w:rFonts w:ascii="Arial" w:eastAsia="Calibri" w:hAnsi="Arial" w:cs="Arial"/>
                <w:sz w:val="18"/>
                <w:szCs w:val="18"/>
              </w:rPr>
            </w:pPr>
            <w:r>
              <w:rPr>
                <w:rFonts w:ascii="Arial" w:eastAsia="Calibri" w:hAnsi="Arial" w:cs="Arial"/>
                <w:sz w:val="18"/>
                <w:szCs w:val="18"/>
              </w:rPr>
              <w:t>Incomplete outcome data:</w:t>
            </w:r>
          </w:p>
        </w:tc>
        <w:tc>
          <w:tcPr>
            <w:tcW w:w="2693" w:type="dxa"/>
            <w:gridSpan w:val="8"/>
            <w:tcBorders>
              <w:left w:val="single" w:sz="4" w:space="0" w:color="auto"/>
              <w:right w:val="single" w:sz="4" w:space="0" w:color="auto"/>
            </w:tcBorders>
          </w:tcPr>
          <w:p w:rsidR="00391BEE" w:rsidRDefault="00391BEE" w:rsidP="00391BEE">
            <w:pPr>
              <w:spacing w:before="60" w:after="60"/>
              <w:rPr>
                <w:rFonts w:ascii="Arial" w:hAnsi="Arial" w:cs="Arial"/>
                <w:sz w:val="18"/>
                <w:szCs w:val="18"/>
              </w:rPr>
            </w:pPr>
          </w:p>
        </w:tc>
        <w:tc>
          <w:tcPr>
            <w:tcW w:w="3409" w:type="dxa"/>
            <w:gridSpan w:val="3"/>
            <w:tcBorders>
              <w:left w:val="single" w:sz="4" w:space="0" w:color="auto"/>
            </w:tcBorders>
          </w:tcPr>
          <w:p w:rsidR="00391BEE" w:rsidRDefault="00391BEE" w:rsidP="00391BEE">
            <w:pPr>
              <w:spacing w:before="60" w:after="60"/>
              <w:rPr>
                <w:rFonts w:ascii="Arial" w:hAnsi="Arial" w:cs="Arial"/>
                <w:sz w:val="18"/>
                <w:szCs w:val="18"/>
              </w:rPr>
            </w:pPr>
          </w:p>
        </w:tc>
      </w:tr>
      <w:tr w:rsidR="00D52C21" w:rsidRPr="00AE3EF8" w:rsidTr="00D52C21">
        <w:trPr>
          <w:trHeight w:val="190"/>
        </w:trPr>
        <w:tc>
          <w:tcPr>
            <w:tcW w:w="2370" w:type="dxa"/>
            <w:tcBorders>
              <w:bottom w:val="single" w:sz="6" w:space="0" w:color="757575"/>
              <w:right w:val="single" w:sz="4" w:space="0" w:color="auto"/>
            </w:tcBorders>
          </w:tcPr>
          <w:p w:rsidR="00391BEE" w:rsidRDefault="00D52C21" w:rsidP="00391BEE">
            <w:pPr>
              <w:spacing w:before="60" w:after="60"/>
              <w:rPr>
                <w:rFonts w:ascii="Arial" w:hAnsi="Arial" w:cs="Arial"/>
                <w:i/>
                <w:sz w:val="18"/>
                <w:szCs w:val="18"/>
              </w:rPr>
            </w:pPr>
            <w:r w:rsidRPr="00F10F38">
              <w:rPr>
                <w:rFonts w:ascii="Arial" w:hAnsi="Arial" w:cs="Arial"/>
                <w:i/>
                <w:sz w:val="18"/>
                <w:szCs w:val="18"/>
              </w:rPr>
              <w:t>-Overall survival</w:t>
            </w:r>
          </w:p>
        </w:tc>
        <w:tc>
          <w:tcPr>
            <w:tcW w:w="2693" w:type="dxa"/>
            <w:gridSpan w:val="8"/>
            <w:tcBorders>
              <w:left w:val="single" w:sz="4" w:space="0" w:color="auto"/>
              <w:bottom w:val="single" w:sz="6" w:space="0" w:color="757575"/>
              <w:right w:val="single" w:sz="4" w:space="0" w:color="auto"/>
            </w:tcBorders>
          </w:tcPr>
          <w:p w:rsidR="00391BEE" w:rsidRDefault="00391BEE" w:rsidP="00391BEE">
            <w:pPr>
              <w:spacing w:before="60" w:after="60"/>
              <w:rPr>
                <w:rFonts w:ascii="Arial" w:hAnsi="Arial" w:cs="Arial"/>
                <w:sz w:val="18"/>
                <w:szCs w:val="18"/>
              </w:rPr>
            </w:pPr>
          </w:p>
        </w:tc>
        <w:tc>
          <w:tcPr>
            <w:tcW w:w="3409" w:type="dxa"/>
            <w:gridSpan w:val="3"/>
            <w:tcBorders>
              <w:left w:val="single" w:sz="4" w:space="0" w:color="auto"/>
              <w:bottom w:val="single" w:sz="6" w:space="0" w:color="757575"/>
            </w:tcBorders>
          </w:tcPr>
          <w:p w:rsidR="00391BEE" w:rsidRDefault="00391BEE" w:rsidP="00391BEE">
            <w:pPr>
              <w:spacing w:before="60" w:after="60"/>
              <w:rPr>
                <w:rFonts w:ascii="Arial" w:hAnsi="Arial" w:cs="Arial"/>
                <w:sz w:val="18"/>
                <w:szCs w:val="18"/>
              </w:rPr>
            </w:pPr>
          </w:p>
        </w:tc>
      </w:tr>
      <w:tr w:rsidR="00D52C21" w:rsidRPr="00AE3EF8" w:rsidTr="00D52C21">
        <w:trPr>
          <w:trHeight w:val="140"/>
        </w:trPr>
        <w:tc>
          <w:tcPr>
            <w:tcW w:w="2370" w:type="dxa"/>
            <w:tcBorders>
              <w:top w:val="single" w:sz="6" w:space="0" w:color="757575"/>
              <w:bottom w:val="single" w:sz="6" w:space="0" w:color="757575"/>
              <w:right w:val="single" w:sz="4" w:space="0" w:color="auto"/>
            </w:tcBorders>
          </w:tcPr>
          <w:p w:rsidR="00391BEE" w:rsidRDefault="00D52C21" w:rsidP="00391BEE">
            <w:pPr>
              <w:spacing w:before="60" w:after="60"/>
              <w:rPr>
                <w:rFonts w:ascii="Arial" w:hAnsi="Arial" w:cs="Arial"/>
                <w:i/>
                <w:sz w:val="18"/>
                <w:szCs w:val="18"/>
                <w:u w:val="single"/>
              </w:rPr>
            </w:pPr>
            <w:r w:rsidRPr="00F10F38">
              <w:rPr>
                <w:rFonts w:ascii="Arial" w:eastAsia="Calibri" w:hAnsi="Arial" w:cs="Arial"/>
                <w:i/>
                <w:sz w:val="18"/>
                <w:szCs w:val="18"/>
              </w:rPr>
              <w:t>-Progression free survival</w:t>
            </w:r>
          </w:p>
        </w:tc>
        <w:tc>
          <w:tcPr>
            <w:tcW w:w="2693" w:type="dxa"/>
            <w:gridSpan w:val="8"/>
            <w:tcBorders>
              <w:top w:val="single" w:sz="6" w:space="0" w:color="757575"/>
              <w:left w:val="single" w:sz="4" w:space="0" w:color="auto"/>
              <w:bottom w:val="single" w:sz="6" w:space="0" w:color="757575"/>
              <w:right w:val="single" w:sz="4" w:space="0" w:color="auto"/>
            </w:tcBorders>
          </w:tcPr>
          <w:p w:rsidR="00391BEE" w:rsidRDefault="00391BEE" w:rsidP="00391BEE">
            <w:pPr>
              <w:spacing w:before="60" w:after="60"/>
              <w:rPr>
                <w:rFonts w:ascii="Arial" w:hAnsi="Arial" w:cs="Arial"/>
                <w:sz w:val="18"/>
                <w:szCs w:val="18"/>
              </w:rPr>
            </w:pPr>
          </w:p>
        </w:tc>
        <w:tc>
          <w:tcPr>
            <w:tcW w:w="3409" w:type="dxa"/>
            <w:gridSpan w:val="3"/>
            <w:tcBorders>
              <w:top w:val="single" w:sz="6" w:space="0" w:color="757575"/>
              <w:left w:val="single" w:sz="4" w:space="0" w:color="auto"/>
              <w:bottom w:val="single" w:sz="6" w:space="0" w:color="757575"/>
            </w:tcBorders>
          </w:tcPr>
          <w:p w:rsidR="00391BEE" w:rsidRDefault="00391BEE" w:rsidP="00391BEE">
            <w:pPr>
              <w:spacing w:before="60" w:after="60"/>
              <w:rPr>
                <w:rFonts w:ascii="Arial" w:hAnsi="Arial" w:cs="Arial"/>
                <w:sz w:val="18"/>
                <w:szCs w:val="18"/>
              </w:rPr>
            </w:pPr>
          </w:p>
        </w:tc>
      </w:tr>
      <w:tr w:rsidR="00D52C21" w:rsidRPr="00AE3EF8" w:rsidTr="00D52C21">
        <w:trPr>
          <w:trHeight w:val="190"/>
        </w:trPr>
        <w:tc>
          <w:tcPr>
            <w:tcW w:w="2370" w:type="dxa"/>
            <w:tcBorders>
              <w:top w:val="single" w:sz="6" w:space="0" w:color="757575"/>
              <w:bottom w:val="single" w:sz="6" w:space="0" w:color="757575"/>
              <w:right w:val="single" w:sz="4" w:space="0" w:color="auto"/>
            </w:tcBorders>
          </w:tcPr>
          <w:p w:rsidR="00391BEE" w:rsidRDefault="00D52C21" w:rsidP="00391BEE">
            <w:pPr>
              <w:spacing w:before="60" w:after="60"/>
              <w:rPr>
                <w:rFonts w:ascii="Arial" w:eastAsia="Calibri" w:hAnsi="Arial" w:cs="Arial"/>
                <w:i/>
                <w:sz w:val="18"/>
                <w:szCs w:val="18"/>
              </w:rPr>
            </w:pPr>
            <w:r w:rsidRPr="00F10F38">
              <w:rPr>
                <w:rFonts w:ascii="Arial" w:eastAsia="Calibri" w:hAnsi="Arial" w:cs="Arial"/>
                <w:i/>
                <w:sz w:val="18"/>
                <w:szCs w:val="18"/>
              </w:rPr>
              <w:lastRenderedPageBreak/>
              <w:t>-Complete response</w:t>
            </w:r>
          </w:p>
        </w:tc>
        <w:tc>
          <w:tcPr>
            <w:tcW w:w="2693" w:type="dxa"/>
            <w:gridSpan w:val="8"/>
            <w:tcBorders>
              <w:top w:val="single" w:sz="6" w:space="0" w:color="757575"/>
              <w:left w:val="single" w:sz="4" w:space="0" w:color="auto"/>
              <w:bottom w:val="single" w:sz="6" w:space="0" w:color="757575"/>
              <w:right w:val="single" w:sz="4" w:space="0" w:color="auto"/>
            </w:tcBorders>
          </w:tcPr>
          <w:p w:rsidR="00391BEE" w:rsidRDefault="00391BEE" w:rsidP="00391BEE">
            <w:pPr>
              <w:spacing w:before="60" w:after="60"/>
              <w:rPr>
                <w:rFonts w:ascii="Arial" w:hAnsi="Arial" w:cs="Arial"/>
                <w:sz w:val="18"/>
                <w:szCs w:val="18"/>
              </w:rPr>
            </w:pPr>
          </w:p>
        </w:tc>
        <w:tc>
          <w:tcPr>
            <w:tcW w:w="3409" w:type="dxa"/>
            <w:gridSpan w:val="3"/>
            <w:tcBorders>
              <w:top w:val="single" w:sz="6" w:space="0" w:color="757575"/>
              <w:left w:val="single" w:sz="4" w:space="0" w:color="auto"/>
              <w:bottom w:val="single" w:sz="6" w:space="0" w:color="757575"/>
            </w:tcBorders>
          </w:tcPr>
          <w:p w:rsidR="00391BEE" w:rsidRDefault="00391BEE" w:rsidP="00391BEE">
            <w:pPr>
              <w:spacing w:before="60" w:after="60"/>
              <w:rPr>
                <w:rFonts w:ascii="Arial" w:hAnsi="Arial" w:cs="Arial"/>
                <w:sz w:val="18"/>
                <w:szCs w:val="18"/>
              </w:rPr>
            </w:pPr>
          </w:p>
        </w:tc>
      </w:tr>
      <w:tr w:rsidR="00D52C21" w:rsidRPr="00AE3EF8" w:rsidTr="00D52C21">
        <w:trPr>
          <w:trHeight w:val="108"/>
        </w:trPr>
        <w:tc>
          <w:tcPr>
            <w:tcW w:w="2370" w:type="dxa"/>
            <w:tcBorders>
              <w:top w:val="single" w:sz="6" w:space="0" w:color="757575"/>
              <w:bottom w:val="single" w:sz="6" w:space="0" w:color="757575"/>
              <w:right w:val="single" w:sz="4" w:space="0" w:color="auto"/>
            </w:tcBorders>
          </w:tcPr>
          <w:p w:rsidR="00391BEE" w:rsidRDefault="00D52C21" w:rsidP="00391BEE">
            <w:pPr>
              <w:spacing w:before="60" w:after="60"/>
              <w:rPr>
                <w:rFonts w:ascii="Arial" w:eastAsia="Calibri" w:hAnsi="Arial" w:cs="Arial"/>
                <w:i/>
                <w:sz w:val="18"/>
                <w:szCs w:val="18"/>
              </w:rPr>
            </w:pPr>
            <w:r w:rsidRPr="00F10F38">
              <w:rPr>
                <w:rFonts w:ascii="Arial" w:eastAsia="Calibri" w:hAnsi="Arial" w:cs="Arial"/>
                <w:i/>
                <w:sz w:val="18"/>
                <w:szCs w:val="18"/>
              </w:rPr>
              <w:t>-Partial response</w:t>
            </w:r>
          </w:p>
        </w:tc>
        <w:tc>
          <w:tcPr>
            <w:tcW w:w="2693" w:type="dxa"/>
            <w:gridSpan w:val="8"/>
            <w:tcBorders>
              <w:top w:val="single" w:sz="6" w:space="0" w:color="757575"/>
              <w:left w:val="single" w:sz="4" w:space="0" w:color="auto"/>
              <w:bottom w:val="single" w:sz="6" w:space="0" w:color="757575"/>
              <w:right w:val="single" w:sz="4" w:space="0" w:color="auto"/>
            </w:tcBorders>
          </w:tcPr>
          <w:p w:rsidR="00391BEE" w:rsidRDefault="00391BEE" w:rsidP="00391BEE">
            <w:pPr>
              <w:spacing w:before="60" w:after="60"/>
              <w:rPr>
                <w:rFonts w:ascii="Arial" w:hAnsi="Arial" w:cs="Arial"/>
                <w:sz w:val="18"/>
                <w:szCs w:val="18"/>
              </w:rPr>
            </w:pPr>
          </w:p>
        </w:tc>
        <w:tc>
          <w:tcPr>
            <w:tcW w:w="3409" w:type="dxa"/>
            <w:gridSpan w:val="3"/>
            <w:tcBorders>
              <w:top w:val="single" w:sz="6" w:space="0" w:color="757575"/>
              <w:left w:val="single" w:sz="4" w:space="0" w:color="auto"/>
              <w:bottom w:val="single" w:sz="6" w:space="0" w:color="757575"/>
            </w:tcBorders>
          </w:tcPr>
          <w:p w:rsidR="00391BEE" w:rsidRDefault="00391BEE" w:rsidP="00391BEE">
            <w:pPr>
              <w:spacing w:before="60" w:after="60"/>
              <w:rPr>
                <w:rFonts w:ascii="Arial" w:hAnsi="Arial" w:cs="Arial"/>
                <w:sz w:val="18"/>
                <w:szCs w:val="18"/>
              </w:rPr>
            </w:pPr>
          </w:p>
        </w:tc>
      </w:tr>
      <w:tr w:rsidR="00D52C21" w:rsidRPr="00AE3EF8" w:rsidTr="00D52C21">
        <w:trPr>
          <w:trHeight w:val="268"/>
        </w:trPr>
        <w:tc>
          <w:tcPr>
            <w:tcW w:w="2370" w:type="dxa"/>
            <w:tcBorders>
              <w:top w:val="single" w:sz="6" w:space="0" w:color="757575"/>
              <w:bottom w:val="single" w:sz="6" w:space="0" w:color="757575"/>
              <w:right w:val="single" w:sz="4" w:space="0" w:color="auto"/>
            </w:tcBorders>
          </w:tcPr>
          <w:p w:rsidR="00391BEE" w:rsidRDefault="00D52C21" w:rsidP="00391BEE">
            <w:pPr>
              <w:spacing w:before="60" w:after="60"/>
              <w:rPr>
                <w:rFonts w:ascii="Arial" w:eastAsia="Calibri" w:hAnsi="Arial" w:cs="Arial"/>
                <w:i/>
                <w:sz w:val="18"/>
                <w:szCs w:val="18"/>
              </w:rPr>
            </w:pPr>
            <w:r w:rsidRPr="00F10F38">
              <w:rPr>
                <w:rFonts w:ascii="Arial" w:eastAsia="Calibri" w:hAnsi="Arial" w:cs="Arial"/>
                <w:i/>
                <w:sz w:val="18"/>
                <w:szCs w:val="18"/>
              </w:rPr>
              <w:t>-Overall response</w:t>
            </w:r>
          </w:p>
        </w:tc>
        <w:tc>
          <w:tcPr>
            <w:tcW w:w="2693" w:type="dxa"/>
            <w:gridSpan w:val="8"/>
            <w:tcBorders>
              <w:top w:val="single" w:sz="6" w:space="0" w:color="757575"/>
              <w:left w:val="single" w:sz="4" w:space="0" w:color="auto"/>
              <w:bottom w:val="single" w:sz="6" w:space="0" w:color="757575"/>
              <w:right w:val="single" w:sz="4" w:space="0" w:color="auto"/>
            </w:tcBorders>
          </w:tcPr>
          <w:p w:rsidR="00391BEE" w:rsidRDefault="00391BEE" w:rsidP="00391BEE">
            <w:pPr>
              <w:spacing w:before="60" w:after="60"/>
              <w:rPr>
                <w:rFonts w:ascii="Arial" w:hAnsi="Arial" w:cs="Arial"/>
                <w:sz w:val="18"/>
                <w:szCs w:val="18"/>
              </w:rPr>
            </w:pPr>
          </w:p>
        </w:tc>
        <w:tc>
          <w:tcPr>
            <w:tcW w:w="3409" w:type="dxa"/>
            <w:gridSpan w:val="3"/>
            <w:tcBorders>
              <w:top w:val="single" w:sz="6" w:space="0" w:color="757575"/>
              <w:left w:val="single" w:sz="4" w:space="0" w:color="auto"/>
              <w:bottom w:val="single" w:sz="6" w:space="0" w:color="757575"/>
            </w:tcBorders>
          </w:tcPr>
          <w:p w:rsidR="00391BEE" w:rsidRDefault="00391BEE" w:rsidP="00391BEE">
            <w:pPr>
              <w:spacing w:before="60" w:after="60"/>
              <w:rPr>
                <w:rFonts w:ascii="Arial" w:hAnsi="Arial" w:cs="Arial"/>
                <w:sz w:val="18"/>
                <w:szCs w:val="18"/>
              </w:rPr>
            </w:pPr>
          </w:p>
        </w:tc>
      </w:tr>
      <w:tr w:rsidR="00D52C21" w:rsidRPr="00AE3EF8" w:rsidTr="00D52C21">
        <w:trPr>
          <w:trHeight w:val="130"/>
        </w:trPr>
        <w:tc>
          <w:tcPr>
            <w:tcW w:w="2370" w:type="dxa"/>
            <w:tcBorders>
              <w:top w:val="single" w:sz="6" w:space="0" w:color="757575"/>
              <w:bottom w:val="single" w:sz="6" w:space="0" w:color="757575"/>
              <w:right w:val="single" w:sz="4" w:space="0" w:color="auto"/>
            </w:tcBorders>
          </w:tcPr>
          <w:p w:rsidR="00391BEE" w:rsidRDefault="00D52C21" w:rsidP="00391BEE">
            <w:pPr>
              <w:spacing w:before="60" w:after="60"/>
              <w:rPr>
                <w:rFonts w:ascii="Arial" w:eastAsia="Calibri" w:hAnsi="Arial" w:cs="Arial"/>
                <w:i/>
                <w:sz w:val="18"/>
                <w:szCs w:val="18"/>
              </w:rPr>
            </w:pPr>
            <w:r w:rsidRPr="00F10F38">
              <w:rPr>
                <w:rFonts w:ascii="Arial" w:eastAsia="Calibri" w:hAnsi="Arial" w:cs="Arial"/>
                <w:i/>
                <w:sz w:val="18"/>
                <w:szCs w:val="18"/>
              </w:rPr>
              <w:t>-Stable disease</w:t>
            </w:r>
          </w:p>
        </w:tc>
        <w:tc>
          <w:tcPr>
            <w:tcW w:w="2693" w:type="dxa"/>
            <w:gridSpan w:val="8"/>
            <w:tcBorders>
              <w:top w:val="single" w:sz="6" w:space="0" w:color="757575"/>
              <w:left w:val="single" w:sz="4" w:space="0" w:color="auto"/>
              <w:bottom w:val="single" w:sz="6" w:space="0" w:color="757575"/>
              <w:right w:val="single" w:sz="4" w:space="0" w:color="auto"/>
            </w:tcBorders>
          </w:tcPr>
          <w:p w:rsidR="00391BEE" w:rsidRDefault="00391BEE" w:rsidP="00391BEE">
            <w:pPr>
              <w:spacing w:before="60" w:after="60"/>
              <w:rPr>
                <w:rFonts w:ascii="Arial" w:hAnsi="Arial" w:cs="Arial"/>
                <w:sz w:val="18"/>
                <w:szCs w:val="18"/>
              </w:rPr>
            </w:pPr>
          </w:p>
        </w:tc>
        <w:tc>
          <w:tcPr>
            <w:tcW w:w="3409" w:type="dxa"/>
            <w:gridSpan w:val="3"/>
            <w:tcBorders>
              <w:top w:val="single" w:sz="6" w:space="0" w:color="757575"/>
              <w:left w:val="single" w:sz="4" w:space="0" w:color="auto"/>
              <w:bottom w:val="single" w:sz="6" w:space="0" w:color="757575"/>
            </w:tcBorders>
          </w:tcPr>
          <w:p w:rsidR="00391BEE" w:rsidRDefault="00391BEE" w:rsidP="00391BEE">
            <w:pPr>
              <w:spacing w:before="60" w:after="60"/>
              <w:rPr>
                <w:rFonts w:ascii="Arial" w:hAnsi="Arial" w:cs="Arial"/>
                <w:sz w:val="18"/>
                <w:szCs w:val="18"/>
              </w:rPr>
            </w:pPr>
          </w:p>
        </w:tc>
      </w:tr>
      <w:tr w:rsidR="00D52C21" w:rsidRPr="00AE3EF8" w:rsidTr="00D52C21">
        <w:trPr>
          <w:trHeight w:val="190"/>
        </w:trPr>
        <w:tc>
          <w:tcPr>
            <w:tcW w:w="2370" w:type="dxa"/>
            <w:tcBorders>
              <w:top w:val="single" w:sz="6" w:space="0" w:color="757575"/>
              <w:bottom w:val="single" w:sz="6" w:space="0" w:color="757575"/>
              <w:right w:val="single" w:sz="4" w:space="0" w:color="auto"/>
            </w:tcBorders>
          </w:tcPr>
          <w:p w:rsidR="00391BEE" w:rsidRDefault="00D52C21" w:rsidP="00391BEE">
            <w:pPr>
              <w:spacing w:before="60" w:after="60"/>
              <w:rPr>
                <w:rFonts w:ascii="Arial" w:eastAsia="Calibri" w:hAnsi="Arial" w:cs="Arial"/>
                <w:i/>
                <w:sz w:val="18"/>
                <w:szCs w:val="18"/>
              </w:rPr>
            </w:pPr>
            <w:r w:rsidRPr="00F10F38">
              <w:rPr>
                <w:rFonts w:ascii="Arial" w:eastAsia="Calibri" w:hAnsi="Arial" w:cs="Arial"/>
                <w:i/>
                <w:sz w:val="18"/>
                <w:szCs w:val="18"/>
              </w:rPr>
              <w:t>-Time to response</w:t>
            </w:r>
          </w:p>
        </w:tc>
        <w:tc>
          <w:tcPr>
            <w:tcW w:w="2693" w:type="dxa"/>
            <w:gridSpan w:val="8"/>
            <w:tcBorders>
              <w:top w:val="single" w:sz="6" w:space="0" w:color="757575"/>
              <w:left w:val="single" w:sz="4" w:space="0" w:color="auto"/>
              <w:bottom w:val="single" w:sz="6" w:space="0" w:color="757575"/>
              <w:right w:val="single" w:sz="4" w:space="0" w:color="auto"/>
            </w:tcBorders>
          </w:tcPr>
          <w:p w:rsidR="00391BEE" w:rsidRDefault="00391BEE" w:rsidP="00391BEE">
            <w:pPr>
              <w:spacing w:before="60" w:after="60"/>
              <w:rPr>
                <w:rFonts w:ascii="Arial" w:hAnsi="Arial" w:cs="Arial"/>
                <w:sz w:val="18"/>
                <w:szCs w:val="18"/>
              </w:rPr>
            </w:pPr>
          </w:p>
        </w:tc>
        <w:tc>
          <w:tcPr>
            <w:tcW w:w="3409" w:type="dxa"/>
            <w:gridSpan w:val="3"/>
            <w:tcBorders>
              <w:top w:val="single" w:sz="6" w:space="0" w:color="757575"/>
              <w:left w:val="single" w:sz="4" w:space="0" w:color="auto"/>
              <w:bottom w:val="single" w:sz="6" w:space="0" w:color="757575"/>
            </w:tcBorders>
          </w:tcPr>
          <w:p w:rsidR="00391BEE" w:rsidRDefault="00391BEE" w:rsidP="00391BEE">
            <w:pPr>
              <w:spacing w:before="60" w:after="60"/>
              <w:rPr>
                <w:rFonts w:ascii="Arial" w:hAnsi="Arial" w:cs="Arial"/>
                <w:sz w:val="18"/>
                <w:szCs w:val="18"/>
              </w:rPr>
            </w:pPr>
          </w:p>
        </w:tc>
      </w:tr>
      <w:tr w:rsidR="00D52C21" w:rsidRPr="00AE3EF8" w:rsidTr="00D52C21">
        <w:trPr>
          <w:trHeight w:val="190"/>
        </w:trPr>
        <w:tc>
          <w:tcPr>
            <w:tcW w:w="2370" w:type="dxa"/>
            <w:tcBorders>
              <w:top w:val="single" w:sz="6" w:space="0" w:color="757575"/>
              <w:bottom w:val="single" w:sz="6" w:space="0" w:color="757575"/>
              <w:right w:val="single" w:sz="4" w:space="0" w:color="auto"/>
            </w:tcBorders>
          </w:tcPr>
          <w:p w:rsidR="00391BEE" w:rsidRDefault="00D52C21" w:rsidP="00391BEE">
            <w:pPr>
              <w:spacing w:before="60" w:after="60"/>
              <w:rPr>
                <w:rFonts w:ascii="Arial" w:eastAsia="Calibri" w:hAnsi="Arial" w:cs="Arial"/>
                <w:i/>
                <w:sz w:val="18"/>
                <w:szCs w:val="18"/>
              </w:rPr>
            </w:pPr>
            <w:r w:rsidRPr="00F10F38">
              <w:rPr>
                <w:rFonts w:ascii="Arial" w:eastAsia="Calibri" w:hAnsi="Arial" w:cs="Arial"/>
                <w:i/>
                <w:sz w:val="18"/>
                <w:szCs w:val="18"/>
              </w:rPr>
              <w:t>-Duration of response</w:t>
            </w:r>
          </w:p>
        </w:tc>
        <w:tc>
          <w:tcPr>
            <w:tcW w:w="2693" w:type="dxa"/>
            <w:gridSpan w:val="8"/>
            <w:tcBorders>
              <w:top w:val="single" w:sz="6" w:space="0" w:color="757575"/>
              <w:left w:val="single" w:sz="4" w:space="0" w:color="auto"/>
              <w:bottom w:val="single" w:sz="6" w:space="0" w:color="757575"/>
              <w:right w:val="single" w:sz="4" w:space="0" w:color="auto"/>
            </w:tcBorders>
          </w:tcPr>
          <w:p w:rsidR="00391BEE" w:rsidRDefault="00391BEE" w:rsidP="00391BEE">
            <w:pPr>
              <w:spacing w:before="60" w:after="60"/>
              <w:rPr>
                <w:rFonts w:ascii="Arial" w:hAnsi="Arial" w:cs="Arial"/>
                <w:sz w:val="18"/>
                <w:szCs w:val="18"/>
              </w:rPr>
            </w:pPr>
          </w:p>
        </w:tc>
        <w:tc>
          <w:tcPr>
            <w:tcW w:w="3409" w:type="dxa"/>
            <w:gridSpan w:val="3"/>
            <w:tcBorders>
              <w:top w:val="single" w:sz="6" w:space="0" w:color="757575"/>
              <w:left w:val="single" w:sz="4" w:space="0" w:color="auto"/>
              <w:bottom w:val="single" w:sz="6" w:space="0" w:color="757575"/>
            </w:tcBorders>
          </w:tcPr>
          <w:p w:rsidR="00391BEE" w:rsidRDefault="00391BEE" w:rsidP="00391BEE">
            <w:pPr>
              <w:spacing w:before="60" w:after="60"/>
              <w:rPr>
                <w:rFonts w:ascii="Arial" w:hAnsi="Arial" w:cs="Arial"/>
                <w:sz w:val="18"/>
                <w:szCs w:val="18"/>
              </w:rPr>
            </w:pPr>
          </w:p>
        </w:tc>
      </w:tr>
      <w:tr w:rsidR="00D52C21" w:rsidRPr="00AE3EF8" w:rsidTr="00D52C21">
        <w:trPr>
          <w:trHeight w:val="190"/>
        </w:trPr>
        <w:tc>
          <w:tcPr>
            <w:tcW w:w="2370" w:type="dxa"/>
            <w:tcBorders>
              <w:top w:val="single" w:sz="6" w:space="0" w:color="757575"/>
              <w:bottom w:val="single" w:sz="6" w:space="0" w:color="757575"/>
              <w:right w:val="single" w:sz="4" w:space="0" w:color="auto"/>
            </w:tcBorders>
          </w:tcPr>
          <w:p w:rsidR="00391BEE" w:rsidRDefault="00D52C21" w:rsidP="00391BEE">
            <w:pPr>
              <w:spacing w:before="60" w:after="60"/>
              <w:rPr>
                <w:rFonts w:ascii="Arial" w:eastAsia="Calibri" w:hAnsi="Arial" w:cs="Arial"/>
                <w:i/>
                <w:sz w:val="18"/>
                <w:szCs w:val="18"/>
              </w:rPr>
            </w:pPr>
            <w:r w:rsidRPr="00F10F38">
              <w:rPr>
                <w:rFonts w:ascii="Arial" w:eastAsia="Calibri" w:hAnsi="Arial" w:cs="Arial"/>
                <w:i/>
                <w:sz w:val="18"/>
                <w:szCs w:val="18"/>
              </w:rPr>
              <w:t>-Other outcomes (name)</w:t>
            </w:r>
          </w:p>
        </w:tc>
        <w:tc>
          <w:tcPr>
            <w:tcW w:w="2693" w:type="dxa"/>
            <w:gridSpan w:val="8"/>
            <w:tcBorders>
              <w:top w:val="single" w:sz="6" w:space="0" w:color="757575"/>
              <w:left w:val="single" w:sz="4" w:space="0" w:color="auto"/>
              <w:bottom w:val="single" w:sz="6" w:space="0" w:color="757575"/>
              <w:right w:val="single" w:sz="4" w:space="0" w:color="auto"/>
            </w:tcBorders>
          </w:tcPr>
          <w:p w:rsidR="00391BEE" w:rsidRDefault="00391BEE" w:rsidP="00391BEE">
            <w:pPr>
              <w:spacing w:before="60" w:after="60"/>
              <w:rPr>
                <w:rFonts w:ascii="Arial" w:hAnsi="Arial" w:cs="Arial"/>
                <w:sz w:val="18"/>
                <w:szCs w:val="18"/>
              </w:rPr>
            </w:pPr>
          </w:p>
        </w:tc>
        <w:tc>
          <w:tcPr>
            <w:tcW w:w="3409" w:type="dxa"/>
            <w:gridSpan w:val="3"/>
            <w:tcBorders>
              <w:top w:val="single" w:sz="6" w:space="0" w:color="757575"/>
              <w:left w:val="single" w:sz="4" w:space="0" w:color="auto"/>
              <w:bottom w:val="single" w:sz="6" w:space="0" w:color="757575"/>
            </w:tcBorders>
          </w:tcPr>
          <w:p w:rsidR="00391BEE" w:rsidRDefault="00391BEE" w:rsidP="00391BEE">
            <w:pPr>
              <w:spacing w:before="60" w:after="60"/>
              <w:rPr>
                <w:rFonts w:ascii="Arial" w:hAnsi="Arial" w:cs="Arial"/>
                <w:sz w:val="18"/>
                <w:szCs w:val="18"/>
              </w:rPr>
            </w:pPr>
          </w:p>
        </w:tc>
      </w:tr>
      <w:tr w:rsidR="00D52C21" w:rsidRPr="00AE3EF8" w:rsidTr="00D52C21">
        <w:trPr>
          <w:trHeight w:val="203"/>
        </w:trPr>
        <w:tc>
          <w:tcPr>
            <w:tcW w:w="2370" w:type="dxa"/>
            <w:tcBorders>
              <w:top w:val="single" w:sz="6" w:space="0" w:color="757575"/>
              <w:bottom w:val="single" w:sz="6" w:space="0" w:color="757575"/>
              <w:right w:val="single" w:sz="4" w:space="0" w:color="auto"/>
            </w:tcBorders>
          </w:tcPr>
          <w:p w:rsidR="00391BEE" w:rsidRDefault="00D52C21" w:rsidP="00391BEE">
            <w:pPr>
              <w:spacing w:before="60" w:after="60"/>
              <w:rPr>
                <w:rFonts w:ascii="Arial" w:hAnsi="Arial" w:cs="Arial"/>
                <w:i/>
                <w:sz w:val="18"/>
                <w:szCs w:val="18"/>
                <w:u w:val="single"/>
              </w:rPr>
            </w:pPr>
            <w:r w:rsidRPr="00F10F38">
              <w:rPr>
                <w:rFonts w:ascii="Arial" w:hAnsi="Arial" w:cs="Arial"/>
                <w:i/>
                <w:sz w:val="18"/>
                <w:szCs w:val="18"/>
              </w:rPr>
              <w:t>-Adverse events</w:t>
            </w:r>
          </w:p>
        </w:tc>
        <w:tc>
          <w:tcPr>
            <w:tcW w:w="2693" w:type="dxa"/>
            <w:gridSpan w:val="8"/>
            <w:tcBorders>
              <w:top w:val="single" w:sz="6" w:space="0" w:color="757575"/>
              <w:left w:val="single" w:sz="4" w:space="0" w:color="auto"/>
              <w:bottom w:val="single" w:sz="6" w:space="0" w:color="757575"/>
              <w:right w:val="single" w:sz="4" w:space="0" w:color="auto"/>
            </w:tcBorders>
          </w:tcPr>
          <w:p w:rsidR="00391BEE" w:rsidRDefault="00391BEE" w:rsidP="00391BEE">
            <w:pPr>
              <w:spacing w:before="60" w:after="60"/>
              <w:rPr>
                <w:rFonts w:ascii="Arial" w:hAnsi="Arial" w:cs="Arial"/>
                <w:sz w:val="18"/>
                <w:szCs w:val="18"/>
              </w:rPr>
            </w:pPr>
          </w:p>
        </w:tc>
        <w:tc>
          <w:tcPr>
            <w:tcW w:w="3409" w:type="dxa"/>
            <w:gridSpan w:val="3"/>
            <w:tcBorders>
              <w:top w:val="single" w:sz="6" w:space="0" w:color="757575"/>
              <w:left w:val="single" w:sz="4" w:space="0" w:color="auto"/>
              <w:bottom w:val="single" w:sz="6" w:space="0" w:color="757575"/>
            </w:tcBorders>
          </w:tcPr>
          <w:p w:rsidR="00391BEE" w:rsidRDefault="00391BEE" w:rsidP="00391BEE">
            <w:pPr>
              <w:spacing w:before="60" w:after="60"/>
              <w:rPr>
                <w:rFonts w:ascii="Arial" w:hAnsi="Arial" w:cs="Arial"/>
                <w:sz w:val="18"/>
                <w:szCs w:val="18"/>
              </w:rPr>
            </w:pPr>
          </w:p>
        </w:tc>
      </w:tr>
      <w:tr w:rsidR="00D52C21" w:rsidRPr="00AE3EF8" w:rsidTr="00D52C21">
        <w:trPr>
          <w:trHeight w:val="127"/>
        </w:trPr>
        <w:tc>
          <w:tcPr>
            <w:tcW w:w="2370" w:type="dxa"/>
            <w:tcBorders>
              <w:top w:val="single" w:sz="6" w:space="0" w:color="757575"/>
              <w:right w:val="single" w:sz="4" w:space="0" w:color="auto"/>
            </w:tcBorders>
          </w:tcPr>
          <w:p w:rsidR="00391BEE" w:rsidRDefault="00D52C21" w:rsidP="00391BEE">
            <w:pPr>
              <w:spacing w:before="60" w:after="60"/>
              <w:rPr>
                <w:rFonts w:ascii="Arial" w:hAnsi="Arial" w:cs="Arial"/>
                <w:sz w:val="18"/>
                <w:szCs w:val="18"/>
              </w:rPr>
            </w:pPr>
            <w:r w:rsidRPr="00AE3EF8">
              <w:rPr>
                <w:rFonts w:ascii="Arial" w:hAnsi="Arial" w:cs="Arial"/>
                <w:sz w:val="18"/>
                <w:szCs w:val="18"/>
              </w:rPr>
              <w:t>Selective reporting</w:t>
            </w:r>
            <w:r>
              <w:rPr>
                <w:rFonts w:ascii="Arial" w:hAnsi="Arial" w:cs="Arial"/>
                <w:sz w:val="18"/>
                <w:szCs w:val="18"/>
              </w:rPr>
              <w:t>:</w:t>
            </w:r>
          </w:p>
        </w:tc>
        <w:tc>
          <w:tcPr>
            <w:tcW w:w="2693" w:type="dxa"/>
            <w:gridSpan w:val="8"/>
            <w:tcBorders>
              <w:top w:val="single" w:sz="6" w:space="0" w:color="757575"/>
              <w:left w:val="single" w:sz="4" w:space="0" w:color="auto"/>
              <w:right w:val="single" w:sz="4" w:space="0" w:color="auto"/>
            </w:tcBorders>
          </w:tcPr>
          <w:p w:rsidR="00391BEE" w:rsidRDefault="00391BEE" w:rsidP="00391BEE">
            <w:pPr>
              <w:spacing w:before="60" w:after="60"/>
              <w:rPr>
                <w:rFonts w:ascii="Arial" w:hAnsi="Arial" w:cs="Arial"/>
                <w:sz w:val="18"/>
                <w:szCs w:val="18"/>
              </w:rPr>
            </w:pPr>
          </w:p>
        </w:tc>
        <w:tc>
          <w:tcPr>
            <w:tcW w:w="3409" w:type="dxa"/>
            <w:gridSpan w:val="3"/>
            <w:tcBorders>
              <w:top w:val="single" w:sz="6" w:space="0" w:color="757575"/>
              <w:left w:val="single" w:sz="4" w:space="0" w:color="auto"/>
            </w:tcBorders>
          </w:tcPr>
          <w:p w:rsidR="00391BEE" w:rsidRDefault="00391BEE" w:rsidP="00391BEE">
            <w:pPr>
              <w:spacing w:before="60" w:after="60"/>
              <w:rPr>
                <w:rFonts w:ascii="Arial" w:hAnsi="Arial" w:cs="Arial"/>
                <w:sz w:val="18"/>
                <w:szCs w:val="18"/>
              </w:rPr>
            </w:pPr>
          </w:p>
        </w:tc>
      </w:tr>
      <w:tr w:rsidR="00D52C21" w:rsidRPr="00AE3EF8" w:rsidTr="00D52C21">
        <w:tc>
          <w:tcPr>
            <w:tcW w:w="2370" w:type="dxa"/>
            <w:tcBorders>
              <w:right w:val="single" w:sz="4" w:space="0" w:color="auto"/>
            </w:tcBorders>
          </w:tcPr>
          <w:p w:rsidR="00391BEE" w:rsidRDefault="00D52C21" w:rsidP="00391BEE">
            <w:pPr>
              <w:spacing w:before="60" w:after="60"/>
              <w:rPr>
                <w:rFonts w:ascii="Arial" w:hAnsi="Arial" w:cs="Arial"/>
                <w:i/>
                <w:sz w:val="18"/>
                <w:szCs w:val="18"/>
              </w:rPr>
            </w:pPr>
            <w:r w:rsidRPr="00F10F38">
              <w:rPr>
                <w:rFonts w:ascii="Arial" w:hAnsi="Arial" w:cs="Arial"/>
                <w:i/>
                <w:sz w:val="18"/>
                <w:szCs w:val="18"/>
              </w:rPr>
              <w:t>-Overall survival</w:t>
            </w:r>
          </w:p>
        </w:tc>
        <w:tc>
          <w:tcPr>
            <w:tcW w:w="2693" w:type="dxa"/>
            <w:gridSpan w:val="8"/>
            <w:tcBorders>
              <w:left w:val="single" w:sz="4" w:space="0" w:color="auto"/>
              <w:right w:val="single" w:sz="4" w:space="0" w:color="auto"/>
            </w:tcBorders>
          </w:tcPr>
          <w:p w:rsidR="00391BEE" w:rsidRDefault="00391BEE" w:rsidP="00391BEE">
            <w:pPr>
              <w:spacing w:before="60" w:after="60"/>
              <w:rPr>
                <w:rFonts w:ascii="Arial" w:hAnsi="Arial" w:cs="Arial"/>
                <w:sz w:val="18"/>
                <w:szCs w:val="18"/>
              </w:rPr>
            </w:pPr>
          </w:p>
        </w:tc>
        <w:tc>
          <w:tcPr>
            <w:tcW w:w="3409" w:type="dxa"/>
            <w:gridSpan w:val="3"/>
            <w:tcBorders>
              <w:left w:val="single" w:sz="4" w:space="0" w:color="auto"/>
            </w:tcBorders>
          </w:tcPr>
          <w:p w:rsidR="00391BEE" w:rsidRDefault="00391BEE" w:rsidP="00391BEE">
            <w:pPr>
              <w:spacing w:before="60" w:after="60"/>
              <w:rPr>
                <w:rFonts w:ascii="Arial" w:hAnsi="Arial" w:cs="Arial"/>
                <w:sz w:val="18"/>
                <w:szCs w:val="18"/>
              </w:rPr>
            </w:pPr>
          </w:p>
        </w:tc>
      </w:tr>
      <w:tr w:rsidR="00D52C21" w:rsidRPr="00AE3EF8" w:rsidTr="00D52C21">
        <w:tc>
          <w:tcPr>
            <w:tcW w:w="2370" w:type="dxa"/>
            <w:tcBorders>
              <w:right w:val="single" w:sz="4" w:space="0" w:color="auto"/>
            </w:tcBorders>
          </w:tcPr>
          <w:p w:rsidR="00391BEE" w:rsidRDefault="00D52C21" w:rsidP="00391BEE">
            <w:pPr>
              <w:spacing w:before="60" w:after="60"/>
              <w:rPr>
                <w:rFonts w:ascii="Arial" w:hAnsi="Arial" w:cs="Arial"/>
                <w:i/>
                <w:sz w:val="18"/>
                <w:szCs w:val="18"/>
                <w:u w:val="single"/>
              </w:rPr>
            </w:pPr>
            <w:r w:rsidRPr="00F10F38">
              <w:rPr>
                <w:rFonts w:ascii="Arial" w:eastAsia="Calibri" w:hAnsi="Arial" w:cs="Arial"/>
                <w:i/>
                <w:sz w:val="18"/>
                <w:szCs w:val="18"/>
              </w:rPr>
              <w:t>-Progression free survival</w:t>
            </w:r>
          </w:p>
        </w:tc>
        <w:tc>
          <w:tcPr>
            <w:tcW w:w="2693" w:type="dxa"/>
            <w:gridSpan w:val="8"/>
            <w:tcBorders>
              <w:left w:val="single" w:sz="4" w:space="0" w:color="auto"/>
              <w:right w:val="single" w:sz="4" w:space="0" w:color="auto"/>
            </w:tcBorders>
          </w:tcPr>
          <w:p w:rsidR="00391BEE" w:rsidRDefault="00391BEE" w:rsidP="00391BEE">
            <w:pPr>
              <w:spacing w:before="60" w:after="60"/>
              <w:rPr>
                <w:rFonts w:ascii="Arial" w:hAnsi="Arial" w:cs="Arial"/>
                <w:sz w:val="18"/>
                <w:szCs w:val="18"/>
              </w:rPr>
            </w:pPr>
          </w:p>
        </w:tc>
        <w:tc>
          <w:tcPr>
            <w:tcW w:w="3409" w:type="dxa"/>
            <w:gridSpan w:val="3"/>
            <w:tcBorders>
              <w:left w:val="single" w:sz="4" w:space="0" w:color="auto"/>
            </w:tcBorders>
          </w:tcPr>
          <w:p w:rsidR="00391BEE" w:rsidRDefault="00391BEE" w:rsidP="00391BEE">
            <w:pPr>
              <w:spacing w:before="60" w:after="60"/>
              <w:rPr>
                <w:rFonts w:ascii="Arial" w:hAnsi="Arial" w:cs="Arial"/>
                <w:sz w:val="18"/>
                <w:szCs w:val="18"/>
              </w:rPr>
            </w:pPr>
          </w:p>
        </w:tc>
      </w:tr>
      <w:tr w:rsidR="00D52C21" w:rsidRPr="00AE3EF8" w:rsidTr="00D52C21">
        <w:tc>
          <w:tcPr>
            <w:tcW w:w="2370" w:type="dxa"/>
            <w:tcBorders>
              <w:right w:val="single" w:sz="4" w:space="0" w:color="auto"/>
            </w:tcBorders>
          </w:tcPr>
          <w:p w:rsidR="00391BEE" w:rsidRDefault="00D52C21" w:rsidP="00391BEE">
            <w:pPr>
              <w:spacing w:before="60" w:after="60"/>
              <w:rPr>
                <w:rFonts w:ascii="Arial" w:eastAsia="Calibri" w:hAnsi="Arial" w:cs="Arial"/>
                <w:i/>
                <w:sz w:val="18"/>
                <w:szCs w:val="18"/>
              </w:rPr>
            </w:pPr>
            <w:r w:rsidRPr="00F10F38">
              <w:rPr>
                <w:rFonts w:ascii="Arial" w:eastAsia="Calibri" w:hAnsi="Arial" w:cs="Arial"/>
                <w:i/>
                <w:sz w:val="18"/>
                <w:szCs w:val="18"/>
              </w:rPr>
              <w:t>-Complete response</w:t>
            </w:r>
          </w:p>
        </w:tc>
        <w:tc>
          <w:tcPr>
            <w:tcW w:w="2693" w:type="dxa"/>
            <w:gridSpan w:val="8"/>
            <w:tcBorders>
              <w:left w:val="single" w:sz="4" w:space="0" w:color="auto"/>
              <w:right w:val="single" w:sz="4" w:space="0" w:color="auto"/>
            </w:tcBorders>
          </w:tcPr>
          <w:p w:rsidR="00391BEE" w:rsidRDefault="00391BEE" w:rsidP="00391BEE">
            <w:pPr>
              <w:spacing w:before="60" w:after="60"/>
              <w:rPr>
                <w:rFonts w:ascii="Arial" w:hAnsi="Arial" w:cs="Arial"/>
                <w:sz w:val="18"/>
                <w:szCs w:val="18"/>
              </w:rPr>
            </w:pPr>
          </w:p>
        </w:tc>
        <w:tc>
          <w:tcPr>
            <w:tcW w:w="3409" w:type="dxa"/>
            <w:gridSpan w:val="3"/>
            <w:tcBorders>
              <w:left w:val="single" w:sz="4" w:space="0" w:color="auto"/>
            </w:tcBorders>
          </w:tcPr>
          <w:p w:rsidR="00391BEE" w:rsidRDefault="00391BEE" w:rsidP="00391BEE">
            <w:pPr>
              <w:spacing w:before="60" w:after="60"/>
              <w:rPr>
                <w:rFonts w:ascii="Arial" w:hAnsi="Arial" w:cs="Arial"/>
                <w:sz w:val="18"/>
                <w:szCs w:val="18"/>
              </w:rPr>
            </w:pPr>
          </w:p>
        </w:tc>
      </w:tr>
      <w:tr w:rsidR="00D52C21" w:rsidRPr="00AE3EF8" w:rsidTr="00D52C21">
        <w:tc>
          <w:tcPr>
            <w:tcW w:w="2370" w:type="dxa"/>
            <w:tcBorders>
              <w:right w:val="single" w:sz="4" w:space="0" w:color="auto"/>
            </w:tcBorders>
          </w:tcPr>
          <w:p w:rsidR="00391BEE" w:rsidRDefault="00D52C21" w:rsidP="00391BEE">
            <w:pPr>
              <w:spacing w:before="60" w:after="60"/>
              <w:rPr>
                <w:rFonts w:ascii="Arial" w:eastAsia="Calibri" w:hAnsi="Arial" w:cs="Arial"/>
                <w:i/>
                <w:sz w:val="18"/>
                <w:szCs w:val="18"/>
              </w:rPr>
            </w:pPr>
            <w:r w:rsidRPr="00F10F38">
              <w:rPr>
                <w:rFonts w:ascii="Arial" w:eastAsia="Calibri" w:hAnsi="Arial" w:cs="Arial"/>
                <w:i/>
                <w:sz w:val="18"/>
                <w:szCs w:val="18"/>
              </w:rPr>
              <w:t>-Partial response</w:t>
            </w:r>
          </w:p>
        </w:tc>
        <w:tc>
          <w:tcPr>
            <w:tcW w:w="2693" w:type="dxa"/>
            <w:gridSpan w:val="8"/>
            <w:tcBorders>
              <w:left w:val="single" w:sz="4" w:space="0" w:color="auto"/>
              <w:right w:val="single" w:sz="4" w:space="0" w:color="auto"/>
            </w:tcBorders>
          </w:tcPr>
          <w:p w:rsidR="00391BEE" w:rsidRDefault="00391BEE" w:rsidP="00391BEE">
            <w:pPr>
              <w:spacing w:before="60" w:after="60"/>
              <w:rPr>
                <w:rFonts w:ascii="Arial" w:hAnsi="Arial" w:cs="Arial"/>
                <w:sz w:val="18"/>
                <w:szCs w:val="18"/>
              </w:rPr>
            </w:pPr>
          </w:p>
        </w:tc>
        <w:tc>
          <w:tcPr>
            <w:tcW w:w="3409" w:type="dxa"/>
            <w:gridSpan w:val="3"/>
            <w:tcBorders>
              <w:left w:val="single" w:sz="4" w:space="0" w:color="auto"/>
            </w:tcBorders>
          </w:tcPr>
          <w:p w:rsidR="00391BEE" w:rsidRDefault="00391BEE" w:rsidP="00391BEE">
            <w:pPr>
              <w:spacing w:before="60" w:after="60"/>
              <w:rPr>
                <w:rFonts w:ascii="Arial" w:hAnsi="Arial" w:cs="Arial"/>
                <w:sz w:val="18"/>
                <w:szCs w:val="18"/>
              </w:rPr>
            </w:pPr>
          </w:p>
        </w:tc>
      </w:tr>
      <w:tr w:rsidR="00D52C21" w:rsidRPr="00AE3EF8" w:rsidTr="00D52C21">
        <w:tc>
          <w:tcPr>
            <w:tcW w:w="2370" w:type="dxa"/>
            <w:tcBorders>
              <w:right w:val="single" w:sz="4" w:space="0" w:color="auto"/>
            </w:tcBorders>
          </w:tcPr>
          <w:p w:rsidR="00391BEE" w:rsidRDefault="00D52C21" w:rsidP="00391BEE">
            <w:pPr>
              <w:spacing w:before="60" w:after="60"/>
              <w:rPr>
                <w:rFonts w:ascii="Arial" w:eastAsia="Calibri" w:hAnsi="Arial" w:cs="Arial"/>
                <w:i/>
                <w:sz w:val="18"/>
                <w:szCs w:val="18"/>
              </w:rPr>
            </w:pPr>
            <w:r w:rsidRPr="00F10F38">
              <w:rPr>
                <w:rFonts w:ascii="Arial" w:eastAsia="Calibri" w:hAnsi="Arial" w:cs="Arial"/>
                <w:i/>
                <w:sz w:val="18"/>
                <w:szCs w:val="18"/>
              </w:rPr>
              <w:t>-Overall response</w:t>
            </w:r>
          </w:p>
        </w:tc>
        <w:tc>
          <w:tcPr>
            <w:tcW w:w="2693" w:type="dxa"/>
            <w:gridSpan w:val="8"/>
            <w:tcBorders>
              <w:left w:val="single" w:sz="4" w:space="0" w:color="auto"/>
              <w:right w:val="single" w:sz="4" w:space="0" w:color="auto"/>
            </w:tcBorders>
          </w:tcPr>
          <w:p w:rsidR="00391BEE" w:rsidRDefault="00391BEE" w:rsidP="00391BEE">
            <w:pPr>
              <w:spacing w:before="60" w:after="60"/>
              <w:rPr>
                <w:rFonts w:ascii="Arial" w:hAnsi="Arial" w:cs="Arial"/>
                <w:sz w:val="18"/>
                <w:szCs w:val="18"/>
              </w:rPr>
            </w:pPr>
          </w:p>
        </w:tc>
        <w:tc>
          <w:tcPr>
            <w:tcW w:w="3409" w:type="dxa"/>
            <w:gridSpan w:val="3"/>
            <w:tcBorders>
              <w:left w:val="single" w:sz="4" w:space="0" w:color="auto"/>
            </w:tcBorders>
          </w:tcPr>
          <w:p w:rsidR="00391BEE" w:rsidRDefault="00391BEE" w:rsidP="00391BEE">
            <w:pPr>
              <w:spacing w:before="60" w:after="60"/>
              <w:rPr>
                <w:rFonts w:ascii="Arial" w:hAnsi="Arial" w:cs="Arial"/>
                <w:sz w:val="18"/>
                <w:szCs w:val="18"/>
              </w:rPr>
            </w:pPr>
          </w:p>
        </w:tc>
      </w:tr>
      <w:tr w:rsidR="00D52C21" w:rsidRPr="00AE3EF8" w:rsidTr="00D52C21">
        <w:tc>
          <w:tcPr>
            <w:tcW w:w="2370" w:type="dxa"/>
            <w:tcBorders>
              <w:right w:val="single" w:sz="4" w:space="0" w:color="auto"/>
            </w:tcBorders>
          </w:tcPr>
          <w:p w:rsidR="00391BEE" w:rsidRDefault="00D52C21" w:rsidP="00391BEE">
            <w:pPr>
              <w:spacing w:before="60" w:after="60"/>
              <w:rPr>
                <w:rFonts w:ascii="Arial" w:eastAsia="Calibri" w:hAnsi="Arial" w:cs="Arial"/>
                <w:i/>
                <w:sz w:val="18"/>
                <w:szCs w:val="18"/>
              </w:rPr>
            </w:pPr>
            <w:r w:rsidRPr="00F10F38">
              <w:rPr>
                <w:rFonts w:ascii="Arial" w:eastAsia="Calibri" w:hAnsi="Arial" w:cs="Arial"/>
                <w:i/>
                <w:sz w:val="18"/>
                <w:szCs w:val="18"/>
              </w:rPr>
              <w:t>-Stable disease</w:t>
            </w:r>
          </w:p>
        </w:tc>
        <w:tc>
          <w:tcPr>
            <w:tcW w:w="2693" w:type="dxa"/>
            <w:gridSpan w:val="8"/>
            <w:tcBorders>
              <w:left w:val="single" w:sz="4" w:space="0" w:color="auto"/>
              <w:right w:val="single" w:sz="4" w:space="0" w:color="auto"/>
            </w:tcBorders>
          </w:tcPr>
          <w:p w:rsidR="00391BEE" w:rsidRDefault="00391BEE" w:rsidP="00391BEE">
            <w:pPr>
              <w:spacing w:before="60" w:after="60"/>
              <w:rPr>
                <w:rFonts w:ascii="Arial" w:hAnsi="Arial" w:cs="Arial"/>
                <w:sz w:val="18"/>
                <w:szCs w:val="18"/>
              </w:rPr>
            </w:pPr>
          </w:p>
        </w:tc>
        <w:tc>
          <w:tcPr>
            <w:tcW w:w="3409" w:type="dxa"/>
            <w:gridSpan w:val="3"/>
            <w:tcBorders>
              <w:left w:val="single" w:sz="4" w:space="0" w:color="auto"/>
            </w:tcBorders>
          </w:tcPr>
          <w:p w:rsidR="00391BEE" w:rsidRDefault="00391BEE" w:rsidP="00391BEE">
            <w:pPr>
              <w:spacing w:before="60" w:after="60"/>
              <w:rPr>
                <w:rFonts w:ascii="Arial" w:hAnsi="Arial" w:cs="Arial"/>
                <w:sz w:val="18"/>
                <w:szCs w:val="18"/>
              </w:rPr>
            </w:pPr>
          </w:p>
        </w:tc>
      </w:tr>
      <w:tr w:rsidR="00D52C21" w:rsidRPr="00AE3EF8" w:rsidTr="00D52C21">
        <w:tc>
          <w:tcPr>
            <w:tcW w:w="2370" w:type="dxa"/>
            <w:tcBorders>
              <w:right w:val="single" w:sz="4" w:space="0" w:color="auto"/>
            </w:tcBorders>
          </w:tcPr>
          <w:p w:rsidR="00391BEE" w:rsidRDefault="00D52C21" w:rsidP="00391BEE">
            <w:pPr>
              <w:spacing w:before="60" w:after="60"/>
              <w:rPr>
                <w:rFonts w:ascii="Arial" w:eastAsia="Calibri" w:hAnsi="Arial" w:cs="Arial"/>
                <w:i/>
                <w:sz w:val="18"/>
                <w:szCs w:val="18"/>
              </w:rPr>
            </w:pPr>
            <w:r w:rsidRPr="00F10F38">
              <w:rPr>
                <w:rFonts w:ascii="Arial" w:eastAsia="Calibri" w:hAnsi="Arial" w:cs="Arial"/>
                <w:i/>
                <w:sz w:val="18"/>
                <w:szCs w:val="18"/>
              </w:rPr>
              <w:t>-Time to response</w:t>
            </w:r>
          </w:p>
        </w:tc>
        <w:tc>
          <w:tcPr>
            <w:tcW w:w="2693" w:type="dxa"/>
            <w:gridSpan w:val="8"/>
            <w:tcBorders>
              <w:left w:val="single" w:sz="4" w:space="0" w:color="auto"/>
              <w:right w:val="single" w:sz="4" w:space="0" w:color="auto"/>
            </w:tcBorders>
          </w:tcPr>
          <w:p w:rsidR="00391BEE" w:rsidRDefault="00391BEE" w:rsidP="00391BEE">
            <w:pPr>
              <w:spacing w:before="60" w:after="60"/>
              <w:rPr>
                <w:rFonts w:ascii="Arial" w:hAnsi="Arial" w:cs="Arial"/>
                <w:sz w:val="18"/>
                <w:szCs w:val="18"/>
              </w:rPr>
            </w:pPr>
          </w:p>
        </w:tc>
        <w:tc>
          <w:tcPr>
            <w:tcW w:w="3409" w:type="dxa"/>
            <w:gridSpan w:val="3"/>
            <w:tcBorders>
              <w:left w:val="single" w:sz="4" w:space="0" w:color="auto"/>
            </w:tcBorders>
          </w:tcPr>
          <w:p w:rsidR="00391BEE" w:rsidRDefault="00391BEE" w:rsidP="00391BEE">
            <w:pPr>
              <w:spacing w:before="60" w:after="60"/>
              <w:rPr>
                <w:rFonts w:ascii="Arial" w:hAnsi="Arial" w:cs="Arial"/>
                <w:sz w:val="18"/>
                <w:szCs w:val="18"/>
              </w:rPr>
            </w:pPr>
          </w:p>
        </w:tc>
      </w:tr>
      <w:tr w:rsidR="00D52C21" w:rsidRPr="00AE3EF8" w:rsidTr="00D52C21">
        <w:tc>
          <w:tcPr>
            <w:tcW w:w="2370" w:type="dxa"/>
            <w:tcBorders>
              <w:right w:val="single" w:sz="4" w:space="0" w:color="auto"/>
            </w:tcBorders>
          </w:tcPr>
          <w:p w:rsidR="00391BEE" w:rsidRDefault="00D52C21" w:rsidP="00391BEE">
            <w:pPr>
              <w:spacing w:before="60" w:after="60"/>
              <w:rPr>
                <w:rFonts w:ascii="Arial" w:eastAsia="Calibri" w:hAnsi="Arial" w:cs="Arial"/>
                <w:i/>
                <w:sz w:val="18"/>
                <w:szCs w:val="18"/>
              </w:rPr>
            </w:pPr>
            <w:r w:rsidRPr="00F10F38">
              <w:rPr>
                <w:rFonts w:ascii="Arial" w:eastAsia="Calibri" w:hAnsi="Arial" w:cs="Arial"/>
                <w:i/>
                <w:sz w:val="18"/>
                <w:szCs w:val="18"/>
              </w:rPr>
              <w:t>-Duration of response</w:t>
            </w:r>
          </w:p>
        </w:tc>
        <w:tc>
          <w:tcPr>
            <w:tcW w:w="2693" w:type="dxa"/>
            <w:gridSpan w:val="8"/>
            <w:tcBorders>
              <w:left w:val="single" w:sz="4" w:space="0" w:color="auto"/>
              <w:right w:val="single" w:sz="4" w:space="0" w:color="auto"/>
            </w:tcBorders>
          </w:tcPr>
          <w:p w:rsidR="00391BEE" w:rsidRDefault="00391BEE" w:rsidP="00391BEE">
            <w:pPr>
              <w:spacing w:before="60" w:after="60"/>
              <w:rPr>
                <w:rFonts w:ascii="Arial" w:hAnsi="Arial" w:cs="Arial"/>
                <w:sz w:val="18"/>
                <w:szCs w:val="18"/>
              </w:rPr>
            </w:pPr>
          </w:p>
        </w:tc>
        <w:tc>
          <w:tcPr>
            <w:tcW w:w="3409" w:type="dxa"/>
            <w:gridSpan w:val="3"/>
            <w:tcBorders>
              <w:left w:val="single" w:sz="4" w:space="0" w:color="auto"/>
            </w:tcBorders>
          </w:tcPr>
          <w:p w:rsidR="00391BEE" w:rsidRDefault="00391BEE" w:rsidP="00391BEE">
            <w:pPr>
              <w:spacing w:before="60" w:after="60"/>
              <w:rPr>
                <w:rFonts w:ascii="Arial" w:hAnsi="Arial" w:cs="Arial"/>
                <w:sz w:val="18"/>
                <w:szCs w:val="18"/>
              </w:rPr>
            </w:pPr>
          </w:p>
        </w:tc>
      </w:tr>
      <w:tr w:rsidR="00D52C21" w:rsidRPr="00AE3EF8" w:rsidTr="00D52C21">
        <w:tc>
          <w:tcPr>
            <w:tcW w:w="2370" w:type="dxa"/>
            <w:tcBorders>
              <w:right w:val="single" w:sz="4" w:space="0" w:color="auto"/>
            </w:tcBorders>
          </w:tcPr>
          <w:p w:rsidR="00391BEE" w:rsidRDefault="00D52C21" w:rsidP="00391BEE">
            <w:pPr>
              <w:spacing w:before="60" w:after="60"/>
              <w:rPr>
                <w:rFonts w:ascii="Arial" w:eastAsia="Calibri" w:hAnsi="Arial" w:cs="Arial"/>
                <w:i/>
                <w:sz w:val="18"/>
                <w:szCs w:val="18"/>
              </w:rPr>
            </w:pPr>
            <w:r w:rsidRPr="00F10F38">
              <w:rPr>
                <w:rFonts w:ascii="Arial" w:eastAsia="Calibri" w:hAnsi="Arial" w:cs="Arial"/>
                <w:i/>
                <w:sz w:val="18"/>
                <w:szCs w:val="18"/>
              </w:rPr>
              <w:t>-Other outcomes (name)</w:t>
            </w:r>
          </w:p>
        </w:tc>
        <w:tc>
          <w:tcPr>
            <w:tcW w:w="2693" w:type="dxa"/>
            <w:gridSpan w:val="8"/>
            <w:tcBorders>
              <w:left w:val="single" w:sz="4" w:space="0" w:color="auto"/>
              <w:right w:val="single" w:sz="4" w:space="0" w:color="auto"/>
            </w:tcBorders>
          </w:tcPr>
          <w:p w:rsidR="00391BEE" w:rsidRDefault="00391BEE" w:rsidP="00391BEE">
            <w:pPr>
              <w:spacing w:before="60" w:after="60"/>
              <w:rPr>
                <w:rFonts w:ascii="Arial" w:hAnsi="Arial" w:cs="Arial"/>
                <w:sz w:val="18"/>
                <w:szCs w:val="18"/>
              </w:rPr>
            </w:pPr>
          </w:p>
        </w:tc>
        <w:tc>
          <w:tcPr>
            <w:tcW w:w="3409" w:type="dxa"/>
            <w:gridSpan w:val="3"/>
            <w:tcBorders>
              <w:left w:val="single" w:sz="4" w:space="0" w:color="auto"/>
            </w:tcBorders>
          </w:tcPr>
          <w:p w:rsidR="00391BEE" w:rsidRDefault="00391BEE" w:rsidP="00391BEE">
            <w:pPr>
              <w:spacing w:before="60" w:after="60"/>
              <w:rPr>
                <w:rFonts w:ascii="Arial" w:hAnsi="Arial" w:cs="Arial"/>
                <w:sz w:val="18"/>
                <w:szCs w:val="18"/>
              </w:rPr>
            </w:pPr>
          </w:p>
        </w:tc>
      </w:tr>
      <w:tr w:rsidR="00D52C21" w:rsidRPr="00AE3EF8" w:rsidTr="00D52C21">
        <w:tc>
          <w:tcPr>
            <w:tcW w:w="2370" w:type="dxa"/>
            <w:tcBorders>
              <w:right w:val="single" w:sz="4" w:space="0" w:color="auto"/>
            </w:tcBorders>
          </w:tcPr>
          <w:p w:rsidR="00391BEE" w:rsidRDefault="00D52C21" w:rsidP="00391BEE">
            <w:pPr>
              <w:spacing w:before="60" w:after="60"/>
              <w:rPr>
                <w:rFonts w:ascii="Arial" w:hAnsi="Arial" w:cs="Arial"/>
                <w:i/>
                <w:sz w:val="18"/>
                <w:szCs w:val="18"/>
                <w:u w:val="single"/>
              </w:rPr>
            </w:pPr>
            <w:r w:rsidRPr="00F10F38">
              <w:rPr>
                <w:rFonts w:ascii="Arial" w:hAnsi="Arial" w:cs="Arial"/>
                <w:i/>
                <w:sz w:val="18"/>
                <w:szCs w:val="18"/>
              </w:rPr>
              <w:t>-Adverse events</w:t>
            </w:r>
          </w:p>
        </w:tc>
        <w:tc>
          <w:tcPr>
            <w:tcW w:w="2693" w:type="dxa"/>
            <w:gridSpan w:val="8"/>
            <w:tcBorders>
              <w:left w:val="single" w:sz="4" w:space="0" w:color="auto"/>
              <w:right w:val="single" w:sz="4" w:space="0" w:color="auto"/>
            </w:tcBorders>
          </w:tcPr>
          <w:p w:rsidR="00391BEE" w:rsidRDefault="00391BEE" w:rsidP="00391BEE">
            <w:pPr>
              <w:spacing w:before="60" w:after="60"/>
              <w:rPr>
                <w:rFonts w:ascii="Arial" w:hAnsi="Arial" w:cs="Arial"/>
                <w:sz w:val="18"/>
                <w:szCs w:val="18"/>
              </w:rPr>
            </w:pPr>
          </w:p>
        </w:tc>
        <w:tc>
          <w:tcPr>
            <w:tcW w:w="3409" w:type="dxa"/>
            <w:gridSpan w:val="3"/>
            <w:tcBorders>
              <w:left w:val="single" w:sz="4" w:space="0" w:color="auto"/>
            </w:tcBorders>
          </w:tcPr>
          <w:p w:rsidR="00391BEE" w:rsidRDefault="00391BEE" w:rsidP="00391BEE">
            <w:pPr>
              <w:spacing w:before="60" w:after="60"/>
              <w:rPr>
                <w:rFonts w:ascii="Arial" w:hAnsi="Arial" w:cs="Arial"/>
                <w:sz w:val="18"/>
                <w:szCs w:val="18"/>
              </w:rPr>
            </w:pPr>
          </w:p>
        </w:tc>
      </w:tr>
      <w:tr w:rsidR="00D52C21" w:rsidRPr="00AE3EF8" w:rsidTr="00D52C21">
        <w:tc>
          <w:tcPr>
            <w:tcW w:w="2370" w:type="dxa"/>
            <w:tcBorders>
              <w:right w:val="single" w:sz="4" w:space="0" w:color="auto"/>
            </w:tcBorders>
          </w:tcPr>
          <w:p w:rsidR="00391BEE" w:rsidRDefault="00D52C21" w:rsidP="00391BEE">
            <w:pPr>
              <w:spacing w:before="60" w:after="60"/>
              <w:rPr>
                <w:rFonts w:ascii="Arial" w:hAnsi="Arial" w:cs="Arial"/>
                <w:sz w:val="18"/>
                <w:szCs w:val="18"/>
                <w:u w:val="single"/>
              </w:rPr>
            </w:pPr>
            <w:r>
              <w:rPr>
                <w:rFonts w:ascii="Arial" w:hAnsi="Arial" w:cs="Arial"/>
                <w:sz w:val="18"/>
                <w:szCs w:val="18"/>
              </w:rPr>
              <w:t>Other biases:</w:t>
            </w:r>
          </w:p>
        </w:tc>
        <w:tc>
          <w:tcPr>
            <w:tcW w:w="2693" w:type="dxa"/>
            <w:gridSpan w:val="8"/>
            <w:tcBorders>
              <w:left w:val="single" w:sz="4" w:space="0" w:color="auto"/>
              <w:right w:val="single" w:sz="4" w:space="0" w:color="auto"/>
            </w:tcBorders>
          </w:tcPr>
          <w:p w:rsidR="00391BEE" w:rsidRDefault="00391BEE" w:rsidP="00391BEE">
            <w:pPr>
              <w:spacing w:before="60" w:after="60"/>
              <w:rPr>
                <w:rFonts w:ascii="Arial" w:hAnsi="Arial" w:cs="Arial"/>
                <w:sz w:val="18"/>
                <w:szCs w:val="18"/>
              </w:rPr>
            </w:pPr>
          </w:p>
        </w:tc>
        <w:tc>
          <w:tcPr>
            <w:tcW w:w="3409" w:type="dxa"/>
            <w:gridSpan w:val="3"/>
            <w:tcBorders>
              <w:left w:val="single" w:sz="4" w:space="0" w:color="auto"/>
            </w:tcBorders>
          </w:tcPr>
          <w:p w:rsidR="00391BEE" w:rsidRDefault="00391BEE" w:rsidP="00391BEE">
            <w:pPr>
              <w:spacing w:before="60" w:after="60"/>
              <w:rPr>
                <w:rFonts w:ascii="Arial" w:hAnsi="Arial" w:cs="Arial"/>
                <w:sz w:val="18"/>
                <w:szCs w:val="18"/>
              </w:rPr>
            </w:pPr>
          </w:p>
        </w:tc>
      </w:tr>
      <w:tr w:rsidR="00D52C21" w:rsidRPr="00AE3EF8" w:rsidTr="00D52C21">
        <w:tc>
          <w:tcPr>
            <w:tcW w:w="2370" w:type="dxa"/>
            <w:tcBorders>
              <w:right w:val="single" w:sz="4" w:space="0" w:color="auto"/>
            </w:tcBorders>
          </w:tcPr>
          <w:p w:rsidR="00391BEE" w:rsidRDefault="00D52C21" w:rsidP="00391BEE">
            <w:pPr>
              <w:spacing w:before="60" w:after="60"/>
              <w:rPr>
                <w:rFonts w:ascii="Arial" w:hAnsi="Arial" w:cs="Arial"/>
                <w:i/>
                <w:sz w:val="18"/>
                <w:szCs w:val="18"/>
              </w:rPr>
            </w:pPr>
            <w:r w:rsidRPr="00F10F38">
              <w:rPr>
                <w:rFonts w:ascii="Arial" w:hAnsi="Arial" w:cs="Arial"/>
                <w:i/>
                <w:sz w:val="18"/>
                <w:szCs w:val="18"/>
              </w:rPr>
              <w:t>-Overall survival</w:t>
            </w:r>
          </w:p>
        </w:tc>
        <w:tc>
          <w:tcPr>
            <w:tcW w:w="2693" w:type="dxa"/>
            <w:gridSpan w:val="8"/>
            <w:tcBorders>
              <w:left w:val="single" w:sz="4" w:space="0" w:color="auto"/>
              <w:right w:val="single" w:sz="4" w:space="0" w:color="auto"/>
            </w:tcBorders>
          </w:tcPr>
          <w:p w:rsidR="00391BEE" w:rsidRDefault="00391BEE" w:rsidP="00391BEE">
            <w:pPr>
              <w:spacing w:before="60" w:after="60"/>
              <w:rPr>
                <w:rFonts w:ascii="Arial" w:hAnsi="Arial" w:cs="Arial"/>
                <w:sz w:val="18"/>
                <w:szCs w:val="18"/>
              </w:rPr>
            </w:pPr>
          </w:p>
        </w:tc>
        <w:tc>
          <w:tcPr>
            <w:tcW w:w="3409" w:type="dxa"/>
            <w:gridSpan w:val="3"/>
            <w:tcBorders>
              <w:left w:val="single" w:sz="4" w:space="0" w:color="auto"/>
            </w:tcBorders>
          </w:tcPr>
          <w:p w:rsidR="00391BEE" w:rsidRDefault="00391BEE" w:rsidP="00391BEE">
            <w:pPr>
              <w:spacing w:before="60" w:after="60"/>
              <w:rPr>
                <w:rFonts w:ascii="Arial" w:hAnsi="Arial" w:cs="Arial"/>
                <w:sz w:val="18"/>
                <w:szCs w:val="18"/>
              </w:rPr>
            </w:pPr>
          </w:p>
        </w:tc>
      </w:tr>
      <w:tr w:rsidR="00D52C21" w:rsidRPr="00AE3EF8" w:rsidTr="00D52C21">
        <w:tc>
          <w:tcPr>
            <w:tcW w:w="2370" w:type="dxa"/>
            <w:tcBorders>
              <w:right w:val="single" w:sz="4" w:space="0" w:color="auto"/>
            </w:tcBorders>
          </w:tcPr>
          <w:p w:rsidR="00391BEE" w:rsidRDefault="00D52C21" w:rsidP="00391BEE">
            <w:pPr>
              <w:spacing w:before="60" w:after="60"/>
              <w:rPr>
                <w:rFonts w:ascii="Arial" w:hAnsi="Arial" w:cs="Arial"/>
                <w:i/>
                <w:sz w:val="18"/>
                <w:szCs w:val="18"/>
                <w:u w:val="single"/>
              </w:rPr>
            </w:pPr>
            <w:r w:rsidRPr="00F10F38">
              <w:rPr>
                <w:rFonts w:ascii="Arial" w:eastAsia="Calibri" w:hAnsi="Arial" w:cs="Arial"/>
                <w:i/>
                <w:sz w:val="18"/>
                <w:szCs w:val="18"/>
              </w:rPr>
              <w:t>-Progression free survival</w:t>
            </w:r>
          </w:p>
        </w:tc>
        <w:tc>
          <w:tcPr>
            <w:tcW w:w="2693" w:type="dxa"/>
            <w:gridSpan w:val="8"/>
            <w:tcBorders>
              <w:left w:val="single" w:sz="4" w:space="0" w:color="auto"/>
              <w:right w:val="single" w:sz="4" w:space="0" w:color="auto"/>
            </w:tcBorders>
          </w:tcPr>
          <w:p w:rsidR="00391BEE" w:rsidRDefault="00391BEE" w:rsidP="00391BEE">
            <w:pPr>
              <w:spacing w:before="60" w:after="60"/>
              <w:rPr>
                <w:rFonts w:ascii="Arial" w:hAnsi="Arial" w:cs="Arial"/>
                <w:sz w:val="18"/>
                <w:szCs w:val="18"/>
              </w:rPr>
            </w:pPr>
          </w:p>
        </w:tc>
        <w:tc>
          <w:tcPr>
            <w:tcW w:w="3409" w:type="dxa"/>
            <w:gridSpan w:val="3"/>
            <w:tcBorders>
              <w:left w:val="single" w:sz="4" w:space="0" w:color="auto"/>
            </w:tcBorders>
          </w:tcPr>
          <w:p w:rsidR="00391BEE" w:rsidRDefault="00391BEE" w:rsidP="00391BEE">
            <w:pPr>
              <w:spacing w:before="60" w:after="60"/>
              <w:rPr>
                <w:rFonts w:ascii="Arial" w:hAnsi="Arial" w:cs="Arial"/>
                <w:sz w:val="18"/>
                <w:szCs w:val="18"/>
              </w:rPr>
            </w:pPr>
          </w:p>
        </w:tc>
      </w:tr>
      <w:tr w:rsidR="00D52C21" w:rsidRPr="00AE3EF8" w:rsidTr="00D52C21">
        <w:tc>
          <w:tcPr>
            <w:tcW w:w="2370" w:type="dxa"/>
            <w:tcBorders>
              <w:right w:val="single" w:sz="4" w:space="0" w:color="auto"/>
            </w:tcBorders>
          </w:tcPr>
          <w:p w:rsidR="00391BEE" w:rsidRDefault="00D52C21" w:rsidP="00391BEE">
            <w:pPr>
              <w:spacing w:before="60" w:after="60"/>
              <w:rPr>
                <w:rFonts w:ascii="Arial" w:eastAsia="Calibri" w:hAnsi="Arial" w:cs="Arial"/>
                <w:i/>
                <w:sz w:val="18"/>
                <w:szCs w:val="18"/>
              </w:rPr>
            </w:pPr>
            <w:r w:rsidRPr="00F10F38">
              <w:rPr>
                <w:rFonts w:ascii="Arial" w:eastAsia="Calibri" w:hAnsi="Arial" w:cs="Arial"/>
                <w:i/>
                <w:sz w:val="18"/>
                <w:szCs w:val="18"/>
              </w:rPr>
              <w:t>-Complete response</w:t>
            </w:r>
          </w:p>
        </w:tc>
        <w:tc>
          <w:tcPr>
            <w:tcW w:w="2693" w:type="dxa"/>
            <w:gridSpan w:val="8"/>
            <w:tcBorders>
              <w:left w:val="single" w:sz="4" w:space="0" w:color="auto"/>
              <w:right w:val="single" w:sz="4" w:space="0" w:color="auto"/>
            </w:tcBorders>
          </w:tcPr>
          <w:p w:rsidR="00391BEE" w:rsidRDefault="00391BEE" w:rsidP="00391BEE">
            <w:pPr>
              <w:spacing w:before="60" w:after="60"/>
              <w:rPr>
                <w:rFonts w:ascii="Arial" w:hAnsi="Arial" w:cs="Arial"/>
                <w:sz w:val="18"/>
                <w:szCs w:val="18"/>
              </w:rPr>
            </w:pPr>
          </w:p>
        </w:tc>
        <w:tc>
          <w:tcPr>
            <w:tcW w:w="3409" w:type="dxa"/>
            <w:gridSpan w:val="3"/>
            <w:tcBorders>
              <w:left w:val="single" w:sz="4" w:space="0" w:color="auto"/>
            </w:tcBorders>
          </w:tcPr>
          <w:p w:rsidR="00391BEE" w:rsidRDefault="00391BEE" w:rsidP="00391BEE">
            <w:pPr>
              <w:spacing w:before="60" w:after="60"/>
              <w:rPr>
                <w:rFonts w:ascii="Arial" w:hAnsi="Arial" w:cs="Arial"/>
                <w:sz w:val="18"/>
                <w:szCs w:val="18"/>
              </w:rPr>
            </w:pPr>
          </w:p>
        </w:tc>
      </w:tr>
      <w:tr w:rsidR="00D52C21" w:rsidRPr="00AE3EF8" w:rsidTr="00D52C21">
        <w:tc>
          <w:tcPr>
            <w:tcW w:w="2370" w:type="dxa"/>
            <w:tcBorders>
              <w:right w:val="single" w:sz="4" w:space="0" w:color="auto"/>
            </w:tcBorders>
          </w:tcPr>
          <w:p w:rsidR="00391BEE" w:rsidRDefault="00D52C21" w:rsidP="00391BEE">
            <w:pPr>
              <w:spacing w:before="60" w:after="60"/>
              <w:rPr>
                <w:rFonts w:ascii="Arial" w:eastAsia="Calibri" w:hAnsi="Arial" w:cs="Arial"/>
                <w:i/>
                <w:sz w:val="18"/>
                <w:szCs w:val="18"/>
              </w:rPr>
            </w:pPr>
            <w:r w:rsidRPr="00F10F38">
              <w:rPr>
                <w:rFonts w:ascii="Arial" w:eastAsia="Calibri" w:hAnsi="Arial" w:cs="Arial"/>
                <w:i/>
                <w:sz w:val="18"/>
                <w:szCs w:val="18"/>
              </w:rPr>
              <w:t>-Partial response</w:t>
            </w:r>
          </w:p>
        </w:tc>
        <w:tc>
          <w:tcPr>
            <w:tcW w:w="2693" w:type="dxa"/>
            <w:gridSpan w:val="8"/>
            <w:tcBorders>
              <w:left w:val="single" w:sz="4" w:space="0" w:color="auto"/>
              <w:right w:val="single" w:sz="4" w:space="0" w:color="auto"/>
            </w:tcBorders>
          </w:tcPr>
          <w:p w:rsidR="00391BEE" w:rsidRDefault="00391BEE" w:rsidP="00391BEE">
            <w:pPr>
              <w:spacing w:before="60" w:after="60"/>
              <w:rPr>
                <w:rFonts w:ascii="Arial" w:hAnsi="Arial" w:cs="Arial"/>
                <w:sz w:val="18"/>
                <w:szCs w:val="18"/>
              </w:rPr>
            </w:pPr>
          </w:p>
        </w:tc>
        <w:tc>
          <w:tcPr>
            <w:tcW w:w="3409" w:type="dxa"/>
            <w:gridSpan w:val="3"/>
            <w:tcBorders>
              <w:left w:val="single" w:sz="4" w:space="0" w:color="auto"/>
            </w:tcBorders>
          </w:tcPr>
          <w:p w:rsidR="00391BEE" w:rsidRDefault="00391BEE" w:rsidP="00391BEE">
            <w:pPr>
              <w:spacing w:before="60" w:after="60"/>
              <w:rPr>
                <w:rFonts w:ascii="Arial" w:hAnsi="Arial" w:cs="Arial"/>
                <w:sz w:val="18"/>
                <w:szCs w:val="18"/>
              </w:rPr>
            </w:pPr>
          </w:p>
        </w:tc>
      </w:tr>
      <w:tr w:rsidR="00D52C21" w:rsidRPr="00AE3EF8" w:rsidTr="00D52C21">
        <w:tc>
          <w:tcPr>
            <w:tcW w:w="2370" w:type="dxa"/>
            <w:tcBorders>
              <w:right w:val="single" w:sz="4" w:space="0" w:color="auto"/>
            </w:tcBorders>
          </w:tcPr>
          <w:p w:rsidR="00391BEE" w:rsidRDefault="00D52C21" w:rsidP="00391BEE">
            <w:pPr>
              <w:spacing w:before="60" w:after="60"/>
              <w:rPr>
                <w:rFonts w:ascii="Arial" w:eastAsia="Calibri" w:hAnsi="Arial" w:cs="Arial"/>
                <w:i/>
                <w:sz w:val="18"/>
                <w:szCs w:val="18"/>
              </w:rPr>
            </w:pPr>
            <w:r w:rsidRPr="00F10F38">
              <w:rPr>
                <w:rFonts w:ascii="Arial" w:eastAsia="Calibri" w:hAnsi="Arial" w:cs="Arial"/>
                <w:i/>
                <w:sz w:val="18"/>
                <w:szCs w:val="18"/>
              </w:rPr>
              <w:t>-Overall response</w:t>
            </w:r>
          </w:p>
        </w:tc>
        <w:tc>
          <w:tcPr>
            <w:tcW w:w="2693" w:type="dxa"/>
            <w:gridSpan w:val="8"/>
            <w:tcBorders>
              <w:left w:val="single" w:sz="4" w:space="0" w:color="auto"/>
              <w:right w:val="single" w:sz="4" w:space="0" w:color="auto"/>
            </w:tcBorders>
          </w:tcPr>
          <w:p w:rsidR="00391BEE" w:rsidRDefault="00391BEE" w:rsidP="00391BEE">
            <w:pPr>
              <w:spacing w:before="60" w:after="60"/>
              <w:rPr>
                <w:rFonts w:ascii="Arial" w:hAnsi="Arial" w:cs="Arial"/>
                <w:sz w:val="18"/>
                <w:szCs w:val="18"/>
              </w:rPr>
            </w:pPr>
          </w:p>
        </w:tc>
        <w:tc>
          <w:tcPr>
            <w:tcW w:w="3409" w:type="dxa"/>
            <w:gridSpan w:val="3"/>
            <w:tcBorders>
              <w:left w:val="single" w:sz="4" w:space="0" w:color="auto"/>
            </w:tcBorders>
          </w:tcPr>
          <w:p w:rsidR="00391BEE" w:rsidRDefault="00391BEE" w:rsidP="00391BEE">
            <w:pPr>
              <w:spacing w:before="60" w:after="60"/>
              <w:rPr>
                <w:rFonts w:ascii="Arial" w:hAnsi="Arial" w:cs="Arial"/>
                <w:sz w:val="18"/>
                <w:szCs w:val="18"/>
              </w:rPr>
            </w:pPr>
          </w:p>
        </w:tc>
      </w:tr>
      <w:tr w:rsidR="00D52C21" w:rsidRPr="00AE3EF8" w:rsidTr="00D52C21">
        <w:tc>
          <w:tcPr>
            <w:tcW w:w="2370" w:type="dxa"/>
            <w:tcBorders>
              <w:right w:val="single" w:sz="4" w:space="0" w:color="auto"/>
            </w:tcBorders>
          </w:tcPr>
          <w:p w:rsidR="00391BEE" w:rsidRDefault="00D52C21" w:rsidP="00391BEE">
            <w:pPr>
              <w:spacing w:before="60" w:after="60"/>
              <w:rPr>
                <w:rFonts w:ascii="Arial" w:eastAsia="Calibri" w:hAnsi="Arial" w:cs="Arial"/>
                <w:i/>
                <w:sz w:val="18"/>
                <w:szCs w:val="18"/>
              </w:rPr>
            </w:pPr>
            <w:r w:rsidRPr="00F10F38">
              <w:rPr>
                <w:rFonts w:ascii="Arial" w:eastAsia="Calibri" w:hAnsi="Arial" w:cs="Arial"/>
                <w:i/>
                <w:sz w:val="18"/>
                <w:szCs w:val="18"/>
              </w:rPr>
              <w:t>-Stable disease</w:t>
            </w:r>
          </w:p>
        </w:tc>
        <w:tc>
          <w:tcPr>
            <w:tcW w:w="2693" w:type="dxa"/>
            <w:gridSpan w:val="8"/>
            <w:tcBorders>
              <w:left w:val="single" w:sz="4" w:space="0" w:color="auto"/>
              <w:right w:val="single" w:sz="4" w:space="0" w:color="auto"/>
            </w:tcBorders>
          </w:tcPr>
          <w:p w:rsidR="00391BEE" w:rsidRDefault="00391BEE" w:rsidP="00391BEE">
            <w:pPr>
              <w:spacing w:before="60" w:after="60"/>
              <w:rPr>
                <w:rFonts w:ascii="Arial" w:hAnsi="Arial" w:cs="Arial"/>
                <w:sz w:val="18"/>
                <w:szCs w:val="18"/>
              </w:rPr>
            </w:pPr>
          </w:p>
        </w:tc>
        <w:tc>
          <w:tcPr>
            <w:tcW w:w="3409" w:type="dxa"/>
            <w:gridSpan w:val="3"/>
            <w:tcBorders>
              <w:left w:val="single" w:sz="4" w:space="0" w:color="auto"/>
            </w:tcBorders>
          </w:tcPr>
          <w:p w:rsidR="00391BEE" w:rsidRDefault="00391BEE" w:rsidP="00391BEE">
            <w:pPr>
              <w:spacing w:before="60" w:after="60"/>
              <w:rPr>
                <w:rFonts w:ascii="Arial" w:hAnsi="Arial" w:cs="Arial"/>
                <w:sz w:val="18"/>
                <w:szCs w:val="18"/>
              </w:rPr>
            </w:pPr>
          </w:p>
        </w:tc>
      </w:tr>
      <w:tr w:rsidR="00D52C21" w:rsidRPr="00AE3EF8" w:rsidTr="00D52C21">
        <w:tc>
          <w:tcPr>
            <w:tcW w:w="2370" w:type="dxa"/>
            <w:tcBorders>
              <w:right w:val="single" w:sz="4" w:space="0" w:color="auto"/>
            </w:tcBorders>
          </w:tcPr>
          <w:p w:rsidR="00391BEE" w:rsidRDefault="00D52C21" w:rsidP="00391BEE">
            <w:pPr>
              <w:spacing w:before="60" w:after="60"/>
              <w:rPr>
                <w:rFonts w:ascii="Arial" w:eastAsia="Calibri" w:hAnsi="Arial" w:cs="Arial"/>
                <w:i/>
                <w:sz w:val="18"/>
                <w:szCs w:val="18"/>
              </w:rPr>
            </w:pPr>
            <w:r w:rsidRPr="00F10F38">
              <w:rPr>
                <w:rFonts w:ascii="Arial" w:eastAsia="Calibri" w:hAnsi="Arial" w:cs="Arial"/>
                <w:i/>
                <w:sz w:val="18"/>
                <w:szCs w:val="18"/>
              </w:rPr>
              <w:t>-Time to response</w:t>
            </w:r>
          </w:p>
        </w:tc>
        <w:tc>
          <w:tcPr>
            <w:tcW w:w="2693" w:type="dxa"/>
            <w:gridSpan w:val="8"/>
            <w:tcBorders>
              <w:left w:val="single" w:sz="4" w:space="0" w:color="auto"/>
              <w:right w:val="single" w:sz="4" w:space="0" w:color="auto"/>
            </w:tcBorders>
          </w:tcPr>
          <w:p w:rsidR="00391BEE" w:rsidRDefault="00391BEE" w:rsidP="00391BEE">
            <w:pPr>
              <w:spacing w:before="60" w:after="60"/>
              <w:rPr>
                <w:rFonts w:ascii="Arial" w:hAnsi="Arial" w:cs="Arial"/>
                <w:sz w:val="18"/>
                <w:szCs w:val="18"/>
              </w:rPr>
            </w:pPr>
          </w:p>
        </w:tc>
        <w:tc>
          <w:tcPr>
            <w:tcW w:w="3409" w:type="dxa"/>
            <w:gridSpan w:val="3"/>
            <w:tcBorders>
              <w:left w:val="single" w:sz="4" w:space="0" w:color="auto"/>
            </w:tcBorders>
          </w:tcPr>
          <w:p w:rsidR="00391BEE" w:rsidRDefault="00391BEE" w:rsidP="00391BEE">
            <w:pPr>
              <w:spacing w:before="60" w:after="60"/>
              <w:rPr>
                <w:rFonts w:ascii="Arial" w:hAnsi="Arial" w:cs="Arial"/>
                <w:sz w:val="18"/>
                <w:szCs w:val="18"/>
              </w:rPr>
            </w:pPr>
          </w:p>
        </w:tc>
      </w:tr>
      <w:tr w:rsidR="00D52C21" w:rsidRPr="00AE3EF8" w:rsidTr="00D52C21">
        <w:tc>
          <w:tcPr>
            <w:tcW w:w="2370" w:type="dxa"/>
            <w:tcBorders>
              <w:right w:val="single" w:sz="4" w:space="0" w:color="auto"/>
            </w:tcBorders>
          </w:tcPr>
          <w:p w:rsidR="00391BEE" w:rsidRDefault="00D52C21" w:rsidP="00391BEE">
            <w:pPr>
              <w:spacing w:before="60" w:after="60"/>
              <w:rPr>
                <w:rFonts w:ascii="Arial" w:eastAsia="Calibri" w:hAnsi="Arial" w:cs="Arial"/>
                <w:i/>
                <w:sz w:val="18"/>
                <w:szCs w:val="18"/>
              </w:rPr>
            </w:pPr>
            <w:r w:rsidRPr="00F10F38">
              <w:rPr>
                <w:rFonts w:ascii="Arial" w:eastAsia="Calibri" w:hAnsi="Arial" w:cs="Arial"/>
                <w:i/>
                <w:sz w:val="18"/>
                <w:szCs w:val="18"/>
              </w:rPr>
              <w:t>-Duration of response</w:t>
            </w:r>
          </w:p>
        </w:tc>
        <w:tc>
          <w:tcPr>
            <w:tcW w:w="2693" w:type="dxa"/>
            <w:gridSpan w:val="8"/>
            <w:tcBorders>
              <w:left w:val="single" w:sz="4" w:space="0" w:color="auto"/>
              <w:right w:val="single" w:sz="4" w:space="0" w:color="auto"/>
            </w:tcBorders>
          </w:tcPr>
          <w:p w:rsidR="00391BEE" w:rsidRDefault="00391BEE" w:rsidP="00391BEE">
            <w:pPr>
              <w:spacing w:before="60" w:after="60"/>
              <w:rPr>
                <w:rFonts w:ascii="Arial" w:hAnsi="Arial" w:cs="Arial"/>
                <w:sz w:val="18"/>
                <w:szCs w:val="18"/>
              </w:rPr>
            </w:pPr>
          </w:p>
        </w:tc>
        <w:tc>
          <w:tcPr>
            <w:tcW w:w="3409" w:type="dxa"/>
            <w:gridSpan w:val="3"/>
            <w:tcBorders>
              <w:left w:val="single" w:sz="4" w:space="0" w:color="auto"/>
            </w:tcBorders>
          </w:tcPr>
          <w:p w:rsidR="00391BEE" w:rsidRDefault="00391BEE" w:rsidP="00391BEE">
            <w:pPr>
              <w:spacing w:before="60" w:after="60"/>
              <w:rPr>
                <w:rFonts w:ascii="Arial" w:hAnsi="Arial" w:cs="Arial"/>
                <w:sz w:val="18"/>
                <w:szCs w:val="18"/>
              </w:rPr>
            </w:pPr>
          </w:p>
        </w:tc>
      </w:tr>
      <w:tr w:rsidR="00D52C21" w:rsidRPr="00AE3EF8" w:rsidTr="00D52C21">
        <w:tc>
          <w:tcPr>
            <w:tcW w:w="2370" w:type="dxa"/>
            <w:tcBorders>
              <w:right w:val="single" w:sz="4" w:space="0" w:color="auto"/>
            </w:tcBorders>
          </w:tcPr>
          <w:p w:rsidR="00391BEE" w:rsidRDefault="00D52C21" w:rsidP="00391BEE">
            <w:pPr>
              <w:spacing w:before="60" w:after="60"/>
              <w:rPr>
                <w:rFonts w:ascii="Arial" w:eastAsia="Calibri" w:hAnsi="Arial" w:cs="Arial"/>
                <w:i/>
                <w:sz w:val="18"/>
                <w:szCs w:val="18"/>
              </w:rPr>
            </w:pPr>
            <w:r w:rsidRPr="00F10F38">
              <w:rPr>
                <w:rFonts w:ascii="Arial" w:eastAsia="Calibri" w:hAnsi="Arial" w:cs="Arial"/>
                <w:i/>
                <w:sz w:val="18"/>
                <w:szCs w:val="18"/>
              </w:rPr>
              <w:t>-Other outcomes (name)</w:t>
            </w:r>
          </w:p>
        </w:tc>
        <w:tc>
          <w:tcPr>
            <w:tcW w:w="2693" w:type="dxa"/>
            <w:gridSpan w:val="8"/>
            <w:tcBorders>
              <w:left w:val="single" w:sz="4" w:space="0" w:color="auto"/>
              <w:right w:val="single" w:sz="4" w:space="0" w:color="auto"/>
            </w:tcBorders>
          </w:tcPr>
          <w:p w:rsidR="00391BEE" w:rsidRDefault="00391BEE" w:rsidP="00391BEE">
            <w:pPr>
              <w:spacing w:before="60" w:after="60"/>
              <w:rPr>
                <w:rFonts w:ascii="Arial" w:hAnsi="Arial" w:cs="Arial"/>
                <w:sz w:val="18"/>
                <w:szCs w:val="18"/>
              </w:rPr>
            </w:pPr>
          </w:p>
        </w:tc>
        <w:tc>
          <w:tcPr>
            <w:tcW w:w="3409" w:type="dxa"/>
            <w:gridSpan w:val="3"/>
            <w:tcBorders>
              <w:left w:val="single" w:sz="4" w:space="0" w:color="auto"/>
            </w:tcBorders>
          </w:tcPr>
          <w:p w:rsidR="00391BEE" w:rsidRDefault="00391BEE" w:rsidP="00391BEE">
            <w:pPr>
              <w:spacing w:before="60" w:after="60"/>
              <w:rPr>
                <w:rFonts w:ascii="Arial" w:hAnsi="Arial" w:cs="Arial"/>
                <w:sz w:val="18"/>
                <w:szCs w:val="18"/>
              </w:rPr>
            </w:pPr>
          </w:p>
        </w:tc>
      </w:tr>
      <w:tr w:rsidR="00D52C21" w:rsidRPr="00AE3EF8" w:rsidTr="00D52C21">
        <w:tc>
          <w:tcPr>
            <w:tcW w:w="2370" w:type="dxa"/>
            <w:tcBorders>
              <w:right w:val="single" w:sz="4" w:space="0" w:color="auto"/>
            </w:tcBorders>
          </w:tcPr>
          <w:p w:rsidR="00391BEE" w:rsidRDefault="00D52C21" w:rsidP="00391BEE">
            <w:pPr>
              <w:spacing w:before="60" w:after="60"/>
              <w:rPr>
                <w:rFonts w:ascii="Arial" w:hAnsi="Arial" w:cs="Arial"/>
                <w:i/>
                <w:sz w:val="18"/>
                <w:szCs w:val="18"/>
                <w:u w:val="single"/>
              </w:rPr>
            </w:pPr>
            <w:r w:rsidRPr="00F10F38">
              <w:rPr>
                <w:rFonts w:ascii="Arial" w:hAnsi="Arial" w:cs="Arial"/>
                <w:i/>
                <w:sz w:val="18"/>
                <w:szCs w:val="18"/>
              </w:rPr>
              <w:t>-Adverse events</w:t>
            </w:r>
          </w:p>
        </w:tc>
        <w:tc>
          <w:tcPr>
            <w:tcW w:w="2693" w:type="dxa"/>
            <w:gridSpan w:val="8"/>
            <w:tcBorders>
              <w:left w:val="single" w:sz="4" w:space="0" w:color="auto"/>
              <w:right w:val="single" w:sz="4" w:space="0" w:color="auto"/>
            </w:tcBorders>
          </w:tcPr>
          <w:p w:rsidR="00391BEE" w:rsidRDefault="00391BEE" w:rsidP="00391BEE">
            <w:pPr>
              <w:spacing w:before="60" w:after="60"/>
              <w:rPr>
                <w:rFonts w:ascii="Arial" w:hAnsi="Arial" w:cs="Arial"/>
                <w:sz w:val="18"/>
                <w:szCs w:val="18"/>
              </w:rPr>
            </w:pPr>
          </w:p>
        </w:tc>
        <w:tc>
          <w:tcPr>
            <w:tcW w:w="3409" w:type="dxa"/>
            <w:gridSpan w:val="3"/>
            <w:tcBorders>
              <w:left w:val="single" w:sz="4" w:space="0" w:color="auto"/>
            </w:tcBorders>
          </w:tcPr>
          <w:p w:rsidR="00391BEE" w:rsidRDefault="00391BEE" w:rsidP="00391BEE">
            <w:pPr>
              <w:spacing w:before="60" w:after="60"/>
              <w:rPr>
                <w:rFonts w:ascii="Arial" w:hAnsi="Arial" w:cs="Arial"/>
                <w:sz w:val="18"/>
                <w:szCs w:val="18"/>
              </w:rPr>
            </w:pPr>
          </w:p>
        </w:tc>
      </w:tr>
      <w:tr w:rsidR="00D52C21" w:rsidRPr="003304A1" w:rsidTr="00D52C21">
        <w:tc>
          <w:tcPr>
            <w:tcW w:w="8472" w:type="dxa"/>
            <w:gridSpan w:val="12"/>
          </w:tcPr>
          <w:p w:rsidR="00391BEE" w:rsidRPr="00391BEE" w:rsidRDefault="00391BEE" w:rsidP="00391BEE">
            <w:pPr>
              <w:spacing w:before="60" w:after="60"/>
              <w:rPr>
                <w:rFonts w:ascii="Arial" w:hAnsi="Arial" w:cs="Arial"/>
                <w:sz w:val="16"/>
                <w:szCs w:val="16"/>
              </w:rPr>
            </w:pPr>
            <w:r w:rsidRPr="00391BEE">
              <w:rPr>
                <w:rFonts w:ascii="Arial" w:hAnsi="Arial" w:cs="Arial"/>
                <w:sz w:val="16"/>
                <w:szCs w:val="16"/>
              </w:rPr>
              <w:t>Abbreviations used in table: CI, confidence interval; n, number of patients; RCT, randomised controlled trial; SD, standard deviation;</w:t>
            </w:r>
          </w:p>
        </w:tc>
      </w:tr>
    </w:tbl>
    <w:p w:rsidR="004D08E1" w:rsidRDefault="004D08E1" w:rsidP="007A28D8">
      <w:pPr>
        <w:pStyle w:val="BMJH4"/>
        <w:rPr>
          <w:b/>
          <w:bCs/>
          <w:iCs/>
        </w:rPr>
      </w:pPr>
    </w:p>
    <w:p w:rsidR="004D08E1" w:rsidRDefault="004D08E1" w:rsidP="004D08E1">
      <w:pPr>
        <w:rPr>
          <w:rFonts w:eastAsia="Calibri"/>
          <w:sz w:val="22"/>
          <w:szCs w:val="22"/>
          <w:lang w:eastAsia="en-US"/>
        </w:rPr>
      </w:pPr>
      <w:r>
        <w:br w:type="page"/>
      </w:r>
    </w:p>
    <w:p w:rsidR="007A28D8" w:rsidRPr="00334521" w:rsidRDefault="007A28D8" w:rsidP="007A28D8">
      <w:pPr>
        <w:pStyle w:val="BMJH4"/>
        <w:rPr>
          <w:b/>
          <w:bCs/>
          <w:iCs/>
        </w:rPr>
      </w:pPr>
      <w:proofErr w:type="gramStart"/>
      <w:r w:rsidRPr="00334521">
        <w:rPr>
          <w:b/>
          <w:bCs/>
          <w:iCs/>
        </w:rPr>
        <w:lastRenderedPageBreak/>
        <w:t xml:space="preserve">Appendix </w:t>
      </w:r>
      <w:r>
        <w:rPr>
          <w:b/>
          <w:bCs/>
          <w:iCs/>
        </w:rPr>
        <w:t>9.3</w:t>
      </w:r>
      <w:r w:rsidRPr="00334521">
        <w:rPr>
          <w:b/>
          <w:bCs/>
          <w:iCs/>
        </w:rPr>
        <w:t>.</w:t>
      </w:r>
      <w:proofErr w:type="gramEnd"/>
      <w:r w:rsidRPr="00334521">
        <w:rPr>
          <w:b/>
          <w:bCs/>
          <w:iCs/>
        </w:rPr>
        <w:t xml:space="preserve"> </w:t>
      </w:r>
      <w:r w:rsidRPr="007A28D8">
        <w:rPr>
          <w:b/>
          <w:bCs/>
          <w:iCs/>
        </w:rPr>
        <w:t>Health economic evaluation study quality assessment</w:t>
      </w:r>
    </w:p>
    <w:p w:rsidR="00B45D05" w:rsidRPr="00334521" w:rsidRDefault="00B45D05" w:rsidP="00334521">
      <w:pPr>
        <w:pStyle w:val="BMJnormal"/>
        <w:spacing w:after="0"/>
        <w:rPr>
          <w:b/>
          <w:i/>
        </w:rPr>
      </w:pPr>
      <w:r w:rsidRPr="00334521">
        <w:rPr>
          <w:b/>
          <w:i/>
        </w:rPr>
        <w:t>NICE reference case</w:t>
      </w:r>
      <w:r w:rsidR="009304C3" w:rsidRPr="008F70C6">
        <w:rPr>
          <w:b/>
          <w:i/>
          <w:vertAlign w:val="superscript"/>
        </w:rPr>
        <w:fldChar w:fldCharType="begin"/>
      </w:r>
      <w:r w:rsidR="008A4306" w:rsidRPr="008F70C6">
        <w:rPr>
          <w:b/>
          <w:i/>
          <w:vertAlign w:val="superscript"/>
        </w:rPr>
        <w:instrText xml:space="preserve"> ADDIN REFMGR.CITE &lt;Refman&gt;&lt;Cite&gt;&lt;Author&gt;National Institute for Health and Clinical Excellence&lt;/Author&gt;&lt;Year&gt;2008&lt;/Year&gt;&lt;RecNum&gt;55&lt;/RecNum&gt;&lt;IDText&gt;Guide to the methods of technology appraisal&lt;/IDText&gt;&lt;MDL Ref_Type="Electronic Citation"&gt;&lt;Ref_Type&gt;Electronic Citation&lt;/Ref_Type&gt;&lt;Ref_ID&gt;55&lt;/Ref_ID&gt;&lt;Title_Primary&gt;Guide to the methods of technology appraisal&lt;/Title_Primary&gt;&lt;Authors_Primary&gt;National Institute for Health and Clinical Excellence&lt;/Authors_Primary&gt;&lt;Date_Primary&gt;2008=Accessed 6th July 2011&lt;/Date_Primary&gt;&lt;Keywords&gt;methods&lt;/Keywords&gt;&lt;Reprint&gt;Not in File&lt;/Reprint&gt;&lt;Periodical&gt;National Institute for Health and Clinical Excellence&lt;/Periodical&gt;&lt;Web_URL&gt;&lt;u&gt;http://www.nice.org.uk/media/B52/A7/TAMethodsGuideUpdatedJune2008.pdf&lt;/u&gt;&lt;/Web_URL&gt;&lt;Web_URL_Link1&gt;&lt;u&gt;http://www.nice.org.uk/media/B52/A7/TAMethodsGuideUpdatedJune2008.pdf&lt;/u&gt;&lt;/Web_URL_Link1&gt;&lt;ZZ_JournalFull&gt;&lt;f name="System"&gt;National Institute for Health and Clinical Excellence&lt;/f&gt;&lt;/ZZ_JournalFull&gt;&lt;ZZ_WorkformID&gt;34&lt;/ZZ_WorkformID&gt;&lt;/MDL&gt;&lt;/Cite&gt;&lt;/Refman&gt;</w:instrText>
      </w:r>
      <w:r w:rsidR="009304C3" w:rsidRPr="008F70C6">
        <w:rPr>
          <w:b/>
          <w:i/>
          <w:vertAlign w:val="superscript"/>
        </w:rPr>
        <w:fldChar w:fldCharType="separate"/>
      </w:r>
      <w:r w:rsidR="00074414" w:rsidRPr="008F70C6">
        <w:rPr>
          <w:b/>
          <w:i/>
          <w:vertAlign w:val="superscript"/>
        </w:rPr>
        <w:t>(11)</w:t>
      </w:r>
      <w:r w:rsidR="009304C3" w:rsidRPr="008F70C6">
        <w:rPr>
          <w:b/>
          <w:i/>
          <w:vertAlign w:val="superscript"/>
        </w:rPr>
        <w:fldChar w:fldCharType="end"/>
      </w:r>
      <w:r w:rsidRPr="00334521" w:rsidDel="00564455">
        <w:rPr>
          <w:b/>
          <w:i/>
        </w:rPr>
        <w:t xml:space="preserve"> </w:t>
      </w: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6"/>
        <w:gridCol w:w="3828"/>
        <w:gridCol w:w="2268"/>
      </w:tblGrid>
      <w:tr w:rsidR="00EF6972" w:rsidRPr="008D10FF" w:rsidTr="001B77B3">
        <w:trPr>
          <w:trHeight w:val="283"/>
          <w:tblHeader/>
        </w:trPr>
        <w:tc>
          <w:tcPr>
            <w:tcW w:w="1293" w:type="pct"/>
            <w:shd w:val="clear" w:color="auto" w:fill="C6D9F1" w:themeFill="text2" w:themeFillTint="33"/>
          </w:tcPr>
          <w:p w:rsidR="00391BEE" w:rsidRDefault="00B45D05" w:rsidP="00391BEE">
            <w:pPr>
              <w:pStyle w:val="BMJCAPTION"/>
              <w:keepNext w:val="0"/>
              <w:spacing w:before="60" w:after="60"/>
              <w:rPr>
                <w:b/>
                <w:caps/>
                <w:sz w:val="18"/>
              </w:rPr>
            </w:pPr>
            <w:r w:rsidRPr="00B45D05">
              <w:rPr>
                <w:b/>
                <w:sz w:val="18"/>
              </w:rPr>
              <w:t>Attribute</w:t>
            </w:r>
          </w:p>
        </w:tc>
        <w:tc>
          <w:tcPr>
            <w:tcW w:w="2328" w:type="pct"/>
            <w:shd w:val="clear" w:color="auto" w:fill="C6D9F1" w:themeFill="text2" w:themeFillTint="33"/>
          </w:tcPr>
          <w:p w:rsidR="00391BEE" w:rsidRDefault="00B45D05" w:rsidP="00391BEE">
            <w:pPr>
              <w:pStyle w:val="LRIGTABLEHEADER"/>
              <w:keepNext w:val="0"/>
              <w:spacing w:before="60" w:after="60"/>
              <w:rPr>
                <w:bCs/>
                <w:caps/>
                <w:sz w:val="18"/>
                <w:szCs w:val="18"/>
              </w:rPr>
            </w:pPr>
            <w:r w:rsidRPr="008D10FF">
              <w:rPr>
                <w:sz w:val="18"/>
                <w:szCs w:val="18"/>
              </w:rPr>
              <w:t>Reference case</w:t>
            </w:r>
          </w:p>
        </w:tc>
        <w:tc>
          <w:tcPr>
            <w:tcW w:w="1379" w:type="pct"/>
            <w:shd w:val="clear" w:color="auto" w:fill="C6D9F1" w:themeFill="text2" w:themeFillTint="33"/>
          </w:tcPr>
          <w:p w:rsidR="00391BEE" w:rsidRDefault="00B45D05" w:rsidP="00391BEE">
            <w:pPr>
              <w:pStyle w:val="LRIGTABLEHEADER"/>
              <w:keepNext w:val="0"/>
              <w:spacing w:before="60" w:after="60"/>
              <w:rPr>
                <w:bCs/>
                <w:caps/>
                <w:sz w:val="18"/>
                <w:szCs w:val="18"/>
              </w:rPr>
            </w:pPr>
            <w:r>
              <w:rPr>
                <w:sz w:val="18"/>
                <w:szCs w:val="18"/>
              </w:rPr>
              <w:t>Reviewer’s comments</w:t>
            </w:r>
          </w:p>
        </w:tc>
      </w:tr>
      <w:tr w:rsidR="00EF6972" w:rsidRPr="008D10FF" w:rsidTr="00A96BA3">
        <w:trPr>
          <w:trHeight w:val="283"/>
        </w:trPr>
        <w:tc>
          <w:tcPr>
            <w:tcW w:w="1293" w:type="pct"/>
            <w:shd w:val="clear" w:color="auto" w:fill="auto"/>
          </w:tcPr>
          <w:p w:rsidR="00391BEE" w:rsidRDefault="00B45D05" w:rsidP="00391BEE">
            <w:pPr>
              <w:pStyle w:val="LRIGTABLETEXT"/>
              <w:keepNext w:val="0"/>
              <w:spacing w:before="60" w:after="60"/>
            </w:pPr>
            <w:r w:rsidRPr="008D10FF">
              <w:t>Decision problem</w:t>
            </w:r>
          </w:p>
        </w:tc>
        <w:tc>
          <w:tcPr>
            <w:tcW w:w="2328" w:type="pct"/>
            <w:shd w:val="clear" w:color="auto" w:fill="auto"/>
          </w:tcPr>
          <w:p w:rsidR="00391BEE" w:rsidRDefault="00B45D05" w:rsidP="00391BEE">
            <w:pPr>
              <w:pStyle w:val="LRIGTABLETEXT"/>
              <w:keepNext w:val="0"/>
              <w:spacing w:before="60" w:after="60"/>
            </w:pPr>
            <w:r w:rsidRPr="008D10FF">
              <w:t>The scope developed by NICE</w:t>
            </w:r>
          </w:p>
        </w:tc>
        <w:tc>
          <w:tcPr>
            <w:tcW w:w="1379" w:type="pct"/>
            <w:shd w:val="clear" w:color="auto" w:fill="auto"/>
          </w:tcPr>
          <w:p w:rsidR="00391BEE" w:rsidRDefault="00391BEE" w:rsidP="00391BEE">
            <w:pPr>
              <w:pStyle w:val="LRIGTABLETEXT"/>
              <w:keepNext w:val="0"/>
              <w:spacing w:before="60" w:after="60"/>
            </w:pPr>
          </w:p>
        </w:tc>
      </w:tr>
      <w:tr w:rsidR="00EF6972" w:rsidRPr="008D10FF" w:rsidTr="00A96BA3">
        <w:trPr>
          <w:trHeight w:val="283"/>
        </w:trPr>
        <w:tc>
          <w:tcPr>
            <w:tcW w:w="1293" w:type="pct"/>
            <w:shd w:val="clear" w:color="auto" w:fill="auto"/>
          </w:tcPr>
          <w:p w:rsidR="00391BEE" w:rsidRDefault="00B45D05" w:rsidP="00391BEE">
            <w:pPr>
              <w:pStyle w:val="LRIGTABLETEXT"/>
              <w:keepNext w:val="0"/>
              <w:spacing w:before="60" w:after="60"/>
            </w:pPr>
            <w:r w:rsidRPr="008D10FF">
              <w:t>Comparator(s)</w:t>
            </w:r>
          </w:p>
        </w:tc>
        <w:tc>
          <w:tcPr>
            <w:tcW w:w="2328" w:type="pct"/>
            <w:shd w:val="clear" w:color="auto" w:fill="auto"/>
          </w:tcPr>
          <w:p w:rsidR="00391BEE" w:rsidRDefault="00B45D05" w:rsidP="00391BEE">
            <w:pPr>
              <w:pStyle w:val="LRIGTABLETEXT"/>
              <w:keepNext w:val="0"/>
              <w:spacing w:before="60" w:after="60"/>
            </w:pPr>
            <w:r w:rsidRPr="008D10FF">
              <w:t>Alternative therapies routinely used in the NHS</w:t>
            </w:r>
          </w:p>
        </w:tc>
        <w:tc>
          <w:tcPr>
            <w:tcW w:w="1379" w:type="pct"/>
            <w:shd w:val="clear" w:color="auto" w:fill="auto"/>
          </w:tcPr>
          <w:p w:rsidR="00391BEE" w:rsidRDefault="00391BEE" w:rsidP="00391BEE">
            <w:pPr>
              <w:pStyle w:val="LRIGTABLETEXT"/>
              <w:keepNext w:val="0"/>
              <w:spacing w:before="60" w:after="60"/>
            </w:pPr>
          </w:p>
        </w:tc>
      </w:tr>
      <w:tr w:rsidR="00EF6972" w:rsidRPr="008D10FF" w:rsidTr="00A96BA3">
        <w:trPr>
          <w:trHeight w:val="283"/>
        </w:trPr>
        <w:tc>
          <w:tcPr>
            <w:tcW w:w="1293" w:type="pct"/>
            <w:shd w:val="clear" w:color="auto" w:fill="auto"/>
          </w:tcPr>
          <w:p w:rsidR="00391BEE" w:rsidRDefault="00B45D05" w:rsidP="00391BEE">
            <w:pPr>
              <w:pStyle w:val="LRIGTABLETEXT"/>
              <w:keepNext w:val="0"/>
              <w:spacing w:before="60" w:after="60"/>
            </w:pPr>
            <w:r w:rsidRPr="008D10FF">
              <w:t>Perspective costs</w:t>
            </w:r>
          </w:p>
        </w:tc>
        <w:tc>
          <w:tcPr>
            <w:tcW w:w="2328" w:type="pct"/>
            <w:shd w:val="clear" w:color="auto" w:fill="auto"/>
          </w:tcPr>
          <w:p w:rsidR="00391BEE" w:rsidRDefault="00B45D05" w:rsidP="00391BEE">
            <w:pPr>
              <w:pStyle w:val="LRIGTABLETEXT"/>
              <w:keepNext w:val="0"/>
              <w:spacing w:before="60" w:after="60"/>
            </w:pPr>
            <w:r w:rsidRPr="008D10FF">
              <w:t xml:space="preserve">NHS and Personal Social Services </w:t>
            </w:r>
          </w:p>
        </w:tc>
        <w:tc>
          <w:tcPr>
            <w:tcW w:w="1379" w:type="pct"/>
            <w:shd w:val="clear" w:color="auto" w:fill="auto"/>
          </w:tcPr>
          <w:p w:rsidR="00391BEE" w:rsidRDefault="00391BEE" w:rsidP="00391BEE">
            <w:pPr>
              <w:pStyle w:val="LRIGTABLETEXT"/>
              <w:keepNext w:val="0"/>
              <w:spacing w:before="60" w:after="60"/>
            </w:pPr>
          </w:p>
        </w:tc>
      </w:tr>
      <w:tr w:rsidR="00EF6972" w:rsidRPr="008D10FF" w:rsidTr="00A96BA3">
        <w:trPr>
          <w:trHeight w:val="283"/>
        </w:trPr>
        <w:tc>
          <w:tcPr>
            <w:tcW w:w="1293" w:type="pct"/>
            <w:shd w:val="clear" w:color="auto" w:fill="auto"/>
          </w:tcPr>
          <w:p w:rsidR="00391BEE" w:rsidRDefault="00B45D05" w:rsidP="00391BEE">
            <w:pPr>
              <w:pStyle w:val="LRIGTABLETEXT"/>
              <w:keepNext w:val="0"/>
              <w:spacing w:before="60" w:after="60"/>
            </w:pPr>
            <w:r w:rsidRPr="008D10FF">
              <w:t>Perspective benefits</w:t>
            </w:r>
          </w:p>
        </w:tc>
        <w:tc>
          <w:tcPr>
            <w:tcW w:w="2328" w:type="pct"/>
            <w:shd w:val="clear" w:color="auto" w:fill="auto"/>
          </w:tcPr>
          <w:p w:rsidR="00391BEE" w:rsidRDefault="00B45D05" w:rsidP="00391BEE">
            <w:pPr>
              <w:pStyle w:val="LRIGTABLETEXT"/>
              <w:keepNext w:val="0"/>
              <w:spacing w:before="60" w:after="60"/>
            </w:pPr>
            <w:r w:rsidRPr="008D10FF">
              <w:t>All health effects on individuals</w:t>
            </w:r>
          </w:p>
        </w:tc>
        <w:tc>
          <w:tcPr>
            <w:tcW w:w="1379" w:type="pct"/>
            <w:shd w:val="clear" w:color="auto" w:fill="auto"/>
          </w:tcPr>
          <w:p w:rsidR="00391BEE" w:rsidRDefault="00391BEE" w:rsidP="00391BEE">
            <w:pPr>
              <w:pStyle w:val="LRIGTABLETEXT"/>
              <w:keepNext w:val="0"/>
              <w:spacing w:before="60" w:after="60"/>
            </w:pPr>
          </w:p>
        </w:tc>
      </w:tr>
      <w:tr w:rsidR="00EF6972" w:rsidRPr="008D10FF" w:rsidTr="00A96BA3">
        <w:trPr>
          <w:trHeight w:val="283"/>
        </w:trPr>
        <w:tc>
          <w:tcPr>
            <w:tcW w:w="1293" w:type="pct"/>
            <w:shd w:val="clear" w:color="auto" w:fill="auto"/>
          </w:tcPr>
          <w:p w:rsidR="00391BEE" w:rsidRDefault="00B45D05" w:rsidP="00391BEE">
            <w:pPr>
              <w:pStyle w:val="LRIGTABLETEXT"/>
              <w:keepNext w:val="0"/>
              <w:spacing w:before="60" w:after="60"/>
            </w:pPr>
            <w:r w:rsidRPr="008D10FF">
              <w:t>Form of economic evaluation</w:t>
            </w:r>
          </w:p>
        </w:tc>
        <w:tc>
          <w:tcPr>
            <w:tcW w:w="2328" w:type="pct"/>
            <w:shd w:val="clear" w:color="auto" w:fill="auto"/>
          </w:tcPr>
          <w:p w:rsidR="00391BEE" w:rsidRDefault="00B45D05" w:rsidP="00391BEE">
            <w:pPr>
              <w:pStyle w:val="LRIGTABLETEXT"/>
              <w:keepNext w:val="0"/>
              <w:spacing w:before="60" w:after="60"/>
            </w:pPr>
            <w:r w:rsidRPr="008D10FF">
              <w:t>Cost-utility analysis</w:t>
            </w:r>
          </w:p>
        </w:tc>
        <w:tc>
          <w:tcPr>
            <w:tcW w:w="1379" w:type="pct"/>
            <w:shd w:val="clear" w:color="auto" w:fill="auto"/>
          </w:tcPr>
          <w:p w:rsidR="00391BEE" w:rsidRDefault="00391BEE" w:rsidP="00391BEE">
            <w:pPr>
              <w:pStyle w:val="LRIGTABLETEXT"/>
              <w:keepNext w:val="0"/>
              <w:spacing w:before="60" w:after="60"/>
            </w:pPr>
          </w:p>
        </w:tc>
      </w:tr>
      <w:tr w:rsidR="00EF6972" w:rsidRPr="008D10FF" w:rsidTr="00A96BA3">
        <w:trPr>
          <w:trHeight w:val="283"/>
        </w:trPr>
        <w:tc>
          <w:tcPr>
            <w:tcW w:w="1293" w:type="pct"/>
            <w:shd w:val="clear" w:color="auto" w:fill="auto"/>
          </w:tcPr>
          <w:p w:rsidR="00391BEE" w:rsidRDefault="00B45D05" w:rsidP="00391BEE">
            <w:pPr>
              <w:pStyle w:val="LRIGTABLETEXT"/>
              <w:keepNext w:val="0"/>
              <w:spacing w:before="60" w:after="60"/>
            </w:pPr>
            <w:r w:rsidRPr="008D10FF">
              <w:t>Time horizon</w:t>
            </w:r>
          </w:p>
        </w:tc>
        <w:tc>
          <w:tcPr>
            <w:tcW w:w="2328" w:type="pct"/>
            <w:shd w:val="clear" w:color="auto" w:fill="auto"/>
          </w:tcPr>
          <w:p w:rsidR="00391BEE" w:rsidRDefault="00B45D05" w:rsidP="00391BEE">
            <w:pPr>
              <w:pStyle w:val="LRIGTABLETEXT"/>
              <w:keepNext w:val="0"/>
              <w:spacing w:before="60" w:after="60"/>
            </w:pPr>
            <w:r w:rsidRPr="008D10FF">
              <w:t>Sufficient to capture differences in costs and outcomes</w:t>
            </w:r>
          </w:p>
        </w:tc>
        <w:tc>
          <w:tcPr>
            <w:tcW w:w="1379" w:type="pct"/>
            <w:shd w:val="clear" w:color="auto" w:fill="auto"/>
          </w:tcPr>
          <w:p w:rsidR="00391BEE" w:rsidRDefault="00391BEE" w:rsidP="00391BEE">
            <w:pPr>
              <w:pStyle w:val="LRIGTABLETEXT"/>
              <w:keepNext w:val="0"/>
              <w:spacing w:before="60" w:after="60"/>
            </w:pPr>
          </w:p>
        </w:tc>
      </w:tr>
      <w:tr w:rsidR="00EF6972" w:rsidRPr="008D10FF" w:rsidTr="00A96BA3">
        <w:trPr>
          <w:trHeight w:val="283"/>
        </w:trPr>
        <w:tc>
          <w:tcPr>
            <w:tcW w:w="1293" w:type="pct"/>
            <w:shd w:val="clear" w:color="auto" w:fill="auto"/>
          </w:tcPr>
          <w:p w:rsidR="00391BEE" w:rsidRDefault="00B45D05" w:rsidP="00391BEE">
            <w:pPr>
              <w:pStyle w:val="LRIGTABLETEXT"/>
              <w:keepNext w:val="0"/>
              <w:spacing w:before="60" w:after="60"/>
            </w:pPr>
            <w:r w:rsidRPr="008D10FF">
              <w:t>Synthesis of evidence on outcomes</w:t>
            </w:r>
          </w:p>
        </w:tc>
        <w:tc>
          <w:tcPr>
            <w:tcW w:w="2328" w:type="pct"/>
            <w:shd w:val="clear" w:color="auto" w:fill="auto"/>
          </w:tcPr>
          <w:p w:rsidR="00391BEE" w:rsidRDefault="00B45D05" w:rsidP="00391BEE">
            <w:pPr>
              <w:pStyle w:val="LRIGTABLETEXT"/>
              <w:keepNext w:val="0"/>
              <w:spacing w:before="60" w:after="60"/>
            </w:pPr>
            <w:r w:rsidRPr="008D10FF">
              <w:t>Systematic review</w:t>
            </w:r>
          </w:p>
        </w:tc>
        <w:tc>
          <w:tcPr>
            <w:tcW w:w="1379" w:type="pct"/>
            <w:shd w:val="clear" w:color="auto" w:fill="auto"/>
          </w:tcPr>
          <w:p w:rsidR="00391BEE" w:rsidRDefault="00391BEE" w:rsidP="00391BEE">
            <w:pPr>
              <w:pStyle w:val="LRIGTABLETEXT"/>
              <w:keepNext w:val="0"/>
              <w:spacing w:before="60" w:after="60"/>
            </w:pPr>
          </w:p>
        </w:tc>
      </w:tr>
      <w:tr w:rsidR="00EF6972" w:rsidRPr="008D10FF" w:rsidTr="00A96BA3">
        <w:trPr>
          <w:trHeight w:val="283"/>
        </w:trPr>
        <w:tc>
          <w:tcPr>
            <w:tcW w:w="1293" w:type="pct"/>
            <w:shd w:val="clear" w:color="auto" w:fill="auto"/>
          </w:tcPr>
          <w:p w:rsidR="00391BEE" w:rsidRDefault="00B45D05" w:rsidP="00391BEE">
            <w:pPr>
              <w:pStyle w:val="LRIGTABLETEXT"/>
              <w:keepNext w:val="0"/>
              <w:spacing w:before="60" w:after="60"/>
            </w:pPr>
            <w:r w:rsidRPr="008D10FF">
              <w:t>Outcome measure</w:t>
            </w:r>
          </w:p>
        </w:tc>
        <w:tc>
          <w:tcPr>
            <w:tcW w:w="2328" w:type="pct"/>
            <w:shd w:val="clear" w:color="auto" w:fill="auto"/>
          </w:tcPr>
          <w:p w:rsidR="00391BEE" w:rsidRDefault="00B45D05" w:rsidP="00391BEE">
            <w:pPr>
              <w:pStyle w:val="LRIGTABLETEXT"/>
              <w:keepNext w:val="0"/>
              <w:spacing w:before="60" w:after="60"/>
            </w:pPr>
            <w:r w:rsidRPr="008D10FF">
              <w:t xml:space="preserve">QALYs </w:t>
            </w:r>
          </w:p>
        </w:tc>
        <w:tc>
          <w:tcPr>
            <w:tcW w:w="1379" w:type="pct"/>
            <w:shd w:val="clear" w:color="auto" w:fill="auto"/>
          </w:tcPr>
          <w:p w:rsidR="00391BEE" w:rsidRDefault="00391BEE" w:rsidP="00391BEE">
            <w:pPr>
              <w:pStyle w:val="LRIGTABLETEXT"/>
              <w:keepNext w:val="0"/>
              <w:spacing w:before="60" w:after="60"/>
            </w:pPr>
          </w:p>
        </w:tc>
      </w:tr>
      <w:tr w:rsidR="00EF6972" w:rsidRPr="008D10FF" w:rsidTr="00A96BA3">
        <w:trPr>
          <w:trHeight w:val="283"/>
        </w:trPr>
        <w:tc>
          <w:tcPr>
            <w:tcW w:w="1293" w:type="pct"/>
            <w:shd w:val="clear" w:color="auto" w:fill="auto"/>
          </w:tcPr>
          <w:p w:rsidR="00391BEE" w:rsidRDefault="00B45D05" w:rsidP="00391BEE">
            <w:pPr>
              <w:pStyle w:val="LRIGTABLETEXT"/>
              <w:keepNext w:val="0"/>
              <w:spacing w:before="60" w:after="60"/>
            </w:pPr>
            <w:r w:rsidRPr="008D10FF">
              <w:t>Health states for QALY</w:t>
            </w:r>
          </w:p>
        </w:tc>
        <w:tc>
          <w:tcPr>
            <w:tcW w:w="2328" w:type="pct"/>
            <w:shd w:val="clear" w:color="auto" w:fill="auto"/>
          </w:tcPr>
          <w:p w:rsidR="00391BEE" w:rsidRDefault="00B45D05" w:rsidP="00391BEE">
            <w:pPr>
              <w:pStyle w:val="LRIGTABLETEXT"/>
              <w:keepNext w:val="0"/>
              <w:spacing w:before="60" w:after="60"/>
            </w:pPr>
            <w:r w:rsidRPr="008D10FF">
              <w:t>Described using a standardised and validated instrument</w:t>
            </w:r>
          </w:p>
        </w:tc>
        <w:tc>
          <w:tcPr>
            <w:tcW w:w="1379" w:type="pct"/>
            <w:shd w:val="clear" w:color="auto" w:fill="auto"/>
          </w:tcPr>
          <w:p w:rsidR="00391BEE" w:rsidRDefault="00391BEE" w:rsidP="00391BEE">
            <w:pPr>
              <w:pStyle w:val="LRIGTABLETEXT"/>
              <w:keepNext w:val="0"/>
              <w:spacing w:before="60" w:after="60"/>
            </w:pPr>
          </w:p>
        </w:tc>
      </w:tr>
      <w:tr w:rsidR="00EF6972" w:rsidRPr="008D10FF" w:rsidTr="00A96BA3">
        <w:trPr>
          <w:trHeight w:val="283"/>
        </w:trPr>
        <w:tc>
          <w:tcPr>
            <w:tcW w:w="1293" w:type="pct"/>
            <w:shd w:val="clear" w:color="auto" w:fill="auto"/>
          </w:tcPr>
          <w:p w:rsidR="00391BEE" w:rsidRDefault="00B45D05" w:rsidP="00391BEE">
            <w:pPr>
              <w:pStyle w:val="LRIGTABLETEXT"/>
              <w:keepNext w:val="0"/>
              <w:spacing w:before="60" w:after="60"/>
            </w:pPr>
            <w:r w:rsidRPr="008D10FF">
              <w:t>Benefit valuation</w:t>
            </w:r>
          </w:p>
        </w:tc>
        <w:tc>
          <w:tcPr>
            <w:tcW w:w="2328" w:type="pct"/>
            <w:shd w:val="clear" w:color="auto" w:fill="auto"/>
          </w:tcPr>
          <w:p w:rsidR="00391BEE" w:rsidRDefault="00B45D05" w:rsidP="00391BEE">
            <w:pPr>
              <w:pStyle w:val="LRIGTABLETEXT"/>
              <w:keepNext w:val="0"/>
              <w:spacing w:before="60" w:after="60"/>
            </w:pPr>
            <w:r w:rsidRPr="008D10FF">
              <w:t>Time-trade off or standard gamble</w:t>
            </w:r>
          </w:p>
        </w:tc>
        <w:tc>
          <w:tcPr>
            <w:tcW w:w="1379" w:type="pct"/>
            <w:shd w:val="clear" w:color="auto" w:fill="auto"/>
          </w:tcPr>
          <w:p w:rsidR="00391BEE" w:rsidRDefault="00391BEE" w:rsidP="00391BEE">
            <w:pPr>
              <w:pStyle w:val="LRIGTABLETEXT"/>
              <w:keepNext w:val="0"/>
              <w:spacing w:before="60" w:after="60"/>
            </w:pPr>
          </w:p>
        </w:tc>
      </w:tr>
      <w:tr w:rsidR="00EF6972" w:rsidRPr="008D10FF" w:rsidTr="00A96BA3">
        <w:trPr>
          <w:trHeight w:val="283"/>
        </w:trPr>
        <w:tc>
          <w:tcPr>
            <w:tcW w:w="1293" w:type="pct"/>
            <w:shd w:val="clear" w:color="auto" w:fill="auto"/>
          </w:tcPr>
          <w:p w:rsidR="00391BEE" w:rsidRDefault="00B45D05" w:rsidP="00391BEE">
            <w:pPr>
              <w:pStyle w:val="LRIGTABLETEXT"/>
              <w:keepNext w:val="0"/>
              <w:spacing w:before="60" w:after="60"/>
            </w:pPr>
            <w:r w:rsidRPr="008D10FF">
              <w:t xml:space="preserve">Source of preference data for valuation of changes in </w:t>
            </w:r>
            <w:proofErr w:type="spellStart"/>
            <w:r w:rsidRPr="008D10FF">
              <w:t>HRQoL</w:t>
            </w:r>
            <w:proofErr w:type="spellEnd"/>
            <w:r w:rsidRPr="008D10FF">
              <w:t xml:space="preserve"> </w:t>
            </w:r>
          </w:p>
        </w:tc>
        <w:tc>
          <w:tcPr>
            <w:tcW w:w="2328" w:type="pct"/>
            <w:shd w:val="clear" w:color="auto" w:fill="auto"/>
          </w:tcPr>
          <w:p w:rsidR="00391BEE" w:rsidRDefault="00B45D05" w:rsidP="00391BEE">
            <w:pPr>
              <w:pStyle w:val="LRIGTABLETEXT"/>
              <w:keepNext w:val="0"/>
              <w:spacing w:before="60" w:after="60"/>
            </w:pPr>
            <w:r w:rsidRPr="008D10FF">
              <w:t>Representative sample of the public</w:t>
            </w:r>
          </w:p>
        </w:tc>
        <w:tc>
          <w:tcPr>
            <w:tcW w:w="1379" w:type="pct"/>
            <w:shd w:val="clear" w:color="auto" w:fill="auto"/>
          </w:tcPr>
          <w:p w:rsidR="00391BEE" w:rsidRDefault="00391BEE" w:rsidP="00391BEE">
            <w:pPr>
              <w:pStyle w:val="BMJTABLETEXT"/>
              <w:keepNext w:val="0"/>
              <w:spacing w:before="60" w:after="60"/>
            </w:pPr>
          </w:p>
        </w:tc>
      </w:tr>
      <w:tr w:rsidR="00EF6972" w:rsidRPr="008D10FF" w:rsidTr="00A96BA3">
        <w:trPr>
          <w:trHeight w:val="283"/>
        </w:trPr>
        <w:tc>
          <w:tcPr>
            <w:tcW w:w="1293" w:type="pct"/>
            <w:shd w:val="clear" w:color="auto" w:fill="auto"/>
          </w:tcPr>
          <w:p w:rsidR="00391BEE" w:rsidRDefault="00B45D05" w:rsidP="00391BEE">
            <w:pPr>
              <w:pStyle w:val="LRIGTABLETEXT"/>
              <w:keepNext w:val="0"/>
              <w:spacing w:before="60" w:after="60"/>
            </w:pPr>
            <w:r w:rsidRPr="008D10FF">
              <w:t>Discount rate</w:t>
            </w:r>
          </w:p>
        </w:tc>
        <w:tc>
          <w:tcPr>
            <w:tcW w:w="2328" w:type="pct"/>
            <w:shd w:val="clear" w:color="auto" w:fill="auto"/>
          </w:tcPr>
          <w:p w:rsidR="00391BEE" w:rsidRDefault="00B45D05" w:rsidP="00391BEE">
            <w:pPr>
              <w:pStyle w:val="LRIGTABLETEXT"/>
              <w:keepNext w:val="0"/>
              <w:spacing w:before="60" w:after="60"/>
            </w:pPr>
            <w:r w:rsidRPr="008D10FF">
              <w:t xml:space="preserve">An annual rate of 3.5% on both costs and health effects </w:t>
            </w:r>
          </w:p>
        </w:tc>
        <w:tc>
          <w:tcPr>
            <w:tcW w:w="1379" w:type="pct"/>
            <w:shd w:val="clear" w:color="auto" w:fill="auto"/>
          </w:tcPr>
          <w:p w:rsidR="00391BEE" w:rsidRDefault="00391BEE" w:rsidP="00391BEE">
            <w:pPr>
              <w:pStyle w:val="LRIGTABLETEXT"/>
              <w:keepNext w:val="0"/>
              <w:spacing w:before="60" w:after="60"/>
            </w:pPr>
          </w:p>
        </w:tc>
      </w:tr>
      <w:tr w:rsidR="00EF6972" w:rsidRPr="008D10FF" w:rsidTr="00A96BA3">
        <w:trPr>
          <w:trHeight w:val="283"/>
        </w:trPr>
        <w:tc>
          <w:tcPr>
            <w:tcW w:w="1293" w:type="pct"/>
            <w:shd w:val="clear" w:color="auto" w:fill="auto"/>
          </w:tcPr>
          <w:p w:rsidR="00391BEE" w:rsidRDefault="00B45D05" w:rsidP="00391BEE">
            <w:pPr>
              <w:pStyle w:val="LRIGTABLETEXT"/>
              <w:keepNext w:val="0"/>
              <w:spacing w:before="60" w:after="60"/>
            </w:pPr>
            <w:r w:rsidRPr="008D10FF">
              <w:t xml:space="preserve">Equity </w:t>
            </w:r>
          </w:p>
        </w:tc>
        <w:tc>
          <w:tcPr>
            <w:tcW w:w="2328" w:type="pct"/>
            <w:shd w:val="clear" w:color="auto" w:fill="auto"/>
          </w:tcPr>
          <w:p w:rsidR="00391BEE" w:rsidRDefault="00B45D05" w:rsidP="00391BEE">
            <w:pPr>
              <w:pStyle w:val="LRIGTABLETEXT"/>
              <w:keepNext w:val="0"/>
              <w:spacing w:before="60" w:after="60"/>
            </w:pPr>
            <w:r w:rsidRPr="008D10FF">
              <w:t xml:space="preserve">An additional QALY has the same weight regardless of the other characteristics of the individuals receiving the health benefit </w:t>
            </w:r>
          </w:p>
        </w:tc>
        <w:tc>
          <w:tcPr>
            <w:tcW w:w="1379" w:type="pct"/>
            <w:shd w:val="clear" w:color="auto" w:fill="auto"/>
          </w:tcPr>
          <w:p w:rsidR="00391BEE" w:rsidRDefault="00391BEE" w:rsidP="00391BEE">
            <w:pPr>
              <w:pStyle w:val="LRIGTABLETEXT"/>
              <w:keepNext w:val="0"/>
              <w:spacing w:before="60" w:after="60"/>
            </w:pPr>
          </w:p>
        </w:tc>
      </w:tr>
      <w:tr w:rsidR="00EF6972" w:rsidRPr="008D10FF" w:rsidTr="00A96BA3">
        <w:trPr>
          <w:trHeight w:val="283"/>
        </w:trPr>
        <w:tc>
          <w:tcPr>
            <w:tcW w:w="1293" w:type="pct"/>
            <w:shd w:val="clear" w:color="auto" w:fill="auto"/>
          </w:tcPr>
          <w:p w:rsidR="00391BEE" w:rsidRDefault="00B45D05" w:rsidP="00391BEE">
            <w:pPr>
              <w:pStyle w:val="LRIGTABLETEXT"/>
              <w:keepNext w:val="0"/>
              <w:spacing w:before="60" w:after="60"/>
            </w:pPr>
            <w:r w:rsidRPr="008D10FF">
              <w:br w:type="page"/>
              <w:t>Sensitivity analysis</w:t>
            </w:r>
          </w:p>
        </w:tc>
        <w:tc>
          <w:tcPr>
            <w:tcW w:w="2328" w:type="pct"/>
            <w:shd w:val="clear" w:color="auto" w:fill="auto"/>
          </w:tcPr>
          <w:p w:rsidR="00391BEE" w:rsidRDefault="00B45D05" w:rsidP="00391BEE">
            <w:pPr>
              <w:pStyle w:val="LRIGTABLETEXT"/>
              <w:keepNext w:val="0"/>
              <w:spacing w:before="60" w:after="60"/>
            </w:pPr>
            <w:r w:rsidRPr="008D10FF">
              <w:t xml:space="preserve">Probabilistic sensitivity analysis </w:t>
            </w:r>
          </w:p>
        </w:tc>
        <w:tc>
          <w:tcPr>
            <w:tcW w:w="1379" w:type="pct"/>
            <w:shd w:val="clear" w:color="auto" w:fill="auto"/>
          </w:tcPr>
          <w:p w:rsidR="00391BEE" w:rsidRDefault="00391BEE" w:rsidP="00391BEE">
            <w:pPr>
              <w:pStyle w:val="LRIGTABLETEXT"/>
              <w:keepNext w:val="0"/>
              <w:spacing w:before="60" w:after="60"/>
            </w:pPr>
          </w:p>
        </w:tc>
      </w:tr>
      <w:tr w:rsidR="00B45D05" w:rsidRPr="003304A1" w:rsidTr="00A96BA3">
        <w:trPr>
          <w:trHeight w:val="283"/>
        </w:trPr>
        <w:tc>
          <w:tcPr>
            <w:tcW w:w="5000" w:type="pct"/>
            <w:gridSpan w:val="3"/>
            <w:shd w:val="clear" w:color="auto" w:fill="auto"/>
          </w:tcPr>
          <w:p w:rsidR="00391BEE" w:rsidRPr="00391BEE" w:rsidRDefault="00A00244" w:rsidP="00391BEE">
            <w:pPr>
              <w:pStyle w:val="LRIGTABLETEXT"/>
              <w:keepNext w:val="0"/>
              <w:spacing w:before="60" w:after="60"/>
              <w:rPr>
                <w:sz w:val="16"/>
                <w:szCs w:val="16"/>
              </w:rPr>
            </w:pPr>
            <w:r>
              <w:rPr>
                <w:sz w:val="16"/>
                <w:szCs w:val="16"/>
              </w:rPr>
              <w:t>Abbreviations used in table: NICE, National Institute for Health and Clinical Excellence; NHS, National Health Service; QALY, quality adjusted life year.</w:t>
            </w:r>
          </w:p>
        </w:tc>
      </w:tr>
    </w:tbl>
    <w:p w:rsidR="00867F20" w:rsidRDefault="00867F20" w:rsidP="00334521">
      <w:pPr>
        <w:pStyle w:val="BMJnormal"/>
        <w:spacing w:after="0"/>
        <w:rPr>
          <w:b/>
          <w:i/>
        </w:rPr>
      </w:pPr>
      <w:bookmarkStart w:id="2" w:name="_Ref297190710"/>
    </w:p>
    <w:bookmarkEnd w:id="2"/>
    <w:p w:rsidR="00B45D05" w:rsidRPr="0092146E" w:rsidRDefault="00B45D05" w:rsidP="00334521">
      <w:pPr>
        <w:pStyle w:val="BMJnormal"/>
        <w:spacing w:after="0"/>
        <w:rPr>
          <w:b/>
          <w:i/>
        </w:rPr>
      </w:pPr>
      <w:r w:rsidRPr="0092146E">
        <w:rPr>
          <w:b/>
          <w:i/>
        </w:rPr>
        <w:t>Philips checklist</w:t>
      </w:r>
      <w:r w:rsidR="009304C3" w:rsidRPr="008F70C6">
        <w:rPr>
          <w:b/>
          <w:i/>
          <w:vertAlign w:val="superscript"/>
        </w:rPr>
        <w:fldChar w:fldCharType="begin"/>
      </w:r>
      <w:r w:rsidR="008A4306" w:rsidRPr="008F70C6">
        <w:rPr>
          <w:b/>
          <w:i/>
          <w:vertAlign w:val="superscript"/>
        </w:rPr>
        <w:instrText xml:space="preserve"> ADDIN REFMGR.CITE &lt;Refman&gt;&lt;Cite&gt;&lt;Author&gt;Philips&lt;/Author&gt;&lt;Year&gt;2004&lt;/Year&gt;&lt;RecNum&gt;79&lt;/RecNum&gt;&lt;IDText&gt;Review of guidelines for good practice in decision-analytic modelling in health technology assessment&lt;/IDText&gt;&lt;MDL Ref_Type="Journal"&gt;&lt;Ref_Type&gt;Journal&lt;/Ref_Type&gt;&lt;Ref_ID&gt;79&lt;/Ref_ID&gt;&lt;Title_Primary&gt;Review of guidelines for good practice in decision-analytic modelling in health technology assessment&lt;/Title_Primary&gt;&lt;Authors_Primary&gt;Philips,Z.&lt;/Authors_Primary&gt;&lt;Authors_Primary&gt;Ginnelly,L.&lt;/Authors_Primary&gt;&lt;Authors_Primary&gt;Sculpher,M.&lt;/Authors_Primary&gt;&lt;Authors_Primary&gt;Claxton,K.&lt;/Authors_Primary&gt;&lt;Authors_Primary&gt;Golder,S.&lt;/Authors_Primary&gt;&lt;Authors_Primary&gt;Riemsma,R.&lt;/Authors_Primary&gt;&lt;Authors_Primary&gt;Woolacoot,N.&lt;/Authors_Primary&gt;&lt;Authors_Primary&gt;Glanville,J.&lt;/Authors_Primary&gt;&lt;Date_Primary&gt;2004/9&lt;/Date_Primary&gt;&lt;Keywords&gt;Benchmarking&lt;/Keywords&gt;&lt;Keywords&gt;Bias (Epidemiology)&lt;/Keywords&gt;&lt;Keywords&gt;Cost-Benefit Analysis&lt;/Keywords&gt;&lt;Keywords&gt;Decision Support Techniques&lt;/Keywords&gt;&lt;Keywords&gt;economics&lt;/Keywords&gt;&lt;Keywords&gt;Evidence-Based Medicine&lt;/Keywords&gt;&lt;Keywords&gt;Guidelines as Topic&lt;/Keywords&gt;&lt;Keywords&gt;Humans&lt;/Keywords&gt;&lt;Keywords&gt;Life Expectancy&lt;/Keywords&gt;&lt;Keywords&gt;methods&lt;/Keywords&gt;&lt;Keywords&gt;Quality of Life&lt;/Keywords&gt;&lt;Keywords&gt;Randomized Controlled Trials as Topic&lt;/Keywords&gt;&lt;Keywords&gt;Research&lt;/Keywords&gt;&lt;Keywords&gt;Research Design&lt;/Keywords&gt;&lt;Keywords&gt;Risk&lt;/Keywords&gt;&lt;Keywords&gt;Risk Factors&lt;/Keywords&gt;&lt;Keywords&gt;Sensitivity and Specificity&lt;/Keywords&gt;&lt;Keywords&gt;standards&lt;/Keywords&gt;&lt;Keywords&gt;Survival Analysis&lt;/Keywords&gt;&lt;Keywords&gt;Technology Assessment,Biomedical&lt;/Keywords&gt;&lt;Keywords&gt;Treatment Outcome&lt;/Keywords&gt;&lt;Reprint&gt;Not in File&lt;/Reprint&gt;&lt;Start_Page&gt;iii&lt;/Start_Page&gt;&lt;End_Page&gt;xi, 1&lt;/End_Page&gt;&lt;Periodical&gt;Health Technol.Assess.&lt;/Periodical&gt;&lt;Volume&gt;8&lt;/Volume&gt;&lt;Issue&gt;36&lt;/Issue&gt;&lt;Address&gt;Centre for Health Economics, University of York, UK&lt;/Address&gt;&lt;Web_URL&gt;PM:15361314&lt;/Web_URL&gt;&lt;ZZ_JournalStdAbbrev&gt;&lt;f name="System"&gt;Health Technol.Assess.&lt;/f&gt;&lt;/ZZ_JournalStdAbbrev&gt;&lt;ZZ_WorkformID&gt;1&lt;/ZZ_WorkformID&gt;&lt;/MDL&gt;&lt;/Cite&gt;&lt;/Refman&gt;</w:instrText>
      </w:r>
      <w:r w:rsidR="009304C3" w:rsidRPr="008F70C6">
        <w:rPr>
          <w:b/>
          <w:i/>
          <w:vertAlign w:val="superscript"/>
        </w:rPr>
        <w:fldChar w:fldCharType="separate"/>
      </w:r>
      <w:r w:rsidR="008A4306" w:rsidRPr="008F70C6">
        <w:rPr>
          <w:b/>
          <w:i/>
          <w:vertAlign w:val="superscript"/>
        </w:rPr>
        <w:t>(14)</w:t>
      </w:r>
      <w:r w:rsidR="009304C3" w:rsidRPr="008F70C6">
        <w:rPr>
          <w:b/>
          <w:i/>
          <w:vertAlign w:val="superscript"/>
        </w:rPr>
        <w:fldChar w:fldCharType="end"/>
      </w:r>
    </w:p>
    <w:tbl>
      <w:tblPr>
        <w:tblW w:w="8232" w:type="dxa"/>
        <w:tblInd w:w="98" w:type="dxa"/>
        <w:tblLook w:val="04A0" w:firstRow="1" w:lastRow="0" w:firstColumn="1" w:lastColumn="0" w:noHBand="0" w:noVBand="1"/>
      </w:tblPr>
      <w:tblGrid>
        <w:gridCol w:w="4972"/>
        <w:gridCol w:w="3260"/>
      </w:tblGrid>
      <w:tr w:rsidR="00B73F5B" w:rsidRPr="00860658" w:rsidTr="001B77B3">
        <w:trPr>
          <w:trHeight w:val="283"/>
          <w:tblHeader/>
        </w:trPr>
        <w:tc>
          <w:tcPr>
            <w:tcW w:w="4972" w:type="dxa"/>
            <w:tcBorders>
              <w:top w:val="single" w:sz="4" w:space="0" w:color="auto"/>
              <w:left w:val="single" w:sz="4" w:space="0" w:color="auto"/>
              <w:bottom w:val="single" w:sz="4" w:space="0" w:color="auto"/>
              <w:right w:val="single" w:sz="4" w:space="0" w:color="auto"/>
            </w:tcBorders>
            <w:shd w:val="clear" w:color="auto" w:fill="C6D9F1" w:themeFill="text2" w:themeFillTint="33"/>
            <w:noWrap/>
            <w:hideMark/>
          </w:tcPr>
          <w:p w:rsidR="00391BEE" w:rsidRDefault="00B73F5B" w:rsidP="00391BEE">
            <w:pPr>
              <w:spacing w:before="60" w:after="60"/>
              <w:rPr>
                <w:rFonts w:ascii="Arial" w:hAnsi="Arial" w:cs="Arial"/>
                <w:b/>
                <w:bCs/>
                <w:caps/>
                <w:sz w:val="18"/>
                <w:szCs w:val="18"/>
                <w:lang w:eastAsia="en-US"/>
              </w:rPr>
            </w:pPr>
            <w:r w:rsidRPr="00860658">
              <w:rPr>
                <w:rFonts w:ascii="Arial" w:hAnsi="Arial" w:cs="Arial"/>
                <w:b/>
                <w:sz w:val="18"/>
                <w:szCs w:val="18"/>
              </w:rPr>
              <w:t>Dimension of quality</w:t>
            </w:r>
          </w:p>
        </w:tc>
        <w:tc>
          <w:tcPr>
            <w:tcW w:w="3260" w:type="dxa"/>
            <w:tcBorders>
              <w:top w:val="single" w:sz="4" w:space="0" w:color="auto"/>
              <w:left w:val="nil"/>
              <w:bottom w:val="single" w:sz="4" w:space="0" w:color="auto"/>
              <w:right w:val="single" w:sz="4" w:space="0" w:color="auto"/>
            </w:tcBorders>
            <w:shd w:val="clear" w:color="auto" w:fill="C6D9F1" w:themeFill="text2" w:themeFillTint="33"/>
            <w:noWrap/>
            <w:hideMark/>
          </w:tcPr>
          <w:p w:rsidR="00391BEE" w:rsidRDefault="0023095A" w:rsidP="00391BEE">
            <w:pPr>
              <w:spacing w:before="60" w:after="60"/>
              <w:rPr>
                <w:rFonts w:ascii="Arial" w:hAnsi="Arial" w:cs="Arial"/>
                <w:b/>
                <w:bCs/>
                <w:caps/>
                <w:sz w:val="18"/>
                <w:szCs w:val="18"/>
                <w:lang w:eastAsia="en-US"/>
              </w:rPr>
            </w:pPr>
            <w:r w:rsidRPr="00860658">
              <w:rPr>
                <w:rFonts w:ascii="Arial" w:hAnsi="Arial" w:cs="Arial"/>
                <w:b/>
                <w:sz w:val="18"/>
                <w:szCs w:val="18"/>
              </w:rPr>
              <w:t>Reviewers c</w:t>
            </w:r>
            <w:r w:rsidR="00B73F5B" w:rsidRPr="00860658">
              <w:rPr>
                <w:rFonts w:ascii="Arial" w:hAnsi="Arial" w:cs="Arial"/>
                <w:b/>
                <w:sz w:val="18"/>
                <w:szCs w:val="18"/>
              </w:rPr>
              <w:t>omments</w:t>
            </w:r>
          </w:p>
        </w:tc>
      </w:tr>
      <w:tr w:rsidR="0023095A" w:rsidRPr="0023095A" w:rsidTr="001B77B3">
        <w:trPr>
          <w:trHeight w:val="283"/>
        </w:trPr>
        <w:tc>
          <w:tcPr>
            <w:tcW w:w="8232" w:type="dxa"/>
            <w:gridSpan w:val="2"/>
            <w:tcBorders>
              <w:top w:val="nil"/>
              <w:left w:val="single" w:sz="4" w:space="0" w:color="auto"/>
              <w:bottom w:val="single" w:sz="4" w:space="0" w:color="auto"/>
              <w:right w:val="single" w:sz="4" w:space="0" w:color="auto"/>
            </w:tcBorders>
            <w:shd w:val="clear" w:color="auto" w:fill="F2F2F2" w:themeFill="background1" w:themeFillShade="F2"/>
            <w:noWrap/>
            <w:hideMark/>
          </w:tcPr>
          <w:p w:rsidR="00391BEE" w:rsidRDefault="0023095A" w:rsidP="00391BEE">
            <w:pPr>
              <w:spacing w:before="60" w:after="60"/>
              <w:rPr>
                <w:rFonts w:ascii="Arial" w:hAnsi="Arial" w:cs="Arial"/>
                <w:sz w:val="18"/>
                <w:szCs w:val="18"/>
              </w:rPr>
            </w:pPr>
            <w:r w:rsidRPr="0023095A">
              <w:rPr>
                <w:rFonts w:ascii="Arial" w:hAnsi="Arial" w:cs="Arial"/>
                <w:b/>
                <w:sz w:val="18"/>
                <w:szCs w:val="18"/>
              </w:rPr>
              <w:t>Structure</w:t>
            </w:r>
            <w:r w:rsidRPr="0023095A">
              <w:rPr>
                <w:rFonts w:ascii="Arial" w:hAnsi="Arial" w:cs="Arial"/>
                <w:sz w:val="18"/>
                <w:szCs w:val="18"/>
              </w:rPr>
              <w:t> </w:t>
            </w:r>
          </w:p>
        </w:tc>
      </w:tr>
      <w:tr w:rsidR="00B73F5B" w:rsidRPr="0023095A" w:rsidTr="00793D79">
        <w:trPr>
          <w:trHeight w:val="283"/>
        </w:trPr>
        <w:tc>
          <w:tcPr>
            <w:tcW w:w="4972" w:type="dxa"/>
            <w:tcBorders>
              <w:top w:val="nil"/>
              <w:left w:val="single" w:sz="4" w:space="0" w:color="auto"/>
              <w:bottom w:val="single" w:sz="4" w:space="0" w:color="auto"/>
              <w:right w:val="single" w:sz="4" w:space="0" w:color="auto"/>
            </w:tcBorders>
            <w:shd w:val="clear" w:color="auto" w:fill="auto"/>
            <w:noWrap/>
            <w:hideMark/>
          </w:tcPr>
          <w:p w:rsidR="00391BEE" w:rsidRDefault="00B73F5B" w:rsidP="00391BEE">
            <w:pPr>
              <w:spacing w:before="60" w:after="60"/>
              <w:rPr>
                <w:rFonts w:ascii="Arial" w:hAnsi="Arial" w:cs="Arial"/>
                <w:sz w:val="18"/>
                <w:szCs w:val="18"/>
              </w:rPr>
            </w:pPr>
            <w:r w:rsidRPr="0023095A">
              <w:rPr>
                <w:rFonts w:ascii="Arial" w:hAnsi="Arial" w:cs="Arial"/>
                <w:sz w:val="18"/>
                <w:szCs w:val="18"/>
              </w:rPr>
              <w:t>S1 Statement of decision problem/objective</w:t>
            </w:r>
          </w:p>
        </w:tc>
        <w:tc>
          <w:tcPr>
            <w:tcW w:w="3260" w:type="dxa"/>
            <w:tcBorders>
              <w:top w:val="nil"/>
              <w:left w:val="nil"/>
              <w:bottom w:val="single" w:sz="4" w:space="0" w:color="auto"/>
              <w:right w:val="single" w:sz="4" w:space="0" w:color="auto"/>
            </w:tcBorders>
            <w:shd w:val="clear" w:color="auto" w:fill="auto"/>
            <w:noWrap/>
            <w:hideMark/>
          </w:tcPr>
          <w:p w:rsidR="00391BEE" w:rsidRDefault="00B73F5B" w:rsidP="00391BEE">
            <w:pPr>
              <w:spacing w:before="60" w:after="60"/>
              <w:rPr>
                <w:rFonts w:ascii="Arial" w:hAnsi="Arial" w:cs="Arial"/>
                <w:sz w:val="18"/>
                <w:szCs w:val="18"/>
              </w:rPr>
            </w:pPr>
            <w:r w:rsidRPr="0023095A">
              <w:rPr>
                <w:rFonts w:ascii="Arial" w:hAnsi="Arial" w:cs="Arial"/>
                <w:sz w:val="18"/>
                <w:szCs w:val="18"/>
              </w:rPr>
              <w:t> </w:t>
            </w:r>
          </w:p>
        </w:tc>
      </w:tr>
      <w:tr w:rsidR="00B73F5B" w:rsidRPr="0023095A" w:rsidTr="00793D79">
        <w:trPr>
          <w:trHeight w:val="283"/>
        </w:trPr>
        <w:tc>
          <w:tcPr>
            <w:tcW w:w="4972" w:type="dxa"/>
            <w:tcBorders>
              <w:top w:val="nil"/>
              <w:left w:val="single" w:sz="4" w:space="0" w:color="auto"/>
              <w:bottom w:val="single" w:sz="4" w:space="0" w:color="auto"/>
              <w:right w:val="single" w:sz="4" w:space="0" w:color="auto"/>
            </w:tcBorders>
            <w:shd w:val="clear" w:color="auto" w:fill="auto"/>
            <w:noWrap/>
            <w:hideMark/>
          </w:tcPr>
          <w:p w:rsidR="00391BEE" w:rsidRDefault="00B73F5B" w:rsidP="00391BEE">
            <w:pPr>
              <w:spacing w:before="60" w:after="60"/>
              <w:rPr>
                <w:rFonts w:ascii="Arial" w:hAnsi="Arial" w:cs="Arial"/>
                <w:sz w:val="18"/>
                <w:szCs w:val="18"/>
              </w:rPr>
            </w:pPr>
            <w:r w:rsidRPr="0023095A">
              <w:rPr>
                <w:rFonts w:ascii="Arial" w:hAnsi="Arial" w:cs="Arial"/>
                <w:sz w:val="18"/>
                <w:szCs w:val="18"/>
              </w:rPr>
              <w:t>S2 Statement of scope/perspective</w:t>
            </w:r>
          </w:p>
        </w:tc>
        <w:tc>
          <w:tcPr>
            <w:tcW w:w="3260" w:type="dxa"/>
            <w:tcBorders>
              <w:top w:val="nil"/>
              <w:left w:val="nil"/>
              <w:bottom w:val="single" w:sz="4" w:space="0" w:color="auto"/>
              <w:right w:val="single" w:sz="4" w:space="0" w:color="auto"/>
            </w:tcBorders>
            <w:shd w:val="clear" w:color="auto" w:fill="auto"/>
            <w:noWrap/>
            <w:hideMark/>
          </w:tcPr>
          <w:p w:rsidR="00391BEE" w:rsidRDefault="00B73F5B" w:rsidP="00391BEE">
            <w:pPr>
              <w:spacing w:before="60" w:after="60"/>
              <w:rPr>
                <w:rFonts w:ascii="Arial" w:hAnsi="Arial" w:cs="Arial"/>
                <w:sz w:val="18"/>
                <w:szCs w:val="18"/>
              </w:rPr>
            </w:pPr>
            <w:r w:rsidRPr="0023095A">
              <w:rPr>
                <w:rFonts w:ascii="Arial" w:hAnsi="Arial" w:cs="Arial"/>
                <w:sz w:val="18"/>
                <w:szCs w:val="18"/>
              </w:rPr>
              <w:t> </w:t>
            </w:r>
          </w:p>
        </w:tc>
      </w:tr>
      <w:tr w:rsidR="00B73F5B" w:rsidRPr="0023095A" w:rsidTr="00793D79">
        <w:trPr>
          <w:trHeight w:val="283"/>
        </w:trPr>
        <w:tc>
          <w:tcPr>
            <w:tcW w:w="4972" w:type="dxa"/>
            <w:tcBorders>
              <w:top w:val="nil"/>
              <w:left w:val="single" w:sz="4" w:space="0" w:color="auto"/>
              <w:bottom w:val="single" w:sz="4" w:space="0" w:color="auto"/>
              <w:right w:val="single" w:sz="4" w:space="0" w:color="auto"/>
            </w:tcBorders>
            <w:shd w:val="clear" w:color="auto" w:fill="auto"/>
            <w:noWrap/>
            <w:hideMark/>
          </w:tcPr>
          <w:p w:rsidR="00391BEE" w:rsidRDefault="00B73F5B" w:rsidP="00391BEE">
            <w:pPr>
              <w:spacing w:before="60" w:after="60"/>
              <w:rPr>
                <w:rFonts w:ascii="Arial" w:hAnsi="Arial" w:cs="Arial"/>
                <w:sz w:val="18"/>
                <w:szCs w:val="18"/>
              </w:rPr>
            </w:pPr>
            <w:r w:rsidRPr="0023095A">
              <w:rPr>
                <w:rFonts w:ascii="Arial" w:hAnsi="Arial" w:cs="Arial"/>
                <w:sz w:val="18"/>
                <w:szCs w:val="18"/>
              </w:rPr>
              <w:t>S3 Rationale for structure</w:t>
            </w:r>
          </w:p>
        </w:tc>
        <w:tc>
          <w:tcPr>
            <w:tcW w:w="3260" w:type="dxa"/>
            <w:tcBorders>
              <w:top w:val="nil"/>
              <w:left w:val="nil"/>
              <w:bottom w:val="single" w:sz="4" w:space="0" w:color="auto"/>
              <w:right w:val="single" w:sz="4" w:space="0" w:color="auto"/>
            </w:tcBorders>
            <w:shd w:val="clear" w:color="auto" w:fill="auto"/>
            <w:noWrap/>
            <w:hideMark/>
          </w:tcPr>
          <w:p w:rsidR="00391BEE" w:rsidRDefault="00B73F5B" w:rsidP="00391BEE">
            <w:pPr>
              <w:spacing w:before="60" w:after="60"/>
              <w:rPr>
                <w:rFonts w:ascii="Arial" w:hAnsi="Arial" w:cs="Arial"/>
                <w:sz w:val="18"/>
                <w:szCs w:val="18"/>
              </w:rPr>
            </w:pPr>
            <w:r w:rsidRPr="0023095A">
              <w:rPr>
                <w:rFonts w:ascii="Arial" w:hAnsi="Arial" w:cs="Arial"/>
                <w:sz w:val="18"/>
                <w:szCs w:val="18"/>
              </w:rPr>
              <w:t> </w:t>
            </w:r>
          </w:p>
        </w:tc>
      </w:tr>
      <w:tr w:rsidR="00B73F5B" w:rsidRPr="0023095A" w:rsidTr="00793D79">
        <w:trPr>
          <w:trHeight w:val="283"/>
        </w:trPr>
        <w:tc>
          <w:tcPr>
            <w:tcW w:w="4972" w:type="dxa"/>
            <w:tcBorders>
              <w:top w:val="nil"/>
              <w:left w:val="single" w:sz="4" w:space="0" w:color="auto"/>
              <w:bottom w:val="single" w:sz="4" w:space="0" w:color="auto"/>
              <w:right w:val="single" w:sz="4" w:space="0" w:color="auto"/>
            </w:tcBorders>
            <w:shd w:val="clear" w:color="auto" w:fill="auto"/>
            <w:noWrap/>
            <w:hideMark/>
          </w:tcPr>
          <w:p w:rsidR="00391BEE" w:rsidRDefault="00B73F5B" w:rsidP="00391BEE">
            <w:pPr>
              <w:spacing w:before="60" w:after="60"/>
              <w:rPr>
                <w:rFonts w:ascii="Arial" w:hAnsi="Arial" w:cs="Arial"/>
                <w:sz w:val="18"/>
                <w:szCs w:val="18"/>
              </w:rPr>
            </w:pPr>
            <w:r w:rsidRPr="0023095A">
              <w:rPr>
                <w:rFonts w:ascii="Arial" w:hAnsi="Arial" w:cs="Arial"/>
                <w:sz w:val="18"/>
                <w:szCs w:val="18"/>
              </w:rPr>
              <w:t>S4 Structural assumptions</w:t>
            </w:r>
          </w:p>
        </w:tc>
        <w:tc>
          <w:tcPr>
            <w:tcW w:w="3260" w:type="dxa"/>
            <w:tcBorders>
              <w:top w:val="nil"/>
              <w:left w:val="nil"/>
              <w:bottom w:val="single" w:sz="4" w:space="0" w:color="auto"/>
              <w:right w:val="single" w:sz="4" w:space="0" w:color="auto"/>
            </w:tcBorders>
            <w:shd w:val="clear" w:color="auto" w:fill="auto"/>
            <w:noWrap/>
            <w:hideMark/>
          </w:tcPr>
          <w:p w:rsidR="00391BEE" w:rsidRDefault="00B73F5B" w:rsidP="00391BEE">
            <w:pPr>
              <w:spacing w:before="60" w:after="60"/>
              <w:rPr>
                <w:rFonts w:ascii="Arial" w:hAnsi="Arial" w:cs="Arial"/>
                <w:sz w:val="18"/>
                <w:szCs w:val="18"/>
              </w:rPr>
            </w:pPr>
            <w:r w:rsidRPr="0023095A">
              <w:rPr>
                <w:rFonts w:ascii="Arial" w:hAnsi="Arial" w:cs="Arial"/>
                <w:sz w:val="18"/>
                <w:szCs w:val="18"/>
              </w:rPr>
              <w:t> </w:t>
            </w:r>
          </w:p>
        </w:tc>
      </w:tr>
      <w:tr w:rsidR="00B73F5B" w:rsidRPr="0023095A" w:rsidTr="00793D79">
        <w:trPr>
          <w:trHeight w:val="283"/>
        </w:trPr>
        <w:tc>
          <w:tcPr>
            <w:tcW w:w="4972" w:type="dxa"/>
            <w:tcBorders>
              <w:top w:val="nil"/>
              <w:left w:val="single" w:sz="4" w:space="0" w:color="auto"/>
              <w:bottom w:val="single" w:sz="4" w:space="0" w:color="auto"/>
              <w:right w:val="single" w:sz="4" w:space="0" w:color="auto"/>
            </w:tcBorders>
            <w:shd w:val="clear" w:color="auto" w:fill="auto"/>
            <w:noWrap/>
            <w:hideMark/>
          </w:tcPr>
          <w:p w:rsidR="00391BEE" w:rsidRDefault="00B73F5B" w:rsidP="00391BEE">
            <w:pPr>
              <w:spacing w:before="60" w:after="60"/>
              <w:rPr>
                <w:rFonts w:ascii="Arial" w:hAnsi="Arial" w:cs="Arial"/>
                <w:sz w:val="18"/>
                <w:szCs w:val="18"/>
              </w:rPr>
            </w:pPr>
            <w:r w:rsidRPr="0023095A">
              <w:rPr>
                <w:rFonts w:ascii="Arial" w:hAnsi="Arial" w:cs="Arial"/>
                <w:sz w:val="18"/>
                <w:szCs w:val="18"/>
              </w:rPr>
              <w:t xml:space="preserve">S5 Strategies/comparators </w:t>
            </w:r>
          </w:p>
        </w:tc>
        <w:tc>
          <w:tcPr>
            <w:tcW w:w="3260" w:type="dxa"/>
            <w:tcBorders>
              <w:top w:val="nil"/>
              <w:left w:val="nil"/>
              <w:bottom w:val="single" w:sz="4" w:space="0" w:color="auto"/>
              <w:right w:val="single" w:sz="4" w:space="0" w:color="auto"/>
            </w:tcBorders>
            <w:shd w:val="clear" w:color="auto" w:fill="auto"/>
            <w:noWrap/>
            <w:hideMark/>
          </w:tcPr>
          <w:p w:rsidR="00391BEE" w:rsidRDefault="00B73F5B" w:rsidP="00391BEE">
            <w:pPr>
              <w:spacing w:before="60" w:after="60"/>
              <w:rPr>
                <w:rFonts w:ascii="Arial" w:hAnsi="Arial" w:cs="Arial"/>
                <w:sz w:val="18"/>
                <w:szCs w:val="18"/>
              </w:rPr>
            </w:pPr>
            <w:r w:rsidRPr="0023095A">
              <w:rPr>
                <w:rFonts w:ascii="Arial" w:hAnsi="Arial" w:cs="Arial"/>
                <w:sz w:val="18"/>
                <w:szCs w:val="18"/>
              </w:rPr>
              <w:t> </w:t>
            </w:r>
          </w:p>
        </w:tc>
      </w:tr>
      <w:tr w:rsidR="00B73F5B" w:rsidRPr="0023095A" w:rsidTr="00793D79">
        <w:trPr>
          <w:trHeight w:val="283"/>
        </w:trPr>
        <w:tc>
          <w:tcPr>
            <w:tcW w:w="4972" w:type="dxa"/>
            <w:tcBorders>
              <w:top w:val="nil"/>
              <w:left w:val="single" w:sz="4" w:space="0" w:color="auto"/>
              <w:bottom w:val="single" w:sz="4" w:space="0" w:color="auto"/>
              <w:right w:val="single" w:sz="4" w:space="0" w:color="auto"/>
            </w:tcBorders>
            <w:shd w:val="clear" w:color="auto" w:fill="auto"/>
            <w:noWrap/>
            <w:hideMark/>
          </w:tcPr>
          <w:p w:rsidR="00391BEE" w:rsidRDefault="00B73F5B" w:rsidP="00391BEE">
            <w:pPr>
              <w:spacing w:before="60" w:after="60"/>
              <w:rPr>
                <w:rFonts w:ascii="Arial" w:hAnsi="Arial" w:cs="Arial"/>
                <w:sz w:val="18"/>
                <w:szCs w:val="18"/>
              </w:rPr>
            </w:pPr>
            <w:r w:rsidRPr="0023095A">
              <w:rPr>
                <w:rFonts w:ascii="Arial" w:hAnsi="Arial" w:cs="Arial"/>
                <w:sz w:val="18"/>
                <w:szCs w:val="18"/>
              </w:rPr>
              <w:t>S6 Model type</w:t>
            </w:r>
          </w:p>
        </w:tc>
        <w:tc>
          <w:tcPr>
            <w:tcW w:w="3260" w:type="dxa"/>
            <w:tcBorders>
              <w:top w:val="nil"/>
              <w:left w:val="nil"/>
              <w:bottom w:val="single" w:sz="4" w:space="0" w:color="auto"/>
              <w:right w:val="single" w:sz="4" w:space="0" w:color="auto"/>
            </w:tcBorders>
            <w:shd w:val="clear" w:color="auto" w:fill="auto"/>
            <w:noWrap/>
            <w:hideMark/>
          </w:tcPr>
          <w:p w:rsidR="00391BEE" w:rsidRDefault="00B73F5B" w:rsidP="00391BEE">
            <w:pPr>
              <w:spacing w:before="60" w:after="60"/>
              <w:rPr>
                <w:rFonts w:ascii="Arial" w:hAnsi="Arial" w:cs="Arial"/>
                <w:sz w:val="18"/>
                <w:szCs w:val="18"/>
              </w:rPr>
            </w:pPr>
            <w:r w:rsidRPr="0023095A">
              <w:rPr>
                <w:rFonts w:ascii="Arial" w:hAnsi="Arial" w:cs="Arial"/>
                <w:sz w:val="18"/>
                <w:szCs w:val="18"/>
              </w:rPr>
              <w:t> </w:t>
            </w:r>
          </w:p>
        </w:tc>
      </w:tr>
      <w:tr w:rsidR="00B73F5B" w:rsidRPr="0023095A" w:rsidTr="00793D79">
        <w:trPr>
          <w:trHeight w:val="283"/>
        </w:trPr>
        <w:tc>
          <w:tcPr>
            <w:tcW w:w="4972" w:type="dxa"/>
            <w:tcBorders>
              <w:top w:val="nil"/>
              <w:left w:val="single" w:sz="4" w:space="0" w:color="auto"/>
              <w:bottom w:val="single" w:sz="4" w:space="0" w:color="auto"/>
              <w:right w:val="single" w:sz="4" w:space="0" w:color="auto"/>
            </w:tcBorders>
            <w:shd w:val="clear" w:color="auto" w:fill="auto"/>
            <w:noWrap/>
            <w:hideMark/>
          </w:tcPr>
          <w:p w:rsidR="00391BEE" w:rsidRDefault="00B73F5B" w:rsidP="00391BEE">
            <w:pPr>
              <w:spacing w:before="60" w:after="60"/>
              <w:rPr>
                <w:rFonts w:ascii="Arial" w:hAnsi="Arial" w:cs="Arial"/>
                <w:sz w:val="18"/>
                <w:szCs w:val="18"/>
              </w:rPr>
            </w:pPr>
            <w:r w:rsidRPr="0023095A">
              <w:rPr>
                <w:rFonts w:ascii="Arial" w:hAnsi="Arial" w:cs="Arial"/>
                <w:sz w:val="18"/>
                <w:szCs w:val="18"/>
              </w:rPr>
              <w:t>S7 Time horizon</w:t>
            </w:r>
          </w:p>
        </w:tc>
        <w:tc>
          <w:tcPr>
            <w:tcW w:w="3260" w:type="dxa"/>
            <w:tcBorders>
              <w:top w:val="nil"/>
              <w:left w:val="nil"/>
              <w:bottom w:val="single" w:sz="4" w:space="0" w:color="auto"/>
              <w:right w:val="single" w:sz="4" w:space="0" w:color="auto"/>
            </w:tcBorders>
            <w:shd w:val="clear" w:color="auto" w:fill="auto"/>
            <w:noWrap/>
            <w:hideMark/>
          </w:tcPr>
          <w:p w:rsidR="00391BEE" w:rsidRDefault="00B73F5B" w:rsidP="00391BEE">
            <w:pPr>
              <w:spacing w:before="60" w:after="60"/>
              <w:rPr>
                <w:rFonts w:ascii="Arial" w:hAnsi="Arial" w:cs="Arial"/>
                <w:sz w:val="18"/>
                <w:szCs w:val="18"/>
              </w:rPr>
            </w:pPr>
            <w:r w:rsidRPr="0023095A">
              <w:rPr>
                <w:rFonts w:ascii="Arial" w:hAnsi="Arial" w:cs="Arial"/>
                <w:sz w:val="18"/>
                <w:szCs w:val="18"/>
              </w:rPr>
              <w:t> </w:t>
            </w:r>
          </w:p>
        </w:tc>
      </w:tr>
      <w:tr w:rsidR="00B73F5B" w:rsidRPr="0023095A" w:rsidTr="00793D79">
        <w:trPr>
          <w:trHeight w:val="283"/>
        </w:trPr>
        <w:tc>
          <w:tcPr>
            <w:tcW w:w="4972" w:type="dxa"/>
            <w:tcBorders>
              <w:top w:val="nil"/>
              <w:left w:val="single" w:sz="4" w:space="0" w:color="auto"/>
              <w:bottom w:val="single" w:sz="4" w:space="0" w:color="auto"/>
              <w:right w:val="single" w:sz="4" w:space="0" w:color="auto"/>
            </w:tcBorders>
            <w:shd w:val="clear" w:color="auto" w:fill="auto"/>
            <w:noWrap/>
            <w:hideMark/>
          </w:tcPr>
          <w:p w:rsidR="00391BEE" w:rsidRDefault="00B73F5B" w:rsidP="00391BEE">
            <w:pPr>
              <w:spacing w:before="60" w:after="60"/>
              <w:rPr>
                <w:rFonts w:ascii="Arial" w:hAnsi="Arial" w:cs="Arial"/>
                <w:sz w:val="18"/>
                <w:szCs w:val="18"/>
              </w:rPr>
            </w:pPr>
            <w:r w:rsidRPr="0023095A">
              <w:rPr>
                <w:rFonts w:ascii="Arial" w:hAnsi="Arial" w:cs="Arial"/>
                <w:sz w:val="18"/>
                <w:szCs w:val="18"/>
              </w:rPr>
              <w:t>S8 Disease states/pathways</w:t>
            </w:r>
          </w:p>
        </w:tc>
        <w:tc>
          <w:tcPr>
            <w:tcW w:w="3260" w:type="dxa"/>
            <w:tcBorders>
              <w:top w:val="nil"/>
              <w:left w:val="nil"/>
              <w:bottom w:val="single" w:sz="4" w:space="0" w:color="auto"/>
              <w:right w:val="single" w:sz="4" w:space="0" w:color="auto"/>
            </w:tcBorders>
            <w:shd w:val="clear" w:color="auto" w:fill="auto"/>
            <w:noWrap/>
            <w:hideMark/>
          </w:tcPr>
          <w:p w:rsidR="00391BEE" w:rsidRDefault="00B73F5B" w:rsidP="00391BEE">
            <w:pPr>
              <w:spacing w:before="60" w:after="60"/>
              <w:rPr>
                <w:rFonts w:ascii="Arial" w:hAnsi="Arial" w:cs="Arial"/>
                <w:sz w:val="18"/>
                <w:szCs w:val="18"/>
              </w:rPr>
            </w:pPr>
            <w:r w:rsidRPr="0023095A">
              <w:rPr>
                <w:rFonts w:ascii="Arial" w:hAnsi="Arial" w:cs="Arial"/>
                <w:sz w:val="18"/>
                <w:szCs w:val="18"/>
              </w:rPr>
              <w:t> </w:t>
            </w:r>
          </w:p>
        </w:tc>
      </w:tr>
      <w:tr w:rsidR="00B73F5B" w:rsidRPr="0023095A" w:rsidTr="00793D79">
        <w:trPr>
          <w:trHeight w:val="283"/>
        </w:trPr>
        <w:tc>
          <w:tcPr>
            <w:tcW w:w="4972" w:type="dxa"/>
            <w:tcBorders>
              <w:top w:val="nil"/>
              <w:left w:val="single" w:sz="4" w:space="0" w:color="auto"/>
              <w:bottom w:val="single" w:sz="4" w:space="0" w:color="auto"/>
              <w:right w:val="single" w:sz="4" w:space="0" w:color="auto"/>
            </w:tcBorders>
            <w:shd w:val="clear" w:color="auto" w:fill="auto"/>
            <w:noWrap/>
            <w:hideMark/>
          </w:tcPr>
          <w:p w:rsidR="00391BEE" w:rsidRDefault="00B73F5B" w:rsidP="00391BEE">
            <w:pPr>
              <w:spacing w:before="60" w:after="60"/>
              <w:rPr>
                <w:rFonts w:ascii="Arial" w:hAnsi="Arial" w:cs="Arial"/>
                <w:sz w:val="18"/>
                <w:szCs w:val="18"/>
              </w:rPr>
            </w:pPr>
            <w:r w:rsidRPr="0023095A">
              <w:rPr>
                <w:rFonts w:ascii="Arial" w:hAnsi="Arial" w:cs="Arial"/>
                <w:sz w:val="18"/>
                <w:szCs w:val="18"/>
              </w:rPr>
              <w:t>S9 Cycle length</w:t>
            </w:r>
          </w:p>
        </w:tc>
        <w:tc>
          <w:tcPr>
            <w:tcW w:w="3260" w:type="dxa"/>
            <w:tcBorders>
              <w:top w:val="nil"/>
              <w:left w:val="nil"/>
              <w:bottom w:val="single" w:sz="4" w:space="0" w:color="auto"/>
              <w:right w:val="single" w:sz="4" w:space="0" w:color="auto"/>
            </w:tcBorders>
            <w:shd w:val="clear" w:color="auto" w:fill="auto"/>
            <w:noWrap/>
            <w:hideMark/>
          </w:tcPr>
          <w:p w:rsidR="00391BEE" w:rsidRDefault="00B73F5B" w:rsidP="00391BEE">
            <w:pPr>
              <w:spacing w:before="60" w:after="60"/>
              <w:rPr>
                <w:rFonts w:ascii="Arial" w:hAnsi="Arial" w:cs="Arial"/>
                <w:sz w:val="18"/>
                <w:szCs w:val="18"/>
              </w:rPr>
            </w:pPr>
            <w:r w:rsidRPr="0023095A">
              <w:rPr>
                <w:rFonts w:ascii="Arial" w:hAnsi="Arial" w:cs="Arial"/>
                <w:sz w:val="18"/>
                <w:szCs w:val="18"/>
              </w:rPr>
              <w:t> </w:t>
            </w:r>
          </w:p>
        </w:tc>
      </w:tr>
      <w:tr w:rsidR="0023095A" w:rsidRPr="0023095A" w:rsidTr="001B77B3">
        <w:trPr>
          <w:trHeight w:val="283"/>
        </w:trPr>
        <w:tc>
          <w:tcPr>
            <w:tcW w:w="8232" w:type="dxa"/>
            <w:gridSpan w:val="2"/>
            <w:tcBorders>
              <w:top w:val="nil"/>
              <w:left w:val="single" w:sz="4" w:space="0" w:color="auto"/>
              <w:bottom w:val="single" w:sz="4" w:space="0" w:color="auto"/>
              <w:right w:val="single" w:sz="4" w:space="0" w:color="auto"/>
            </w:tcBorders>
            <w:shd w:val="clear" w:color="auto" w:fill="F2F2F2" w:themeFill="background1" w:themeFillShade="F2"/>
            <w:noWrap/>
            <w:hideMark/>
          </w:tcPr>
          <w:p w:rsidR="00391BEE" w:rsidRDefault="0023095A" w:rsidP="00391BEE">
            <w:pPr>
              <w:spacing w:before="60" w:after="60"/>
              <w:rPr>
                <w:rFonts w:ascii="Arial" w:hAnsi="Arial" w:cs="Arial"/>
                <w:sz w:val="18"/>
                <w:szCs w:val="18"/>
              </w:rPr>
            </w:pPr>
            <w:r w:rsidRPr="0023095A">
              <w:rPr>
                <w:rFonts w:ascii="Arial" w:hAnsi="Arial" w:cs="Arial"/>
                <w:b/>
                <w:sz w:val="18"/>
                <w:szCs w:val="18"/>
              </w:rPr>
              <w:t>Data</w:t>
            </w:r>
            <w:r w:rsidRPr="0023095A">
              <w:rPr>
                <w:rFonts w:ascii="Arial" w:hAnsi="Arial" w:cs="Arial"/>
                <w:sz w:val="18"/>
                <w:szCs w:val="18"/>
              </w:rPr>
              <w:t> </w:t>
            </w:r>
          </w:p>
        </w:tc>
      </w:tr>
      <w:tr w:rsidR="00B73F5B" w:rsidRPr="0023095A" w:rsidTr="00793D79">
        <w:trPr>
          <w:trHeight w:val="283"/>
        </w:trPr>
        <w:tc>
          <w:tcPr>
            <w:tcW w:w="4972" w:type="dxa"/>
            <w:tcBorders>
              <w:top w:val="nil"/>
              <w:left w:val="single" w:sz="4" w:space="0" w:color="auto"/>
              <w:bottom w:val="single" w:sz="4" w:space="0" w:color="auto"/>
              <w:right w:val="single" w:sz="4" w:space="0" w:color="auto"/>
            </w:tcBorders>
            <w:shd w:val="clear" w:color="auto" w:fill="auto"/>
            <w:noWrap/>
            <w:hideMark/>
          </w:tcPr>
          <w:p w:rsidR="00391BEE" w:rsidRDefault="00B73F5B" w:rsidP="00391BEE">
            <w:pPr>
              <w:spacing w:before="60" w:after="60"/>
              <w:rPr>
                <w:rFonts w:ascii="Arial" w:hAnsi="Arial" w:cs="Arial"/>
                <w:sz w:val="18"/>
                <w:szCs w:val="18"/>
              </w:rPr>
            </w:pPr>
            <w:r w:rsidRPr="0023095A">
              <w:rPr>
                <w:rFonts w:ascii="Arial" w:hAnsi="Arial" w:cs="Arial"/>
                <w:sz w:val="18"/>
                <w:szCs w:val="18"/>
              </w:rPr>
              <w:t>D1 Data identification</w:t>
            </w:r>
          </w:p>
        </w:tc>
        <w:tc>
          <w:tcPr>
            <w:tcW w:w="3260" w:type="dxa"/>
            <w:tcBorders>
              <w:top w:val="nil"/>
              <w:left w:val="nil"/>
              <w:bottom w:val="single" w:sz="4" w:space="0" w:color="auto"/>
              <w:right w:val="single" w:sz="4" w:space="0" w:color="auto"/>
            </w:tcBorders>
            <w:shd w:val="clear" w:color="auto" w:fill="auto"/>
            <w:noWrap/>
            <w:hideMark/>
          </w:tcPr>
          <w:p w:rsidR="00391BEE" w:rsidRDefault="00B73F5B" w:rsidP="00391BEE">
            <w:pPr>
              <w:spacing w:before="60" w:after="60"/>
              <w:rPr>
                <w:rFonts w:ascii="Arial" w:hAnsi="Arial" w:cs="Arial"/>
                <w:sz w:val="18"/>
                <w:szCs w:val="18"/>
              </w:rPr>
            </w:pPr>
            <w:r w:rsidRPr="0023095A">
              <w:rPr>
                <w:rFonts w:ascii="Arial" w:hAnsi="Arial" w:cs="Arial"/>
                <w:sz w:val="18"/>
                <w:szCs w:val="18"/>
              </w:rPr>
              <w:t> </w:t>
            </w:r>
          </w:p>
        </w:tc>
      </w:tr>
      <w:tr w:rsidR="00B73F5B" w:rsidRPr="0023095A" w:rsidTr="00793D79">
        <w:trPr>
          <w:trHeight w:val="283"/>
        </w:trPr>
        <w:tc>
          <w:tcPr>
            <w:tcW w:w="4972" w:type="dxa"/>
            <w:tcBorders>
              <w:top w:val="nil"/>
              <w:left w:val="single" w:sz="4" w:space="0" w:color="auto"/>
              <w:bottom w:val="single" w:sz="4" w:space="0" w:color="auto"/>
              <w:right w:val="single" w:sz="4" w:space="0" w:color="auto"/>
            </w:tcBorders>
            <w:shd w:val="clear" w:color="auto" w:fill="auto"/>
            <w:noWrap/>
            <w:hideMark/>
          </w:tcPr>
          <w:p w:rsidR="00391BEE" w:rsidRDefault="00B73F5B" w:rsidP="00391BEE">
            <w:pPr>
              <w:spacing w:before="60" w:after="60"/>
              <w:rPr>
                <w:rFonts w:ascii="Arial" w:hAnsi="Arial" w:cs="Arial"/>
                <w:sz w:val="18"/>
                <w:szCs w:val="18"/>
              </w:rPr>
            </w:pPr>
            <w:r w:rsidRPr="0023095A">
              <w:rPr>
                <w:rFonts w:ascii="Arial" w:hAnsi="Arial" w:cs="Arial"/>
                <w:sz w:val="18"/>
                <w:szCs w:val="18"/>
              </w:rPr>
              <w:t xml:space="preserve">D2 </w:t>
            </w:r>
            <w:proofErr w:type="spellStart"/>
            <w:r w:rsidRPr="0023095A">
              <w:rPr>
                <w:rFonts w:ascii="Arial" w:hAnsi="Arial" w:cs="Arial"/>
                <w:sz w:val="18"/>
                <w:szCs w:val="18"/>
              </w:rPr>
              <w:t>Premodel</w:t>
            </w:r>
            <w:proofErr w:type="spellEnd"/>
            <w:r w:rsidRPr="0023095A">
              <w:rPr>
                <w:rFonts w:ascii="Arial" w:hAnsi="Arial" w:cs="Arial"/>
                <w:sz w:val="18"/>
                <w:szCs w:val="18"/>
              </w:rPr>
              <w:t xml:space="preserve"> data analysis </w:t>
            </w:r>
          </w:p>
        </w:tc>
        <w:tc>
          <w:tcPr>
            <w:tcW w:w="3260" w:type="dxa"/>
            <w:tcBorders>
              <w:top w:val="nil"/>
              <w:left w:val="nil"/>
              <w:bottom w:val="single" w:sz="4" w:space="0" w:color="auto"/>
              <w:right w:val="single" w:sz="4" w:space="0" w:color="auto"/>
            </w:tcBorders>
            <w:shd w:val="clear" w:color="auto" w:fill="auto"/>
            <w:noWrap/>
            <w:hideMark/>
          </w:tcPr>
          <w:p w:rsidR="00391BEE" w:rsidRDefault="00B73F5B" w:rsidP="00391BEE">
            <w:pPr>
              <w:spacing w:before="60" w:after="60"/>
              <w:rPr>
                <w:rFonts w:ascii="Arial" w:hAnsi="Arial" w:cs="Arial"/>
                <w:sz w:val="18"/>
                <w:szCs w:val="18"/>
              </w:rPr>
            </w:pPr>
            <w:r w:rsidRPr="0023095A">
              <w:rPr>
                <w:rFonts w:ascii="Arial" w:hAnsi="Arial" w:cs="Arial"/>
                <w:sz w:val="18"/>
                <w:szCs w:val="18"/>
              </w:rPr>
              <w:t> </w:t>
            </w:r>
          </w:p>
        </w:tc>
      </w:tr>
      <w:tr w:rsidR="00B73F5B" w:rsidRPr="0023095A" w:rsidTr="00793D79">
        <w:trPr>
          <w:trHeight w:val="283"/>
        </w:trPr>
        <w:tc>
          <w:tcPr>
            <w:tcW w:w="4972" w:type="dxa"/>
            <w:tcBorders>
              <w:top w:val="nil"/>
              <w:left w:val="single" w:sz="4" w:space="0" w:color="auto"/>
              <w:bottom w:val="single" w:sz="4" w:space="0" w:color="auto"/>
              <w:right w:val="single" w:sz="4" w:space="0" w:color="auto"/>
            </w:tcBorders>
            <w:shd w:val="clear" w:color="auto" w:fill="auto"/>
            <w:noWrap/>
            <w:hideMark/>
          </w:tcPr>
          <w:p w:rsidR="00391BEE" w:rsidRDefault="00B73F5B" w:rsidP="00391BEE">
            <w:pPr>
              <w:spacing w:before="60" w:after="60"/>
              <w:rPr>
                <w:rFonts w:ascii="Arial" w:hAnsi="Arial" w:cs="Arial"/>
                <w:sz w:val="18"/>
                <w:szCs w:val="18"/>
              </w:rPr>
            </w:pPr>
            <w:r w:rsidRPr="0023095A">
              <w:rPr>
                <w:rFonts w:ascii="Arial" w:hAnsi="Arial" w:cs="Arial"/>
                <w:sz w:val="18"/>
                <w:szCs w:val="18"/>
              </w:rPr>
              <w:lastRenderedPageBreak/>
              <w:t>D2a Baseline data</w:t>
            </w:r>
          </w:p>
        </w:tc>
        <w:tc>
          <w:tcPr>
            <w:tcW w:w="3260" w:type="dxa"/>
            <w:tcBorders>
              <w:top w:val="nil"/>
              <w:left w:val="nil"/>
              <w:bottom w:val="single" w:sz="4" w:space="0" w:color="auto"/>
              <w:right w:val="single" w:sz="4" w:space="0" w:color="auto"/>
            </w:tcBorders>
            <w:shd w:val="clear" w:color="auto" w:fill="auto"/>
            <w:noWrap/>
            <w:hideMark/>
          </w:tcPr>
          <w:p w:rsidR="00391BEE" w:rsidRDefault="00B73F5B" w:rsidP="00391BEE">
            <w:pPr>
              <w:spacing w:before="60" w:after="60"/>
              <w:rPr>
                <w:rFonts w:ascii="Arial" w:hAnsi="Arial" w:cs="Arial"/>
                <w:sz w:val="18"/>
                <w:szCs w:val="18"/>
              </w:rPr>
            </w:pPr>
            <w:r w:rsidRPr="0023095A">
              <w:rPr>
                <w:rFonts w:ascii="Arial" w:hAnsi="Arial" w:cs="Arial"/>
                <w:sz w:val="18"/>
                <w:szCs w:val="18"/>
              </w:rPr>
              <w:t> </w:t>
            </w:r>
          </w:p>
        </w:tc>
      </w:tr>
      <w:tr w:rsidR="00B73F5B" w:rsidRPr="0023095A" w:rsidTr="00793D79">
        <w:trPr>
          <w:trHeight w:val="283"/>
        </w:trPr>
        <w:tc>
          <w:tcPr>
            <w:tcW w:w="4972" w:type="dxa"/>
            <w:tcBorders>
              <w:top w:val="nil"/>
              <w:left w:val="single" w:sz="4" w:space="0" w:color="auto"/>
              <w:bottom w:val="single" w:sz="4" w:space="0" w:color="auto"/>
              <w:right w:val="single" w:sz="4" w:space="0" w:color="auto"/>
            </w:tcBorders>
            <w:shd w:val="clear" w:color="auto" w:fill="auto"/>
            <w:noWrap/>
            <w:hideMark/>
          </w:tcPr>
          <w:p w:rsidR="00391BEE" w:rsidRDefault="00B73F5B" w:rsidP="00391BEE">
            <w:pPr>
              <w:spacing w:before="60" w:after="60"/>
              <w:rPr>
                <w:rFonts w:ascii="Arial" w:hAnsi="Arial" w:cs="Arial"/>
                <w:sz w:val="18"/>
                <w:szCs w:val="18"/>
              </w:rPr>
            </w:pPr>
            <w:r w:rsidRPr="0023095A">
              <w:rPr>
                <w:rFonts w:ascii="Arial" w:hAnsi="Arial" w:cs="Arial"/>
                <w:sz w:val="18"/>
                <w:szCs w:val="18"/>
              </w:rPr>
              <w:t>D2b Treatment effects</w:t>
            </w:r>
          </w:p>
        </w:tc>
        <w:tc>
          <w:tcPr>
            <w:tcW w:w="3260" w:type="dxa"/>
            <w:tcBorders>
              <w:top w:val="nil"/>
              <w:left w:val="nil"/>
              <w:bottom w:val="single" w:sz="4" w:space="0" w:color="auto"/>
              <w:right w:val="single" w:sz="4" w:space="0" w:color="auto"/>
            </w:tcBorders>
            <w:shd w:val="clear" w:color="auto" w:fill="auto"/>
            <w:noWrap/>
            <w:hideMark/>
          </w:tcPr>
          <w:p w:rsidR="00391BEE" w:rsidRDefault="00B73F5B" w:rsidP="00391BEE">
            <w:pPr>
              <w:spacing w:before="60" w:after="60"/>
              <w:rPr>
                <w:rFonts w:ascii="Arial" w:hAnsi="Arial" w:cs="Arial"/>
                <w:sz w:val="18"/>
                <w:szCs w:val="18"/>
              </w:rPr>
            </w:pPr>
            <w:r w:rsidRPr="0023095A">
              <w:rPr>
                <w:rFonts w:ascii="Arial" w:hAnsi="Arial" w:cs="Arial"/>
                <w:sz w:val="18"/>
                <w:szCs w:val="18"/>
              </w:rPr>
              <w:t> </w:t>
            </w:r>
          </w:p>
        </w:tc>
      </w:tr>
      <w:tr w:rsidR="00B73F5B" w:rsidRPr="0023095A" w:rsidTr="00793D79">
        <w:trPr>
          <w:trHeight w:val="283"/>
        </w:trPr>
        <w:tc>
          <w:tcPr>
            <w:tcW w:w="4972" w:type="dxa"/>
            <w:tcBorders>
              <w:top w:val="nil"/>
              <w:left w:val="single" w:sz="4" w:space="0" w:color="auto"/>
              <w:bottom w:val="single" w:sz="4" w:space="0" w:color="auto"/>
              <w:right w:val="single" w:sz="4" w:space="0" w:color="auto"/>
            </w:tcBorders>
            <w:shd w:val="clear" w:color="auto" w:fill="auto"/>
            <w:noWrap/>
            <w:hideMark/>
          </w:tcPr>
          <w:p w:rsidR="00391BEE" w:rsidRDefault="00B73F5B" w:rsidP="00391BEE">
            <w:pPr>
              <w:spacing w:before="60" w:after="60"/>
              <w:rPr>
                <w:rFonts w:ascii="Arial" w:hAnsi="Arial" w:cs="Arial"/>
                <w:sz w:val="18"/>
                <w:szCs w:val="18"/>
              </w:rPr>
            </w:pPr>
            <w:r w:rsidRPr="0023095A">
              <w:rPr>
                <w:rFonts w:ascii="Arial" w:hAnsi="Arial" w:cs="Arial"/>
                <w:sz w:val="18"/>
                <w:szCs w:val="18"/>
              </w:rPr>
              <w:t>D2d Quality of life weights (utilities)</w:t>
            </w:r>
          </w:p>
        </w:tc>
        <w:tc>
          <w:tcPr>
            <w:tcW w:w="3260" w:type="dxa"/>
            <w:tcBorders>
              <w:top w:val="nil"/>
              <w:left w:val="nil"/>
              <w:bottom w:val="single" w:sz="4" w:space="0" w:color="auto"/>
              <w:right w:val="single" w:sz="4" w:space="0" w:color="auto"/>
            </w:tcBorders>
            <w:shd w:val="clear" w:color="auto" w:fill="auto"/>
            <w:noWrap/>
            <w:hideMark/>
          </w:tcPr>
          <w:p w:rsidR="00391BEE" w:rsidRDefault="00B73F5B" w:rsidP="00391BEE">
            <w:pPr>
              <w:spacing w:before="60" w:after="60"/>
              <w:rPr>
                <w:rFonts w:ascii="Arial" w:hAnsi="Arial" w:cs="Arial"/>
                <w:sz w:val="18"/>
                <w:szCs w:val="18"/>
              </w:rPr>
            </w:pPr>
            <w:r w:rsidRPr="0023095A">
              <w:rPr>
                <w:rFonts w:ascii="Arial" w:hAnsi="Arial" w:cs="Arial"/>
                <w:sz w:val="18"/>
                <w:szCs w:val="18"/>
              </w:rPr>
              <w:t> </w:t>
            </w:r>
          </w:p>
        </w:tc>
      </w:tr>
      <w:tr w:rsidR="00B73F5B" w:rsidRPr="0023095A" w:rsidTr="00793D79">
        <w:trPr>
          <w:trHeight w:val="283"/>
        </w:trPr>
        <w:tc>
          <w:tcPr>
            <w:tcW w:w="4972" w:type="dxa"/>
            <w:tcBorders>
              <w:top w:val="nil"/>
              <w:left w:val="single" w:sz="4" w:space="0" w:color="auto"/>
              <w:bottom w:val="single" w:sz="4" w:space="0" w:color="auto"/>
              <w:right w:val="single" w:sz="4" w:space="0" w:color="auto"/>
            </w:tcBorders>
            <w:shd w:val="clear" w:color="auto" w:fill="auto"/>
            <w:noWrap/>
            <w:hideMark/>
          </w:tcPr>
          <w:p w:rsidR="00391BEE" w:rsidRDefault="00B73F5B" w:rsidP="00391BEE">
            <w:pPr>
              <w:spacing w:before="60" w:after="60"/>
              <w:rPr>
                <w:rFonts w:ascii="Arial" w:hAnsi="Arial" w:cs="Arial"/>
                <w:sz w:val="18"/>
                <w:szCs w:val="18"/>
              </w:rPr>
            </w:pPr>
            <w:r w:rsidRPr="0023095A">
              <w:rPr>
                <w:rFonts w:ascii="Arial" w:hAnsi="Arial" w:cs="Arial"/>
                <w:sz w:val="18"/>
                <w:szCs w:val="18"/>
              </w:rPr>
              <w:t>D3 Data incorporation</w:t>
            </w:r>
          </w:p>
        </w:tc>
        <w:tc>
          <w:tcPr>
            <w:tcW w:w="3260" w:type="dxa"/>
            <w:tcBorders>
              <w:top w:val="nil"/>
              <w:left w:val="nil"/>
              <w:bottom w:val="single" w:sz="4" w:space="0" w:color="auto"/>
              <w:right w:val="single" w:sz="4" w:space="0" w:color="auto"/>
            </w:tcBorders>
            <w:shd w:val="clear" w:color="auto" w:fill="auto"/>
            <w:noWrap/>
            <w:hideMark/>
          </w:tcPr>
          <w:p w:rsidR="00391BEE" w:rsidRDefault="00B73F5B" w:rsidP="00391BEE">
            <w:pPr>
              <w:spacing w:before="60" w:after="60"/>
              <w:rPr>
                <w:rFonts w:ascii="Arial" w:hAnsi="Arial" w:cs="Arial"/>
                <w:sz w:val="18"/>
                <w:szCs w:val="18"/>
              </w:rPr>
            </w:pPr>
            <w:r w:rsidRPr="0023095A">
              <w:rPr>
                <w:rFonts w:ascii="Arial" w:hAnsi="Arial" w:cs="Arial"/>
                <w:sz w:val="18"/>
                <w:szCs w:val="18"/>
              </w:rPr>
              <w:t> </w:t>
            </w:r>
          </w:p>
        </w:tc>
      </w:tr>
      <w:tr w:rsidR="00B73F5B" w:rsidRPr="0023095A" w:rsidTr="00793D79">
        <w:trPr>
          <w:trHeight w:val="283"/>
        </w:trPr>
        <w:tc>
          <w:tcPr>
            <w:tcW w:w="4972" w:type="dxa"/>
            <w:tcBorders>
              <w:top w:val="nil"/>
              <w:left w:val="single" w:sz="4" w:space="0" w:color="auto"/>
              <w:bottom w:val="single" w:sz="4" w:space="0" w:color="auto"/>
              <w:right w:val="single" w:sz="4" w:space="0" w:color="auto"/>
            </w:tcBorders>
            <w:shd w:val="clear" w:color="auto" w:fill="auto"/>
            <w:noWrap/>
            <w:hideMark/>
          </w:tcPr>
          <w:p w:rsidR="00391BEE" w:rsidRDefault="00B73F5B" w:rsidP="00391BEE">
            <w:pPr>
              <w:spacing w:before="60" w:after="60"/>
              <w:rPr>
                <w:rFonts w:ascii="Arial" w:hAnsi="Arial" w:cs="Arial"/>
                <w:sz w:val="18"/>
                <w:szCs w:val="18"/>
              </w:rPr>
            </w:pPr>
            <w:r w:rsidRPr="0023095A">
              <w:rPr>
                <w:rFonts w:ascii="Arial" w:hAnsi="Arial" w:cs="Arial"/>
                <w:sz w:val="18"/>
                <w:szCs w:val="18"/>
              </w:rPr>
              <w:t>D4 Assessment of uncertainty</w:t>
            </w:r>
          </w:p>
        </w:tc>
        <w:tc>
          <w:tcPr>
            <w:tcW w:w="3260" w:type="dxa"/>
            <w:tcBorders>
              <w:top w:val="nil"/>
              <w:left w:val="nil"/>
              <w:bottom w:val="single" w:sz="4" w:space="0" w:color="auto"/>
              <w:right w:val="single" w:sz="4" w:space="0" w:color="auto"/>
            </w:tcBorders>
            <w:shd w:val="clear" w:color="auto" w:fill="auto"/>
            <w:noWrap/>
            <w:hideMark/>
          </w:tcPr>
          <w:p w:rsidR="00391BEE" w:rsidRDefault="00B73F5B" w:rsidP="00391BEE">
            <w:pPr>
              <w:spacing w:before="60" w:after="60"/>
              <w:rPr>
                <w:rFonts w:ascii="Arial" w:hAnsi="Arial" w:cs="Arial"/>
                <w:sz w:val="18"/>
                <w:szCs w:val="18"/>
              </w:rPr>
            </w:pPr>
            <w:r w:rsidRPr="0023095A">
              <w:rPr>
                <w:rFonts w:ascii="Arial" w:hAnsi="Arial" w:cs="Arial"/>
                <w:sz w:val="18"/>
                <w:szCs w:val="18"/>
              </w:rPr>
              <w:t> </w:t>
            </w:r>
          </w:p>
        </w:tc>
      </w:tr>
      <w:tr w:rsidR="00B73F5B" w:rsidRPr="0023095A" w:rsidTr="00793D79">
        <w:trPr>
          <w:trHeight w:val="283"/>
        </w:trPr>
        <w:tc>
          <w:tcPr>
            <w:tcW w:w="4972" w:type="dxa"/>
            <w:tcBorders>
              <w:top w:val="nil"/>
              <w:left w:val="single" w:sz="4" w:space="0" w:color="auto"/>
              <w:bottom w:val="single" w:sz="4" w:space="0" w:color="auto"/>
              <w:right w:val="single" w:sz="4" w:space="0" w:color="auto"/>
            </w:tcBorders>
            <w:shd w:val="clear" w:color="auto" w:fill="auto"/>
            <w:noWrap/>
            <w:hideMark/>
          </w:tcPr>
          <w:p w:rsidR="00391BEE" w:rsidRDefault="00B73F5B" w:rsidP="00391BEE">
            <w:pPr>
              <w:spacing w:before="60" w:after="60"/>
              <w:rPr>
                <w:rFonts w:ascii="Arial" w:hAnsi="Arial" w:cs="Arial"/>
                <w:sz w:val="18"/>
                <w:szCs w:val="18"/>
              </w:rPr>
            </w:pPr>
            <w:r w:rsidRPr="0023095A">
              <w:rPr>
                <w:rFonts w:ascii="Arial" w:hAnsi="Arial" w:cs="Arial"/>
                <w:sz w:val="18"/>
                <w:szCs w:val="18"/>
              </w:rPr>
              <w:t>D4a Methodological</w:t>
            </w:r>
          </w:p>
        </w:tc>
        <w:tc>
          <w:tcPr>
            <w:tcW w:w="3260" w:type="dxa"/>
            <w:tcBorders>
              <w:top w:val="nil"/>
              <w:left w:val="nil"/>
              <w:bottom w:val="single" w:sz="4" w:space="0" w:color="auto"/>
              <w:right w:val="single" w:sz="4" w:space="0" w:color="auto"/>
            </w:tcBorders>
            <w:shd w:val="clear" w:color="auto" w:fill="auto"/>
            <w:noWrap/>
            <w:hideMark/>
          </w:tcPr>
          <w:p w:rsidR="00391BEE" w:rsidRDefault="00B73F5B" w:rsidP="00391BEE">
            <w:pPr>
              <w:spacing w:before="60" w:after="60"/>
              <w:rPr>
                <w:rFonts w:ascii="Arial" w:hAnsi="Arial" w:cs="Arial"/>
                <w:sz w:val="18"/>
                <w:szCs w:val="18"/>
              </w:rPr>
            </w:pPr>
            <w:r w:rsidRPr="0023095A">
              <w:rPr>
                <w:rFonts w:ascii="Arial" w:hAnsi="Arial" w:cs="Arial"/>
                <w:sz w:val="18"/>
                <w:szCs w:val="18"/>
              </w:rPr>
              <w:t> </w:t>
            </w:r>
          </w:p>
        </w:tc>
      </w:tr>
      <w:tr w:rsidR="00B73F5B" w:rsidRPr="0023095A" w:rsidTr="00793D79">
        <w:trPr>
          <w:trHeight w:val="283"/>
        </w:trPr>
        <w:tc>
          <w:tcPr>
            <w:tcW w:w="4972" w:type="dxa"/>
            <w:tcBorders>
              <w:top w:val="nil"/>
              <w:left w:val="single" w:sz="4" w:space="0" w:color="auto"/>
              <w:bottom w:val="single" w:sz="4" w:space="0" w:color="auto"/>
              <w:right w:val="single" w:sz="4" w:space="0" w:color="auto"/>
            </w:tcBorders>
            <w:shd w:val="clear" w:color="auto" w:fill="auto"/>
            <w:noWrap/>
            <w:hideMark/>
          </w:tcPr>
          <w:p w:rsidR="00391BEE" w:rsidRDefault="00B73F5B" w:rsidP="00391BEE">
            <w:pPr>
              <w:spacing w:before="60" w:after="60"/>
              <w:rPr>
                <w:rFonts w:ascii="Arial" w:hAnsi="Arial" w:cs="Arial"/>
                <w:sz w:val="18"/>
                <w:szCs w:val="18"/>
              </w:rPr>
            </w:pPr>
            <w:r w:rsidRPr="0023095A">
              <w:rPr>
                <w:rFonts w:ascii="Arial" w:hAnsi="Arial" w:cs="Arial"/>
                <w:sz w:val="18"/>
                <w:szCs w:val="18"/>
              </w:rPr>
              <w:t xml:space="preserve">D4b Structural </w:t>
            </w:r>
          </w:p>
        </w:tc>
        <w:tc>
          <w:tcPr>
            <w:tcW w:w="3260" w:type="dxa"/>
            <w:tcBorders>
              <w:top w:val="nil"/>
              <w:left w:val="nil"/>
              <w:bottom w:val="single" w:sz="4" w:space="0" w:color="auto"/>
              <w:right w:val="single" w:sz="4" w:space="0" w:color="auto"/>
            </w:tcBorders>
            <w:shd w:val="clear" w:color="auto" w:fill="auto"/>
            <w:noWrap/>
            <w:hideMark/>
          </w:tcPr>
          <w:p w:rsidR="00391BEE" w:rsidRDefault="00B73F5B" w:rsidP="00391BEE">
            <w:pPr>
              <w:spacing w:before="60" w:after="60"/>
              <w:rPr>
                <w:rFonts w:ascii="Arial" w:hAnsi="Arial" w:cs="Arial"/>
                <w:sz w:val="18"/>
                <w:szCs w:val="18"/>
              </w:rPr>
            </w:pPr>
            <w:r w:rsidRPr="0023095A">
              <w:rPr>
                <w:rFonts w:ascii="Arial" w:hAnsi="Arial" w:cs="Arial"/>
                <w:sz w:val="18"/>
                <w:szCs w:val="18"/>
              </w:rPr>
              <w:t> </w:t>
            </w:r>
          </w:p>
        </w:tc>
      </w:tr>
      <w:tr w:rsidR="00B73F5B" w:rsidRPr="0023095A" w:rsidTr="00793D79">
        <w:trPr>
          <w:trHeight w:val="283"/>
        </w:trPr>
        <w:tc>
          <w:tcPr>
            <w:tcW w:w="4972" w:type="dxa"/>
            <w:tcBorders>
              <w:top w:val="nil"/>
              <w:left w:val="single" w:sz="4" w:space="0" w:color="auto"/>
              <w:bottom w:val="single" w:sz="4" w:space="0" w:color="auto"/>
              <w:right w:val="single" w:sz="4" w:space="0" w:color="auto"/>
            </w:tcBorders>
            <w:shd w:val="clear" w:color="auto" w:fill="auto"/>
            <w:noWrap/>
            <w:hideMark/>
          </w:tcPr>
          <w:p w:rsidR="00391BEE" w:rsidRDefault="00B73F5B" w:rsidP="00391BEE">
            <w:pPr>
              <w:spacing w:before="60" w:after="60"/>
              <w:rPr>
                <w:rFonts w:ascii="Arial" w:hAnsi="Arial" w:cs="Arial"/>
                <w:sz w:val="18"/>
                <w:szCs w:val="18"/>
              </w:rPr>
            </w:pPr>
            <w:r w:rsidRPr="0023095A">
              <w:rPr>
                <w:rFonts w:ascii="Arial" w:hAnsi="Arial" w:cs="Arial"/>
                <w:sz w:val="18"/>
                <w:szCs w:val="18"/>
              </w:rPr>
              <w:t>D4c Heterogeneity</w:t>
            </w:r>
          </w:p>
        </w:tc>
        <w:tc>
          <w:tcPr>
            <w:tcW w:w="3260" w:type="dxa"/>
            <w:tcBorders>
              <w:top w:val="nil"/>
              <w:left w:val="nil"/>
              <w:bottom w:val="single" w:sz="4" w:space="0" w:color="auto"/>
              <w:right w:val="single" w:sz="4" w:space="0" w:color="auto"/>
            </w:tcBorders>
            <w:shd w:val="clear" w:color="auto" w:fill="auto"/>
            <w:noWrap/>
            <w:hideMark/>
          </w:tcPr>
          <w:p w:rsidR="00391BEE" w:rsidRDefault="00B73F5B" w:rsidP="00391BEE">
            <w:pPr>
              <w:spacing w:before="60" w:after="60"/>
              <w:rPr>
                <w:rFonts w:ascii="Arial" w:hAnsi="Arial" w:cs="Arial"/>
                <w:sz w:val="18"/>
                <w:szCs w:val="18"/>
              </w:rPr>
            </w:pPr>
            <w:r w:rsidRPr="0023095A">
              <w:rPr>
                <w:rFonts w:ascii="Arial" w:hAnsi="Arial" w:cs="Arial"/>
                <w:sz w:val="18"/>
                <w:szCs w:val="18"/>
              </w:rPr>
              <w:t> </w:t>
            </w:r>
          </w:p>
        </w:tc>
      </w:tr>
      <w:tr w:rsidR="00B73F5B" w:rsidRPr="0023095A" w:rsidTr="00793D79">
        <w:trPr>
          <w:trHeight w:val="283"/>
        </w:trPr>
        <w:tc>
          <w:tcPr>
            <w:tcW w:w="4972" w:type="dxa"/>
            <w:tcBorders>
              <w:top w:val="nil"/>
              <w:left w:val="single" w:sz="4" w:space="0" w:color="auto"/>
              <w:bottom w:val="single" w:sz="4" w:space="0" w:color="auto"/>
              <w:right w:val="single" w:sz="4" w:space="0" w:color="auto"/>
            </w:tcBorders>
            <w:shd w:val="clear" w:color="auto" w:fill="auto"/>
            <w:noWrap/>
            <w:hideMark/>
          </w:tcPr>
          <w:p w:rsidR="00391BEE" w:rsidRDefault="00B73F5B" w:rsidP="00391BEE">
            <w:pPr>
              <w:spacing w:before="60" w:after="60"/>
              <w:rPr>
                <w:rFonts w:ascii="Arial" w:hAnsi="Arial" w:cs="Arial"/>
                <w:sz w:val="18"/>
                <w:szCs w:val="18"/>
              </w:rPr>
            </w:pPr>
            <w:r w:rsidRPr="0023095A">
              <w:rPr>
                <w:rFonts w:ascii="Arial" w:hAnsi="Arial" w:cs="Arial"/>
                <w:sz w:val="18"/>
                <w:szCs w:val="18"/>
              </w:rPr>
              <w:t xml:space="preserve">D4d Parameter </w:t>
            </w:r>
          </w:p>
        </w:tc>
        <w:tc>
          <w:tcPr>
            <w:tcW w:w="3260" w:type="dxa"/>
            <w:tcBorders>
              <w:top w:val="nil"/>
              <w:left w:val="nil"/>
              <w:bottom w:val="single" w:sz="4" w:space="0" w:color="auto"/>
              <w:right w:val="single" w:sz="4" w:space="0" w:color="auto"/>
            </w:tcBorders>
            <w:shd w:val="clear" w:color="auto" w:fill="auto"/>
            <w:noWrap/>
            <w:hideMark/>
          </w:tcPr>
          <w:p w:rsidR="00391BEE" w:rsidRDefault="00B73F5B" w:rsidP="00391BEE">
            <w:pPr>
              <w:spacing w:before="60" w:after="60"/>
              <w:rPr>
                <w:rFonts w:ascii="Arial" w:hAnsi="Arial" w:cs="Arial"/>
                <w:sz w:val="18"/>
                <w:szCs w:val="18"/>
              </w:rPr>
            </w:pPr>
            <w:r w:rsidRPr="0023095A">
              <w:rPr>
                <w:rFonts w:ascii="Arial" w:hAnsi="Arial" w:cs="Arial"/>
                <w:sz w:val="18"/>
                <w:szCs w:val="18"/>
              </w:rPr>
              <w:t> </w:t>
            </w:r>
          </w:p>
        </w:tc>
      </w:tr>
      <w:tr w:rsidR="0023095A" w:rsidRPr="0023095A" w:rsidTr="001B77B3">
        <w:trPr>
          <w:trHeight w:val="283"/>
        </w:trPr>
        <w:tc>
          <w:tcPr>
            <w:tcW w:w="8232" w:type="dxa"/>
            <w:gridSpan w:val="2"/>
            <w:tcBorders>
              <w:top w:val="nil"/>
              <w:left w:val="single" w:sz="4" w:space="0" w:color="auto"/>
              <w:bottom w:val="single" w:sz="4" w:space="0" w:color="auto"/>
              <w:right w:val="single" w:sz="4" w:space="0" w:color="auto"/>
            </w:tcBorders>
            <w:shd w:val="clear" w:color="auto" w:fill="F2F2F2" w:themeFill="background1" w:themeFillShade="F2"/>
            <w:noWrap/>
            <w:hideMark/>
          </w:tcPr>
          <w:p w:rsidR="00391BEE" w:rsidRDefault="0023095A" w:rsidP="00391BEE">
            <w:pPr>
              <w:spacing w:before="60" w:after="60"/>
              <w:rPr>
                <w:rFonts w:ascii="Arial" w:hAnsi="Arial" w:cs="Arial"/>
                <w:b/>
                <w:sz w:val="18"/>
                <w:szCs w:val="18"/>
              </w:rPr>
            </w:pPr>
            <w:r w:rsidRPr="0023095A">
              <w:rPr>
                <w:rFonts w:ascii="Arial" w:hAnsi="Arial" w:cs="Arial"/>
                <w:b/>
                <w:sz w:val="18"/>
                <w:szCs w:val="18"/>
              </w:rPr>
              <w:t>Consistency </w:t>
            </w:r>
          </w:p>
        </w:tc>
      </w:tr>
      <w:tr w:rsidR="00B73F5B" w:rsidRPr="0023095A" w:rsidTr="00793D79">
        <w:trPr>
          <w:trHeight w:val="283"/>
        </w:trPr>
        <w:tc>
          <w:tcPr>
            <w:tcW w:w="4972" w:type="dxa"/>
            <w:tcBorders>
              <w:top w:val="nil"/>
              <w:left w:val="single" w:sz="4" w:space="0" w:color="auto"/>
              <w:bottom w:val="single" w:sz="4" w:space="0" w:color="auto"/>
              <w:right w:val="single" w:sz="4" w:space="0" w:color="auto"/>
            </w:tcBorders>
            <w:shd w:val="clear" w:color="auto" w:fill="auto"/>
            <w:noWrap/>
            <w:hideMark/>
          </w:tcPr>
          <w:p w:rsidR="00391BEE" w:rsidRDefault="00B73F5B" w:rsidP="00391BEE">
            <w:pPr>
              <w:spacing w:before="60" w:after="60"/>
              <w:rPr>
                <w:rFonts w:ascii="Arial" w:hAnsi="Arial" w:cs="Arial"/>
                <w:sz w:val="18"/>
                <w:szCs w:val="18"/>
              </w:rPr>
            </w:pPr>
            <w:r w:rsidRPr="0023095A">
              <w:rPr>
                <w:rFonts w:ascii="Arial" w:hAnsi="Arial" w:cs="Arial"/>
                <w:sz w:val="18"/>
                <w:szCs w:val="18"/>
              </w:rPr>
              <w:t>C1 Internal consistency</w:t>
            </w:r>
          </w:p>
        </w:tc>
        <w:tc>
          <w:tcPr>
            <w:tcW w:w="3260" w:type="dxa"/>
            <w:tcBorders>
              <w:top w:val="nil"/>
              <w:left w:val="nil"/>
              <w:bottom w:val="single" w:sz="4" w:space="0" w:color="auto"/>
              <w:right w:val="single" w:sz="4" w:space="0" w:color="auto"/>
            </w:tcBorders>
            <w:shd w:val="clear" w:color="auto" w:fill="auto"/>
            <w:noWrap/>
            <w:hideMark/>
          </w:tcPr>
          <w:p w:rsidR="00391BEE" w:rsidRDefault="00B73F5B" w:rsidP="00391BEE">
            <w:pPr>
              <w:spacing w:before="60" w:after="60"/>
              <w:rPr>
                <w:rFonts w:ascii="Arial" w:hAnsi="Arial" w:cs="Arial"/>
                <w:sz w:val="18"/>
                <w:szCs w:val="18"/>
              </w:rPr>
            </w:pPr>
            <w:r w:rsidRPr="0023095A">
              <w:rPr>
                <w:rFonts w:ascii="Arial" w:hAnsi="Arial" w:cs="Arial"/>
                <w:sz w:val="18"/>
                <w:szCs w:val="18"/>
              </w:rPr>
              <w:t> </w:t>
            </w:r>
          </w:p>
        </w:tc>
      </w:tr>
      <w:tr w:rsidR="00B73F5B" w:rsidRPr="0023095A" w:rsidTr="00793D79">
        <w:trPr>
          <w:trHeight w:val="283"/>
        </w:trPr>
        <w:tc>
          <w:tcPr>
            <w:tcW w:w="4972" w:type="dxa"/>
            <w:tcBorders>
              <w:top w:val="nil"/>
              <w:left w:val="single" w:sz="4" w:space="0" w:color="auto"/>
              <w:bottom w:val="single" w:sz="4" w:space="0" w:color="auto"/>
              <w:right w:val="single" w:sz="4" w:space="0" w:color="auto"/>
            </w:tcBorders>
            <w:shd w:val="clear" w:color="auto" w:fill="auto"/>
            <w:noWrap/>
            <w:hideMark/>
          </w:tcPr>
          <w:p w:rsidR="00391BEE" w:rsidRDefault="00B73F5B" w:rsidP="00391BEE">
            <w:pPr>
              <w:spacing w:before="60" w:after="60"/>
              <w:rPr>
                <w:rFonts w:ascii="Arial" w:hAnsi="Arial" w:cs="Arial"/>
                <w:sz w:val="18"/>
                <w:szCs w:val="18"/>
              </w:rPr>
            </w:pPr>
            <w:r w:rsidRPr="0023095A">
              <w:rPr>
                <w:rFonts w:ascii="Arial" w:hAnsi="Arial" w:cs="Arial"/>
                <w:sz w:val="18"/>
                <w:szCs w:val="18"/>
              </w:rPr>
              <w:t>C2 External consistency</w:t>
            </w:r>
          </w:p>
        </w:tc>
        <w:tc>
          <w:tcPr>
            <w:tcW w:w="3260" w:type="dxa"/>
            <w:tcBorders>
              <w:top w:val="nil"/>
              <w:left w:val="nil"/>
              <w:bottom w:val="single" w:sz="4" w:space="0" w:color="auto"/>
              <w:right w:val="single" w:sz="4" w:space="0" w:color="auto"/>
            </w:tcBorders>
            <w:shd w:val="clear" w:color="auto" w:fill="auto"/>
            <w:noWrap/>
            <w:hideMark/>
          </w:tcPr>
          <w:p w:rsidR="00391BEE" w:rsidRDefault="00B73F5B" w:rsidP="00391BEE">
            <w:pPr>
              <w:spacing w:before="60" w:after="60"/>
              <w:rPr>
                <w:rFonts w:ascii="Arial" w:hAnsi="Arial" w:cs="Arial"/>
                <w:sz w:val="18"/>
                <w:szCs w:val="18"/>
              </w:rPr>
            </w:pPr>
            <w:r w:rsidRPr="0023095A">
              <w:rPr>
                <w:rFonts w:ascii="Arial" w:hAnsi="Arial" w:cs="Arial"/>
                <w:sz w:val="18"/>
                <w:szCs w:val="18"/>
              </w:rPr>
              <w:t> </w:t>
            </w:r>
          </w:p>
        </w:tc>
      </w:tr>
    </w:tbl>
    <w:p w:rsidR="00872F7F" w:rsidRDefault="00872F7F" w:rsidP="00872F7F">
      <w:pPr>
        <w:autoSpaceDE w:val="0"/>
        <w:autoSpaceDN w:val="0"/>
        <w:rPr>
          <w:b/>
        </w:rPr>
      </w:pPr>
    </w:p>
    <w:p w:rsidR="00395A52" w:rsidRPr="00395A52" w:rsidRDefault="008524F9" w:rsidP="00395A52">
      <w:pPr>
        <w:pStyle w:val="BMJnormal"/>
      </w:pPr>
      <w:r w:rsidRPr="00395A52">
        <w:t xml:space="preserve">Please send all correspondences to </w:t>
      </w:r>
      <w:r w:rsidR="00880441" w:rsidRPr="00395A52">
        <w:t xml:space="preserve">the </w:t>
      </w:r>
      <w:r w:rsidR="00650602">
        <w:t xml:space="preserve">project </w:t>
      </w:r>
      <w:r w:rsidR="00880441" w:rsidRPr="00395A52">
        <w:t xml:space="preserve">lead, </w:t>
      </w:r>
      <w:r w:rsidRPr="00395A52">
        <w:t>Steve Edwards</w:t>
      </w:r>
      <w:r w:rsidR="00880441" w:rsidRPr="00395A52">
        <w:t>,</w:t>
      </w:r>
      <w:r w:rsidRPr="00395A52">
        <w:t xml:space="preserve"> and </w:t>
      </w:r>
      <w:r w:rsidR="00880441" w:rsidRPr="00395A52">
        <w:t xml:space="preserve">the main reviewer, </w:t>
      </w:r>
      <w:r w:rsidR="00864BCA" w:rsidRPr="00395A52">
        <w:t xml:space="preserve">Mariana </w:t>
      </w:r>
      <w:proofErr w:type="spellStart"/>
      <w:r w:rsidR="00864BCA" w:rsidRPr="00395A52">
        <w:t>Bacelar</w:t>
      </w:r>
      <w:proofErr w:type="spellEnd"/>
      <w:r w:rsidRPr="00395A52">
        <w:t>.</w:t>
      </w:r>
    </w:p>
    <w:p w:rsidR="00872F7F" w:rsidRPr="00395A52" w:rsidRDefault="002971B5" w:rsidP="00395A52">
      <w:pPr>
        <w:pStyle w:val="BMJnormal"/>
      </w:pPr>
      <w:r w:rsidRPr="00395A52">
        <w:t>A Progress R</w:t>
      </w:r>
      <w:r w:rsidR="00872F7F" w:rsidRPr="00395A52">
        <w:t>eport (to NETSCC, HTA who forward it to NICE within 24h)</w:t>
      </w:r>
      <w:r w:rsidR="00FF4AC5" w:rsidRPr="00395A52">
        <w:t xml:space="preserve"> will be submitted </w:t>
      </w:r>
      <w:r w:rsidR="0006740D" w:rsidRPr="00395A52">
        <w:t xml:space="preserve">on </w:t>
      </w:r>
      <w:r w:rsidR="00EF41E6">
        <w:t>19</w:t>
      </w:r>
      <w:r w:rsidR="0006740D" w:rsidRPr="00395A52">
        <w:t xml:space="preserve"> </w:t>
      </w:r>
      <w:r w:rsidR="00864BCA" w:rsidRPr="00395A52">
        <w:t>May 2016;</w:t>
      </w:r>
    </w:p>
    <w:p w:rsidR="00FF4AC5" w:rsidRPr="00395A52" w:rsidRDefault="002971B5" w:rsidP="00395A52">
      <w:pPr>
        <w:pStyle w:val="BMJnormal"/>
      </w:pPr>
      <w:r w:rsidRPr="00395A52">
        <w:t>A draft A</w:t>
      </w:r>
      <w:r w:rsidR="00FF4AC5" w:rsidRPr="00395A52">
        <w:t xml:space="preserve">ssessment Report (simultaneously to NICE and NETSCC, HTA) will be submitted </w:t>
      </w:r>
      <w:r w:rsidR="00BE656B">
        <w:t>“date to be confirmed”.</w:t>
      </w:r>
    </w:p>
    <w:p w:rsidR="004D08E1" w:rsidRDefault="002971B5" w:rsidP="00395A52">
      <w:pPr>
        <w:pStyle w:val="BMJnormal"/>
      </w:pPr>
      <w:r w:rsidRPr="00395A52">
        <w:t xml:space="preserve">The </w:t>
      </w:r>
      <w:r w:rsidR="00872F7F" w:rsidRPr="00395A52">
        <w:t>Assessment Report (simultaneously to NICE and NETSCC, HTA)</w:t>
      </w:r>
      <w:r w:rsidR="00FF4AC5" w:rsidRPr="00395A52">
        <w:t xml:space="preserve"> will be submitted</w:t>
      </w:r>
      <w:r w:rsidR="0006740D" w:rsidRPr="00395A52">
        <w:t xml:space="preserve"> on</w:t>
      </w:r>
      <w:r w:rsidR="00FF4AC5" w:rsidRPr="00395A52">
        <w:t xml:space="preserve"> </w:t>
      </w:r>
      <w:r w:rsidR="00864BCA" w:rsidRPr="00395A52">
        <w:t>8</w:t>
      </w:r>
      <w:r w:rsidR="0006740D" w:rsidRPr="00395A52">
        <w:t xml:space="preserve">th </w:t>
      </w:r>
      <w:r w:rsidR="00864BCA" w:rsidRPr="00395A52">
        <w:t>August 2016.</w:t>
      </w:r>
      <w:bookmarkStart w:id="3" w:name="_Ref291083882"/>
    </w:p>
    <w:p w:rsidR="00395A52" w:rsidRPr="004D08E1" w:rsidRDefault="004D08E1" w:rsidP="004D08E1">
      <w:pPr>
        <w:rPr>
          <w:sz w:val="22"/>
          <w:szCs w:val="22"/>
          <w:lang w:eastAsia="en-US"/>
        </w:rPr>
      </w:pPr>
      <w:r>
        <w:br w:type="page"/>
      </w:r>
    </w:p>
    <w:p w:rsidR="00E6272B" w:rsidRDefault="00E060C2" w:rsidP="00E060C2">
      <w:pPr>
        <w:pStyle w:val="Heading1"/>
      </w:pPr>
      <w:r>
        <w:lastRenderedPageBreak/>
        <w:t>References</w:t>
      </w:r>
      <w:r w:rsidR="00321A01" w:rsidRPr="00765967">
        <w:t xml:space="preserve"> </w:t>
      </w:r>
      <w:bookmarkEnd w:id="3"/>
    </w:p>
    <w:p w:rsidR="00E6272B" w:rsidRPr="001D790D" w:rsidRDefault="00E6272B" w:rsidP="001D790D">
      <w:pPr>
        <w:pStyle w:val="ListParagraph"/>
        <w:tabs>
          <w:tab w:val="left" w:pos="426"/>
          <w:tab w:val="right" w:pos="540"/>
        </w:tabs>
        <w:ind w:left="426" w:hanging="426"/>
        <w:rPr>
          <w:sz w:val="22"/>
          <w:szCs w:val="22"/>
        </w:rPr>
      </w:pPr>
    </w:p>
    <w:p w:rsidR="00960313" w:rsidRPr="001D790D" w:rsidRDefault="009304C3" w:rsidP="001D790D">
      <w:pPr>
        <w:pStyle w:val="EndNoteBibliography"/>
        <w:tabs>
          <w:tab w:val="left" w:pos="426"/>
        </w:tabs>
        <w:ind w:left="426" w:hanging="426"/>
        <w:rPr>
          <w:sz w:val="22"/>
          <w:szCs w:val="22"/>
        </w:rPr>
      </w:pPr>
      <w:r w:rsidRPr="001D790D">
        <w:rPr>
          <w:sz w:val="22"/>
          <w:szCs w:val="22"/>
        </w:rPr>
        <w:fldChar w:fldCharType="begin"/>
      </w:r>
      <w:r w:rsidR="00E6272B" w:rsidRPr="001D790D">
        <w:rPr>
          <w:sz w:val="22"/>
          <w:szCs w:val="22"/>
        </w:rPr>
        <w:instrText xml:space="preserve"> ADDIN EN.REFLIST </w:instrText>
      </w:r>
      <w:r w:rsidRPr="001D790D">
        <w:rPr>
          <w:sz w:val="22"/>
          <w:szCs w:val="22"/>
        </w:rPr>
        <w:fldChar w:fldCharType="separate"/>
      </w:r>
      <w:r w:rsidR="00960313" w:rsidRPr="001D790D">
        <w:rPr>
          <w:sz w:val="22"/>
          <w:szCs w:val="22"/>
        </w:rPr>
        <w:t>1.</w:t>
      </w:r>
      <w:r w:rsidR="00960313" w:rsidRPr="001D790D">
        <w:rPr>
          <w:sz w:val="22"/>
          <w:szCs w:val="22"/>
        </w:rPr>
        <w:tab/>
        <w:t xml:space="preserve">Cancer Research UK. Kidney cancer incidence statistics. Available at </w:t>
      </w:r>
      <w:hyperlink r:id="rId9" w:history="1">
        <w:r w:rsidR="00960313" w:rsidRPr="001D790D">
          <w:rPr>
            <w:rStyle w:val="Hyperlink"/>
            <w:sz w:val="22"/>
            <w:szCs w:val="22"/>
          </w:rPr>
          <w:t>http://wwwcancerresearchukorg/about-cancer/type/kidney-cancer/treatment/statistics-and-outlook-for-kidney-cancer</w:t>
        </w:r>
      </w:hyperlink>
      <w:r w:rsidR="00960313" w:rsidRPr="001D790D">
        <w:rPr>
          <w:sz w:val="22"/>
          <w:szCs w:val="22"/>
        </w:rPr>
        <w:t xml:space="preserve"> [Accessed 02/12/15].</w:t>
      </w:r>
    </w:p>
    <w:p w:rsidR="00960313" w:rsidRPr="001D790D" w:rsidRDefault="00960313" w:rsidP="001D790D">
      <w:pPr>
        <w:pStyle w:val="EndNoteBibliography"/>
        <w:tabs>
          <w:tab w:val="left" w:pos="426"/>
        </w:tabs>
        <w:ind w:left="426" w:hanging="426"/>
        <w:rPr>
          <w:sz w:val="22"/>
          <w:szCs w:val="22"/>
        </w:rPr>
      </w:pPr>
      <w:r w:rsidRPr="001D790D">
        <w:rPr>
          <w:sz w:val="22"/>
          <w:szCs w:val="22"/>
        </w:rPr>
        <w:t>2.</w:t>
      </w:r>
      <w:r w:rsidRPr="001D790D">
        <w:rPr>
          <w:sz w:val="22"/>
          <w:szCs w:val="22"/>
        </w:rPr>
        <w:tab/>
        <w:t>Cancer Research UK. Risks and causes of kidney cancer. Available at http://wwwcancerresearchukorg/about-cancer/type/kidney-cancer/about/risks-and-causes-of-kidney-cancer [Accessedd 17/12/2015].</w:t>
      </w:r>
    </w:p>
    <w:p w:rsidR="00960313" w:rsidRPr="001D790D" w:rsidRDefault="00960313" w:rsidP="001D790D">
      <w:pPr>
        <w:pStyle w:val="EndNoteBibliography"/>
        <w:tabs>
          <w:tab w:val="left" w:pos="426"/>
        </w:tabs>
        <w:ind w:left="426" w:hanging="426"/>
        <w:rPr>
          <w:sz w:val="22"/>
          <w:szCs w:val="22"/>
        </w:rPr>
      </w:pPr>
      <w:r w:rsidRPr="001D790D">
        <w:rPr>
          <w:sz w:val="22"/>
          <w:szCs w:val="22"/>
        </w:rPr>
        <w:t>3.</w:t>
      </w:r>
      <w:r w:rsidRPr="001D790D">
        <w:rPr>
          <w:sz w:val="22"/>
          <w:szCs w:val="22"/>
        </w:rPr>
        <w:tab/>
        <w:t>National Cancer Intelligence Network (NCIN). Kidney Cancer: Survival Report. Available at file:///C:/Private/Downloads/Kidney_cancer_survival_report_April_2014%20(1)pdf [Accessed 17/12/2015].</w:t>
      </w:r>
    </w:p>
    <w:p w:rsidR="00960313" w:rsidRPr="001D790D" w:rsidRDefault="00960313" w:rsidP="001D790D">
      <w:pPr>
        <w:pStyle w:val="EndNoteBibliography"/>
        <w:tabs>
          <w:tab w:val="left" w:pos="426"/>
        </w:tabs>
        <w:ind w:left="426" w:hanging="426"/>
        <w:rPr>
          <w:sz w:val="22"/>
          <w:szCs w:val="22"/>
        </w:rPr>
      </w:pPr>
      <w:r w:rsidRPr="001D790D">
        <w:rPr>
          <w:sz w:val="22"/>
          <w:szCs w:val="22"/>
        </w:rPr>
        <w:t>4.</w:t>
      </w:r>
      <w:r w:rsidRPr="001D790D">
        <w:rPr>
          <w:sz w:val="22"/>
          <w:szCs w:val="22"/>
        </w:rPr>
        <w:tab/>
        <w:t>NHS Choices. Kidney cancer - Treatment. Available at http://wwwnhsuk/Conditions/Cancer-of-the-kidney/Pages/Treatmentaspx [Accessed 17/12/2015].</w:t>
      </w:r>
    </w:p>
    <w:p w:rsidR="00960313" w:rsidRPr="001D790D" w:rsidRDefault="00960313" w:rsidP="001D790D">
      <w:pPr>
        <w:pStyle w:val="EndNoteBibliography"/>
        <w:tabs>
          <w:tab w:val="left" w:pos="426"/>
        </w:tabs>
        <w:ind w:left="426" w:hanging="426"/>
        <w:rPr>
          <w:sz w:val="22"/>
          <w:szCs w:val="22"/>
        </w:rPr>
      </w:pPr>
      <w:r w:rsidRPr="001D790D">
        <w:rPr>
          <w:sz w:val="22"/>
          <w:szCs w:val="22"/>
        </w:rPr>
        <w:t>5.</w:t>
      </w:r>
      <w:r w:rsidRPr="001D790D">
        <w:rPr>
          <w:sz w:val="22"/>
          <w:szCs w:val="22"/>
        </w:rPr>
        <w:tab/>
        <w:t>National Institute for Health and Care Excellence (NICE). Sunitinib for the first-line treatment of advanced and/or metastatic renal cell carcinoma. Technology appraisal guidance Published: 25 March 2009. Available at https://wwwniceorguk/guidance/ta169/resources/sunitinib-for-the-firstline-treatment-of-advanced-andor-metastatic-renal-cell-carcinoma-82598383607749 [Accessed 17/12/2015]. 2009.</w:t>
      </w:r>
    </w:p>
    <w:p w:rsidR="00960313" w:rsidRPr="001D790D" w:rsidRDefault="00960313" w:rsidP="001D790D">
      <w:pPr>
        <w:pStyle w:val="EndNoteBibliography"/>
        <w:tabs>
          <w:tab w:val="left" w:pos="426"/>
        </w:tabs>
        <w:ind w:left="426" w:hanging="426"/>
        <w:rPr>
          <w:sz w:val="22"/>
          <w:szCs w:val="22"/>
        </w:rPr>
      </w:pPr>
      <w:r w:rsidRPr="001D790D">
        <w:rPr>
          <w:sz w:val="22"/>
          <w:szCs w:val="22"/>
        </w:rPr>
        <w:t>6.</w:t>
      </w:r>
      <w:r w:rsidRPr="001D790D">
        <w:rPr>
          <w:sz w:val="22"/>
          <w:szCs w:val="22"/>
        </w:rPr>
        <w:tab/>
        <w:t>National Institute for Health and Care Excellence (NICE). Pazopanib for the first-line treatment of advanced renal cell carcinoma. Technology appraisal guidance Published: 23 February 2011. Available at https://wwwniceorguk/guidance/ta215/resources/pazopanib-for-the-firstline-treatment-of-advanced-renal-cell-carcinoma-82600251340741 [Accessed 17/12/2015]. 2011.</w:t>
      </w:r>
    </w:p>
    <w:p w:rsidR="00960313" w:rsidRPr="001D790D" w:rsidRDefault="00960313" w:rsidP="001D790D">
      <w:pPr>
        <w:pStyle w:val="EndNoteBibliography"/>
        <w:tabs>
          <w:tab w:val="left" w:pos="426"/>
        </w:tabs>
        <w:ind w:left="426" w:hanging="426"/>
        <w:rPr>
          <w:sz w:val="22"/>
          <w:szCs w:val="22"/>
        </w:rPr>
      </w:pPr>
      <w:r w:rsidRPr="001D790D">
        <w:rPr>
          <w:sz w:val="22"/>
          <w:szCs w:val="22"/>
        </w:rPr>
        <w:t>7.</w:t>
      </w:r>
      <w:r w:rsidRPr="001D790D">
        <w:rPr>
          <w:sz w:val="22"/>
          <w:szCs w:val="22"/>
        </w:rPr>
        <w:tab/>
        <w:t>National Institute for Health and Care Excellence (NICE). Axitinib for treating advanced renal cell carcinoma after failure of prior systemic treatment. Technology appraisal guidance Published: 25 February 2015. Available at https://wwwniceorguk/guidance/ta333/resources/axitinib-for-treating-advanced-renal-cell-carcinoma-after-failure-of-prior-systemic-treatment-82602545696197 [Accessed 02/12/15]. 2015.</w:t>
      </w:r>
    </w:p>
    <w:p w:rsidR="00960313" w:rsidRPr="001D790D" w:rsidRDefault="00960313" w:rsidP="001D790D">
      <w:pPr>
        <w:pStyle w:val="EndNoteBibliography"/>
        <w:tabs>
          <w:tab w:val="left" w:pos="426"/>
        </w:tabs>
        <w:ind w:left="426" w:hanging="426"/>
        <w:rPr>
          <w:sz w:val="22"/>
          <w:szCs w:val="22"/>
        </w:rPr>
      </w:pPr>
      <w:r w:rsidRPr="001D790D">
        <w:rPr>
          <w:sz w:val="22"/>
          <w:szCs w:val="22"/>
        </w:rPr>
        <w:t>8.</w:t>
      </w:r>
      <w:r w:rsidRPr="001D790D">
        <w:rPr>
          <w:sz w:val="22"/>
          <w:szCs w:val="22"/>
        </w:rPr>
        <w:tab/>
        <w:t>Centre for Reviews and Dissemination (CRD). CRD’s guidance for undertaking reviews in healthcare. 2011. [accessed September 2015]; Available from: http://wwwyorkacuk/inst/crd/SysRev/!SSL!/WebHelp/SysRev3htm).</w:t>
      </w:r>
    </w:p>
    <w:p w:rsidR="00960313" w:rsidRPr="001D790D" w:rsidRDefault="00960313" w:rsidP="001D790D">
      <w:pPr>
        <w:pStyle w:val="EndNoteBibliography"/>
        <w:tabs>
          <w:tab w:val="left" w:pos="426"/>
        </w:tabs>
        <w:ind w:left="426" w:hanging="426"/>
        <w:rPr>
          <w:sz w:val="22"/>
          <w:szCs w:val="22"/>
        </w:rPr>
      </w:pPr>
      <w:r w:rsidRPr="001D790D">
        <w:rPr>
          <w:sz w:val="22"/>
          <w:szCs w:val="22"/>
        </w:rPr>
        <w:t>9.</w:t>
      </w:r>
      <w:r w:rsidRPr="001D790D">
        <w:rPr>
          <w:sz w:val="22"/>
          <w:szCs w:val="22"/>
        </w:rPr>
        <w:tab/>
        <w:t>National Institute for Health and Care Excellence (NICE). Guide to the methods of technology appraisal 2013. Available at https://www.nice.org.uk/article/pmg9/resources/non-guidance-guide-to-the-methods-of-technology-appraisal-2013-pdf, 2013.</w:t>
      </w:r>
    </w:p>
    <w:p w:rsidR="00960313" w:rsidRPr="001D790D" w:rsidRDefault="00960313" w:rsidP="001D790D">
      <w:pPr>
        <w:pStyle w:val="EndNoteBibliography"/>
        <w:tabs>
          <w:tab w:val="left" w:pos="426"/>
        </w:tabs>
        <w:ind w:left="426" w:hanging="426"/>
        <w:rPr>
          <w:sz w:val="22"/>
          <w:szCs w:val="22"/>
        </w:rPr>
      </w:pPr>
      <w:r w:rsidRPr="001D790D">
        <w:rPr>
          <w:sz w:val="22"/>
          <w:szCs w:val="22"/>
        </w:rPr>
        <w:t>10.</w:t>
      </w:r>
      <w:r w:rsidRPr="001D790D">
        <w:rPr>
          <w:sz w:val="22"/>
          <w:szCs w:val="22"/>
        </w:rPr>
        <w:tab/>
        <w:t>Higgins JPT, Green S. Cochrane Handbook for Systematic Reviews of Interventions. The Cochrane Collaboration. 2011;Version 5.1.0.</w:t>
      </w:r>
    </w:p>
    <w:p w:rsidR="00960313" w:rsidRPr="001D790D" w:rsidRDefault="00960313" w:rsidP="001D790D">
      <w:pPr>
        <w:pStyle w:val="EndNoteBibliography"/>
        <w:tabs>
          <w:tab w:val="left" w:pos="426"/>
        </w:tabs>
        <w:ind w:left="426" w:hanging="426"/>
        <w:rPr>
          <w:sz w:val="22"/>
          <w:szCs w:val="22"/>
        </w:rPr>
      </w:pPr>
      <w:r w:rsidRPr="001D790D">
        <w:rPr>
          <w:sz w:val="22"/>
          <w:szCs w:val="22"/>
        </w:rPr>
        <w:t>11.</w:t>
      </w:r>
      <w:r w:rsidRPr="001D790D">
        <w:rPr>
          <w:sz w:val="22"/>
          <w:szCs w:val="22"/>
        </w:rPr>
        <w:tab/>
        <w:t>Dias S, Welton NJ, Sutton AJ, Ades AE. NICE DSU Technical Support Document 2: A Generalised Linear Modelling Framework for Pairwise and Network Meta-Analysis of Randomised Controlled Trials. 2011 last updated April 2014. Report No.</w:t>
      </w:r>
    </w:p>
    <w:p w:rsidR="00960313" w:rsidRPr="001D790D" w:rsidRDefault="00960313" w:rsidP="001D790D">
      <w:pPr>
        <w:pStyle w:val="EndNoteBibliography"/>
        <w:tabs>
          <w:tab w:val="left" w:pos="426"/>
        </w:tabs>
        <w:ind w:left="426" w:hanging="426"/>
        <w:rPr>
          <w:sz w:val="22"/>
          <w:szCs w:val="22"/>
        </w:rPr>
      </w:pPr>
      <w:r w:rsidRPr="001D790D">
        <w:rPr>
          <w:sz w:val="22"/>
          <w:szCs w:val="22"/>
        </w:rPr>
        <w:t>12.</w:t>
      </w:r>
      <w:r w:rsidRPr="001D790D">
        <w:rPr>
          <w:sz w:val="22"/>
          <w:szCs w:val="22"/>
        </w:rPr>
        <w:tab/>
        <w:t>Philips Z, Ginnelly L, Sculpher M, Claxton K, Golder S, Riemsma R, et al. Review of guidelines for good practice in decision-analytic modelling in health technology assessment. Health technology assessment. 2004;8(36):iii-iv, ix-xi, 1-158.</w:t>
      </w:r>
    </w:p>
    <w:p w:rsidR="00960313" w:rsidRPr="001D790D" w:rsidRDefault="00960313" w:rsidP="001D790D">
      <w:pPr>
        <w:pStyle w:val="EndNoteBibliography"/>
        <w:tabs>
          <w:tab w:val="left" w:pos="426"/>
        </w:tabs>
        <w:ind w:left="426" w:hanging="426"/>
        <w:rPr>
          <w:sz w:val="22"/>
          <w:szCs w:val="22"/>
        </w:rPr>
      </w:pPr>
      <w:r w:rsidRPr="001D790D">
        <w:rPr>
          <w:sz w:val="22"/>
          <w:szCs w:val="22"/>
        </w:rPr>
        <w:t>13.</w:t>
      </w:r>
      <w:r w:rsidRPr="001D790D">
        <w:rPr>
          <w:sz w:val="22"/>
          <w:szCs w:val="22"/>
        </w:rPr>
        <w:tab/>
        <w:t>Kalthenhaler E, Tappenden P, Paisely S, Squires H. NICE DSU Technical Support Document 13: Identifying and reviewing evidence to inform the conceptualisation and population of cost-effectiveness models. 2011.</w:t>
      </w:r>
    </w:p>
    <w:p w:rsidR="00960313" w:rsidRPr="001D790D" w:rsidRDefault="00960313" w:rsidP="001D790D">
      <w:pPr>
        <w:pStyle w:val="EndNoteBibliography"/>
        <w:tabs>
          <w:tab w:val="left" w:pos="426"/>
        </w:tabs>
        <w:ind w:left="426" w:hanging="426"/>
        <w:rPr>
          <w:sz w:val="22"/>
          <w:szCs w:val="22"/>
        </w:rPr>
      </w:pPr>
      <w:r w:rsidRPr="001D790D">
        <w:rPr>
          <w:sz w:val="22"/>
          <w:szCs w:val="22"/>
        </w:rPr>
        <w:t>14.</w:t>
      </w:r>
      <w:r w:rsidRPr="001D790D">
        <w:rPr>
          <w:sz w:val="22"/>
          <w:szCs w:val="22"/>
        </w:rPr>
        <w:tab/>
        <w:t>Brown AM, Drewe JA, Hartmann HA, Taglialatela M, De Biasi M, Soman K, et al. The potassium pore and its regulation. Annals of the New York Academy of Sciences. 1993;707:74-80.</w:t>
      </w:r>
    </w:p>
    <w:p w:rsidR="00960313" w:rsidRPr="001D790D" w:rsidRDefault="00960313" w:rsidP="001D790D">
      <w:pPr>
        <w:pStyle w:val="EndNoteBibliography"/>
        <w:tabs>
          <w:tab w:val="left" w:pos="426"/>
        </w:tabs>
        <w:ind w:left="426" w:hanging="426"/>
        <w:rPr>
          <w:sz w:val="22"/>
          <w:szCs w:val="22"/>
        </w:rPr>
      </w:pPr>
      <w:r w:rsidRPr="001D790D">
        <w:rPr>
          <w:sz w:val="22"/>
          <w:szCs w:val="22"/>
        </w:rPr>
        <w:lastRenderedPageBreak/>
        <w:t>15.</w:t>
      </w:r>
      <w:r w:rsidRPr="001D790D">
        <w:rPr>
          <w:sz w:val="22"/>
          <w:szCs w:val="22"/>
        </w:rPr>
        <w:tab/>
        <w:t>National Institute for Health and Care Excellence (NICE). Bevacizumab (first-line), sorafenib (first- and second-line), sunitinib (second-line) and temsirolimus (firstline) for the treatment of advanced and/or metastatic renal cell carcinoma. Available athttps://wwwniceorguk/guidance/ta178/resources/bevacizumab-firstline-sorafenib-first-and-secondline-sunitinib-secondline-and-temsirolimus-firstline-for-the-treatment-of-advanced-andor-metastatic-renal-cell-carcinoma-82598442394309 [Accessed 02/12/15]. 2009;NICE technology appraisal guidance 178; guidance.nice.org.uk/ta178.</w:t>
      </w:r>
    </w:p>
    <w:p w:rsidR="00960313" w:rsidRPr="001D790D" w:rsidRDefault="00960313" w:rsidP="001D790D">
      <w:pPr>
        <w:pStyle w:val="EndNoteBibliography"/>
        <w:tabs>
          <w:tab w:val="left" w:pos="426"/>
        </w:tabs>
        <w:ind w:left="426" w:hanging="426"/>
        <w:rPr>
          <w:sz w:val="22"/>
          <w:szCs w:val="22"/>
        </w:rPr>
      </w:pPr>
      <w:r w:rsidRPr="001D790D">
        <w:rPr>
          <w:sz w:val="22"/>
          <w:szCs w:val="22"/>
        </w:rPr>
        <w:t>16.</w:t>
      </w:r>
      <w:r w:rsidRPr="001D790D">
        <w:rPr>
          <w:sz w:val="22"/>
          <w:szCs w:val="22"/>
        </w:rPr>
        <w:tab/>
        <w:t>De Robertis A, Mennillo F, Rossi M, Valensin S, Tunici P, Mori E, et al. Human Sarcoma growth is sensitive to small-molecule mediated AXIN stabilization. PloS one. 2014;9(5):e97847.</w:t>
      </w:r>
    </w:p>
    <w:p w:rsidR="00960313" w:rsidRPr="001D790D" w:rsidRDefault="00960313" w:rsidP="001D790D">
      <w:pPr>
        <w:pStyle w:val="EndNoteBibliography"/>
        <w:tabs>
          <w:tab w:val="left" w:pos="426"/>
        </w:tabs>
        <w:ind w:left="426" w:hanging="426"/>
        <w:rPr>
          <w:sz w:val="22"/>
          <w:szCs w:val="22"/>
        </w:rPr>
      </w:pPr>
      <w:r w:rsidRPr="001D790D">
        <w:rPr>
          <w:sz w:val="22"/>
          <w:szCs w:val="22"/>
        </w:rPr>
        <w:t>17.</w:t>
      </w:r>
      <w:r w:rsidRPr="001D790D">
        <w:rPr>
          <w:sz w:val="22"/>
          <w:szCs w:val="22"/>
        </w:rPr>
        <w:tab/>
        <w:t>British National Formulary. BNF 69 [Internet]. 2015.</w:t>
      </w:r>
    </w:p>
    <w:p w:rsidR="00960313" w:rsidRPr="001D790D" w:rsidRDefault="00960313" w:rsidP="001D790D">
      <w:pPr>
        <w:pStyle w:val="EndNoteBibliography"/>
        <w:tabs>
          <w:tab w:val="left" w:pos="426"/>
        </w:tabs>
        <w:ind w:left="426" w:hanging="426"/>
        <w:rPr>
          <w:sz w:val="22"/>
          <w:szCs w:val="22"/>
        </w:rPr>
      </w:pPr>
      <w:r w:rsidRPr="001D790D">
        <w:rPr>
          <w:sz w:val="22"/>
          <w:szCs w:val="22"/>
        </w:rPr>
        <w:t>18.</w:t>
      </w:r>
      <w:r w:rsidRPr="001D790D">
        <w:rPr>
          <w:sz w:val="22"/>
          <w:szCs w:val="22"/>
        </w:rPr>
        <w:tab/>
        <w:t>Curtis L. Unit Costs of Health &amp; Social Care 2014. Personal Social Services Research Unit (PSSRU)2014 13/04/2015.</w:t>
      </w:r>
    </w:p>
    <w:p w:rsidR="00F12EEA" w:rsidRPr="00143005" w:rsidRDefault="009304C3" w:rsidP="001D790D">
      <w:pPr>
        <w:pStyle w:val="ListParagraph"/>
        <w:tabs>
          <w:tab w:val="left" w:pos="426"/>
          <w:tab w:val="right" w:pos="540"/>
        </w:tabs>
        <w:ind w:left="426" w:hanging="426"/>
        <w:rPr>
          <w:sz w:val="22"/>
          <w:szCs w:val="22"/>
        </w:rPr>
      </w:pPr>
      <w:r w:rsidRPr="001D790D">
        <w:rPr>
          <w:sz w:val="22"/>
          <w:szCs w:val="22"/>
        </w:rPr>
        <w:fldChar w:fldCharType="end"/>
      </w:r>
    </w:p>
    <w:sectPr w:rsidR="00F12EEA" w:rsidRPr="00143005" w:rsidSect="00516E5B">
      <w:pgSz w:w="11906" w:h="16838"/>
      <w:pgMar w:top="1440" w:right="1800" w:bottom="1440" w:left="180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6B4D99D" w15:done="0"/>
  <w15:commentEx w15:paraId="230D34A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176A" w:rsidRDefault="00FA176A">
      <w:r>
        <w:separator/>
      </w:r>
    </w:p>
  </w:endnote>
  <w:endnote w:type="continuationSeparator" w:id="0">
    <w:p w:rsidR="00FA176A" w:rsidRDefault="00FA1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M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NewBaskervilleITCbyBT-Roman">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176A" w:rsidRDefault="00FA176A">
      <w:r>
        <w:separator/>
      </w:r>
    </w:p>
  </w:footnote>
  <w:footnote w:type="continuationSeparator" w:id="0">
    <w:p w:rsidR="00FA176A" w:rsidRDefault="00FA17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A1ED3"/>
    <w:multiLevelType w:val="hybridMultilevel"/>
    <w:tmpl w:val="59C8D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B5F5AC5"/>
    <w:multiLevelType w:val="hybridMultilevel"/>
    <w:tmpl w:val="C0FAD21A"/>
    <w:lvl w:ilvl="0" w:tplc="7AEE7B2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80A5AFA"/>
    <w:multiLevelType w:val="multilevel"/>
    <w:tmpl w:val="695C7F96"/>
    <w:lvl w:ilvl="0">
      <w:start w:val="1"/>
      <w:numFmt w:val="decimal"/>
      <w:pStyle w:val="Heading1"/>
      <w:lvlText w:val="%1"/>
      <w:lvlJc w:val="left"/>
      <w:pPr>
        <w:ind w:left="432" w:hanging="432"/>
      </w:pPr>
      <w:rPr>
        <w:rFonts w:ascii="Arial" w:hAnsi="Arial" w:cs="Arial"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nsid w:val="1DF87B6E"/>
    <w:multiLevelType w:val="hybridMultilevel"/>
    <w:tmpl w:val="ABAC7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30A606F"/>
    <w:multiLevelType w:val="hybridMultilevel"/>
    <w:tmpl w:val="997C9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6DE4C5E"/>
    <w:multiLevelType w:val="hybridMultilevel"/>
    <w:tmpl w:val="05A280AE"/>
    <w:lvl w:ilvl="0" w:tplc="2694706C">
      <w:start w:val="1"/>
      <w:numFmt w:val="decimal"/>
      <w:pStyle w:val="BMJ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A0D02BC"/>
    <w:multiLevelType w:val="hybridMultilevel"/>
    <w:tmpl w:val="46466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D5A21C0"/>
    <w:multiLevelType w:val="hybridMultilevel"/>
    <w:tmpl w:val="18D88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01375AD"/>
    <w:multiLevelType w:val="hybridMultilevel"/>
    <w:tmpl w:val="0C600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0B247DA"/>
    <w:multiLevelType w:val="hybridMultilevel"/>
    <w:tmpl w:val="68001ED2"/>
    <w:lvl w:ilvl="0" w:tplc="97D0A9B0">
      <w:start w:val="1"/>
      <w:numFmt w:val="bullet"/>
      <w:pStyle w:val="BMJ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10D70E2"/>
    <w:multiLevelType w:val="hybridMultilevel"/>
    <w:tmpl w:val="ACCA5CA8"/>
    <w:lvl w:ilvl="0" w:tplc="0144E24A">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31A94D23"/>
    <w:multiLevelType w:val="hybridMultilevel"/>
    <w:tmpl w:val="606EE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3092B48"/>
    <w:multiLevelType w:val="hybridMultilevel"/>
    <w:tmpl w:val="3E90A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3B42B94"/>
    <w:multiLevelType w:val="hybridMultilevel"/>
    <w:tmpl w:val="1792A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8182AB9"/>
    <w:multiLevelType w:val="hybridMultilevel"/>
    <w:tmpl w:val="7EBA0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93742ED"/>
    <w:multiLevelType w:val="hybridMultilevel"/>
    <w:tmpl w:val="E80A6B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FE1592C"/>
    <w:multiLevelType w:val="hybridMultilevel"/>
    <w:tmpl w:val="4B2A0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20F0BF0"/>
    <w:multiLevelType w:val="hybridMultilevel"/>
    <w:tmpl w:val="CE9E2032"/>
    <w:lvl w:ilvl="0" w:tplc="A17EC80C">
      <w:start w:val="1"/>
      <w:numFmt w:val="bullet"/>
      <w:pStyle w:val="1Tex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6C24BEE"/>
    <w:multiLevelType w:val="hybridMultilevel"/>
    <w:tmpl w:val="7F1CEC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48B769F3"/>
    <w:multiLevelType w:val="hybridMultilevel"/>
    <w:tmpl w:val="D430E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E4321C2"/>
    <w:multiLevelType w:val="hybridMultilevel"/>
    <w:tmpl w:val="C5284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373339E"/>
    <w:multiLevelType w:val="hybridMultilevel"/>
    <w:tmpl w:val="6442C418"/>
    <w:lvl w:ilvl="0" w:tplc="5360F21A">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60113F8F"/>
    <w:multiLevelType w:val="hybridMultilevel"/>
    <w:tmpl w:val="A8BCB1D0"/>
    <w:lvl w:ilvl="0" w:tplc="0144E24A">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nsid w:val="65535B56"/>
    <w:multiLevelType w:val="hybridMultilevel"/>
    <w:tmpl w:val="40DE1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96F2189"/>
    <w:multiLevelType w:val="hybridMultilevel"/>
    <w:tmpl w:val="DD246504"/>
    <w:lvl w:ilvl="0" w:tplc="9418D3B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C2804C2"/>
    <w:multiLevelType w:val="hybridMultilevel"/>
    <w:tmpl w:val="4F5289A2"/>
    <w:lvl w:ilvl="0" w:tplc="F0FCB2EA">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E2A071E"/>
    <w:multiLevelType w:val="hybridMultilevel"/>
    <w:tmpl w:val="71309702"/>
    <w:lvl w:ilvl="0" w:tplc="436E3EDC">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nsid w:val="6FF01FA0"/>
    <w:multiLevelType w:val="hybridMultilevel"/>
    <w:tmpl w:val="3E20D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57F6B49"/>
    <w:multiLevelType w:val="hybridMultilevel"/>
    <w:tmpl w:val="2BF84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6AF78EE"/>
    <w:multiLevelType w:val="hybridMultilevel"/>
    <w:tmpl w:val="AF0E310E"/>
    <w:lvl w:ilvl="0" w:tplc="13A4C99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7E96C9A"/>
    <w:multiLevelType w:val="hybridMultilevel"/>
    <w:tmpl w:val="5DBC5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A085308"/>
    <w:multiLevelType w:val="hybridMultilevel"/>
    <w:tmpl w:val="31365D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A2705E0"/>
    <w:multiLevelType w:val="hybridMultilevel"/>
    <w:tmpl w:val="1226B8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AC652A1"/>
    <w:multiLevelType w:val="hybridMultilevel"/>
    <w:tmpl w:val="3EEC3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C046713"/>
    <w:multiLevelType w:val="hybridMultilevel"/>
    <w:tmpl w:val="25163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10"/>
  </w:num>
  <w:num w:numId="3">
    <w:abstractNumId w:val="6"/>
  </w:num>
  <w:num w:numId="4">
    <w:abstractNumId w:val="2"/>
  </w:num>
  <w:num w:numId="5">
    <w:abstractNumId w:val="2"/>
  </w:num>
  <w:num w:numId="6">
    <w:abstractNumId w:val="3"/>
  </w:num>
  <w:num w:numId="7">
    <w:abstractNumId w:val="9"/>
  </w:num>
  <w:num w:numId="8">
    <w:abstractNumId w:val="27"/>
  </w:num>
  <w:num w:numId="9">
    <w:abstractNumId w:val="31"/>
  </w:num>
  <w:num w:numId="10">
    <w:abstractNumId w:val="26"/>
  </w:num>
  <w:num w:numId="11">
    <w:abstractNumId w:val="13"/>
  </w:num>
  <w:num w:numId="12">
    <w:abstractNumId w:val="35"/>
  </w:num>
  <w:num w:numId="13">
    <w:abstractNumId w:val="5"/>
  </w:num>
  <w:num w:numId="14">
    <w:abstractNumId w:val="20"/>
  </w:num>
  <w:num w:numId="15">
    <w:abstractNumId w:val="21"/>
  </w:num>
  <w:num w:numId="16">
    <w:abstractNumId w:val="25"/>
  </w:num>
  <w:num w:numId="17">
    <w:abstractNumId w:val="4"/>
  </w:num>
  <w:num w:numId="18">
    <w:abstractNumId w:val="1"/>
  </w:num>
  <w:num w:numId="19">
    <w:abstractNumId w:val="22"/>
  </w:num>
  <w:num w:numId="20">
    <w:abstractNumId w:val="30"/>
  </w:num>
  <w:num w:numId="21">
    <w:abstractNumId w:val="19"/>
  </w:num>
  <w:num w:numId="22">
    <w:abstractNumId w:val="23"/>
  </w:num>
  <w:num w:numId="23">
    <w:abstractNumId w:val="11"/>
  </w:num>
  <w:num w:numId="24">
    <w:abstractNumId w:val="14"/>
  </w:num>
  <w:num w:numId="25">
    <w:abstractNumId w:val="32"/>
  </w:num>
  <w:num w:numId="26">
    <w:abstractNumId w:val="17"/>
  </w:num>
  <w:num w:numId="27">
    <w:abstractNumId w:val="33"/>
  </w:num>
  <w:num w:numId="28">
    <w:abstractNumId w:val="8"/>
  </w:num>
  <w:num w:numId="29">
    <w:abstractNumId w:val="15"/>
  </w:num>
  <w:num w:numId="30">
    <w:abstractNumId w:val="7"/>
  </w:num>
  <w:num w:numId="31">
    <w:abstractNumId w:val="12"/>
  </w:num>
  <w:num w:numId="32">
    <w:abstractNumId w:val="34"/>
  </w:num>
  <w:num w:numId="33">
    <w:abstractNumId w:val="29"/>
  </w:num>
  <w:num w:numId="34">
    <w:abstractNumId w:val="16"/>
  </w:num>
  <w:num w:numId="35">
    <w:abstractNumId w:val="24"/>
  </w:num>
  <w:num w:numId="36">
    <w:abstractNumId w:val="28"/>
  </w:num>
  <w:num w:numId="37">
    <w:abstractNumId w:val="0"/>
  </w:num>
  <w:numIdMacAtCleanup w:val="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drea Berardi">
    <w15:presenceInfo w15:providerId="AD" w15:userId="S-1-5-21-1229272821-1292428093-839522115-326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Vancouver&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2zd9vv2gsxse8ed0f5vdr57sz05f92pd5tx&quot;&gt;mvelthoven@bmj.com&lt;record-ids&gt;&lt;item&gt;108&lt;/item&gt;&lt;item&gt;110&lt;/item&gt;&lt;item&gt;125&lt;/item&gt;&lt;item&gt;159&lt;/item&gt;&lt;item&gt;1368&lt;/item&gt;&lt;item&gt;2181&lt;/item&gt;&lt;item&gt;4946&lt;/item&gt;&lt;item&gt;7355&lt;/item&gt;&lt;item&gt;7356&lt;/item&gt;&lt;item&gt;7357&lt;/item&gt;&lt;item&gt;7358&lt;/item&gt;&lt;item&gt;7359&lt;/item&gt;&lt;item&gt;7360&lt;/item&gt;&lt;item&gt;7361&lt;/item&gt;&lt;item&gt;14429&lt;/item&gt;&lt;/record-ids&gt;&lt;/item&gt;&lt;/Libraries&gt;"/>
    <w:docVar w:name="REFMGR.InstantFormat" w:val="&lt;InstantFormat&gt;&lt;Enabled&gt;1&lt;/Enabled&gt;&lt;ScanUnformatted&gt;1&lt;/ScanUnformatted&gt;&lt;ScanChanges&gt;1&lt;/ScanChanges&gt;&lt;/InstantFormat&gt;"/>
    <w:docVar w:name="REFMGR.Layout" w:val="&lt;Layout&gt;&lt;StartingRefnum&gt;Vancouver&lt;/StartingRefnum&gt;&lt;FontName&gt;Times New Roman&lt;/FontName&gt;&lt;FontSize&gt;11&lt;/FontSize&gt;&lt;ReflistTitle&gt;Reference List&lt;/ReflistTitle&gt;&lt;SpaceAfter&gt;1&lt;/SpaceAfter&gt;&lt;ReflistOrder&gt;0&lt;/ReflistOrder&gt;&lt;CitationOrder&gt;0&lt;/CitationOrder&gt;&lt;NumberReferences&gt;1&lt;/NumberReferences&gt;&lt;FirstLineIndent&gt;0&lt;/FirstLineIndent&gt;&lt;HangingIndent&gt;0&lt;/HangingIndent&gt;&lt;LineSpacing&gt;0&lt;/LineSpacing&gt;&lt;ShowReprint&gt;1&lt;/ShowReprint&gt;&lt;ShowNotes&gt;0&lt;/ShowNotes&gt;&lt;ShowKeywords&gt;0&lt;/ShowKeywords&gt;&lt;ShortFormFields&gt;0&lt;/ShortFormFields&gt;&lt;ShowRecordID&gt;0&lt;/ShowRecordID&gt;&lt;ShowAbstract&gt;0&lt;/ShowAbstract&gt;&lt;/Layout&gt;"/>
    <w:docVar w:name="REFMGR.Libraries" w:val="&lt;Databases&gt;&lt;Libraries&gt;&lt;item&gt;Topotecan_MTA_report&lt;/item&gt;&lt;/Libraries&gt;&lt;/Databases&gt;"/>
  </w:docVars>
  <w:rsids>
    <w:rsidRoot w:val="00872F7F"/>
    <w:rsid w:val="000042EB"/>
    <w:rsid w:val="00004396"/>
    <w:rsid w:val="00013A89"/>
    <w:rsid w:val="00015EF0"/>
    <w:rsid w:val="00021193"/>
    <w:rsid w:val="00024642"/>
    <w:rsid w:val="00025670"/>
    <w:rsid w:val="00026122"/>
    <w:rsid w:val="00030F63"/>
    <w:rsid w:val="00032A59"/>
    <w:rsid w:val="00032CF7"/>
    <w:rsid w:val="00032DA2"/>
    <w:rsid w:val="00040542"/>
    <w:rsid w:val="00044F00"/>
    <w:rsid w:val="00046B35"/>
    <w:rsid w:val="0005116F"/>
    <w:rsid w:val="00052F35"/>
    <w:rsid w:val="00054394"/>
    <w:rsid w:val="000562F7"/>
    <w:rsid w:val="000651E4"/>
    <w:rsid w:val="0006740D"/>
    <w:rsid w:val="000675EC"/>
    <w:rsid w:val="00074414"/>
    <w:rsid w:val="0007447C"/>
    <w:rsid w:val="00075AC3"/>
    <w:rsid w:val="000846C1"/>
    <w:rsid w:val="000853E8"/>
    <w:rsid w:val="00085581"/>
    <w:rsid w:val="0008708B"/>
    <w:rsid w:val="00090A7A"/>
    <w:rsid w:val="00095D8A"/>
    <w:rsid w:val="00097DE8"/>
    <w:rsid w:val="000A0CCF"/>
    <w:rsid w:val="000A0ECC"/>
    <w:rsid w:val="000A3725"/>
    <w:rsid w:val="000A75C0"/>
    <w:rsid w:val="000B0B48"/>
    <w:rsid w:val="000B142B"/>
    <w:rsid w:val="000C0110"/>
    <w:rsid w:val="000C1F24"/>
    <w:rsid w:val="000D03B3"/>
    <w:rsid w:val="000D3622"/>
    <w:rsid w:val="000D3B3E"/>
    <w:rsid w:val="000D70F5"/>
    <w:rsid w:val="000E0314"/>
    <w:rsid w:val="000F01D2"/>
    <w:rsid w:val="000F19E5"/>
    <w:rsid w:val="00103E8B"/>
    <w:rsid w:val="00104094"/>
    <w:rsid w:val="00104FA3"/>
    <w:rsid w:val="00104FC7"/>
    <w:rsid w:val="001060D9"/>
    <w:rsid w:val="00106160"/>
    <w:rsid w:val="00114AF3"/>
    <w:rsid w:val="001170C1"/>
    <w:rsid w:val="0012179A"/>
    <w:rsid w:val="00122CC1"/>
    <w:rsid w:val="00122FC8"/>
    <w:rsid w:val="001325C0"/>
    <w:rsid w:val="001420F9"/>
    <w:rsid w:val="00143005"/>
    <w:rsid w:val="00145120"/>
    <w:rsid w:val="00152558"/>
    <w:rsid w:val="00153E1A"/>
    <w:rsid w:val="001547CD"/>
    <w:rsid w:val="00156227"/>
    <w:rsid w:val="00156BCD"/>
    <w:rsid w:val="0016040E"/>
    <w:rsid w:val="00160B4A"/>
    <w:rsid w:val="00162762"/>
    <w:rsid w:val="001630CD"/>
    <w:rsid w:val="001670DB"/>
    <w:rsid w:val="00170544"/>
    <w:rsid w:val="00170560"/>
    <w:rsid w:val="00173F62"/>
    <w:rsid w:val="00184FCA"/>
    <w:rsid w:val="00185617"/>
    <w:rsid w:val="0019173D"/>
    <w:rsid w:val="00193331"/>
    <w:rsid w:val="0019489F"/>
    <w:rsid w:val="00194CA1"/>
    <w:rsid w:val="00195E10"/>
    <w:rsid w:val="001A3FA3"/>
    <w:rsid w:val="001A477E"/>
    <w:rsid w:val="001A684B"/>
    <w:rsid w:val="001A6BB6"/>
    <w:rsid w:val="001A7461"/>
    <w:rsid w:val="001A7C7C"/>
    <w:rsid w:val="001B120E"/>
    <w:rsid w:val="001B14B3"/>
    <w:rsid w:val="001B3B04"/>
    <w:rsid w:val="001B490D"/>
    <w:rsid w:val="001B76E0"/>
    <w:rsid w:val="001B77B3"/>
    <w:rsid w:val="001C1757"/>
    <w:rsid w:val="001C21B4"/>
    <w:rsid w:val="001C4D68"/>
    <w:rsid w:val="001C6172"/>
    <w:rsid w:val="001C695D"/>
    <w:rsid w:val="001C7176"/>
    <w:rsid w:val="001D05F0"/>
    <w:rsid w:val="001D12AC"/>
    <w:rsid w:val="001D1D3A"/>
    <w:rsid w:val="001D346B"/>
    <w:rsid w:val="001D6DE9"/>
    <w:rsid w:val="001D790D"/>
    <w:rsid w:val="001D7AA9"/>
    <w:rsid w:val="001E22A0"/>
    <w:rsid w:val="001F3191"/>
    <w:rsid w:val="002013DC"/>
    <w:rsid w:val="00202F44"/>
    <w:rsid w:val="00203061"/>
    <w:rsid w:val="00207C2E"/>
    <w:rsid w:val="002115D1"/>
    <w:rsid w:val="00213983"/>
    <w:rsid w:val="00214747"/>
    <w:rsid w:val="00215767"/>
    <w:rsid w:val="00225555"/>
    <w:rsid w:val="00230743"/>
    <w:rsid w:val="0023095A"/>
    <w:rsid w:val="00233570"/>
    <w:rsid w:val="002341DB"/>
    <w:rsid w:val="00240CC3"/>
    <w:rsid w:val="00250483"/>
    <w:rsid w:val="00260A3F"/>
    <w:rsid w:val="00261BB6"/>
    <w:rsid w:val="0026346F"/>
    <w:rsid w:val="00263858"/>
    <w:rsid w:val="00271ED1"/>
    <w:rsid w:val="00272A4C"/>
    <w:rsid w:val="00273EA0"/>
    <w:rsid w:val="00274BA0"/>
    <w:rsid w:val="002876E9"/>
    <w:rsid w:val="00287A6A"/>
    <w:rsid w:val="002971B5"/>
    <w:rsid w:val="002977D8"/>
    <w:rsid w:val="002A0926"/>
    <w:rsid w:val="002A0A8E"/>
    <w:rsid w:val="002A4F50"/>
    <w:rsid w:val="002A4FFC"/>
    <w:rsid w:val="002A5F1A"/>
    <w:rsid w:val="002A7377"/>
    <w:rsid w:val="002B0FD3"/>
    <w:rsid w:val="002B4001"/>
    <w:rsid w:val="002B633B"/>
    <w:rsid w:val="002C02E4"/>
    <w:rsid w:val="002C197C"/>
    <w:rsid w:val="002C212F"/>
    <w:rsid w:val="002C43D6"/>
    <w:rsid w:val="002C5F0A"/>
    <w:rsid w:val="002C6A80"/>
    <w:rsid w:val="002C7345"/>
    <w:rsid w:val="002C7B8A"/>
    <w:rsid w:val="002C7DD9"/>
    <w:rsid w:val="002D05D9"/>
    <w:rsid w:val="002D11C6"/>
    <w:rsid w:val="002D3E3D"/>
    <w:rsid w:val="002D52EB"/>
    <w:rsid w:val="002D6DCD"/>
    <w:rsid w:val="002E05C4"/>
    <w:rsid w:val="002E16F5"/>
    <w:rsid w:val="002E372B"/>
    <w:rsid w:val="002F03DD"/>
    <w:rsid w:val="002F33F0"/>
    <w:rsid w:val="002F4713"/>
    <w:rsid w:val="003008D1"/>
    <w:rsid w:val="0030095E"/>
    <w:rsid w:val="0030221A"/>
    <w:rsid w:val="0030302D"/>
    <w:rsid w:val="0031199E"/>
    <w:rsid w:val="00314A47"/>
    <w:rsid w:val="00317028"/>
    <w:rsid w:val="003209E7"/>
    <w:rsid w:val="00320ABE"/>
    <w:rsid w:val="00321A01"/>
    <w:rsid w:val="0032583E"/>
    <w:rsid w:val="00325F07"/>
    <w:rsid w:val="003304A1"/>
    <w:rsid w:val="00334255"/>
    <w:rsid w:val="00334521"/>
    <w:rsid w:val="00334BB9"/>
    <w:rsid w:val="00335CF3"/>
    <w:rsid w:val="0034086F"/>
    <w:rsid w:val="003413D5"/>
    <w:rsid w:val="0034356C"/>
    <w:rsid w:val="00343698"/>
    <w:rsid w:val="00346898"/>
    <w:rsid w:val="0034759D"/>
    <w:rsid w:val="003520B8"/>
    <w:rsid w:val="0035492A"/>
    <w:rsid w:val="0036261F"/>
    <w:rsid w:val="003647D7"/>
    <w:rsid w:val="0036702A"/>
    <w:rsid w:val="00367D7F"/>
    <w:rsid w:val="00370942"/>
    <w:rsid w:val="003739DB"/>
    <w:rsid w:val="00373C73"/>
    <w:rsid w:val="003743EF"/>
    <w:rsid w:val="0037502A"/>
    <w:rsid w:val="00376FCC"/>
    <w:rsid w:val="00382610"/>
    <w:rsid w:val="0038387E"/>
    <w:rsid w:val="0038546D"/>
    <w:rsid w:val="00387013"/>
    <w:rsid w:val="0038730E"/>
    <w:rsid w:val="00387A65"/>
    <w:rsid w:val="00391BEE"/>
    <w:rsid w:val="00392903"/>
    <w:rsid w:val="0039467F"/>
    <w:rsid w:val="00395A52"/>
    <w:rsid w:val="003A0C5C"/>
    <w:rsid w:val="003A2083"/>
    <w:rsid w:val="003A25E7"/>
    <w:rsid w:val="003B0A50"/>
    <w:rsid w:val="003B2C6B"/>
    <w:rsid w:val="003B476B"/>
    <w:rsid w:val="003B4DC7"/>
    <w:rsid w:val="003B6CD6"/>
    <w:rsid w:val="003B7D86"/>
    <w:rsid w:val="003C2B92"/>
    <w:rsid w:val="003C6625"/>
    <w:rsid w:val="003D64DD"/>
    <w:rsid w:val="003D68C5"/>
    <w:rsid w:val="003D74E8"/>
    <w:rsid w:val="003E1D1C"/>
    <w:rsid w:val="003E21AA"/>
    <w:rsid w:val="003E23F0"/>
    <w:rsid w:val="003E55BA"/>
    <w:rsid w:val="003F2989"/>
    <w:rsid w:val="003F3D39"/>
    <w:rsid w:val="003F47B1"/>
    <w:rsid w:val="003F5CF2"/>
    <w:rsid w:val="003F61FF"/>
    <w:rsid w:val="003F684B"/>
    <w:rsid w:val="003F6A40"/>
    <w:rsid w:val="003F76D4"/>
    <w:rsid w:val="00400913"/>
    <w:rsid w:val="00402AD2"/>
    <w:rsid w:val="00404A34"/>
    <w:rsid w:val="00405B6B"/>
    <w:rsid w:val="004108AF"/>
    <w:rsid w:val="00411E46"/>
    <w:rsid w:val="00412992"/>
    <w:rsid w:val="004130E2"/>
    <w:rsid w:val="004175B3"/>
    <w:rsid w:val="004179E3"/>
    <w:rsid w:val="0042378B"/>
    <w:rsid w:val="00427896"/>
    <w:rsid w:val="004363F3"/>
    <w:rsid w:val="00437ADA"/>
    <w:rsid w:val="00445856"/>
    <w:rsid w:val="00445D0A"/>
    <w:rsid w:val="00457171"/>
    <w:rsid w:val="0045749E"/>
    <w:rsid w:val="00460582"/>
    <w:rsid w:val="0046414E"/>
    <w:rsid w:val="00464C7A"/>
    <w:rsid w:val="00474982"/>
    <w:rsid w:val="00476A0B"/>
    <w:rsid w:val="00485BB0"/>
    <w:rsid w:val="00490543"/>
    <w:rsid w:val="00491FF1"/>
    <w:rsid w:val="004A03F8"/>
    <w:rsid w:val="004A129D"/>
    <w:rsid w:val="004A133B"/>
    <w:rsid w:val="004A2D2F"/>
    <w:rsid w:val="004A442A"/>
    <w:rsid w:val="004B3B55"/>
    <w:rsid w:val="004B4057"/>
    <w:rsid w:val="004B78A5"/>
    <w:rsid w:val="004B794D"/>
    <w:rsid w:val="004C0273"/>
    <w:rsid w:val="004C3ABC"/>
    <w:rsid w:val="004D08E1"/>
    <w:rsid w:val="004D1375"/>
    <w:rsid w:val="004D2D08"/>
    <w:rsid w:val="004D66B2"/>
    <w:rsid w:val="004E573D"/>
    <w:rsid w:val="004E6396"/>
    <w:rsid w:val="004E7553"/>
    <w:rsid w:val="004F0C22"/>
    <w:rsid w:val="004F273B"/>
    <w:rsid w:val="004F41CB"/>
    <w:rsid w:val="00501A01"/>
    <w:rsid w:val="00503E03"/>
    <w:rsid w:val="00504A80"/>
    <w:rsid w:val="005126DC"/>
    <w:rsid w:val="00516C6D"/>
    <w:rsid w:val="00516E5B"/>
    <w:rsid w:val="00517113"/>
    <w:rsid w:val="0053194A"/>
    <w:rsid w:val="00533346"/>
    <w:rsid w:val="005343AE"/>
    <w:rsid w:val="0054291C"/>
    <w:rsid w:val="00542CAD"/>
    <w:rsid w:val="005438B0"/>
    <w:rsid w:val="00545E9F"/>
    <w:rsid w:val="0056144A"/>
    <w:rsid w:val="00561A98"/>
    <w:rsid w:val="00561FA1"/>
    <w:rsid w:val="00566614"/>
    <w:rsid w:val="00577C7F"/>
    <w:rsid w:val="00580B15"/>
    <w:rsid w:val="00580B81"/>
    <w:rsid w:val="00580D3C"/>
    <w:rsid w:val="005829C3"/>
    <w:rsid w:val="005843BD"/>
    <w:rsid w:val="005A0B6B"/>
    <w:rsid w:val="005A1746"/>
    <w:rsid w:val="005A2864"/>
    <w:rsid w:val="005B2C27"/>
    <w:rsid w:val="005B7058"/>
    <w:rsid w:val="005C102D"/>
    <w:rsid w:val="005C589D"/>
    <w:rsid w:val="005D152E"/>
    <w:rsid w:val="005D1CB4"/>
    <w:rsid w:val="005D220F"/>
    <w:rsid w:val="005D314D"/>
    <w:rsid w:val="005D486E"/>
    <w:rsid w:val="005D48AD"/>
    <w:rsid w:val="005E13C9"/>
    <w:rsid w:val="005E3D2E"/>
    <w:rsid w:val="005E52D3"/>
    <w:rsid w:val="005F343A"/>
    <w:rsid w:val="005F61A8"/>
    <w:rsid w:val="005F6481"/>
    <w:rsid w:val="005F6BF3"/>
    <w:rsid w:val="005F7767"/>
    <w:rsid w:val="00600866"/>
    <w:rsid w:val="00602136"/>
    <w:rsid w:val="006022E0"/>
    <w:rsid w:val="006031FD"/>
    <w:rsid w:val="006059E2"/>
    <w:rsid w:val="006144D2"/>
    <w:rsid w:val="00616A4D"/>
    <w:rsid w:val="006208F0"/>
    <w:rsid w:val="00622F83"/>
    <w:rsid w:val="00630652"/>
    <w:rsid w:val="006321B2"/>
    <w:rsid w:val="00633676"/>
    <w:rsid w:val="006349B9"/>
    <w:rsid w:val="00636A8C"/>
    <w:rsid w:val="0063769B"/>
    <w:rsid w:val="00642091"/>
    <w:rsid w:val="00643482"/>
    <w:rsid w:val="00644461"/>
    <w:rsid w:val="006444B6"/>
    <w:rsid w:val="006463C0"/>
    <w:rsid w:val="00650602"/>
    <w:rsid w:val="006521D5"/>
    <w:rsid w:val="006543BD"/>
    <w:rsid w:val="00654757"/>
    <w:rsid w:val="00656CEC"/>
    <w:rsid w:val="006607F1"/>
    <w:rsid w:val="00662003"/>
    <w:rsid w:val="006623EB"/>
    <w:rsid w:val="00665688"/>
    <w:rsid w:val="00665BAC"/>
    <w:rsid w:val="0066624C"/>
    <w:rsid w:val="006708D7"/>
    <w:rsid w:val="00674892"/>
    <w:rsid w:val="0067798E"/>
    <w:rsid w:val="0068170E"/>
    <w:rsid w:val="00682C77"/>
    <w:rsid w:val="00697181"/>
    <w:rsid w:val="00697DE9"/>
    <w:rsid w:val="00697FF0"/>
    <w:rsid w:val="006A2054"/>
    <w:rsid w:val="006A68FD"/>
    <w:rsid w:val="006B03AB"/>
    <w:rsid w:val="006B1E6A"/>
    <w:rsid w:val="006B2E3F"/>
    <w:rsid w:val="006B47C7"/>
    <w:rsid w:val="006B509D"/>
    <w:rsid w:val="006B5C1F"/>
    <w:rsid w:val="006C1807"/>
    <w:rsid w:val="006C1D0E"/>
    <w:rsid w:val="006D1ABB"/>
    <w:rsid w:val="006D3B70"/>
    <w:rsid w:val="006D40AA"/>
    <w:rsid w:val="006D72F9"/>
    <w:rsid w:val="006E6114"/>
    <w:rsid w:val="006F0502"/>
    <w:rsid w:val="006F11C1"/>
    <w:rsid w:val="006F5A2D"/>
    <w:rsid w:val="006F6644"/>
    <w:rsid w:val="006F7B46"/>
    <w:rsid w:val="006F7F6F"/>
    <w:rsid w:val="00702606"/>
    <w:rsid w:val="007028D1"/>
    <w:rsid w:val="007052E2"/>
    <w:rsid w:val="00705846"/>
    <w:rsid w:val="0070689A"/>
    <w:rsid w:val="007127A3"/>
    <w:rsid w:val="00716B9C"/>
    <w:rsid w:val="0072460F"/>
    <w:rsid w:val="00726F32"/>
    <w:rsid w:val="00732049"/>
    <w:rsid w:val="0073372F"/>
    <w:rsid w:val="00742213"/>
    <w:rsid w:val="00746C4C"/>
    <w:rsid w:val="00747B98"/>
    <w:rsid w:val="007508F4"/>
    <w:rsid w:val="0075110D"/>
    <w:rsid w:val="00752FFF"/>
    <w:rsid w:val="00753832"/>
    <w:rsid w:val="007656DC"/>
    <w:rsid w:val="00765967"/>
    <w:rsid w:val="0077040C"/>
    <w:rsid w:val="0077276F"/>
    <w:rsid w:val="007729E3"/>
    <w:rsid w:val="00775B13"/>
    <w:rsid w:val="007764FA"/>
    <w:rsid w:val="007820D7"/>
    <w:rsid w:val="007852F9"/>
    <w:rsid w:val="0079077B"/>
    <w:rsid w:val="00790B49"/>
    <w:rsid w:val="00791F8F"/>
    <w:rsid w:val="00793D79"/>
    <w:rsid w:val="00794062"/>
    <w:rsid w:val="007A0106"/>
    <w:rsid w:val="007A28D8"/>
    <w:rsid w:val="007A2F5B"/>
    <w:rsid w:val="007A4E24"/>
    <w:rsid w:val="007A586A"/>
    <w:rsid w:val="007A6086"/>
    <w:rsid w:val="007B1699"/>
    <w:rsid w:val="007B3159"/>
    <w:rsid w:val="007B6A43"/>
    <w:rsid w:val="007C16B6"/>
    <w:rsid w:val="007C4E1A"/>
    <w:rsid w:val="007D590B"/>
    <w:rsid w:val="007D597C"/>
    <w:rsid w:val="007D5B50"/>
    <w:rsid w:val="007E2756"/>
    <w:rsid w:val="007E357E"/>
    <w:rsid w:val="007E6945"/>
    <w:rsid w:val="007F0963"/>
    <w:rsid w:val="007F1457"/>
    <w:rsid w:val="007F2E26"/>
    <w:rsid w:val="007F3255"/>
    <w:rsid w:val="007F39C7"/>
    <w:rsid w:val="007F4B89"/>
    <w:rsid w:val="0080325A"/>
    <w:rsid w:val="00803FF1"/>
    <w:rsid w:val="00806A21"/>
    <w:rsid w:val="00807CBE"/>
    <w:rsid w:val="00807E06"/>
    <w:rsid w:val="00807E2C"/>
    <w:rsid w:val="008100A5"/>
    <w:rsid w:val="008122E6"/>
    <w:rsid w:val="00814512"/>
    <w:rsid w:val="0081792B"/>
    <w:rsid w:val="0082069B"/>
    <w:rsid w:val="00822FB1"/>
    <w:rsid w:val="00827B55"/>
    <w:rsid w:val="0083005F"/>
    <w:rsid w:val="00830F1B"/>
    <w:rsid w:val="008414FA"/>
    <w:rsid w:val="00850847"/>
    <w:rsid w:val="008524F9"/>
    <w:rsid w:val="008526E0"/>
    <w:rsid w:val="00857937"/>
    <w:rsid w:val="00860658"/>
    <w:rsid w:val="0086202A"/>
    <w:rsid w:val="00862151"/>
    <w:rsid w:val="008649FB"/>
    <w:rsid w:val="00864BCA"/>
    <w:rsid w:val="00865321"/>
    <w:rsid w:val="00865621"/>
    <w:rsid w:val="00867F20"/>
    <w:rsid w:val="00872F7F"/>
    <w:rsid w:val="008733ED"/>
    <w:rsid w:val="008764CC"/>
    <w:rsid w:val="00880441"/>
    <w:rsid w:val="00880E60"/>
    <w:rsid w:val="00881299"/>
    <w:rsid w:val="0088226C"/>
    <w:rsid w:val="00885F09"/>
    <w:rsid w:val="0089020C"/>
    <w:rsid w:val="00892029"/>
    <w:rsid w:val="00896341"/>
    <w:rsid w:val="008A0BEF"/>
    <w:rsid w:val="008A1193"/>
    <w:rsid w:val="008A1221"/>
    <w:rsid w:val="008A238E"/>
    <w:rsid w:val="008A2E71"/>
    <w:rsid w:val="008A4306"/>
    <w:rsid w:val="008A432F"/>
    <w:rsid w:val="008A5882"/>
    <w:rsid w:val="008A73EE"/>
    <w:rsid w:val="008A743E"/>
    <w:rsid w:val="008B0E92"/>
    <w:rsid w:val="008B1787"/>
    <w:rsid w:val="008B272C"/>
    <w:rsid w:val="008B7F4A"/>
    <w:rsid w:val="008C348F"/>
    <w:rsid w:val="008C644E"/>
    <w:rsid w:val="008D30BA"/>
    <w:rsid w:val="008D3917"/>
    <w:rsid w:val="008E4DD8"/>
    <w:rsid w:val="008E7607"/>
    <w:rsid w:val="008F22B9"/>
    <w:rsid w:val="008F3A3C"/>
    <w:rsid w:val="008F4684"/>
    <w:rsid w:val="008F52AD"/>
    <w:rsid w:val="008F6BBD"/>
    <w:rsid w:val="008F70C6"/>
    <w:rsid w:val="008F7BDB"/>
    <w:rsid w:val="009004AC"/>
    <w:rsid w:val="00901896"/>
    <w:rsid w:val="00901F85"/>
    <w:rsid w:val="00902E2F"/>
    <w:rsid w:val="009069BB"/>
    <w:rsid w:val="0090790D"/>
    <w:rsid w:val="009118EE"/>
    <w:rsid w:val="00911C73"/>
    <w:rsid w:val="00914906"/>
    <w:rsid w:val="00917A06"/>
    <w:rsid w:val="0092146E"/>
    <w:rsid w:val="0092303E"/>
    <w:rsid w:val="00924773"/>
    <w:rsid w:val="00930141"/>
    <w:rsid w:val="009304C3"/>
    <w:rsid w:val="00930B9D"/>
    <w:rsid w:val="00936B5C"/>
    <w:rsid w:val="0094088D"/>
    <w:rsid w:val="00950409"/>
    <w:rsid w:val="00951063"/>
    <w:rsid w:val="0095296B"/>
    <w:rsid w:val="00952D16"/>
    <w:rsid w:val="00960313"/>
    <w:rsid w:val="0096187E"/>
    <w:rsid w:val="00964776"/>
    <w:rsid w:val="00966072"/>
    <w:rsid w:val="00967722"/>
    <w:rsid w:val="00974536"/>
    <w:rsid w:val="0097586A"/>
    <w:rsid w:val="00975F6B"/>
    <w:rsid w:val="00977F65"/>
    <w:rsid w:val="009821B5"/>
    <w:rsid w:val="00983928"/>
    <w:rsid w:val="00986DA0"/>
    <w:rsid w:val="009A08C5"/>
    <w:rsid w:val="009A2E29"/>
    <w:rsid w:val="009A54F9"/>
    <w:rsid w:val="009B4260"/>
    <w:rsid w:val="009B5BA7"/>
    <w:rsid w:val="009C5BD0"/>
    <w:rsid w:val="009C5D5A"/>
    <w:rsid w:val="009C63D9"/>
    <w:rsid w:val="009C7037"/>
    <w:rsid w:val="009D0328"/>
    <w:rsid w:val="009D218B"/>
    <w:rsid w:val="009D21EC"/>
    <w:rsid w:val="009D2724"/>
    <w:rsid w:val="009D4231"/>
    <w:rsid w:val="009E04F6"/>
    <w:rsid w:val="009E23D8"/>
    <w:rsid w:val="009E2964"/>
    <w:rsid w:val="009E3DC2"/>
    <w:rsid w:val="009E4182"/>
    <w:rsid w:val="009F2914"/>
    <w:rsid w:val="009F29AF"/>
    <w:rsid w:val="009F424A"/>
    <w:rsid w:val="009F5A13"/>
    <w:rsid w:val="00A00244"/>
    <w:rsid w:val="00A004CB"/>
    <w:rsid w:val="00A03C20"/>
    <w:rsid w:val="00A053D7"/>
    <w:rsid w:val="00A06846"/>
    <w:rsid w:val="00A06F2C"/>
    <w:rsid w:val="00A10FFF"/>
    <w:rsid w:val="00A12375"/>
    <w:rsid w:val="00A12E29"/>
    <w:rsid w:val="00A140E4"/>
    <w:rsid w:val="00A155E3"/>
    <w:rsid w:val="00A23A2E"/>
    <w:rsid w:val="00A24FC3"/>
    <w:rsid w:val="00A250B0"/>
    <w:rsid w:val="00A315AA"/>
    <w:rsid w:val="00A33A7D"/>
    <w:rsid w:val="00A33D66"/>
    <w:rsid w:val="00A40869"/>
    <w:rsid w:val="00A426C0"/>
    <w:rsid w:val="00A452BA"/>
    <w:rsid w:val="00A4616E"/>
    <w:rsid w:val="00A61026"/>
    <w:rsid w:val="00A662C6"/>
    <w:rsid w:val="00A67586"/>
    <w:rsid w:val="00A717D6"/>
    <w:rsid w:val="00A7766E"/>
    <w:rsid w:val="00A77B5C"/>
    <w:rsid w:val="00A80AD0"/>
    <w:rsid w:val="00A83136"/>
    <w:rsid w:val="00A83A8C"/>
    <w:rsid w:val="00A84927"/>
    <w:rsid w:val="00A86306"/>
    <w:rsid w:val="00A910EC"/>
    <w:rsid w:val="00A920E0"/>
    <w:rsid w:val="00A927D6"/>
    <w:rsid w:val="00A96BA3"/>
    <w:rsid w:val="00A97923"/>
    <w:rsid w:val="00AA1C92"/>
    <w:rsid w:val="00AA23F1"/>
    <w:rsid w:val="00AA4845"/>
    <w:rsid w:val="00AA623A"/>
    <w:rsid w:val="00AB10CB"/>
    <w:rsid w:val="00AB13F4"/>
    <w:rsid w:val="00AB2C46"/>
    <w:rsid w:val="00AB4514"/>
    <w:rsid w:val="00AB4E14"/>
    <w:rsid w:val="00AB5C3F"/>
    <w:rsid w:val="00AB7931"/>
    <w:rsid w:val="00AC2843"/>
    <w:rsid w:val="00AC55CB"/>
    <w:rsid w:val="00AD2181"/>
    <w:rsid w:val="00AD5D96"/>
    <w:rsid w:val="00AD646A"/>
    <w:rsid w:val="00AD7EED"/>
    <w:rsid w:val="00AE1013"/>
    <w:rsid w:val="00AE3617"/>
    <w:rsid w:val="00AE69CE"/>
    <w:rsid w:val="00AF1E15"/>
    <w:rsid w:val="00AF56E3"/>
    <w:rsid w:val="00AF5CDD"/>
    <w:rsid w:val="00AF78B6"/>
    <w:rsid w:val="00AF7C85"/>
    <w:rsid w:val="00B009E5"/>
    <w:rsid w:val="00B01A97"/>
    <w:rsid w:val="00B0207D"/>
    <w:rsid w:val="00B06A07"/>
    <w:rsid w:val="00B16417"/>
    <w:rsid w:val="00B16B6C"/>
    <w:rsid w:val="00B175AF"/>
    <w:rsid w:val="00B32021"/>
    <w:rsid w:val="00B333A5"/>
    <w:rsid w:val="00B36A03"/>
    <w:rsid w:val="00B40E56"/>
    <w:rsid w:val="00B42093"/>
    <w:rsid w:val="00B44035"/>
    <w:rsid w:val="00B44D96"/>
    <w:rsid w:val="00B45D05"/>
    <w:rsid w:val="00B50287"/>
    <w:rsid w:val="00B51B37"/>
    <w:rsid w:val="00B52B16"/>
    <w:rsid w:val="00B534E5"/>
    <w:rsid w:val="00B53B65"/>
    <w:rsid w:val="00B61F68"/>
    <w:rsid w:val="00B62F82"/>
    <w:rsid w:val="00B634AE"/>
    <w:rsid w:val="00B6456E"/>
    <w:rsid w:val="00B66282"/>
    <w:rsid w:val="00B66623"/>
    <w:rsid w:val="00B7074D"/>
    <w:rsid w:val="00B72E18"/>
    <w:rsid w:val="00B73F5B"/>
    <w:rsid w:val="00B75CEA"/>
    <w:rsid w:val="00B76D77"/>
    <w:rsid w:val="00B82362"/>
    <w:rsid w:val="00B84358"/>
    <w:rsid w:val="00B855C3"/>
    <w:rsid w:val="00B86A87"/>
    <w:rsid w:val="00B92074"/>
    <w:rsid w:val="00B930C2"/>
    <w:rsid w:val="00B94806"/>
    <w:rsid w:val="00B96A17"/>
    <w:rsid w:val="00BA1DAF"/>
    <w:rsid w:val="00BA3FE7"/>
    <w:rsid w:val="00BB39B9"/>
    <w:rsid w:val="00BB4973"/>
    <w:rsid w:val="00BB4C41"/>
    <w:rsid w:val="00BB7E5A"/>
    <w:rsid w:val="00BC08A5"/>
    <w:rsid w:val="00BC4184"/>
    <w:rsid w:val="00BC448A"/>
    <w:rsid w:val="00BD1B19"/>
    <w:rsid w:val="00BD1BE6"/>
    <w:rsid w:val="00BD1E62"/>
    <w:rsid w:val="00BD2D69"/>
    <w:rsid w:val="00BD3565"/>
    <w:rsid w:val="00BD5C83"/>
    <w:rsid w:val="00BE0465"/>
    <w:rsid w:val="00BE05D7"/>
    <w:rsid w:val="00BE0E68"/>
    <w:rsid w:val="00BE382A"/>
    <w:rsid w:val="00BE3B9C"/>
    <w:rsid w:val="00BE5F56"/>
    <w:rsid w:val="00BE5FE9"/>
    <w:rsid w:val="00BE6192"/>
    <w:rsid w:val="00BE656B"/>
    <w:rsid w:val="00C0233C"/>
    <w:rsid w:val="00C04C21"/>
    <w:rsid w:val="00C05A8D"/>
    <w:rsid w:val="00C15719"/>
    <w:rsid w:val="00C258C2"/>
    <w:rsid w:val="00C26CDB"/>
    <w:rsid w:val="00C26F7C"/>
    <w:rsid w:val="00C31141"/>
    <w:rsid w:val="00C3450F"/>
    <w:rsid w:val="00C400B9"/>
    <w:rsid w:val="00C4299C"/>
    <w:rsid w:val="00C43452"/>
    <w:rsid w:val="00C452DE"/>
    <w:rsid w:val="00C45FA8"/>
    <w:rsid w:val="00C47755"/>
    <w:rsid w:val="00C5354C"/>
    <w:rsid w:val="00C53A51"/>
    <w:rsid w:val="00C544C7"/>
    <w:rsid w:val="00C56907"/>
    <w:rsid w:val="00C706F5"/>
    <w:rsid w:val="00C7700D"/>
    <w:rsid w:val="00C77F8B"/>
    <w:rsid w:val="00C837E5"/>
    <w:rsid w:val="00C8508E"/>
    <w:rsid w:val="00C853D8"/>
    <w:rsid w:val="00C8624C"/>
    <w:rsid w:val="00C87F43"/>
    <w:rsid w:val="00C90846"/>
    <w:rsid w:val="00C92705"/>
    <w:rsid w:val="00C94736"/>
    <w:rsid w:val="00CA14FB"/>
    <w:rsid w:val="00CA1FE0"/>
    <w:rsid w:val="00CA578E"/>
    <w:rsid w:val="00CA6E1D"/>
    <w:rsid w:val="00CA6EF6"/>
    <w:rsid w:val="00CB44C6"/>
    <w:rsid w:val="00CB6425"/>
    <w:rsid w:val="00CB6503"/>
    <w:rsid w:val="00CB74D2"/>
    <w:rsid w:val="00CC1610"/>
    <w:rsid w:val="00CC5853"/>
    <w:rsid w:val="00CC739D"/>
    <w:rsid w:val="00CC743B"/>
    <w:rsid w:val="00CC77D1"/>
    <w:rsid w:val="00CD072D"/>
    <w:rsid w:val="00CD6CDF"/>
    <w:rsid w:val="00CE1EC4"/>
    <w:rsid w:val="00CE2EAE"/>
    <w:rsid w:val="00CE73AB"/>
    <w:rsid w:val="00CF06F6"/>
    <w:rsid w:val="00CF166D"/>
    <w:rsid w:val="00D032EE"/>
    <w:rsid w:val="00D04FA4"/>
    <w:rsid w:val="00D05BC5"/>
    <w:rsid w:val="00D0736B"/>
    <w:rsid w:val="00D13052"/>
    <w:rsid w:val="00D13F4D"/>
    <w:rsid w:val="00D16434"/>
    <w:rsid w:val="00D17C79"/>
    <w:rsid w:val="00D24862"/>
    <w:rsid w:val="00D25918"/>
    <w:rsid w:val="00D30C47"/>
    <w:rsid w:val="00D30EE0"/>
    <w:rsid w:val="00D330F8"/>
    <w:rsid w:val="00D462B7"/>
    <w:rsid w:val="00D46B98"/>
    <w:rsid w:val="00D47817"/>
    <w:rsid w:val="00D519E7"/>
    <w:rsid w:val="00D51BD6"/>
    <w:rsid w:val="00D52C21"/>
    <w:rsid w:val="00D602C6"/>
    <w:rsid w:val="00D611E7"/>
    <w:rsid w:val="00D624BF"/>
    <w:rsid w:val="00D63C40"/>
    <w:rsid w:val="00D6489B"/>
    <w:rsid w:val="00D65325"/>
    <w:rsid w:val="00D70000"/>
    <w:rsid w:val="00D7053D"/>
    <w:rsid w:val="00D733B7"/>
    <w:rsid w:val="00D7446C"/>
    <w:rsid w:val="00D84214"/>
    <w:rsid w:val="00D85B54"/>
    <w:rsid w:val="00D87623"/>
    <w:rsid w:val="00D92236"/>
    <w:rsid w:val="00D941D7"/>
    <w:rsid w:val="00D9477C"/>
    <w:rsid w:val="00DA290A"/>
    <w:rsid w:val="00DA6B49"/>
    <w:rsid w:val="00DA6CCF"/>
    <w:rsid w:val="00DB0569"/>
    <w:rsid w:val="00DB0FBB"/>
    <w:rsid w:val="00DB4CAE"/>
    <w:rsid w:val="00DB5FC1"/>
    <w:rsid w:val="00DD021C"/>
    <w:rsid w:val="00DD1215"/>
    <w:rsid w:val="00DE0F3E"/>
    <w:rsid w:val="00DE5DC2"/>
    <w:rsid w:val="00DE610E"/>
    <w:rsid w:val="00DE6379"/>
    <w:rsid w:val="00DE7F24"/>
    <w:rsid w:val="00DF1982"/>
    <w:rsid w:val="00DF3D15"/>
    <w:rsid w:val="00DF6C1D"/>
    <w:rsid w:val="00E060C2"/>
    <w:rsid w:val="00E06478"/>
    <w:rsid w:val="00E06788"/>
    <w:rsid w:val="00E06DE5"/>
    <w:rsid w:val="00E10798"/>
    <w:rsid w:val="00E11B4A"/>
    <w:rsid w:val="00E124B7"/>
    <w:rsid w:val="00E13015"/>
    <w:rsid w:val="00E1607B"/>
    <w:rsid w:val="00E21D0D"/>
    <w:rsid w:val="00E24199"/>
    <w:rsid w:val="00E24841"/>
    <w:rsid w:val="00E302CF"/>
    <w:rsid w:val="00E323A1"/>
    <w:rsid w:val="00E36C7E"/>
    <w:rsid w:val="00E37360"/>
    <w:rsid w:val="00E41B6D"/>
    <w:rsid w:val="00E473F4"/>
    <w:rsid w:val="00E50C9B"/>
    <w:rsid w:val="00E5110F"/>
    <w:rsid w:val="00E52E71"/>
    <w:rsid w:val="00E6272B"/>
    <w:rsid w:val="00E666AD"/>
    <w:rsid w:val="00E67CEE"/>
    <w:rsid w:val="00E7521F"/>
    <w:rsid w:val="00E7523F"/>
    <w:rsid w:val="00E76564"/>
    <w:rsid w:val="00E80417"/>
    <w:rsid w:val="00E80AD8"/>
    <w:rsid w:val="00E86515"/>
    <w:rsid w:val="00E917E4"/>
    <w:rsid w:val="00E95DA4"/>
    <w:rsid w:val="00EA2292"/>
    <w:rsid w:val="00EA3755"/>
    <w:rsid w:val="00EA6C5C"/>
    <w:rsid w:val="00EB2E06"/>
    <w:rsid w:val="00EB50A1"/>
    <w:rsid w:val="00EB63F7"/>
    <w:rsid w:val="00EB7028"/>
    <w:rsid w:val="00EC5365"/>
    <w:rsid w:val="00ED0D79"/>
    <w:rsid w:val="00ED1518"/>
    <w:rsid w:val="00ED58F9"/>
    <w:rsid w:val="00ED668A"/>
    <w:rsid w:val="00EE0B05"/>
    <w:rsid w:val="00EE1A8A"/>
    <w:rsid w:val="00EE4B9E"/>
    <w:rsid w:val="00EE5248"/>
    <w:rsid w:val="00EE713C"/>
    <w:rsid w:val="00EF050E"/>
    <w:rsid w:val="00EF41E6"/>
    <w:rsid w:val="00EF6972"/>
    <w:rsid w:val="00EF7F50"/>
    <w:rsid w:val="00F04F7F"/>
    <w:rsid w:val="00F05F7C"/>
    <w:rsid w:val="00F06756"/>
    <w:rsid w:val="00F10CFF"/>
    <w:rsid w:val="00F12EEA"/>
    <w:rsid w:val="00F15576"/>
    <w:rsid w:val="00F156E6"/>
    <w:rsid w:val="00F16FF8"/>
    <w:rsid w:val="00F179C9"/>
    <w:rsid w:val="00F20DA2"/>
    <w:rsid w:val="00F251A5"/>
    <w:rsid w:val="00F27C00"/>
    <w:rsid w:val="00F319B1"/>
    <w:rsid w:val="00F31F59"/>
    <w:rsid w:val="00F459C5"/>
    <w:rsid w:val="00F514E0"/>
    <w:rsid w:val="00F5237E"/>
    <w:rsid w:val="00F537E5"/>
    <w:rsid w:val="00F5605B"/>
    <w:rsid w:val="00F57F89"/>
    <w:rsid w:val="00F613D3"/>
    <w:rsid w:val="00F67F09"/>
    <w:rsid w:val="00F754F6"/>
    <w:rsid w:val="00F76AF0"/>
    <w:rsid w:val="00F80700"/>
    <w:rsid w:val="00F86509"/>
    <w:rsid w:val="00F869B0"/>
    <w:rsid w:val="00F87899"/>
    <w:rsid w:val="00F87C6C"/>
    <w:rsid w:val="00F90E38"/>
    <w:rsid w:val="00F92F1B"/>
    <w:rsid w:val="00FA176A"/>
    <w:rsid w:val="00FA36A3"/>
    <w:rsid w:val="00FA3EAF"/>
    <w:rsid w:val="00FA523A"/>
    <w:rsid w:val="00FA5B8E"/>
    <w:rsid w:val="00FB20DE"/>
    <w:rsid w:val="00FB2834"/>
    <w:rsid w:val="00FB3929"/>
    <w:rsid w:val="00FB3D95"/>
    <w:rsid w:val="00FC2B14"/>
    <w:rsid w:val="00FC72D0"/>
    <w:rsid w:val="00FD38DB"/>
    <w:rsid w:val="00FD74D4"/>
    <w:rsid w:val="00FE2621"/>
    <w:rsid w:val="00FE264C"/>
    <w:rsid w:val="00FE2871"/>
    <w:rsid w:val="00FE4F22"/>
    <w:rsid w:val="00FE7006"/>
    <w:rsid w:val="00FF32FE"/>
    <w:rsid w:val="00FF4612"/>
    <w:rsid w:val="00FF4AC5"/>
    <w:rsid w:val="00FF5EF6"/>
    <w:rsid w:val="00FF5FD9"/>
    <w:rsid w:val="00FF6C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semiHidden="0" w:unhideWhenUsed="0"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uiPriority="35"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2F7F"/>
    <w:rPr>
      <w:rFonts w:eastAsia="Times New Roman"/>
      <w:sz w:val="24"/>
      <w:szCs w:val="24"/>
    </w:rPr>
  </w:style>
  <w:style w:type="paragraph" w:styleId="Heading1">
    <w:name w:val="heading 1"/>
    <w:aliases w:val="BMJ H1"/>
    <w:basedOn w:val="Normal"/>
    <w:next w:val="BMJnormal"/>
    <w:link w:val="Heading1Char"/>
    <w:uiPriority w:val="9"/>
    <w:qFormat/>
    <w:rsid w:val="004175B3"/>
    <w:pPr>
      <w:keepNext/>
      <w:keepLines/>
      <w:numPr>
        <w:numId w:val="5"/>
      </w:numPr>
      <w:spacing w:before="240" w:after="120"/>
      <w:outlineLvl w:val="0"/>
    </w:pPr>
    <w:rPr>
      <w:rFonts w:ascii="Arial Bold" w:hAnsi="Arial Bold"/>
      <w:b/>
      <w:bCs/>
      <w:caps/>
      <w:sz w:val="32"/>
      <w:szCs w:val="28"/>
      <w:lang w:eastAsia="en-US"/>
    </w:rPr>
  </w:style>
  <w:style w:type="paragraph" w:styleId="Heading2">
    <w:name w:val="heading 2"/>
    <w:aliases w:val="BMJ H2"/>
    <w:basedOn w:val="Normal"/>
    <w:next w:val="BMJnormal"/>
    <w:link w:val="Heading2Char"/>
    <w:uiPriority w:val="9"/>
    <w:unhideWhenUsed/>
    <w:qFormat/>
    <w:rsid w:val="004175B3"/>
    <w:pPr>
      <w:keepNext/>
      <w:keepLines/>
      <w:numPr>
        <w:ilvl w:val="1"/>
        <w:numId w:val="5"/>
      </w:numPr>
      <w:spacing w:before="240" w:after="120"/>
      <w:outlineLvl w:val="1"/>
    </w:pPr>
    <w:rPr>
      <w:rFonts w:ascii="Arial" w:hAnsi="Arial"/>
      <w:b/>
      <w:bCs/>
      <w:i/>
      <w:sz w:val="26"/>
      <w:szCs w:val="26"/>
      <w:lang w:eastAsia="en-US"/>
    </w:rPr>
  </w:style>
  <w:style w:type="paragraph" w:styleId="Heading3">
    <w:name w:val="heading 3"/>
    <w:basedOn w:val="Normal"/>
    <w:next w:val="Normal"/>
    <w:qFormat/>
    <w:rsid w:val="00872F7F"/>
    <w:pPr>
      <w:keepNext/>
      <w:numPr>
        <w:ilvl w:val="2"/>
        <w:numId w:val="5"/>
      </w:numPr>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semiHidden/>
    <w:unhideWhenUsed/>
    <w:rsid w:val="004175B3"/>
    <w:pPr>
      <w:keepNext/>
      <w:keepLines/>
      <w:numPr>
        <w:ilvl w:val="3"/>
        <w:numId w:val="5"/>
      </w:numPr>
      <w:spacing w:before="200" w:line="360" w:lineRule="auto"/>
      <w:jc w:val="both"/>
      <w:outlineLvl w:val="3"/>
    </w:pPr>
    <w:rPr>
      <w:rFonts w:ascii="Cambria" w:hAnsi="Cambria"/>
      <w:b/>
      <w:bCs/>
      <w:i/>
      <w:iCs/>
      <w:color w:val="4F81BD"/>
      <w:sz w:val="22"/>
      <w:szCs w:val="22"/>
      <w:lang w:eastAsia="en-US"/>
    </w:rPr>
  </w:style>
  <w:style w:type="paragraph" w:styleId="Heading5">
    <w:name w:val="heading 5"/>
    <w:basedOn w:val="Normal"/>
    <w:next w:val="Normal"/>
    <w:link w:val="Heading5Char"/>
    <w:unhideWhenUsed/>
    <w:rsid w:val="004175B3"/>
    <w:pPr>
      <w:numPr>
        <w:ilvl w:val="4"/>
        <w:numId w:val="5"/>
      </w:numPr>
      <w:spacing w:before="240" w:after="60"/>
      <w:jc w:val="both"/>
      <w:outlineLvl w:val="4"/>
    </w:pPr>
    <w:rPr>
      <w:rFonts w:ascii="Arial" w:hAnsi="Arial"/>
      <w:b/>
      <w:bCs/>
      <w:i/>
      <w:iCs/>
      <w:sz w:val="26"/>
      <w:szCs w:val="26"/>
      <w:lang w:eastAsia="en-US"/>
    </w:rPr>
  </w:style>
  <w:style w:type="paragraph" w:styleId="Heading6">
    <w:name w:val="heading 6"/>
    <w:basedOn w:val="Normal"/>
    <w:next w:val="Normal"/>
    <w:link w:val="Heading6Char"/>
    <w:unhideWhenUsed/>
    <w:rsid w:val="004175B3"/>
    <w:pPr>
      <w:numPr>
        <w:ilvl w:val="5"/>
        <w:numId w:val="5"/>
      </w:numPr>
      <w:spacing w:before="240" w:after="60"/>
      <w:jc w:val="both"/>
      <w:outlineLvl w:val="5"/>
    </w:pPr>
    <w:rPr>
      <w:b/>
      <w:bCs/>
      <w:sz w:val="22"/>
      <w:szCs w:val="22"/>
      <w:lang w:eastAsia="en-US"/>
    </w:rPr>
  </w:style>
  <w:style w:type="paragraph" w:styleId="Heading7">
    <w:name w:val="heading 7"/>
    <w:basedOn w:val="Normal"/>
    <w:next w:val="Normal"/>
    <w:link w:val="Heading7Char"/>
    <w:unhideWhenUsed/>
    <w:rsid w:val="004175B3"/>
    <w:pPr>
      <w:numPr>
        <w:ilvl w:val="6"/>
        <w:numId w:val="5"/>
      </w:numPr>
      <w:spacing w:before="240" w:after="60"/>
      <w:jc w:val="both"/>
      <w:outlineLvl w:val="6"/>
    </w:pPr>
    <w:rPr>
      <w:lang w:eastAsia="en-US"/>
    </w:rPr>
  </w:style>
  <w:style w:type="paragraph" w:styleId="Heading8">
    <w:name w:val="heading 8"/>
    <w:basedOn w:val="Normal"/>
    <w:next w:val="Normal"/>
    <w:link w:val="Heading8Char"/>
    <w:unhideWhenUsed/>
    <w:rsid w:val="004175B3"/>
    <w:pPr>
      <w:numPr>
        <w:ilvl w:val="7"/>
        <w:numId w:val="5"/>
      </w:numPr>
      <w:spacing w:before="240" w:after="60"/>
      <w:jc w:val="both"/>
      <w:outlineLvl w:val="7"/>
    </w:pPr>
    <w:rPr>
      <w:i/>
      <w:iCs/>
      <w:lang w:eastAsia="en-US"/>
    </w:rPr>
  </w:style>
  <w:style w:type="paragraph" w:styleId="Heading9">
    <w:name w:val="heading 9"/>
    <w:basedOn w:val="Normal"/>
    <w:next w:val="Normal"/>
    <w:link w:val="Heading9Char"/>
    <w:unhideWhenUsed/>
    <w:rsid w:val="004175B3"/>
    <w:pPr>
      <w:numPr>
        <w:ilvl w:val="8"/>
        <w:numId w:val="5"/>
      </w:numPr>
      <w:spacing w:before="240" w:after="60"/>
      <w:jc w:val="both"/>
      <w:outlineLvl w:val="8"/>
    </w:pPr>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872F7F"/>
    <w:rPr>
      <w:sz w:val="20"/>
      <w:szCs w:val="20"/>
    </w:rPr>
  </w:style>
  <w:style w:type="character" w:styleId="FootnoteReference">
    <w:name w:val="footnote reference"/>
    <w:basedOn w:val="DefaultParagraphFont"/>
    <w:semiHidden/>
    <w:rsid w:val="00872F7F"/>
    <w:rPr>
      <w:vertAlign w:val="superscript"/>
    </w:rPr>
  </w:style>
  <w:style w:type="character" w:styleId="Hyperlink">
    <w:name w:val="Hyperlink"/>
    <w:basedOn w:val="DefaultParagraphFont"/>
    <w:rsid w:val="00872F7F"/>
    <w:rPr>
      <w:color w:val="0000FF"/>
      <w:u w:val="single"/>
    </w:rPr>
  </w:style>
  <w:style w:type="paragraph" w:styleId="Header">
    <w:name w:val="header"/>
    <w:basedOn w:val="Normal"/>
    <w:link w:val="HeaderChar"/>
    <w:uiPriority w:val="99"/>
    <w:rsid w:val="00872F7F"/>
    <w:pPr>
      <w:tabs>
        <w:tab w:val="center" w:pos="4153"/>
        <w:tab w:val="right" w:pos="8306"/>
      </w:tabs>
    </w:pPr>
  </w:style>
  <w:style w:type="character" w:customStyle="1" w:styleId="HeaderChar">
    <w:name w:val="Header Char"/>
    <w:basedOn w:val="DefaultParagraphFont"/>
    <w:link w:val="Header"/>
    <w:uiPriority w:val="99"/>
    <w:rsid w:val="00872F7F"/>
    <w:rPr>
      <w:sz w:val="24"/>
      <w:szCs w:val="24"/>
      <w:lang w:val="en-GB" w:eastAsia="en-GB" w:bidi="ar-SA"/>
    </w:rPr>
  </w:style>
  <w:style w:type="paragraph" w:styleId="BodyText3">
    <w:name w:val="Body Text 3"/>
    <w:basedOn w:val="Normal"/>
    <w:rsid w:val="00872F7F"/>
    <w:pPr>
      <w:spacing w:after="120"/>
    </w:pPr>
    <w:rPr>
      <w:sz w:val="16"/>
      <w:szCs w:val="16"/>
    </w:rPr>
  </w:style>
  <w:style w:type="paragraph" w:styleId="BodyText">
    <w:name w:val="Body Text"/>
    <w:basedOn w:val="Normal"/>
    <w:rsid w:val="00872F7F"/>
    <w:pPr>
      <w:spacing w:after="120"/>
    </w:pPr>
  </w:style>
  <w:style w:type="paragraph" w:styleId="BodyTextIndent">
    <w:name w:val="Body Text Indent"/>
    <w:basedOn w:val="Normal"/>
    <w:rsid w:val="00872F7F"/>
    <w:pPr>
      <w:spacing w:after="120"/>
      <w:ind w:left="283"/>
    </w:pPr>
  </w:style>
  <w:style w:type="paragraph" w:customStyle="1" w:styleId="0Date">
    <w:name w:val="0. Date"/>
    <w:basedOn w:val="Normal"/>
    <w:uiPriority w:val="99"/>
    <w:rsid w:val="004175B3"/>
    <w:pPr>
      <w:jc w:val="right"/>
    </w:pPr>
    <w:rPr>
      <w:rFonts w:ascii="Arial Narrow" w:hAnsi="Arial Narrow"/>
      <w:color w:val="FFFFFF"/>
      <w:sz w:val="20"/>
      <w:lang w:eastAsia="en-US"/>
    </w:rPr>
  </w:style>
  <w:style w:type="paragraph" w:customStyle="1" w:styleId="0Doesnotcontain">
    <w:name w:val="0. Does not contain"/>
    <w:basedOn w:val="Normal"/>
    <w:uiPriority w:val="99"/>
    <w:rsid w:val="004175B3"/>
    <w:pPr>
      <w:jc w:val="right"/>
    </w:pPr>
    <w:rPr>
      <w:rFonts w:ascii="Arial Narrow" w:hAnsi="Arial Narrow"/>
      <w:color w:val="FFFFFF"/>
      <w:sz w:val="20"/>
      <w:lang w:eastAsia="en-US"/>
    </w:rPr>
  </w:style>
  <w:style w:type="paragraph" w:customStyle="1" w:styleId="0ProjectNo">
    <w:name w:val="0. Project No."/>
    <w:basedOn w:val="Normal"/>
    <w:uiPriority w:val="99"/>
    <w:rsid w:val="004175B3"/>
    <w:pPr>
      <w:jc w:val="right"/>
    </w:pPr>
    <w:rPr>
      <w:rFonts w:ascii="Arial Narrow" w:hAnsi="Arial Narrow"/>
      <w:color w:val="FFFFFF"/>
      <w:lang w:eastAsia="en-US"/>
    </w:rPr>
  </w:style>
  <w:style w:type="paragraph" w:customStyle="1" w:styleId="0REPORT">
    <w:name w:val="0. REPORT"/>
    <w:basedOn w:val="Normal"/>
    <w:uiPriority w:val="99"/>
    <w:rsid w:val="004175B3"/>
    <w:rPr>
      <w:rFonts w:ascii="Arial Black" w:hAnsi="Arial Black"/>
      <w:color w:val="FFFFFF"/>
      <w:lang w:eastAsia="en-US"/>
    </w:rPr>
  </w:style>
  <w:style w:type="paragraph" w:customStyle="1" w:styleId="0Title">
    <w:name w:val="0. Title"/>
    <w:basedOn w:val="Normal"/>
    <w:uiPriority w:val="99"/>
    <w:rsid w:val="004175B3"/>
    <w:rPr>
      <w:rFonts w:ascii="Arial Narrow" w:hAnsi="Arial Narrow"/>
      <w:color w:val="FFFFFF"/>
      <w:sz w:val="50"/>
      <w:lang w:eastAsia="en-US"/>
    </w:rPr>
  </w:style>
  <w:style w:type="paragraph" w:customStyle="1" w:styleId="1TextBullets">
    <w:name w:val="1 Text Bullets"/>
    <w:basedOn w:val="Normal"/>
    <w:uiPriority w:val="99"/>
    <w:rsid w:val="004175B3"/>
    <w:pPr>
      <w:widowControl w:val="0"/>
      <w:numPr>
        <w:numId w:val="1"/>
      </w:numPr>
      <w:autoSpaceDE w:val="0"/>
      <w:autoSpaceDN w:val="0"/>
      <w:adjustRightInd w:val="0"/>
      <w:spacing w:after="40" w:line="240" w:lineRule="exact"/>
    </w:pPr>
    <w:rPr>
      <w:rFonts w:ascii="ArialMT" w:hAnsi="ArialMT" w:cs="ArialMT"/>
      <w:sz w:val="14"/>
      <w:szCs w:val="22"/>
      <w:lang w:val="en-US" w:eastAsia="en-US"/>
    </w:rPr>
  </w:style>
  <w:style w:type="paragraph" w:styleId="BalloonText">
    <w:name w:val="Balloon Text"/>
    <w:basedOn w:val="Normal"/>
    <w:link w:val="BalloonTextChar"/>
    <w:uiPriority w:val="99"/>
    <w:unhideWhenUsed/>
    <w:rsid w:val="004175B3"/>
    <w:rPr>
      <w:rFonts w:ascii="Tahoma" w:hAnsi="Tahoma" w:cs="Tahoma"/>
      <w:sz w:val="16"/>
      <w:szCs w:val="16"/>
      <w:lang w:eastAsia="en-US"/>
    </w:rPr>
  </w:style>
  <w:style w:type="character" w:customStyle="1" w:styleId="BalloonTextChar">
    <w:name w:val="Balloon Text Char"/>
    <w:basedOn w:val="DefaultParagraphFont"/>
    <w:link w:val="BalloonText"/>
    <w:uiPriority w:val="99"/>
    <w:rsid w:val="004175B3"/>
    <w:rPr>
      <w:rFonts w:ascii="Tahoma" w:eastAsia="Times New Roman" w:hAnsi="Tahoma" w:cs="Tahoma"/>
      <w:sz w:val="16"/>
      <w:szCs w:val="16"/>
      <w:lang w:eastAsia="en-US"/>
    </w:rPr>
  </w:style>
  <w:style w:type="paragraph" w:customStyle="1" w:styleId="BMJBOXTEXT">
    <w:name w:val="BMJ BOX TEXT"/>
    <w:basedOn w:val="Normal"/>
    <w:qFormat/>
    <w:rsid w:val="004175B3"/>
    <w:pPr>
      <w:spacing w:line="360" w:lineRule="auto"/>
      <w:jc w:val="both"/>
    </w:pPr>
    <w:rPr>
      <w:rFonts w:ascii="Arial" w:hAnsi="Arial"/>
      <w:sz w:val="20"/>
      <w:lang w:eastAsia="en-US"/>
    </w:rPr>
  </w:style>
  <w:style w:type="paragraph" w:customStyle="1" w:styleId="BMJH4">
    <w:name w:val="BMJ H4"/>
    <w:basedOn w:val="Normal"/>
    <w:next w:val="Normal"/>
    <w:qFormat/>
    <w:rsid w:val="004175B3"/>
    <w:pPr>
      <w:spacing w:before="240" w:after="120"/>
    </w:pPr>
    <w:rPr>
      <w:rFonts w:eastAsia="Calibri"/>
      <w:i/>
      <w:sz w:val="22"/>
      <w:szCs w:val="22"/>
      <w:lang w:eastAsia="en-US"/>
    </w:rPr>
  </w:style>
  <w:style w:type="paragraph" w:customStyle="1" w:styleId="BMJBULLET">
    <w:name w:val="BMJ BULLET"/>
    <w:basedOn w:val="BMJH4"/>
    <w:next w:val="Normal"/>
    <w:qFormat/>
    <w:rsid w:val="004175B3"/>
    <w:pPr>
      <w:numPr>
        <w:numId w:val="2"/>
      </w:numPr>
      <w:spacing w:before="0"/>
      <w:jc w:val="both"/>
    </w:pPr>
    <w:rPr>
      <w:i w:val="0"/>
    </w:rPr>
  </w:style>
  <w:style w:type="paragraph" w:styleId="Caption">
    <w:name w:val="caption"/>
    <w:basedOn w:val="Normal"/>
    <w:next w:val="Normal"/>
    <w:uiPriority w:val="35"/>
    <w:semiHidden/>
    <w:unhideWhenUsed/>
    <w:qFormat/>
    <w:rsid w:val="004175B3"/>
    <w:pPr>
      <w:spacing w:after="200"/>
    </w:pPr>
    <w:rPr>
      <w:b/>
      <w:bCs/>
      <w:color w:val="4F81BD"/>
      <w:sz w:val="18"/>
      <w:szCs w:val="18"/>
      <w:lang w:eastAsia="en-US"/>
    </w:rPr>
  </w:style>
  <w:style w:type="paragraph" w:customStyle="1" w:styleId="BMJCAPTION">
    <w:name w:val="BMJ CAPTION"/>
    <w:basedOn w:val="Caption"/>
    <w:qFormat/>
    <w:rsid w:val="00156BCD"/>
    <w:pPr>
      <w:keepNext/>
      <w:spacing w:before="120" w:after="120"/>
      <w:jc w:val="both"/>
    </w:pPr>
    <w:rPr>
      <w:rFonts w:ascii="Arial" w:eastAsia="Calibri" w:hAnsi="Arial"/>
      <w:b w:val="0"/>
      <w:color w:val="auto"/>
      <w:sz w:val="22"/>
    </w:rPr>
  </w:style>
  <w:style w:type="paragraph" w:styleId="Footer">
    <w:name w:val="footer"/>
    <w:basedOn w:val="Normal"/>
    <w:link w:val="FooterChar"/>
    <w:uiPriority w:val="99"/>
    <w:rsid w:val="004175B3"/>
    <w:pPr>
      <w:tabs>
        <w:tab w:val="center" w:pos="4320"/>
        <w:tab w:val="right" w:pos="8640"/>
      </w:tabs>
    </w:pPr>
    <w:rPr>
      <w:lang w:eastAsia="en-US"/>
    </w:rPr>
  </w:style>
  <w:style w:type="character" w:customStyle="1" w:styleId="FooterChar">
    <w:name w:val="Footer Char"/>
    <w:basedOn w:val="DefaultParagraphFont"/>
    <w:link w:val="Footer"/>
    <w:uiPriority w:val="99"/>
    <w:rsid w:val="004175B3"/>
    <w:rPr>
      <w:rFonts w:eastAsia="Times New Roman"/>
      <w:sz w:val="24"/>
      <w:szCs w:val="24"/>
      <w:lang w:eastAsia="en-US"/>
    </w:rPr>
  </w:style>
  <w:style w:type="paragraph" w:customStyle="1" w:styleId="BMJFOOTER">
    <w:name w:val="BMJ FOOTER"/>
    <w:basedOn w:val="Footer"/>
    <w:qFormat/>
    <w:rsid w:val="004175B3"/>
    <w:pPr>
      <w:tabs>
        <w:tab w:val="clear" w:pos="4320"/>
        <w:tab w:val="clear" w:pos="8640"/>
        <w:tab w:val="center" w:pos="4153"/>
        <w:tab w:val="right" w:pos="8306"/>
      </w:tabs>
      <w:jc w:val="right"/>
    </w:pPr>
    <w:rPr>
      <w:rFonts w:ascii="Arial" w:hAnsi="Arial" w:cs="Arial"/>
      <w:sz w:val="16"/>
      <w:szCs w:val="16"/>
    </w:rPr>
  </w:style>
  <w:style w:type="paragraph" w:customStyle="1" w:styleId="BMJINDENT">
    <w:name w:val="BMJ INDENT"/>
    <w:basedOn w:val="BMJBOXTEXT"/>
    <w:qFormat/>
    <w:rsid w:val="004175B3"/>
    <w:pPr>
      <w:ind w:left="578" w:right="578"/>
    </w:pPr>
    <w:rPr>
      <w:rFonts w:ascii="Times New Roman" w:hAnsi="Times New Roman"/>
      <w:i/>
    </w:rPr>
  </w:style>
  <w:style w:type="paragraph" w:customStyle="1" w:styleId="BMJlegend">
    <w:name w:val="BMJ legend"/>
    <w:basedOn w:val="Normal"/>
    <w:qFormat/>
    <w:rsid w:val="004175B3"/>
    <w:pPr>
      <w:jc w:val="both"/>
    </w:pPr>
    <w:rPr>
      <w:rFonts w:ascii="Arial" w:eastAsia="Calibri" w:hAnsi="Arial"/>
      <w:sz w:val="16"/>
      <w:szCs w:val="22"/>
      <w:lang w:eastAsia="en-US"/>
    </w:rPr>
  </w:style>
  <w:style w:type="paragraph" w:customStyle="1" w:styleId="BMJnormal">
    <w:name w:val="BMJ normal"/>
    <w:basedOn w:val="Normal"/>
    <w:link w:val="BMJnormalChar"/>
    <w:qFormat/>
    <w:rsid w:val="004175B3"/>
    <w:pPr>
      <w:spacing w:after="240" w:line="360" w:lineRule="auto"/>
      <w:jc w:val="both"/>
    </w:pPr>
    <w:rPr>
      <w:sz w:val="22"/>
      <w:szCs w:val="22"/>
      <w:lang w:eastAsia="en-US"/>
    </w:rPr>
  </w:style>
  <w:style w:type="paragraph" w:customStyle="1" w:styleId="BMJNUMBEREDLIST">
    <w:name w:val="BMJ NUMBERED LIST"/>
    <w:basedOn w:val="Normal"/>
    <w:qFormat/>
    <w:rsid w:val="004175B3"/>
    <w:pPr>
      <w:numPr>
        <w:numId w:val="3"/>
      </w:numPr>
      <w:spacing w:after="120"/>
      <w:jc w:val="both"/>
    </w:pPr>
    <w:rPr>
      <w:rFonts w:eastAsia="Calibri"/>
      <w:sz w:val="22"/>
      <w:szCs w:val="22"/>
      <w:lang w:eastAsia="en-US"/>
    </w:rPr>
  </w:style>
  <w:style w:type="paragraph" w:customStyle="1" w:styleId="BMJTABLEHEADER">
    <w:name w:val="BMJ TABLE HEADER"/>
    <w:basedOn w:val="Normal"/>
    <w:qFormat/>
    <w:rsid w:val="004175B3"/>
    <w:pPr>
      <w:keepNext/>
      <w:spacing w:before="40" w:after="40"/>
      <w:jc w:val="both"/>
    </w:pPr>
    <w:rPr>
      <w:rFonts w:ascii="Arial" w:hAnsi="Arial" w:cs="Arial"/>
      <w:b/>
      <w:sz w:val="18"/>
      <w:szCs w:val="20"/>
      <w:lang w:eastAsia="en-US"/>
    </w:rPr>
  </w:style>
  <w:style w:type="paragraph" w:customStyle="1" w:styleId="TARtabletext">
    <w:name w:val="TAR_table_text"/>
    <w:basedOn w:val="Normal"/>
    <w:rsid w:val="004175B3"/>
    <w:pPr>
      <w:keepNext/>
      <w:tabs>
        <w:tab w:val="right" w:pos="1432"/>
      </w:tabs>
      <w:spacing w:after="240" w:line="360" w:lineRule="auto"/>
    </w:pPr>
    <w:rPr>
      <w:rFonts w:ascii="Arial" w:hAnsi="Arial"/>
      <w:color w:val="000080"/>
      <w:sz w:val="16"/>
      <w:lang w:eastAsia="en-US"/>
    </w:rPr>
  </w:style>
  <w:style w:type="paragraph" w:customStyle="1" w:styleId="BMJTABLENUMBERS">
    <w:name w:val="BMJ TABLE NUMBERS"/>
    <w:basedOn w:val="TARtabletext"/>
    <w:qFormat/>
    <w:rsid w:val="004175B3"/>
    <w:pPr>
      <w:spacing w:before="40" w:after="40" w:line="240" w:lineRule="auto"/>
      <w:jc w:val="right"/>
    </w:pPr>
    <w:rPr>
      <w:color w:val="auto"/>
      <w:sz w:val="20"/>
      <w:szCs w:val="20"/>
    </w:rPr>
  </w:style>
  <w:style w:type="paragraph" w:customStyle="1" w:styleId="BMJTABLETEXT">
    <w:name w:val="BMJ TABLE TEXT"/>
    <w:basedOn w:val="TARtabletext"/>
    <w:qFormat/>
    <w:rsid w:val="004175B3"/>
    <w:pPr>
      <w:spacing w:before="40" w:after="40" w:line="240" w:lineRule="auto"/>
    </w:pPr>
    <w:rPr>
      <w:rFonts w:cs="Arial"/>
      <w:color w:val="auto"/>
      <w:sz w:val="18"/>
      <w:szCs w:val="18"/>
    </w:rPr>
  </w:style>
  <w:style w:type="paragraph" w:customStyle="1" w:styleId="Default">
    <w:name w:val="Default"/>
    <w:rsid w:val="004175B3"/>
    <w:pPr>
      <w:autoSpaceDE w:val="0"/>
      <w:autoSpaceDN w:val="0"/>
      <w:adjustRightInd w:val="0"/>
    </w:pPr>
    <w:rPr>
      <w:color w:val="000000"/>
      <w:sz w:val="24"/>
      <w:szCs w:val="24"/>
    </w:rPr>
  </w:style>
  <w:style w:type="character" w:customStyle="1" w:styleId="Heading1Char">
    <w:name w:val="Heading 1 Char"/>
    <w:aliases w:val="BMJ H1 Char"/>
    <w:basedOn w:val="DefaultParagraphFont"/>
    <w:link w:val="Heading1"/>
    <w:uiPriority w:val="9"/>
    <w:rsid w:val="004175B3"/>
    <w:rPr>
      <w:rFonts w:ascii="Arial Bold" w:eastAsia="Times New Roman" w:hAnsi="Arial Bold"/>
      <w:b/>
      <w:bCs/>
      <w:caps/>
      <w:sz w:val="32"/>
      <w:szCs w:val="28"/>
      <w:lang w:eastAsia="en-US"/>
    </w:rPr>
  </w:style>
  <w:style w:type="character" w:customStyle="1" w:styleId="Heading2Char">
    <w:name w:val="Heading 2 Char"/>
    <w:aliases w:val="BMJ H2 Char"/>
    <w:basedOn w:val="DefaultParagraphFont"/>
    <w:link w:val="Heading2"/>
    <w:uiPriority w:val="9"/>
    <w:rsid w:val="004175B3"/>
    <w:rPr>
      <w:rFonts w:ascii="Arial" w:eastAsia="Times New Roman" w:hAnsi="Arial"/>
      <w:b/>
      <w:bCs/>
      <w:i/>
      <w:sz w:val="26"/>
      <w:szCs w:val="26"/>
      <w:lang w:eastAsia="en-US"/>
    </w:rPr>
  </w:style>
  <w:style w:type="character" w:customStyle="1" w:styleId="Heading4Char">
    <w:name w:val="Heading 4 Char"/>
    <w:basedOn w:val="DefaultParagraphFont"/>
    <w:link w:val="Heading4"/>
    <w:uiPriority w:val="9"/>
    <w:semiHidden/>
    <w:rsid w:val="004175B3"/>
    <w:rPr>
      <w:rFonts w:ascii="Cambria" w:eastAsia="Times New Roman" w:hAnsi="Cambria"/>
      <w:b/>
      <w:bCs/>
      <w:i/>
      <w:iCs/>
      <w:color w:val="4F81BD"/>
      <w:sz w:val="22"/>
      <w:szCs w:val="22"/>
      <w:lang w:eastAsia="en-US"/>
    </w:rPr>
  </w:style>
  <w:style w:type="character" w:customStyle="1" w:styleId="Heading5Char">
    <w:name w:val="Heading 5 Char"/>
    <w:basedOn w:val="DefaultParagraphFont"/>
    <w:link w:val="Heading5"/>
    <w:rsid w:val="004175B3"/>
    <w:rPr>
      <w:rFonts w:ascii="Arial" w:eastAsia="Times New Roman" w:hAnsi="Arial"/>
      <w:b/>
      <w:bCs/>
      <w:i/>
      <w:iCs/>
      <w:sz w:val="26"/>
      <w:szCs w:val="26"/>
      <w:lang w:eastAsia="en-US"/>
    </w:rPr>
  </w:style>
  <w:style w:type="character" w:customStyle="1" w:styleId="Heading6Char">
    <w:name w:val="Heading 6 Char"/>
    <w:basedOn w:val="DefaultParagraphFont"/>
    <w:link w:val="Heading6"/>
    <w:rsid w:val="004175B3"/>
    <w:rPr>
      <w:rFonts w:eastAsia="Times New Roman"/>
      <w:b/>
      <w:bCs/>
      <w:sz w:val="22"/>
      <w:szCs w:val="22"/>
      <w:lang w:eastAsia="en-US"/>
    </w:rPr>
  </w:style>
  <w:style w:type="character" w:customStyle="1" w:styleId="Heading7Char">
    <w:name w:val="Heading 7 Char"/>
    <w:basedOn w:val="DefaultParagraphFont"/>
    <w:link w:val="Heading7"/>
    <w:rsid w:val="004175B3"/>
    <w:rPr>
      <w:rFonts w:eastAsia="Times New Roman"/>
      <w:sz w:val="24"/>
      <w:szCs w:val="24"/>
      <w:lang w:eastAsia="en-US"/>
    </w:rPr>
  </w:style>
  <w:style w:type="character" w:customStyle="1" w:styleId="Heading8Char">
    <w:name w:val="Heading 8 Char"/>
    <w:basedOn w:val="DefaultParagraphFont"/>
    <w:link w:val="Heading8"/>
    <w:rsid w:val="004175B3"/>
    <w:rPr>
      <w:rFonts w:eastAsia="Times New Roman"/>
      <w:i/>
      <w:iCs/>
      <w:sz w:val="24"/>
      <w:szCs w:val="24"/>
      <w:lang w:eastAsia="en-US"/>
    </w:rPr>
  </w:style>
  <w:style w:type="character" w:customStyle="1" w:styleId="Heading9Char">
    <w:name w:val="Heading 9 Char"/>
    <w:basedOn w:val="DefaultParagraphFont"/>
    <w:link w:val="Heading9"/>
    <w:rsid w:val="004175B3"/>
    <w:rPr>
      <w:rFonts w:ascii="Arial" w:eastAsia="Times New Roman" w:hAnsi="Arial" w:cs="Arial"/>
      <w:sz w:val="22"/>
      <w:szCs w:val="22"/>
      <w:lang w:eastAsia="en-US"/>
    </w:rPr>
  </w:style>
  <w:style w:type="character" w:styleId="IntenseEmphasis">
    <w:name w:val="Intense Emphasis"/>
    <w:basedOn w:val="DefaultParagraphFont"/>
    <w:uiPriority w:val="21"/>
    <w:qFormat/>
    <w:rsid w:val="004175B3"/>
    <w:rPr>
      <w:b/>
      <w:bCs/>
      <w:i/>
      <w:iCs/>
      <w:color w:val="4F81BD"/>
    </w:rPr>
  </w:style>
  <w:style w:type="paragraph" w:styleId="ListParagraph">
    <w:name w:val="List Paragraph"/>
    <w:basedOn w:val="Normal"/>
    <w:uiPriority w:val="34"/>
    <w:qFormat/>
    <w:rsid w:val="004175B3"/>
    <w:pPr>
      <w:ind w:left="720"/>
      <w:contextualSpacing/>
    </w:pPr>
  </w:style>
  <w:style w:type="paragraph" w:customStyle="1" w:styleId="LRIGTABLETEXT">
    <w:name w:val="LRIG TABLE TEXT"/>
    <w:basedOn w:val="TARtabletext"/>
    <w:qFormat/>
    <w:rsid w:val="004175B3"/>
    <w:pPr>
      <w:spacing w:before="40" w:after="40" w:line="240" w:lineRule="auto"/>
    </w:pPr>
    <w:rPr>
      <w:rFonts w:cs="Arial"/>
      <w:color w:val="auto"/>
      <w:sz w:val="18"/>
      <w:szCs w:val="18"/>
    </w:rPr>
  </w:style>
  <w:style w:type="paragraph" w:customStyle="1" w:styleId="NICEnormal">
    <w:name w:val="NICE normal"/>
    <w:basedOn w:val="Normal"/>
    <w:rsid w:val="004175B3"/>
    <w:pPr>
      <w:spacing w:after="240" w:line="360" w:lineRule="auto"/>
      <w:jc w:val="both"/>
    </w:pPr>
    <w:rPr>
      <w:rFonts w:ascii="Arial" w:hAnsi="Arial"/>
      <w:lang w:eastAsia="en-US"/>
    </w:rPr>
  </w:style>
  <w:style w:type="paragraph" w:styleId="NoSpacing">
    <w:name w:val="No Spacing"/>
    <w:uiPriority w:val="1"/>
    <w:qFormat/>
    <w:rsid w:val="004175B3"/>
    <w:rPr>
      <w:rFonts w:ascii="Calibri" w:eastAsia="Times New Roman" w:hAnsi="Calibri"/>
      <w:sz w:val="22"/>
      <w:szCs w:val="22"/>
      <w:lang w:val="en-US" w:eastAsia="en-US"/>
    </w:rPr>
  </w:style>
  <w:style w:type="table" w:styleId="TableGrid">
    <w:name w:val="Table Grid"/>
    <w:basedOn w:val="TableNormal"/>
    <w:uiPriority w:val="59"/>
    <w:rsid w:val="004175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4175B3"/>
    <w:pPr>
      <w:widowControl w:val="0"/>
      <w:jc w:val="both"/>
    </w:pPr>
    <w:rPr>
      <w:rFonts w:eastAsia="Calibri"/>
      <w:sz w:val="22"/>
      <w:szCs w:val="22"/>
      <w:lang w:eastAsia="en-US"/>
    </w:rPr>
  </w:style>
  <w:style w:type="paragraph" w:styleId="TOC2">
    <w:name w:val="toc 2"/>
    <w:basedOn w:val="Normal"/>
    <w:next w:val="Normal"/>
    <w:autoRedefine/>
    <w:uiPriority w:val="39"/>
    <w:unhideWhenUsed/>
    <w:rsid w:val="004175B3"/>
    <w:pPr>
      <w:tabs>
        <w:tab w:val="left" w:pos="880"/>
        <w:tab w:val="right" w:leader="dot" w:pos="9016"/>
      </w:tabs>
      <w:spacing w:after="60"/>
      <w:ind w:left="221"/>
      <w:jc w:val="both"/>
    </w:pPr>
    <w:rPr>
      <w:rFonts w:eastAsia="Calibri"/>
      <w:sz w:val="22"/>
      <w:szCs w:val="22"/>
      <w:lang w:eastAsia="en-US"/>
    </w:rPr>
  </w:style>
  <w:style w:type="paragraph" w:styleId="TOC3">
    <w:name w:val="toc 3"/>
    <w:basedOn w:val="Normal"/>
    <w:next w:val="Normal"/>
    <w:autoRedefine/>
    <w:uiPriority w:val="39"/>
    <w:unhideWhenUsed/>
    <w:rsid w:val="004175B3"/>
    <w:pPr>
      <w:spacing w:after="100"/>
      <w:ind w:left="480"/>
    </w:pPr>
    <w:rPr>
      <w:lang w:eastAsia="en-US"/>
    </w:rPr>
  </w:style>
  <w:style w:type="character" w:customStyle="1" w:styleId="BMJnormalChar">
    <w:name w:val="BMJ normal Char"/>
    <w:basedOn w:val="DefaultParagraphFont"/>
    <w:link w:val="BMJnormal"/>
    <w:rsid w:val="00C53A51"/>
    <w:rPr>
      <w:rFonts w:eastAsia="Times New Roman"/>
      <w:sz w:val="22"/>
      <w:szCs w:val="22"/>
      <w:lang w:eastAsia="en-US"/>
    </w:rPr>
  </w:style>
  <w:style w:type="paragraph" w:styleId="TOCHeading">
    <w:name w:val="TOC Heading"/>
    <w:basedOn w:val="Heading1"/>
    <w:next w:val="Normal"/>
    <w:uiPriority w:val="39"/>
    <w:semiHidden/>
    <w:unhideWhenUsed/>
    <w:qFormat/>
    <w:rsid w:val="00D51BD6"/>
    <w:pPr>
      <w:numPr>
        <w:numId w:val="0"/>
      </w:numPr>
      <w:spacing w:before="480" w:after="0" w:line="276" w:lineRule="auto"/>
      <w:outlineLvl w:val="9"/>
    </w:pPr>
    <w:rPr>
      <w:rFonts w:ascii="Cambria" w:hAnsi="Cambria"/>
      <w:caps w:val="0"/>
      <w:color w:val="365F91"/>
      <w:sz w:val="28"/>
      <w:lang w:val="en-US"/>
    </w:rPr>
  </w:style>
  <w:style w:type="paragraph" w:styleId="Title">
    <w:name w:val="Title"/>
    <w:basedOn w:val="Normal"/>
    <w:next w:val="Normal"/>
    <w:link w:val="TitleChar"/>
    <w:qFormat/>
    <w:rsid w:val="003F61FF"/>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3F61FF"/>
    <w:rPr>
      <w:rFonts w:ascii="Cambria" w:eastAsia="Times New Roman" w:hAnsi="Cambria" w:cs="Times New Roman"/>
      <w:b/>
      <w:bCs/>
      <w:kern w:val="28"/>
      <w:sz w:val="32"/>
      <w:szCs w:val="32"/>
    </w:rPr>
  </w:style>
  <w:style w:type="paragraph" w:styleId="NormalWeb">
    <w:name w:val="Normal (Web)"/>
    <w:basedOn w:val="Normal"/>
    <w:uiPriority w:val="99"/>
    <w:unhideWhenUsed/>
    <w:rsid w:val="002C7DD9"/>
    <w:pPr>
      <w:spacing w:before="100" w:beforeAutospacing="1" w:after="100" w:afterAutospacing="1"/>
    </w:pPr>
  </w:style>
  <w:style w:type="paragraph" w:customStyle="1" w:styleId="inlinenormal146">
    <w:name w:val="inlinenormal146"/>
    <w:basedOn w:val="Normal"/>
    <w:rsid w:val="002013DC"/>
    <w:pPr>
      <w:spacing w:before="100" w:beforeAutospacing="1" w:after="100" w:afterAutospacing="1"/>
    </w:pPr>
  </w:style>
  <w:style w:type="character" w:styleId="CommentReference">
    <w:name w:val="annotation reference"/>
    <w:basedOn w:val="DefaultParagraphFont"/>
    <w:rsid w:val="005C102D"/>
    <w:rPr>
      <w:sz w:val="16"/>
      <w:szCs w:val="16"/>
    </w:rPr>
  </w:style>
  <w:style w:type="paragraph" w:styleId="CommentText">
    <w:name w:val="annotation text"/>
    <w:basedOn w:val="Normal"/>
    <w:link w:val="CommentTextChar"/>
    <w:rsid w:val="005C102D"/>
    <w:rPr>
      <w:sz w:val="20"/>
      <w:szCs w:val="20"/>
    </w:rPr>
  </w:style>
  <w:style w:type="character" w:customStyle="1" w:styleId="CommentTextChar">
    <w:name w:val="Comment Text Char"/>
    <w:basedOn w:val="DefaultParagraphFont"/>
    <w:link w:val="CommentText"/>
    <w:rsid w:val="005C102D"/>
    <w:rPr>
      <w:rFonts w:eastAsia="Times New Roman"/>
    </w:rPr>
  </w:style>
  <w:style w:type="paragraph" w:styleId="CommentSubject">
    <w:name w:val="annotation subject"/>
    <w:basedOn w:val="CommentText"/>
    <w:next w:val="CommentText"/>
    <w:link w:val="CommentSubjectChar"/>
    <w:rsid w:val="005C102D"/>
    <w:rPr>
      <w:b/>
      <w:bCs/>
    </w:rPr>
  </w:style>
  <w:style w:type="character" w:customStyle="1" w:styleId="CommentSubjectChar">
    <w:name w:val="Comment Subject Char"/>
    <w:basedOn w:val="CommentTextChar"/>
    <w:link w:val="CommentSubject"/>
    <w:rsid w:val="005C102D"/>
    <w:rPr>
      <w:rFonts w:eastAsia="Times New Roman"/>
      <w:b/>
      <w:bCs/>
    </w:rPr>
  </w:style>
  <w:style w:type="paragraph" w:customStyle="1" w:styleId="BMJNormal0">
    <w:name w:val="BMJ Normal"/>
    <w:basedOn w:val="Normal"/>
    <w:qFormat/>
    <w:rsid w:val="00F12EEA"/>
    <w:pPr>
      <w:spacing w:before="240" w:after="60" w:line="360" w:lineRule="auto"/>
      <w:jc w:val="both"/>
    </w:pPr>
    <w:rPr>
      <w:rFonts w:eastAsiaTheme="minorEastAsia"/>
      <w:sz w:val="22"/>
      <w:szCs w:val="22"/>
    </w:rPr>
  </w:style>
  <w:style w:type="paragraph" w:customStyle="1" w:styleId="LRIGTABLEHEADER">
    <w:name w:val="LRIG TABLE HEADER"/>
    <w:basedOn w:val="Normal"/>
    <w:qFormat/>
    <w:rsid w:val="00B45D05"/>
    <w:pPr>
      <w:keepNext/>
      <w:spacing w:before="40" w:after="40"/>
      <w:jc w:val="both"/>
    </w:pPr>
    <w:rPr>
      <w:rFonts w:ascii="Arial" w:hAnsi="Arial" w:cs="Arial"/>
      <w:b/>
      <w:sz w:val="20"/>
      <w:szCs w:val="20"/>
      <w:lang w:eastAsia="en-US"/>
    </w:rPr>
  </w:style>
  <w:style w:type="paragraph" w:customStyle="1" w:styleId="BMJTabletext0">
    <w:name w:val="BMJ Table text"/>
    <w:basedOn w:val="Normal"/>
    <w:qFormat/>
    <w:rsid w:val="001A7C7C"/>
    <w:pPr>
      <w:keepNext/>
    </w:pPr>
    <w:rPr>
      <w:rFonts w:ascii="Arial" w:hAnsi="Arial"/>
      <w:sz w:val="18"/>
      <w:lang w:val="en-US"/>
    </w:rPr>
  </w:style>
  <w:style w:type="paragraph" w:customStyle="1" w:styleId="BMJTableheading">
    <w:name w:val="BMJ Table heading"/>
    <w:basedOn w:val="BMJTabletext0"/>
    <w:qFormat/>
    <w:rsid w:val="001A7C7C"/>
    <w:rPr>
      <w:b/>
    </w:rPr>
  </w:style>
  <w:style w:type="character" w:customStyle="1" w:styleId="ecxblockemailwithname">
    <w:name w:val="ecxblockemailwithname"/>
    <w:basedOn w:val="DefaultParagraphFont"/>
    <w:rsid w:val="00DE0F3E"/>
  </w:style>
  <w:style w:type="paragraph" w:styleId="BodyText2">
    <w:name w:val="Body Text 2"/>
    <w:basedOn w:val="Normal"/>
    <w:link w:val="BodyText2Char"/>
    <w:rsid w:val="00A910EC"/>
    <w:pPr>
      <w:spacing w:after="120" w:line="480" w:lineRule="auto"/>
    </w:pPr>
  </w:style>
  <w:style w:type="character" w:customStyle="1" w:styleId="BodyText2Char">
    <w:name w:val="Body Text 2 Char"/>
    <w:basedOn w:val="DefaultParagraphFont"/>
    <w:link w:val="BodyText2"/>
    <w:rsid w:val="00A910EC"/>
    <w:rPr>
      <w:rFonts w:eastAsia="Times New Roman"/>
      <w:sz w:val="24"/>
      <w:szCs w:val="24"/>
    </w:rPr>
  </w:style>
  <w:style w:type="character" w:customStyle="1" w:styleId="blockname">
    <w:name w:val="blockname"/>
    <w:basedOn w:val="DefaultParagraphFont"/>
    <w:rsid w:val="00F613D3"/>
  </w:style>
  <w:style w:type="character" w:customStyle="1" w:styleId="blockemailwithname">
    <w:name w:val="blockemailwithname"/>
    <w:basedOn w:val="DefaultParagraphFont"/>
    <w:rsid w:val="00F613D3"/>
  </w:style>
  <w:style w:type="character" w:styleId="FollowedHyperlink">
    <w:name w:val="FollowedHyperlink"/>
    <w:basedOn w:val="DefaultParagraphFont"/>
    <w:rsid w:val="0096187E"/>
    <w:rPr>
      <w:color w:val="800080" w:themeColor="followedHyperlink"/>
      <w:u w:val="single"/>
    </w:rPr>
  </w:style>
  <w:style w:type="paragraph" w:customStyle="1" w:styleId="Bullets">
    <w:name w:val="Bullets"/>
    <w:basedOn w:val="Normal"/>
    <w:uiPriority w:val="5"/>
    <w:qFormat/>
    <w:rsid w:val="00EA6C5C"/>
    <w:pPr>
      <w:numPr>
        <w:numId w:val="16"/>
      </w:numPr>
      <w:spacing w:line="276" w:lineRule="auto"/>
    </w:pPr>
    <w:rPr>
      <w:rFonts w:ascii="Arial" w:hAnsi="Arial"/>
    </w:rPr>
  </w:style>
  <w:style w:type="paragraph" w:customStyle="1" w:styleId="Subbullets">
    <w:name w:val="Sub bullets"/>
    <w:basedOn w:val="Normal"/>
    <w:uiPriority w:val="6"/>
    <w:qFormat/>
    <w:rsid w:val="00EA6C5C"/>
    <w:pPr>
      <w:numPr>
        <w:numId w:val="17"/>
      </w:numPr>
      <w:spacing w:line="276" w:lineRule="auto"/>
      <w:ind w:left="1418" w:hanging="284"/>
    </w:pPr>
    <w:rPr>
      <w:rFonts w:ascii="Arial" w:hAnsi="Arial"/>
    </w:rPr>
  </w:style>
  <w:style w:type="paragraph" w:customStyle="1" w:styleId="Unnumberedboldheading">
    <w:name w:val="Unnumbered bold heading"/>
    <w:next w:val="NICEnormal"/>
    <w:rsid w:val="002B4001"/>
    <w:pPr>
      <w:keepNext/>
      <w:widowControl w:val="0"/>
      <w:spacing w:after="120"/>
    </w:pPr>
    <w:rPr>
      <w:rFonts w:ascii="Arial" w:eastAsia="Times New Roman" w:hAnsi="Arial"/>
      <w:b/>
      <w:sz w:val="22"/>
      <w:szCs w:val="24"/>
      <w:lang w:val="en-US" w:eastAsia="en-US"/>
    </w:rPr>
  </w:style>
  <w:style w:type="paragraph" w:customStyle="1" w:styleId="EndNoteBibliographyTitle">
    <w:name w:val="EndNote Bibliography Title"/>
    <w:basedOn w:val="Normal"/>
    <w:link w:val="EndNoteBibliographyTitleChar"/>
    <w:rsid w:val="00E6272B"/>
    <w:pPr>
      <w:jc w:val="center"/>
    </w:pPr>
    <w:rPr>
      <w:noProof/>
    </w:rPr>
  </w:style>
  <w:style w:type="character" w:customStyle="1" w:styleId="EndNoteBibliographyTitleChar">
    <w:name w:val="EndNote Bibliography Title Char"/>
    <w:basedOn w:val="BMJnormalChar"/>
    <w:link w:val="EndNoteBibliographyTitle"/>
    <w:rsid w:val="00E6272B"/>
    <w:rPr>
      <w:rFonts w:eastAsia="Times New Roman"/>
      <w:noProof/>
      <w:sz w:val="24"/>
      <w:szCs w:val="24"/>
      <w:lang w:eastAsia="en-US"/>
    </w:rPr>
  </w:style>
  <w:style w:type="paragraph" w:customStyle="1" w:styleId="EndNoteBibliography">
    <w:name w:val="EndNote Bibliography"/>
    <w:basedOn w:val="Normal"/>
    <w:link w:val="EndNoteBibliographyChar"/>
    <w:rsid w:val="00E6272B"/>
    <w:rPr>
      <w:noProof/>
    </w:rPr>
  </w:style>
  <w:style w:type="character" w:customStyle="1" w:styleId="EndNoteBibliographyChar">
    <w:name w:val="EndNote Bibliography Char"/>
    <w:basedOn w:val="BMJnormalChar"/>
    <w:link w:val="EndNoteBibliography"/>
    <w:rsid w:val="00E6272B"/>
    <w:rPr>
      <w:rFonts w:eastAsia="Times New Roman"/>
      <w:noProof/>
      <w:sz w:val="24"/>
      <w:szCs w:val="24"/>
      <w:lang w:eastAsia="en-US"/>
    </w:rPr>
  </w:style>
  <w:style w:type="character" w:customStyle="1" w:styleId="dbname">
    <w:name w:val="dbname"/>
    <w:basedOn w:val="DefaultParagraphFont"/>
    <w:rsid w:val="00D52C21"/>
  </w:style>
  <w:style w:type="character" w:customStyle="1" w:styleId="apple-converted-space">
    <w:name w:val="apple-converted-space"/>
    <w:basedOn w:val="DefaultParagraphFont"/>
    <w:rsid w:val="00D52C21"/>
  </w:style>
  <w:style w:type="character" w:customStyle="1" w:styleId="dbdate">
    <w:name w:val="dbdate"/>
    <w:basedOn w:val="DefaultParagraphFont"/>
    <w:rsid w:val="00D52C21"/>
  </w:style>
  <w:style w:type="character" w:customStyle="1" w:styleId="searchhistory-search-header">
    <w:name w:val="searchhistory-search-header"/>
    <w:basedOn w:val="DefaultParagraphFont"/>
    <w:rsid w:val="00D52C21"/>
  </w:style>
  <w:style w:type="character" w:customStyle="1" w:styleId="searchhistory-search-term">
    <w:name w:val="searchhistory-search-term"/>
    <w:basedOn w:val="DefaultParagraphFont"/>
    <w:rsid w:val="00D52C21"/>
  </w:style>
  <w:style w:type="character" w:styleId="PlaceholderText">
    <w:name w:val="Placeholder Text"/>
    <w:basedOn w:val="DefaultParagraphFont"/>
    <w:uiPriority w:val="99"/>
    <w:semiHidden/>
    <w:rsid w:val="00BA3FE7"/>
    <w:rPr>
      <w:color w:val="808080"/>
    </w:rPr>
  </w:style>
  <w:style w:type="paragraph" w:styleId="Revision">
    <w:name w:val="Revision"/>
    <w:hidden/>
    <w:uiPriority w:val="99"/>
    <w:semiHidden/>
    <w:rsid w:val="009118EE"/>
    <w:rPr>
      <w:rFonts w:eastAsia="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semiHidden="0" w:unhideWhenUsed="0"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uiPriority="35"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2F7F"/>
    <w:rPr>
      <w:rFonts w:eastAsia="Times New Roman"/>
      <w:sz w:val="24"/>
      <w:szCs w:val="24"/>
    </w:rPr>
  </w:style>
  <w:style w:type="paragraph" w:styleId="Heading1">
    <w:name w:val="heading 1"/>
    <w:aliases w:val="BMJ H1"/>
    <w:basedOn w:val="Normal"/>
    <w:next w:val="BMJnormal"/>
    <w:link w:val="Heading1Char"/>
    <w:uiPriority w:val="9"/>
    <w:qFormat/>
    <w:rsid w:val="004175B3"/>
    <w:pPr>
      <w:keepNext/>
      <w:keepLines/>
      <w:numPr>
        <w:numId w:val="5"/>
      </w:numPr>
      <w:spacing w:before="240" w:after="120"/>
      <w:outlineLvl w:val="0"/>
    </w:pPr>
    <w:rPr>
      <w:rFonts w:ascii="Arial Bold" w:hAnsi="Arial Bold"/>
      <w:b/>
      <w:bCs/>
      <w:caps/>
      <w:sz w:val="32"/>
      <w:szCs w:val="28"/>
      <w:lang w:eastAsia="en-US"/>
    </w:rPr>
  </w:style>
  <w:style w:type="paragraph" w:styleId="Heading2">
    <w:name w:val="heading 2"/>
    <w:aliases w:val="BMJ H2"/>
    <w:basedOn w:val="Normal"/>
    <w:next w:val="BMJnormal"/>
    <w:link w:val="Heading2Char"/>
    <w:uiPriority w:val="9"/>
    <w:unhideWhenUsed/>
    <w:qFormat/>
    <w:rsid w:val="004175B3"/>
    <w:pPr>
      <w:keepNext/>
      <w:keepLines/>
      <w:numPr>
        <w:ilvl w:val="1"/>
        <w:numId w:val="5"/>
      </w:numPr>
      <w:spacing w:before="240" w:after="120"/>
      <w:outlineLvl w:val="1"/>
    </w:pPr>
    <w:rPr>
      <w:rFonts w:ascii="Arial" w:hAnsi="Arial"/>
      <w:b/>
      <w:bCs/>
      <w:i/>
      <w:sz w:val="26"/>
      <w:szCs w:val="26"/>
      <w:lang w:eastAsia="en-US"/>
    </w:rPr>
  </w:style>
  <w:style w:type="paragraph" w:styleId="Heading3">
    <w:name w:val="heading 3"/>
    <w:basedOn w:val="Normal"/>
    <w:next w:val="Normal"/>
    <w:qFormat/>
    <w:rsid w:val="00872F7F"/>
    <w:pPr>
      <w:keepNext/>
      <w:numPr>
        <w:ilvl w:val="2"/>
        <w:numId w:val="5"/>
      </w:numPr>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semiHidden/>
    <w:unhideWhenUsed/>
    <w:rsid w:val="004175B3"/>
    <w:pPr>
      <w:keepNext/>
      <w:keepLines/>
      <w:numPr>
        <w:ilvl w:val="3"/>
        <w:numId w:val="5"/>
      </w:numPr>
      <w:spacing w:before="200" w:line="360" w:lineRule="auto"/>
      <w:jc w:val="both"/>
      <w:outlineLvl w:val="3"/>
    </w:pPr>
    <w:rPr>
      <w:rFonts w:ascii="Cambria" w:hAnsi="Cambria"/>
      <w:b/>
      <w:bCs/>
      <w:i/>
      <w:iCs/>
      <w:color w:val="4F81BD"/>
      <w:sz w:val="22"/>
      <w:szCs w:val="22"/>
      <w:lang w:eastAsia="en-US"/>
    </w:rPr>
  </w:style>
  <w:style w:type="paragraph" w:styleId="Heading5">
    <w:name w:val="heading 5"/>
    <w:basedOn w:val="Normal"/>
    <w:next w:val="Normal"/>
    <w:link w:val="Heading5Char"/>
    <w:unhideWhenUsed/>
    <w:rsid w:val="004175B3"/>
    <w:pPr>
      <w:numPr>
        <w:ilvl w:val="4"/>
        <w:numId w:val="5"/>
      </w:numPr>
      <w:spacing w:before="240" w:after="60"/>
      <w:jc w:val="both"/>
      <w:outlineLvl w:val="4"/>
    </w:pPr>
    <w:rPr>
      <w:rFonts w:ascii="Arial" w:hAnsi="Arial"/>
      <w:b/>
      <w:bCs/>
      <w:i/>
      <w:iCs/>
      <w:sz w:val="26"/>
      <w:szCs w:val="26"/>
      <w:lang w:eastAsia="en-US"/>
    </w:rPr>
  </w:style>
  <w:style w:type="paragraph" w:styleId="Heading6">
    <w:name w:val="heading 6"/>
    <w:basedOn w:val="Normal"/>
    <w:next w:val="Normal"/>
    <w:link w:val="Heading6Char"/>
    <w:unhideWhenUsed/>
    <w:rsid w:val="004175B3"/>
    <w:pPr>
      <w:numPr>
        <w:ilvl w:val="5"/>
        <w:numId w:val="5"/>
      </w:numPr>
      <w:spacing w:before="240" w:after="60"/>
      <w:jc w:val="both"/>
      <w:outlineLvl w:val="5"/>
    </w:pPr>
    <w:rPr>
      <w:b/>
      <w:bCs/>
      <w:sz w:val="22"/>
      <w:szCs w:val="22"/>
      <w:lang w:eastAsia="en-US"/>
    </w:rPr>
  </w:style>
  <w:style w:type="paragraph" w:styleId="Heading7">
    <w:name w:val="heading 7"/>
    <w:basedOn w:val="Normal"/>
    <w:next w:val="Normal"/>
    <w:link w:val="Heading7Char"/>
    <w:unhideWhenUsed/>
    <w:rsid w:val="004175B3"/>
    <w:pPr>
      <w:numPr>
        <w:ilvl w:val="6"/>
        <w:numId w:val="5"/>
      </w:numPr>
      <w:spacing w:before="240" w:after="60"/>
      <w:jc w:val="both"/>
      <w:outlineLvl w:val="6"/>
    </w:pPr>
    <w:rPr>
      <w:lang w:eastAsia="en-US"/>
    </w:rPr>
  </w:style>
  <w:style w:type="paragraph" w:styleId="Heading8">
    <w:name w:val="heading 8"/>
    <w:basedOn w:val="Normal"/>
    <w:next w:val="Normal"/>
    <w:link w:val="Heading8Char"/>
    <w:unhideWhenUsed/>
    <w:rsid w:val="004175B3"/>
    <w:pPr>
      <w:numPr>
        <w:ilvl w:val="7"/>
        <w:numId w:val="5"/>
      </w:numPr>
      <w:spacing w:before="240" w:after="60"/>
      <w:jc w:val="both"/>
      <w:outlineLvl w:val="7"/>
    </w:pPr>
    <w:rPr>
      <w:i/>
      <w:iCs/>
      <w:lang w:eastAsia="en-US"/>
    </w:rPr>
  </w:style>
  <w:style w:type="paragraph" w:styleId="Heading9">
    <w:name w:val="heading 9"/>
    <w:basedOn w:val="Normal"/>
    <w:next w:val="Normal"/>
    <w:link w:val="Heading9Char"/>
    <w:unhideWhenUsed/>
    <w:rsid w:val="004175B3"/>
    <w:pPr>
      <w:numPr>
        <w:ilvl w:val="8"/>
        <w:numId w:val="5"/>
      </w:numPr>
      <w:spacing w:before="240" w:after="60"/>
      <w:jc w:val="both"/>
      <w:outlineLvl w:val="8"/>
    </w:pPr>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872F7F"/>
    <w:rPr>
      <w:sz w:val="20"/>
      <w:szCs w:val="20"/>
    </w:rPr>
  </w:style>
  <w:style w:type="character" w:styleId="FootnoteReference">
    <w:name w:val="footnote reference"/>
    <w:basedOn w:val="DefaultParagraphFont"/>
    <w:semiHidden/>
    <w:rsid w:val="00872F7F"/>
    <w:rPr>
      <w:vertAlign w:val="superscript"/>
    </w:rPr>
  </w:style>
  <w:style w:type="character" w:styleId="Hyperlink">
    <w:name w:val="Hyperlink"/>
    <w:basedOn w:val="DefaultParagraphFont"/>
    <w:rsid w:val="00872F7F"/>
    <w:rPr>
      <w:color w:val="0000FF"/>
      <w:u w:val="single"/>
    </w:rPr>
  </w:style>
  <w:style w:type="paragraph" w:styleId="Header">
    <w:name w:val="header"/>
    <w:basedOn w:val="Normal"/>
    <w:link w:val="HeaderChar"/>
    <w:uiPriority w:val="99"/>
    <w:rsid w:val="00872F7F"/>
    <w:pPr>
      <w:tabs>
        <w:tab w:val="center" w:pos="4153"/>
        <w:tab w:val="right" w:pos="8306"/>
      </w:tabs>
    </w:pPr>
  </w:style>
  <w:style w:type="character" w:customStyle="1" w:styleId="HeaderChar">
    <w:name w:val="Header Char"/>
    <w:basedOn w:val="DefaultParagraphFont"/>
    <w:link w:val="Header"/>
    <w:uiPriority w:val="99"/>
    <w:rsid w:val="00872F7F"/>
    <w:rPr>
      <w:sz w:val="24"/>
      <w:szCs w:val="24"/>
      <w:lang w:val="en-GB" w:eastAsia="en-GB" w:bidi="ar-SA"/>
    </w:rPr>
  </w:style>
  <w:style w:type="paragraph" w:styleId="BodyText3">
    <w:name w:val="Body Text 3"/>
    <w:basedOn w:val="Normal"/>
    <w:rsid w:val="00872F7F"/>
    <w:pPr>
      <w:spacing w:after="120"/>
    </w:pPr>
    <w:rPr>
      <w:sz w:val="16"/>
      <w:szCs w:val="16"/>
    </w:rPr>
  </w:style>
  <w:style w:type="paragraph" w:styleId="BodyText">
    <w:name w:val="Body Text"/>
    <w:basedOn w:val="Normal"/>
    <w:rsid w:val="00872F7F"/>
    <w:pPr>
      <w:spacing w:after="120"/>
    </w:pPr>
  </w:style>
  <w:style w:type="paragraph" w:styleId="BodyTextIndent">
    <w:name w:val="Body Text Indent"/>
    <w:basedOn w:val="Normal"/>
    <w:rsid w:val="00872F7F"/>
    <w:pPr>
      <w:spacing w:after="120"/>
      <w:ind w:left="283"/>
    </w:pPr>
  </w:style>
  <w:style w:type="paragraph" w:customStyle="1" w:styleId="0Date">
    <w:name w:val="0. Date"/>
    <w:basedOn w:val="Normal"/>
    <w:uiPriority w:val="99"/>
    <w:rsid w:val="004175B3"/>
    <w:pPr>
      <w:jc w:val="right"/>
    </w:pPr>
    <w:rPr>
      <w:rFonts w:ascii="Arial Narrow" w:hAnsi="Arial Narrow"/>
      <w:color w:val="FFFFFF"/>
      <w:sz w:val="20"/>
      <w:lang w:eastAsia="en-US"/>
    </w:rPr>
  </w:style>
  <w:style w:type="paragraph" w:customStyle="1" w:styleId="0Doesnotcontain">
    <w:name w:val="0. Does not contain"/>
    <w:basedOn w:val="Normal"/>
    <w:uiPriority w:val="99"/>
    <w:rsid w:val="004175B3"/>
    <w:pPr>
      <w:jc w:val="right"/>
    </w:pPr>
    <w:rPr>
      <w:rFonts w:ascii="Arial Narrow" w:hAnsi="Arial Narrow"/>
      <w:color w:val="FFFFFF"/>
      <w:sz w:val="20"/>
      <w:lang w:eastAsia="en-US"/>
    </w:rPr>
  </w:style>
  <w:style w:type="paragraph" w:customStyle="1" w:styleId="0ProjectNo">
    <w:name w:val="0. Project No."/>
    <w:basedOn w:val="Normal"/>
    <w:uiPriority w:val="99"/>
    <w:rsid w:val="004175B3"/>
    <w:pPr>
      <w:jc w:val="right"/>
    </w:pPr>
    <w:rPr>
      <w:rFonts w:ascii="Arial Narrow" w:hAnsi="Arial Narrow"/>
      <w:color w:val="FFFFFF"/>
      <w:lang w:eastAsia="en-US"/>
    </w:rPr>
  </w:style>
  <w:style w:type="paragraph" w:customStyle="1" w:styleId="0REPORT">
    <w:name w:val="0. REPORT"/>
    <w:basedOn w:val="Normal"/>
    <w:uiPriority w:val="99"/>
    <w:rsid w:val="004175B3"/>
    <w:rPr>
      <w:rFonts w:ascii="Arial Black" w:hAnsi="Arial Black"/>
      <w:color w:val="FFFFFF"/>
      <w:lang w:eastAsia="en-US"/>
    </w:rPr>
  </w:style>
  <w:style w:type="paragraph" w:customStyle="1" w:styleId="0Title">
    <w:name w:val="0. Title"/>
    <w:basedOn w:val="Normal"/>
    <w:uiPriority w:val="99"/>
    <w:rsid w:val="004175B3"/>
    <w:rPr>
      <w:rFonts w:ascii="Arial Narrow" w:hAnsi="Arial Narrow"/>
      <w:color w:val="FFFFFF"/>
      <w:sz w:val="50"/>
      <w:lang w:eastAsia="en-US"/>
    </w:rPr>
  </w:style>
  <w:style w:type="paragraph" w:customStyle="1" w:styleId="1TextBullets">
    <w:name w:val="1 Text Bullets"/>
    <w:basedOn w:val="Normal"/>
    <w:uiPriority w:val="99"/>
    <w:rsid w:val="004175B3"/>
    <w:pPr>
      <w:widowControl w:val="0"/>
      <w:numPr>
        <w:numId w:val="1"/>
      </w:numPr>
      <w:autoSpaceDE w:val="0"/>
      <w:autoSpaceDN w:val="0"/>
      <w:adjustRightInd w:val="0"/>
      <w:spacing w:after="40" w:line="240" w:lineRule="exact"/>
    </w:pPr>
    <w:rPr>
      <w:rFonts w:ascii="ArialMT" w:hAnsi="ArialMT" w:cs="ArialMT"/>
      <w:sz w:val="14"/>
      <w:szCs w:val="22"/>
      <w:lang w:val="en-US" w:eastAsia="en-US"/>
    </w:rPr>
  </w:style>
  <w:style w:type="paragraph" w:styleId="BalloonText">
    <w:name w:val="Balloon Text"/>
    <w:basedOn w:val="Normal"/>
    <w:link w:val="BalloonTextChar"/>
    <w:uiPriority w:val="99"/>
    <w:unhideWhenUsed/>
    <w:rsid w:val="004175B3"/>
    <w:rPr>
      <w:rFonts w:ascii="Tahoma" w:hAnsi="Tahoma" w:cs="Tahoma"/>
      <w:sz w:val="16"/>
      <w:szCs w:val="16"/>
      <w:lang w:eastAsia="en-US"/>
    </w:rPr>
  </w:style>
  <w:style w:type="character" w:customStyle="1" w:styleId="BalloonTextChar">
    <w:name w:val="Balloon Text Char"/>
    <w:basedOn w:val="DefaultParagraphFont"/>
    <w:link w:val="BalloonText"/>
    <w:uiPriority w:val="99"/>
    <w:rsid w:val="004175B3"/>
    <w:rPr>
      <w:rFonts w:ascii="Tahoma" w:eastAsia="Times New Roman" w:hAnsi="Tahoma" w:cs="Tahoma"/>
      <w:sz w:val="16"/>
      <w:szCs w:val="16"/>
      <w:lang w:eastAsia="en-US"/>
    </w:rPr>
  </w:style>
  <w:style w:type="paragraph" w:customStyle="1" w:styleId="BMJBOXTEXT">
    <w:name w:val="BMJ BOX TEXT"/>
    <w:basedOn w:val="Normal"/>
    <w:qFormat/>
    <w:rsid w:val="004175B3"/>
    <w:pPr>
      <w:spacing w:line="360" w:lineRule="auto"/>
      <w:jc w:val="both"/>
    </w:pPr>
    <w:rPr>
      <w:rFonts w:ascii="Arial" w:hAnsi="Arial"/>
      <w:sz w:val="20"/>
      <w:lang w:eastAsia="en-US"/>
    </w:rPr>
  </w:style>
  <w:style w:type="paragraph" w:customStyle="1" w:styleId="BMJH4">
    <w:name w:val="BMJ H4"/>
    <w:basedOn w:val="Normal"/>
    <w:next w:val="Normal"/>
    <w:qFormat/>
    <w:rsid w:val="004175B3"/>
    <w:pPr>
      <w:spacing w:before="240" w:after="120"/>
    </w:pPr>
    <w:rPr>
      <w:rFonts w:eastAsia="Calibri"/>
      <w:i/>
      <w:sz w:val="22"/>
      <w:szCs w:val="22"/>
      <w:lang w:eastAsia="en-US"/>
    </w:rPr>
  </w:style>
  <w:style w:type="paragraph" w:customStyle="1" w:styleId="BMJBULLET">
    <w:name w:val="BMJ BULLET"/>
    <w:basedOn w:val="BMJH4"/>
    <w:next w:val="Normal"/>
    <w:qFormat/>
    <w:rsid w:val="004175B3"/>
    <w:pPr>
      <w:numPr>
        <w:numId w:val="2"/>
      </w:numPr>
      <w:spacing w:before="0"/>
      <w:jc w:val="both"/>
    </w:pPr>
    <w:rPr>
      <w:i w:val="0"/>
    </w:rPr>
  </w:style>
  <w:style w:type="paragraph" w:styleId="Caption">
    <w:name w:val="caption"/>
    <w:basedOn w:val="Normal"/>
    <w:next w:val="Normal"/>
    <w:uiPriority w:val="35"/>
    <w:semiHidden/>
    <w:unhideWhenUsed/>
    <w:qFormat/>
    <w:rsid w:val="004175B3"/>
    <w:pPr>
      <w:spacing w:after="200"/>
    </w:pPr>
    <w:rPr>
      <w:b/>
      <w:bCs/>
      <w:color w:val="4F81BD"/>
      <w:sz w:val="18"/>
      <w:szCs w:val="18"/>
      <w:lang w:eastAsia="en-US"/>
    </w:rPr>
  </w:style>
  <w:style w:type="paragraph" w:customStyle="1" w:styleId="BMJCAPTION">
    <w:name w:val="BMJ CAPTION"/>
    <w:basedOn w:val="Caption"/>
    <w:qFormat/>
    <w:rsid w:val="00156BCD"/>
    <w:pPr>
      <w:keepNext/>
      <w:spacing w:before="120" w:after="120"/>
      <w:jc w:val="both"/>
    </w:pPr>
    <w:rPr>
      <w:rFonts w:ascii="Arial" w:eastAsia="Calibri" w:hAnsi="Arial"/>
      <w:b w:val="0"/>
      <w:color w:val="auto"/>
      <w:sz w:val="22"/>
    </w:rPr>
  </w:style>
  <w:style w:type="paragraph" w:styleId="Footer">
    <w:name w:val="footer"/>
    <w:basedOn w:val="Normal"/>
    <w:link w:val="FooterChar"/>
    <w:uiPriority w:val="99"/>
    <w:rsid w:val="004175B3"/>
    <w:pPr>
      <w:tabs>
        <w:tab w:val="center" w:pos="4320"/>
        <w:tab w:val="right" w:pos="8640"/>
      </w:tabs>
    </w:pPr>
    <w:rPr>
      <w:lang w:eastAsia="en-US"/>
    </w:rPr>
  </w:style>
  <w:style w:type="character" w:customStyle="1" w:styleId="FooterChar">
    <w:name w:val="Footer Char"/>
    <w:basedOn w:val="DefaultParagraphFont"/>
    <w:link w:val="Footer"/>
    <w:uiPriority w:val="99"/>
    <w:rsid w:val="004175B3"/>
    <w:rPr>
      <w:rFonts w:eastAsia="Times New Roman"/>
      <w:sz w:val="24"/>
      <w:szCs w:val="24"/>
      <w:lang w:eastAsia="en-US"/>
    </w:rPr>
  </w:style>
  <w:style w:type="paragraph" w:customStyle="1" w:styleId="BMJFOOTER">
    <w:name w:val="BMJ FOOTER"/>
    <w:basedOn w:val="Footer"/>
    <w:qFormat/>
    <w:rsid w:val="004175B3"/>
    <w:pPr>
      <w:tabs>
        <w:tab w:val="clear" w:pos="4320"/>
        <w:tab w:val="clear" w:pos="8640"/>
        <w:tab w:val="center" w:pos="4153"/>
        <w:tab w:val="right" w:pos="8306"/>
      </w:tabs>
      <w:jc w:val="right"/>
    </w:pPr>
    <w:rPr>
      <w:rFonts w:ascii="Arial" w:hAnsi="Arial" w:cs="Arial"/>
      <w:sz w:val="16"/>
      <w:szCs w:val="16"/>
    </w:rPr>
  </w:style>
  <w:style w:type="paragraph" w:customStyle="1" w:styleId="BMJINDENT">
    <w:name w:val="BMJ INDENT"/>
    <w:basedOn w:val="BMJBOXTEXT"/>
    <w:qFormat/>
    <w:rsid w:val="004175B3"/>
    <w:pPr>
      <w:ind w:left="578" w:right="578"/>
    </w:pPr>
    <w:rPr>
      <w:rFonts w:ascii="Times New Roman" w:hAnsi="Times New Roman"/>
      <w:i/>
    </w:rPr>
  </w:style>
  <w:style w:type="paragraph" w:customStyle="1" w:styleId="BMJlegend">
    <w:name w:val="BMJ legend"/>
    <w:basedOn w:val="Normal"/>
    <w:qFormat/>
    <w:rsid w:val="004175B3"/>
    <w:pPr>
      <w:jc w:val="both"/>
    </w:pPr>
    <w:rPr>
      <w:rFonts w:ascii="Arial" w:eastAsia="Calibri" w:hAnsi="Arial"/>
      <w:sz w:val="16"/>
      <w:szCs w:val="22"/>
      <w:lang w:eastAsia="en-US"/>
    </w:rPr>
  </w:style>
  <w:style w:type="paragraph" w:customStyle="1" w:styleId="BMJnormal">
    <w:name w:val="BMJ normal"/>
    <w:basedOn w:val="Normal"/>
    <w:link w:val="BMJnormalChar"/>
    <w:qFormat/>
    <w:rsid w:val="004175B3"/>
    <w:pPr>
      <w:spacing w:after="240" w:line="360" w:lineRule="auto"/>
      <w:jc w:val="both"/>
    </w:pPr>
    <w:rPr>
      <w:sz w:val="22"/>
      <w:szCs w:val="22"/>
      <w:lang w:eastAsia="en-US"/>
    </w:rPr>
  </w:style>
  <w:style w:type="paragraph" w:customStyle="1" w:styleId="BMJNUMBEREDLIST">
    <w:name w:val="BMJ NUMBERED LIST"/>
    <w:basedOn w:val="Normal"/>
    <w:qFormat/>
    <w:rsid w:val="004175B3"/>
    <w:pPr>
      <w:numPr>
        <w:numId w:val="3"/>
      </w:numPr>
      <w:spacing w:after="120"/>
      <w:jc w:val="both"/>
    </w:pPr>
    <w:rPr>
      <w:rFonts w:eastAsia="Calibri"/>
      <w:sz w:val="22"/>
      <w:szCs w:val="22"/>
      <w:lang w:eastAsia="en-US"/>
    </w:rPr>
  </w:style>
  <w:style w:type="paragraph" w:customStyle="1" w:styleId="BMJTABLEHEADER">
    <w:name w:val="BMJ TABLE HEADER"/>
    <w:basedOn w:val="Normal"/>
    <w:qFormat/>
    <w:rsid w:val="004175B3"/>
    <w:pPr>
      <w:keepNext/>
      <w:spacing w:before="40" w:after="40"/>
      <w:jc w:val="both"/>
    </w:pPr>
    <w:rPr>
      <w:rFonts w:ascii="Arial" w:hAnsi="Arial" w:cs="Arial"/>
      <w:b/>
      <w:sz w:val="18"/>
      <w:szCs w:val="20"/>
      <w:lang w:eastAsia="en-US"/>
    </w:rPr>
  </w:style>
  <w:style w:type="paragraph" w:customStyle="1" w:styleId="TARtabletext">
    <w:name w:val="TAR_table_text"/>
    <w:basedOn w:val="Normal"/>
    <w:rsid w:val="004175B3"/>
    <w:pPr>
      <w:keepNext/>
      <w:tabs>
        <w:tab w:val="right" w:pos="1432"/>
      </w:tabs>
      <w:spacing w:after="240" w:line="360" w:lineRule="auto"/>
    </w:pPr>
    <w:rPr>
      <w:rFonts w:ascii="Arial" w:hAnsi="Arial"/>
      <w:color w:val="000080"/>
      <w:sz w:val="16"/>
      <w:lang w:eastAsia="en-US"/>
    </w:rPr>
  </w:style>
  <w:style w:type="paragraph" w:customStyle="1" w:styleId="BMJTABLENUMBERS">
    <w:name w:val="BMJ TABLE NUMBERS"/>
    <w:basedOn w:val="TARtabletext"/>
    <w:qFormat/>
    <w:rsid w:val="004175B3"/>
    <w:pPr>
      <w:spacing w:before="40" w:after="40" w:line="240" w:lineRule="auto"/>
      <w:jc w:val="right"/>
    </w:pPr>
    <w:rPr>
      <w:color w:val="auto"/>
      <w:sz w:val="20"/>
      <w:szCs w:val="20"/>
    </w:rPr>
  </w:style>
  <w:style w:type="paragraph" w:customStyle="1" w:styleId="BMJTABLETEXT">
    <w:name w:val="BMJ TABLE TEXT"/>
    <w:basedOn w:val="TARtabletext"/>
    <w:qFormat/>
    <w:rsid w:val="004175B3"/>
    <w:pPr>
      <w:spacing w:before="40" w:after="40" w:line="240" w:lineRule="auto"/>
    </w:pPr>
    <w:rPr>
      <w:rFonts w:cs="Arial"/>
      <w:color w:val="auto"/>
      <w:sz w:val="18"/>
      <w:szCs w:val="18"/>
    </w:rPr>
  </w:style>
  <w:style w:type="paragraph" w:customStyle="1" w:styleId="Default">
    <w:name w:val="Default"/>
    <w:rsid w:val="004175B3"/>
    <w:pPr>
      <w:autoSpaceDE w:val="0"/>
      <w:autoSpaceDN w:val="0"/>
      <w:adjustRightInd w:val="0"/>
    </w:pPr>
    <w:rPr>
      <w:color w:val="000000"/>
      <w:sz w:val="24"/>
      <w:szCs w:val="24"/>
    </w:rPr>
  </w:style>
  <w:style w:type="character" w:customStyle="1" w:styleId="Heading1Char">
    <w:name w:val="Heading 1 Char"/>
    <w:aliases w:val="BMJ H1 Char"/>
    <w:basedOn w:val="DefaultParagraphFont"/>
    <w:link w:val="Heading1"/>
    <w:uiPriority w:val="9"/>
    <w:rsid w:val="004175B3"/>
    <w:rPr>
      <w:rFonts w:ascii="Arial Bold" w:eastAsia="Times New Roman" w:hAnsi="Arial Bold"/>
      <w:b/>
      <w:bCs/>
      <w:caps/>
      <w:sz w:val="32"/>
      <w:szCs w:val="28"/>
      <w:lang w:eastAsia="en-US"/>
    </w:rPr>
  </w:style>
  <w:style w:type="character" w:customStyle="1" w:styleId="Heading2Char">
    <w:name w:val="Heading 2 Char"/>
    <w:aliases w:val="BMJ H2 Char"/>
    <w:basedOn w:val="DefaultParagraphFont"/>
    <w:link w:val="Heading2"/>
    <w:uiPriority w:val="9"/>
    <w:rsid w:val="004175B3"/>
    <w:rPr>
      <w:rFonts w:ascii="Arial" w:eastAsia="Times New Roman" w:hAnsi="Arial"/>
      <w:b/>
      <w:bCs/>
      <w:i/>
      <w:sz w:val="26"/>
      <w:szCs w:val="26"/>
      <w:lang w:eastAsia="en-US"/>
    </w:rPr>
  </w:style>
  <w:style w:type="character" w:customStyle="1" w:styleId="Heading4Char">
    <w:name w:val="Heading 4 Char"/>
    <w:basedOn w:val="DefaultParagraphFont"/>
    <w:link w:val="Heading4"/>
    <w:uiPriority w:val="9"/>
    <w:semiHidden/>
    <w:rsid w:val="004175B3"/>
    <w:rPr>
      <w:rFonts w:ascii="Cambria" w:eastAsia="Times New Roman" w:hAnsi="Cambria"/>
      <w:b/>
      <w:bCs/>
      <w:i/>
      <w:iCs/>
      <w:color w:val="4F81BD"/>
      <w:sz w:val="22"/>
      <w:szCs w:val="22"/>
      <w:lang w:eastAsia="en-US"/>
    </w:rPr>
  </w:style>
  <w:style w:type="character" w:customStyle="1" w:styleId="Heading5Char">
    <w:name w:val="Heading 5 Char"/>
    <w:basedOn w:val="DefaultParagraphFont"/>
    <w:link w:val="Heading5"/>
    <w:rsid w:val="004175B3"/>
    <w:rPr>
      <w:rFonts w:ascii="Arial" w:eastAsia="Times New Roman" w:hAnsi="Arial"/>
      <w:b/>
      <w:bCs/>
      <w:i/>
      <w:iCs/>
      <w:sz w:val="26"/>
      <w:szCs w:val="26"/>
      <w:lang w:eastAsia="en-US"/>
    </w:rPr>
  </w:style>
  <w:style w:type="character" w:customStyle="1" w:styleId="Heading6Char">
    <w:name w:val="Heading 6 Char"/>
    <w:basedOn w:val="DefaultParagraphFont"/>
    <w:link w:val="Heading6"/>
    <w:rsid w:val="004175B3"/>
    <w:rPr>
      <w:rFonts w:eastAsia="Times New Roman"/>
      <w:b/>
      <w:bCs/>
      <w:sz w:val="22"/>
      <w:szCs w:val="22"/>
      <w:lang w:eastAsia="en-US"/>
    </w:rPr>
  </w:style>
  <w:style w:type="character" w:customStyle="1" w:styleId="Heading7Char">
    <w:name w:val="Heading 7 Char"/>
    <w:basedOn w:val="DefaultParagraphFont"/>
    <w:link w:val="Heading7"/>
    <w:rsid w:val="004175B3"/>
    <w:rPr>
      <w:rFonts w:eastAsia="Times New Roman"/>
      <w:sz w:val="24"/>
      <w:szCs w:val="24"/>
      <w:lang w:eastAsia="en-US"/>
    </w:rPr>
  </w:style>
  <w:style w:type="character" w:customStyle="1" w:styleId="Heading8Char">
    <w:name w:val="Heading 8 Char"/>
    <w:basedOn w:val="DefaultParagraphFont"/>
    <w:link w:val="Heading8"/>
    <w:rsid w:val="004175B3"/>
    <w:rPr>
      <w:rFonts w:eastAsia="Times New Roman"/>
      <w:i/>
      <w:iCs/>
      <w:sz w:val="24"/>
      <w:szCs w:val="24"/>
      <w:lang w:eastAsia="en-US"/>
    </w:rPr>
  </w:style>
  <w:style w:type="character" w:customStyle="1" w:styleId="Heading9Char">
    <w:name w:val="Heading 9 Char"/>
    <w:basedOn w:val="DefaultParagraphFont"/>
    <w:link w:val="Heading9"/>
    <w:rsid w:val="004175B3"/>
    <w:rPr>
      <w:rFonts w:ascii="Arial" w:eastAsia="Times New Roman" w:hAnsi="Arial" w:cs="Arial"/>
      <w:sz w:val="22"/>
      <w:szCs w:val="22"/>
      <w:lang w:eastAsia="en-US"/>
    </w:rPr>
  </w:style>
  <w:style w:type="character" w:styleId="IntenseEmphasis">
    <w:name w:val="Intense Emphasis"/>
    <w:basedOn w:val="DefaultParagraphFont"/>
    <w:uiPriority w:val="21"/>
    <w:qFormat/>
    <w:rsid w:val="004175B3"/>
    <w:rPr>
      <w:b/>
      <w:bCs/>
      <w:i/>
      <w:iCs/>
      <w:color w:val="4F81BD"/>
    </w:rPr>
  </w:style>
  <w:style w:type="paragraph" w:styleId="ListParagraph">
    <w:name w:val="List Paragraph"/>
    <w:basedOn w:val="Normal"/>
    <w:uiPriority w:val="34"/>
    <w:qFormat/>
    <w:rsid w:val="004175B3"/>
    <w:pPr>
      <w:ind w:left="720"/>
      <w:contextualSpacing/>
    </w:pPr>
  </w:style>
  <w:style w:type="paragraph" w:customStyle="1" w:styleId="LRIGTABLETEXT">
    <w:name w:val="LRIG TABLE TEXT"/>
    <w:basedOn w:val="TARtabletext"/>
    <w:qFormat/>
    <w:rsid w:val="004175B3"/>
    <w:pPr>
      <w:spacing w:before="40" w:after="40" w:line="240" w:lineRule="auto"/>
    </w:pPr>
    <w:rPr>
      <w:rFonts w:cs="Arial"/>
      <w:color w:val="auto"/>
      <w:sz w:val="18"/>
      <w:szCs w:val="18"/>
    </w:rPr>
  </w:style>
  <w:style w:type="paragraph" w:customStyle="1" w:styleId="NICEnormal">
    <w:name w:val="NICE normal"/>
    <w:basedOn w:val="Normal"/>
    <w:rsid w:val="004175B3"/>
    <w:pPr>
      <w:spacing w:after="240" w:line="360" w:lineRule="auto"/>
      <w:jc w:val="both"/>
    </w:pPr>
    <w:rPr>
      <w:rFonts w:ascii="Arial" w:hAnsi="Arial"/>
      <w:lang w:eastAsia="en-US"/>
    </w:rPr>
  </w:style>
  <w:style w:type="paragraph" w:styleId="NoSpacing">
    <w:name w:val="No Spacing"/>
    <w:uiPriority w:val="1"/>
    <w:qFormat/>
    <w:rsid w:val="004175B3"/>
    <w:rPr>
      <w:rFonts w:ascii="Calibri" w:eastAsia="Times New Roman" w:hAnsi="Calibri"/>
      <w:sz w:val="22"/>
      <w:szCs w:val="22"/>
      <w:lang w:val="en-US" w:eastAsia="en-US"/>
    </w:rPr>
  </w:style>
  <w:style w:type="table" w:styleId="TableGrid">
    <w:name w:val="Table Grid"/>
    <w:basedOn w:val="TableNormal"/>
    <w:uiPriority w:val="59"/>
    <w:rsid w:val="004175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4175B3"/>
    <w:pPr>
      <w:widowControl w:val="0"/>
      <w:jc w:val="both"/>
    </w:pPr>
    <w:rPr>
      <w:rFonts w:eastAsia="Calibri"/>
      <w:sz w:val="22"/>
      <w:szCs w:val="22"/>
      <w:lang w:eastAsia="en-US"/>
    </w:rPr>
  </w:style>
  <w:style w:type="paragraph" w:styleId="TOC2">
    <w:name w:val="toc 2"/>
    <w:basedOn w:val="Normal"/>
    <w:next w:val="Normal"/>
    <w:autoRedefine/>
    <w:uiPriority w:val="39"/>
    <w:unhideWhenUsed/>
    <w:rsid w:val="004175B3"/>
    <w:pPr>
      <w:tabs>
        <w:tab w:val="left" w:pos="880"/>
        <w:tab w:val="right" w:leader="dot" w:pos="9016"/>
      </w:tabs>
      <w:spacing w:after="60"/>
      <w:ind w:left="221"/>
      <w:jc w:val="both"/>
    </w:pPr>
    <w:rPr>
      <w:rFonts w:eastAsia="Calibri"/>
      <w:sz w:val="22"/>
      <w:szCs w:val="22"/>
      <w:lang w:eastAsia="en-US"/>
    </w:rPr>
  </w:style>
  <w:style w:type="paragraph" w:styleId="TOC3">
    <w:name w:val="toc 3"/>
    <w:basedOn w:val="Normal"/>
    <w:next w:val="Normal"/>
    <w:autoRedefine/>
    <w:uiPriority w:val="39"/>
    <w:unhideWhenUsed/>
    <w:rsid w:val="004175B3"/>
    <w:pPr>
      <w:spacing w:after="100"/>
      <w:ind w:left="480"/>
    </w:pPr>
    <w:rPr>
      <w:lang w:eastAsia="en-US"/>
    </w:rPr>
  </w:style>
  <w:style w:type="character" w:customStyle="1" w:styleId="BMJnormalChar">
    <w:name w:val="BMJ normal Char"/>
    <w:basedOn w:val="DefaultParagraphFont"/>
    <w:link w:val="BMJnormal"/>
    <w:rsid w:val="00C53A51"/>
    <w:rPr>
      <w:rFonts w:eastAsia="Times New Roman"/>
      <w:sz w:val="22"/>
      <w:szCs w:val="22"/>
      <w:lang w:eastAsia="en-US"/>
    </w:rPr>
  </w:style>
  <w:style w:type="paragraph" w:styleId="TOCHeading">
    <w:name w:val="TOC Heading"/>
    <w:basedOn w:val="Heading1"/>
    <w:next w:val="Normal"/>
    <w:uiPriority w:val="39"/>
    <w:semiHidden/>
    <w:unhideWhenUsed/>
    <w:qFormat/>
    <w:rsid w:val="00D51BD6"/>
    <w:pPr>
      <w:numPr>
        <w:numId w:val="0"/>
      </w:numPr>
      <w:spacing w:before="480" w:after="0" w:line="276" w:lineRule="auto"/>
      <w:outlineLvl w:val="9"/>
    </w:pPr>
    <w:rPr>
      <w:rFonts w:ascii="Cambria" w:hAnsi="Cambria"/>
      <w:caps w:val="0"/>
      <w:color w:val="365F91"/>
      <w:sz w:val="28"/>
      <w:lang w:val="en-US"/>
    </w:rPr>
  </w:style>
  <w:style w:type="paragraph" w:styleId="Title">
    <w:name w:val="Title"/>
    <w:basedOn w:val="Normal"/>
    <w:next w:val="Normal"/>
    <w:link w:val="TitleChar"/>
    <w:qFormat/>
    <w:rsid w:val="003F61FF"/>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3F61FF"/>
    <w:rPr>
      <w:rFonts w:ascii="Cambria" w:eastAsia="Times New Roman" w:hAnsi="Cambria" w:cs="Times New Roman"/>
      <w:b/>
      <w:bCs/>
      <w:kern w:val="28"/>
      <w:sz w:val="32"/>
      <w:szCs w:val="32"/>
    </w:rPr>
  </w:style>
  <w:style w:type="paragraph" w:styleId="NormalWeb">
    <w:name w:val="Normal (Web)"/>
    <w:basedOn w:val="Normal"/>
    <w:uiPriority w:val="99"/>
    <w:unhideWhenUsed/>
    <w:rsid w:val="002C7DD9"/>
    <w:pPr>
      <w:spacing w:before="100" w:beforeAutospacing="1" w:after="100" w:afterAutospacing="1"/>
    </w:pPr>
  </w:style>
  <w:style w:type="paragraph" w:customStyle="1" w:styleId="inlinenormal146">
    <w:name w:val="inlinenormal146"/>
    <w:basedOn w:val="Normal"/>
    <w:rsid w:val="002013DC"/>
    <w:pPr>
      <w:spacing w:before="100" w:beforeAutospacing="1" w:after="100" w:afterAutospacing="1"/>
    </w:pPr>
  </w:style>
  <w:style w:type="character" w:styleId="CommentReference">
    <w:name w:val="annotation reference"/>
    <w:basedOn w:val="DefaultParagraphFont"/>
    <w:rsid w:val="005C102D"/>
    <w:rPr>
      <w:sz w:val="16"/>
      <w:szCs w:val="16"/>
    </w:rPr>
  </w:style>
  <w:style w:type="paragraph" w:styleId="CommentText">
    <w:name w:val="annotation text"/>
    <w:basedOn w:val="Normal"/>
    <w:link w:val="CommentTextChar"/>
    <w:rsid w:val="005C102D"/>
    <w:rPr>
      <w:sz w:val="20"/>
      <w:szCs w:val="20"/>
    </w:rPr>
  </w:style>
  <w:style w:type="character" w:customStyle="1" w:styleId="CommentTextChar">
    <w:name w:val="Comment Text Char"/>
    <w:basedOn w:val="DefaultParagraphFont"/>
    <w:link w:val="CommentText"/>
    <w:rsid w:val="005C102D"/>
    <w:rPr>
      <w:rFonts w:eastAsia="Times New Roman"/>
    </w:rPr>
  </w:style>
  <w:style w:type="paragraph" w:styleId="CommentSubject">
    <w:name w:val="annotation subject"/>
    <w:basedOn w:val="CommentText"/>
    <w:next w:val="CommentText"/>
    <w:link w:val="CommentSubjectChar"/>
    <w:rsid w:val="005C102D"/>
    <w:rPr>
      <w:b/>
      <w:bCs/>
    </w:rPr>
  </w:style>
  <w:style w:type="character" w:customStyle="1" w:styleId="CommentSubjectChar">
    <w:name w:val="Comment Subject Char"/>
    <w:basedOn w:val="CommentTextChar"/>
    <w:link w:val="CommentSubject"/>
    <w:rsid w:val="005C102D"/>
    <w:rPr>
      <w:rFonts w:eastAsia="Times New Roman"/>
      <w:b/>
      <w:bCs/>
    </w:rPr>
  </w:style>
  <w:style w:type="paragraph" w:customStyle="1" w:styleId="BMJNormal0">
    <w:name w:val="BMJ Normal"/>
    <w:basedOn w:val="Normal"/>
    <w:qFormat/>
    <w:rsid w:val="00F12EEA"/>
    <w:pPr>
      <w:spacing w:before="240" w:after="60" w:line="360" w:lineRule="auto"/>
      <w:jc w:val="both"/>
    </w:pPr>
    <w:rPr>
      <w:rFonts w:eastAsiaTheme="minorEastAsia"/>
      <w:sz w:val="22"/>
      <w:szCs w:val="22"/>
    </w:rPr>
  </w:style>
  <w:style w:type="paragraph" w:customStyle="1" w:styleId="LRIGTABLEHEADER">
    <w:name w:val="LRIG TABLE HEADER"/>
    <w:basedOn w:val="Normal"/>
    <w:qFormat/>
    <w:rsid w:val="00B45D05"/>
    <w:pPr>
      <w:keepNext/>
      <w:spacing w:before="40" w:after="40"/>
      <w:jc w:val="both"/>
    </w:pPr>
    <w:rPr>
      <w:rFonts w:ascii="Arial" w:hAnsi="Arial" w:cs="Arial"/>
      <w:b/>
      <w:sz w:val="20"/>
      <w:szCs w:val="20"/>
      <w:lang w:eastAsia="en-US"/>
    </w:rPr>
  </w:style>
  <w:style w:type="paragraph" w:customStyle="1" w:styleId="BMJTabletext0">
    <w:name w:val="BMJ Table text"/>
    <w:basedOn w:val="Normal"/>
    <w:qFormat/>
    <w:rsid w:val="001A7C7C"/>
    <w:pPr>
      <w:keepNext/>
    </w:pPr>
    <w:rPr>
      <w:rFonts w:ascii="Arial" w:hAnsi="Arial"/>
      <w:sz w:val="18"/>
      <w:lang w:val="en-US"/>
    </w:rPr>
  </w:style>
  <w:style w:type="paragraph" w:customStyle="1" w:styleId="BMJTableheading">
    <w:name w:val="BMJ Table heading"/>
    <w:basedOn w:val="BMJTabletext0"/>
    <w:qFormat/>
    <w:rsid w:val="001A7C7C"/>
    <w:rPr>
      <w:b/>
    </w:rPr>
  </w:style>
  <w:style w:type="character" w:customStyle="1" w:styleId="ecxblockemailwithname">
    <w:name w:val="ecxblockemailwithname"/>
    <w:basedOn w:val="DefaultParagraphFont"/>
    <w:rsid w:val="00DE0F3E"/>
  </w:style>
  <w:style w:type="paragraph" w:styleId="BodyText2">
    <w:name w:val="Body Text 2"/>
    <w:basedOn w:val="Normal"/>
    <w:link w:val="BodyText2Char"/>
    <w:rsid w:val="00A910EC"/>
    <w:pPr>
      <w:spacing w:after="120" w:line="480" w:lineRule="auto"/>
    </w:pPr>
  </w:style>
  <w:style w:type="character" w:customStyle="1" w:styleId="BodyText2Char">
    <w:name w:val="Body Text 2 Char"/>
    <w:basedOn w:val="DefaultParagraphFont"/>
    <w:link w:val="BodyText2"/>
    <w:rsid w:val="00A910EC"/>
    <w:rPr>
      <w:rFonts w:eastAsia="Times New Roman"/>
      <w:sz w:val="24"/>
      <w:szCs w:val="24"/>
    </w:rPr>
  </w:style>
  <w:style w:type="character" w:customStyle="1" w:styleId="blockname">
    <w:name w:val="blockname"/>
    <w:basedOn w:val="DefaultParagraphFont"/>
    <w:rsid w:val="00F613D3"/>
  </w:style>
  <w:style w:type="character" w:customStyle="1" w:styleId="blockemailwithname">
    <w:name w:val="blockemailwithname"/>
    <w:basedOn w:val="DefaultParagraphFont"/>
    <w:rsid w:val="00F613D3"/>
  </w:style>
  <w:style w:type="character" w:styleId="FollowedHyperlink">
    <w:name w:val="FollowedHyperlink"/>
    <w:basedOn w:val="DefaultParagraphFont"/>
    <w:rsid w:val="0096187E"/>
    <w:rPr>
      <w:color w:val="800080" w:themeColor="followedHyperlink"/>
      <w:u w:val="single"/>
    </w:rPr>
  </w:style>
  <w:style w:type="paragraph" w:customStyle="1" w:styleId="Bullets">
    <w:name w:val="Bullets"/>
    <w:basedOn w:val="Normal"/>
    <w:uiPriority w:val="5"/>
    <w:qFormat/>
    <w:rsid w:val="00EA6C5C"/>
    <w:pPr>
      <w:numPr>
        <w:numId w:val="16"/>
      </w:numPr>
      <w:spacing w:line="276" w:lineRule="auto"/>
    </w:pPr>
    <w:rPr>
      <w:rFonts w:ascii="Arial" w:hAnsi="Arial"/>
    </w:rPr>
  </w:style>
  <w:style w:type="paragraph" w:customStyle="1" w:styleId="Subbullets">
    <w:name w:val="Sub bullets"/>
    <w:basedOn w:val="Normal"/>
    <w:uiPriority w:val="6"/>
    <w:qFormat/>
    <w:rsid w:val="00EA6C5C"/>
    <w:pPr>
      <w:numPr>
        <w:numId w:val="17"/>
      </w:numPr>
      <w:spacing w:line="276" w:lineRule="auto"/>
      <w:ind w:left="1418" w:hanging="284"/>
    </w:pPr>
    <w:rPr>
      <w:rFonts w:ascii="Arial" w:hAnsi="Arial"/>
    </w:rPr>
  </w:style>
  <w:style w:type="paragraph" w:customStyle="1" w:styleId="Unnumberedboldheading">
    <w:name w:val="Unnumbered bold heading"/>
    <w:next w:val="NICEnormal"/>
    <w:rsid w:val="002B4001"/>
    <w:pPr>
      <w:keepNext/>
      <w:widowControl w:val="0"/>
      <w:spacing w:after="120"/>
    </w:pPr>
    <w:rPr>
      <w:rFonts w:ascii="Arial" w:eastAsia="Times New Roman" w:hAnsi="Arial"/>
      <w:b/>
      <w:sz w:val="22"/>
      <w:szCs w:val="24"/>
      <w:lang w:val="en-US" w:eastAsia="en-US"/>
    </w:rPr>
  </w:style>
  <w:style w:type="paragraph" w:customStyle="1" w:styleId="EndNoteBibliographyTitle">
    <w:name w:val="EndNote Bibliography Title"/>
    <w:basedOn w:val="Normal"/>
    <w:link w:val="EndNoteBibliographyTitleChar"/>
    <w:rsid w:val="00E6272B"/>
    <w:pPr>
      <w:jc w:val="center"/>
    </w:pPr>
    <w:rPr>
      <w:noProof/>
    </w:rPr>
  </w:style>
  <w:style w:type="character" w:customStyle="1" w:styleId="EndNoteBibliographyTitleChar">
    <w:name w:val="EndNote Bibliography Title Char"/>
    <w:basedOn w:val="BMJnormalChar"/>
    <w:link w:val="EndNoteBibliographyTitle"/>
    <w:rsid w:val="00E6272B"/>
    <w:rPr>
      <w:rFonts w:eastAsia="Times New Roman"/>
      <w:noProof/>
      <w:sz w:val="24"/>
      <w:szCs w:val="24"/>
      <w:lang w:eastAsia="en-US"/>
    </w:rPr>
  </w:style>
  <w:style w:type="paragraph" w:customStyle="1" w:styleId="EndNoteBibliography">
    <w:name w:val="EndNote Bibliography"/>
    <w:basedOn w:val="Normal"/>
    <w:link w:val="EndNoteBibliographyChar"/>
    <w:rsid w:val="00E6272B"/>
    <w:rPr>
      <w:noProof/>
    </w:rPr>
  </w:style>
  <w:style w:type="character" w:customStyle="1" w:styleId="EndNoteBibliographyChar">
    <w:name w:val="EndNote Bibliography Char"/>
    <w:basedOn w:val="BMJnormalChar"/>
    <w:link w:val="EndNoteBibliography"/>
    <w:rsid w:val="00E6272B"/>
    <w:rPr>
      <w:rFonts w:eastAsia="Times New Roman"/>
      <w:noProof/>
      <w:sz w:val="24"/>
      <w:szCs w:val="24"/>
      <w:lang w:eastAsia="en-US"/>
    </w:rPr>
  </w:style>
  <w:style w:type="character" w:customStyle="1" w:styleId="dbname">
    <w:name w:val="dbname"/>
    <w:basedOn w:val="DefaultParagraphFont"/>
    <w:rsid w:val="00D52C21"/>
  </w:style>
  <w:style w:type="character" w:customStyle="1" w:styleId="apple-converted-space">
    <w:name w:val="apple-converted-space"/>
    <w:basedOn w:val="DefaultParagraphFont"/>
    <w:rsid w:val="00D52C21"/>
  </w:style>
  <w:style w:type="character" w:customStyle="1" w:styleId="dbdate">
    <w:name w:val="dbdate"/>
    <w:basedOn w:val="DefaultParagraphFont"/>
    <w:rsid w:val="00D52C21"/>
  </w:style>
  <w:style w:type="character" w:customStyle="1" w:styleId="searchhistory-search-header">
    <w:name w:val="searchhistory-search-header"/>
    <w:basedOn w:val="DefaultParagraphFont"/>
    <w:rsid w:val="00D52C21"/>
  </w:style>
  <w:style w:type="character" w:customStyle="1" w:styleId="searchhistory-search-term">
    <w:name w:val="searchhistory-search-term"/>
    <w:basedOn w:val="DefaultParagraphFont"/>
    <w:rsid w:val="00D52C21"/>
  </w:style>
  <w:style w:type="character" w:styleId="PlaceholderText">
    <w:name w:val="Placeholder Text"/>
    <w:basedOn w:val="DefaultParagraphFont"/>
    <w:uiPriority w:val="99"/>
    <w:semiHidden/>
    <w:rsid w:val="00BA3FE7"/>
    <w:rPr>
      <w:color w:val="808080"/>
    </w:rPr>
  </w:style>
  <w:style w:type="paragraph" w:styleId="Revision">
    <w:name w:val="Revision"/>
    <w:hidden/>
    <w:uiPriority w:val="99"/>
    <w:semiHidden/>
    <w:rsid w:val="009118EE"/>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448541">
      <w:bodyDiv w:val="1"/>
      <w:marLeft w:val="0"/>
      <w:marRight w:val="0"/>
      <w:marTop w:val="0"/>
      <w:marBottom w:val="0"/>
      <w:divBdr>
        <w:top w:val="none" w:sz="0" w:space="0" w:color="auto"/>
        <w:left w:val="none" w:sz="0" w:space="0" w:color="auto"/>
        <w:bottom w:val="none" w:sz="0" w:space="0" w:color="auto"/>
        <w:right w:val="none" w:sz="0" w:space="0" w:color="auto"/>
      </w:divBdr>
    </w:div>
    <w:div w:id="283119266">
      <w:bodyDiv w:val="1"/>
      <w:marLeft w:val="0"/>
      <w:marRight w:val="0"/>
      <w:marTop w:val="0"/>
      <w:marBottom w:val="0"/>
      <w:divBdr>
        <w:top w:val="none" w:sz="0" w:space="0" w:color="auto"/>
        <w:left w:val="none" w:sz="0" w:space="0" w:color="auto"/>
        <w:bottom w:val="none" w:sz="0" w:space="0" w:color="auto"/>
        <w:right w:val="none" w:sz="0" w:space="0" w:color="auto"/>
      </w:divBdr>
    </w:div>
    <w:div w:id="397022750">
      <w:bodyDiv w:val="1"/>
      <w:marLeft w:val="0"/>
      <w:marRight w:val="0"/>
      <w:marTop w:val="0"/>
      <w:marBottom w:val="0"/>
      <w:divBdr>
        <w:top w:val="none" w:sz="0" w:space="0" w:color="auto"/>
        <w:left w:val="none" w:sz="0" w:space="0" w:color="auto"/>
        <w:bottom w:val="none" w:sz="0" w:space="0" w:color="auto"/>
        <w:right w:val="none" w:sz="0" w:space="0" w:color="auto"/>
      </w:divBdr>
    </w:div>
    <w:div w:id="530921794">
      <w:bodyDiv w:val="1"/>
      <w:marLeft w:val="0"/>
      <w:marRight w:val="0"/>
      <w:marTop w:val="0"/>
      <w:marBottom w:val="0"/>
      <w:divBdr>
        <w:top w:val="none" w:sz="0" w:space="0" w:color="auto"/>
        <w:left w:val="none" w:sz="0" w:space="0" w:color="auto"/>
        <w:bottom w:val="none" w:sz="0" w:space="0" w:color="auto"/>
        <w:right w:val="none" w:sz="0" w:space="0" w:color="auto"/>
      </w:divBdr>
    </w:div>
    <w:div w:id="818573647">
      <w:bodyDiv w:val="1"/>
      <w:marLeft w:val="0"/>
      <w:marRight w:val="0"/>
      <w:marTop w:val="0"/>
      <w:marBottom w:val="0"/>
      <w:divBdr>
        <w:top w:val="none" w:sz="0" w:space="0" w:color="auto"/>
        <w:left w:val="none" w:sz="0" w:space="0" w:color="auto"/>
        <w:bottom w:val="none" w:sz="0" w:space="0" w:color="auto"/>
        <w:right w:val="none" w:sz="0" w:space="0" w:color="auto"/>
      </w:divBdr>
    </w:div>
    <w:div w:id="1019576084">
      <w:bodyDiv w:val="1"/>
      <w:marLeft w:val="0"/>
      <w:marRight w:val="0"/>
      <w:marTop w:val="0"/>
      <w:marBottom w:val="0"/>
      <w:divBdr>
        <w:top w:val="none" w:sz="0" w:space="0" w:color="auto"/>
        <w:left w:val="none" w:sz="0" w:space="0" w:color="auto"/>
        <w:bottom w:val="none" w:sz="0" w:space="0" w:color="auto"/>
        <w:right w:val="none" w:sz="0" w:space="0" w:color="auto"/>
      </w:divBdr>
    </w:div>
    <w:div w:id="1365520740">
      <w:bodyDiv w:val="1"/>
      <w:marLeft w:val="0"/>
      <w:marRight w:val="0"/>
      <w:marTop w:val="0"/>
      <w:marBottom w:val="0"/>
      <w:divBdr>
        <w:top w:val="none" w:sz="0" w:space="0" w:color="auto"/>
        <w:left w:val="none" w:sz="0" w:space="0" w:color="auto"/>
        <w:bottom w:val="none" w:sz="0" w:space="0" w:color="auto"/>
        <w:right w:val="none" w:sz="0" w:space="0" w:color="auto"/>
      </w:divBdr>
    </w:div>
    <w:div w:id="1400598171">
      <w:bodyDiv w:val="1"/>
      <w:marLeft w:val="0"/>
      <w:marRight w:val="0"/>
      <w:marTop w:val="0"/>
      <w:marBottom w:val="0"/>
      <w:divBdr>
        <w:top w:val="none" w:sz="0" w:space="0" w:color="auto"/>
        <w:left w:val="none" w:sz="0" w:space="0" w:color="auto"/>
        <w:bottom w:val="none" w:sz="0" w:space="0" w:color="auto"/>
        <w:right w:val="none" w:sz="0" w:space="0" w:color="auto"/>
      </w:divBdr>
    </w:div>
    <w:div w:id="1662075645">
      <w:bodyDiv w:val="1"/>
      <w:marLeft w:val="0"/>
      <w:marRight w:val="0"/>
      <w:marTop w:val="0"/>
      <w:marBottom w:val="0"/>
      <w:divBdr>
        <w:top w:val="none" w:sz="0" w:space="0" w:color="auto"/>
        <w:left w:val="none" w:sz="0" w:space="0" w:color="auto"/>
        <w:bottom w:val="none" w:sz="0" w:space="0" w:color="auto"/>
        <w:right w:val="none" w:sz="0" w:space="0" w:color="auto"/>
      </w:divBdr>
    </w:div>
    <w:div w:id="1802966269">
      <w:bodyDiv w:val="1"/>
      <w:marLeft w:val="0"/>
      <w:marRight w:val="0"/>
      <w:marTop w:val="0"/>
      <w:marBottom w:val="0"/>
      <w:divBdr>
        <w:top w:val="none" w:sz="0" w:space="0" w:color="auto"/>
        <w:left w:val="none" w:sz="0" w:space="0" w:color="auto"/>
        <w:bottom w:val="none" w:sz="0" w:space="0" w:color="auto"/>
        <w:right w:val="none" w:sz="0" w:space="0" w:color="auto"/>
      </w:divBdr>
    </w:div>
    <w:div w:id="2037194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cancerresearchukorg/about-cancer/type/kidney-cancer/treatment/statistics-and-outlook-for-kidney-canc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B03A30-CBB8-45A2-9B1C-E3B20E3A6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B3AFA1F3</Template>
  <TotalTime>1</TotalTime>
  <Pages>22</Pages>
  <Words>5635</Words>
  <Characters>63432</Characters>
  <Application>Microsoft Office Word</Application>
  <DocSecurity>0</DocSecurity>
  <Lines>528</Lines>
  <Paragraphs>137</Paragraphs>
  <ScaleCrop>false</ScaleCrop>
  <HeadingPairs>
    <vt:vector size="2" baseType="variant">
      <vt:variant>
        <vt:lpstr>Title</vt:lpstr>
      </vt:variant>
      <vt:variant>
        <vt:i4>1</vt:i4>
      </vt:variant>
    </vt:vector>
  </HeadingPairs>
  <TitlesOfParts>
    <vt:vector size="1" baseType="lpstr">
      <vt:lpstr>NICE TAR Protocol template guide</vt:lpstr>
    </vt:vector>
  </TitlesOfParts>
  <Company>University of Southampton</Company>
  <LinksUpToDate>false</LinksUpToDate>
  <CharactersWithSpaces>68930</CharactersWithSpaces>
  <SharedDoc>false</SharedDoc>
  <HLinks>
    <vt:vector size="12" baseType="variant">
      <vt:variant>
        <vt:i4>1835049</vt:i4>
      </vt:variant>
      <vt:variant>
        <vt:i4>6</vt:i4>
      </vt:variant>
      <vt:variant>
        <vt:i4>0</vt:i4>
      </vt:variant>
      <vt:variant>
        <vt:i4>5</vt:i4>
      </vt:variant>
      <vt:variant>
        <vt:lpwstr>../../Resources/Templates/Htatar@soton.ac.uk</vt:lpwstr>
      </vt:variant>
      <vt:variant>
        <vt:lpwstr/>
      </vt:variant>
      <vt:variant>
        <vt:i4>3997757</vt:i4>
      </vt:variant>
      <vt:variant>
        <vt:i4>0</vt:i4>
      </vt:variant>
      <vt:variant>
        <vt:i4>0</vt:i4>
      </vt:variant>
      <vt:variant>
        <vt:i4>5</vt:i4>
      </vt:variant>
      <vt:variant>
        <vt:lpwstr>http://www.plainenglish.co.uk/medicalguide.html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NICE TAR Protocol template guide</dc:title>
  <dc:creator>sb25v07</dc:creator>
  <cp:lastModifiedBy>Stephanie Yates</cp:lastModifiedBy>
  <cp:revision>2</cp:revision>
  <cp:lastPrinted>2012-10-24T11:24:00Z</cp:lastPrinted>
  <dcterms:created xsi:type="dcterms:W3CDTF">2016-02-02T11:40:00Z</dcterms:created>
  <dcterms:modified xsi:type="dcterms:W3CDTF">2016-02-02T11:40:00Z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