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75EDA54" w14:textId="77777777" w:rsidR="007D7F83" w:rsidRPr="00A2333E" w:rsidRDefault="007D7F83" w:rsidP="0044624B">
      <w:pPr>
        <w:pStyle w:val="Title2"/>
      </w:pPr>
      <w:bookmarkStart w:id="0" w:name="_Hlk9439381"/>
      <w:r w:rsidRPr="00A2333E">
        <w:t>NATIONAL INSTITUTE FOR HEALTH AND C</w:t>
      </w:r>
      <w:r w:rsidR="00B12F36" w:rsidRPr="00A2333E">
        <w:t>ARE</w:t>
      </w:r>
      <w:r w:rsidRPr="00A2333E">
        <w:t xml:space="preserve"> EXCELLENCE</w:t>
      </w:r>
    </w:p>
    <w:p w14:paraId="4CEA9FBB" w14:textId="77777777" w:rsidR="007D7F83" w:rsidRPr="00A2333E" w:rsidRDefault="00647FF7" w:rsidP="00647FF7">
      <w:pPr>
        <w:pStyle w:val="Title2"/>
      </w:pPr>
      <w:r w:rsidRPr="00A2333E">
        <w:t>Final evaluation document</w:t>
      </w:r>
    </w:p>
    <w:p w14:paraId="5FFEB341" w14:textId="77777777" w:rsidR="007D7F83" w:rsidRPr="00A2333E" w:rsidRDefault="00276AE0" w:rsidP="00BB7835">
      <w:pPr>
        <w:pStyle w:val="Title1"/>
      </w:pPr>
      <w:r w:rsidRPr="00A2333E">
        <w:t>Patisiran for treating hereditary transthyretin amyloidosis</w:t>
      </w:r>
    </w:p>
    <w:p w14:paraId="492FBB26" w14:textId="77777777" w:rsidR="00FF1D09" w:rsidRPr="00A2333E" w:rsidRDefault="00FF1D09" w:rsidP="00C37DBC">
      <w:pPr>
        <w:pStyle w:val="Documentissuedate"/>
        <w:rPr>
          <w:lang w:val="en-GB"/>
        </w:rPr>
      </w:pPr>
    </w:p>
    <w:p w14:paraId="472B8848" w14:textId="77777777" w:rsidR="007D7F83" w:rsidRPr="00A2333E" w:rsidRDefault="00445062" w:rsidP="00250438">
      <w:pPr>
        <w:pStyle w:val="Numberedheading1"/>
        <w:numPr>
          <w:ilvl w:val="0"/>
          <w:numId w:val="1"/>
        </w:numPr>
        <w:rPr>
          <w:lang w:val="en-GB"/>
        </w:rPr>
      </w:pPr>
      <w:r w:rsidRPr="00A2333E">
        <w:rPr>
          <w:lang w:val="en-GB"/>
        </w:rPr>
        <w:t>R</w:t>
      </w:r>
      <w:r w:rsidR="007D7F83" w:rsidRPr="00A2333E">
        <w:rPr>
          <w:lang w:val="en-GB"/>
        </w:rPr>
        <w:t>ecommendations</w:t>
      </w:r>
    </w:p>
    <w:p w14:paraId="6C180613" w14:textId="77777777" w:rsidR="00A07F0E" w:rsidRPr="00A2333E" w:rsidRDefault="00A15C6B" w:rsidP="00AD7F61">
      <w:pPr>
        <w:pStyle w:val="Numberedlevel2text"/>
      </w:pPr>
      <w:r w:rsidRPr="00A2333E">
        <w:rPr>
          <w:rStyle w:val="Numberedlevel2textChar"/>
        </w:rPr>
        <w:t>Patisiran</w:t>
      </w:r>
      <w:r w:rsidR="00564899" w:rsidRPr="00A2333E">
        <w:t xml:space="preserve"> </w:t>
      </w:r>
      <w:r w:rsidR="002C7CFD" w:rsidRPr="00A2333E">
        <w:t>is recommended</w:t>
      </w:r>
      <w:r w:rsidR="00FB5E55" w:rsidRPr="00A2333E">
        <w:t>,</w:t>
      </w:r>
      <w:r w:rsidR="002C7CFD" w:rsidRPr="00A2333E">
        <w:t xml:space="preserve"> within its marketing authorisation</w:t>
      </w:r>
      <w:r w:rsidR="00FB5E55" w:rsidRPr="00A2333E">
        <w:t>,</w:t>
      </w:r>
      <w:r w:rsidR="002C7CFD" w:rsidRPr="00A2333E">
        <w:t xml:space="preserve"> </w:t>
      </w:r>
      <w:r w:rsidR="00A92DC7" w:rsidRPr="00A2333E">
        <w:t xml:space="preserve">as an option </w:t>
      </w:r>
      <w:bookmarkStart w:id="1" w:name="_Hlk9409884"/>
      <w:r w:rsidR="00A07F0E" w:rsidRPr="00A2333E">
        <w:t xml:space="preserve">for </w:t>
      </w:r>
      <w:r w:rsidR="00A07F0E" w:rsidRPr="00A2333E">
        <w:rPr>
          <w:rFonts w:cs="Arial"/>
        </w:rPr>
        <w:t>treating</w:t>
      </w:r>
      <w:r w:rsidRPr="00A2333E">
        <w:rPr>
          <w:rFonts w:cs="Arial"/>
        </w:rPr>
        <w:t xml:space="preserve"> hereditary transthyretin</w:t>
      </w:r>
      <w:r w:rsidR="00AD7F61" w:rsidRPr="00A2333E">
        <w:rPr>
          <w:rFonts w:cs="Arial"/>
        </w:rPr>
        <w:t xml:space="preserve"> </w:t>
      </w:r>
      <w:r w:rsidRPr="00A2333E">
        <w:rPr>
          <w:rFonts w:cs="Arial"/>
        </w:rPr>
        <w:t>amyloidosis</w:t>
      </w:r>
      <w:r w:rsidR="00D450A2" w:rsidRPr="00A2333E">
        <w:rPr>
          <w:rFonts w:cs="Arial"/>
        </w:rPr>
        <w:t xml:space="preserve"> </w:t>
      </w:r>
      <w:bookmarkEnd w:id="1"/>
      <w:r w:rsidR="00D450A2" w:rsidRPr="00A2333E">
        <w:rPr>
          <w:rFonts w:cs="Arial"/>
        </w:rPr>
        <w:t>in adults</w:t>
      </w:r>
      <w:r w:rsidR="00A92DC7" w:rsidRPr="00A2333E">
        <w:rPr>
          <w:rFonts w:cs="Arial"/>
        </w:rPr>
        <w:t xml:space="preserve"> with stage</w:t>
      </w:r>
      <w:r w:rsidR="00C37DBC" w:rsidRPr="00A2333E">
        <w:rPr>
          <w:rFonts w:cs="Arial"/>
        </w:rPr>
        <w:t> </w:t>
      </w:r>
      <w:r w:rsidR="00A92DC7" w:rsidRPr="00A2333E">
        <w:rPr>
          <w:rFonts w:cs="Arial"/>
        </w:rPr>
        <w:t>1 and stage</w:t>
      </w:r>
      <w:r w:rsidR="00C37DBC" w:rsidRPr="00A2333E">
        <w:rPr>
          <w:rFonts w:cs="Arial"/>
        </w:rPr>
        <w:t> </w:t>
      </w:r>
      <w:r w:rsidR="00A92DC7" w:rsidRPr="00A2333E">
        <w:rPr>
          <w:rFonts w:cs="Arial"/>
        </w:rPr>
        <w:t>2 polyneuropathy</w:t>
      </w:r>
      <w:r w:rsidR="00564899" w:rsidRPr="00A2333E">
        <w:t>.</w:t>
      </w:r>
      <w:r w:rsidR="00A92DC7" w:rsidRPr="00A2333E">
        <w:t xml:space="preserve"> It is recommended only if the company provides patisiran according to the commercial arrangement (see section</w:t>
      </w:r>
      <w:r w:rsidR="00C37DBC" w:rsidRPr="00A2333E">
        <w:t> </w:t>
      </w:r>
      <w:r w:rsidR="00383083" w:rsidRPr="00A2333E">
        <w:t>3).</w:t>
      </w:r>
    </w:p>
    <w:p w14:paraId="70ADF186" w14:textId="77777777" w:rsidR="00FB5E55" w:rsidRPr="00A2333E" w:rsidRDefault="00FB5E55" w:rsidP="00D261AE">
      <w:pPr>
        <w:pStyle w:val="NICEnormal"/>
        <w:rPr>
          <w:b/>
          <w:bCs/>
        </w:rPr>
      </w:pPr>
      <w:r w:rsidRPr="00A2333E">
        <w:rPr>
          <w:b/>
          <w:bCs/>
        </w:rPr>
        <w:t>Why the committee made these recommendations</w:t>
      </w:r>
    </w:p>
    <w:p w14:paraId="5C178DCD" w14:textId="77777777" w:rsidR="0093053B" w:rsidRPr="00A2333E" w:rsidRDefault="009C0D91" w:rsidP="00B36609">
      <w:pPr>
        <w:pStyle w:val="NICEnormalindented"/>
        <w:spacing w:before="120" w:after="120"/>
      </w:pPr>
      <w:r w:rsidRPr="00A2333E">
        <w:t xml:space="preserve">Hereditary transthyretin </w:t>
      </w:r>
      <w:r w:rsidR="00C11FC7" w:rsidRPr="00A2333E">
        <w:t xml:space="preserve">amyloidosis </w:t>
      </w:r>
      <w:r w:rsidRPr="00A2333E">
        <w:t xml:space="preserve">is a rare condition that severely affects the </w:t>
      </w:r>
      <w:r w:rsidR="00F17097" w:rsidRPr="00A2333E">
        <w:t xml:space="preserve">health and </w:t>
      </w:r>
      <w:r w:rsidRPr="00A2333E">
        <w:t>quality of life of people with the condition,</w:t>
      </w:r>
      <w:r w:rsidR="00F17097" w:rsidRPr="00A2333E">
        <w:t xml:space="preserve"> as well as the quality of life of</w:t>
      </w:r>
      <w:r w:rsidRPr="00A2333E">
        <w:t xml:space="preserve"> their families and carers.</w:t>
      </w:r>
      <w:r w:rsidR="0022009B" w:rsidRPr="00A2333E">
        <w:t xml:space="preserve"> At the time of the evaluation, there were no disease</w:t>
      </w:r>
      <w:r w:rsidR="000A6170">
        <w:t>-</w:t>
      </w:r>
      <w:r w:rsidR="0022009B" w:rsidRPr="00A2333E">
        <w:t xml:space="preserve">modifying treatments in </w:t>
      </w:r>
      <w:r w:rsidR="002025B8" w:rsidRPr="00A2333E">
        <w:t xml:space="preserve">widespread </w:t>
      </w:r>
      <w:r w:rsidR="0022009B" w:rsidRPr="00A2333E">
        <w:t>use.</w:t>
      </w:r>
    </w:p>
    <w:p w14:paraId="0EA7CF83" w14:textId="77777777" w:rsidR="002025B8" w:rsidRPr="00A2333E" w:rsidRDefault="009C0D91" w:rsidP="00B36609">
      <w:pPr>
        <w:pStyle w:val="NICEnormalindented"/>
        <w:spacing w:before="120" w:after="120"/>
      </w:pPr>
      <w:r w:rsidRPr="00A2333E">
        <w:t xml:space="preserve">Clinical trial evidence </w:t>
      </w:r>
      <w:r w:rsidR="005D7A21" w:rsidRPr="00A2333E">
        <w:t xml:space="preserve">shows </w:t>
      </w:r>
      <w:r w:rsidRPr="00A2333E">
        <w:t xml:space="preserve">that patisiran </w:t>
      </w:r>
      <w:r w:rsidR="00821C8C" w:rsidRPr="00A2333E">
        <w:t>reduces</w:t>
      </w:r>
      <w:r w:rsidR="00C11FC7" w:rsidRPr="00A2333E">
        <w:t xml:space="preserve"> disability and </w:t>
      </w:r>
      <w:r w:rsidR="0017448B" w:rsidRPr="00A2333E">
        <w:t xml:space="preserve">improves </w:t>
      </w:r>
      <w:r w:rsidR="00C11FC7" w:rsidRPr="00A2333E">
        <w:t>quality of life</w:t>
      </w:r>
      <w:r w:rsidR="00AA1276">
        <w:t xml:space="preserve">, </w:t>
      </w:r>
      <w:bookmarkStart w:id="2" w:name="_Hlk11247277"/>
      <w:r w:rsidR="00AA1276">
        <w:t xml:space="preserve">by enabling patients to return to work, </w:t>
      </w:r>
      <w:r w:rsidR="0041197F">
        <w:t xml:space="preserve">carry out daily activities, </w:t>
      </w:r>
      <w:r w:rsidR="00AA1276">
        <w:t xml:space="preserve">participate in </w:t>
      </w:r>
      <w:r w:rsidR="006C0E10">
        <w:t xml:space="preserve">a </w:t>
      </w:r>
      <w:r w:rsidR="00AA1276">
        <w:t xml:space="preserve">more active family and social life; and maintain their </w:t>
      </w:r>
      <w:r w:rsidR="000709A0">
        <w:t xml:space="preserve">independence and </w:t>
      </w:r>
      <w:r w:rsidR="00AA1276">
        <w:t>dignity</w:t>
      </w:r>
      <w:bookmarkEnd w:id="2"/>
      <w:r w:rsidRPr="00A2333E">
        <w:t>.</w:t>
      </w:r>
      <w:r w:rsidR="00CC142A" w:rsidRPr="00A2333E">
        <w:t xml:space="preserve"> </w:t>
      </w:r>
      <w:r w:rsidR="00F17097" w:rsidRPr="00A2333E">
        <w:t xml:space="preserve">There is also evidence </w:t>
      </w:r>
      <w:r w:rsidR="00EE1169" w:rsidRPr="00A2333E">
        <w:t xml:space="preserve">suggesting </w:t>
      </w:r>
      <w:r w:rsidR="00F17097" w:rsidRPr="00A2333E">
        <w:t xml:space="preserve">that </w:t>
      </w:r>
      <w:r w:rsidR="00FE5336" w:rsidRPr="00A2333E">
        <w:t xml:space="preserve">patisiran </w:t>
      </w:r>
      <w:r w:rsidR="000B3482" w:rsidRPr="00A2333E">
        <w:t xml:space="preserve">may </w:t>
      </w:r>
      <w:r w:rsidR="00C11FC7" w:rsidRPr="00A2333E">
        <w:t>provide</w:t>
      </w:r>
      <w:r w:rsidRPr="00A2333E">
        <w:t xml:space="preserve"> long-term </w:t>
      </w:r>
      <w:r w:rsidR="00C11FC7" w:rsidRPr="00A2333E">
        <w:t>benefits</w:t>
      </w:r>
      <w:r w:rsidR="00CC142A" w:rsidRPr="00A2333E">
        <w:t xml:space="preserve"> </w:t>
      </w:r>
      <w:r w:rsidR="00F17097" w:rsidRPr="00A2333E">
        <w:t>by</w:t>
      </w:r>
      <w:r w:rsidR="00C11FC7" w:rsidRPr="00A2333E">
        <w:t xml:space="preserve"> </w:t>
      </w:r>
      <w:r w:rsidR="00753237" w:rsidRPr="00A2333E">
        <w:t xml:space="preserve">stopping the progression of amyloidosis and </w:t>
      </w:r>
      <w:r w:rsidR="00FE5336" w:rsidRPr="00A2333E">
        <w:rPr>
          <w:color w:val="000000" w:themeColor="text1"/>
        </w:rPr>
        <w:t>potentially</w:t>
      </w:r>
      <w:r w:rsidR="00753237" w:rsidRPr="00A2333E">
        <w:rPr>
          <w:color w:val="000000" w:themeColor="text1"/>
        </w:rPr>
        <w:t xml:space="preserve"> revers</w:t>
      </w:r>
      <w:r w:rsidR="00FE5336" w:rsidRPr="00A2333E">
        <w:rPr>
          <w:color w:val="000000" w:themeColor="text1"/>
        </w:rPr>
        <w:t>ing</w:t>
      </w:r>
      <w:r w:rsidR="00753237" w:rsidRPr="00A2333E">
        <w:rPr>
          <w:color w:val="000000" w:themeColor="text1"/>
        </w:rPr>
        <w:t xml:space="preserve"> it</w:t>
      </w:r>
      <w:r w:rsidRPr="00A2333E">
        <w:t>.</w:t>
      </w:r>
    </w:p>
    <w:p w14:paraId="56D0867E" w14:textId="6968BE13" w:rsidR="009C0D91" w:rsidRPr="00A2333E" w:rsidRDefault="001E5850" w:rsidP="00B36609">
      <w:pPr>
        <w:pStyle w:val="NICEnormalindented"/>
        <w:spacing w:before="120" w:after="120"/>
      </w:pPr>
      <w:r w:rsidRPr="00A2333E">
        <w:t>Some assumptions in the economic modelling are uncertain, particularly around the utility values and the modelling of mortality. Also, t</w:t>
      </w:r>
      <w:r w:rsidR="00383083" w:rsidRPr="00A2333E">
        <w:t xml:space="preserve">he range of cost-effectiveness estimates </w:t>
      </w:r>
      <w:r w:rsidR="004B7AB5" w:rsidRPr="00A2333E">
        <w:t>presented</w:t>
      </w:r>
      <w:r w:rsidR="00383083" w:rsidRPr="00A2333E">
        <w:t xml:space="preserve"> is</w:t>
      </w:r>
      <w:r w:rsidR="00F17097" w:rsidRPr="00A2333E">
        <w:t xml:space="preserve"> somewhat</w:t>
      </w:r>
      <w:r w:rsidR="00383083" w:rsidRPr="00A2333E">
        <w:t xml:space="preserve"> higher than what NICE usually considers </w:t>
      </w:r>
      <w:r w:rsidR="00B21FD1">
        <w:t>acceptable</w:t>
      </w:r>
      <w:r w:rsidR="005571E5">
        <w:t xml:space="preserve"> for </w:t>
      </w:r>
      <w:r w:rsidR="00B21FD1">
        <w:t>h</w:t>
      </w:r>
      <w:r w:rsidR="005571E5">
        <w:t xml:space="preserve">ighly </w:t>
      </w:r>
      <w:r w:rsidR="00B21FD1">
        <w:t>s</w:t>
      </w:r>
      <w:r w:rsidR="005571E5">
        <w:t xml:space="preserve">pecialised </w:t>
      </w:r>
      <w:r w:rsidR="00B21FD1">
        <w:t>t</w:t>
      </w:r>
      <w:r w:rsidR="005571E5">
        <w:t>echnolog</w:t>
      </w:r>
      <w:r w:rsidR="00B21FD1">
        <w:t>ies</w:t>
      </w:r>
      <w:r w:rsidR="00DB1BDD">
        <w:t>.</w:t>
      </w:r>
      <w:r w:rsidR="00383083" w:rsidRPr="00A2333E">
        <w:t xml:space="preserve"> </w:t>
      </w:r>
      <w:r w:rsidRPr="00A2333E">
        <w:t xml:space="preserve">However, taking </w:t>
      </w:r>
      <w:r w:rsidR="00F17097" w:rsidRPr="00A2333E">
        <w:t xml:space="preserve">additional factors </w:t>
      </w:r>
      <w:r w:rsidRPr="00A2333E">
        <w:t xml:space="preserve">into account, </w:t>
      </w:r>
      <w:r w:rsidR="00F17097" w:rsidRPr="00A2333E">
        <w:t>such as</w:t>
      </w:r>
      <w:r w:rsidR="00383083" w:rsidRPr="00A2333E">
        <w:t xml:space="preserve"> </w:t>
      </w:r>
      <w:r w:rsidR="00753237" w:rsidRPr="00A2333E">
        <w:t xml:space="preserve">the </w:t>
      </w:r>
      <w:r w:rsidR="00383083" w:rsidRPr="00A2333E">
        <w:t xml:space="preserve">uncaptured </w:t>
      </w:r>
      <w:r w:rsidR="00383083" w:rsidRPr="00A2333E">
        <w:lastRenderedPageBreak/>
        <w:t>health-related benefits</w:t>
      </w:r>
      <w:r w:rsidR="000B3482" w:rsidRPr="00A2333E">
        <w:t xml:space="preserve"> </w:t>
      </w:r>
      <w:r w:rsidR="00753237" w:rsidRPr="00A2333E">
        <w:t xml:space="preserve">of stopping and potentially </w:t>
      </w:r>
      <w:r w:rsidR="000B3482" w:rsidRPr="00A2333E">
        <w:t xml:space="preserve">reversing </w:t>
      </w:r>
      <w:r w:rsidR="001042F0">
        <w:t xml:space="preserve">the </w:t>
      </w:r>
      <w:r w:rsidR="00B701D8">
        <w:t>condition</w:t>
      </w:r>
      <w:r w:rsidR="00383083" w:rsidRPr="00A2333E">
        <w:t>,</w:t>
      </w:r>
      <w:r w:rsidR="001042F0">
        <w:t xml:space="preserve"> </w:t>
      </w:r>
      <w:r w:rsidR="009D2202">
        <w:t xml:space="preserve">the </w:t>
      </w:r>
      <w:r w:rsidR="00383083" w:rsidRPr="00A2333E">
        <w:t>rarity and severity</w:t>
      </w:r>
      <w:r w:rsidR="009D2202">
        <w:t xml:space="preserve"> of the </w:t>
      </w:r>
      <w:r w:rsidR="00726FB1">
        <w:t>condition</w:t>
      </w:r>
      <w:r w:rsidR="00F17097" w:rsidRPr="00A2333E">
        <w:t xml:space="preserve">, </w:t>
      </w:r>
      <w:r w:rsidR="00383083" w:rsidRPr="00A2333E">
        <w:t>the potential lifetime benefit for people with the condition</w:t>
      </w:r>
      <w:r w:rsidR="00F17097" w:rsidRPr="00A2333E">
        <w:t xml:space="preserve"> and the innovative nature of the treatment</w:t>
      </w:r>
      <w:r w:rsidR="00383083" w:rsidRPr="00A2333E">
        <w:t xml:space="preserve">, patisiran </w:t>
      </w:r>
      <w:r w:rsidR="004B7AB5" w:rsidRPr="00A2333E">
        <w:t>is</w:t>
      </w:r>
      <w:r w:rsidR="00383083" w:rsidRPr="00A2333E">
        <w:t xml:space="preserve"> recommended </w:t>
      </w:r>
      <w:r w:rsidR="004B7AB5" w:rsidRPr="00A2333E">
        <w:t>for use in the NHS</w:t>
      </w:r>
      <w:r w:rsidR="00383083" w:rsidRPr="00A2333E">
        <w:t>.</w:t>
      </w:r>
    </w:p>
    <w:p w14:paraId="18C46891" w14:textId="77777777" w:rsidR="007D7F83" w:rsidRPr="00A2333E" w:rsidRDefault="004C644E" w:rsidP="00250438">
      <w:pPr>
        <w:pStyle w:val="Numberedheading1"/>
        <w:numPr>
          <w:ilvl w:val="0"/>
          <w:numId w:val="1"/>
        </w:numPr>
        <w:rPr>
          <w:lang w:val="en-GB"/>
        </w:rPr>
      </w:pPr>
      <w:r w:rsidRPr="00A2333E">
        <w:rPr>
          <w:lang w:val="en-GB"/>
        </w:rPr>
        <w:t>T</w:t>
      </w:r>
      <w:r w:rsidR="00CF7948" w:rsidRPr="00A2333E">
        <w:rPr>
          <w:lang w:val="en-GB"/>
        </w:rPr>
        <w:t xml:space="preserve">he </w:t>
      </w:r>
      <w:r w:rsidRPr="00A2333E">
        <w:rPr>
          <w:lang w:val="en-GB"/>
        </w:rPr>
        <w:t>c</w:t>
      </w:r>
      <w:r w:rsidR="00CF7948" w:rsidRPr="00A2333E">
        <w:rPr>
          <w:lang w:val="en-GB"/>
        </w:rPr>
        <w:t>ondition</w:t>
      </w:r>
    </w:p>
    <w:p w14:paraId="41EC3F85" w14:textId="77777777" w:rsidR="00FA4C59" w:rsidRPr="00A2333E" w:rsidRDefault="00FA4C59" w:rsidP="00FA4C59">
      <w:pPr>
        <w:pStyle w:val="Numberedlevel2text"/>
      </w:pPr>
      <w:r w:rsidRPr="00A2333E">
        <w:t xml:space="preserve">Hereditary transthyretin </w:t>
      </w:r>
      <w:r w:rsidR="00B571D6" w:rsidRPr="00A2333E">
        <w:t xml:space="preserve">(hATTR) </w:t>
      </w:r>
      <w:r w:rsidRPr="00A2333E">
        <w:t xml:space="preserve">amyloidosis is an ultra-rare </w:t>
      </w:r>
      <w:r w:rsidR="005309B4" w:rsidRPr="00A2333E">
        <w:t xml:space="preserve">condition </w:t>
      </w:r>
      <w:r w:rsidRPr="00A2333E">
        <w:t>caused by inherit</w:t>
      </w:r>
      <w:r w:rsidR="00C7537B" w:rsidRPr="00A2333E">
        <w:t>ed</w:t>
      </w:r>
      <w:r w:rsidRPr="00A2333E">
        <w:t xml:space="preserve"> mutations in the </w:t>
      </w:r>
      <w:r w:rsidR="00D74B00" w:rsidRPr="00A2333E">
        <w:t>transthyretin (</w:t>
      </w:r>
      <w:r w:rsidR="001A2E24" w:rsidRPr="00A2333E">
        <w:t>TTR</w:t>
      </w:r>
      <w:r w:rsidR="00D74B00" w:rsidRPr="00A2333E">
        <w:t>)</w:t>
      </w:r>
      <w:r w:rsidR="001A2E24" w:rsidRPr="00A2333E">
        <w:t xml:space="preserve"> </w:t>
      </w:r>
      <w:r w:rsidRPr="00A2333E">
        <w:t xml:space="preserve">gene. This causes the liver to produce abnormal </w:t>
      </w:r>
      <w:r w:rsidR="001A2E24" w:rsidRPr="00A2333E">
        <w:t xml:space="preserve">TTR </w:t>
      </w:r>
      <w:r w:rsidRPr="00A2333E">
        <w:t>protein</w:t>
      </w:r>
      <w:r w:rsidR="00A6344E" w:rsidRPr="00A2333E">
        <w:t>,</w:t>
      </w:r>
      <w:r w:rsidRPr="00A2333E">
        <w:t xml:space="preserve"> which accumulates as deposits in </w:t>
      </w:r>
      <w:r w:rsidR="00A6344E" w:rsidRPr="00A2333E">
        <w:t xml:space="preserve">body </w:t>
      </w:r>
      <w:r w:rsidRPr="00A2333E">
        <w:t>tissues (amyloidosis). These deposits can disrupt the structure and damage the function of affected tissues.</w:t>
      </w:r>
    </w:p>
    <w:p w14:paraId="1F4D97AD" w14:textId="77777777" w:rsidR="002D7CBC" w:rsidRPr="00A2333E" w:rsidRDefault="00257C5B" w:rsidP="00CC019F">
      <w:pPr>
        <w:pStyle w:val="Numberedlevel2text"/>
      </w:pPr>
      <w:bookmarkStart w:id="3" w:name="_Ref530132237"/>
      <w:bookmarkStart w:id="4" w:name="_Ref4056661"/>
      <w:r w:rsidRPr="00A2333E">
        <w:rPr>
          <w:szCs w:val="22"/>
        </w:rPr>
        <w:t xml:space="preserve">Because </w:t>
      </w:r>
      <w:r w:rsidR="00CE3237" w:rsidRPr="00A2333E">
        <w:rPr>
          <w:szCs w:val="22"/>
        </w:rPr>
        <w:t xml:space="preserve">hATTR amyloidosis </w:t>
      </w:r>
      <w:r w:rsidRPr="00A2333E">
        <w:rPr>
          <w:szCs w:val="22"/>
        </w:rPr>
        <w:t xml:space="preserve">can affect tissues throughout the body, people may have a range of symptoms relating to </w:t>
      </w:r>
      <w:r w:rsidR="00A6344E" w:rsidRPr="00A2333E">
        <w:rPr>
          <w:szCs w:val="22"/>
        </w:rPr>
        <w:t>1 </w:t>
      </w:r>
      <w:r w:rsidRPr="00A2333E">
        <w:rPr>
          <w:szCs w:val="22"/>
        </w:rPr>
        <w:t xml:space="preserve">or more systems. </w:t>
      </w:r>
      <w:r w:rsidR="00D74B00" w:rsidRPr="00A2333E">
        <w:rPr>
          <w:szCs w:val="22"/>
        </w:rPr>
        <w:t xml:space="preserve">These </w:t>
      </w:r>
      <w:r w:rsidRPr="00A2333E">
        <w:rPr>
          <w:szCs w:val="22"/>
        </w:rPr>
        <w:t xml:space="preserve">can include the </w:t>
      </w:r>
      <w:r w:rsidR="00CE3237" w:rsidRPr="00A2333E">
        <w:rPr>
          <w:szCs w:val="22"/>
        </w:rPr>
        <w:t>autonomic</w:t>
      </w:r>
      <w:r w:rsidRPr="00A2333E">
        <w:rPr>
          <w:szCs w:val="22"/>
        </w:rPr>
        <w:t xml:space="preserve"> </w:t>
      </w:r>
      <w:r w:rsidR="00CD5585" w:rsidRPr="00A2333E">
        <w:rPr>
          <w:szCs w:val="22"/>
        </w:rPr>
        <w:t xml:space="preserve">nervous </w:t>
      </w:r>
      <w:r w:rsidRPr="00A2333E">
        <w:rPr>
          <w:szCs w:val="22"/>
        </w:rPr>
        <w:t>system,</w:t>
      </w:r>
      <w:r w:rsidR="00CE3237" w:rsidRPr="00A2333E">
        <w:rPr>
          <w:szCs w:val="22"/>
        </w:rPr>
        <w:t xml:space="preserve"> peripheral ne</w:t>
      </w:r>
      <w:r w:rsidRPr="00A2333E">
        <w:rPr>
          <w:szCs w:val="22"/>
        </w:rPr>
        <w:t>rves</w:t>
      </w:r>
      <w:r w:rsidR="00CE3237" w:rsidRPr="00A2333E">
        <w:rPr>
          <w:szCs w:val="22"/>
        </w:rPr>
        <w:t xml:space="preserve">, </w:t>
      </w:r>
      <w:r w:rsidRPr="00A2333E">
        <w:rPr>
          <w:szCs w:val="22"/>
        </w:rPr>
        <w:t>heart</w:t>
      </w:r>
      <w:r w:rsidR="00CE3237" w:rsidRPr="00A2333E">
        <w:rPr>
          <w:szCs w:val="22"/>
        </w:rPr>
        <w:t>, gastro</w:t>
      </w:r>
      <w:r w:rsidR="008E73E8" w:rsidRPr="00A2333E">
        <w:rPr>
          <w:szCs w:val="22"/>
        </w:rPr>
        <w:t>intestinal</w:t>
      </w:r>
      <w:r w:rsidR="00CE3237" w:rsidRPr="00A2333E">
        <w:rPr>
          <w:szCs w:val="22"/>
        </w:rPr>
        <w:t xml:space="preserve"> system, eyes and central nervous system</w:t>
      </w:r>
      <w:r w:rsidR="002D7CBC" w:rsidRPr="00A2333E">
        <w:t>.</w:t>
      </w:r>
      <w:r w:rsidR="008042FA" w:rsidRPr="00A2333E">
        <w:t xml:space="preserve"> The effects and complications of the </w:t>
      </w:r>
      <w:r w:rsidR="00B649B0" w:rsidRPr="00A2333E">
        <w:t xml:space="preserve">condition </w:t>
      </w:r>
      <w:r w:rsidR="008042FA" w:rsidRPr="00A2333E">
        <w:t xml:space="preserve">can lead to death within </w:t>
      </w:r>
      <w:r w:rsidR="00786C86" w:rsidRPr="00A2333E">
        <w:t>3 </w:t>
      </w:r>
      <w:r w:rsidR="008042FA" w:rsidRPr="00A2333E">
        <w:t>to 15</w:t>
      </w:r>
      <w:r w:rsidR="00786C86" w:rsidRPr="00A2333E">
        <w:t> </w:t>
      </w:r>
      <w:r w:rsidR="008042FA" w:rsidRPr="00A2333E">
        <w:t>years of symptoms developing.</w:t>
      </w:r>
      <w:bookmarkEnd w:id="3"/>
      <w:r w:rsidR="00D74B00" w:rsidRPr="00A2333E">
        <w:t xml:space="preserve"> At the time of the evidence submission, there were thought to be around 150 people with hATTR amyloidosis in the UK.</w:t>
      </w:r>
      <w:bookmarkEnd w:id="4"/>
    </w:p>
    <w:p w14:paraId="7EC090D3" w14:textId="77777777" w:rsidR="005309B4" w:rsidRPr="00A2333E" w:rsidRDefault="00CE3237" w:rsidP="00CE3237">
      <w:pPr>
        <w:pStyle w:val="Numberedlevel2text"/>
        <w:rPr>
          <w:sz w:val="23"/>
          <w:szCs w:val="23"/>
        </w:rPr>
      </w:pPr>
      <w:bookmarkStart w:id="5" w:name="_Ref530132250"/>
      <w:r w:rsidRPr="00A2333E">
        <w:t xml:space="preserve">Scoring systems for evaluating hATTR amyloidosis include </w:t>
      </w:r>
      <w:r w:rsidR="00891E3B" w:rsidRPr="00A2333E">
        <w:t>scores based on disability due to peripheral neuropathy, for example, the</w:t>
      </w:r>
      <w:r w:rsidRPr="00A2333E">
        <w:t xml:space="preserve"> polyneuropathy disability (PND) score and the familial amyloidotic polyneuropathy (FAP) </w:t>
      </w:r>
      <w:r w:rsidR="005A1A02" w:rsidRPr="00A2333E">
        <w:t>stage</w:t>
      </w:r>
      <w:r w:rsidRPr="00A2333E">
        <w:t xml:space="preserve"> </w:t>
      </w:r>
      <w:r w:rsidR="002D7CBC" w:rsidRPr="00A2333E">
        <w:t>(Coutinho et al.</w:t>
      </w:r>
      <w:r w:rsidR="00257C5B" w:rsidRPr="00A2333E">
        <w:t>,</w:t>
      </w:r>
      <w:r w:rsidR="00DC7433" w:rsidRPr="00A2333E">
        <w:t xml:space="preserve"> 1980</w:t>
      </w:r>
      <w:r w:rsidR="002D7CBC" w:rsidRPr="00A2333E">
        <w:t>)</w:t>
      </w:r>
      <w:r w:rsidR="005A1A02" w:rsidRPr="00A2333E">
        <w:t xml:space="preserve">. </w:t>
      </w:r>
      <w:r w:rsidR="008A2B03" w:rsidRPr="00A2333E">
        <w:t xml:space="preserve">A </w:t>
      </w:r>
      <w:r w:rsidR="00DC7433" w:rsidRPr="00A2333E">
        <w:t>description</w:t>
      </w:r>
      <w:r w:rsidR="008A2B03" w:rsidRPr="00A2333E">
        <w:t xml:space="preserve"> of each</w:t>
      </w:r>
      <w:r w:rsidR="00DC7433" w:rsidRPr="00A2333E">
        <w:t xml:space="preserve"> and </w:t>
      </w:r>
      <w:r w:rsidR="00091826" w:rsidRPr="00A2333E">
        <w:t xml:space="preserve">the </w:t>
      </w:r>
      <w:r w:rsidR="008A2B03" w:rsidRPr="00A2333E">
        <w:t>relationship between</w:t>
      </w:r>
      <w:r w:rsidR="00DC7433" w:rsidRPr="00A2333E">
        <w:t xml:space="preserve"> PND score</w:t>
      </w:r>
      <w:r w:rsidR="00DA0AB5" w:rsidRPr="00A2333E">
        <w:t>s</w:t>
      </w:r>
      <w:r w:rsidR="00031FA5" w:rsidRPr="00A2333E">
        <w:t xml:space="preserve"> and FAP stag</w:t>
      </w:r>
      <w:r w:rsidR="00DC7433" w:rsidRPr="00A2333E">
        <w:t>e</w:t>
      </w:r>
      <w:r w:rsidR="00DA0AB5" w:rsidRPr="00A2333E">
        <w:t>s</w:t>
      </w:r>
      <w:r w:rsidR="00DC7433" w:rsidRPr="00A2333E">
        <w:t xml:space="preserve"> is reported </w:t>
      </w:r>
      <w:r w:rsidR="00031FA5" w:rsidRPr="00A2333E">
        <w:t xml:space="preserve">in </w:t>
      </w:r>
      <w:r w:rsidR="00D40A12" w:rsidRPr="00A2333E">
        <w:fldChar w:fldCharType="begin"/>
      </w:r>
      <w:r w:rsidR="00786C86" w:rsidRPr="00A2333E">
        <w:instrText xml:space="preserve"> REF _Ref530402936 \h </w:instrText>
      </w:r>
      <w:r w:rsidR="00D40A12" w:rsidRPr="00A2333E">
        <w:fldChar w:fldCharType="separate"/>
      </w:r>
      <w:r w:rsidR="00786C86" w:rsidRPr="00A2333E">
        <w:t>table 1</w:t>
      </w:r>
      <w:r w:rsidR="00D40A12" w:rsidRPr="00A2333E">
        <w:fldChar w:fldCharType="end"/>
      </w:r>
      <w:r w:rsidR="00031FA5" w:rsidRPr="00A2333E">
        <w:t>.</w:t>
      </w:r>
      <w:bookmarkEnd w:id="5"/>
    </w:p>
    <w:p w14:paraId="3C80EBB5" w14:textId="77777777" w:rsidR="00C11FC7" w:rsidRPr="00A2333E" w:rsidRDefault="00AA2C81" w:rsidP="009F291C">
      <w:pPr>
        <w:pStyle w:val="Heading3"/>
        <w:rPr>
          <w:szCs w:val="28"/>
        </w:rPr>
      </w:pPr>
      <w:bookmarkStart w:id="6" w:name="_Ref530402936"/>
      <w:r w:rsidRPr="00A2333E">
        <w:t xml:space="preserve">Table </w:t>
      </w:r>
      <w:r w:rsidR="00D40A12" w:rsidRPr="00A2333E">
        <w:fldChar w:fldCharType="begin"/>
      </w:r>
      <w:r w:rsidRPr="00A2333E">
        <w:instrText xml:space="preserve"> SEQ Table \* ARABIC </w:instrText>
      </w:r>
      <w:r w:rsidR="00D40A12" w:rsidRPr="00A2333E">
        <w:fldChar w:fldCharType="separate"/>
      </w:r>
      <w:r w:rsidRPr="00A2333E">
        <w:t>1</w:t>
      </w:r>
      <w:r w:rsidR="00D40A12" w:rsidRPr="00A2333E">
        <w:fldChar w:fldCharType="end"/>
      </w:r>
      <w:bookmarkEnd w:id="6"/>
      <w:r w:rsidRPr="00A2333E">
        <w:t xml:space="preserve"> </w:t>
      </w:r>
      <w:r w:rsidR="00C11FC7" w:rsidRPr="00A2333E">
        <w:t xml:space="preserve">Description and </w:t>
      </w:r>
      <w:r w:rsidR="008A2B03" w:rsidRPr="00A2333E">
        <w:t xml:space="preserve">relationship </w:t>
      </w:r>
      <w:r w:rsidR="00C11FC7" w:rsidRPr="00A2333E">
        <w:t>between PND scores and FAP stages</w:t>
      </w:r>
    </w:p>
    <w:tbl>
      <w:tblPr>
        <w:tblStyle w:val="TableGrid"/>
        <w:tblW w:w="9431" w:type="dxa"/>
        <w:tblInd w:w="704" w:type="dxa"/>
        <w:tblLook w:val="04A0" w:firstRow="1" w:lastRow="0" w:firstColumn="1" w:lastColumn="0" w:noHBand="0" w:noVBand="1"/>
      </w:tblPr>
      <w:tblGrid>
        <w:gridCol w:w="857"/>
        <w:gridCol w:w="3804"/>
        <w:gridCol w:w="869"/>
        <w:gridCol w:w="3901"/>
      </w:tblGrid>
      <w:tr w:rsidR="002D7CBC" w:rsidRPr="00A2333E" w14:paraId="29D8A6EC" w14:textId="77777777" w:rsidTr="00031FA5">
        <w:trPr>
          <w:trHeight w:val="567"/>
        </w:trPr>
        <w:tc>
          <w:tcPr>
            <w:tcW w:w="857" w:type="dxa"/>
            <w:hideMark/>
          </w:tcPr>
          <w:p w14:paraId="38DF5EBD" w14:textId="77777777" w:rsidR="002D7CBC" w:rsidRPr="00A2333E" w:rsidRDefault="002D7CBC" w:rsidP="00891E3B">
            <w:pPr>
              <w:pStyle w:val="Tabletext"/>
              <w:rPr>
                <w:b/>
              </w:rPr>
            </w:pPr>
            <w:r w:rsidRPr="00A2333E">
              <w:rPr>
                <w:b/>
              </w:rPr>
              <w:t>PND score</w:t>
            </w:r>
          </w:p>
        </w:tc>
        <w:tc>
          <w:tcPr>
            <w:tcW w:w="3804" w:type="dxa"/>
            <w:hideMark/>
          </w:tcPr>
          <w:p w14:paraId="6C424649" w14:textId="77777777" w:rsidR="002D7CBC" w:rsidRPr="00A2333E" w:rsidRDefault="002D7CBC" w:rsidP="00891E3B">
            <w:pPr>
              <w:pStyle w:val="Tabletext"/>
              <w:rPr>
                <w:b/>
              </w:rPr>
            </w:pPr>
            <w:r w:rsidRPr="00A2333E">
              <w:rPr>
                <w:b/>
              </w:rPr>
              <w:t xml:space="preserve">PND </w:t>
            </w:r>
            <w:r w:rsidR="005A1A02" w:rsidRPr="00A2333E">
              <w:rPr>
                <w:b/>
              </w:rPr>
              <w:t>score</w:t>
            </w:r>
            <w:r w:rsidRPr="00A2333E">
              <w:rPr>
                <w:b/>
              </w:rPr>
              <w:t xml:space="preserve"> description</w:t>
            </w:r>
          </w:p>
        </w:tc>
        <w:tc>
          <w:tcPr>
            <w:tcW w:w="869" w:type="dxa"/>
            <w:hideMark/>
          </w:tcPr>
          <w:p w14:paraId="458F3F40" w14:textId="77777777" w:rsidR="002D7CBC" w:rsidRPr="00A2333E" w:rsidRDefault="002D7CBC" w:rsidP="00891E3B">
            <w:pPr>
              <w:pStyle w:val="Tabletext"/>
              <w:rPr>
                <w:b/>
                <w:bCs/>
              </w:rPr>
            </w:pPr>
            <w:r w:rsidRPr="00A2333E">
              <w:rPr>
                <w:b/>
                <w:bCs/>
              </w:rPr>
              <w:t>FAP stage</w:t>
            </w:r>
          </w:p>
        </w:tc>
        <w:tc>
          <w:tcPr>
            <w:tcW w:w="3901" w:type="dxa"/>
            <w:hideMark/>
          </w:tcPr>
          <w:p w14:paraId="237A6746" w14:textId="77777777" w:rsidR="002D7CBC" w:rsidRPr="00A2333E" w:rsidRDefault="002D7CBC" w:rsidP="00891E3B">
            <w:pPr>
              <w:pStyle w:val="Tabletext"/>
              <w:rPr>
                <w:b/>
              </w:rPr>
            </w:pPr>
            <w:r w:rsidRPr="00A2333E">
              <w:rPr>
                <w:b/>
              </w:rPr>
              <w:t>FAP stage description</w:t>
            </w:r>
          </w:p>
        </w:tc>
      </w:tr>
      <w:tr w:rsidR="002D7CBC" w:rsidRPr="00A2333E" w14:paraId="1FCB1609" w14:textId="77777777" w:rsidTr="00031FA5">
        <w:trPr>
          <w:trHeight w:val="315"/>
        </w:trPr>
        <w:tc>
          <w:tcPr>
            <w:tcW w:w="857" w:type="dxa"/>
            <w:hideMark/>
          </w:tcPr>
          <w:p w14:paraId="778871F0" w14:textId="77777777" w:rsidR="002D7CBC" w:rsidRPr="00A2333E" w:rsidRDefault="002D7CBC" w:rsidP="00891E3B">
            <w:pPr>
              <w:pStyle w:val="Tabletext"/>
              <w:rPr>
                <w:b/>
              </w:rPr>
            </w:pPr>
            <w:r w:rsidRPr="00A2333E">
              <w:rPr>
                <w:b/>
              </w:rPr>
              <w:t>0</w:t>
            </w:r>
          </w:p>
        </w:tc>
        <w:tc>
          <w:tcPr>
            <w:tcW w:w="3804" w:type="dxa"/>
            <w:hideMark/>
          </w:tcPr>
          <w:p w14:paraId="48880BF5" w14:textId="77777777" w:rsidR="002D7CBC" w:rsidRPr="00A2333E" w:rsidRDefault="002D7CBC" w:rsidP="00891E3B">
            <w:pPr>
              <w:pStyle w:val="Tabletext"/>
            </w:pPr>
            <w:r w:rsidRPr="00A2333E">
              <w:t>No impairment</w:t>
            </w:r>
          </w:p>
        </w:tc>
        <w:tc>
          <w:tcPr>
            <w:tcW w:w="869" w:type="dxa"/>
            <w:hideMark/>
          </w:tcPr>
          <w:p w14:paraId="263F94F1" w14:textId="77777777" w:rsidR="002D7CBC" w:rsidRPr="00A2333E" w:rsidRDefault="002D7CBC" w:rsidP="00891E3B">
            <w:pPr>
              <w:pStyle w:val="Tabletext"/>
              <w:rPr>
                <w:rFonts w:cs="Arial"/>
                <w:b/>
                <w:bCs/>
              </w:rPr>
            </w:pPr>
            <w:r w:rsidRPr="00A2333E">
              <w:rPr>
                <w:rFonts w:cs="Arial"/>
                <w:b/>
                <w:bCs/>
              </w:rPr>
              <w:t>0</w:t>
            </w:r>
          </w:p>
        </w:tc>
        <w:tc>
          <w:tcPr>
            <w:tcW w:w="3901" w:type="dxa"/>
            <w:hideMark/>
          </w:tcPr>
          <w:p w14:paraId="70419A58" w14:textId="77777777" w:rsidR="002D7CBC" w:rsidRPr="00A2333E" w:rsidRDefault="002D7CBC" w:rsidP="00891E3B">
            <w:pPr>
              <w:pStyle w:val="Tabletext"/>
            </w:pPr>
            <w:r w:rsidRPr="00A2333E">
              <w:t>No symptoms</w:t>
            </w:r>
          </w:p>
        </w:tc>
      </w:tr>
      <w:tr w:rsidR="002D7CBC" w:rsidRPr="00A2333E" w14:paraId="15556844" w14:textId="77777777" w:rsidTr="00031FA5">
        <w:trPr>
          <w:trHeight w:val="770"/>
        </w:trPr>
        <w:tc>
          <w:tcPr>
            <w:tcW w:w="857" w:type="dxa"/>
            <w:hideMark/>
          </w:tcPr>
          <w:p w14:paraId="4D1918AE" w14:textId="77777777" w:rsidR="002D7CBC" w:rsidRPr="00A2333E" w:rsidRDefault="002D7CBC" w:rsidP="00891E3B">
            <w:pPr>
              <w:pStyle w:val="Tabletext"/>
              <w:rPr>
                <w:b/>
              </w:rPr>
            </w:pPr>
            <w:r w:rsidRPr="00A2333E">
              <w:rPr>
                <w:b/>
              </w:rPr>
              <w:lastRenderedPageBreak/>
              <w:t>I</w:t>
            </w:r>
          </w:p>
        </w:tc>
        <w:tc>
          <w:tcPr>
            <w:tcW w:w="3804" w:type="dxa"/>
            <w:hideMark/>
          </w:tcPr>
          <w:p w14:paraId="56D4BB01" w14:textId="77777777" w:rsidR="002D7CBC" w:rsidRPr="00A2333E" w:rsidRDefault="002D7CBC" w:rsidP="00891E3B">
            <w:pPr>
              <w:pStyle w:val="Tabletext"/>
            </w:pPr>
            <w:r w:rsidRPr="00A2333E">
              <w:t>Sensory disturbances, preserved walking capability</w:t>
            </w:r>
          </w:p>
        </w:tc>
        <w:tc>
          <w:tcPr>
            <w:tcW w:w="869" w:type="dxa"/>
            <w:hideMark/>
          </w:tcPr>
          <w:p w14:paraId="3A16EF81" w14:textId="77777777" w:rsidR="002D7CBC" w:rsidRPr="00A2333E" w:rsidRDefault="00891E3B" w:rsidP="00891E3B">
            <w:pPr>
              <w:pStyle w:val="Tabletext"/>
              <w:rPr>
                <w:rFonts w:cs="Arial"/>
                <w:b/>
                <w:bCs/>
                <w:lang w:eastAsia="en-GB"/>
              </w:rPr>
            </w:pPr>
            <w:r w:rsidRPr="00A2333E">
              <w:rPr>
                <w:rFonts w:cs="Arial"/>
                <w:b/>
                <w:bCs/>
                <w:lang w:eastAsia="en-GB"/>
              </w:rPr>
              <w:t>1</w:t>
            </w:r>
          </w:p>
        </w:tc>
        <w:tc>
          <w:tcPr>
            <w:tcW w:w="3901" w:type="dxa"/>
            <w:hideMark/>
          </w:tcPr>
          <w:p w14:paraId="1CEEEF0C" w14:textId="77777777" w:rsidR="002D7CBC" w:rsidRPr="00A2333E" w:rsidRDefault="002D7CBC" w:rsidP="00891E3B">
            <w:pPr>
              <w:pStyle w:val="Tabletext"/>
            </w:pPr>
            <w:r w:rsidRPr="00A2333E">
              <w:t xml:space="preserve">Unimpaired </w:t>
            </w:r>
            <w:r w:rsidR="000D6D86" w:rsidRPr="00A2333E">
              <w:t>ambulation; mostly mild sensory and</w:t>
            </w:r>
            <w:r w:rsidRPr="00A2333E">
              <w:t xml:space="preserve"> motor</w:t>
            </w:r>
            <w:r w:rsidR="000D6D86" w:rsidRPr="00A2333E">
              <w:t xml:space="preserve"> neuropathy in the lower limbs</w:t>
            </w:r>
            <w:r w:rsidRPr="00A2333E">
              <w:t xml:space="preserve"> </w:t>
            </w:r>
          </w:p>
        </w:tc>
      </w:tr>
      <w:tr w:rsidR="00CE3237" w:rsidRPr="00A2333E" w14:paraId="4BE18C5D" w14:textId="77777777" w:rsidTr="00031FA5">
        <w:trPr>
          <w:trHeight w:val="828"/>
        </w:trPr>
        <w:tc>
          <w:tcPr>
            <w:tcW w:w="857" w:type="dxa"/>
            <w:tcBorders>
              <w:bottom w:val="single" w:sz="4" w:space="0" w:color="auto"/>
            </w:tcBorders>
            <w:hideMark/>
          </w:tcPr>
          <w:p w14:paraId="088DC86E" w14:textId="77777777" w:rsidR="00CE3237" w:rsidRPr="00A2333E" w:rsidRDefault="00CE3237" w:rsidP="00891E3B">
            <w:pPr>
              <w:pStyle w:val="Tabletext"/>
              <w:rPr>
                <w:b/>
              </w:rPr>
            </w:pPr>
            <w:r w:rsidRPr="00A2333E">
              <w:rPr>
                <w:b/>
              </w:rPr>
              <w:t>II</w:t>
            </w:r>
          </w:p>
        </w:tc>
        <w:tc>
          <w:tcPr>
            <w:tcW w:w="3804" w:type="dxa"/>
            <w:tcBorders>
              <w:bottom w:val="single" w:sz="4" w:space="0" w:color="auto"/>
            </w:tcBorders>
            <w:hideMark/>
          </w:tcPr>
          <w:p w14:paraId="424EE1A1" w14:textId="77777777" w:rsidR="00CE3237" w:rsidRPr="00A2333E" w:rsidRDefault="00CE3237" w:rsidP="00891E3B">
            <w:pPr>
              <w:pStyle w:val="Tabletext"/>
              <w:rPr>
                <w:b/>
              </w:rPr>
            </w:pPr>
            <w:r w:rsidRPr="00A2333E">
              <w:t>Impaired walking capability but ability to walk without a stick or crutches</w:t>
            </w:r>
          </w:p>
        </w:tc>
        <w:tc>
          <w:tcPr>
            <w:tcW w:w="869" w:type="dxa"/>
            <w:vMerge w:val="restart"/>
            <w:tcBorders>
              <w:bottom w:val="single" w:sz="4" w:space="0" w:color="auto"/>
            </w:tcBorders>
            <w:hideMark/>
          </w:tcPr>
          <w:p w14:paraId="6732A3C5" w14:textId="77777777" w:rsidR="00CE3237" w:rsidRPr="00A2333E" w:rsidRDefault="00891E3B" w:rsidP="00891E3B">
            <w:pPr>
              <w:pStyle w:val="Tabletext"/>
              <w:rPr>
                <w:rFonts w:cs="Arial"/>
                <w:b/>
                <w:bCs/>
              </w:rPr>
            </w:pPr>
            <w:r w:rsidRPr="00A2333E">
              <w:rPr>
                <w:rFonts w:cs="Arial"/>
                <w:b/>
                <w:bCs/>
              </w:rPr>
              <w:t>2</w:t>
            </w:r>
          </w:p>
        </w:tc>
        <w:tc>
          <w:tcPr>
            <w:tcW w:w="3901" w:type="dxa"/>
            <w:vMerge w:val="restart"/>
            <w:tcBorders>
              <w:bottom w:val="single" w:sz="4" w:space="0" w:color="auto"/>
            </w:tcBorders>
            <w:hideMark/>
          </w:tcPr>
          <w:p w14:paraId="1CC1A4F2" w14:textId="77777777" w:rsidR="00CE3237" w:rsidRPr="00A2333E" w:rsidRDefault="00CE3237" w:rsidP="00891E3B">
            <w:pPr>
              <w:pStyle w:val="Tabletext"/>
            </w:pPr>
            <w:r w:rsidRPr="00A2333E">
              <w:t xml:space="preserve">Assistance with ambulation </w:t>
            </w:r>
            <w:r w:rsidR="00891E3B" w:rsidRPr="00A2333E">
              <w:t>need</w:t>
            </w:r>
            <w:r w:rsidRPr="00A2333E">
              <w:t>ed; mostly moderate impairment progression to the lower limbs, upper limbs and trunk</w:t>
            </w:r>
          </w:p>
        </w:tc>
      </w:tr>
      <w:tr w:rsidR="00CE3237" w:rsidRPr="00A2333E" w14:paraId="0EB3B63E" w14:textId="77777777" w:rsidTr="00031FA5">
        <w:trPr>
          <w:trHeight w:val="567"/>
        </w:trPr>
        <w:tc>
          <w:tcPr>
            <w:tcW w:w="857" w:type="dxa"/>
            <w:hideMark/>
          </w:tcPr>
          <w:p w14:paraId="26D2AB52" w14:textId="77777777" w:rsidR="00CE3237" w:rsidRPr="00A2333E" w:rsidRDefault="00CE3237" w:rsidP="00891E3B">
            <w:pPr>
              <w:pStyle w:val="Tabletext"/>
              <w:rPr>
                <w:b/>
              </w:rPr>
            </w:pPr>
            <w:r w:rsidRPr="00A2333E">
              <w:rPr>
                <w:b/>
              </w:rPr>
              <w:t>IIIA</w:t>
            </w:r>
          </w:p>
        </w:tc>
        <w:tc>
          <w:tcPr>
            <w:tcW w:w="3804" w:type="dxa"/>
            <w:hideMark/>
          </w:tcPr>
          <w:p w14:paraId="7B0332F7" w14:textId="77777777" w:rsidR="00CE3237" w:rsidRPr="00A2333E" w:rsidRDefault="00CE3237" w:rsidP="00891E3B">
            <w:pPr>
              <w:pStyle w:val="Tabletext"/>
            </w:pPr>
            <w:r w:rsidRPr="00A2333E">
              <w:t xml:space="preserve">Walking only with the help of </w:t>
            </w:r>
            <w:r w:rsidR="00891E3B" w:rsidRPr="00A2333E">
              <w:t>1 </w:t>
            </w:r>
            <w:r w:rsidRPr="00A2333E">
              <w:t>stick or crutch</w:t>
            </w:r>
          </w:p>
        </w:tc>
        <w:tc>
          <w:tcPr>
            <w:tcW w:w="869" w:type="dxa"/>
            <w:vMerge/>
            <w:hideMark/>
          </w:tcPr>
          <w:p w14:paraId="44C72730" w14:textId="77777777" w:rsidR="00CE3237" w:rsidRPr="00A2333E" w:rsidRDefault="00CE3237" w:rsidP="00891E3B">
            <w:pPr>
              <w:pStyle w:val="Tabletext"/>
              <w:rPr>
                <w:rFonts w:cs="Arial"/>
                <w:b/>
                <w:bCs/>
              </w:rPr>
            </w:pPr>
          </w:p>
        </w:tc>
        <w:tc>
          <w:tcPr>
            <w:tcW w:w="3901" w:type="dxa"/>
            <w:vMerge/>
            <w:hideMark/>
          </w:tcPr>
          <w:p w14:paraId="27374736" w14:textId="77777777" w:rsidR="00CE3237" w:rsidRPr="00A2333E" w:rsidRDefault="00CE3237" w:rsidP="00891E3B">
            <w:pPr>
              <w:pStyle w:val="Tabletext"/>
            </w:pPr>
          </w:p>
        </w:tc>
      </w:tr>
      <w:tr w:rsidR="00CE3237" w:rsidRPr="00A2333E" w14:paraId="4B85A816" w14:textId="77777777" w:rsidTr="00031FA5">
        <w:trPr>
          <w:trHeight w:val="510"/>
        </w:trPr>
        <w:tc>
          <w:tcPr>
            <w:tcW w:w="857" w:type="dxa"/>
            <w:hideMark/>
          </w:tcPr>
          <w:p w14:paraId="1F6310E9" w14:textId="77777777" w:rsidR="00CE3237" w:rsidRPr="00A2333E" w:rsidRDefault="00CE3237" w:rsidP="00891E3B">
            <w:pPr>
              <w:pStyle w:val="Tabletext"/>
              <w:rPr>
                <w:b/>
              </w:rPr>
            </w:pPr>
            <w:r w:rsidRPr="00A2333E">
              <w:rPr>
                <w:b/>
              </w:rPr>
              <w:t>IIIB</w:t>
            </w:r>
          </w:p>
        </w:tc>
        <w:tc>
          <w:tcPr>
            <w:tcW w:w="3804" w:type="dxa"/>
            <w:hideMark/>
          </w:tcPr>
          <w:p w14:paraId="368C90D0" w14:textId="77777777" w:rsidR="00CE3237" w:rsidRPr="00A2333E" w:rsidRDefault="00CE3237" w:rsidP="00891E3B">
            <w:pPr>
              <w:pStyle w:val="Tabletext"/>
            </w:pPr>
            <w:r w:rsidRPr="00A2333E">
              <w:t xml:space="preserve">Walking with the help of </w:t>
            </w:r>
            <w:r w:rsidR="00891E3B" w:rsidRPr="00A2333E">
              <w:t>2 </w:t>
            </w:r>
            <w:r w:rsidRPr="00A2333E">
              <w:t>sticks or crutches</w:t>
            </w:r>
          </w:p>
        </w:tc>
        <w:tc>
          <w:tcPr>
            <w:tcW w:w="869" w:type="dxa"/>
            <w:vMerge/>
            <w:hideMark/>
          </w:tcPr>
          <w:p w14:paraId="499C510E" w14:textId="77777777" w:rsidR="00CE3237" w:rsidRPr="00A2333E" w:rsidRDefault="00CE3237" w:rsidP="00891E3B">
            <w:pPr>
              <w:pStyle w:val="Tabletext"/>
              <w:rPr>
                <w:rFonts w:cs="Arial"/>
                <w:b/>
                <w:bCs/>
              </w:rPr>
            </w:pPr>
          </w:p>
        </w:tc>
        <w:tc>
          <w:tcPr>
            <w:tcW w:w="3901" w:type="dxa"/>
            <w:vMerge/>
            <w:hideMark/>
          </w:tcPr>
          <w:p w14:paraId="0CDE6998" w14:textId="77777777" w:rsidR="00CE3237" w:rsidRPr="00A2333E" w:rsidRDefault="00CE3237" w:rsidP="00891E3B">
            <w:pPr>
              <w:pStyle w:val="Tabletext"/>
            </w:pPr>
          </w:p>
        </w:tc>
      </w:tr>
      <w:tr w:rsidR="002D7CBC" w:rsidRPr="00A2333E" w14:paraId="5310CA50" w14:textId="77777777" w:rsidTr="00031FA5">
        <w:trPr>
          <w:trHeight w:val="778"/>
        </w:trPr>
        <w:tc>
          <w:tcPr>
            <w:tcW w:w="857" w:type="dxa"/>
            <w:hideMark/>
          </w:tcPr>
          <w:p w14:paraId="618E32DA" w14:textId="77777777" w:rsidR="002D7CBC" w:rsidRPr="00A2333E" w:rsidRDefault="002D7CBC" w:rsidP="00891E3B">
            <w:pPr>
              <w:pStyle w:val="Tabletext"/>
              <w:rPr>
                <w:b/>
              </w:rPr>
            </w:pPr>
            <w:r w:rsidRPr="00A2333E">
              <w:rPr>
                <w:b/>
              </w:rPr>
              <w:t>IV</w:t>
            </w:r>
          </w:p>
        </w:tc>
        <w:tc>
          <w:tcPr>
            <w:tcW w:w="3804" w:type="dxa"/>
            <w:hideMark/>
          </w:tcPr>
          <w:p w14:paraId="2741AD63" w14:textId="77777777" w:rsidR="002D7CBC" w:rsidRPr="00A2333E" w:rsidRDefault="002D7CBC" w:rsidP="00891E3B">
            <w:pPr>
              <w:pStyle w:val="Tabletext"/>
            </w:pPr>
            <w:r w:rsidRPr="00A2333E">
              <w:t>Confined to a wheelchair or bedridden</w:t>
            </w:r>
          </w:p>
        </w:tc>
        <w:tc>
          <w:tcPr>
            <w:tcW w:w="869" w:type="dxa"/>
            <w:hideMark/>
          </w:tcPr>
          <w:p w14:paraId="1DA580CA" w14:textId="77777777" w:rsidR="002D7CBC" w:rsidRPr="00A2333E" w:rsidRDefault="00891E3B" w:rsidP="00891E3B">
            <w:pPr>
              <w:pStyle w:val="Tabletext"/>
              <w:rPr>
                <w:rFonts w:cs="Arial"/>
                <w:b/>
                <w:bCs/>
              </w:rPr>
            </w:pPr>
            <w:r w:rsidRPr="00A2333E">
              <w:rPr>
                <w:rFonts w:cs="Arial"/>
                <w:b/>
                <w:bCs/>
              </w:rPr>
              <w:t>3</w:t>
            </w:r>
          </w:p>
        </w:tc>
        <w:tc>
          <w:tcPr>
            <w:tcW w:w="3901" w:type="dxa"/>
            <w:hideMark/>
          </w:tcPr>
          <w:p w14:paraId="714A8658" w14:textId="77777777" w:rsidR="002D7CBC" w:rsidRPr="00A2333E" w:rsidRDefault="002D7CBC" w:rsidP="00DE6EE7">
            <w:pPr>
              <w:pStyle w:val="Tabletext"/>
            </w:pPr>
            <w:r w:rsidRPr="00A2333E">
              <w:t>Wheelchair-bou</w:t>
            </w:r>
            <w:r w:rsidR="00DE6EE7" w:rsidRPr="00A2333E">
              <w:t>nd or bedridden; severe sensory and motor neuropathy of all limbs</w:t>
            </w:r>
          </w:p>
        </w:tc>
      </w:tr>
      <w:tr w:rsidR="00891E3B" w:rsidRPr="00A2333E" w14:paraId="7A0F9C22" w14:textId="77777777" w:rsidTr="00891E3B">
        <w:trPr>
          <w:trHeight w:val="285"/>
        </w:trPr>
        <w:tc>
          <w:tcPr>
            <w:tcW w:w="9431" w:type="dxa"/>
            <w:gridSpan w:val="4"/>
          </w:tcPr>
          <w:p w14:paraId="462E5214" w14:textId="77777777" w:rsidR="00891E3B" w:rsidRPr="00A2333E" w:rsidRDefault="00891E3B" w:rsidP="00891E3B">
            <w:pPr>
              <w:pStyle w:val="Tabletext"/>
            </w:pPr>
            <w:r w:rsidRPr="00A2333E">
              <w:t>Abbreviations: FAP, familial amyloidotic polyneuropathy; PND, polyneuropathy disability</w:t>
            </w:r>
          </w:p>
        </w:tc>
      </w:tr>
    </w:tbl>
    <w:p w14:paraId="43E5C082" w14:textId="77777777" w:rsidR="00E37920" w:rsidRPr="00A2333E" w:rsidRDefault="00E37920" w:rsidP="00E37920">
      <w:pPr>
        <w:pStyle w:val="Numberedlevel2text"/>
        <w:numPr>
          <w:ilvl w:val="0"/>
          <w:numId w:val="0"/>
        </w:numPr>
        <w:ind w:left="1134"/>
        <w:rPr>
          <w:sz w:val="23"/>
          <w:szCs w:val="23"/>
        </w:rPr>
      </w:pPr>
      <w:bookmarkStart w:id="7" w:name="_Ref530405658"/>
    </w:p>
    <w:bookmarkEnd w:id="7"/>
    <w:p w14:paraId="60171451" w14:textId="77777777" w:rsidR="00E37920" w:rsidRPr="00A2333E" w:rsidRDefault="008A2B03" w:rsidP="00E37920">
      <w:pPr>
        <w:pStyle w:val="Numberedlevel2text"/>
      </w:pPr>
      <w:r w:rsidRPr="00A2333E">
        <w:t xml:space="preserve">While some people with hATTR </w:t>
      </w:r>
      <w:r w:rsidR="00E37920" w:rsidRPr="00A2333E">
        <w:t xml:space="preserve">may mainly have </w:t>
      </w:r>
      <w:r w:rsidRPr="00A2333E">
        <w:t xml:space="preserve">either </w:t>
      </w:r>
      <w:r w:rsidR="00E37920" w:rsidRPr="00A2333E">
        <w:t>polyneuropathy or cardiomyopathy</w:t>
      </w:r>
      <w:r w:rsidRPr="00A2333E">
        <w:t xml:space="preserve"> symptoms</w:t>
      </w:r>
      <w:r w:rsidR="00E37920" w:rsidRPr="00A2333E">
        <w:t xml:space="preserve">, most patients seen in the NHS will have both over the course of the condition. In the UK, the most common genetic mutations associated with </w:t>
      </w:r>
      <w:r w:rsidRPr="00A2333E">
        <w:t xml:space="preserve">combined </w:t>
      </w:r>
      <w:r w:rsidR="00E37920" w:rsidRPr="00A2333E">
        <w:t>polyneuropathy and cardiac involvement are</w:t>
      </w:r>
      <w:r w:rsidR="00E37920" w:rsidRPr="00A2333E" w:rsidDel="00BF15C5">
        <w:t xml:space="preserve"> </w:t>
      </w:r>
      <w:r w:rsidR="00E37920" w:rsidRPr="00A2333E">
        <w:t xml:space="preserve">Val122Ile (39%), Thr60Ala (25%) and </w:t>
      </w:r>
      <w:bookmarkStart w:id="8" w:name="_Hlk9502650"/>
      <w:r w:rsidR="00E37920" w:rsidRPr="00A2333E">
        <w:t>Val30Met</w:t>
      </w:r>
      <w:bookmarkEnd w:id="8"/>
      <w:r w:rsidR="00E37920" w:rsidRPr="00A2333E">
        <w:t xml:space="preserve"> (17%). The Val30Met mutation is associated with higher survival rates</w:t>
      </w:r>
      <w:r w:rsidR="000D3166" w:rsidRPr="00A2333E">
        <w:t>.</w:t>
      </w:r>
      <w:r w:rsidR="00E37920" w:rsidRPr="00A2333E">
        <w:t xml:space="preserve"> Val122Ile is primarily associated with cardiomyopathy.</w:t>
      </w:r>
    </w:p>
    <w:p w14:paraId="70734023" w14:textId="77777777" w:rsidR="00E37920" w:rsidRPr="00A2333E" w:rsidRDefault="00DA4077" w:rsidP="00176249">
      <w:pPr>
        <w:pStyle w:val="Numberedlevel2text"/>
      </w:pPr>
      <w:r w:rsidRPr="00A2333E">
        <w:t xml:space="preserve">At the time of the evaluation, </w:t>
      </w:r>
      <w:r w:rsidR="00E37920" w:rsidRPr="00A2333E">
        <w:t xml:space="preserve">treatment options for people with hATTR amyloidosis </w:t>
      </w:r>
      <w:r w:rsidRPr="00A2333E">
        <w:t xml:space="preserve">were </w:t>
      </w:r>
      <w:r w:rsidR="00E37920" w:rsidRPr="00A2333E">
        <w:t>limited</w:t>
      </w:r>
      <w:r w:rsidR="000A6170">
        <w:t>. They</w:t>
      </w:r>
      <w:r w:rsidRPr="00A2333E" w:rsidDel="00DA4077">
        <w:t xml:space="preserve"> </w:t>
      </w:r>
      <w:r w:rsidR="00E37920" w:rsidRPr="00A2333E">
        <w:t>mainly focus</w:t>
      </w:r>
      <w:r w:rsidRPr="00A2333E">
        <w:t>ed</w:t>
      </w:r>
      <w:r w:rsidR="00E37920" w:rsidRPr="00A2333E">
        <w:t xml:space="preserve"> on symptom relief and supportive care </w:t>
      </w:r>
      <w:r w:rsidR="00365A4F">
        <w:t>(</w:t>
      </w:r>
      <w:r w:rsidR="00E37920" w:rsidRPr="00A2333E">
        <w:t xml:space="preserve">including pain management, </w:t>
      </w:r>
      <w:r w:rsidR="00365A4F">
        <w:t xml:space="preserve">and </w:t>
      </w:r>
      <w:r w:rsidR="00E37920" w:rsidRPr="00A2333E">
        <w:t>nutritional and mobility support</w:t>
      </w:r>
      <w:r w:rsidR="00365A4F">
        <w:t>)</w:t>
      </w:r>
      <w:r w:rsidR="00E37920" w:rsidRPr="00A2333E">
        <w:t xml:space="preserve">, and lessening the effects of the </w:t>
      </w:r>
      <w:r w:rsidR="002D7FE1" w:rsidRPr="00A2333E">
        <w:t xml:space="preserve">condition </w:t>
      </w:r>
      <w:r w:rsidR="00E37920" w:rsidRPr="00A2333E">
        <w:t>on other organs (</w:t>
      </w:r>
      <w:r w:rsidR="000D3166" w:rsidRPr="00A2333E">
        <w:t xml:space="preserve">for example, </w:t>
      </w:r>
      <w:r w:rsidR="00E37920" w:rsidRPr="00A2333E">
        <w:t xml:space="preserve">pacemakers, arrhythmia management). </w:t>
      </w:r>
      <w:r w:rsidRPr="00A2333E">
        <w:t xml:space="preserve">During the evaluation of patisiran, </w:t>
      </w:r>
      <w:r w:rsidR="00474DCE" w:rsidRPr="00A2333E">
        <w:t xml:space="preserve">NICE published </w:t>
      </w:r>
      <w:r w:rsidR="00365A4F">
        <w:t xml:space="preserve">its </w:t>
      </w:r>
      <w:r w:rsidR="00474DCE" w:rsidRPr="00A2333E">
        <w:t>highly specialised technolog</w:t>
      </w:r>
      <w:r w:rsidR="00365A4F">
        <w:t>y</w:t>
      </w:r>
      <w:r w:rsidR="00474DCE" w:rsidRPr="00A2333E">
        <w:t xml:space="preserve"> guidance</w:t>
      </w:r>
      <w:r w:rsidR="007939C9" w:rsidRPr="00A2333E">
        <w:t xml:space="preserve"> </w:t>
      </w:r>
      <w:r w:rsidR="00365A4F">
        <w:t xml:space="preserve">on </w:t>
      </w:r>
      <w:hyperlink r:id="rId8" w:history="1">
        <w:r w:rsidR="00365A4F" w:rsidRPr="00365A4F">
          <w:rPr>
            <w:rStyle w:val="Hyperlink"/>
          </w:rPr>
          <w:t>inotersen</w:t>
        </w:r>
      </w:hyperlink>
      <w:r w:rsidR="007939C9" w:rsidRPr="00A2333E">
        <w:t>, recommending</w:t>
      </w:r>
      <w:r w:rsidR="001042F0">
        <w:t xml:space="preserve"> </w:t>
      </w:r>
      <w:r w:rsidR="00365A4F">
        <w:t>it</w:t>
      </w:r>
      <w:r w:rsidR="007939C9" w:rsidRPr="00A2333E">
        <w:t>,</w:t>
      </w:r>
      <w:r w:rsidR="001042F0">
        <w:t xml:space="preserve"> </w:t>
      </w:r>
      <w:r w:rsidR="007939C9" w:rsidRPr="00A2333E">
        <w:t>within its marketing authorisation, as an option for treating stage</w:t>
      </w:r>
      <w:r w:rsidR="00365A4F">
        <w:t> </w:t>
      </w:r>
      <w:r w:rsidR="007939C9" w:rsidRPr="00A2333E">
        <w:t>1 and stage</w:t>
      </w:r>
      <w:r w:rsidR="00365A4F">
        <w:t> </w:t>
      </w:r>
      <w:r w:rsidR="007939C9" w:rsidRPr="00A2333E">
        <w:t xml:space="preserve">2 polyneuropathy in adults with </w:t>
      </w:r>
      <w:r w:rsidR="00365A4F">
        <w:t>hATTR</w:t>
      </w:r>
      <w:r w:rsidR="007939C9" w:rsidRPr="00A2333E">
        <w:t xml:space="preserve"> amyloidosis</w:t>
      </w:r>
      <w:r w:rsidR="00624DEB" w:rsidRPr="00A2333E">
        <w:t xml:space="preserve">. </w:t>
      </w:r>
      <w:r w:rsidR="00E37920" w:rsidRPr="00A2333E">
        <w:t>Other pharmacological treatments may be used, including diflunisal, which is sometimes used outside of its marketing authorisation to treat hATTR amyloidosis. It is contraindicated in people with cardiac impairment and those taking anticoagulants.</w:t>
      </w:r>
    </w:p>
    <w:p w14:paraId="10708151" w14:textId="77777777" w:rsidR="008042FA" w:rsidRPr="00A2333E" w:rsidRDefault="00E37920" w:rsidP="00E37920">
      <w:pPr>
        <w:pStyle w:val="Numberedlevel2text"/>
      </w:pPr>
      <w:r w:rsidRPr="00A2333E">
        <w:lastRenderedPageBreak/>
        <w:t>Liver transplant, which prevents the formation of additional amyloid deposits</w:t>
      </w:r>
      <w:r w:rsidR="00921AA9" w:rsidRPr="00A2333E">
        <w:t>,</w:t>
      </w:r>
      <w:r w:rsidRPr="00A2333E">
        <w:t xml:space="preserve"> might be an option for some people. However, a transplant can only be done early in the course of the </w:t>
      </w:r>
      <w:r w:rsidR="00182D3C" w:rsidRPr="00A2333E">
        <w:t>condition</w:t>
      </w:r>
      <w:r w:rsidRPr="00A2333E">
        <w:t>, and outcomes are poor in people with cardiac involvement, so it is rarely done in England.</w:t>
      </w:r>
    </w:p>
    <w:p w14:paraId="471DCAFB" w14:textId="77777777" w:rsidR="005309B4" w:rsidRPr="00A2333E" w:rsidRDefault="00E37920" w:rsidP="00DE5E9C">
      <w:pPr>
        <w:pStyle w:val="Numberedlevel2text"/>
      </w:pPr>
      <w:r w:rsidRPr="00A2333E">
        <w:t xml:space="preserve">The National Amyloidosis Centre in London provides the only </w:t>
      </w:r>
      <w:r w:rsidR="00A93254" w:rsidRPr="00A2333E">
        <w:t xml:space="preserve">highly </w:t>
      </w:r>
      <w:r w:rsidR="003F0F2C" w:rsidRPr="00A2333E">
        <w:t xml:space="preserve">specialised </w:t>
      </w:r>
      <w:r w:rsidRPr="00A2333E">
        <w:t xml:space="preserve">service for </w:t>
      </w:r>
      <w:r w:rsidR="000D3166" w:rsidRPr="00A2333E">
        <w:t xml:space="preserve">people </w:t>
      </w:r>
      <w:r w:rsidRPr="00A2333E">
        <w:t xml:space="preserve">with amyloidosis and related disorders in the UK. </w:t>
      </w:r>
      <w:r w:rsidR="000D3166" w:rsidRPr="00A2333E">
        <w:t xml:space="preserve">People </w:t>
      </w:r>
      <w:r w:rsidRPr="00A2333E">
        <w:t xml:space="preserve">with hATTR amyloidosis are assessed (for overall clinical status, neuropathy progression and cardiac involvement) and followed up every 6 months at the </w:t>
      </w:r>
      <w:r w:rsidR="00E22329" w:rsidRPr="00A2333E">
        <w:t>C</w:t>
      </w:r>
      <w:r w:rsidRPr="00A2333E">
        <w:t>entre, and treatment is started there.</w:t>
      </w:r>
      <w:r w:rsidR="00DE5E9C" w:rsidRPr="00A2333E">
        <w:t xml:space="preserve"> </w:t>
      </w:r>
      <w:r w:rsidR="0007642F" w:rsidRPr="00A2333E">
        <w:t>The company proposes that people</w:t>
      </w:r>
      <w:r w:rsidR="008042FA" w:rsidRPr="00A2333E">
        <w:t xml:space="preserve"> </w:t>
      </w:r>
      <w:r w:rsidR="0007642F" w:rsidRPr="00A2333E">
        <w:t>would start</w:t>
      </w:r>
      <w:r w:rsidR="008042FA" w:rsidRPr="00A2333E">
        <w:t xml:space="preserve"> treatment with patisiran at </w:t>
      </w:r>
      <w:r w:rsidR="0007642F" w:rsidRPr="00A2333E">
        <w:t xml:space="preserve">the </w:t>
      </w:r>
      <w:r w:rsidR="00135520" w:rsidRPr="00A2333E">
        <w:t>C</w:t>
      </w:r>
      <w:r w:rsidR="0007642F" w:rsidRPr="00A2333E">
        <w:t>entre</w:t>
      </w:r>
      <w:r w:rsidR="008042FA" w:rsidRPr="00A2333E">
        <w:t xml:space="preserve"> and then</w:t>
      </w:r>
      <w:r w:rsidR="009F291C" w:rsidRPr="00A2333E">
        <w:t>,</w:t>
      </w:r>
      <w:r w:rsidR="008042FA" w:rsidRPr="00A2333E">
        <w:t xml:space="preserve"> </w:t>
      </w:r>
      <w:r w:rsidR="0071172D" w:rsidRPr="00A2333E">
        <w:t xml:space="preserve">if </w:t>
      </w:r>
      <w:r w:rsidR="009F291C" w:rsidRPr="00A2333E">
        <w:t>appropriate</w:t>
      </w:r>
      <w:r w:rsidR="0071172D" w:rsidRPr="00A2333E">
        <w:t xml:space="preserve">, </w:t>
      </w:r>
      <w:r w:rsidR="0007642F" w:rsidRPr="00A2333E">
        <w:t>choose whether</w:t>
      </w:r>
      <w:r w:rsidR="0071172D" w:rsidRPr="00A2333E">
        <w:t xml:space="preserve"> to continue to have treatment there or at home.</w:t>
      </w:r>
      <w:r w:rsidR="00661533" w:rsidRPr="00A2333E">
        <w:t xml:space="preserve"> At the second meeting, the company explained that some </w:t>
      </w:r>
      <w:r w:rsidR="00945C9D" w:rsidRPr="00A2333E">
        <w:t xml:space="preserve">people </w:t>
      </w:r>
      <w:r w:rsidR="00661533" w:rsidRPr="00A2333E">
        <w:t xml:space="preserve">already </w:t>
      </w:r>
      <w:r w:rsidR="00945C9D" w:rsidRPr="00A2333E">
        <w:t xml:space="preserve">have </w:t>
      </w:r>
      <w:r w:rsidR="00661533" w:rsidRPr="00A2333E">
        <w:t xml:space="preserve">patisiran at home after </w:t>
      </w:r>
      <w:r w:rsidR="00DB5453" w:rsidRPr="00A2333E">
        <w:t xml:space="preserve">having </w:t>
      </w:r>
      <w:r w:rsidR="00661533" w:rsidRPr="00A2333E">
        <w:t>3</w:t>
      </w:r>
      <w:r w:rsidR="00945C9D" w:rsidRPr="00A2333E">
        <w:t> </w:t>
      </w:r>
      <w:r w:rsidR="00135520" w:rsidRPr="00A2333E">
        <w:t xml:space="preserve">infusions </w:t>
      </w:r>
      <w:r w:rsidR="00A90863" w:rsidRPr="00A2333E">
        <w:t xml:space="preserve">in the </w:t>
      </w:r>
      <w:r w:rsidR="00135520" w:rsidRPr="00A2333E">
        <w:t>C</w:t>
      </w:r>
      <w:r w:rsidR="00A90863" w:rsidRPr="00A2333E">
        <w:t>entre</w:t>
      </w:r>
      <w:r w:rsidR="00DB5453" w:rsidRPr="00A2333E">
        <w:t>,</w:t>
      </w:r>
      <w:r w:rsidR="00552B30" w:rsidRPr="00A2333E">
        <w:t xml:space="preserve"> </w:t>
      </w:r>
      <w:r w:rsidR="00135520" w:rsidRPr="00A2333E">
        <w:t xml:space="preserve">and </w:t>
      </w:r>
      <w:r w:rsidR="00DB5453" w:rsidRPr="00A2333E">
        <w:t xml:space="preserve">that </w:t>
      </w:r>
      <w:r w:rsidR="00135520" w:rsidRPr="00A2333E">
        <w:t>this is</w:t>
      </w:r>
      <w:r w:rsidR="00552B30" w:rsidRPr="00A2333E">
        <w:t xml:space="preserve"> expect</w:t>
      </w:r>
      <w:r w:rsidR="00135520" w:rsidRPr="00A2333E">
        <w:t>ed to become the routine place for</w:t>
      </w:r>
      <w:r w:rsidR="00552B30" w:rsidRPr="00A2333E">
        <w:t xml:space="preserve"> patisiran administ</w:t>
      </w:r>
      <w:r w:rsidR="00135520" w:rsidRPr="00A2333E">
        <w:t>ration</w:t>
      </w:r>
      <w:r w:rsidR="00552B30" w:rsidRPr="00A2333E">
        <w:t xml:space="preserve"> in</w:t>
      </w:r>
      <w:r w:rsidR="00135520" w:rsidRPr="00A2333E">
        <w:t xml:space="preserve"> </w:t>
      </w:r>
      <w:r w:rsidR="00552B30" w:rsidRPr="00A2333E">
        <w:t>clinical practice.</w:t>
      </w:r>
    </w:p>
    <w:p w14:paraId="5D00CEC2" w14:textId="77777777" w:rsidR="00CF7948" w:rsidRPr="00A2333E" w:rsidRDefault="00CF7948" w:rsidP="00250438">
      <w:pPr>
        <w:pStyle w:val="Numberedheading1"/>
        <w:numPr>
          <w:ilvl w:val="0"/>
          <w:numId w:val="1"/>
        </w:numPr>
        <w:rPr>
          <w:lang w:val="en-GB"/>
        </w:rPr>
      </w:pPr>
      <w:r w:rsidRPr="00A2333E">
        <w:rPr>
          <w:lang w:val="en-GB"/>
        </w:rPr>
        <w:t>The technology</w:t>
      </w:r>
    </w:p>
    <w:p w14:paraId="0308BE93" w14:textId="77777777" w:rsidR="00550AFB" w:rsidRPr="00A2333E" w:rsidRDefault="00A15C6B" w:rsidP="00550AFB">
      <w:pPr>
        <w:pStyle w:val="Numberedlevel2text"/>
      </w:pPr>
      <w:proofErr w:type="spellStart"/>
      <w:r w:rsidRPr="00A2333E">
        <w:t>Patisiran</w:t>
      </w:r>
      <w:proofErr w:type="spellEnd"/>
      <w:r w:rsidRPr="00A2333E">
        <w:t xml:space="preserve"> (</w:t>
      </w:r>
      <w:proofErr w:type="spellStart"/>
      <w:r w:rsidRPr="00A2333E">
        <w:t>Onpattro</w:t>
      </w:r>
      <w:proofErr w:type="spellEnd"/>
      <w:r w:rsidRPr="00A2333E">
        <w:t>, Alnylam) is a ribonucleic acid interference agent that suppresses transthyretin</w:t>
      </w:r>
      <w:r w:rsidR="001A2E24" w:rsidRPr="00A2333E">
        <w:t xml:space="preserve"> (TTR)</w:t>
      </w:r>
      <w:r w:rsidRPr="00A2333E">
        <w:t xml:space="preserve"> </w:t>
      </w:r>
      <w:r w:rsidR="00821C8C" w:rsidRPr="00A2333E">
        <w:t xml:space="preserve">production </w:t>
      </w:r>
      <w:r w:rsidRPr="00A2333E">
        <w:t xml:space="preserve">by the liver (including abnormal </w:t>
      </w:r>
      <w:r w:rsidR="001A2E24" w:rsidRPr="00A2333E">
        <w:t>TTR</w:t>
      </w:r>
      <w:r w:rsidRPr="00A2333E">
        <w:t xml:space="preserve">). </w:t>
      </w:r>
      <w:r w:rsidR="00821C8C" w:rsidRPr="00A2333E">
        <w:t xml:space="preserve">It </w:t>
      </w:r>
      <w:r w:rsidRPr="00A2333E">
        <w:t>is administered once every 3</w:t>
      </w:r>
      <w:r w:rsidR="00821C8C" w:rsidRPr="00A2333E">
        <w:t> </w:t>
      </w:r>
      <w:r w:rsidRPr="00A2333E">
        <w:t>weeks by intravenous infusion at a dose of 0.3</w:t>
      </w:r>
      <w:r w:rsidR="00821C8C" w:rsidRPr="00A2333E">
        <w:t> </w:t>
      </w:r>
      <w:r w:rsidRPr="00A2333E">
        <w:t>mg/kg. It has a marketing authorisation in the UK for treating</w:t>
      </w:r>
      <w:r w:rsidR="00550AFB" w:rsidRPr="00A2333E">
        <w:t xml:space="preserve"> ‘hereditary transthyretin-mediated amyloidosis in adult patients with stage</w:t>
      </w:r>
      <w:r w:rsidR="00821C8C" w:rsidRPr="00A2333E">
        <w:t> </w:t>
      </w:r>
      <w:r w:rsidR="00550AFB" w:rsidRPr="00A2333E">
        <w:t>1 or stage</w:t>
      </w:r>
      <w:r w:rsidR="00821C8C" w:rsidRPr="00A2333E">
        <w:t> </w:t>
      </w:r>
      <w:r w:rsidR="00550AFB" w:rsidRPr="00A2333E">
        <w:t>2 polyneuropathy’</w:t>
      </w:r>
      <w:r w:rsidR="0071172D" w:rsidRPr="00A2333E">
        <w:t>.</w:t>
      </w:r>
    </w:p>
    <w:p w14:paraId="0183B591" w14:textId="77777777" w:rsidR="00550AFB" w:rsidRPr="00A2333E" w:rsidRDefault="00550AFB" w:rsidP="00550AFB">
      <w:pPr>
        <w:pStyle w:val="Numberedlevel2text"/>
      </w:pPr>
      <w:r w:rsidRPr="00A2333E">
        <w:t xml:space="preserve">The most common adverse reactions listed in the summary of product characteristics for patisiran include </w:t>
      </w:r>
      <w:r w:rsidR="00EB7EB5" w:rsidRPr="00A2333E">
        <w:t>peripheral oedema, infusion-related reaction</w:t>
      </w:r>
      <w:r w:rsidR="007E36F8" w:rsidRPr="00A2333E">
        <w:t>s</w:t>
      </w:r>
      <w:r w:rsidR="00EB7EB5" w:rsidRPr="00A2333E">
        <w:t>, infections, vertigo, dyspnoea, dyspepsia, erythema, arthralgia and muscle spasms</w:t>
      </w:r>
      <w:r w:rsidRPr="00A2333E">
        <w:t>. For full details of adverse reactions and contraindications, see the summary of product characteristics.</w:t>
      </w:r>
    </w:p>
    <w:p w14:paraId="34D93CF1" w14:textId="77777777" w:rsidR="005D7B12" w:rsidRPr="00A2333E" w:rsidRDefault="00EB7EB5" w:rsidP="0071172D">
      <w:pPr>
        <w:pStyle w:val="Numberedlevel2text"/>
      </w:pPr>
      <w:r w:rsidRPr="00A2333E">
        <w:t>The price of patisiran is £7,676.45 per 10</w:t>
      </w:r>
      <w:r w:rsidR="007040DE" w:rsidRPr="00A2333E">
        <w:noBreakHyphen/>
      </w:r>
      <w:r w:rsidRPr="00A2333E">
        <w:t>mg vial (excluding VAT; company submission).</w:t>
      </w:r>
      <w:r w:rsidR="005D7B12" w:rsidRPr="00A2333E">
        <w:t xml:space="preserve"> </w:t>
      </w:r>
      <w:r w:rsidRPr="00A2333E">
        <w:t>The company has a commercial arrangement.</w:t>
      </w:r>
      <w:r w:rsidR="005D7B12" w:rsidRPr="00A2333E">
        <w:t xml:space="preserve"> This </w:t>
      </w:r>
      <w:r w:rsidR="005D7B12" w:rsidRPr="00A2333E">
        <w:lastRenderedPageBreak/>
        <w:t xml:space="preserve">makes </w:t>
      </w:r>
      <w:r w:rsidRPr="00A2333E">
        <w:t>patisiran</w:t>
      </w:r>
      <w:r w:rsidR="005D7B12" w:rsidRPr="00A2333E">
        <w:t xml:space="preserve"> available to the NHS with a discount. The size of the discount is commercial in confidence. It is the company’s responsibility to let relevant NHS organisations know details of the discount.</w:t>
      </w:r>
    </w:p>
    <w:p w14:paraId="0D03BC0B" w14:textId="77777777" w:rsidR="007D7F83" w:rsidRPr="00A2333E" w:rsidRDefault="007D7F83" w:rsidP="00250438">
      <w:pPr>
        <w:pStyle w:val="Numberedheading1"/>
        <w:numPr>
          <w:ilvl w:val="0"/>
          <w:numId w:val="1"/>
        </w:numPr>
        <w:rPr>
          <w:lang w:val="en-GB"/>
        </w:rPr>
      </w:pPr>
      <w:r w:rsidRPr="00A2333E">
        <w:rPr>
          <w:lang w:val="en-GB"/>
        </w:rPr>
        <w:t>Consideration of the evidence</w:t>
      </w:r>
    </w:p>
    <w:p w14:paraId="6351B82A" w14:textId="77777777" w:rsidR="007D7F83" w:rsidRPr="00A2333E" w:rsidRDefault="00FF1D09" w:rsidP="008A2B03">
      <w:pPr>
        <w:pStyle w:val="NICEnormal"/>
        <w:ind w:left="1134"/>
      </w:pPr>
      <w:r w:rsidRPr="00A2333E">
        <w:t>The evaluation committee (</w:t>
      </w:r>
      <w:r w:rsidR="00250239" w:rsidRPr="00A2333E">
        <w:t xml:space="preserve">see </w:t>
      </w:r>
      <w:r w:rsidRPr="00A2333E">
        <w:t>section</w:t>
      </w:r>
      <w:r w:rsidR="00D223D3" w:rsidRPr="00A2333E">
        <w:t> </w:t>
      </w:r>
      <w:r w:rsidR="00480A24">
        <w:fldChar w:fldCharType="begin"/>
      </w:r>
      <w:r w:rsidR="00480A24">
        <w:instrText xml:space="preserve"> REF _Ref530404669 \n \h  \* MERGEFORMAT </w:instrText>
      </w:r>
      <w:r w:rsidR="00480A24">
        <w:fldChar w:fldCharType="separate"/>
      </w:r>
      <w:r w:rsidR="00023391" w:rsidRPr="00A2333E">
        <w:t>6</w:t>
      </w:r>
      <w:r w:rsidR="00480A24">
        <w:fldChar w:fldCharType="end"/>
      </w:r>
      <w:r w:rsidRPr="00A2333E">
        <w:t xml:space="preserve">) considered evidence submitted by </w:t>
      </w:r>
      <w:r w:rsidR="00671AD6" w:rsidRPr="00A2333E">
        <w:t>Alnylam</w:t>
      </w:r>
      <w:r w:rsidRPr="00A2333E">
        <w:t xml:space="preserve">, the views of people with the condition, those who represent them and clinical experts, </w:t>
      </w:r>
      <w:r w:rsidR="0038285B" w:rsidRPr="00A2333E">
        <w:t xml:space="preserve">NHS England </w:t>
      </w:r>
      <w:r w:rsidRPr="00A2333E">
        <w:t xml:space="preserve">and a review by the evidence review group (ERG). See the </w:t>
      </w:r>
      <w:hyperlink r:id="rId9" w:history="1">
        <w:r w:rsidR="008F40C6" w:rsidRPr="00A2333E">
          <w:rPr>
            <w:rStyle w:val="Hyperlink"/>
          </w:rPr>
          <w:t>committee papers</w:t>
        </w:r>
      </w:hyperlink>
      <w:r w:rsidRPr="00A2333E">
        <w:t xml:space="preserve"> for full details of the evidence. In forming the recommendations, the committee </w:t>
      </w:r>
      <w:proofErr w:type="gramStart"/>
      <w:r w:rsidRPr="00A2333E">
        <w:t>took into account</w:t>
      </w:r>
      <w:proofErr w:type="gramEnd"/>
      <w:r w:rsidRPr="00A2333E">
        <w:t xml:space="preserve"> the full range of factors that might affect its decision, including in particular the nature of the condition, the clinical effectiveness, value for money and the impact beyond direct health benefits.</w:t>
      </w:r>
    </w:p>
    <w:p w14:paraId="5113145D" w14:textId="77777777" w:rsidR="007D7F83" w:rsidRPr="00A2333E" w:rsidRDefault="004C644E" w:rsidP="004625B9">
      <w:pPr>
        <w:pStyle w:val="Heading2"/>
      </w:pPr>
      <w:r w:rsidRPr="00A2333E">
        <w:t>Nature of the condition</w:t>
      </w:r>
    </w:p>
    <w:p w14:paraId="6401018F" w14:textId="77777777" w:rsidR="00E37920" w:rsidRPr="00A2333E" w:rsidRDefault="00E37920" w:rsidP="00E37920">
      <w:pPr>
        <w:pStyle w:val="Heading3"/>
      </w:pPr>
      <w:r w:rsidRPr="00A2333E">
        <w:t>Burden of disease</w:t>
      </w:r>
    </w:p>
    <w:p w14:paraId="15A5B99F" w14:textId="77777777" w:rsidR="00E37920" w:rsidRPr="00A2333E" w:rsidRDefault="00E37920" w:rsidP="00E37920">
      <w:pPr>
        <w:pStyle w:val="Numberedlevel2text"/>
      </w:pPr>
      <w:r w:rsidRPr="00A2333E">
        <w:t>The patient and clinical experts explained the all-consuming nature of hereditary transthyretin (hATTR) amyloidosis. They highlighted that the condition affects all aspects of the lives of patients</w:t>
      </w:r>
      <w:r w:rsidR="000D3166" w:rsidRPr="00A2333E">
        <w:t>,</w:t>
      </w:r>
      <w:r w:rsidRPr="00A2333E">
        <w:t xml:space="preserve"> and their families and carers. </w:t>
      </w:r>
      <w:bookmarkStart w:id="9" w:name="_Hlk9609914"/>
      <w:r w:rsidRPr="00A2333E">
        <w:t xml:space="preserve">It is a multi-system condition, which has a considerable effect on patients’ independence, dignity, </w:t>
      </w:r>
      <w:r w:rsidR="000D3166" w:rsidRPr="00A2333E">
        <w:t xml:space="preserve">and </w:t>
      </w:r>
      <w:r w:rsidRPr="00A2333E">
        <w:t xml:space="preserve">their ability to work, take part in family and social life, and carry out daily activities. They also highlighted that patients need a high level of care as the condition progresses. </w:t>
      </w:r>
      <w:bookmarkEnd w:id="9"/>
      <w:r w:rsidRPr="00A2333E">
        <w:t xml:space="preserve">The clinical experts explained that the clinical signs of hATTR amyloidosis are </w:t>
      </w:r>
      <w:proofErr w:type="gramStart"/>
      <w:r w:rsidRPr="00A2333E">
        <w:t>heterogeneous, and</w:t>
      </w:r>
      <w:proofErr w:type="gramEnd"/>
      <w:r w:rsidRPr="00A2333E">
        <w:t xml:space="preserve"> can be associated with a very wide range of impairments.</w:t>
      </w:r>
    </w:p>
    <w:p w14:paraId="11CEC71B" w14:textId="77777777" w:rsidR="00E37920" w:rsidRPr="00A2333E" w:rsidRDefault="000D3166" w:rsidP="00E37920">
      <w:pPr>
        <w:pStyle w:val="Numberedlevel2text"/>
      </w:pPr>
      <w:bookmarkStart w:id="10" w:name="_Ref531344120"/>
      <w:r w:rsidRPr="00A2333E">
        <w:t xml:space="preserve">The neurological deficit </w:t>
      </w:r>
      <w:r w:rsidR="002D7FE1" w:rsidRPr="00A2333E">
        <w:t xml:space="preserve">associated with hATTR amyloidosis </w:t>
      </w:r>
      <w:r w:rsidRPr="00A2333E">
        <w:t>progresses to the legs and the upper limbs</w:t>
      </w:r>
      <w:r w:rsidR="002D7FE1" w:rsidRPr="00A2333E">
        <w:t xml:space="preserve">. A survey by </w:t>
      </w:r>
      <w:r w:rsidR="00E37920" w:rsidRPr="00A2333E">
        <w:t>Amyloidosis Research Consortium UK collected information on 101</w:t>
      </w:r>
      <w:r w:rsidRPr="00A2333E">
        <w:t> </w:t>
      </w:r>
      <w:r w:rsidR="00E37920" w:rsidRPr="00A2333E">
        <w:t>patients and 51</w:t>
      </w:r>
      <w:r w:rsidRPr="00A2333E">
        <w:t> </w:t>
      </w:r>
      <w:r w:rsidR="00E37920" w:rsidRPr="00A2333E">
        <w:t xml:space="preserve">carers with experience of the condition. It showed that 86% of patients </w:t>
      </w:r>
      <w:r w:rsidR="002D7FE1" w:rsidRPr="00A2333E">
        <w:t xml:space="preserve">have </w:t>
      </w:r>
      <w:r w:rsidR="00E37920" w:rsidRPr="00A2333E">
        <w:t>numbness, tingling or pain in the lower part of their body</w:t>
      </w:r>
      <w:r w:rsidR="002D7FE1" w:rsidRPr="00A2333E">
        <w:t>, and</w:t>
      </w:r>
      <w:r w:rsidRPr="00A2333E">
        <w:t xml:space="preserve"> </w:t>
      </w:r>
      <w:r w:rsidR="00E37920" w:rsidRPr="00A2333E">
        <w:t xml:space="preserve">74% </w:t>
      </w:r>
      <w:r w:rsidR="002D7FE1" w:rsidRPr="00A2333E">
        <w:t xml:space="preserve">have </w:t>
      </w:r>
      <w:r w:rsidR="002D7FE1" w:rsidRPr="00A2333E">
        <w:lastRenderedPageBreak/>
        <w:t xml:space="preserve">muscle weakness and </w:t>
      </w:r>
      <w:r w:rsidR="00E37920" w:rsidRPr="00A2333E">
        <w:t>difficult</w:t>
      </w:r>
      <w:r w:rsidRPr="00A2333E">
        <w:t>y</w:t>
      </w:r>
      <w:r w:rsidR="00E37920" w:rsidRPr="00A2333E">
        <w:t xml:space="preserve"> walk</w:t>
      </w:r>
      <w:r w:rsidRPr="00A2333E">
        <w:t>ing</w:t>
      </w:r>
      <w:r w:rsidR="00E37920" w:rsidRPr="00A2333E">
        <w:t xml:space="preserve"> or climb</w:t>
      </w:r>
      <w:r w:rsidRPr="00A2333E">
        <w:t>ing</w:t>
      </w:r>
      <w:r w:rsidR="00E37920" w:rsidRPr="00A2333E">
        <w:t xml:space="preserve"> stairs. Autonomic symptoms typically include dizziness or fainting, vomiting, severe diarrhoea or constipation or both, and neurogenic bladder</w:t>
      </w:r>
      <w:r w:rsidR="00A958F6" w:rsidRPr="00A2333E">
        <w:t xml:space="preserve"> (lack of bladder control)</w:t>
      </w:r>
      <w:r w:rsidR="00E37920" w:rsidRPr="00A2333E">
        <w:t xml:space="preserve">; 38% of patients </w:t>
      </w:r>
      <w:r w:rsidR="002D7FE1" w:rsidRPr="00A2333E">
        <w:t xml:space="preserve">in the survey </w:t>
      </w:r>
      <w:r w:rsidR="00E37920" w:rsidRPr="00A2333E">
        <w:t xml:space="preserve">reported </w:t>
      </w:r>
      <w:r w:rsidR="002D7FE1" w:rsidRPr="00A2333E">
        <w:t>having</w:t>
      </w:r>
      <w:r w:rsidR="00E37920" w:rsidRPr="00A2333E">
        <w:t xml:space="preserve"> faecal or urinary incontinence</w:t>
      </w:r>
      <w:r w:rsidR="002D7FE1" w:rsidRPr="00A2333E">
        <w:t xml:space="preserve"> that</w:t>
      </w:r>
      <w:r w:rsidR="00E37920" w:rsidRPr="00A2333E">
        <w:t xml:space="preserve"> considerably impairs their quality of life. </w:t>
      </w:r>
      <w:r w:rsidR="00AA4853" w:rsidRPr="00A2333E">
        <w:t>Symptoms</w:t>
      </w:r>
      <w:r w:rsidR="00E37920" w:rsidRPr="00A2333E">
        <w:t xml:space="preserve"> </w:t>
      </w:r>
      <w:r w:rsidR="00D263B8" w:rsidRPr="00A2333E">
        <w:t>may</w:t>
      </w:r>
      <w:r w:rsidR="00AA4853" w:rsidRPr="00A2333E">
        <w:t xml:space="preserve"> severely affect </w:t>
      </w:r>
      <w:r w:rsidR="00135AF0" w:rsidRPr="00A2333E">
        <w:t>patient</w:t>
      </w:r>
      <w:r w:rsidR="007B7EC1" w:rsidRPr="00A2333E">
        <w:t>s’</w:t>
      </w:r>
      <w:r w:rsidR="00135AF0" w:rsidRPr="00A2333E">
        <w:t xml:space="preserve"> </w:t>
      </w:r>
      <w:r w:rsidR="00AA4853" w:rsidRPr="00A2333E">
        <w:t xml:space="preserve">professional and social life. </w:t>
      </w:r>
      <w:r w:rsidR="007B7EC1" w:rsidRPr="00A2333E">
        <w:t xml:space="preserve">The patient experts explained that members of the same family may have the condition. </w:t>
      </w:r>
      <w:r w:rsidR="00E37920" w:rsidRPr="00A2333E">
        <w:t xml:space="preserve">Patients have often been carers for their </w:t>
      </w:r>
      <w:r w:rsidR="002D7FE1" w:rsidRPr="00A2333E">
        <w:t xml:space="preserve">parents, </w:t>
      </w:r>
      <w:r w:rsidR="00E37920" w:rsidRPr="00A2333E">
        <w:t xml:space="preserve">and they may also be concerned about their children developing the </w:t>
      </w:r>
      <w:r w:rsidR="002D7FE1" w:rsidRPr="00A2333E">
        <w:t xml:space="preserve">condition </w:t>
      </w:r>
      <w:r w:rsidR="00E37920" w:rsidRPr="00A2333E">
        <w:t>in the future.</w:t>
      </w:r>
      <w:bookmarkEnd w:id="10"/>
    </w:p>
    <w:p w14:paraId="44B90F14" w14:textId="77777777" w:rsidR="00E37920" w:rsidRPr="00A2333E" w:rsidRDefault="00E37920" w:rsidP="00E37920">
      <w:pPr>
        <w:pStyle w:val="Numberedlevel2text"/>
      </w:pPr>
      <w:r w:rsidRPr="00A2333E">
        <w:t xml:space="preserve">The condition places a significant burden on family members because they provide physical and emotional care to patients while experiencing a considerable emotional burden of their own. Carers of </w:t>
      </w:r>
      <w:r w:rsidR="002D7FE1" w:rsidRPr="00A2333E">
        <w:t>people with</w:t>
      </w:r>
      <w:r w:rsidR="00A14733" w:rsidRPr="00A2333E">
        <w:t xml:space="preserve"> </w:t>
      </w:r>
      <w:r w:rsidRPr="00A2333E">
        <w:t>hATTR amyloidosis reported that dealing with gastrointestinal problems (especially diarrhoea), patients’ mental functioning and the combination of symptoms is particularly difficult. The committee concluded that hATTR amyloidosis is a rare, serious and debilitating condition that severely affects the lives of patients, families and carers.</w:t>
      </w:r>
    </w:p>
    <w:p w14:paraId="0A845BEB" w14:textId="77777777" w:rsidR="00E37920" w:rsidRPr="00A2333E" w:rsidRDefault="00E37920" w:rsidP="00E37920">
      <w:pPr>
        <w:pStyle w:val="Heading3"/>
      </w:pPr>
      <w:r w:rsidRPr="00A2333E">
        <w:t>Unmet need</w:t>
      </w:r>
    </w:p>
    <w:p w14:paraId="12C6FE32" w14:textId="77777777" w:rsidR="00E37920" w:rsidRPr="00A2333E" w:rsidRDefault="00E37920" w:rsidP="00E37920">
      <w:pPr>
        <w:pStyle w:val="Numberedlevel2text"/>
        <w:rPr>
          <w:b/>
          <w:i/>
        </w:rPr>
      </w:pPr>
      <w:r w:rsidRPr="00A2333E">
        <w:t>The clinical experts explained that hATTR amyloidosis is a progressive and relentless condition</w:t>
      </w:r>
      <w:r w:rsidR="008A2B03" w:rsidRPr="00A2333E">
        <w:t xml:space="preserve"> </w:t>
      </w:r>
      <w:r w:rsidRPr="00A2333E">
        <w:t>and</w:t>
      </w:r>
      <w:r w:rsidR="00C70F0A">
        <w:t>,</w:t>
      </w:r>
      <w:r w:rsidRPr="00A2333E">
        <w:t xml:space="preserve"> </w:t>
      </w:r>
      <w:r w:rsidR="000C4D5C" w:rsidRPr="00A2333E">
        <w:t xml:space="preserve">at the time of the evaluation, </w:t>
      </w:r>
      <w:r w:rsidRPr="00A2333E">
        <w:t xml:space="preserve">no treatments </w:t>
      </w:r>
      <w:r w:rsidR="000C4D5C" w:rsidRPr="00A2333E">
        <w:t xml:space="preserve">were </w:t>
      </w:r>
      <w:r w:rsidRPr="00A2333E">
        <w:t xml:space="preserve">available to treat the underlying cause. </w:t>
      </w:r>
      <w:bookmarkStart w:id="11" w:name="_Hlk11313558"/>
      <w:r w:rsidRPr="00A2333E">
        <w:t>The condition is usually not diagnosed</w:t>
      </w:r>
      <w:r w:rsidR="002D7FE1" w:rsidRPr="00A2333E">
        <w:t xml:space="preserve"> immediately</w:t>
      </w:r>
      <w:r w:rsidR="00A958F6" w:rsidRPr="00A2333E">
        <w:t xml:space="preserve"> </w:t>
      </w:r>
      <w:r w:rsidR="00C70F0A">
        <w:t>because</w:t>
      </w:r>
      <w:r w:rsidR="00C70F0A" w:rsidRPr="00A2333E">
        <w:t xml:space="preserve"> </w:t>
      </w:r>
      <w:r w:rsidR="00A958F6" w:rsidRPr="00A2333E">
        <w:t>different symptoms may appear at different times for each individual</w:t>
      </w:r>
      <w:r w:rsidR="002D7FE1" w:rsidRPr="00A2333E">
        <w:t>;</w:t>
      </w:r>
      <w:r w:rsidRPr="00A2333E">
        <w:t xml:space="preserve"> a delay of 4</w:t>
      </w:r>
      <w:r w:rsidR="002D7FE1" w:rsidRPr="00A2333E">
        <w:t> </w:t>
      </w:r>
      <w:r w:rsidRPr="00A2333E">
        <w:t>years from</w:t>
      </w:r>
      <w:r w:rsidR="002D7FE1" w:rsidRPr="00A2333E">
        <w:t xml:space="preserve"> the</w:t>
      </w:r>
      <w:r w:rsidRPr="00A2333E">
        <w:t xml:space="preserve"> first symptoms appearing to getting a diagnosis</w:t>
      </w:r>
      <w:r w:rsidR="00135AF0" w:rsidRPr="00A2333E">
        <w:t xml:space="preserve"> is typical</w:t>
      </w:r>
      <w:r w:rsidRPr="00A2333E">
        <w:t>. As a result, at the time of diagnosis</w:t>
      </w:r>
      <w:r w:rsidR="002D7FE1" w:rsidRPr="00A2333E">
        <w:t>,</w:t>
      </w:r>
      <w:r w:rsidRPr="00A2333E">
        <w:t xml:space="preserve"> the </w:t>
      </w:r>
      <w:r w:rsidR="002D7FE1" w:rsidRPr="00A2333E">
        <w:t xml:space="preserve">condition </w:t>
      </w:r>
      <w:r w:rsidRPr="00A2333E">
        <w:t>is likely to be advanced and the survival rate poor.</w:t>
      </w:r>
      <w:bookmarkEnd w:id="11"/>
      <w:r w:rsidRPr="00A2333E">
        <w:t xml:space="preserve"> Patient experts also explained that they have mixed experiences of disease management approaches</w:t>
      </w:r>
      <w:r w:rsidR="002D7FE1" w:rsidRPr="00A2333E">
        <w:t>,</w:t>
      </w:r>
      <w:r w:rsidRPr="00A2333E">
        <w:t xml:space="preserve"> and </w:t>
      </w:r>
      <w:r w:rsidR="002D7FE1" w:rsidRPr="00A2333E">
        <w:t xml:space="preserve">that </w:t>
      </w:r>
      <w:r w:rsidRPr="00A2333E">
        <w:t xml:space="preserve">new treatments offer </w:t>
      </w:r>
      <w:r w:rsidR="0085143F" w:rsidRPr="00A2333E">
        <w:t xml:space="preserve">considerable </w:t>
      </w:r>
      <w:r w:rsidRPr="00A2333E">
        <w:t>hope to them and to their families. Patients and carers value efficacy, convenience and a low risk of side-effects</w:t>
      </w:r>
      <w:r w:rsidR="0085143F" w:rsidRPr="00A2333E">
        <w:t xml:space="preserve">. </w:t>
      </w:r>
      <w:r w:rsidRPr="00A2333E">
        <w:t xml:space="preserve">The clinical experts also expected that better communication and predictive testing would help to diagnose </w:t>
      </w:r>
      <w:r w:rsidR="0085143F" w:rsidRPr="00A2333E">
        <w:t xml:space="preserve">the condition </w:t>
      </w:r>
      <w:r w:rsidRPr="00A2333E">
        <w:t xml:space="preserve">earlier. Patients might be </w:t>
      </w:r>
      <w:r w:rsidRPr="00A2333E">
        <w:lastRenderedPageBreak/>
        <w:t xml:space="preserve">able to fully recover if a disease-modifying treatment </w:t>
      </w:r>
      <w:r w:rsidR="0085143F" w:rsidRPr="00A2333E">
        <w:t xml:space="preserve">was </w:t>
      </w:r>
      <w:r w:rsidRPr="00A2333E">
        <w:t>available. The committee recognised that there is a significant unmet need for effective treatment options for hATTR amyloidosis.</w:t>
      </w:r>
    </w:p>
    <w:p w14:paraId="77128400" w14:textId="77777777" w:rsidR="007D7F83" w:rsidRPr="00A2333E" w:rsidRDefault="004C644E" w:rsidP="00E37920">
      <w:pPr>
        <w:pStyle w:val="Heading2"/>
      </w:pPr>
      <w:r w:rsidRPr="00A2333E">
        <w:t>Impact of the new technology</w:t>
      </w:r>
    </w:p>
    <w:p w14:paraId="1C5EEAEA" w14:textId="77777777" w:rsidR="0024054F" w:rsidRPr="00A2333E" w:rsidRDefault="0024054F" w:rsidP="0024054F">
      <w:pPr>
        <w:pStyle w:val="Heading3"/>
      </w:pPr>
      <w:r w:rsidRPr="00A2333E">
        <w:t>Clinical evidence</w:t>
      </w:r>
    </w:p>
    <w:p w14:paraId="0066D0AE" w14:textId="77777777" w:rsidR="00D51637" w:rsidRPr="00A2333E" w:rsidRDefault="0024054F" w:rsidP="00E8716A">
      <w:pPr>
        <w:pStyle w:val="Numberedlevel2text"/>
      </w:pPr>
      <w:bookmarkStart w:id="12" w:name="_Ref530134634"/>
      <w:r w:rsidRPr="00A2333E">
        <w:t xml:space="preserve">The committee discussed the clinical evidence </w:t>
      </w:r>
      <w:r w:rsidR="00FB388E" w:rsidRPr="00A2333E">
        <w:t>available for patisiran:</w:t>
      </w:r>
      <w:bookmarkEnd w:id="12"/>
    </w:p>
    <w:p w14:paraId="03604322" w14:textId="77777777" w:rsidR="005C12DE" w:rsidRPr="00A2333E" w:rsidRDefault="0096534C" w:rsidP="00BA453A">
      <w:pPr>
        <w:pStyle w:val="Bulletindent1"/>
      </w:pPr>
      <w:r w:rsidRPr="00A2333E">
        <w:t>APOLLO (n=225)</w:t>
      </w:r>
      <w:r w:rsidR="000B6DB0" w:rsidRPr="00A2333E">
        <w:t>,</w:t>
      </w:r>
      <w:r w:rsidR="0024054F" w:rsidRPr="00A2333E">
        <w:t xml:space="preserve"> a randomised controlled trial that assessed </w:t>
      </w:r>
      <w:r w:rsidR="00E64D36" w:rsidRPr="00A2333E">
        <w:t xml:space="preserve">the </w:t>
      </w:r>
      <w:r w:rsidR="0024054F" w:rsidRPr="00A2333E">
        <w:t xml:space="preserve">efficacy and safety of patisiran (n=148) compared </w:t>
      </w:r>
      <w:r w:rsidR="00E64D36" w:rsidRPr="00A2333E">
        <w:t xml:space="preserve">with </w:t>
      </w:r>
      <w:r w:rsidR="0024054F" w:rsidRPr="00A2333E">
        <w:t>plac</w:t>
      </w:r>
      <w:r w:rsidR="000B6DB0" w:rsidRPr="00A2333E">
        <w:t>ebo (n=77) over 18 </w:t>
      </w:r>
      <w:r w:rsidR="0024054F" w:rsidRPr="00A2333E">
        <w:t>months.</w:t>
      </w:r>
      <w:r w:rsidR="00302B8E" w:rsidRPr="00A2333E">
        <w:t xml:space="preserve"> </w:t>
      </w:r>
      <w:r w:rsidR="00710208" w:rsidRPr="00A2333E">
        <w:t>Results were reported overall and by s</w:t>
      </w:r>
      <w:r w:rsidR="009C6BA0" w:rsidRPr="00A2333E">
        <w:t xml:space="preserve">ubgroups </w:t>
      </w:r>
      <w:r w:rsidR="00710208" w:rsidRPr="00A2333E">
        <w:t>(including cardiac</w:t>
      </w:r>
      <w:r w:rsidR="00FB388E" w:rsidRPr="00A2333E">
        <w:t xml:space="preserve"> involvement</w:t>
      </w:r>
      <w:r w:rsidR="00710208" w:rsidRPr="00A2333E">
        <w:t xml:space="preserve"> and genotype).</w:t>
      </w:r>
    </w:p>
    <w:p w14:paraId="1EFC315E" w14:textId="77777777" w:rsidR="00D51637" w:rsidRPr="00A2333E" w:rsidRDefault="00FB388E" w:rsidP="00BA453A">
      <w:pPr>
        <w:pStyle w:val="Bulletindent1"/>
      </w:pPr>
      <w:r w:rsidRPr="00A2333E">
        <w:t xml:space="preserve">A single-arm </w:t>
      </w:r>
      <w:r w:rsidR="00E64D36" w:rsidRPr="00A2333E">
        <w:t>phase </w:t>
      </w:r>
      <w:r w:rsidR="00D51637" w:rsidRPr="00A2333E">
        <w:t xml:space="preserve">2 open-label extension (OLE) study (n=27) that assessed </w:t>
      </w:r>
      <w:r w:rsidRPr="00A2333E">
        <w:t xml:space="preserve">the </w:t>
      </w:r>
      <w:r w:rsidR="008157A7" w:rsidRPr="00A2333E">
        <w:t>safety and tolerability</w:t>
      </w:r>
      <w:r w:rsidR="00D51637" w:rsidRPr="00A2333E">
        <w:t xml:space="preserve"> </w:t>
      </w:r>
      <w:r w:rsidR="008157A7" w:rsidRPr="00A2333E">
        <w:t>of patisiran</w:t>
      </w:r>
      <w:r w:rsidR="00D51637" w:rsidRPr="00A2333E">
        <w:t xml:space="preserve"> for up to </w:t>
      </w:r>
      <w:r w:rsidR="008157A7" w:rsidRPr="00A2333E">
        <w:t>36</w:t>
      </w:r>
      <w:r w:rsidR="00D51637" w:rsidRPr="00A2333E">
        <w:t xml:space="preserve"> months. It captured data about patients who enrolled in a previous </w:t>
      </w:r>
      <w:r w:rsidR="00E64D36" w:rsidRPr="00A2333E">
        <w:t>phase </w:t>
      </w:r>
      <w:r w:rsidR="00D51637" w:rsidRPr="00A2333E">
        <w:t>2 open-label dose escalation study</w:t>
      </w:r>
      <w:r w:rsidR="00377530" w:rsidRPr="00A2333E">
        <w:t>.</w:t>
      </w:r>
    </w:p>
    <w:p w14:paraId="4BFEA5F8" w14:textId="77777777" w:rsidR="00875B68" w:rsidRPr="00A2333E" w:rsidRDefault="00862A30" w:rsidP="00E22329">
      <w:pPr>
        <w:pStyle w:val="Bulletindent1last"/>
      </w:pPr>
      <w:r w:rsidRPr="00A2333E">
        <w:t>Global</w:t>
      </w:r>
      <w:r w:rsidR="00D51637" w:rsidRPr="00A2333E">
        <w:t xml:space="preserve"> OLE </w:t>
      </w:r>
      <w:r w:rsidR="008157A7" w:rsidRPr="00A2333E">
        <w:t>(n=211)</w:t>
      </w:r>
      <w:r w:rsidR="00A76873" w:rsidRPr="00A2333E">
        <w:t>,</w:t>
      </w:r>
      <w:r w:rsidR="00D51637" w:rsidRPr="00A2333E">
        <w:t xml:space="preserve"> a</w:t>
      </w:r>
      <w:r w:rsidR="008157A7" w:rsidRPr="00A2333E">
        <w:t>n ongoing</w:t>
      </w:r>
      <w:r w:rsidR="00D51637" w:rsidRPr="00A2333E">
        <w:t xml:space="preserve"> single-arm open-label study assess</w:t>
      </w:r>
      <w:r w:rsidR="00FB388E" w:rsidRPr="00A2333E">
        <w:t>ing</w:t>
      </w:r>
      <w:r w:rsidR="00D51637" w:rsidRPr="00A2333E">
        <w:t xml:space="preserve"> </w:t>
      </w:r>
      <w:r w:rsidR="00E64D36" w:rsidRPr="00A2333E">
        <w:t xml:space="preserve">the </w:t>
      </w:r>
      <w:r w:rsidR="00D51637" w:rsidRPr="00A2333E">
        <w:t>long-term efficacy and safety of</w:t>
      </w:r>
      <w:r w:rsidR="00E8716A" w:rsidRPr="00A2333E">
        <w:t xml:space="preserve"> patisiran for up to 48</w:t>
      </w:r>
      <w:r w:rsidR="00E64D36" w:rsidRPr="00A2333E">
        <w:t> </w:t>
      </w:r>
      <w:r w:rsidR="00E8716A" w:rsidRPr="00A2333E">
        <w:t>months</w:t>
      </w:r>
      <w:r w:rsidRPr="00A2333E">
        <w:t>.</w:t>
      </w:r>
      <w:r w:rsidR="00E8716A" w:rsidRPr="00A2333E">
        <w:t xml:space="preserve"> It </w:t>
      </w:r>
      <w:r w:rsidR="00E64D36" w:rsidRPr="00A2333E">
        <w:t xml:space="preserve">is capturing </w:t>
      </w:r>
      <w:r w:rsidR="00E8716A" w:rsidRPr="00A2333E">
        <w:t xml:space="preserve">data </w:t>
      </w:r>
      <w:r w:rsidRPr="00A2333E">
        <w:t xml:space="preserve">on patients from </w:t>
      </w:r>
      <w:r w:rsidR="00E8716A" w:rsidRPr="00A2333E">
        <w:t xml:space="preserve">APOLLO (n=186) and </w:t>
      </w:r>
      <w:r w:rsidR="00FB388E" w:rsidRPr="00A2333E">
        <w:t xml:space="preserve">the </w:t>
      </w:r>
      <w:r w:rsidR="00E64D36" w:rsidRPr="00A2333E">
        <w:t>phase </w:t>
      </w:r>
      <w:r w:rsidR="00E8716A" w:rsidRPr="00A2333E">
        <w:t>2 OLE (n=25)</w:t>
      </w:r>
      <w:r w:rsidR="00A76873" w:rsidRPr="00A2333E">
        <w:t>, and</w:t>
      </w:r>
      <w:r w:rsidR="00E64D36" w:rsidRPr="00A2333E">
        <w:t xml:space="preserve"> is estimated </w:t>
      </w:r>
      <w:r w:rsidR="00D5176E" w:rsidRPr="00A2333E">
        <w:t>to</w:t>
      </w:r>
      <w:r w:rsidR="008157A7" w:rsidRPr="00A2333E">
        <w:t xml:space="preserve"> complete in Jul</w:t>
      </w:r>
      <w:r w:rsidR="00875B68" w:rsidRPr="00A2333E">
        <w:t>y 2019.</w:t>
      </w:r>
      <w:r w:rsidR="005D7A21" w:rsidRPr="00A2333E">
        <w:br/>
      </w:r>
      <w:r w:rsidR="005D7A21" w:rsidRPr="00A2333E">
        <w:br/>
      </w:r>
      <w:r w:rsidR="00AB42A6" w:rsidRPr="00A2333E">
        <w:t xml:space="preserve">The committee noted that APOLLO and </w:t>
      </w:r>
      <w:r w:rsidR="000E398D" w:rsidRPr="00A2333E">
        <w:t>Global</w:t>
      </w:r>
      <w:r w:rsidR="00AB42A6" w:rsidRPr="00A2333E">
        <w:t xml:space="preserve"> OLE included people from the UK</w:t>
      </w:r>
      <w:r w:rsidR="00E64D36" w:rsidRPr="00A2333E">
        <w:t>,</w:t>
      </w:r>
      <w:r w:rsidR="000E398D" w:rsidRPr="00A2333E">
        <w:t xml:space="preserve"> and </w:t>
      </w:r>
      <w:r w:rsidR="00FF7F23" w:rsidRPr="00A2333E">
        <w:t>that</w:t>
      </w:r>
      <w:r w:rsidR="00AB42A6" w:rsidRPr="00A2333E">
        <w:t xml:space="preserve"> the </w:t>
      </w:r>
      <w:r w:rsidR="002121D0" w:rsidRPr="00A2333E">
        <w:t xml:space="preserve">most common </w:t>
      </w:r>
      <w:r w:rsidR="000E398D" w:rsidRPr="00A2333E">
        <w:t xml:space="preserve">mutations seen in </w:t>
      </w:r>
      <w:r w:rsidR="00943983" w:rsidRPr="00A2333E">
        <w:t xml:space="preserve">UK </w:t>
      </w:r>
      <w:r w:rsidR="000E398D" w:rsidRPr="00A2333E">
        <w:t>clinical practice</w:t>
      </w:r>
      <w:r w:rsidR="00FF7F23" w:rsidRPr="00A2333E">
        <w:t xml:space="preserve"> were represented in the trials</w:t>
      </w:r>
      <w:r w:rsidR="000E398D" w:rsidRPr="00A2333E">
        <w:t xml:space="preserve"> (see section</w:t>
      </w:r>
      <w:r w:rsidR="00E64D36" w:rsidRPr="00A2333E">
        <w:t> </w:t>
      </w:r>
      <w:r w:rsidR="00D40A12" w:rsidRPr="00A2333E">
        <w:fldChar w:fldCharType="begin"/>
      </w:r>
      <w:r w:rsidR="00135AF0" w:rsidRPr="00A2333E">
        <w:instrText xml:space="preserve"> REF _Ref4056661 \n \h </w:instrText>
      </w:r>
      <w:r w:rsidR="00D40A12" w:rsidRPr="00A2333E">
        <w:fldChar w:fldCharType="separate"/>
      </w:r>
      <w:r w:rsidR="00135AF0" w:rsidRPr="00A2333E">
        <w:t>2.2</w:t>
      </w:r>
      <w:r w:rsidR="00D40A12" w:rsidRPr="00A2333E">
        <w:fldChar w:fldCharType="end"/>
      </w:r>
      <w:r w:rsidR="000E398D" w:rsidRPr="00A2333E">
        <w:t>)</w:t>
      </w:r>
      <w:r w:rsidR="00AB42A6" w:rsidRPr="00A2333E">
        <w:t xml:space="preserve">. It also noted the view of the clinical experts that the trials were generalisable </w:t>
      </w:r>
      <w:bookmarkStart w:id="13" w:name="_Hlk9949327"/>
      <w:r w:rsidR="00AB42A6" w:rsidRPr="00A2333E">
        <w:t xml:space="preserve">to clinical practice in </w:t>
      </w:r>
      <w:bookmarkEnd w:id="13"/>
      <w:r w:rsidR="00B81377" w:rsidRPr="00A2333E">
        <w:t>the UK</w:t>
      </w:r>
      <w:r w:rsidR="00AB42A6" w:rsidRPr="00A2333E">
        <w:t xml:space="preserve">. </w:t>
      </w:r>
      <w:r w:rsidR="00875B68" w:rsidRPr="00A2333E">
        <w:t>The ERG explained that</w:t>
      </w:r>
      <w:r w:rsidR="009402F1" w:rsidRPr="00A2333E">
        <w:t>,</w:t>
      </w:r>
      <w:r w:rsidR="00875B68" w:rsidRPr="00A2333E">
        <w:t xml:space="preserve"> in APOLLO, there was an unexpected imbalance in dropouts between groups</w:t>
      </w:r>
      <w:r w:rsidR="009402F1" w:rsidRPr="00A2333E">
        <w:t xml:space="preserve">; </w:t>
      </w:r>
      <w:r w:rsidR="00875B68" w:rsidRPr="00A2333E">
        <w:t xml:space="preserve">a larger proportion of patients </w:t>
      </w:r>
      <w:r w:rsidR="000E398D" w:rsidRPr="00A2333E">
        <w:t>in</w:t>
      </w:r>
      <w:r w:rsidR="00875B68" w:rsidRPr="00A2333E">
        <w:t xml:space="preserve"> </w:t>
      </w:r>
      <w:r w:rsidR="00AB487B" w:rsidRPr="00A2333E">
        <w:t xml:space="preserve">the </w:t>
      </w:r>
      <w:r w:rsidR="00875B68" w:rsidRPr="00A2333E">
        <w:t xml:space="preserve">placebo </w:t>
      </w:r>
      <w:r w:rsidR="000E398D" w:rsidRPr="00A2333E">
        <w:t xml:space="preserve">arm </w:t>
      </w:r>
      <w:r w:rsidR="009402F1" w:rsidRPr="00A2333E">
        <w:t>stopped</w:t>
      </w:r>
      <w:r w:rsidR="000E398D" w:rsidRPr="00A2333E">
        <w:t xml:space="preserve"> treatment</w:t>
      </w:r>
      <w:r w:rsidR="00D7120A" w:rsidRPr="00A2333E">
        <w:t xml:space="preserve"> (38%)</w:t>
      </w:r>
      <w:r w:rsidR="000E398D" w:rsidRPr="00A2333E">
        <w:t xml:space="preserve"> </w:t>
      </w:r>
      <w:r w:rsidR="00875B68" w:rsidRPr="00A2333E">
        <w:t xml:space="preserve">compared </w:t>
      </w:r>
      <w:r w:rsidR="009402F1" w:rsidRPr="00A2333E">
        <w:t xml:space="preserve">with </w:t>
      </w:r>
      <w:r w:rsidR="00875B68" w:rsidRPr="00A2333E">
        <w:t xml:space="preserve">patients </w:t>
      </w:r>
      <w:r w:rsidR="000E398D" w:rsidRPr="00A2333E">
        <w:t xml:space="preserve">in </w:t>
      </w:r>
      <w:r w:rsidR="00AB487B" w:rsidRPr="00A2333E">
        <w:t xml:space="preserve">the </w:t>
      </w:r>
      <w:r w:rsidR="00875B68" w:rsidRPr="00A2333E">
        <w:t xml:space="preserve">patisiran </w:t>
      </w:r>
      <w:r w:rsidR="000E398D" w:rsidRPr="00A2333E">
        <w:t xml:space="preserve">arm </w:t>
      </w:r>
      <w:r w:rsidR="00875B68" w:rsidRPr="00A2333E">
        <w:t xml:space="preserve">(7%). </w:t>
      </w:r>
      <w:r w:rsidR="000B6DB0" w:rsidRPr="00A2333E">
        <w:t xml:space="preserve">The clinical experts explained that they would expect the </w:t>
      </w:r>
      <w:r w:rsidR="009402F1" w:rsidRPr="00A2333E">
        <w:t xml:space="preserve">stopping </w:t>
      </w:r>
      <w:r w:rsidR="000B6DB0" w:rsidRPr="00A2333E">
        <w:t xml:space="preserve">rate to be higher in the placebo arm compared </w:t>
      </w:r>
      <w:r w:rsidR="009402F1" w:rsidRPr="00A2333E">
        <w:t xml:space="preserve">with </w:t>
      </w:r>
      <w:r w:rsidR="000B6DB0" w:rsidRPr="00A2333E">
        <w:t xml:space="preserve">the patisiran arm because adverse events </w:t>
      </w:r>
      <w:r w:rsidR="00AB487B" w:rsidRPr="00A2333E">
        <w:t>linked to</w:t>
      </w:r>
      <w:r w:rsidR="009402F1" w:rsidRPr="00A2333E">
        <w:t xml:space="preserve"> disease</w:t>
      </w:r>
      <w:r w:rsidR="00943983" w:rsidRPr="00A2333E">
        <w:t xml:space="preserve"> </w:t>
      </w:r>
      <w:r w:rsidR="000B6DB0" w:rsidRPr="00A2333E">
        <w:t xml:space="preserve">progression </w:t>
      </w:r>
      <w:r w:rsidR="009402F1" w:rsidRPr="00A2333E">
        <w:t>would be</w:t>
      </w:r>
      <w:r w:rsidR="000B6DB0" w:rsidRPr="00A2333E">
        <w:t xml:space="preserve"> expected to be more frequent. </w:t>
      </w:r>
      <w:r w:rsidR="000B6DB0" w:rsidRPr="00A2333E">
        <w:lastRenderedPageBreak/>
        <w:t>The ERG</w:t>
      </w:r>
      <w:r w:rsidR="00875B68" w:rsidRPr="00A2333E">
        <w:t xml:space="preserve"> also noted that a greater proportion of patients </w:t>
      </w:r>
      <w:r w:rsidR="00943983" w:rsidRPr="00A2333E">
        <w:t>had</w:t>
      </w:r>
      <w:r w:rsidR="000E398D" w:rsidRPr="00A2333E">
        <w:t xml:space="preserve"> cardiac involvement </w:t>
      </w:r>
      <w:r w:rsidR="00875B68" w:rsidRPr="00A2333E">
        <w:t xml:space="preserve">in the patisiran </w:t>
      </w:r>
      <w:r w:rsidR="000E398D" w:rsidRPr="00A2333E">
        <w:t>arm</w:t>
      </w:r>
      <w:r w:rsidR="00875B68" w:rsidRPr="00A2333E">
        <w:t xml:space="preserve"> (6</w:t>
      </w:r>
      <w:r w:rsidR="00D7120A" w:rsidRPr="00A2333E">
        <w:t>1</w:t>
      </w:r>
      <w:r w:rsidR="00875B68" w:rsidRPr="00A2333E">
        <w:t xml:space="preserve">%) than the placebo </w:t>
      </w:r>
      <w:r w:rsidR="000E398D" w:rsidRPr="00A2333E">
        <w:t>arm</w:t>
      </w:r>
      <w:r w:rsidR="00875B68" w:rsidRPr="00A2333E">
        <w:t xml:space="preserve"> (4</w:t>
      </w:r>
      <w:r w:rsidR="00D7120A" w:rsidRPr="00A2333E">
        <w:t>7</w:t>
      </w:r>
      <w:r w:rsidR="00875B68" w:rsidRPr="00A2333E">
        <w:t xml:space="preserve">%). </w:t>
      </w:r>
      <w:r w:rsidR="00617395" w:rsidRPr="00A2333E">
        <w:t xml:space="preserve">The company </w:t>
      </w:r>
      <w:r w:rsidR="001B5105" w:rsidRPr="00A2333E">
        <w:t>highlighted</w:t>
      </w:r>
      <w:r w:rsidR="00617395" w:rsidRPr="00A2333E">
        <w:t xml:space="preserve"> that th</w:t>
      </w:r>
      <w:r w:rsidR="00943983" w:rsidRPr="00A2333E">
        <w:t>is</w:t>
      </w:r>
      <w:r w:rsidR="00617395" w:rsidRPr="00A2333E">
        <w:t xml:space="preserve"> would potentially </w:t>
      </w:r>
      <w:r w:rsidR="00D5176E" w:rsidRPr="00A2333E">
        <w:t xml:space="preserve">have </w:t>
      </w:r>
      <w:r w:rsidR="00617395" w:rsidRPr="00A2333E">
        <w:t>bias</w:t>
      </w:r>
      <w:r w:rsidR="00D5176E" w:rsidRPr="00A2333E">
        <w:t>ed</w:t>
      </w:r>
      <w:r w:rsidR="00617395" w:rsidRPr="00A2333E">
        <w:t xml:space="preserve"> the results against patisiran. </w:t>
      </w:r>
      <w:r w:rsidR="006F20D9" w:rsidRPr="00A2333E">
        <w:t xml:space="preserve">The committee concluded that </w:t>
      </w:r>
      <w:r w:rsidR="006D5E1E" w:rsidRPr="00A2333E">
        <w:t>the clinical</w:t>
      </w:r>
      <w:r w:rsidR="006F20D9" w:rsidRPr="00A2333E">
        <w:t xml:space="preserve"> </w:t>
      </w:r>
      <w:r w:rsidR="00FB137D" w:rsidRPr="00A2333E">
        <w:t xml:space="preserve">evidence was </w:t>
      </w:r>
      <w:r w:rsidR="002121D0" w:rsidRPr="00A2333E">
        <w:t xml:space="preserve">broadly </w:t>
      </w:r>
      <w:r w:rsidR="00FB137D" w:rsidRPr="00A2333E">
        <w:t xml:space="preserve">generalisable to </w:t>
      </w:r>
      <w:r w:rsidR="00D7120A" w:rsidRPr="00A2333E">
        <w:t>NHS</w:t>
      </w:r>
      <w:r w:rsidR="00FB137D" w:rsidRPr="00A2333E">
        <w:t xml:space="preserve"> clinical practice</w:t>
      </w:r>
      <w:r w:rsidR="006F20D9" w:rsidRPr="00A2333E">
        <w:t>.</w:t>
      </w:r>
    </w:p>
    <w:p w14:paraId="0332054F" w14:textId="77777777" w:rsidR="00D51637" w:rsidRPr="00A2333E" w:rsidRDefault="006F20D9" w:rsidP="00D51637">
      <w:pPr>
        <w:pStyle w:val="Heading3"/>
      </w:pPr>
      <w:r w:rsidRPr="00A2333E">
        <w:t>Study outcomes</w:t>
      </w:r>
    </w:p>
    <w:p w14:paraId="31025A34" w14:textId="77777777" w:rsidR="006F20D9" w:rsidRPr="00A2333E" w:rsidRDefault="00377530" w:rsidP="00646875">
      <w:pPr>
        <w:pStyle w:val="Numberedlevel2text"/>
      </w:pPr>
      <w:bookmarkStart w:id="14" w:name="_Ref530133552"/>
      <w:r w:rsidRPr="00A2333E">
        <w:rPr>
          <w:szCs w:val="23"/>
        </w:rPr>
        <w:t>The committee was aware that</w:t>
      </w:r>
      <w:r w:rsidR="0096534C" w:rsidRPr="00A2333E">
        <w:rPr>
          <w:szCs w:val="23"/>
        </w:rPr>
        <w:t>,</w:t>
      </w:r>
      <w:r w:rsidRPr="00A2333E">
        <w:rPr>
          <w:szCs w:val="23"/>
        </w:rPr>
        <w:t xml:space="preserve"> </w:t>
      </w:r>
      <w:r w:rsidR="00D7120A" w:rsidRPr="00A2333E">
        <w:rPr>
          <w:szCs w:val="23"/>
        </w:rPr>
        <w:t xml:space="preserve">in </w:t>
      </w:r>
      <w:r w:rsidRPr="00A2333E">
        <w:rPr>
          <w:szCs w:val="23"/>
        </w:rPr>
        <w:t>APOLLO</w:t>
      </w:r>
      <w:r w:rsidR="0096534C" w:rsidRPr="00A2333E">
        <w:rPr>
          <w:szCs w:val="23"/>
        </w:rPr>
        <w:t>,</w:t>
      </w:r>
      <w:r w:rsidRPr="00A2333E">
        <w:rPr>
          <w:szCs w:val="23"/>
        </w:rPr>
        <w:t xml:space="preserve"> </w:t>
      </w:r>
      <w:r w:rsidR="00D7120A" w:rsidRPr="00A2333E">
        <w:rPr>
          <w:szCs w:val="23"/>
        </w:rPr>
        <w:t>t</w:t>
      </w:r>
      <w:r w:rsidR="00D51637" w:rsidRPr="00A2333E">
        <w:rPr>
          <w:szCs w:val="23"/>
        </w:rPr>
        <w:t xml:space="preserve">he primary outcome was </w:t>
      </w:r>
      <w:r w:rsidRPr="00A2333E">
        <w:rPr>
          <w:szCs w:val="23"/>
        </w:rPr>
        <w:t xml:space="preserve">the </w:t>
      </w:r>
      <w:r w:rsidR="00D51637" w:rsidRPr="00A2333E">
        <w:rPr>
          <w:szCs w:val="23"/>
        </w:rPr>
        <w:t xml:space="preserve">mean change from baseline in neurological impairment measured by the </w:t>
      </w:r>
      <w:r w:rsidR="00D51637" w:rsidRPr="00A2333E">
        <w:t>modified Neuropathy Impairment Score</w:t>
      </w:r>
      <w:r w:rsidR="001B5105" w:rsidRPr="00A2333E">
        <w:t> </w:t>
      </w:r>
      <w:r w:rsidR="00D51637" w:rsidRPr="00A2333E">
        <w:t>+7 (mNIS+7</w:t>
      </w:r>
      <w:r w:rsidR="005812A8" w:rsidRPr="00A2333E">
        <w:t>)</w:t>
      </w:r>
      <w:r w:rsidR="00416747" w:rsidRPr="00A2333E">
        <w:t xml:space="preserve"> at </w:t>
      </w:r>
      <w:r w:rsidRPr="00A2333E">
        <w:t>18</w:t>
      </w:r>
      <w:r w:rsidR="001B5105" w:rsidRPr="00A2333E">
        <w:t> </w:t>
      </w:r>
      <w:r w:rsidRPr="00A2333E">
        <w:t>months</w:t>
      </w:r>
      <w:r w:rsidR="00D51637" w:rsidRPr="00A2333E">
        <w:t xml:space="preserve">. </w:t>
      </w:r>
      <w:r w:rsidRPr="00A2333E">
        <w:t xml:space="preserve">The clinical experts explained that mNIS+7 </w:t>
      </w:r>
      <w:r w:rsidR="00255C12" w:rsidRPr="00A2333E">
        <w:t>is a composite measure of neurologic</w:t>
      </w:r>
      <w:r w:rsidR="009402F1" w:rsidRPr="00A2333E">
        <w:t>al</w:t>
      </w:r>
      <w:r w:rsidR="00255C12" w:rsidRPr="00A2333E">
        <w:t xml:space="preserve"> impairment including motor, sensory and autonomic polyneuropathy assessment</w:t>
      </w:r>
      <w:r w:rsidRPr="00A2333E">
        <w:t xml:space="preserve">. </w:t>
      </w:r>
      <w:r w:rsidR="00D51637" w:rsidRPr="00A2333E">
        <w:t xml:space="preserve">A decrease in mNIS+7 score indicates an improvement in </w:t>
      </w:r>
      <w:r w:rsidR="00D7120A" w:rsidRPr="00A2333E">
        <w:t>symptoms</w:t>
      </w:r>
      <w:r w:rsidR="00D51637" w:rsidRPr="00A2333E">
        <w:t>. Other outcomes</w:t>
      </w:r>
      <w:r w:rsidR="00D7120A" w:rsidRPr="00A2333E">
        <w:t xml:space="preserve"> </w:t>
      </w:r>
      <w:r w:rsidR="00F06CE8" w:rsidRPr="00A2333E">
        <w:t xml:space="preserve">collected </w:t>
      </w:r>
      <w:r w:rsidR="00D7120A" w:rsidRPr="00A2333E">
        <w:t>in the trial</w:t>
      </w:r>
      <w:r w:rsidR="00D51637" w:rsidRPr="00A2333E">
        <w:t xml:space="preserve"> included the Norfolk Quality of Life-Diabetic Neuropathy (Norfolk</w:t>
      </w:r>
      <w:r w:rsidR="001B5105" w:rsidRPr="00A2333E">
        <w:t> </w:t>
      </w:r>
      <w:r w:rsidR="00D51637" w:rsidRPr="00A2333E">
        <w:t>QoL</w:t>
      </w:r>
      <w:r w:rsidR="009402F1" w:rsidRPr="00A2333E">
        <w:noBreakHyphen/>
      </w:r>
      <w:r w:rsidR="00D51637" w:rsidRPr="00A2333E">
        <w:t xml:space="preserve">DN) questionnaire, </w:t>
      </w:r>
      <w:r w:rsidR="009402F1" w:rsidRPr="00A2333E">
        <w:t xml:space="preserve">the </w:t>
      </w:r>
      <w:r w:rsidR="00D51637" w:rsidRPr="00A2333E">
        <w:t>European Quality of Life</w:t>
      </w:r>
      <w:r w:rsidR="009402F1" w:rsidRPr="00A2333E">
        <w:noBreakHyphen/>
      </w:r>
      <w:r w:rsidR="00D51637" w:rsidRPr="00A2333E">
        <w:t>5 Dimensions (EQ</w:t>
      </w:r>
      <w:r w:rsidR="00E94A2B" w:rsidRPr="00A2333E">
        <w:noBreakHyphen/>
      </w:r>
      <w:r w:rsidR="00D51637" w:rsidRPr="00A2333E">
        <w:t>5D</w:t>
      </w:r>
      <w:r w:rsidR="009402F1" w:rsidRPr="00A2333E">
        <w:noBreakHyphen/>
      </w:r>
      <w:r w:rsidR="00D51637" w:rsidRPr="00A2333E">
        <w:t xml:space="preserve">5L) questionnaire, </w:t>
      </w:r>
      <w:r w:rsidR="00AC0B80" w:rsidRPr="00A2333E">
        <w:t xml:space="preserve">assessment of </w:t>
      </w:r>
      <w:r w:rsidR="00D51637" w:rsidRPr="00A2333E">
        <w:t xml:space="preserve">serum </w:t>
      </w:r>
      <w:r w:rsidR="00ED313F" w:rsidRPr="00A2333E">
        <w:t>transthyretin (</w:t>
      </w:r>
      <w:r w:rsidR="00D51637" w:rsidRPr="00A2333E">
        <w:t>TTR</w:t>
      </w:r>
      <w:r w:rsidR="00ED313F" w:rsidRPr="00A2333E">
        <w:t>)</w:t>
      </w:r>
      <w:r w:rsidR="00D51637" w:rsidRPr="00A2333E">
        <w:t xml:space="preserve"> levels and </w:t>
      </w:r>
      <w:r w:rsidR="00227D50" w:rsidRPr="00A2333E">
        <w:t xml:space="preserve">assessment of </w:t>
      </w:r>
      <w:r w:rsidR="00D51637" w:rsidRPr="00A2333E">
        <w:t xml:space="preserve">cardiac </w:t>
      </w:r>
      <w:r w:rsidR="00255C12" w:rsidRPr="00A2333E">
        <w:t>function (</w:t>
      </w:r>
      <w:r w:rsidR="00416747" w:rsidRPr="00A2333E">
        <w:rPr>
          <w:lang w:eastAsia="en-CA"/>
        </w:rPr>
        <w:t>through echocardiogram and cardiac biomarkers such as troponin</w:t>
      </w:r>
      <w:r w:rsidR="009402F1" w:rsidRPr="00A2333E">
        <w:rPr>
          <w:lang w:eastAsia="en-CA"/>
        </w:rPr>
        <w:t> </w:t>
      </w:r>
      <w:r w:rsidR="00416747" w:rsidRPr="00A2333E">
        <w:rPr>
          <w:lang w:eastAsia="en-CA"/>
        </w:rPr>
        <w:t xml:space="preserve">I and </w:t>
      </w:r>
      <w:r w:rsidR="009402F1" w:rsidRPr="00A2333E">
        <w:t>N</w:t>
      </w:r>
      <w:r w:rsidR="009402F1" w:rsidRPr="00A2333E">
        <w:noBreakHyphen/>
        <w:t>terminal pro</w:t>
      </w:r>
      <w:r w:rsidR="009402F1" w:rsidRPr="00A2333E">
        <w:noBreakHyphen/>
        <w:t>B</w:t>
      </w:r>
      <w:r w:rsidR="009402F1" w:rsidRPr="00A2333E">
        <w:noBreakHyphen/>
        <w:t>type natriuretic peptide</w:t>
      </w:r>
      <w:r w:rsidR="009402F1" w:rsidRPr="00A2333E">
        <w:rPr>
          <w:lang w:eastAsia="en-CA"/>
        </w:rPr>
        <w:t xml:space="preserve"> [</w:t>
      </w:r>
      <w:r w:rsidR="00416747" w:rsidRPr="00A2333E">
        <w:rPr>
          <w:lang w:eastAsia="en-CA"/>
        </w:rPr>
        <w:t>NT</w:t>
      </w:r>
      <w:r w:rsidR="009402F1" w:rsidRPr="00A2333E">
        <w:rPr>
          <w:lang w:eastAsia="en-CA"/>
        </w:rPr>
        <w:noBreakHyphen/>
      </w:r>
      <w:proofErr w:type="spellStart"/>
      <w:r w:rsidR="00416747" w:rsidRPr="00A2333E">
        <w:rPr>
          <w:lang w:eastAsia="en-CA"/>
        </w:rPr>
        <w:t>proBNP</w:t>
      </w:r>
      <w:proofErr w:type="spellEnd"/>
      <w:r w:rsidR="009402F1" w:rsidRPr="00A2333E">
        <w:rPr>
          <w:lang w:eastAsia="en-CA"/>
        </w:rPr>
        <w:t>]</w:t>
      </w:r>
      <w:r w:rsidR="00255C12" w:rsidRPr="00A2333E">
        <w:t>)</w:t>
      </w:r>
      <w:r w:rsidR="00D51637" w:rsidRPr="00A2333E">
        <w:t xml:space="preserve">. </w:t>
      </w:r>
      <w:r w:rsidRPr="00A2333E">
        <w:t>A</w:t>
      </w:r>
      <w:r w:rsidR="00D51637" w:rsidRPr="00A2333E">
        <w:t xml:space="preserve">dditional outcomes </w:t>
      </w:r>
      <w:r w:rsidR="009402F1" w:rsidRPr="00A2333E">
        <w:t xml:space="preserve">were </w:t>
      </w:r>
      <w:r w:rsidR="00D51637" w:rsidRPr="00A2333E">
        <w:t xml:space="preserve">motor strength, disability, gait speed, nutritional status, </w:t>
      </w:r>
      <w:r w:rsidR="00943983" w:rsidRPr="00A2333E">
        <w:t xml:space="preserve">symptoms of </w:t>
      </w:r>
      <w:r w:rsidR="00D51637" w:rsidRPr="00A2333E">
        <w:t xml:space="preserve">autonomic </w:t>
      </w:r>
      <w:r w:rsidR="00943983" w:rsidRPr="00A2333E">
        <w:t xml:space="preserve">and peripheral </w:t>
      </w:r>
      <w:r w:rsidR="00D51637" w:rsidRPr="00A2333E">
        <w:t>neuropath</w:t>
      </w:r>
      <w:r w:rsidR="00F06CE8" w:rsidRPr="00A2333E">
        <w:t>y</w:t>
      </w:r>
      <w:r w:rsidR="00D51637" w:rsidRPr="00A2333E">
        <w:t xml:space="preserve">, large and small </w:t>
      </w:r>
      <w:r w:rsidR="00943983" w:rsidRPr="00A2333E">
        <w:t xml:space="preserve">nerve </w:t>
      </w:r>
      <w:r w:rsidR="00D51637" w:rsidRPr="00A2333E">
        <w:t>fibre function, grip strength, blood pressure,</w:t>
      </w:r>
      <w:r w:rsidR="00F06CE8" w:rsidRPr="00A2333E">
        <w:t xml:space="preserve"> and</w:t>
      </w:r>
      <w:r w:rsidR="00D51637" w:rsidRPr="00A2333E">
        <w:t xml:space="preserve"> ambulation </w:t>
      </w:r>
      <w:r w:rsidR="00F06CE8" w:rsidRPr="00A2333E">
        <w:t>(</w:t>
      </w:r>
      <w:r w:rsidR="00AB487B" w:rsidRPr="00A2333E">
        <w:t>assessed</w:t>
      </w:r>
      <w:r w:rsidR="009402F1" w:rsidRPr="00A2333E">
        <w:t xml:space="preserve"> using </w:t>
      </w:r>
      <w:r w:rsidR="00D51637" w:rsidRPr="00A2333E">
        <w:t>FAP stage</w:t>
      </w:r>
      <w:r w:rsidR="009402F1" w:rsidRPr="00A2333E">
        <w:t>s</w:t>
      </w:r>
      <w:r w:rsidR="00D51637" w:rsidRPr="00A2333E">
        <w:t xml:space="preserve"> and </w:t>
      </w:r>
      <w:r w:rsidRPr="00A2333E">
        <w:t>PND</w:t>
      </w:r>
      <w:r w:rsidR="00D51637" w:rsidRPr="00A2333E">
        <w:t xml:space="preserve"> score</w:t>
      </w:r>
      <w:r w:rsidR="009402F1" w:rsidRPr="00A2333E">
        <w:t>s</w:t>
      </w:r>
      <w:r w:rsidR="00F06CE8" w:rsidRPr="00A2333E">
        <w:t>)</w:t>
      </w:r>
      <w:r w:rsidR="00D51637" w:rsidRPr="00A2333E">
        <w:t xml:space="preserve">. </w:t>
      </w:r>
      <w:r w:rsidR="00416747" w:rsidRPr="00A2333E">
        <w:t>Most outcomes were measured at baseline and 18</w:t>
      </w:r>
      <w:r w:rsidR="001B5105" w:rsidRPr="00A2333E">
        <w:t> </w:t>
      </w:r>
      <w:r w:rsidR="00416747" w:rsidRPr="00A2333E">
        <w:t>months</w:t>
      </w:r>
      <w:r w:rsidR="009402F1" w:rsidRPr="00A2333E">
        <w:t xml:space="preserve">; </w:t>
      </w:r>
      <w:r w:rsidR="00416747" w:rsidRPr="00A2333E">
        <w:t>some were also measured at 9</w:t>
      </w:r>
      <w:r w:rsidR="001B5105" w:rsidRPr="00A2333E">
        <w:t> </w:t>
      </w:r>
      <w:r w:rsidR="00416747" w:rsidRPr="00A2333E">
        <w:t>months.</w:t>
      </w:r>
      <w:bookmarkEnd w:id="14"/>
    </w:p>
    <w:p w14:paraId="424B40B4" w14:textId="77777777" w:rsidR="00AB42A6" w:rsidRPr="00A2333E" w:rsidRDefault="00AB42A6" w:rsidP="00D535B9">
      <w:pPr>
        <w:pStyle w:val="Numberedlevel2text"/>
      </w:pPr>
      <w:bookmarkStart w:id="15" w:name="_Ref530320614"/>
      <w:r w:rsidRPr="00A2333E">
        <w:t xml:space="preserve">The committee discussed </w:t>
      </w:r>
      <w:r w:rsidR="008E325E" w:rsidRPr="00A2333E">
        <w:t xml:space="preserve">whether the outcomes captured all aspects of the condition. </w:t>
      </w:r>
      <w:r w:rsidR="00F62ACA" w:rsidRPr="00A2333E">
        <w:t>The c</w:t>
      </w:r>
      <w:r w:rsidR="00013C91" w:rsidRPr="00A2333E">
        <w:t xml:space="preserve">linical experts </w:t>
      </w:r>
      <w:r w:rsidR="00F62ACA" w:rsidRPr="00A2333E">
        <w:t xml:space="preserve">explained </w:t>
      </w:r>
      <w:r w:rsidR="00013C91" w:rsidRPr="00A2333E">
        <w:t xml:space="preserve">that hATTR </w:t>
      </w:r>
      <w:r w:rsidR="00672043" w:rsidRPr="00A2333E">
        <w:t xml:space="preserve">amyloidosis </w:t>
      </w:r>
      <w:r w:rsidR="00F06CE8" w:rsidRPr="00A2333E">
        <w:t>i</w:t>
      </w:r>
      <w:r w:rsidR="00013C91" w:rsidRPr="00A2333E">
        <w:t xml:space="preserve">s a systemic </w:t>
      </w:r>
      <w:r w:rsidR="009402F1" w:rsidRPr="00A2333E">
        <w:t xml:space="preserve">condition </w:t>
      </w:r>
      <w:r w:rsidR="00013C91" w:rsidRPr="00A2333E">
        <w:t xml:space="preserve">and its main features </w:t>
      </w:r>
      <w:r w:rsidR="00F06CE8" w:rsidRPr="00A2333E">
        <w:t>a</w:t>
      </w:r>
      <w:r w:rsidR="00013C91" w:rsidRPr="00A2333E">
        <w:t>re peripheral neuropathy</w:t>
      </w:r>
      <w:r w:rsidR="00F62ACA" w:rsidRPr="00A2333E">
        <w:t>,</w:t>
      </w:r>
      <w:r w:rsidR="00F06CE8" w:rsidRPr="00A2333E">
        <w:t xml:space="preserve"> and</w:t>
      </w:r>
      <w:r w:rsidR="00013C91" w:rsidRPr="00A2333E">
        <w:t xml:space="preserve"> autonomic and cardiac symptoms (see section</w:t>
      </w:r>
      <w:r w:rsidR="00377530" w:rsidRPr="00A2333E">
        <w:t>s</w:t>
      </w:r>
      <w:r w:rsidR="00F62ACA" w:rsidRPr="00A2333E">
        <w:t> </w:t>
      </w:r>
      <w:r w:rsidR="00D40A12" w:rsidRPr="00A2333E">
        <w:fldChar w:fldCharType="begin"/>
      </w:r>
      <w:r w:rsidR="00377530" w:rsidRPr="00A2333E">
        <w:instrText xml:space="preserve"> REF _Ref530132237 \n \h </w:instrText>
      </w:r>
      <w:r w:rsidR="00D40A12" w:rsidRPr="00A2333E">
        <w:fldChar w:fldCharType="separate"/>
      </w:r>
      <w:r w:rsidR="004238CE" w:rsidRPr="00A2333E">
        <w:t>2.2</w:t>
      </w:r>
      <w:r w:rsidR="00D40A12" w:rsidRPr="00A2333E">
        <w:fldChar w:fldCharType="end"/>
      </w:r>
      <w:r w:rsidR="00377530" w:rsidRPr="00A2333E">
        <w:t xml:space="preserve"> and</w:t>
      </w:r>
      <w:r w:rsidR="00F62ACA" w:rsidRPr="00A2333E">
        <w:t> </w:t>
      </w:r>
      <w:r w:rsidR="00D40A12" w:rsidRPr="00A2333E">
        <w:fldChar w:fldCharType="begin"/>
      </w:r>
      <w:r w:rsidR="00377530" w:rsidRPr="00A2333E">
        <w:instrText xml:space="preserve"> REF _Ref530132250 \n \h </w:instrText>
      </w:r>
      <w:r w:rsidR="00D40A12" w:rsidRPr="00A2333E">
        <w:fldChar w:fldCharType="separate"/>
      </w:r>
      <w:r w:rsidR="004238CE" w:rsidRPr="00A2333E">
        <w:t>2.3</w:t>
      </w:r>
      <w:r w:rsidR="00D40A12" w:rsidRPr="00A2333E">
        <w:fldChar w:fldCharType="end"/>
      </w:r>
      <w:r w:rsidR="00013C91" w:rsidRPr="00A2333E">
        <w:t xml:space="preserve">). </w:t>
      </w:r>
      <w:r w:rsidR="008E325E" w:rsidRPr="00A2333E">
        <w:t>The</w:t>
      </w:r>
      <w:r w:rsidR="00F62ACA" w:rsidRPr="00A2333E">
        <w:t>y further</w:t>
      </w:r>
      <w:r w:rsidR="008E325E" w:rsidRPr="00A2333E">
        <w:t xml:space="preserve"> </w:t>
      </w:r>
      <w:r w:rsidR="00013C91" w:rsidRPr="00A2333E">
        <w:t xml:space="preserve">explained </w:t>
      </w:r>
      <w:r w:rsidR="008E325E" w:rsidRPr="00A2333E">
        <w:t>that mNIS+7</w:t>
      </w:r>
      <w:r w:rsidR="005812A8" w:rsidRPr="00A2333E">
        <w:t xml:space="preserve"> </w:t>
      </w:r>
      <w:r w:rsidR="00F06CE8" w:rsidRPr="00A2333E">
        <w:t>i</w:t>
      </w:r>
      <w:r w:rsidR="005812A8" w:rsidRPr="00A2333E">
        <w:t>s a comprehensive measure of neurologic</w:t>
      </w:r>
      <w:r w:rsidR="00F62ACA" w:rsidRPr="00A2333E">
        <w:t>al</w:t>
      </w:r>
      <w:r w:rsidR="005812A8" w:rsidRPr="00A2333E">
        <w:t xml:space="preserve"> impairment </w:t>
      </w:r>
      <w:r w:rsidR="00013C91" w:rsidRPr="00A2333E">
        <w:t>that</w:t>
      </w:r>
      <w:r w:rsidR="005812A8" w:rsidRPr="00A2333E">
        <w:t xml:space="preserve"> ha</w:t>
      </w:r>
      <w:r w:rsidR="00F06CE8" w:rsidRPr="00A2333E">
        <w:t>s</w:t>
      </w:r>
      <w:r w:rsidR="005812A8" w:rsidRPr="00A2333E">
        <w:t xml:space="preserve"> </w:t>
      </w:r>
      <w:r w:rsidR="00D5176E" w:rsidRPr="00A2333E">
        <w:t xml:space="preserve">been </w:t>
      </w:r>
      <w:r w:rsidR="005812A8" w:rsidRPr="00A2333E">
        <w:t>specifically modified from the original NIS+7</w:t>
      </w:r>
      <w:r w:rsidR="001B1BC4" w:rsidRPr="00A2333E">
        <w:t>. It was modified</w:t>
      </w:r>
      <w:r w:rsidR="005812A8" w:rsidRPr="00A2333E">
        <w:t xml:space="preserve"> to better characterise and quantify sens</w:t>
      </w:r>
      <w:r w:rsidR="00943983" w:rsidRPr="00A2333E">
        <w:t xml:space="preserve">ory function at </w:t>
      </w:r>
      <w:r w:rsidR="00943983" w:rsidRPr="00A2333E">
        <w:lastRenderedPageBreak/>
        <w:t>multiple sites</w:t>
      </w:r>
      <w:r w:rsidR="005812A8" w:rsidRPr="00A2333E">
        <w:t xml:space="preserve">, autonomic function and nerve conduction changes associated with progression of </w:t>
      </w:r>
      <w:r w:rsidR="00F06CE8" w:rsidRPr="00A2333E">
        <w:t>hATTR amyloidosis</w:t>
      </w:r>
      <w:r w:rsidR="00255C12" w:rsidRPr="00A2333E">
        <w:t xml:space="preserve">. The committee was aware that </w:t>
      </w:r>
      <w:r w:rsidR="00F62ACA" w:rsidRPr="00A2333E">
        <w:t xml:space="preserve">the </w:t>
      </w:r>
      <w:r w:rsidR="00255C12" w:rsidRPr="00A2333E">
        <w:t>Norfolk QoL</w:t>
      </w:r>
      <w:r w:rsidR="00F62ACA" w:rsidRPr="00A2333E">
        <w:noBreakHyphen/>
      </w:r>
      <w:r w:rsidR="00255C12" w:rsidRPr="00A2333E">
        <w:t>DN</w:t>
      </w:r>
      <w:r w:rsidR="00013C91" w:rsidRPr="00A2333E">
        <w:t xml:space="preserve"> </w:t>
      </w:r>
      <w:r w:rsidR="000D6D86" w:rsidRPr="00A2333E">
        <w:t>was developed</w:t>
      </w:r>
      <w:r w:rsidR="00013C91" w:rsidRPr="00A2333E">
        <w:t xml:space="preserve"> in </w:t>
      </w:r>
      <w:r w:rsidR="00F06CE8" w:rsidRPr="00A2333E">
        <w:t xml:space="preserve">people with </w:t>
      </w:r>
      <w:r w:rsidR="00013C91" w:rsidRPr="00A2333E">
        <w:t>diabet</w:t>
      </w:r>
      <w:r w:rsidR="00F06CE8" w:rsidRPr="00A2333E">
        <w:t>es. However,</w:t>
      </w:r>
      <w:r w:rsidR="00255C12" w:rsidRPr="00A2333E">
        <w:t xml:space="preserve"> </w:t>
      </w:r>
      <w:r w:rsidR="00F06CE8" w:rsidRPr="00A2333E">
        <w:t xml:space="preserve">the </w:t>
      </w:r>
      <w:r w:rsidR="00255C12" w:rsidRPr="00A2333E">
        <w:t>clinical experts</w:t>
      </w:r>
      <w:r w:rsidR="00F06CE8" w:rsidRPr="00A2333E">
        <w:t xml:space="preserve"> explained</w:t>
      </w:r>
      <w:r w:rsidR="00255C12" w:rsidRPr="00A2333E">
        <w:t xml:space="preserve"> that</w:t>
      </w:r>
      <w:r w:rsidR="00715128" w:rsidRPr="00A2333E">
        <w:t xml:space="preserve"> </w:t>
      </w:r>
      <w:r w:rsidR="00F06CE8" w:rsidRPr="00A2333E">
        <w:t xml:space="preserve">the </w:t>
      </w:r>
      <w:r w:rsidR="00715128" w:rsidRPr="00A2333E">
        <w:t>autonomic symptoms</w:t>
      </w:r>
      <w:r w:rsidR="00255C12" w:rsidRPr="00A2333E">
        <w:t xml:space="preserve"> seen in diabet</w:t>
      </w:r>
      <w:r w:rsidR="00F06CE8" w:rsidRPr="00A2333E">
        <w:t>e</w:t>
      </w:r>
      <w:r w:rsidR="00255C12" w:rsidRPr="00A2333E">
        <w:t>s</w:t>
      </w:r>
      <w:r w:rsidR="000F5872" w:rsidRPr="00A2333E">
        <w:t>, such as gastrointestinal symptoms,</w:t>
      </w:r>
      <w:r w:rsidR="00715128" w:rsidRPr="00A2333E">
        <w:t xml:space="preserve"> are</w:t>
      </w:r>
      <w:r w:rsidR="00255C12" w:rsidRPr="00A2333E">
        <w:t xml:space="preserve"> </w:t>
      </w:r>
      <w:proofErr w:type="gramStart"/>
      <w:r w:rsidR="00943983" w:rsidRPr="00A2333E">
        <w:t xml:space="preserve">similar </w:t>
      </w:r>
      <w:r w:rsidR="00715128" w:rsidRPr="00A2333E">
        <w:t>to</w:t>
      </w:r>
      <w:proofErr w:type="gramEnd"/>
      <w:r w:rsidR="00715128" w:rsidRPr="00A2333E">
        <w:t xml:space="preserve"> th</w:t>
      </w:r>
      <w:r w:rsidR="00F62ACA" w:rsidRPr="00A2333E">
        <w:t>ose</w:t>
      </w:r>
      <w:r w:rsidR="00715128" w:rsidRPr="00A2333E">
        <w:t xml:space="preserve"> </w:t>
      </w:r>
      <w:r w:rsidR="00255C12" w:rsidRPr="00A2333E">
        <w:t xml:space="preserve">seen </w:t>
      </w:r>
      <w:r w:rsidR="00715128" w:rsidRPr="00A2333E">
        <w:t xml:space="preserve">in </w:t>
      </w:r>
      <w:r w:rsidR="00013C91" w:rsidRPr="00A2333E">
        <w:t>hATTR</w:t>
      </w:r>
      <w:r w:rsidR="00255C12" w:rsidRPr="00A2333E">
        <w:t xml:space="preserve"> amyloidosis</w:t>
      </w:r>
      <w:r w:rsidR="00013C91" w:rsidRPr="00A2333E">
        <w:t xml:space="preserve">. </w:t>
      </w:r>
      <w:r w:rsidR="00715128" w:rsidRPr="00A2333E">
        <w:t>The</w:t>
      </w:r>
      <w:r w:rsidR="00F62ACA" w:rsidRPr="00A2333E">
        <w:t>y further</w:t>
      </w:r>
      <w:r w:rsidR="00715128" w:rsidRPr="00A2333E">
        <w:t xml:space="preserve"> </w:t>
      </w:r>
      <w:r w:rsidR="00255C12" w:rsidRPr="00A2333E">
        <w:t>explained</w:t>
      </w:r>
      <w:r w:rsidR="00715128" w:rsidRPr="00A2333E">
        <w:t xml:space="preserve"> that </w:t>
      </w:r>
      <w:r w:rsidR="00255C12" w:rsidRPr="00A2333E">
        <w:t>NT</w:t>
      </w:r>
      <w:r w:rsidR="00F62ACA" w:rsidRPr="00A2333E">
        <w:noBreakHyphen/>
      </w:r>
      <w:proofErr w:type="spellStart"/>
      <w:r w:rsidR="00255C12" w:rsidRPr="00A2333E">
        <w:t>proBNP</w:t>
      </w:r>
      <w:proofErr w:type="spellEnd"/>
      <w:r w:rsidR="00715128" w:rsidRPr="00A2333E">
        <w:t xml:space="preserve"> </w:t>
      </w:r>
      <w:r w:rsidR="00F06CE8" w:rsidRPr="00A2333E">
        <w:t>i</w:t>
      </w:r>
      <w:r w:rsidR="00715128" w:rsidRPr="00A2333E">
        <w:t xml:space="preserve">s a good marker of </w:t>
      </w:r>
      <w:r w:rsidR="00517AB3" w:rsidRPr="00A2333E">
        <w:t xml:space="preserve">heart </w:t>
      </w:r>
      <w:r w:rsidR="00943983" w:rsidRPr="00A2333E">
        <w:t xml:space="preserve">function and correlates </w:t>
      </w:r>
      <w:r w:rsidR="00517AB3" w:rsidRPr="00A2333E">
        <w:t xml:space="preserve">with cardiac </w:t>
      </w:r>
      <w:r w:rsidR="00715128" w:rsidRPr="00A2333E">
        <w:t>symptoms</w:t>
      </w:r>
      <w:r w:rsidR="00255C12" w:rsidRPr="00A2333E">
        <w:t xml:space="preserve"> </w:t>
      </w:r>
      <w:r w:rsidR="00517AB3" w:rsidRPr="00A2333E">
        <w:t xml:space="preserve">in </w:t>
      </w:r>
      <w:r w:rsidR="00255C12" w:rsidRPr="00A2333E">
        <w:t>patients with hATTR amyloidosis</w:t>
      </w:r>
      <w:r w:rsidR="00416747" w:rsidRPr="00A2333E">
        <w:t xml:space="preserve"> and that</w:t>
      </w:r>
      <w:r w:rsidR="00F62ACA" w:rsidRPr="00A2333E">
        <w:t>,</w:t>
      </w:r>
      <w:r w:rsidR="00F06CE8" w:rsidRPr="00A2333E">
        <w:t xml:space="preserve"> to a certain extent</w:t>
      </w:r>
      <w:r w:rsidR="00F62ACA" w:rsidRPr="00A2333E">
        <w:t>,</w:t>
      </w:r>
      <w:r w:rsidR="00F06CE8" w:rsidRPr="00A2333E">
        <w:t xml:space="preserve"> the</w:t>
      </w:r>
      <w:r w:rsidR="00416747" w:rsidRPr="00A2333E">
        <w:t xml:space="preserve"> EQ</w:t>
      </w:r>
      <w:r w:rsidR="00F62ACA" w:rsidRPr="00A2333E">
        <w:noBreakHyphen/>
      </w:r>
      <w:r w:rsidR="00416747" w:rsidRPr="00A2333E">
        <w:t>5D</w:t>
      </w:r>
      <w:r w:rsidR="00F62ACA" w:rsidRPr="00A2333E">
        <w:noBreakHyphen/>
      </w:r>
      <w:r w:rsidR="00416747" w:rsidRPr="00A2333E">
        <w:t>5L capture</w:t>
      </w:r>
      <w:r w:rsidR="00F06CE8" w:rsidRPr="00A2333E">
        <w:t>s</w:t>
      </w:r>
      <w:r w:rsidR="00416747" w:rsidRPr="00A2333E">
        <w:t xml:space="preserve"> pain and fatigue.</w:t>
      </w:r>
      <w:r w:rsidR="00715128" w:rsidRPr="00A2333E">
        <w:t xml:space="preserve"> The </w:t>
      </w:r>
      <w:r w:rsidR="00416747" w:rsidRPr="00A2333E">
        <w:t xml:space="preserve">clinical and </w:t>
      </w:r>
      <w:r w:rsidR="00715128" w:rsidRPr="00A2333E">
        <w:t xml:space="preserve">patient experts </w:t>
      </w:r>
      <w:r w:rsidR="0093753C" w:rsidRPr="00A2333E">
        <w:t xml:space="preserve">agreed that there was a good correlation between improvement in peripheral neuropathy and autonomic symptoms. </w:t>
      </w:r>
      <w:r w:rsidR="0053752E" w:rsidRPr="00A2333E">
        <w:t xml:space="preserve">However, </w:t>
      </w:r>
      <w:r w:rsidR="0093753C" w:rsidRPr="00A2333E">
        <w:t>these can improve at different rates</w:t>
      </w:r>
      <w:r w:rsidR="0053752E" w:rsidRPr="00A2333E">
        <w:t>,</w:t>
      </w:r>
      <w:r w:rsidR="0093753C" w:rsidRPr="00A2333E">
        <w:t xml:space="preserve"> and </w:t>
      </w:r>
      <w:r w:rsidR="00715128" w:rsidRPr="00A2333E">
        <w:t xml:space="preserve">some </w:t>
      </w:r>
      <w:bookmarkStart w:id="16" w:name="_Hlk9948090"/>
      <w:r w:rsidR="00715128" w:rsidRPr="00A2333E">
        <w:t xml:space="preserve">aspects of the condition are difficult to measure </w:t>
      </w:r>
      <w:bookmarkEnd w:id="16"/>
      <w:r w:rsidR="00715128" w:rsidRPr="00A2333E">
        <w:t xml:space="preserve">because their </w:t>
      </w:r>
      <w:r w:rsidR="00F62ACA" w:rsidRPr="00A2333E">
        <w:t xml:space="preserve">effect </w:t>
      </w:r>
      <w:r w:rsidR="00715128" w:rsidRPr="00A2333E">
        <w:t>on quality of life is subjective</w:t>
      </w:r>
      <w:r w:rsidR="005E4F6D" w:rsidRPr="00A2333E">
        <w:t xml:space="preserve">. </w:t>
      </w:r>
      <w:r w:rsidR="00013C91" w:rsidRPr="00A2333E">
        <w:t xml:space="preserve">The committee </w:t>
      </w:r>
      <w:r w:rsidR="006E0D19" w:rsidRPr="00A2333E">
        <w:t xml:space="preserve">therefore </w:t>
      </w:r>
      <w:r w:rsidR="00013C91" w:rsidRPr="00A2333E">
        <w:t xml:space="preserve">concluded that </w:t>
      </w:r>
      <w:r w:rsidR="00F06CE8" w:rsidRPr="00A2333E">
        <w:t xml:space="preserve">the outcomes measured in </w:t>
      </w:r>
      <w:r w:rsidR="00013C91" w:rsidRPr="00A2333E">
        <w:t xml:space="preserve">APOLLO </w:t>
      </w:r>
      <w:r w:rsidR="00067B2F" w:rsidRPr="00A2333E">
        <w:t xml:space="preserve">likely </w:t>
      </w:r>
      <w:r w:rsidR="00F06CE8" w:rsidRPr="00A2333E">
        <w:t>capture</w:t>
      </w:r>
      <w:r w:rsidR="00E835ED" w:rsidRPr="00A2333E">
        <w:t>d</w:t>
      </w:r>
      <w:r w:rsidR="00F06CE8" w:rsidRPr="00A2333E">
        <w:t xml:space="preserve"> most of the aspects of the </w:t>
      </w:r>
      <w:r w:rsidR="009402F1" w:rsidRPr="00A2333E">
        <w:t xml:space="preserve">condition </w:t>
      </w:r>
      <w:r w:rsidR="00F06CE8" w:rsidRPr="00A2333E">
        <w:t>important to people with hATTR amyloidosis</w:t>
      </w:r>
      <w:r w:rsidR="00715128" w:rsidRPr="00A2333E">
        <w:t>.</w:t>
      </w:r>
      <w:bookmarkEnd w:id="15"/>
    </w:p>
    <w:p w14:paraId="5BFE12A1" w14:textId="77777777" w:rsidR="00F82FC9" w:rsidRPr="00A2333E" w:rsidRDefault="00F721AF" w:rsidP="00F82FC9">
      <w:pPr>
        <w:pStyle w:val="Heading3"/>
      </w:pPr>
      <w:r w:rsidRPr="00A2333E">
        <w:t>APOLLO</w:t>
      </w:r>
      <w:r w:rsidR="00F82FC9" w:rsidRPr="00A2333E">
        <w:t xml:space="preserve"> results</w:t>
      </w:r>
    </w:p>
    <w:p w14:paraId="3D1D9124" w14:textId="77777777" w:rsidR="000B0E2A" w:rsidRPr="00A2333E" w:rsidRDefault="00542870" w:rsidP="00542870">
      <w:pPr>
        <w:pStyle w:val="Numberedlevel2text"/>
      </w:pPr>
      <w:bookmarkStart w:id="17" w:name="_Ref530130386"/>
      <w:bookmarkStart w:id="18" w:name="_Ref530315965"/>
      <w:r w:rsidRPr="00A2333E">
        <w:t xml:space="preserve">There was a </w:t>
      </w:r>
      <w:r w:rsidR="005D7A21" w:rsidRPr="00A2333E">
        <w:t xml:space="preserve">statistically </w:t>
      </w:r>
      <w:r w:rsidRPr="00A2333E">
        <w:t xml:space="preserve">significant difference </w:t>
      </w:r>
      <w:r w:rsidR="001A2E24" w:rsidRPr="00A2333E">
        <w:t xml:space="preserve">in favour of patisiran </w:t>
      </w:r>
      <w:r w:rsidRPr="00A2333E">
        <w:t>between the patisiran and placebo group</w:t>
      </w:r>
      <w:r w:rsidR="001A2E24" w:rsidRPr="00A2333E">
        <w:t>s</w:t>
      </w:r>
      <w:r w:rsidRPr="00A2333E">
        <w:t xml:space="preserve"> in change from baseline in mNIS+7 score. Patients in the placebo group </w:t>
      </w:r>
      <w:r w:rsidR="001A2E24" w:rsidRPr="00A2333E">
        <w:t>had a worse score</w:t>
      </w:r>
      <w:r w:rsidRPr="00A2333E">
        <w:t xml:space="preserve"> and </w:t>
      </w:r>
      <w:r w:rsidR="001A2E24" w:rsidRPr="00A2333E">
        <w:t>patients</w:t>
      </w:r>
      <w:r w:rsidRPr="00A2333E">
        <w:t xml:space="preserve"> in the patisiran group </w:t>
      </w:r>
      <w:r w:rsidR="001A2E24" w:rsidRPr="00A2333E">
        <w:t xml:space="preserve">had a better score </w:t>
      </w:r>
      <w:r w:rsidR="005D7A21" w:rsidRPr="00A2333E">
        <w:t>(</w:t>
      </w:r>
      <w:r w:rsidR="000B629D" w:rsidRPr="00A2333E">
        <w:t xml:space="preserve">the least squares mean </w:t>
      </w:r>
      <w:r w:rsidR="005D7A21" w:rsidRPr="00A2333E">
        <w:t>[</w:t>
      </w:r>
      <w:r w:rsidR="000B629D" w:rsidRPr="00A2333E">
        <w:t>LSM</w:t>
      </w:r>
      <w:r w:rsidR="005D7A21" w:rsidRPr="00A2333E">
        <w:t>]</w:t>
      </w:r>
      <w:r w:rsidR="000B629D" w:rsidRPr="00A2333E">
        <w:t xml:space="preserve"> difference between groups was </w:t>
      </w:r>
      <w:r w:rsidR="005D7A21" w:rsidRPr="00A2333E">
        <w:rPr>
          <w:rFonts w:cs="Arial"/>
        </w:rPr>
        <w:t>−</w:t>
      </w:r>
      <w:r w:rsidR="000B629D" w:rsidRPr="00A2333E">
        <w:t>16.0</w:t>
      </w:r>
      <w:r w:rsidR="001A2E24" w:rsidRPr="00A2333E">
        <w:t> </w:t>
      </w:r>
      <w:r w:rsidR="000B629D" w:rsidRPr="00A2333E">
        <w:t xml:space="preserve">points </w:t>
      </w:r>
      <w:r w:rsidR="001A2E24" w:rsidRPr="00A2333E">
        <w:t xml:space="preserve">at 9 months, p&lt;0.001; </w:t>
      </w:r>
      <w:r w:rsidR="000B629D" w:rsidRPr="00A2333E">
        <w:t>and</w:t>
      </w:r>
      <w:r w:rsidR="00B85692" w:rsidRPr="00A2333E">
        <w:t xml:space="preserve"> </w:t>
      </w:r>
      <w:r w:rsidR="005D7A21" w:rsidRPr="00A2333E">
        <w:rPr>
          <w:rFonts w:cs="Arial"/>
        </w:rPr>
        <w:t>−</w:t>
      </w:r>
      <w:r w:rsidR="00B85692" w:rsidRPr="00A2333E">
        <w:t>34.0 points</w:t>
      </w:r>
      <w:r w:rsidR="000B629D" w:rsidRPr="00A2333E">
        <w:t xml:space="preserve"> </w:t>
      </w:r>
      <w:r w:rsidR="001A2E24" w:rsidRPr="00A2333E">
        <w:t>at 18 months,</w:t>
      </w:r>
      <w:r w:rsidR="005D7A21" w:rsidRPr="00A2333E">
        <w:t xml:space="preserve"> p&lt;0.001)</w:t>
      </w:r>
      <w:r w:rsidR="00B85692" w:rsidRPr="00A2333E">
        <w:t xml:space="preserve">. </w:t>
      </w:r>
      <w:r w:rsidR="000F17BF" w:rsidRPr="00A2333E">
        <w:t>The t</w:t>
      </w:r>
      <w:r w:rsidR="00E03577" w:rsidRPr="00A2333E">
        <w:t xml:space="preserve">reatment effect was </w:t>
      </w:r>
      <w:r w:rsidR="005D7A21" w:rsidRPr="00A2333E">
        <w:t xml:space="preserve">statistically </w:t>
      </w:r>
      <w:r w:rsidR="00E03577" w:rsidRPr="00A2333E">
        <w:t>significant in all components of the mNIS+7 score</w:t>
      </w:r>
      <w:r w:rsidR="00A418D7" w:rsidRPr="00A2333E">
        <w:t xml:space="preserve"> </w:t>
      </w:r>
      <w:r w:rsidR="009C6BA0" w:rsidRPr="00A2333E">
        <w:t>and</w:t>
      </w:r>
      <w:r w:rsidR="005D7A21" w:rsidRPr="00A2333E">
        <w:t xml:space="preserve"> </w:t>
      </w:r>
      <w:r w:rsidR="00517AB3" w:rsidRPr="00A2333E">
        <w:t xml:space="preserve">all </w:t>
      </w:r>
      <w:r w:rsidR="009C6BA0" w:rsidRPr="00A2333E">
        <w:t xml:space="preserve">subgroups (see </w:t>
      </w:r>
      <w:r w:rsidR="001A2E24" w:rsidRPr="00A2333E">
        <w:t>section </w:t>
      </w:r>
      <w:r w:rsidR="00D40A12" w:rsidRPr="00A2333E">
        <w:fldChar w:fldCharType="begin"/>
      </w:r>
      <w:r w:rsidR="009C6BA0" w:rsidRPr="00A2333E">
        <w:instrText xml:space="preserve"> REF _Ref530134634 \n \h </w:instrText>
      </w:r>
      <w:r w:rsidR="00D40A12" w:rsidRPr="00A2333E">
        <w:fldChar w:fldCharType="separate"/>
      </w:r>
      <w:r w:rsidR="004238CE" w:rsidRPr="00A2333E">
        <w:t>4.5</w:t>
      </w:r>
      <w:r w:rsidR="00D40A12" w:rsidRPr="00A2333E">
        <w:fldChar w:fldCharType="end"/>
      </w:r>
      <w:r w:rsidR="009C6BA0" w:rsidRPr="00A2333E">
        <w:t>)</w:t>
      </w:r>
      <w:r w:rsidR="00E03577" w:rsidRPr="00A2333E">
        <w:t xml:space="preserve">. </w:t>
      </w:r>
      <w:r w:rsidR="00D26C84" w:rsidRPr="00A2333E">
        <w:t xml:space="preserve">The </w:t>
      </w:r>
      <w:r w:rsidR="00B9228A" w:rsidRPr="00A2333E">
        <w:t xml:space="preserve">committee was aware </w:t>
      </w:r>
      <w:r w:rsidR="000B629D" w:rsidRPr="00A2333E">
        <w:t>that</w:t>
      </w:r>
      <w:r w:rsidR="00E03577" w:rsidRPr="00A2333E">
        <w:t xml:space="preserve"> a 2</w:t>
      </w:r>
      <w:r w:rsidR="005D7A21" w:rsidRPr="00A2333E">
        <w:noBreakHyphen/>
      </w:r>
      <w:r w:rsidR="00E03577" w:rsidRPr="00A2333E">
        <w:t xml:space="preserve">point change </w:t>
      </w:r>
      <w:r w:rsidR="000F17BF" w:rsidRPr="00A2333E">
        <w:t>i</w:t>
      </w:r>
      <w:r w:rsidR="00E03577" w:rsidRPr="00A2333E">
        <w:t xml:space="preserve">s considered </w:t>
      </w:r>
      <w:r w:rsidR="000B629D" w:rsidRPr="00A2333E">
        <w:t>the</w:t>
      </w:r>
      <w:r w:rsidR="00E03577" w:rsidRPr="00A2333E">
        <w:t xml:space="preserve"> minimum</w:t>
      </w:r>
      <w:r w:rsidR="000B629D" w:rsidRPr="00A2333E">
        <w:t xml:space="preserve"> clinically important difference</w:t>
      </w:r>
      <w:r w:rsidR="00A418D7" w:rsidRPr="00A2333E">
        <w:t xml:space="preserve"> (MCID)</w:t>
      </w:r>
      <w:r w:rsidR="00E03577" w:rsidRPr="00A2333E">
        <w:t xml:space="preserve">, based on a consensus report </w:t>
      </w:r>
      <w:r w:rsidR="001A2E24" w:rsidRPr="00A2333E">
        <w:t xml:space="preserve">from </w:t>
      </w:r>
      <w:r w:rsidR="00E03577" w:rsidRPr="00A2333E">
        <w:t xml:space="preserve">the </w:t>
      </w:r>
      <w:r w:rsidR="00270993" w:rsidRPr="00A2333E">
        <w:t>I</w:t>
      </w:r>
      <w:r w:rsidR="00E03577" w:rsidRPr="00A2333E">
        <w:t>nternational Peripheral Nerve Society for the original NIS score</w:t>
      </w:r>
      <w:r w:rsidR="00D26C84" w:rsidRPr="00A2333E">
        <w:t xml:space="preserve">. </w:t>
      </w:r>
      <w:r w:rsidR="00F30A3E" w:rsidRPr="00A2333E">
        <w:t>The m</w:t>
      </w:r>
      <w:r w:rsidR="00A418D7" w:rsidRPr="00A2333E">
        <w:t xml:space="preserve">ean </w:t>
      </w:r>
      <w:r w:rsidR="00792DFE" w:rsidRPr="00A2333E">
        <w:t xml:space="preserve">maximum </w:t>
      </w:r>
      <w:r w:rsidR="00B85692" w:rsidRPr="00A2333E">
        <w:t xml:space="preserve">TTR </w:t>
      </w:r>
      <w:r w:rsidR="00ED313F" w:rsidRPr="00A2333E">
        <w:t>reduction</w:t>
      </w:r>
      <w:r w:rsidR="00B85692" w:rsidRPr="00A2333E">
        <w:t xml:space="preserve"> over 18</w:t>
      </w:r>
      <w:r w:rsidR="004C60C2" w:rsidRPr="00A2333E">
        <w:t> months</w:t>
      </w:r>
      <w:r w:rsidR="00B85692" w:rsidRPr="00A2333E">
        <w:t xml:space="preserve"> was 87.8% in the patisiran group </w:t>
      </w:r>
      <w:r w:rsidR="00792DFE" w:rsidRPr="00A2333E">
        <w:t>but only</w:t>
      </w:r>
      <w:r w:rsidR="00E03577" w:rsidRPr="00A2333E">
        <w:t xml:space="preserve"> 5.7% in the placebo group.</w:t>
      </w:r>
      <w:r w:rsidR="00141A73" w:rsidRPr="00A2333E">
        <w:t xml:space="preserve"> </w:t>
      </w:r>
      <w:r w:rsidR="003F4152" w:rsidRPr="00A2333E">
        <w:t>During consultation, clinical expert</w:t>
      </w:r>
      <w:r w:rsidR="006F303B" w:rsidRPr="00A2333E">
        <w:t>s</w:t>
      </w:r>
      <w:r w:rsidR="003F4152" w:rsidRPr="00A2333E">
        <w:t xml:space="preserve"> </w:t>
      </w:r>
      <w:r w:rsidR="006F303B" w:rsidRPr="00A2333E">
        <w:t xml:space="preserve">explained that </w:t>
      </w:r>
      <w:r w:rsidR="00792DFE" w:rsidRPr="00A2333E">
        <w:t>the likelihood of halting or reversing amyloid deposition</w:t>
      </w:r>
      <w:r w:rsidR="001D022D" w:rsidRPr="00A2333E">
        <w:t>,</w:t>
      </w:r>
      <w:r w:rsidR="00792DFE" w:rsidRPr="00A2333E">
        <w:t xml:space="preserve"> and </w:t>
      </w:r>
      <w:r w:rsidR="00C70F0A">
        <w:t>so</w:t>
      </w:r>
      <w:r w:rsidR="00C70F0A" w:rsidRPr="00A2333E">
        <w:t xml:space="preserve"> </w:t>
      </w:r>
      <w:r w:rsidR="002C7CEF" w:rsidRPr="00A2333E">
        <w:t xml:space="preserve">reducing </w:t>
      </w:r>
      <w:r w:rsidR="00792DFE" w:rsidRPr="00A2333E">
        <w:lastRenderedPageBreak/>
        <w:t xml:space="preserve">neuropathy and </w:t>
      </w:r>
      <w:r w:rsidR="002C7CEF" w:rsidRPr="00A2333E">
        <w:t xml:space="preserve">improving </w:t>
      </w:r>
      <w:r w:rsidR="00792DFE" w:rsidRPr="00A2333E">
        <w:t>cardiac function</w:t>
      </w:r>
      <w:r w:rsidR="001D022D" w:rsidRPr="00A2333E">
        <w:t>,</w:t>
      </w:r>
      <w:r w:rsidR="009D07CC" w:rsidRPr="00A2333E">
        <w:t xml:space="preserve"> </w:t>
      </w:r>
      <w:r w:rsidR="00D8799B" w:rsidRPr="00A2333E">
        <w:t>is dependent upon the extent of reduction in TTR</w:t>
      </w:r>
      <w:r w:rsidR="00792DFE" w:rsidRPr="00A2333E">
        <w:t>. There is no threshold for an effect</w:t>
      </w:r>
      <w:r w:rsidR="001D022D" w:rsidRPr="00A2333E">
        <w:t>. T</w:t>
      </w:r>
      <w:r w:rsidR="00792DFE" w:rsidRPr="00A2333E">
        <w:t xml:space="preserve">he </w:t>
      </w:r>
      <w:r w:rsidR="00E94A2B" w:rsidRPr="00A2333E">
        <w:t xml:space="preserve">effect </w:t>
      </w:r>
      <w:r w:rsidR="00792DFE" w:rsidRPr="00A2333E">
        <w:t>of a given reduction will vary from person to person</w:t>
      </w:r>
      <w:r w:rsidR="00B05B6A" w:rsidRPr="00A2333E">
        <w:t xml:space="preserve"> because of differences in turnover and production of TTR</w:t>
      </w:r>
      <w:r w:rsidR="00792DFE" w:rsidRPr="00A2333E">
        <w:t xml:space="preserve">. </w:t>
      </w:r>
      <w:r w:rsidR="00D96434" w:rsidRPr="00A2333E">
        <w:t>However, t</w:t>
      </w:r>
      <w:r w:rsidR="00792DFE" w:rsidRPr="00A2333E">
        <w:t>he</w:t>
      </w:r>
      <w:r w:rsidR="001D022D" w:rsidRPr="00A2333E">
        <w:t xml:space="preserve"> clinical experts’</w:t>
      </w:r>
      <w:r w:rsidR="00792DFE" w:rsidRPr="00A2333E">
        <w:t xml:space="preserve"> view was t</w:t>
      </w:r>
      <w:r w:rsidR="00277BFB" w:rsidRPr="00A2333E">
        <w:t>hat</w:t>
      </w:r>
      <w:r w:rsidR="00B05B6A" w:rsidRPr="00A2333E">
        <w:t xml:space="preserve"> most patients </w:t>
      </w:r>
      <w:r w:rsidR="00792DFE" w:rsidRPr="00A2333E">
        <w:t xml:space="preserve">would </w:t>
      </w:r>
      <w:r w:rsidR="00B05B6A" w:rsidRPr="00A2333E">
        <w:t>derive clinically meaningful benefit</w:t>
      </w:r>
      <w:r w:rsidR="001D022D" w:rsidRPr="00A2333E">
        <w:t xml:space="preserve"> with a reduction of more than 80%</w:t>
      </w:r>
      <w:r w:rsidR="00B05B6A" w:rsidRPr="00A2333E">
        <w:t>.</w:t>
      </w:r>
      <w:r w:rsidR="006F303B" w:rsidRPr="00A2333E">
        <w:t xml:space="preserve"> </w:t>
      </w:r>
      <w:r w:rsidR="00B85692" w:rsidRPr="00A2333E">
        <w:t xml:space="preserve">There was a </w:t>
      </w:r>
      <w:r w:rsidR="005D7A21" w:rsidRPr="00A2333E">
        <w:t xml:space="preserve">statistically </w:t>
      </w:r>
      <w:r w:rsidR="00B85692" w:rsidRPr="00A2333E">
        <w:t xml:space="preserve">significant difference </w:t>
      </w:r>
      <w:r w:rsidR="00270993" w:rsidRPr="00A2333E">
        <w:t xml:space="preserve">in favour of patisiran </w:t>
      </w:r>
      <w:r w:rsidR="00B85692" w:rsidRPr="00A2333E">
        <w:t xml:space="preserve">between the </w:t>
      </w:r>
      <w:r w:rsidR="00E03577" w:rsidRPr="00A2333E">
        <w:t xml:space="preserve">patisiran and placebo </w:t>
      </w:r>
      <w:r w:rsidR="00B85692" w:rsidRPr="00A2333E">
        <w:t>groups in change from baselin</w:t>
      </w:r>
      <w:r w:rsidR="004C60C2" w:rsidRPr="00A2333E">
        <w:t xml:space="preserve">e </w:t>
      </w:r>
      <w:r w:rsidR="001D022D" w:rsidRPr="00A2333E">
        <w:t>i</w:t>
      </w:r>
      <w:r w:rsidR="004C60C2" w:rsidRPr="00A2333E">
        <w:t xml:space="preserve">n </w:t>
      </w:r>
      <w:r w:rsidR="000754C1" w:rsidRPr="00A2333E">
        <w:t>Norfolk QoL</w:t>
      </w:r>
      <w:r w:rsidR="000754C1" w:rsidRPr="00A2333E">
        <w:noBreakHyphen/>
        <w:t>DN</w:t>
      </w:r>
      <w:r w:rsidR="004C60C2" w:rsidRPr="00A2333E">
        <w:t xml:space="preserve"> score at 18 </w:t>
      </w:r>
      <w:r w:rsidR="00B85692" w:rsidRPr="00A2333E">
        <w:t xml:space="preserve">months; patients in the placebo group worsened and those in the patisiran group slightly improved (LSM difference between groups: </w:t>
      </w:r>
      <w:r w:rsidR="005D7A21" w:rsidRPr="00A2333E">
        <w:rPr>
          <w:rFonts w:cs="Arial"/>
        </w:rPr>
        <w:t>−</w:t>
      </w:r>
      <w:r w:rsidR="00B85692" w:rsidRPr="00A2333E">
        <w:t>21.1</w:t>
      </w:r>
      <w:r w:rsidR="000754C1" w:rsidRPr="00A2333E">
        <w:t>,</w:t>
      </w:r>
      <w:r w:rsidR="005D7A21" w:rsidRPr="00A2333E">
        <w:t xml:space="preserve"> </w:t>
      </w:r>
      <w:r w:rsidR="00B85692" w:rsidRPr="00A2333E">
        <w:t>p&lt;0.001).</w:t>
      </w:r>
      <w:r w:rsidR="00543DCC" w:rsidRPr="00A2333E">
        <w:t xml:space="preserve"> </w:t>
      </w:r>
      <w:r w:rsidR="00BA55EF" w:rsidRPr="00A2333E">
        <w:t>No</w:t>
      </w:r>
      <w:r w:rsidR="00543DCC" w:rsidRPr="00A2333E">
        <w:t xml:space="preserve"> MCID for the </w:t>
      </w:r>
      <w:r w:rsidR="003135E7" w:rsidRPr="00A2333E">
        <w:t>Norfolk QoL</w:t>
      </w:r>
      <w:r w:rsidR="000754C1" w:rsidRPr="00A2333E">
        <w:noBreakHyphen/>
      </w:r>
      <w:r w:rsidR="003135E7" w:rsidRPr="00A2333E">
        <w:t>DN</w:t>
      </w:r>
      <w:r w:rsidR="00543DCC" w:rsidRPr="00A2333E">
        <w:t xml:space="preserve"> </w:t>
      </w:r>
      <w:r w:rsidR="00270993" w:rsidRPr="00A2333E">
        <w:t xml:space="preserve">has been </w:t>
      </w:r>
      <w:r w:rsidR="00543DCC" w:rsidRPr="00A2333E">
        <w:t>reported in the literature</w:t>
      </w:r>
      <w:r w:rsidR="003135E7" w:rsidRPr="00A2333E">
        <w:t>.</w:t>
      </w:r>
      <w:r w:rsidR="00B85692" w:rsidRPr="00A2333E">
        <w:t xml:space="preserve"> Cardiac outcomes were shown to improve </w:t>
      </w:r>
      <w:r w:rsidR="000F17BF" w:rsidRPr="00A2333E">
        <w:t xml:space="preserve">more </w:t>
      </w:r>
      <w:r w:rsidR="00B85692" w:rsidRPr="00A2333E">
        <w:t>in the patisiran gr</w:t>
      </w:r>
      <w:r w:rsidR="004C60C2" w:rsidRPr="00A2333E">
        <w:t>oup compared with placebo at 18 </w:t>
      </w:r>
      <w:r w:rsidR="00B85692" w:rsidRPr="00A2333E">
        <w:t>months</w:t>
      </w:r>
      <w:r w:rsidR="000F17BF" w:rsidRPr="00A2333E">
        <w:t xml:space="preserve"> on most outcomes assessed</w:t>
      </w:r>
      <w:r w:rsidR="005B3E0D" w:rsidRPr="00A2333E">
        <w:t>, including left ventricular wall thickness (LSM difference between groups 0.9</w:t>
      </w:r>
      <w:r w:rsidR="005D7A21" w:rsidRPr="00A2333E">
        <w:t> </w:t>
      </w:r>
      <w:r w:rsidR="005B3E0D" w:rsidRPr="00A2333E">
        <w:t>mm, p=0.02) and global longitudinal strain (LSM difference between groups 1.37%, p=0.02)</w:t>
      </w:r>
      <w:r w:rsidR="000F17BF" w:rsidRPr="00A2333E">
        <w:t>.</w:t>
      </w:r>
      <w:r w:rsidR="00543DCC" w:rsidRPr="00A2333E">
        <w:t xml:space="preserve"> The </w:t>
      </w:r>
      <w:r w:rsidR="002B10DF" w:rsidRPr="00A2333E">
        <w:t xml:space="preserve">difference between patisiran and placebo group in </w:t>
      </w:r>
      <w:r w:rsidR="00543DCC" w:rsidRPr="00A2333E">
        <w:t>EQ</w:t>
      </w:r>
      <w:r w:rsidR="000754C1" w:rsidRPr="00A2333E">
        <w:noBreakHyphen/>
      </w:r>
      <w:r w:rsidR="00543DCC" w:rsidRPr="00A2333E">
        <w:t>5D</w:t>
      </w:r>
      <w:r w:rsidR="000754C1" w:rsidRPr="00A2333E">
        <w:noBreakHyphen/>
      </w:r>
      <w:r w:rsidR="00543DCC" w:rsidRPr="00A2333E">
        <w:t xml:space="preserve">5L </w:t>
      </w:r>
      <w:r w:rsidR="003135E7" w:rsidRPr="00A2333E">
        <w:t>was 0.09</w:t>
      </w:r>
      <w:r w:rsidR="000754C1" w:rsidRPr="00A2333E">
        <w:t xml:space="preserve"> points </w:t>
      </w:r>
      <w:r w:rsidR="004C60C2" w:rsidRPr="00A2333E">
        <w:t>at 9 </w:t>
      </w:r>
      <w:r w:rsidR="003135E7" w:rsidRPr="00A2333E">
        <w:t xml:space="preserve">months (95% </w:t>
      </w:r>
      <w:r w:rsidR="005D7A21" w:rsidRPr="00A2333E">
        <w:t>confidence interval [</w:t>
      </w:r>
      <w:r w:rsidR="003135E7" w:rsidRPr="00A2333E">
        <w:t>CI</w:t>
      </w:r>
      <w:r w:rsidR="005D7A21" w:rsidRPr="00A2333E">
        <w:t>]</w:t>
      </w:r>
      <w:r w:rsidR="003135E7" w:rsidRPr="00A2333E">
        <w:t xml:space="preserve"> 0.</w:t>
      </w:r>
      <w:r w:rsidR="000754C1" w:rsidRPr="00A2333E">
        <w:t>05 to </w:t>
      </w:r>
      <w:r w:rsidR="003135E7" w:rsidRPr="00A2333E">
        <w:t xml:space="preserve">0.14) </w:t>
      </w:r>
      <w:r w:rsidR="00543DCC" w:rsidRPr="00A2333E">
        <w:t xml:space="preserve">and </w:t>
      </w:r>
      <w:r w:rsidR="003135E7" w:rsidRPr="00A2333E">
        <w:t>0.20</w:t>
      </w:r>
      <w:r w:rsidR="000754C1" w:rsidRPr="00A2333E">
        <w:t> </w:t>
      </w:r>
      <w:r w:rsidR="003135E7" w:rsidRPr="00A2333E">
        <w:t>points (95%</w:t>
      </w:r>
      <w:r w:rsidR="000754C1" w:rsidRPr="00A2333E">
        <w:t> </w:t>
      </w:r>
      <w:r w:rsidR="003135E7" w:rsidRPr="00A2333E">
        <w:t>CI 0.15</w:t>
      </w:r>
      <w:r w:rsidR="000754C1" w:rsidRPr="00A2333E">
        <w:t> </w:t>
      </w:r>
      <w:r w:rsidR="000F17BF" w:rsidRPr="00A2333E">
        <w:t>to</w:t>
      </w:r>
      <w:r w:rsidR="000754C1" w:rsidRPr="00A2333E">
        <w:t> </w:t>
      </w:r>
      <w:r w:rsidR="003135E7" w:rsidRPr="00A2333E">
        <w:t>0.25) at 18</w:t>
      </w:r>
      <w:r w:rsidR="004C60C2" w:rsidRPr="00A2333E">
        <w:t> </w:t>
      </w:r>
      <w:r w:rsidR="003135E7" w:rsidRPr="00A2333E">
        <w:t>months</w:t>
      </w:r>
      <w:r w:rsidR="00543DCC" w:rsidRPr="00A2333E">
        <w:t>.</w:t>
      </w:r>
      <w:r w:rsidR="00B33FD6" w:rsidRPr="00A2333E">
        <w:t xml:space="preserve"> </w:t>
      </w:r>
      <w:r w:rsidR="0052040A" w:rsidRPr="00A2333E">
        <w:t>The</w:t>
      </w:r>
      <w:r w:rsidR="00BA55EF" w:rsidRPr="00A2333E">
        <w:t xml:space="preserve"> patient expert</w:t>
      </w:r>
      <w:r w:rsidR="0052040A" w:rsidRPr="00A2333E">
        <w:t>s</w:t>
      </w:r>
      <w:r w:rsidR="00BA55EF" w:rsidRPr="00A2333E">
        <w:t xml:space="preserve"> explained</w:t>
      </w:r>
      <w:r w:rsidR="009C6BA0" w:rsidRPr="00A2333E">
        <w:t xml:space="preserve"> that the benefits seen in the trial translate</w:t>
      </w:r>
      <w:r w:rsidR="00270993" w:rsidRPr="00A2333E">
        <w:t>d</w:t>
      </w:r>
      <w:r w:rsidR="009C6BA0" w:rsidRPr="00A2333E">
        <w:t xml:space="preserve"> in</w:t>
      </w:r>
      <w:r w:rsidR="0052040A" w:rsidRPr="00A2333E">
        <w:t>to</w:t>
      </w:r>
      <w:r w:rsidR="009C6BA0" w:rsidRPr="00A2333E">
        <w:t xml:space="preserve"> </w:t>
      </w:r>
      <w:r w:rsidR="0052040A" w:rsidRPr="00A2333E">
        <w:t xml:space="preserve">a </w:t>
      </w:r>
      <w:r w:rsidR="00E84C61" w:rsidRPr="00A2333E">
        <w:t xml:space="preserve">marked </w:t>
      </w:r>
      <w:r w:rsidR="00D261AE" w:rsidRPr="00A2333E">
        <w:t xml:space="preserve">effect </w:t>
      </w:r>
      <w:r w:rsidR="0052040A" w:rsidRPr="00A2333E">
        <w:t>o</w:t>
      </w:r>
      <w:r w:rsidR="009C6BA0" w:rsidRPr="00A2333E">
        <w:t>n patients’ lives. For example,</w:t>
      </w:r>
      <w:r w:rsidR="00B9228A" w:rsidRPr="00A2333E">
        <w:t xml:space="preserve"> </w:t>
      </w:r>
      <w:r w:rsidR="000754C1" w:rsidRPr="00A2333E">
        <w:t xml:space="preserve">after </w:t>
      </w:r>
      <w:r w:rsidR="0052040A" w:rsidRPr="00A2333E">
        <w:t>having</w:t>
      </w:r>
      <w:r w:rsidR="00B9228A" w:rsidRPr="00A2333E">
        <w:t xml:space="preserve"> patisiran,</w:t>
      </w:r>
      <w:r w:rsidR="0052040A" w:rsidRPr="00A2333E">
        <w:t xml:space="preserve"> some people report</w:t>
      </w:r>
      <w:r w:rsidR="00E84C61" w:rsidRPr="00A2333E">
        <w:t>ed regaining</w:t>
      </w:r>
      <w:r w:rsidR="00B9228A" w:rsidRPr="00A2333E">
        <w:t xml:space="preserve"> a social </w:t>
      </w:r>
      <w:r w:rsidR="00E4491A" w:rsidRPr="00A2333E">
        <w:t>life, not hav</w:t>
      </w:r>
      <w:r w:rsidR="0052040A" w:rsidRPr="00A2333E">
        <w:t>ing</w:t>
      </w:r>
      <w:r w:rsidR="00E4491A" w:rsidRPr="00A2333E">
        <w:t xml:space="preserve"> to wear </w:t>
      </w:r>
      <w:r w:rsidR="000F17BF" w:rsidRPr="00A2333E">
        <w:t>incontinence pads</w:t>
      </w:r>
      <w:r w:rsidR="00E4491A" w:rsidRPr="00A2333E">
        <w:t xml:space="preserve"> and </w:t>
      </w:r>
      <w:r w:rsidR="0052040A" w:rsidRPr="00A2333E">
        <w:t xml:space="preserve">being able to </w:t>
      </w:r>
      <w:r w:rsidR="00E4491A" w:rsidRPr="00A2333E">
        <w:t xml:space="preserve">go to </w:t>
      </w:r>
      <w:r w:rsidR="000F17BF" w:rsidRPr="00A2333E">
        <w:t>a</w:t>
      </w:r>
      <w:r w:rsidR="00E4491A" w:rsidRPr="00A2333E">
        <w:t xml:space="preserve"> restaurant without worrying about </w:t>
      </w:r>
      <w:r w:rsidR="00660010" w:rsidRPr="00A2333E">
        <w:t>debilitating</w:t>
      </w:r>
      <w:r w:rsidR="00E4491A" w:rsidRPr="00A2333E">
        <w:t xml:space="preserve"> </w:t>
      </w:r>
      <w:r w:rsidR="00E84C61" w:rsidRPr="00A2333E">
        <w:t xml:space="preserve">bowel </w:t>
      </w:r>
      <w:r w:rsidR="00E4491A" w:rsidRPr="00A2333E">
        <w:t>symptoms</w:t>
      </w:r>
      <w:r w:rsidR="00BA55EF" w:rsidRPr="00A2333E">
        <w:t>.</w:t>
      </w:r>
      <w:r w:rsidR="00B9228A" w:rsidRPr="00A2333E">
        <w:t xml:space="preserve"> </w:t>
      </w:r>
      <w:r w:rsidR="0052040A" w:rsidRPr="00A2333E">
        <w:t>Another patient who has</w:t>
      </w:r>
      <w:r w:rsidR="00B9228A" w:rsidRPr="00A2333E">
        <w:t xml:space="preserve"> </w:t>
      </w:r>
      <w:r w:rsidR="00AE644B" w:rsidRPr="00A2333E">
        <w:t xml:space="preserve">had </w:t>
      </w:r>
      <w:r w:rsidR="00E4491A" w:rsidRPr="00A2333E">
        <w:t>patisiran for 4.5</w:t>
      </w:r>
      <w:r w:rsidR="004C60C2" w:rsidRPr="00A2333E">
        <w:t> </w:t>
      </w:r>
      <w:r w:rsidR="00E4491A" w:rsidRPr="00A2333E">
        <w:t>years</w:t>
      </w:r>
      <w:r w:rsidR="0052040A" w:rsidRPr="00A2333E">
        <w:t xml:space="preserve"> has</w:t>
      </w:r>
      <w:r w:rsidR="00B9228A" w:rsidRPr="00A2333E">
        <w:t xml:space="preserve"> </w:t>
      </w:r>
      <w:r w:rsidR="00E4491A" w:rsidRPr="00A2333E">
        <w:t xml:space="preserve">started to walk again and is now back </w:t>
      </w:r>
      <w:r w:rsidR="000754C1" w:rsidRPr="00A2333E">
        <w:t xml:space="preserve">at </w:t>
      </w:r>
      <w:r w:rsidR="00E4491A" w:rsidRPr="00A2333E">
        <w:t>work full time</w:t>
      </w:r>
      <w:r w:rsidR="009C6BA0" w:rsidRPr="00A2333E">
        <w:t>.</w:t>
      </w:r>
      <w:r w:rsidR="00B9228A" w:rsidRPr="00A2333E">
        <w:t xml:space="preserve"> </w:t>
      </w:r>
      <w:r w:rsidR="000B48A1" w:rsidRPr="00A2333E">
        <w:t>The clinical experts described th</w:t>
      </w:r>
      <w:r w:rsidR="0052040A" w:rsidRPr="00A2333E">
        <w:t>at</w:t>
      </w:r>
      <w:r w:rsidR="000B48A1" w:rsidRPr="00A2333E">
        <w:t xml:space="preserve"> </w:t>
      </w:r>
      <w:r w:rsidR="0052040A" w:rsidRPr="00A2333E">
        <w:t xml:space="preserve">a </w:t>
      </w:r>
      <w:r w:rsidR="000B48A1" w:rsidRPr="00A2333E">
        <w:t xml:space="preserve">reduction of amyloid </w:t>
      </w:r>
      <w:r w:rsidR="0052040A" w:rsidRPr="00A2333E">
        <w:t xml:space="preserve">deposits </w:t>
      </w:r>
      <w:r w:rsidR="000B48A1" w:rsidRPr="00A2333E">
        <w:t xml:space="preserve">in organs </w:t>
      </w:r>
      <w:r w:rsidR="0052040A" w:rsidRPr="00A2333E">
        <w:t xml:space="preserve">has been </w:t>
      </w:r>
      <w:r w:rsidR="000B48A1" w:rsidRPr="00A2333E">
        <w:t xml:space="preserve">seen in </w:t>
      </w:r>
      <w:r w:rsidR="000754C1" w:rsidRPr="00A2333E">
        <w:t xml:space="preserve">the </w:t>
      </w:r>
      <w:r w:rsidR="000B48A1" w:rsidRPr="00A2333E">
        <w:t xml:space="preserve">medical imaging </w:t>
      </w:r>
      <w:r w:rsidR="00E84C61" w:rsidRPr="00A2333E">
        <w:t xml:space="preserve">of </w:t>
      </w:r>
      <w:r w:rsidR="0052040A" w:rsidRPr="00A2333E">
        <w:t>some patients. This</w:t>
      </w:r>
      <w:r w:rsidR="00270993" w:rsidRPr="00A2333E">
        <w:t>,</w:t>
      </w:r>
      <w:r w:rsidR="000B48A1" w:rsidRPr="00A2333E">
        <w:t xml:space="preserve"> together with the APOLLO results and </w:t>
      </w:r>
      <w:r w:rsidR="0052040A" w:rsidRPr="00A2333E">
        <w:t xml:space="preserve">other improvements </w:t>
      </w:r>
      <w:r w:rsidR="000B48A1" w:rsidRPr="00A2333E">
        <w:t xml:space="preserve">in </w:t>
      </w:r>
      <w:r w:rsidR="0052040A" w:rsidRPr="00A2333E">
        <w:t xml:space="preserve">some of the patients they </w:t>
      </w:r>
      <w:r w:rsidR="00270993" w:rsidRPr="00A2333E">
        <w:t xml:space="preserve">see </w:t>
      </w:r>
      <w:r w:rsidR="0052040A" w:rsidRPr="00A2333E">
        <w:t xml:space="preserve">in </w:t>
      </w:r>
      <w:r w:rsidR="000B48A1" w:rsidRPr="00A2333E">
        <w:t>clinical practice</w:t>
      </w:r>
      <w:r w:rsidR="00270993" w:rsidRPr="00A2333E">
        <w:t>,</w:t>
      </w:r>
      <w:r w:rsidR="0052040A" w:rsidRPr="00A2333E">
        <w:t xml:space="preserve"> </w:t>
      </w:r>
      <w:r w:rsidR="00E84C61" w:rsidRPr="00A2333E">
        <w:t xml:space="preserve">persuaded them </w:t>
      </w:r>
      <w:r w:rsidR="0052040A" w:rsidRPr="00A2333E">
        <w:t>that</w:t>
      </w:r>
      <w:r w:rsidR="000B48A1" w:rsidRPr="00A2333E">
        <w:t xml:space="preserve"> patisiran </w:t>
      </w:r>
      <w:r w:rsidR="00E84C61" w:rsidRPr="00A2333E">
        <w:t xml:space="preserve">could provide </w:t>
      </w:r>
      <w:r w:rsidR="000B48A1" w:rsidRPr="00A2333E">
        <w:t xml:space="preserve">compelling </w:t>
      </w:r>
      <w:r w:rsidR="00E84C61" w:rsidRPr="00A2333E">
        <w:t>benefits</w:t>
      </w:r>
      <w:r w:rsidR="000B48A1" w:rsidRPr="00A2333E">
        <w:t>. The</w:t>
      </w:r>
      <w:r w:rsidR="00660010" w:rsidRPr="00A2333E">
        <w:t>y</w:t>
      </w:r>
      <w:r w:rsidR="000B48A1" w:rsidRPr="00A2333E">
        <w:t xml:space="preserve"> added </w:t>
      </w:r>
      <w:r w:rsidR="00270993" w:rsidRPr="00A2333E">
        <w:t xml:space="preserve">that </w:t>
      </w:r>
      <w:r w:rsidR="000B48A1" w:rsidRPr="00A2333E">
        <w:t xml:space="preserve">the </w:t>
      </w:r>
      <w:r w:rsidR="00E84C61" w:rsidRPr="00A2333E">
        <w:t xml:space="preserve">effect </w:t>
      </w:r>
      <w:r w:rsidR="000B48A1" w:rsidRPr="00A2333E">
        <w:t xml:space="preserve">was expected to increase over the time patients </w:t>
      </w:r>
      <w:r w:rsidR="00AE644B" w:rsidRPr="00A2333E">
        <w:t xml:space="preserve">have </w:t>
      </w:r>
      <w:r w:rsidR="000B48A1" w:rsidRPr="00A2333E">
        <w:t>patisiran.</w:t>
      </w:r>
      <w:r w:rsidR="0052040A" w:rsidRPr="00A2333E">
        <w:t xml:space="preserve"> This is because</w:t>
      </w:r>
      <w:r w:rsidR="000754C1" w:rsidRPr="00A2333E">
        <w:t>,</w:t>
      </w:r>
      <w:r w:rsidR="0052040A" w:rsidRPr="00A2333E">
        <w:t xml:space="preserve"> </w:t>
      </w:r>
      <w:r w:rsidR="008728FB" w:rsidRPr="00A2333E">
        <w:t>while</w:t>
      </w:r>
      <w:r w:rsidR="00E84C61" w:rsidRPr="00A2333E">
        <w:t xml:space="preserve"> </w:t>
      </w:r>
      <w:r w:rsidR="0052040A" w:rsidRPr="00A2333E">
        <w:t>TTR production</w:t>
      </w:r>
      <w:r w:rsidR="008728FB" w:rsidRPr="00A2333E">
        <w:t xml:space="preserve"> is supressed</w:t>
      </w:r>
      <w:r w:rsidR="000754C1" w:rsidRPr="00A2333E">
        <w:t>,</w:t>
      </w:r>
      <w:r w:rsidR="0052040A" w:rsidRPr="00A2333E">
        <w:t xml:space="preserve"> the body </w:t>
      </w:r>
      <w:proofErr w:type="gramStart"/>
      <w:r w:rsidR="0052040A" w:rsidRPr="00A2333E">
        <w:t>is able to</w:t>
      </w:r>
      <w:proofErr w:type="gramEnd"/>
      <w:r w:rsidR="0052040A" w:rsidRPr="00A2333E">
        <w:t xml:space="preserve"> clear accumulated amyloid deposits.</w:t>
      </w:r>
      <w:r w:rsidR="000B48A1" w:rsidRPr="00A2333E">
        <w:t xml:space="preserve"> </w:t>
      </w:r>
      <w:bookmarkEnd w:id="17"/>
      <w:bookmarkEnd w:id="18"/>
      <w:r w:rsidR="002025B8" w:rsidRPr="00A2333E">
        <w:t xml:space="preserve">The committee therefore concluded that the evidence showed </w:t>
      </w:r>
      <w:r w:rsidR="002025B8" w:rsidRPr="00A2333E">
        <w:lastRenderedPageBreak/>
        <w:t>that patisiran offers considerable benefit for patients and that</w:t>
      </w:r>
      <w:r w:rsidR="006A5181">
        <w:t>,</w:t>
      </w:r>
      <w:r w:rsidR="002025B8" w:rsidRPr="00A2333E">
        <w:t xml:space="preserve"> in addition to stopping disease progression</w:t>
      </w:r>
      <w:r w:rsidR="004F169D" w:rsidRPr="00A2333E">
        <w:t>, patisiran</w:t>
      </w:r>
      <w:r w:rsidR="002025B8" w:rsidRPr="00A2333E">
        <w:t xml:space="preserve"> </w:t>
      </w:r>
      <w:r w:rsidR="00E714B9" w:rsidRPr="00A2333E">
        <w:rPr>
          <w:color w:val="000000" w:themeColor="text1"/>
        </w:rPr>
        <w:t>has the potential</w:t>
      </w:r>
      <w:r w:rsidR="002025B8" w:rsidRPr="00A2333E">
        <w:rPr>
          <w:color w:val="000000" w:themeColor="text1"/>
        </w:rPr>
        <w:t xml:space="preserve"> to reverse it.</w:t>
      </w:r>
    </w:p>
    <w:p w14:paraId="3255E613" w14:textId="77777777" w:rsidR="0069727A" w:rsidRPr="00A2333E" w:rsidRDefault="0069727A" w:rsidP="0069727A">
      <w:pPr>
        <w:pStyle w:val="Heading3"/>
      </w:pPr>
      <w:r w:rsidRPr="00A2333E">
        <w:t>Long-term benefits of patisiran</w:t>
      </w:r>
    </w:p>
    <w:p w14:paraId="24683222" w14:textId="77777777" w:rsidR="0069727A" w:rsidRPr="00A2333E" w:rsidRDefault="00D26C84" w:rsidP="00477605">
      <w:pPr>
        <w:pStyle w:val="Numberedlevel2text"/>
      </w:pPr>
      <w:bookmarkStart w:id="19" w:name="_Ref530321495"/>
      <w:r w:rsidRPr="00A2333E">
        <w:t xml:space="preserve">The </w:t>
      </w:r>
      <w:r w:rsidR="00AC379E" w:rsidRPr="00A2333E">
        <w:t>committee</w:t>
      </w:r>
      <w:r w:rsidRPr="00A2333E">
        <w:t xml:space="preserve"> </w:t>
      </w:r>
      <w:r w:rsidR="00DE7E27" w:rsidRPr="00A2333E">
        <w:t>recalled</w:t>
      </w:r>
      <w:r w:rsidR="001D0DF5" w:rsidRPr="00A2333E">
        <w:t xml:space="preserve"> that </w:t>
      </w:r>
      <w:r w:rsidR="00DE7E27" w:rsidRPr="00A2333E">
        <w:t>APOLLO collected data for up to 18</w:t>
      </w:r>
      <w:r w:rsidR="004C60C2" w:rsidRPr="00A2333E">
        <w:t> </w:t>
      </w:r>
      <w:r w:rsidR="00DE7E27" w:rsidRPr="00A2333E">
        <w:t xml:space="preserve">months and </w:t>
      </w:r>
      <w:r w:rsidR="001D0DF5" w:rsidRPr="00A2333E">
        <w:t>Global</w:t>
      </w:r>
      <w:r w:rsidR="003135E7" w:rsidRPr="00A2333E">
        <w:t xml:space="preserve"> OLE was ongoing and collect</w:t>
      </w:r>
      <w:r w:rsidR="0052040A" w:rsidRPr="00A2333E">
        <w:t>ing</w:t>
      </w:r>
      <w:r w:rsidR="003135E7" w:rsidRPr="00A2333E">
        <w:t xml:space="preserve"> efficacy and safety data </w:t>
      </w:r>
      <w:r w:rsidR="00477605" w:rsidRPr="00A2333E">
        <w:t xml:space="preserve">for </w:t>
      </w:r>
      <w:r w:rsidR="003135E7" w:rsidRPr="00A2333E">
        <w:t>up to 5</w:t>
      </w:r>
      <w:r w:rsidR="004C60C2" w:rsidRPr="00A2333E">
        <w:t> </w:t>
      </w:r>
      <w:r w:rsidR="003135E7" w:rsidRPr="00A2333E">
        <w:t>years</w:t>
      </w:r>
      <w:r w:rsidR="00AC379E" w:rsidRPr="00A2333E">
        <w:t xml:space="preserve">. </w:t>
      </w:r>
      <w:r w:rsidR="0052040A" w:rsidRPr="00A2333E">
        <w:t>T</w:t>
      </w:r>
      <w:r w:rsidR="00AC379E" w:rsidRPr="00A2333E">
        <w:t>he company presente</w:t>
      </w:r>
      <w:r w:rsidR="001D0DF5" w:rsidRPr="00A2333E">
        <w:t xml:space="preserve">d </w:t>
      </w:r>
      <w:r w:rsidR="0052040A" w:rsidRPr="00A2333E">
        <w:t xml:space="preserve">the </w:t>
      </w:r>
      <w:r w:rsidR="001D0DF5" w:rsidRPr="00A2333E">
        <w:t xml:space="preserve">interim data cut </w:t>
      </w:r>
      <w:r w:rsidR="00425B8A" w:rsidRPr="00A2333E">
        <w:t xml:space="preserve">at </w:t>
      </w:r>
      <w:r w:rsidR="001D0DF5" w:rsidRPr="00A2333E">
        <w:t>52</w:t>
      </w:r>
      <w:r w:rsidR="004C60C2" w:rsidRPr="00A2333E">
        <w:t> </w:t>
      </w:r>
      <w:r w:rsidR="001D0DF5" w:rsidRPr="00A2333E">
        <w:t>weeks</w:t>
      </w:r>
      <w:r w:rsidR="000754C1" w:rsidRPr="00A2333E">
        <w:t>,</w:t>
      </w:r>
      <w:r w:rsidR="001D0DF5" w:rsidRPr="00A2333E">
        <w:t xml:space="preserve"> </w:t>
      </w:r>
      <w:r w:rsidR="00425B8A" w:rsidRPr="00A2333E">
        <w:t xml:space="preserve">at </w:t>
      </w:r>
      <w:r w:rsidR="001D0DF5" w:rsidRPr="00A2333E">
        <w:t xml:space="preserve">which </w:t>
      </w:r>
      <w:r w:rsidR="00425B8A" w:rsidRPr="00A2333E">
        <w:t xml:space="preserve">time </w:t>
      </w:r>
      <w:r w:rsidR="00AC379E" w:rsidRPr="00A2333E">
        <w:t xml:space="preserve">patients </w:t>
      </w:r>
      <w:r w:rsidR="00425B8A" w:rsidRPr="00A2333E">
        <w:t xml:space="preserve">had </w:t>
      </w:r>
      <w:r w:rsidR="000754C1" w:rsidRPr="00A2333E">
        <w:t xml:space="preserve">had treatment </w:t>
      </w:r>
      <w:r w:rsidR="00AC379E" w:rsidRPr="00A2333E">
        <w:t xml:space="preserve">with patisiran for up to </w:t>
      </w:r>
      <w:r w:rsidR="003135E7" w:rsidRPr="00A2333E">
        <w:t>48</w:t>
      </w:r>
      <w:r w:rsidR="004C60C2" w:rsidRPr="00A2333E">
        <w:t> </w:t>
      </w:r>
      <w:r w:rsidR="003135E7" w:rsidRPr="00A2333E">
        <w:t>months</w:t>
      </w:r>
      <w:r w:rsidR="00AC379E" w:rsidRPr="00A2333E">
        <w:t xml:space="preserve">. </w:t>
      </w:r>
      <w:r w:rsidR="00D96434" w:rsidRPr="00A2333E">
        <w:t>T</w:t>
      </w:r>
      <w:r w:rsidR="00AC379E" w:rsidRPr="00A2333E">
        <w:t xml:space="preserve">he ERG noted that these data should be </w:t>
      </w:r>
      <w:r w:rsidR="0052040A" w:rsidRPr="00A2333E">
        <w:t>interpreted</w:t>
      </w:r>
      <w:r w:rsidR="00AC379E" w:rsidRPr="00A2333E">
        <w:t xml:space="preserve"> with caution because </w:t>
      </w:r>
      <w:r w:rsidR="00270993" w:rsidRPr="00A2333E">
        <w:t xml:space="preserve">they </w:t>
      </w:r>
      <w:r w:rsidR="00F9070D" w:rsidRPr="00A2333E">
        <w:t>include</w:t>
      </w:r>
      <w:r w:rsidR="00425B8A" w:rsidRPr="00A2333E">
        <w:t>d</w:t>
      </w:r>
      <w:r w:rsidR="001D0DF5" w:rsidRPr="00A2333E">
        <w:t xml:space="preserve"> </w:t>
      </w:r>
      <w:r w:rsidR="00477605" w:rsidRPr="00A2333E">
        <w:t xml:space="preserve">patients </w:t>
      </w:r>
      <w:r w:rsidR="000754C1" w:rsidRPr="00A2333E">
        <w:t xml:space="preserve">who had had treatment </w:t>
      </w:r>
      <w:r w:rsidR="00477605" w:rsidRPr="00A2333E">
        <w:t>with patisiran for different durations</w:t>
      </w:r>
      <w:r w:rsidR="0052040A" w:rsidRPr="00A2333E">
        <w:t>, depending on when they entered the study</w:t>
      </w:r>
      <w:r w:rsidR="00477605" w:rsidRPr="00A2333E">
        <w:t>.</w:t>
      </w:r>
      <w:r w:rsidR="00BD758A" w:rsidRPr="00A2333E">
        <w:t xml:space="preserve"> </w:t>
      </w:r>
      <w:r w:rsidR="00477605" w:rsidRPr="00A2333E">
        <w:t xml:space="preserve">The committee was </w:t>
      </w:r>
      <w:r w:rsidR="00BD758A" w:rsidRPr="00A2333E">
        <w:t xml:space="preserve">also </w:t>
      </w:r>
      <w:r w:rsidR="00477605" w:rsidRPr="00A2333E">
        <w:t xml:space="preserve">aware that patisiran </w:t>
      </w:r>
      <w:r w:rsidR="00127207" w:rsidRPr="00A2333E">
        <w:t>has been available through</w:t>
      </w:r>
      <w:r w:rsidR="00477605" w:rsidRPr="00A2333E">
        <w:t xml:space="preserve"> the Early Access to Medicines Scheme </w:t>
      </w:r>
      <w:r w:rsidR="00127207" w:rsidRPr="00A2333E">
        <w:t>and that</w:t>
      </w:r>
      <w:r w:rsidR="00BD758A" w:rsidRPr="00A2333E">
        <w:t xml:space="preserve"> the </w:t>
      </w:r>
      <w:r w:rsidR="00477605" w:rsidRPr="00A2333E">
        <w:t>company intend</w:t>
      </w:r>
      <w:r w:rsidR="00BD758A" w:rsidRPr="00A2333E">
        <w:t>ed</w:t>
      </w:r>
      <w:r w:rsidR="00477605" w:rsidRPr="00A2333E">
        <w:t xml:space="preserve"> to release data</w:t>
      </w:r>
      <w:r w:rsidR="00127207" w:rsidRPr="00A2333E">
        <w:t xml:space="preserve"> collected as part of this</w:t>
      </w:r>
      <w:r w:rsidR="00477605" w:rsidRPr="00A2333E">
        <w:t xml:space="preserve"> </w:t>
      </w:r>
      <w:r w:rsidR="00BD758A" w:rsidRPr="00A2333E">
        <w:t>in</w:t>
      </w:r>
      <w:r w:rsidR="00477605" w:rsidRPr="00A2333E">
        <w:t xml:space="preserve"> the next 12</w:t>
      </w:r>
      <w:r w:rsidR="004C60C2" w:rsidRPr="00A2333E">
        <w:t> </w:t>
      </w:r>
      <w:r w:rsidR="00477605" w:rsidRPr="00A2333E">
        <w:t>months.</w:t>
      </w:r>
      <w:r w:rsidR="00B33FD6" w:rsidRPr="00A2333E">
        <w:t xml:space="preserve"> </w:t>
      </w:r>
      <w:r w:rsidR="00401C90" w:rsidRPr="00A2333E">
        <w:t>Clinical experts advised that the clinical benefit</w:t>
      </w:r>
      <w:r w:rsidR="006641D8" w:rsidRPr="00A2333E">
        <w:t>s</w:t>
      </w:r>
      <w:r w:rsidR="00401C90" w:rsidRPr="00A2333E">
        <w:t xml:space="preserve"> of patisiran seem to be maintained in patients who have been </w:t>
      </w:r>
      <w:r w:rsidR="006641D8" w:rsidRPr="00A2333E">
        <w:t xml:space="preserve">having </w:t>
      </w:r>
      <w:r w:rsidR="00401C90" w:rsidRPr="00A2333E">
        <w:t>treatment for 5</w:t>
      </w:r>
      <w:r w:rsidR="006641D8" w:rsidRPr="00A2333E">
        <w:t> </w:t>
      </w:r>
      <w:r w:rsidR="00401C90" w:rsidRPr="00A2333E">
        <w:t xml:space="preserve">years. </w:t>
      </w:r>
      <w:r w:rsidR="00B33FD6" w:rsidRPr="00A2333E">
        <w:t>The committee concluded that</w:t>
      </w:r>
      <w:r w:rsidR="00BD758A" w:rsidRPr="00A2333E">
        <w:t xml:space="preserve"> there was no long-term clinical evidence </w:t>
      </w:r>
      <w:r w:rsidR="00477C3F" w:rsidRPr="00A2333E">
        <w:t xml:space="preserve">available </w:t>
      </w:r>
      <w:r w:rsidR="00BD758A" w:rsidRPr="00A2333E">
        <w:t>for patisiran</w:t>
      </w:r>
      <w:r w:rsidR="00477C3F" w:rsidRPr="00A2333E">
        <w:t>, but</w:t>
      </w:r>
      <w:r w:rsidR="00BD758A" w:rsidRPr="00A2333E">
        <w:t xml:space="preserve"> </w:t>
      </w:r>
      <w:bookmarkEnd w:id="19"/>
      <w:r w:rsidR="00CE4DB9" w:rsidRPr="00A2333E">
        <w:t xml:space="preserve">future benefits </w:t>
      </w:r>
      <w:r w:rsidR="00E714B9" w:rsidRPr="00A2333E">
        <w:t xml:space="preserve">could </w:t>
      </w:r>
      <w:r w:rsidR="00CE4DB9" w:rsidRPr="00A2333E">
        <w:t xml:space="preserve">be </w:t>
      </w:r>
      <w:r w:rsidR="00447FE2" w:rsidRPr="00A2333E">
        <w:t>greater</w:t>
      </w:r>
      <w:r w:rsidR="00CE4DB9" w:rsidRPr="00A2333E">
        <w:t xml:space="preserve"> </w:t>
      </w:r>
      <w:r w:rsidR="00B15AEE" w:rsidRPr="00A2333E">
        <w:t>than what was presented to the committee.</w:t>
      </w:r>
    </w:p>
    <w:p w14:paraId="4C5803EA" w14:textId="77777777" w:rsidR="00AA2C81" w:rsidRPr="00A2333E" w:rsidRDefault="00AA2C81" w:rsidP="00AA2C81">
      <w:pPr>
        <w:pStyle w:val="Heading3"/>
      </w:pPr>
      <w:r w:rsidRPr="00A2333E">
        <w:t>Starting and stopping patisiran treatment</w:t>
      </w:r>
    </w:p>
    <w:p w14:paraId="679AFF5F" w14:textId="77777777" w:rsidR="00E70247" w:rsidRPr="00A2333E" w:rsidRDefault="00425B8A" w:rsidP="00C4503D">
      <w:pPr>
        <w:pStyle w:val="Numberedlevel2text"/>
        <w:rPr>
          <w:sz w:val="30"/>
          <w:szCs w:val="30"/>
        </w:rPr>
      </w:pPr>
      <w:bookmarkStart w:id="20" w:name="_Ref530404124"/>
      <w:r w:rsidRPr="00A2333E">
        <w:t>The marketing authorisation for patisiran states that it is indicated for treat</w:t>
      </w:r>
      <w:r w:rsidR="00FF7F23" w:rsidRPr="00A2333E">
        <w:t>ing</w:t>
      </w:r>
      <w:r w:rsidRPr="00A2333E">
        <w:t xml:space="preserve"> hATTR amyloidosis at</w:t>
      </w:r>
      <w:r w:rsidR="00A512AA" w:rsidRPr="00A2333E">
        <w:t xml:space="preserve"> </w:t>
      </w:r>
      <w:r w:rsidR="00AA2C81" w:rsidRPr="00A2333E">
        <w:t>FAP</w:t>
      </w:r>
      <w:r w:rsidR="00E70247" w:rsidRPr="00A2333E">
        <w:t xml:space="preserve"> stage</w:t>
      </w:r>
      <w:r w:rsidR="000754C1" w:rsidRPr="00A2333E">
        <w:t>s 1</w:t>
      </w:r>
      <w:r w:rsidR="00E70247" w:rsidRPr="00A2333E">
        <w:t xml:space="preserve"> and</w:t>
      </w:r>
      <w:r w:rsidR="000754C1" w:rsidRPr="00A2333E">
        <w:t> 2</w:t>
      </w:r>
      <w:r w:rsidR="00AA2C81" w:rsidRPr="00A2333E">
        <w:t xml:space="preserve">. The clinical experts explained that this reflected the APOLLO trial and means that </w:t>
      </w:r>
      <w:r w:rsidR="00AE644B" w:rsidRPr="00A2333E">
        <w:t xml:space="preserve">people </w:t>
      </w:r>
      <w:r w:rsidR="00AA2C81" w:rsidRPr="00A2333E">
        <w:t xml:space="preserve">with </w:t>
      </w:r>
      <w:r w:rsidR="009402F1" w:rsidRPr="00A2333E">
        <w:t>no symptoms</w:t>
      </w:r>
      <w:r w:rsidR="00AA2C81" w:rsidRPr="00A2333E">
        <w:t xml:space="preserve"> would not be treated. The summary of product characteristics for patisiran does not explicitly discuss when it is appropriate to stop treatment with patisiran. </w:t>
      </w:r>
      <w:r w:rsidR="00827489" w:rsidRPr="00A2333E">
        <w:t>According to clinical experts, t</w:t>
      </w:r>
      <w:r w:rsidR="0016294C" w:rsidRPr="00A2333E">
        <w:t xml:space="preserve">he main circumstance in which it might be appropriate to </w:t>
      </w:r>
      <w:r w:rsidR="006641D8" w:rsidRPr="00A2333E">
        <w:t>stop treatment</w:t>
      </w:r>
      <w:r w:rsidR="0016294C" w:rsidRPr="00A2333E">
        <w:t xml:space="preserve"> </w:t>
      </w:r>
      <w:r w:rsidR="006641D8" w:rsidRPr="00A2333E">
        <w:t xml:space="preserve">is </w:t>
      </w:r>
      <w:r w:rsidR="0016294C" w:rsidRPr="00A2333E">
        <w:t xml:space="preserve">if TTR reduction </w:t>
      </w:r>
      <w:r w:rsidR="006641D8" w:rsidRPr="00A2333E">
        <w:t xml:space="preserve">is </w:t>
      </w:r>
      <w:r w:rsidR="0016294C" w:rsidRPr="00A2333E">
        <w:t xml:space="preserve">not maintained. </w:t>
      </w:r>
      <w:r w:rsidR="006641D8" w:rsidRPr="00A2333E">
        <w:t xml:space="preserve">However, </w:t>
      </w:r>
      <w:r w:rsidR="006A5181">
        <w:t xml:space="preserve">the clinical </w:t>
      </w:r>
      <w:r w:rsidR="00D3415E" w:rsidRPr="00A2333E">
        <w:t xml:space="preserve">experts </w:t>
      </w:r>
      <w:r w:rsidR="00AA2C81" w:rsidRPr="00A2333E">
        <w:t xml:space="preserve">noted that their experience </w:t>
      </w:r>
      <w:r w:rsidRPr="00A2333E">
        <w:t xml:space="preserve">and expectation </w:t>
      </w:r>
      <w:r w:rsidR="006641D8" w:rsidRPr="00A2333E">
        <w:t xml:space="preserve">was </w:t>
      </w:r>
      <w:r w:rsidRPr="00A2333E">
        <w:t xml:space="preserve">that </w:t>
      </w:r>
      <w:r w:rsidR="00AA2C81" w:rsidRPr="00A2333E">
        <w:t xml:space="preserve">very few people </w:t>
      </w:r>
      <w:r w:rsidRPr="00A2333E">
        <w:t xml:space="preserve">would </w:t>
      </w:r>
      <w:r w:rsidR="00AE644B" w:rsidRPr="00A2333E">
        <w:t xml:space="preserve">stop </w:t>
      </w:r>
      <w:r w:rsidR="001B3528" w:rsidRPr="00A2333E">
        <w:t>the drug</w:t>
      </w:r>
      <w:r w:rsidR="00D3415E" w:rsidRPr="00A2333E">
        <w:t xml:space="preserve">. </w:t>
      </w:r>
      <w:r w:rsidR="00AA2C81" w:rsidRPr="00A2333E">
        <w:t xml:space="preserve">NHS England </w:t>
      </w:r>
      <w:r w:rsidR="00C4503D" w:rsidRPr="00A2333E">
        <w:t xml:space="preserve">stated </w:t>
      </w:r>
      <w:r w:rsidR="00AA2C81" w:rsidRPr="00A2333E">
        <w:t xml:space="preserve">that treatment should stop when </w:t>
      </w:r>
      <w:r w:rsidR="00AE644B" w:rsidRPr="00A2333E">
        <w:t xml:space="preserve">the condition </w:t>
      </w:r>
      <w:r w:rsidR="00AA2C81" w:rsidRPr="00A2333E">
        <w:t>progress to FAP stage</w:t>
      </w:r>
      <w:r w:rsidR="00CB1EBD" w:rsidRPr="00A2333E">
        <w:t> 3</w:t>
      </w:r>
      <w:r w:rsidR="00AA2C81" w:rsidRPr="00A2333E">
        <w:t xml:space="preserve"> (see</w:t>
      </w:r>
      <w:r w:rsidR="00542870" w:rsidRPr="00A2333E">
        <w:t xml:space="preserve"> </w:t>
      </w:r>
      <w:r w:rsidR="00D40A12" w:rsidRPr="00A2333E">
        <w:fldChar w:fldCharType="begin"/>
      </w:r>
      <w:r w:rsidR="00542870" w:rsidRPr="00A2333E">
        <w:instrText xml:space="preserve"> REF _Ref530402936 \h </w:instrText>
      </w:r>
      <w:r w:rsidR="00D40A12" w:rsidRPr="00A2333E">
        <w:fldChar w:fldCharType="separate"/>
      </w:r>
      <w:r w:rsidR="001B3528" w:rsidRPr="00A2333E">
        <w:t>t</w:t>
      </w:r>
      <w:r w:rsidR="00542870" w:rsidRPr="00A2333E">
        <w:t>able</w:t>
      </w:r>
      <w:r w:rsidR="001B3528" w:rsidRPr="00A2333E">
        <w:t> </w:t>
      </w:r>
      <w:r w:rsidR="00542870" w:rsidRPr="00A2333E">
        <w:t>1</w:t>
      </w:r>
      <w:r w:rsidR="00D40A12" w:rsidRPr="00A2333E">
        <w:fldChar w:fldCharType="end"/>
      </w:r>
      <w:r w:rsidR="00AA2C81" w:rsidRPr="00A2333E">
        <w:t>)</w:t>
      </w:r>
      <w:r w:rsidR="00D8799B" w:rsidRPr="00A2333E">
        <w:t xml:space="preserve"> as per the marketing authorisation</w:t>
      </w:r>
      <w:r w:rsidR="00AA2C81" w:rsidRPr="00A2333E">
        <w:t>. The committee concluded that</w:t>
      </w:r>
      <w:r w:rsidR="00C4503D" w:rsidRPr="00A2333E">
        <w:t xml:space="preserve"> it was only able to appraise </w:t>
      </w:r>
      <w:r w:rsidR="00C4503D" w:rsidRPr="00A2333E">
        <w:lastRenderedPageBreak/>
        <w:t>patisiran within its marketing authorisation</w:t>
      </w:r>
      <w:r w:rsidR="001B0C52" w:rsidRPr="00A2333E">
        <w:t>, that is when</w:t>
      </w:r>
      <w:r w:rsidR="006641D8" w:rsidRPr="00A2333E">
        <w:t xml:space="preserve"> </w:t>
      </w:r>
      <w:r w:rsidR="00AA2C81" w:rsidRPr="00A2333E">
        <w:t xml:space="preserve">patisiran </w:t>
      </w:r>
      <w:r w:rsidR="008B7F26" w:rsidRPr="00A2333E">
        <w:t xml:space="preserve">treatment </w:t>
      </w:r>
      <w:r w:rsidR="001B0C52" w:rsidRPr="00A2333E">
        <w:t>is</w:t>
      </w:r>
      <w:r w:rsidR="00AA2C81" w:rsidRPr="00A2333E">
        <w:t xml:space="preserve"> started </w:t>
      </w:r>
      <w:r w:rsidR="008B7F26" w:rsidRPr="00A2333E">
        <w:t xml:space="preserve">when the </w:t>
      </w:r>
      <w:r w:rsidR="00182D3C" w:rsidRPr="00A2333E">
        <w:t xml:space="preserve">condition </w:t>
      </w:r>
      <w:r w:rsidR="008B7F26" w:rsidRPr="00A2333E">
        <w:t>is in</w:t>
      </w:r>
      <w:r w:rsidR="00AA2C81" w:rsidRPr="00A2333E">
        <w:t xml:space="preserve"> FAP </w:t>
      </w:r>
      <w:r w:rsidR="00542870" w:rsidRPr="00A2333E">
        <w:t>stage</w:t>
      </w:r>
      <w:r w:rsidR="00CB1EBD" w:rsidRPr="00A2333E">
        <w:t>s 1</w:t>
      </w:r>
      <w:r w:rsidR="00542870" w:rsidRPr="00A2333E">
        <w:t xml:space="preserve"> and</w:t>
      </w:r>
      <w:r w:rsidR="00CB1EBD" w:rsidRPr="00A2333E">
        <w:t> </w:t>
      </w:r>
      <w:proofErr w:type="gramStart"/>
      <w:r w:rsidR="00CB1EBD" w:rsidRPr="00A2333E">
        <w:t>2</w:t>
      </w:r>
      <w:r w:rsidR="00270993" w:rsidRPr="00A2333E">
        <w:t>,</w:t>
      </w:r>
      <w:r w:rsidR="00542870" w:rsidRPr="00A2333E">
        <w:t xml:space="preserve"> </w:t>
      </w:r>
      <w:r w:rsidR="00AA2C81" w:rsidRPr="00A2333E">
        <w:t>and</w:t>
      </w:r>
      <w:proofErr w:type="gramEnd"/>
      <w:r w:rsidR="00AA2C81" w:rsidRPr="00A2333E">
        <w:t xml:space="preserve"> </w:t>
      </w:r>
      <w:r w:rsidR="0016294C" w:rsidRPr="00A2333E">
        <w:t>stop</w:t>
      </w:r>
      <w:r w:rsidR="008B7F26" w:rsidRPr="00A2333E">
        <w:t>ped</w:t>
      </w:r>
      <w:r w:rsidR="0016294C" w:rsidRPr="00A2333E">
        <w:t xml:space="preserve"> when </w:t>
      </w:r>
      <w:r w:rsidR="008B7F26" w:rsidRPr="00A2333E">
        <w:t xml:space="preserve">the condition </w:t>
      </w:r>
      <w:r w:rsidR="0016294C" w:rsidRPr="00A2333E">
        <w:t>progress</w:t>
      </w:r>
      <w:r w:rsidR="008B7F26" w:rsidRPr="00A2333E">
        <w:t>es</w:t>
      </w:r>
      <w:r w:rsidR="0016294C" w:rsidRPr="00A2333E">
        <w:t xml:space="preserve"> to FAP stage 3.</w:t>
      </w:r>
      <w:bookmarkEnd w:id="20"/>
    </w:p>
    <w:p w14:paraId="4043D7C6" w14:textId="77777777" w:rsidR="0069727A" w:rsidRPr="00A2333E" w:rsidRDefault="0069727A" w:rsidP="00E70247">
      <w:pPr>
        <w:pStyle w:val="Heading3"/>
      </w:pPr>
      <w:r w:rsidRPr="00A2333E">
        <w:t>Adverse events</w:t>
      </w:r>
    </w:p>
    <w:p w14:paraId="05B98EDD" w14:textId="77777777" w:rsidR="00A55000" w:rsidRPr="00A2333E" w:rsidRDefault="0069727A" w:rsidP="0069727A">
      <w:pPr>
        <w:pStyle w:val="Numberedlevel2text"/>
      </w:pPr>
      <w:r w:rsidRPr="00A2333E">
        <w:t xml:space="preserve">The proportion of patients </w:t>
      </w:r>
      <w:r w:rsidR="002B229F" w:rsidRPr="00A2333E">
        <w:t>with adverse events</w:t>
      </w:r>
      <w:r w:rsidR="00127207" w:rsidRPr="00A2333E">
        <w:t xml:space="preserve"> in</w:t>
      </w:r>
      <w:r w:rsidR="002B229F" w:rsidRPr="00A2333E">
        <w:t xml:space="preserve"> APOLLO was </w:t>
      </w:r>
      <w:r w:rsidRPr="00A2333E">
        <w:t>high (97%</w:t>
      </w:r>
      <w:r w:rsidR="002B229F" w:rsidRPr="00A2333E">
        <w:t>)</w:t>
      </w:r>
      <w:r w:rsidRPr="00A2333E">
        <w:t xml:space="preserve"> </w:t>
      </w:r>
      <w:r w:rsidR="00127207" w:rsidRPr="00A2333E">
        <w:t>in</w:t>
      </w:r>
      <w:r w:rsidRPr="00A2333E">
        <w:t xml:space="preserve"> both arms</w:t>
      </w:r>
      <w:r w:rsidR="000C3F60" w:rsidRPr="00A2333E">
        <w:t>, but most events were mild or moderate</w:t>
      </w:r>
      <w:r w:rsidRPr="00A2333E">
        <w:t xml:space="preserve">. </w:t>
      </w:r>
      <w:r w:rsidR="001B3528" w:rsidRPr="00A2333E">
        <w:t xml:space="preserve">Thirteen </w:t>
      </w:r>
      <w:r w:rsidR="000B48A1" w:rsidRPr="00A2333E">
        <w:t xml:space="preserve">deaths occurred (n=7 patisiran; n=6 placebo) but </w:t>
      </w:r>
      <w:r w:rsidR="007032CE" w:rsidRPr="00A2333E">
        <w:t>none</w:t>
      </w:r>
      <w:r w:rsidR="000C3F60" w:rsidRPr="00A2333E">
        <w:t xml:space="preserve"> were </w:t>
      </w:r>
      <w:r w:rsidR="00270993" w:rsidRPr="00A2333E">
        <w:t xml:space="preserve">causally </w:t>
      </w:r>
      <w:r w:rsidR="000C3F60" w:rsidRPr="00A2333E">
        <w:t xml:space="preserve">related to </w:t>
      </w:r>
      <w:r w:rsidR="000B48A1" w:rsidRPr="00A2333E">
        <w:t>patisiran</w:t>
      </w:r>
      <w:r w:rsidR="00B7136B" w:rsidRPr="00A2333E">
        <w:t xml:space="preserve">. </w:t>
      </w:r>
      <w:r w:rsidR="000C3F60" w:rsidRPr="00A2333E">
        <w:t xml:space="preserve">In patients who continued </w:t>
      </w:r>
      <w:r w:rsidR="00AE644B" w:rsidRPr="00A2333E">
        <w:t xml:space="preserve">having </w:t>
      </w:r>
      <w:r w:rsidR="00494251" w:rsidRPr="00A2333E">
        <w:t xml:space="preserve">patisiran in </w:t>
      </w:r>
      <w:r w:rsidR="000C3F60" w:rsidRPr="00A2333E">
        <w:t xml:space="preserve">Global OLE, </w:t>
      </w:r>
      <w:r w:rsidR="00494251" w:rsidRPr="00A2333E">
        <w:t>it</w:t>
      </w:r>
      <w:r w:rsidR="000C3F60" w:rsidRPr="00A2333E">
        <w:t xml:space="preserve"> </w:t>
      </w:r>
      <w:r w:rsidR="00425B8A" w:rsidRPr="00A2333E">
        <w:t>was</w:t>
      </w:r>
      <w:r w:rsidR="000C3F60" w:rsidRPr="00A2333E">
        <w:t xml:space="preserve"> well tolerated </w:t>
      </w:r>
      <w:r w:rsidR="00F82FC9" w:rsidRPr="00A2333E">
        <w:t>for up to 48</w:t>
      </w:r>
      <w:r w:rsidR="00B439DE" w:rsidRPr="00A2333E">
        <w:t> </w:t>
      </w:r>
      <w:r w:rsidR="00F82FC9" w:rsidRPr="00A2333E">
        <w:t>months</w:t>
      </w:r>
      <w:r w:rsidR="00494251" w:rsidRPr="00A2333E">
        <w:t>.</w:t>
      </w:r>
      <w:r w:rsidR="00F82FC9" w:rsidRPr="00A2333E">
        <w:t xml:space="preserve"> </w:t>
      </w:r>
      <w:r w:rsidR="002B229F" w:rsidRPr="00A2333E">
        <w:t xml:space="preserve">The committee </w:t>
      </w:r>
      <w:r w:rsidR="00494251" w:rsidRPr="00A2333E">
        <w:t>discussed premedication</w:t>
      </w:r>
      <w:r w:rsidR="001B3528" w:rsidRPr="00A2333E">
        <w:t xml:space="preserve"> treatments</w:t>
      </w:r>
      <w:r w:rsidR="00494251" w:rsidRPr="00A2333E">
        <w:t xml:space="preserve"> (</w:t>
      </w:r>
      <w:r w:rsidR="00AE644B" w:rsidRPr="00A2333E">
        <w:t>needed before having</w:t>
      </w:r>
      <w:r w:rsidR="00494251" w:rsidRPr="00A2333E">
        <w:t xml:space="preserve"> patisiran</w:t>
      </w:r>
      <w:r w:rsidR="00425B8A" w:rsidRPr="00A2333E">
        <w:t xml:space="preserve"> infusions</w:t>
      </w:r>
      <w:r w:rsidR="00494251" w:rsidRPr="00A2333E">
        <w:t xml:space="preserve">) but was assured </w:t>
      </w:r>
      <w:r w:rsidR="00127207" w:rsidRPr="00A2333E">
        <w:t xml:space="preserve">by </w:t>
      </w:r>
      <w:r w:rsidR="00494251" w:rsidRPr="00A2333E">
        <w:t xml:space="preserve">the clinical experts that </w:t>
      </w:r>
      <w:r w:rsidR="00127207" w:rsidRPr="00A2333E">
        <w:t>the</w:t>
      </w:r>
      <w:r w:rsidR="00EC62EE" w:rsidRPr="00A2333E">
        <w:t>y expected</w:t>
      </w:r>
      <w:r w:rsidR="00127207" w:rsidRPr="00A2333E">
        <w:t xml:space="preserve"> risks associated with these treatments </w:t>
      </w:r>
      <w:r w:rsidR="00EC62EE" w:rsidRPr="00A2333E">
        <w:t xml:space="preserve">to be </w:t>
      </w:r>
      <w:r w:rsidR="00127207" w:rsidRPr="00A2333E">
        <w:t>low</w:t>
      </w:r>
      <w:r w:rsidR="00494251" w:rsidRPr="00A2333E">
        <w:t xml:space="preserve">. </w:t>
      </w:r>
      <w:r w:rsidR="007E00D5" w:rsidRPr="00A2333E">
        <w:t>It</w:t>
      </w:r>
      <w:r w:rsidR="00447FE2" w:rsidRPr="00A2333E">
        <w:t xml:space="preserve"> noted that patisiran has a favourable safety profile with a low </w:t>
      </w:r>
      <w:r w:rsidR="001B0C52" w:rsidRPr="00A2333E">
        <w:t xml:space="preserve">stopping </w:t>
      </w:r>
      <w:r w:rsidR="00447FE2" w:rsidRPr="00A2333E">
        <w:t xml:space="preserve">rate and </w:t>
      </w:r>
      <w:r w:rsidR="007E00D5" w:rsidRPr="00A2333E">
        <w:t xml:space="preserve">that there had been </w:t>
      </w:r>
      <w:r w:rsidR="00447FE2" w:rsidRPr="00A2333E">
        <w:t xml:space="preserve">no adverse events involving </w:t>
      </w:r>
      <w:r w:rsidR="00447FE2" w:rsidRPr="00A2333E">
        <w:rPr>
          <w:color w:val="000000" w:themeColor="text1"/>
        </w:rPr>
        <w:t>glomerulonephritis.</w:t>
      </w:r>
      <w:r w:rsidR="00447FE2" w:rsidRPr="00A2333E" w:rsidDel="00002ACF">
        <w:t xml:space="preserve"> </w:t>
      </w:r>
      <w:r w:rsidR="00F82FC9" w:rsidRPr="00A2333E">
        <w:t xml:space="preserve">The committee concluded that the </w:t>
      </w:r>
      <w:r w:rsidR="00127207" w:rsidRPr="00A2333E">
        <w:t>adverse events associated with patisiran are manageable</w:t>
      </w:r>
      <w:r w:rsidR="00F82FC9" w:rsidRPr="00A2333E">
        <w:t>.</w:t>
      </w:r>
    </w:p>
    <w:p w14:paraId="3AAA7626" w14:textId="77777777" w:rsidR="00DE6E38" w:rsidRPr="00A2333E" w:rsidRDefault="004C644E" w:rsidP="00DE6E38">
      <w:pPr>
        <w:pStyle w:val="Heading2"/>
      </w:pPr>
      <w:r w:rsidRPr="00A2333E">
        <w:t xml:space="preserve">Cost to the NHS and </w:t>
      </w:r>
      <w:r w:rsidR="004C1540" w:rsidRPr="00A2333E">
        <w:t>v</w:t>
      </w:r>
      <w:r w:rsidR="00DE6E38" w:rsidRPr="00A2333E">
        <w:t>alue for money</w:t>
      </w:r>
    </w:p>
    <w:p w14:paraId="38835CAF" w14:textId="77777777" w:rsidR="00F03008" w:rsidRPr="00A2333E" w:rsidRDefault="00F03008" w:rsidP="00F03008">
      <w:pPr>
        <w:pStyle w:val="Heading3"/>
      </w:pPr>
      <w:r w:rsidRPr="00A2333E">
        <w:t>Company’s economic model</w:t>
      </w:r>
    </w:p>
    <w:p w14:paraId="228766FD" w14:textId="77777777" w:rsidR="00F03008" w:rsidRPr="00A2333E" w:rsidRDefault="00F03008" w:rsidP="0067342C">
      <w:pPr>
        <w:pStyle w:val="Numberedlevel2text"/>
      </w:pPr>
      <w:bookmarkStart w:id="21" w:name="_Ref530318908"/>
      <w:r w:rsidRPr="00A2333E">
        <w:t>The company presented a</w:t>
      </w:r>
      <w:r w:rsidR="00AC0B80" w:rsidRPr="00A2333E">
        <w:t xml:space="preserve"> </w:t>
      </w:r>
      <w:r w:rsidRPr="00A2333E">
        <w:t>Markov model, in which patients could move through 12</w:t>
      </w:r>
      <w:r w:rsidR="001B3528" w:rsidRPr="00A2333E">
        <w:t> </w:t>
      </w:r>
      <w:r w:rsidRPr="00A2333E">
        <w:t>alive health states defined by a combination of the severity of their polyneuropathy (PND score) and cardiomyopathy (NT</w:t>
      </w:r>
      <w:r w:rsidR="003C1B77" w:rsidRPr="00A2333E">
        <w:noBreakHyphen/>
      </w:r>
      <w:proofErr w:type="spellStart"/>
      <w:r w:rsidRPr="00A2333E">
        <w:t>proBNP</w:t>
      </w:r>
      <w:proofErr w:type="spellEnd"/>
      <w:r w:rsidRPr="00A2333E">
        <w:t>). Patients could transition from PND</w:t>
      </w:r>
      <w:r w:rsidR="003C1B77" w:rsidRPr="00A2333E">
        <w:t> </w:t>
      </w:r>
      <w:r w:rsidRPr="00A2333E">
        <w:t>0 to PND</w:t>
      </w:r>
      <w:r w:rsidR="003C1B77" w:rsidRPr="00A2333E">
        <w:t> </w:t>
      </w:r>
      <w:r w:rsidRPr="00A2333E">
        <w:t xml:space="preserve">IV </w:t>
      </w:r>
      <w:r w:rsidR="00542870" w:rsidRPr="00A2333E">
        <w:t xml:space="preserve">(see </w:t>
      </w:r>
      <w:r w:rsidR="00D40A12" w:rsidRPr="00A2333E">
        <w:fldChar w:fldCharType="begin"/>
      </w:r>
      <w:r w:rsidR="00542870" w:rsidRPr="00A2333E">
        <w:instrText xml:space="preserve"> REF _Ref530402936 \h </w:instrText>
      </w:r>
      <w:r w:rsidR="00D40A12" w:rsidRPr="00A2333E">
        <w:fldChar w:fldCharType="separate"/>
      </w:r>
      <w:r w:rsidR="003C1B77" w:rsidRPr="00A2333E">
        <w:t>t</w:t>
      </w:r>
      <w:r w:rsidR="00542870" w:rsidRPr="00A2333E">
        <w:t>able</w:t>
      </w:r>
      <w:r w:rsidR="003C1B77" w:rsidRPr="00A2333E">
        <w:t> </w:t>
      </w:r>
      <w:r w:rsidR="00542870" w:rsidRPr="00A2333E">
        <w:t>1</w:t>
      </w:r>
      <w:r w:rsidR="00D40A12" w:rsidRPr="00A2333E">
        <w:fldChar w:fldCharType="end"/>
      </w:r>
      <w:r w:rsidR="007032CE" w:rsidRPr="00A2333E">
        <w:t>)</w:t>
      </w:r>
      <w:r w:rsidRPr="00A2333E">
        <w:t>. Additionally</w:t>
      </w:r>
      <w:r w:rsidR="00CC0A0E" w:rsidRPr="00A2333E">
        <w:t>,</w:t>
      </w:r>
      <w:r w:rsidRPr="00A2333E">
        <w:t xml:space="preserve"> </w:t>
      </w:r>
      <w:r w:rsidR="00EC62EE" w:rsidRPr="00A2333E">
        <w:t>patients in each PND stage were</w:t>
      </w:r>
      <w:r w:rsidRPr="00A2333E">
        <w:t xml:space="preserve"> stratified by NT</w:t>
      </w:r>
      <w:r w:rsidR="003C1B77" w:rsidRPr="00A2333E">
        <w:noBreakHyphen/>
      </w:r>
      <w:proofErr w:type="spellStart"/>
      <w:r w:rsidRPr="00A2333E">
        <w:t>proBNP</w:t>
      </w:r>
      <w:proofErr w:type="spellEnd"/>
      <w:r w:rsidRPr="00A2333E">
        <w:t xml:space="preserve"> score (</w:t>
      </w:r>
      <w:r w:rsidR="007F3226" w:rsidRPr="00A2333E">
        <w:t xml:space="preserve">a </w:t>
      </w:r>
      <w:r w:rsidRPr="00A2333E">
        <w:t xml:space="preserve">value </w:t>
      </w:r>
      <w:r w:rsidR="003C1B77" w:rsidRPr="00A2333E">
        <w:t xml:space="preserve">above </w:t>
      </w:r>
      <w:r w:rsidRPr="00A2333E">
        <w:t>3,000</w:t>
      </w:r>
      <w:r w:rsidR="003C1B77" w:rsidRPr="00A2333E">
        <w:t> </w:t>
      </w:r>
      <w:proofErr w:type="spellStart"/>
      <w:r w:rsidRPr="00A2333E">
        <w:t>pg</w:t>
      </w:r>
      <w:proofErr w:type="spellEnd"/>
      <w:r w:rsidRPr="00A2333E">
        <w:t>/mL</w:t>
      </w:r>
      <w:r w:rsidR="007F3226" w:rsidRPr="00A2333E">
        <w:t xml:space="preserve"> denoting cardiac involvement</w:t>
      </w:r>
      <w:r w:rsidRPr="00A2333E">
        <w:t xml:space="preserve">). </w:t>
      </w:r>
      <w:r w:rsidR="00CC0A0E" w:rsidRPr="00A2333E">
        <w:t>The model included</w:t>
      </w:r>
      <w:r w:rsidRPr="00A2333E">
        <w:t xml:space="preserve"> an additional state for death. Patients could enter the model in any hea</w:t>
      </w:r>
      <w:r w:rsidR="00827489" w:rsidRPr="00A2333E">
        <w:t>l</w:t>
      </w:r>
      <w:r w:rsidRPr="00A2333E">
        <w:t>th state except PND</w:t>
      </w:r>
      <w:r w:rsidR="003C1B77" w:rsidRPr="00A2333E">
        <w:t> </w:t>
      </w:r>
      <w:r w:rsidRPr="00A2333E">
        <w:t>0. The company explained the health states were based on PND and NT</w:t>
      </w:r>
      <w:r w:rsidR="003C1B77" w:rsidRPr="00A2333E">
        <w:noBreakHyphen/>
      </w:r>
      <w:proofErr w:type="spellStart"/>
      <w:r w:rsidRPr="00A2333E">
        <w:t>proBNP</w:t>
      </w:r>
      <w:proofErr w:type="spellEnd"/>
      <w:r w:rsidRPr="00A2333E">
        <w:t xml:space="preserve"> scores (rather than</w:t>
      </w:r>
      <w:r w:rsidR="003C1B77" w:rsidRPr="00A2333E">
        <w:t xml:space="preserve"> the</w:t>
      </w:r>
      <w:r w:rsidRPr="00A2333E">
        <w:t xml:space="preserve"> </w:t>
      </w:r>
      <w:r w:rsidR="00CC0A0E" w:rsidRPr="00A2333E">
        <w:t xml:space="preserve">APOLLO primary outcome </w:t>
      </w:r>
      <w:r w:rsidRPr="00A2333E">
        <w:t xml:space="preserve">mNIS+7) because </w:t>
      </w:r>
      <w:r w:rsidR="00EC62EE" w:rsidRPr="00A2333E">
        <w:t>there were data relating the</w:t>
      </w:r>
      <w:r w:rsidR="001342EF" w:rsidRPr="00A2333E">
        <w:t xml:space="preserve"> PND score</w:t>
      </w:r>
      <w:r w:rsidR="00EC62EE" w:rsidRPr="00A2333E">
        <w:t xml:space="preserve"> and</w:t>
      </w:r>
      <w:r w:rsidR="001342EF" w:rsidRPr="00A2333E">
        <w:t xml:space="preserve"> </w:t>
      </w:r>
      <w:r w:rsidR="00FB6AC1" w:rsidRPr="00A2333E">
        <w:t>NT</w:t>
      </w:r>
      <w:r w:rsidR="003C1B77" w:rsidRPr="00A2333E">
        <w:noBreakHyphen/>
      </w:r>
      <w:proofErr w:type="spellStart"/>
      <w:r w:rsidR="00FB6AC1" w:rsidRPr="00A2333E">
        <w:t>proBNP</w:t>
      </w:r>
      <w:proofErr w:type="spellEnd"/>
      <w:r w:rsidR="00FB6AC1" w:rsidRPr="00A2333E">
        <w:t xml:space="preserve"> </w:t>
      </w:r>
      <w:r w:rsidR="00EC62EE" w:rsidRPr="00A2333E">
        <w:t xml:space="preserve">to </w:t>
      </w:r>
      <w:r w:rsidR="00FB6AC1" w:rsidRPr="00A2333E">
        <w:t>survival</w:t>
      </w:r>
      <w:r w:rsidR="001F5868" w:rsidRPr="00A2333E">
        <w:t xml:space="preserve"> that were not available for mNIS+7</w:t>
      </w:r>
      <w:r w:rsidR="00CC0A0E" w:rsidRPr="00A2333E">
        <w:t xml:space="preserve">. </w:t>
      </w:r>
      <w:r w:rsidR="00533472" w:rsidRPr="00A2333E">
        <w:t>The company preferred health states based on PND</w:t>
      </w:r>
      <w:r w:rsidR="0029052C" w:rsidRPr="00A2333E">
        <w:t xml:space="preserve"> score</w:t>
      </w:r>
      <w:r w:rsidR="006111BA" w:rsidRPr="00A2333E">
        <w:t>, arguing</w:t>
      </w:r>
      <w:r w:rsidR="00533472" w:rsidRPr="00A2333E">
        <w:t xml:space="preserve"> that it provides a more granular assessment of the condition than FAP</w:t>
      </w:r>
      <w:r w:rsidR="0029052C" w:rsidRPr="00A2333E">
        <w:t xml:space="preserve"> stage</w:t>
      </w:r>
      <w:r w:rsidR="00533472" w:rsidRPr="00A2333E">
        <w:t xml:space="preserve"> (because it </w:t>
      </w:r>
      <w:r w:rsidR="00533472" w:rsidRPr="00A2333E">
        <w:lastRenderedPageBreak/>
        <w:t xml:space="preserve">has more </w:t>
      </w:r>
      <w:r w:rsidR="00250300" w:rsidRPr="00A2333E">
        <w:t>levels of change in disease severity</w:t>
      </w:r>
      <w:r w:rsidR="00533472" w:rsidRPr="00A2333E">
        <w:t xml:space="preserve">). </w:t>
      </w:r>
      <w:r w:rsidR="00B332A9" w:rsidRPr="00A2333E">
        <w:t>The ERG noted that a model defined by PND and NT</w:t>
      </w:r>
      <w:r w:rsidR="00670542" w:rsidRPr="00A2333E">
        <w:noBreakHyphen/>
      </w:r>
      <w:proofErr w:type="spellStart"/>
      <w:r w:rsidR="00B332A9" w:rsidRPr="00A2333E">
        <w:t>proBNP</w:t>
      </w:r>
      <w:proofErr w:type="spellEnd"/>
      <w:r w:rsidR="00B332A9" w:rsidRPr="00A2333E">
        <w:t xml:space="preserve"> score</w:t>
      </w:r>
      <w:r w:rsidR="00250300" w:rsidRPr="00A2333E">
        <w:t>s</w:t>
      </w:r>
      <w:r w:rsidR="00B332A9" w:rsidRPr="00A2333E">
        <w:t xml:space="preserve">, but which excludes states or events associated with other key </w:t>
      </w:r>
      <w:r w:rsidR="00250300" w:rsidRPr="00A2333E">
        <w:t>aspects</w:t>
      </w:r>
      <w:r w:rsidR="00B332A9" w:rsidRPr="00A2333E">
        <w:t xml:space="preserve"> of the </w:t>
      </w:r>
      <w:r w:rsidR="00182D3C" w:rsidRPr="00A2333E">
        <w:t xml:space="preserve">condition </w:t>
      </w:r>
      <w:r w:rsidR="00670542" w:rsidRPr="00A2333E">
        <w:t>(</w:t>
      </w:r>
      <w:r w:rsidR="00B332A9" w:rsidRPr="00A2333E">
        <w:t>such as autonomic dysfunction</w:t>
      </w:r>
      <w:r w:rsidR="00670542" w:rsidRPr="00A2333E">
        <w:t>)</w:t>
      </w:r>
      <w:r w:rsidR="00B332A9" w:rsidRPr="00A2333E">
        <w:t xml:space="preserve">, </w:t>
      </w:r>
      <w:r w:rsidR="00670542" w:rsidRPr="00A2333E">
        <w:t xml:space="preserve">would </w:t>
      </w:r>
      <w:r w:rsidR="0067342C" w:rsidRPr="00A2333E">
        <w:t>introduce uncertainty around the expected cost</w:t>
      </w:r>
      <w:r w:rsidR="00670542" w:rsidRPr="00A2333E">
        <w:t xml:space="preserve"> </w:t>
      </w:r>
      <w:r w:rsidR="0067342C" w:rsidRPr="00A2333E">
        <w:t xml:space="preserve">effectiveness of patisiran. </w:t>
      </w:r>
      <w:r w:rsidR="00B332A9" w:rsidRPr="00A2333E">
        <w:t xml:space="preserve">The ERG </w:t>
      </w:r>
      <w:r w:rsidR="0067342C" w:rsidRPr="00A2333E">
        <w:t xml:space="preserve">further </w:t>
      </w:r>
      <w:r w:rsidR="00B332A9" w:rsidRPr="00A2333E">
        <w:t>explained that</w:t>
      </w:r>
      <w:r w:rsidR="00670542" w:rsidRPr="00A2333E">
        <w:t>, compared with a model defined by PND scores,</w:t>
      </w:r>
      <w:r w:rsidR="00B332A9" w:rsidRPr="00A2333E">
        <w:t xml:space="preserve"> </w:t>
      </w:r>
      <w:r w:rsidR="00670542" w:rsidRPr="00A2333E">
        <w:t xml:space="preserve">fewer health states would be needed in </w:t>
      </w:r>
      <w:r w:rsidR="00DB27A3" w:rsidRPr="00A2333E">
        <w:t xml:space="preserve">a </w:t>
      </w:r>
      <w:r w:rsidR="00670542" w:rsidRPr="00A2333E">
        <w:t>model defined</w:t>
      </w:r>
      <w:r w:rsidR="00B332A9" w:rsidRPr="00A2333E">
        <w:t xml:space="preserve"> </w:t>
      </w:r>
      <w:r w:rsidR="00670542" w:rsidRPr="00A2333E">
        <w:t>by</w:t>
      </w:r>
      <w:r w:rsidR="00B332A9" w:rsidRPr="00A2333E">
        <w:t xml:space="preserve"> FAP stage. </w:t>
      </w:r>
      <w:r w:rsidR="00670542" w:rsidRPr="00A2333E">
        <w:t>I</w:t>
      </w:r>
      <w:r w:rsidR="004C1120" w:rsidRPr="00A2333E">
        <w:t>t</w:t>
      </w:r>
      <w:r w:rsidR="00670542" w:rsidRPr="00A2333E">
        <w:t xml:space="preserve"> added that, c</w:t>
      </w:r>
      <w:r w:rsidR="00B332A9" w:rsidRPr="00A2333E">
        <w:t xml:space="preserve">onsequently, </w:t>
      </w:r>
      <w:r w:rsidR="00533472" w:rsidRPr="00A2333E">
        <w:t xml:space="preserve">less manipulation of </w:t>
      </w:r>
      <w:r w:rsidR="00B332A9" w:rsidRPr="00A2333E">
        <w:t xml:space="preserve">the available APOLLO </w:t>
      </w:r>
      <w:r w:rsidR="00533472" w:rsidRPr="00A2333E">
        <w:t xml:space="preserve">data </w:t>
      </w:r>
      <w:r w:rsidR="004C1120" w:rsidRPr="00A2333E">
        <w:t xml:space="preserve">would be needed </w:t>
      </w:r>
      <w:r w:rsidR="00B332A9" w:rsidRPr="00A2333E">
        <w:t xml:space="preserve">but </w:t>
      </w:r>
      <w:r w:rsidR="004C1120" w:rsidRPr="00A2333E">
        <w:t xml:space="preserve">that it </w:t>
      </w:r>
      <w:r w:rsidR="00B332A9" w:rsidRPr="00A2333E">
        <w:t xml:space="preserve">may </w:t>
      </w:r>
      <w:r w:rsidR="004C1120" w:rsidRPr="00A2333E">
        <w:t>result</w:t>
      </w:r>
      <w:r w:rsidR="00B332A9" w:rsidRPr="00A2333E">
        <w:t xml:space="preserve"> in a model less sensitive to changes in patients’ underlying health states. </w:t>
      </w:r>
      <w:r w:rsidR="007F3226" w:rsidRPr="00A2333E">
        <w:t>T</w:t>
      </w:r>
      <w:r w:rsidR="00C26E01" w:rsidRPr="00A2333E">
        <w:t xml:space="preserve">he clinical experts highlighted that </w:t>
      </w:r>
      <w:r w:rsidR="00EC62EE" w:rsidRPr="00A2333E">
        <w:t>changes in mobility</w:t>
      </w:r>
      <w:r w:rsidR="00C26E01" w:rsidRPr="00A2333E">
        <w:t xml:space="preserve"> </w:t>
      </w:r>
      <w:r w:rsidR="00EC62EE" w:rsidRPr="00A2333E">
        <w:t xml:space="preserve">are </w:t>
      </w:r>
      <w:r w:rsidR="007F3226" w:rsidRPr="00A2333E">
        <w:t>correlated with</w:t>
      </w:r>
      <w:r w:rsidR="00C26E01" w:rsidRPr="00A2333E">
        <w:t xml:space="preserve"> </w:t>
      </w:r>
      <w:r w:rsidR="00A2118D" w:rsidRPr="00A2333E">
        <w:t xml:space="preserve">change </w:t>
      </w:r>
      <w:r w:rsidR="00160596" w:rsidRPr="00A2333E">
        <w:t>in</w:t>
      </w:r>
      <w:r w:rsidR="007F3226" w:rsidRPr="00A2333E">
        <w:t xml:space="preserve"> </w:t>
      </w:r>
      <w:r w:rsidR="00C26E01" w:rsidRPr="00A2333E">
        <w:t>cardiac</w:t>
      </w:r>
      <w:r w:rsidR="007F3226" w:rsidRPr="00A2333E">
        <w:t xml:space="preserve"> </w:t>
      </w:r>
      <w:r w:rsidR="00160596" w:rsidRPr="00A2333E">
        <w:t xml:space="preserve">function </w:t>
      </w:r>
      <w:r w:rsidR="007F3226" w:rsidRPr="00A2333E">
        <w:t>and autonomic</w:t>
      </w:r>
      <w:r w:rsidR="00C26E01" w:rsidRPr="00A2333E">
        <w:t xml:space="preserve"> </w:t>
      </w:r>
      <w:r w:rsidR="00160596" w:rsidRPr="00A2333E">
        <w:t>neuropathy</w:t>
      </w:r>
      <w:r w:rsidR="004C1120" w:rsidRPr="00A2333E">
        <w:t>,</w:t>
      </w:r>
      <w:r w:rsidR="00160596" w:rsidRPr="00A2333E">
        <w:t xml:space="preserve"> </w:t>
      </w:r>
      <w:r w:rsidR="007F3226" w:rsidRPr="00A2333E">
        <w:t>so</w:t>
      </w:r>
      <w:r w:rsidR="00250300" w:rsidRPr="00A2333E">
        <w:t xml:space="preserve"> </w:t>
      </w:r>
      <w:r w:rsidR="004C1120" w:rsidRPr="00A2333E">
        <w:t>are</w:t>
      </w:r>
      <w:r w:rsidR="00C26E01" w:rsidRPr="00A2333E">
        <w:t xml:space="preserve"> </w:t>
      </w:r>
      <w:r w:rsidR="00160596" w:rsidRPr="00A2333E">
        <w:t xml:space="preserve">indirectly </w:t>
      </w:r>
      <w:r w:rsidR="00C26E01" w:rsidRPr="00A2333E">
        <w:t xml:space="preserve">predictive of harm and death. </w:t>
      </w:r>
      <w:r w:rsidR="00C85777" w:rsidRPr="00A2333E">
        <w:t>Despite this,</w:t>
      </w:r>
      <w:r w:rsidR="001342EF" w:rsidRPr="00A2333E">
        <w:t xml:space="preserve"> t</w:t>
      </w:r>
      <w:r w:rsidR="00390D8D" w:rsidRPr="00A2333E">
        <w:t xml:space="preserve">he </w:t>
      </w:r>
      <w:r w:rsidR="00C85777" w:rsidRPr="00A2333E">
        <w:t xml:space="preserve">committee </w:t>
      </w:r>
      <w:r w:rsidR="001342EF" w:rsidRPr="00A2333E">
        <w:t>was</w:t>
      </w:r>
      <w:r w:rsidR="00390D8D" w:rsidRPr="00A2333E">
        <w:t xml:space="preserve"> concerned that </w:t>
      </w:r>
      <w:r w:rsidR="003F3AD5" w:rsidRPr="00A2333E">
        <w:t xml:space="preserve">the model </w:t>
      </w:r>
      <w:r w:rsidR="00931333" w:rsidRPr="00A2333E">
        <w:t xml:space="preserve">relied on an </w:t>
      </w:r>
      <w:r w:rsidR="00405747" w:rsidRPr="00A2333E">
        <w:t>assumed</w:t>
      </w:r>
      <w:r w:rsidR="00C85777" w:rsidRPr="00A2333E">
        <w:t xml:space="preserve"> </w:t>
      </w:r>
      <w:r w:rsidR="00931333" w:rsidRPr="00A2333E">
        <w:t>correlation</w:t>
      </w:r>
      <w:r w:rsidR="003F3AD5" w:rsidRPr="00A2333E">
        <w:t xml:space="preserve"> between PND score</w:t>
      </w:r>
      <w:r w:rsidR="006811CE" w:rsidRPr="00A2333E">
        <w:t xml:space="preserve"> and </w:t>
      </w:r>
      <w:r w:rsidR="00405747" w:rsidRPr="00A2333E">
        <w:t xml:space="preserve">factors </w:t>
      </w:r>
      <w:r w:rsidR="006811CE" w:rsidRPr="00A2333E">
        <w:t>that</w:t>
      </w:r>
      <w:r w:rsidR="00C85777" w:rsidRPr="00A2333E">
        <w:t xml:space="preserve"> patients</w:t>
      </w:r>
      <w:r w:rsidR="00CF7E99" w:rsidRPr="00A2333E">
        <w:t xml:space="preserve"> </w:t>
      </w:r>
      <w:r w:rsidR="00270993" w:rsidRPr="00A2333E">
        <w:t xml:space="preserve">have </w:t>
      </w:r>
      <w:r w:rsidR="00CF7E99" w:rsidRPr="00A2333E">
        <w:t>identified as particularly important</w:t>
      </w:r>
      <w:r w:rsidR="00C85777" w:rsidRPr="00A2333E">
        <w:t xml:space="preserve">, such </w:t>
      </w:r>
      <w:r w:rsidR="00CF7E99" w:rsidRPr="00A2333E">
        <w:t xml:space="preserve">as </w:t>
      </w:r>
      <w:r w:rsidR="00C85777" w:rsidRPr="00A2333E">
        <w:t>autonomic dysfunction and mortality (see section</w:t>
      </w:r>
      <w:r w:rsidR="00405747" w:rsidRPr="00A2333E">
        <w:t> </w:t>
      </w:r>
      <w:r w:rsidR="00D40A12" w:rsidRPr="00A2333E">
        <w:fldChar w:fldCharType="begin"/>
      </w:r>
      <w:r w:rsidR="00B439DE" w:rsidRPr="00A2333E">
        <w:instrText xml:space="preserve"> REF _Ref530320614 \n \h </w:instrText>
      </w:r>
      <w:r w:rsidR="00D40A12" w:rsidRPr="00A2333E">
        <w:fldChar w:fldCharType="separate"/>
      </w:r>
      <w:r w:rsidR="004238CE" w:rsidRPr="00A2333E">
        <w:t>4.7</w:t>
      </w:r>
      <w:r w:rsidR="00D40A12" w:rsidRPr="00A2333E">
        <w:fldChar w:fldCharType="end"/>
      </w:r>
      <w:r w:rsidR="00C85777" w:rsidRPr="00A2333E">
        <w:t>)</w:t>
      </w:r>
      <w:r w:rsidR="00CC0A0E" w:rsidRPr="00A2333E">
        <w:t xml:space="preserve">. The committee </w:t>
      </w:r>
      <w:r w:rsidR="006953AB" w:rsidRPr="00A2333E">
        <w:t>considered</w:t>
      </w:r>
      <w:r w:rsidR="00390D8D" w:rsidRPr="00A2333E">
        <w:t xml:space="preserve"> that</w:t>
      </w:r>
      <w:r w:rsidR="004C1120" w:rsidRPr="00A2333E">
        <w:t>,</w:t>
      </w:r>
      <w:r w:rsidR="00390D8D" w:rsidRPr="00A2333E">
        <w:t xml:space="preserve"> </w:t>
      </w:r>
      <w:r w:rsidR="00C85777" w:rsidRPr="00A2333E">
        <w:t xml:space="preserve">although </w:t>
      </w:r>
      <w:r w:rsidR="003171DE" w:rsidRPr="00A2333E">
        <w:t xml:space="preserve">the </w:t>
      </w:r>
      <w:r w:rsidR="006953AB" w:rsidRPr="00A2333E">
        <w:t xml:space="preserve">model structure </w:t>
      </w:r>
      <w:r w:rsidR="00F9070D" w:rsidRPr="00A2333E">
        <w:t xml:space="preserve">was </w:t>
      </w:r>
      <w:r w:rsidR="006953AB" w:rsidRPr="00A2333E">
        <w:t>broadly</w:t>
      </w:r>
      <w:r w:rsidR="003171DE" w:rsidRPr="00A2333E">
        <w:t xml:space="preserve"> reasonable</w:t>
      </w:r>
      <w:r w:rsidR="00C85777" w:rsidRPr="00A2333E">
        <w:t>,</w:t>
      </w:r>
      <w:r w:rsidR="003171DE" w:rsidRPr="00A2333E">
        <w:t xml:space="preserve"> it did </w:t>
      </w:r>
      <w:bookmarkStart w:id="22" w:name="_Hlk9498353"/>
      <w:r w:rsidR="003171DE" w:rsidRPr="00A2333E">
        <w:t xml:space="preserve">not capture </w:t>
      </w:r>
      <w:r w:rsidR="007F3226" w:rsidRPr="00A2333E">
        <w:t>all</w:t>
      </w:r>
      <w:r w:rsidR="003171DE" w:rsidRPr="00A2333E">
        <w:t xml:space="preserve"> aspects of the condition</w:t>
      </w:r>
      <w:bookmarkEnd w:id="22"/>
      <w:r w:rsidR="00C26E01" w:rsidRPr="00A2333E">
        <w:t xml:space="preserve">, </w:t>
      </w:r>
      <w:r w:rsidR="00FF7F23" w:rsidRPr="00A2333E">
        <w:t>so</w:t>
      </w:r>
      <w:r w:rsidR="00C26E01" w:rsidRPr="00A2333E">
        <w:t xml:space="preserve"> </w:t>
      </w:r>
      <w:r w:rsidR="007F3226" w:rsidRPr="00A2333E">
        <w:t>was unlikely to</w:t>
      </w:r>
      <w:r w:rsidR="00C26E01" w:rsidRPr="00A2333E">
        <w:t xml:space="preserve"> reflect the true expected cost</w:t>
      </w:r>
      <w:r w:rsidR="00FF7F23" w:rsidRPr="00A2333E">
        <w:t xml:space="preserve"> </w:t>
      </w:r>
      <w:r w:rsidR="00C26E01" w:rsidRPr="00A2333E">
        <w:t>effectiveness</w:t>
      </w:r>
      <w:r w:rsidR="00390D8D" w:rsidRPr="00A2333E">
        <w:t>.</w:t>
      </w:r>
      <w:r w:rsidR="006953AB" w:rsidRPr="00A2333E">
        <w:t xml:space="preserve"> </w:t>
      </w:r>
      <w:r w:rsidR="00FF7F23" w:rsidRPr="00A2333E">
        <w:t>It</w:t>
      </w:r>
      <w:r w:rsidR="006953AB" w:rsidRPr="00A2333E">
        <w:t xml:space="preserve"> concluded</w:t>
      </w:r>
      <w:r w:rsidR="00FF7F23" w:rsidRPr="00A2333E">
        <w:t xml:space="preserve"> that</w:t>
      </w:r>
      <w:r w:rsidR="006953AB" w:rsidRPr="00A2333E">
        <w:t xml:space="preserve"> it </w:t>
      </w:r>
      <w:r w:rsidR="004C1120" w:rsidRPr="00A2333E">
        <w:t xml:space="preserve">would </w:t>
      </w:r>
      <w:r w:rsidR="006953AB" w:rsidRPr="00A2333E">
        <w:t>take this into account in its decision</w:t>
      </w:r>
      <w:r w:rsidR="00FF7F23" w:rsidRPr="00A2333E">
        <w:t xml:space="preserve"> </w:t>
      </w:r>
      <w:r w:rsidR="006953AB" w:rsidRPr="00A2333E">
        <w:t>making</w:t>
      </w:r>
      <w:r w:rsidR="00F9070D" w:rsidRPr="00A2333E">
        <w:t>.</w:t>
      </w:r>
      <w:bookmarkEnd w:id="21"/>
    </w:p>
    <w:p w14:paraId="3F86C157" w14:textId="77777777" w:rsidR="001342EF" w:rsidRPr="00A2333E" w:rsidRDefault="00AA2C81" w:rsidP="001342EF">
      <w:pPr>
        <w:pStyle w:val="Heading3"/>
      </w:pPr>
      <w:r w:rsidRPr="00A2333E">
        <w:t>Modelling s</w:t>
      </w:r>
      <w:r w:rsidR="003171DE" w:rsidRPr="00A2333E">
        <w:t xml:space="preserve">tarting and stopping </w:t>
      </w:r>
      <w:r w:rsidR="007F3226" w:rsidRPr="00A2333E">
        <w:t xml:space="preserve">patisiran </w:t>
      </w:r>
      <w:r w:rsidR="003171DE" w:rsidRPr="00A2333E">
        <w:t>treatment</w:t>
      </w:r>
    </w:p>
    <w:p w14:paraId="2FB400BF" w14:textId="77777777" w:rsidR="00354525" w:rsidRPr="00A2333E" w:rsidRDefault="00C1658A" w:rsidP="00354525">
      <w:pPr>
        <w:pStyle w:val="Numberedlevel2text"/>
      </w:pPr>
      <w:bookmarkStart w:id="23" w:name="_Ref530140058"/>
      <w:r w:rsidRPr="00A2333E">
        <w:t>T</w:t>
      </w:r>
      <w:r w:rsidR="00FF7F23" w:rsidRPr="00A2333E">
        <w:t xml:space="preserve">he marketing authorisation </w:t>
      </w:r>
      <w:r w:rsidRPr="00A2333E">
        <w:t>states that patisiran is indicated for hATTR amyloidosis in adult</w:t>
      </w:r>
      <w:r w:rsidR="00FF7F23" w:rsidRPr="00A2333E">
        <w:t xml:space="preserve">s </w:t>
      </w:r>
      <w:r w:rsidRPr="00A2333E">
        <w:t xml:space="preserve">with stage </w:t>
      </w:r>
      <w:r w:rsidR="00FF7F23" w:rsidRPr="00A2333E">
        <w:t>FAP stages 1</w:t>
      </w:r>
      <w:r w:rsidR="0067342C" w:rsidRPr="00A2333E">
        <w:t xml:space="preserve"> </w:t>
      </w:r>
      <w:r w:rsidR="00FF7F23" w:rsidRPr="00A2333E">
        <w:t>or 2</w:t>
      </w:r>
      <w:r w:rsidRPr="00A2333E">
        <w:t xml:space="preserve">. </w:t>
      </w:r>
      <w:bookmarkEnd w:id="23"/>
      <w:r w:rsidR="00A42F9A" w:rsidRPr="00A2333E">
        <w:t xml:space="preserve">In the </w:t>
      </w:r>
      <w:r w:rsidRPr="00A2333E">
        <w:t>company’s</w:t>
      </w:r>
      <w:r w:rsidR="007973DE" w:rsidRPr="00A2333E">
        <w:t xml:space="preserve"> updated </w:t>
      </w:r>
      <w:r w:rsidR="00A42F9A" w:rsidRPr="00A2333E">
        <w:t>model</w:t>
      </w:r>
      <w:r w:rsidRPr="00A2333E">
        <w:t>,</w:t>
      </w:r>
      <w:r w:rsidR="000E6E4B" w:rsidRPr="00A2333E">
        <w:t xml:space="preserve"> patients who reach</w:t>
      </w:r>
      <w:r w:rsidR="00341CC9" w:rsidRPr="00A2333E">
        <w:t>ed</w:t>
      </w:r>
      <w:r w:rsidR="000E6E4B" w:rsidRPr="00A2333E">
        <w:t xml:space="preserve"> PND</w:t>
      </w:r>
      <w:r w:rsidR="00B6607C" w:rsidRPr="00A2333E">
        <w:t> </w:t>
      </w:r>
      <w:r w:rsidR="000E6E4B" w:rsidRPr="00A2333E">
        <w:t xml:space="preserve">IV (FAP </w:t>
      </w:r>
      <w:r w:rsidR="00CA3201" w:rsidRPr="00A2333E">
        <w:t>stage</w:t>
      </w:r>
      <w:r w:rsidR="00F323B2" w:rsidRPr="00A2333E">
        <w:t> </w:t>
      </w:r>
      <w:r w:rsidR="000E6E4B" w:rsidRPr="00A2333E">
        <w:t xml:space="preserve">3) immediately </w:t>
      </w:r>
      <w:r w:rsidR="001B0C52" w:rsidRPr="00A2333E">
        <w:t xml:space="preserve">stopped </w:t>
      </w:r>
      <w:r w:rsidR="000E6E4B" w:rsidRPr="00A2333E">
        <w:t xml:space="preserve">patisiran and subsequently </w:t>
      </w:r>
      <w:r w:rsidR="006641D8" w:rsidRPr="00A2333E">
        <w:t xml:space="preserve">had </w:t>
      </w:r>
      <w:r w:rsidR="00182D3C" w:rsidRPr="00A2333E">
        <w:t>best supportive care (</w:t>
      </w:r>
      <w:r w:rsidR="000E6E4B" w:rsidRPr="00A2333E">
        <w:t>BSC</w:t>
      </w:r>
      <w:r w:rsidR="00182D3C" w:rsidRPr="00A2333E">
        <w:t>)</w:t>
      </w:r>
      <w:r w:rsidR="000E6E4B" w:rsidRPr="00A2333E">
        <w:t xml:space="preserve">. </w:t>
      </w:r>
      <w:r w:rsidR="00F86800" w:rsidRPr="00A2333E">
        <w:t>The committee acknowledged that</w:t>
      </w:r>
      <w:r w:rsidR="00B6607C" w:rsidRPr="00A2333E">
        <w:t>,</w:t>
      </w:r>
      <w:r w:rsidR="00F86800" w:rsidRPr="00A2333E">
        <w:t xml:space="preserve"> in addition</w:t>
      </w:r>
      <w:r w:rsidRPr="00A2333E">
        <w:t>,</w:t>
      </w:r>
      <w:r w:rsidR="00F86800" w:rsidRPr="00A2333E">
        <w:t xml:space="preserve"> </w:t>
      </w:r>
      <w:r w:rsidR="00133E42" w:rsidRPr="00A2333E">
        <w:t xml:space="preserve">a </w:t>
      </w:r>
      <w:r w:rsidR="001B0C52" w:rsidRPr="00A2333E">
        <w:t xml:space="preserve">stopping </w:t>
      </w:r>
      <w:r w:rsidR="00CA3201" w:rsidRPr="00A2333E">
        <w:t xml:space="preserve">rule </w:t>
      </w:r>
      <w:r w:rsidR="00D15733" w:rsidRPr="00A2333E">
        <w:t>using</w:t>
      </w:r>
      <w:r w:rsidR="00F4290C" w:rsidRPr="00A2333E">
        <w:t xml:space="preserve"> data from </w:t>
      </w:r>
      <w:r w:rsidR="00D15733" w:rsidRPr="00A2333E">
        <w:t xml:space="preserve">APOLLO </w:t>
      </w:r>
      <w:r w:rsidR="005611A1" w:rsidRPr="00A2333E">
        <w:t xml:space="preserve">was also implemented, meaning that patients could </w:t>
      </w:r>
      <w:r w:rsidR="001B0C52" w:rsidRPr="00A2333E">
        <w:t xml:space="preserve">stop </w:t>
      </w:r>
      <w:r w:rsidR="005611A1" w:rsidRPr="00A2333E">
        <w:t>in any health state</w:t>
      </w:r>
      <w:r w:rsidR="00D15733" w:rsidRPr="00A2333E">
        <w:t xml:space="preserve"> based on a log-normal time-to-treatment discontinuation curve</w:t>
      </w:r>
      <w:r w:rsidR="005611A1" w:rsidRPr="00A2333E">
        <w:t>. The ERG explained that i</w:t>
      </w:r>
      <w:r w:rsidR="00F4290C" w:rsidRPr="00A2333E">
        <w:t xml:space="preserve">mplementing both </w:t>
      </w:r>
      <w:r w:rsidR="005611A1" w:rsidRPr="00A2333E">
        <w:t>approaches at the same time may</w:t>
      </w:r>
      <w:r w:rsidR="00F4290C" w:rsidRPr="00A2333E">
        <w:t xml:space="preserve"> </w:t>
      </w:r>
      <w:r w:rsidR="00B6607C" w:rsidRPr="00A2333E">
        <w:t xml:space="preserve">have </w:t>
      </w:r>
      <w:r w:rsidR="00F4290C" w:rsidRPr="00A2333E">
        <w:t>overestimate</w:t>
      </w:r>
      <w:r w:rsidR="00B6607C" w:rsidRPr="00A2333E">
        <w:t>d</w:t>
      </w:r>
      <w:r w:rsidR="00F4290C" w:rsidRPr="00A2333E">
        <w:t xml:space="preserve"> the </w:t>
      </w:r>
      <w:r w:rsidR="001B0C52" w:rsidRPr="00A2333E">
        <w:t xml:space="preserve">stopping </w:t>
      </w:r>
      <w:r w:rsidR="00F4290C" w:rsidRPr="00A2333E">
        <w:t xml:space="preserve">rate. </w:t>
      </w:r>
      <w:r w:rsidR="00133E42" w:rsidRPr="00A2333E">
        <w:t xml:space="preserve">However, </w:t>
      </w:r>
      <w:r w:rsidR="00076A32" w:rsidRPr="00A2333E">
        <w:t xml:space="preserve">the committee </w:t>
      </w:r>
      <w:r w:rsidR="00133E42" w:rsidRPr="00A2333E">
        <w:t xml:space="preserve">noted that it had </w:t>
      </w:r>
      <w:r w:rsidR="00B6607C" w:rsidRPr="00A2333E">
        <w:t xml:space="preserve">had </w:t>
      </w:r>
      <w:r w:rsidR="00133E42" w:rsidRPr="00A2333E">
        <w:t xml:space="preserve">a minimal </w:t>
      </w:r>
      <w:r w:rsidR="00B6607C" w:rsidRPr="00A2333E">
        <w:t xml:space="preserve">effect </w:t>
      </w:r>
      <w:r w:rsidR="00133E42" w:rsidRPr="00A2333E">
        <w:t>on the</w:t>
      </w:r>
      <w:r w:rsidR="0018758F" w:rsidRPr="00A2333E">
        <w:t xml:space="preserve"> incremental cost-effectiveness ratio (</w:t>
      </w:r>
      <w:r w:rsidR="00133E42" w:rsidRPr="00A2333E">
        <w:t>ICER</w:t>
      </w:r>
      <w:r w:rsidR="0018758F" w:rsidRPr="00A2333E">
        <w:t>)</w:t>
      </w:r>
      <w:r w:rsidR="00133E42" w:rsidRPr="00A2333E">
        <w:t xml:space="preserve">. </w:t>
      </w:r>
      <w:r w:rsidR="000A3204" w:rsidRPr="00A2333E">
        <w:t xml:space="preserve">The committee also heard from clinical experts </w:t>
      </w:r>
      <w:r w:rsidR="000A3204" w:rsidRPr="00A2333E">
        <w:lastRenderedPageBreak/>
        <w:t>that very few patients in the trial</w:t>
      </w:r>
      <w:r w:rsidR="00076A32" w:rsidRPr="00A2333E">
        <w:t xml:space="preserve"> </w:t>
      </w:r>
      <w:r w:rsidR="00B6607C" w:rsidRPr="00A2333E">
        <w:t xml:space="preserve">stopped treatment, </w:t>
      </w:r>
      <w:r w:rsidR="00076A32" w:rsidRPr="00A2333E">
        <w:t xml:space="preserve">so the derived discontinuation function would largely </w:t>
      </w:r>
      <w:r w:rsidR="00B6607C" w:rsidRPr="00A2333E">
        <w:t xml:space="preserve">have </w:t>
      </w:r>
      <w:r w:rsidR="00076A32" w:rsidRPr="00A2333E">
        <w:t>be</w:t>
      </w:r>
      <w:r w:rsidR="00B6607C" w:rsidRPr="00A2333E">
        <w:t>en</w:t>
      </w:r>
      <w:r w:rsidR="00076A32" w:rsidRPr="00A2333E">
        <w:t xml:space="preserve"> based on stopping treatment for other reasons than reaching PND</w:t>
      </w:r>
      <w:r w:rsidR="00B6607C" w:rsidRPr="00A2333E">
        <w:t> </w:t>
      </w:r>
      <w:r w:rsidR="00076A32" w:rsidRPr="00A2333E">
        <w:t>IV</w:t>
      </w:r>
      <w:r w:rsidR="000A3204" w:rsidRPr="00A2333E">
        <w:t xml:space="preserve">. It agreed that there were some uncertainties in the company’s updated </w:t>
      </w:r>
      <w:proofErr w:type="gramStart"/>
      <w:r w:rsidR="000A3204" w:rsidRPr="00A2333E">
        <w:t>assumption</w:t>
      </w:r>
      <w:r w:rsidRPr="00A2333E">
        <w:t>,</w:t>
      </w:r>
      <w:r w:rsidR="000A3204" w:rsidRPr="00A2333E">
        <w:t xml:space="preserve"> but</w:t>
      </w:r>
      <w:proofErr w:type="gramEnd"/>
      <w:r w:rsidR="000A3204" w:rsidRPr="00A2333E">
        <w:t xml:space="preserve"> understood that implementing the subsequent rules </w:t>
      </w:r>
      <w:r w:rsidR="00B6607C" w:rsidRPr="00A2333E">
        <w:t xml:space="preserve">had a </w:t>
      </w:r>
      <w:r w:rsidR="000A3204" w:rsidRPr="00A2333E">
        <w:t xml:space="preserve">relatively small </w:t>
      </w:r>
      <w:r w:rsidR="00B6607C" w:rsidRPr="00A2333E">
        <w:t xml:space="preserve">effect </w:t>
      </w:r>
      <w:r w:rsidR="000A3204" w:rsidRPr="00A2333E">
        <w:t>on the ICER</w:t>
      </w:r>
      <w:r w:rsidR="00B6607C" w:rsidRPr="00A2333E">
        <w:t>. It</w:t>
      </w:r>
      <w:r w:rsidR="000A3204" w:rsidRPr="00A2333E">
        <w:t xml:space="preserve"> therefore accepted the model for decision</w:t>
      </w:r>
      <w:r w:rsidR="00B6607C" w:rsidRPr="00A2333E">
        <w:t xml:space="preserve"> </w:t>
      </w:r>
      <w:r w:rsidR="000A3204" w:rsidRPr="00A2333E">
        <w:t>making.</w:t>
      </w:r>
    </w:p>
    <w:p w14:paraId="278D6692" w14:textId="77777777" w:rsidR="003171DE" w:rsidRPr="00A2333E" w:rsidRDefault="003C7152" w:rsidP="003171DE">
      <w:pPr>
        <w:pStyle w:val="Heading3"/>
      </w:pPr>
      <w:r w:rsidRPr="00A2333E">
        <w:t>Transition matrices used for modelling d</w:t>
      </w:r>
      <w:r w:rsidR="009402F1" w:rsidRPr="00A2333E">
        <w:t>isease p</w:t>
      </w:r>
      <w:r w:rsidR="003171DE" w:rsidRPr="00A2333E">
        <w:t>rogression</w:t>
      </w:r>
    </w:p>
    <w:p w14:paraId="76A4B7F1" w14:textId="77777777" w:rsidR="001342EF" w:rsidRPr="00A2333E" w:rsidRDefault="001342EF" w:rsidP="00836003">
      <w:pPr>
        <w:pStyle w:val="Numberedlevel2text"/>
      </w:pPr>
      <w:r w:rsidRPr="00A2333E">
        <w:t>Patients transition</w:t>
      </w:r>
      <w:r w:rsidR="002F4824" w:rsidRPr="00A2333E">
        <w:t>ed</w:t>
      </w:r>
      <w:r w:rsidRPr="00A2333E">
        <w:t xml:space="preserve"> between </w:t>
      </w:r>
      <w:r w:rsidR="00737941" w:rsidRPr="00A2333E">
        <w:t xml:space="preserve">PND </w:t>
      </w:r>
      <w:r w:rsidRPr="00A2333E">
        <w:t xml:space="preserve">health states </w:t>
      </w:r>
      <w:r w:rsidR="00737941" w:rsidRPr="00A2333E">
        <w:t>according to</w:t>
      </w:r>
      <w:r w:rsidRPr="00A2333E">
        <w:t xml:space="preserve"> 2</w:t>
      </w:r>
      <w:r w:rsidR="00FF7F23" w:rsidRPr="00A2333E">
        <w:t> </w:t>
      </w:r>
      <w:r w:rsidRPr="00A2333E">
        <w:t>matrices</w:t>
      </w:r>
      <w:r w:rsidR="00737941" w:rsidRPr="00A2333E">
        <w:t xml:space="preserve">, using a </w:t>
      </w:r>
      <w:r w:rsidR="006C0E10" w:rsidRPr="00A2333E">
        <w:t>6</w:t>
      </w:r>
      <w:r w:rsidR="006C0E10">
        <w:noBreakHyphen/>
      </w:r>
      <w:r w:rsidR="006C0E10" w:rsidRPr="00A2333E">
        <w:t>month</w:t>
      </w:r>
      <w:r w:rsidR="00737941" w:rsidRPr="00A2333E">
        <w:t xml:space="preserve"> cycle</w:t>
      </w:r>
      <w:r w:rsidRPr="00A2333E">
        <w:t xml:space="preserve">. </w:t>
      </w:r>
      <w:r w:rsidR="00F35757" w:rsidRPr="00A2333E">
        <w:t xml:space="preserve">The initial </w:t>
      </w:r>
      <w:r w:rsidRPr="00A2333E">
        <w:t xml:space="preserve">matrix </w:t>
      </w:r>
      <w:r w:rsidR="00CF7E99" w:rsidRPr="00A2333E">
        <w:t>was derived from transitions</w:t>
      </w:r>
      <w:r w:rsidRPr="00A2333E">
        <w:t xml:space="preserve"> </w:t>
      </w:r>
      <w:r w:rsidR="00FF7F23" w:rsidRPr="00A2333E">
        <w:t xml:space="preserve">seen </w:t>
      </w:r>
      <w:r w:rsidRPr="00A2333E">
        <w:t xml:space="preserve">in </w:t>
      </w:r>
      <w:r w:rsidR="00CF7E99" w:rsidRPr="00A2333E">
        <w:t xml:space="preserve">the relevant arm of </w:t>
      </w:r>
      <w:r w:rsidRPr="00A2333E">
        <w:t xml:space="preserve">APOLLO </w:t>
      </w:r>
      <w:r w:rsidR="00CF7E99" w:rsidRPr="00A2333E">
        <w:t xml:space="preserve">and was used for the first </w:t>
      </w:r>
      <w:r w:rsidR="00FF7F23" w:rsidRPr="00A2333E">
        <w:t>3 </w:t>
      </w:r>
      <w:r w:rsidR="00CF7E99" w:rsidRPr="00A2333E">
        <w:t>cycles</w:t>
      </w:r>
      <w:r w:rsidR="00FF7F23" w:rsidRPr="00A2333E">
        <w:t xml:space="preserve">. </w:t>
      </w:r>
      <w:r w:rsidRPr="00A2333E">
        <w:t xml:space="preserve">During </w:t>
      </w:r>
      <w:r w:rsidR="00CF7E99" w:rsidRPr="00A2333E">
        <w:t>subsequent cycles</w:t>
      </w:r>
      <w:r w:rsidR="004C5CEF" w:rsidRPr="00A2333E">
        <w:t>,</w:t>
      </w:r>
      <w:r w:rsidRPr="00A2333E">
        <w:t xml:space="preserve"> patients </w:t>
      </w:r>
      <w:r w:rsidR="00AE644B" w:rsidRPr="00A2333E">
        <w:t xml:space="preserve">having </w:t>
      </w:r>
      <w:r w:rsidRPr="00A2333E">
        <w:t xml:space="preserve">patisiran were assumed to follow the same </w:t>
      </w:r>
      <w:r w:rsidR="00A163D1" w:rsidRPr="00A2333E">
        <w:t>transition probabilities</w:t>
      </w:r>
      <w:r w:rsidR="00F35757" w:rsidRPr="00A2333E">
        <w:t xml:space="preserve"> as in the first 3</w:t>
      </w:r>
      <w:r w:rsidR="006D05C7" w:rsidRPr="00A2333E">
        <w:t> </w:t>
      </w:r>
      <w:r w:rsidR="00F35757" w:rsidRPr="00A2333E">
        <w:t>cycles</w:t>
      </w:r>
      <w:r w:rsidR="00836003" w:rsidRPr="00A2333E">
        <w:t>. However,</w:t>
      </w:r>
      <w:r w:rsidR="00A163D1" w:rsidRPr="00A2333E">
        <w:t xml:space="preserve"> a</w:t>
      </w:r>
      <w:r w:rsidRPr="00A2333E">
        <w:t xml:space="preserve"> different approach was used to model movement of patients </w:t>
      </w:r>
      <w:r w:rsidR="00AE644B" w:rsidRPr="00A2333E">
        <w:t xml:space="preserve">having </w:t>
      </w:r>
      <w:r w:rsidRPr="00A2333E">
        <w:t>BSC. It was assumed that they could either stay in their current health state or progress to the next worst PND state during each cycle</w:t>
      </w:r>
      <w:r w:rsidR="00737941" w:rsidRPr="00A2333E">
        <w:t>, but not move to an improved health state</w:t>
      </w:r>
      <w:r w:rsidRPr="00A2333E">
        <w:t xml:space="preserve">. This matrix was </w:t>
      </w:r>
      <w:r w:rsidR="00A163D1" w:rsidRPr="00A2333E">
        <w:t>derived from</w:t>
      </w:r>
      <w:r w:rsidRPr="00A2333E">
        <w:t xml:space="preserve"> the probability that a patient’s PND state worsened between baseline and 18</w:t>
      </w:r>
      <w:r w:rsidR="003D1E93" w:rsidRPr="00A2333E">
        <w:t> </w:t>
      </w:r>
      <w:r w:rsidR="006953AB" w:rsidRPr="00A2333E">
        <w:t xml:space="preserve">months </w:t>
      </w:r>
      <w:r w:rsidRPr="00A2333E">
        <w:t>in the placebo group of APOLLO</w:t>
      </w:r>
      <w:r w:rsidR="00836003" w:rsidRPr="00A2333E">
        <w:t>,</w:t>
      </w:r>
      <w:r w:rsidRPr="00A2333E">
        <w:t xml:space="preserve"> and the estimated probability of crossing the NT</w:t>
      </w:r>
      <w:r w:rsidR="003D1E93" w:rsidRPr="00A2333E">
        <w:noBreakHyphen/>
      </w:r>
      <w:proofErr w:type="spellStart"/>
      <w:r w:rsidRPr="00A2333E">
        <w:t>proBNP</w:t>
      </w:r>
      <w:proofErr w:type="spellEnd"/>
      <w:r w:rsidRPr="00A2333E">
        <w:t xml:space="preserve"> threshold of 3,000</w:t>
      </w:r>
      <w:r w:rsidR="003D1E93" w:rsidRPr="00A2333E">
        <w:t> </w:t>
      </w:r>
      <w:proofErr w:type="spellStart"/>
      <w:r w:rsidRPr="00A2333E">
        <w:t>pg</w:t>
      </w:r>
      <w:proofErr w:type="spellEnd"/>
      <w:r w:rsidRPr="00A2333E">
        <w:t xml:space="preserve">/mL </w:t>
      </w:r>
      <w:r w:rsidR="003D1E93" w:rsidRPr="00A2333E">
        <w:t xml:space="preserve">or more </w:t>
      </w:r>
      <w:r w:rsidRPr="00A2333E">
        <w:t>during any given 6</w:t>
      </w:r>
      <w:r w:rsidR="003D1E93" w:rsidRPr="00A2333E">
        <w:noBreakHyphen/>
      </w:r>
      <w:r w:rsidRPr="00A2333E">
        <w:t xml:space="preserve">month cycle. </w:t>
      </w:r>
      <w:r w:rsidR="00640851" w:rsidRPr="00A2333E">
        <w:t xml:space="preserve">The ERG noted </w:t>
      </w:r>
      <w:r w:rsidR="00102247" w:rsidRPr="00A2333E">
        <w:t xml:space="preserve">that </w:t>
      </w:r>
      <w:r w:rsidR="00640851" w:rsidRPr="00A2333E">
        <w:t>the method used to convert 18</w:t>
      </w:r>
      <w:r w:rsidR="003D1E93" w:rsidRPr="00A2333E">
        <w:noBreakHyphen/>
      </w:r>
      <w:r w:rsidR="00640851" w:rsidRPr="00A2333E">
        <w:t xml:space="preserve">month data </w:t>
      </w:r>
      <w:r w:rsidR="00737941" w:rsidRPr="00A2333E">
        <w:t xml:space="preserve">from APOLLO </w:t>
      </w:r>
      <w:r w:rsidR="00640851" w:rsidRPr="00A2333E">
        <w:t>to 6</w:t>
      </w:r>
      <w:r w:rsidR="00836003" w:rsidRPr="00A2333E">
        <w:noBreakHyphen/>
      </w:r>
      <w:r w:rsidR="00640851" w:rsidRPr="00A2333E">
        <w:t>month cycles was inappropriate</w:t>
      </w:r>
      <w:r w:rsidR="006D05C7" w:rsidRPr="00A2333E">
        <w:t>. This was</w:t>
      </w:r>
      <w:r w:rsidR="00640851" w:rsidRPr="00A2333E">
        <w:t xml:space="preserve"> </w:t>
      </w:r>
      <w:r w:rsidR="008728FB" w:rsidRPr="00A2333E">
        <w:t xml:space="preserve">because </w:t>
      </w:r>
      <w:r w:rsidR="00640851" w:rsidRPr="00A2333E">
        <w:t xml:space="preserve">there </w:t>
      </w:r>
      <w:r w:rsidR="000120A5" w:rsidRPr="00A2333E">
        <w:t xml:space="preserve">were </w:t>
      </w:r>
      <w:r w:rsidR="00640851" w:rsidRPr="00A2333E">
        <w:t>more than 2</w:t>
      </w:r>
      <w:r w:rsidR="003D1E93" w:rsidRPr="00A2333E">
        <w:t> </w:t>
      </w:r>
      <w:r w:rsidR="00640851" w:rsidRPr="00A2333E">
        <w:t>hea</w:t>
      </w:r>
      <w:r w:rsidR="00C85777" w:rsidRPr="00A2333E">
        <w:t>l</w:t>
      </w:r>
      <w:r w:rsidR="00640851" w:rsidRPr="00A2333E">
        <w:t>th states</w:t>
      </w:r>
      <w:r w:rsidR="00B07BC5" w:rsidRPr="00A2333E">
        <w:t xml:space="preserve"> and the population in each health state was sparse</w:t>
      </w:r>
      <w:r w:rsidR="00640851" w:rsidRPr="00A2333E">
        <w:t xml:space="preserve">, and </w:t>
      </w:r>
      <w:r w:rsidR="006D05C7" w:rsidRPr="00A2333E">
        <w:t>because it</w:t>
      </w:r>
      <w:r w:rsidR="00640851" w:rsidRPr="00A2333E">
        <w:rPr>
          <w:rFonts w:ascii="Times New Roman" w:hAnsi="Times New Roman"/>
          <w:szCs w:val="24"/>
        </w:rPr>
        <w:t xml:space="preserve"> </w:t>
      </w:r>
      <w:r w:rsidR="00640851" w:rsidRPr="00A2333E">
        <w:t xml:space="preserve">produced a small bias in favour of BSC. </w:t>
      </w:r>
      <w:r w:rsidR="00D36CA3" w:rsidRPr="00A2333E">
        <w:t>It also noted that</w:t>
      </w:r>
      <w:r w:rsidR="008F6948" w:rsidRPr="00A2333E">
        <w:t>, although 9</w:t>
      </w:r>
      <w:r w:rsidR="006D05C7" w:rsidRPr="00A2333E">
        <w:noBreakHyphen/>
      </w:r>
      <w:r w:rsidR="008F6948" w:rsidRPr="00A2333E">
        <w:t xml:space="preserve">month timepoint </w:t>
      </w:r>
      <w:r w:rsidR="006D05C7" w:rsidRPr="00A2333E">
        <w:t>wa</w:t>
      </w:r>
      <w:r w:rsidR="008F6948" w:rsidRPr="00A2333E">
        <w:t>s not a pre-specified final endpoint assessment,</w:t>
      </w:r>
      <w:r w:rsidR="00D36CA3" w:rsidRPr="00A2333E">
        <w:t xml:space="preserve"> it may have been informative (for NT</w:t>
      </w:r>
      <w:r w:rsidR="003D1E93" w:rsidRPr="00A2333E">
        <w:noBreakHyphen/>
      </w:r>
      <w:proofErr w:type="spellStart"/>
      <w:r w:rsidR="00D36CA3" w:rsidRPr="00A2333E">
        <w:t>proBNP</w:t>
      </w:r>
      <w:proofErr w:type="spellEnd"/>
      <w:r w:rsidR="00D36CA3" w:rsidRPr="00A2333E">
        <w:t>)</w:t>
      </w:r>
      <w:r w:rsidR="008F6948" w:rsidRPr="00A2333E">
        <w:t xml:space="preserve"> </w:t>
      </w:r>
      <w:r w:rsidR="003F039D" w:rsidRPr="00A2333E">
        <w:t xml:space="preserve">to use </w:t>
      </w:r>
      <w:r w:rsidR="006D05C7" w:rsidRPr="00A2333E">
        <w:t xml:space="preserve">because </w:t>
      </w:r>
      <w:r w:rsidR="008F6948" w:rsidRPr="00A2333E">
        <w:t xml:space="preserve">it would have </w:t>
      </w:r>
      <w:r w:rsidR="003F039D" w:rsidRPr="00A2333E">
        <w:t>provided</w:t>
      </w:r>
      <w:r w:rsidR="008F6948" w:rsidRPr="00A2333E">
        <w:t xml:space="preserve"> additional information </w:t>
      </w:r>
      <w:r w:rsidR="003F039D" w:rsidRPr="00A2333E">
        <w:t>to</w:t>
      </w:r>
      <w:r w:rsidR="008F6948" w:rsidRPr="00A2333E">
        <w:t xml:space="preserve"> the model and may have produced a different extrapolation across the PND s</w:t>
      </w:r>
      <w:r w:rsidR="003F039D" w:rsidRPr="00A2333E">
        <w:t>cores</w:t>
      </w:r>
      <w:r w:rsidR="008F6948" w:rsidRPr="00A2333E">
        <w:t xml:space="preserve">. </w:t>
      </w:r>
      <w:r w:rsidR="0071446E" w:rsidRPr="00A2333E">
        <w:t>Furthermore, t</w:t>
      </w:r>
      <w:r w:rsidR="00186A2E" w:rsidRPr="00A2333E">
        <w:t xml:space="preserve">he matrices would not have </w:t>
      </w:r>
      <w:r w:rsidR="006D05C7" w:rsidRPr="00A2333E">
        <w:t xml:space="preserve">needed </w:t>
      </w:r>
      <w:r w:rsidR="00186A2E" w:rsidRPr="00A2333E">
        <w:t xml:space="preserve">any adjustment if a longer cycle duration had been selected. </w:t>
      </w:r>
      <w:r w:rsidR="00B70916" w:rsidRPr="00A2333E">
        <w:t>The committee</w:t>
      </w:r>
      <w:r w:rsidR="00C85777" w:rsidRPr="00A2333E">
        <w:t xml:space="preserve"> concluded that the company’s method of modelling of health</w:t>
      </w:r>
      <w:r w:rsidR="008E73E8" w:rsidRPr="00A2333E">
        <w:t>-</w:t>
      </w:r>
      <w:r w:rsidR="00C85777" w:rsidRPr="00A2333E">
        <w:t xml:space="preserve">state transitions introduced uncertainty into the model, especially for the extrapolated period for which </w:t>
      </w:r>
      <w:r w:rsidR="00C85777" w:rsidRPr="00A2333E">
        <w:lastRenderedPageBreak/>
        <w:t>no long-te</w:t>
      </w:r>
      <w:r w:rsidR="001B5105" w:rsidRPr="00A2333E">
        <w:t>rm data exists (see section</w:t>
      </w:r>
      <w:r w:rsidR="003D1E93" w:rsidRPr="00A2333E">
        <w:t> </w:t>
      </w:r>
      <w:r w:rsidR="00D40A12" w:rsidRPr="00A2333E">
        <w:fldChar w:fldCharType="begin"/>
      </w:r>
      <w:r w:rsidR="001B5105" w:rsidRPr="00A2333E">
        <w:instrText xml:space="preserve"> REF _Ref530321495 \n \h </w:instrText>
      </w:r>
      <w:r w:rsidR="00D40A12" w:rsidRPr="00A2333E">
        <w:fldChar w:fldCharType="separate"/>
      </w:r>
      <w:r w:rsidR="00D67236" w:rsidRPr="00A2333E">
        <w:t>4.9</w:t>
      </w:r>
      <w:r w:rsidR="00D40A12" w:rsidRPr="00A2333E">
        <w:fldChar w:fldCharType="end"/>
      </w:r>
      <w:r w:rsidR="001B5105" w:rsidRPr="00A2333E">
        <w:t>)</w:t>
      </w:r>
      <w:r w:rsidR="006D05C7" w:rsidRPr="00A2333E">
        <w:t>. However</w:t>
      </w:r>
      <w:r w:rsidR="00401863" w:rsidRPr="00A2333E">
        <w:t xml:space="preserve">, </w:t>
      </w:r>
      <w:r w:rsidR="006D05C7" w:rsidRPr="00A2333E">
        <w:t>i</w:t>
      </w:r>
      <w:r w:rsidR="00401863" w:rsidRPr="00A2333E">
        <w:t xml:space="preserve">t was aware </w:t>
      </w:r>
      <w:r w:rsidR="006D05C7" w:rsidRPr="00A2333E">
        <w:t>that this had</w:t>
      </w:r>
      <w:r w:rsidR="00401863" w:rsidRPr="00A2333E">
        <w:t xml:space="preserve"> little </w:t>
      </w:r>
      <w:r w:rsidR="006D05C7" w:rsidRPr="00A2333E">
        <w:t xml:space="preserve">effect </w:t>
      </w:r>
      <w:r w:rsidR="00401863" w:rsidRPr="00A2333E">
        <w:t>on the cost</w:t>
      </w:r>
      <w:r w:rsidR="00E22329" w:rsidRPr="00A2333E">
        <w:t xml:space="preserve"> </w:t>
      </w:r>
      <w:r w:rsidR="00401863" w:rsidRPr="00A2333E">
        <w:t>effectiveness</w:t>
      </w:r>
      <w:r w:rsidR="001B5105" w:rsidRPr="00A2333E">
        <w:t>.</w:t>
      </w:r>
    </w:p>
    <w:p w14:paraId="28318EA4" w14:textId="77777777" w:rsidR="007E2265" w:rsidRPr="00A2333E" w:rsidRDefault="007E2265" w:rsidP="007E2265">
      <w:pPr>
        <w:pStyle w:val="Heading3"/>
      </w:pPr>
      <w:bookmarkStart w:id="24" w:name="_Hlk9511224"/>
      <w:r w:rsidRPr="00A2333E">
        <w:t>Health-state utilities</w:t>
      </w:r>
      <w:r w:rsidR="003C7152" w:rsidRPr="00A2333E">
        <w:t xml:space="preserve"> used in the model</w:t>
      </w:r>
    </w:p>
    <w:p w14:paraId="1039E73F" w14:textId="77777777" w:rsidR="00102247" w:rsidRPr="00A2333E" w:rsidRDefault="00CD346D" w:rsidP="00C44FF0">
      <w:pPr>
        <w:pStyle w:val="Numberedlevel2text"/>
      </w:pPr>
      <w:bookmarkStart w:id="25" w:name="_Ref530152756"/>
      <w:bookmarkEnd w:id="24"/>
      <w:r w:rsidRPr="00A2333E">
        <w:t>The company used the EQ</w:t>
      </w:r>
      <w:r w:rsidR="00102247" w:rsidRPr="00A2333E">
        <w:noBreakHyphen/>
      </w:r>
      <w:r w:rsidRPr="00A2333E">
        <w:t>5D</w:t>
      </w:r>
      <w:r w:rsidR="00102247" w:rsidRPr="00A2333E">
        <w:noBreakHyphen/>
      </w:r>
      <w:r w:rsidRPr="00A2333E">
        <w:t xml:space="preserve">5L </w:t>
      </w:r>
      <w:r w:rsidR="00737941" w:rsidRPr="00A2333E">
        <w:t xml:space="preserve">utility values collected </w:t>
      </w:r>
      <w:r w:rsidRPr="00A2333E">
        <w:t>in APOLLO</w:t>
      </w:r>
      <w:r w:rsidR="00F85C9E" w:rsidRPr="00A2333E">
        <w:t xml:space="preserve"> </w:t>
      </w:r>
      <w:r w:rsidRPr="00A2333E">
        <w:t>mapped to EQ</w:t>
      </w:r>
      <w:r w:rsidR="00102247" w:rsidRPr="00A2333E">
        <w:noBreakHyphen/>
      </w:r>
      <w:r w:rsidRPr="00A2333E">
        <w:t>5D</w:t>
      </w:r>
      <w:r w:rsidR="00102247" w:rsidRPr="00A2333E">
        <w:noBreakHyphen/>
      </w:r>
      <w:r w:rsidRPr="00A2333E">
        <w:t>3L (</w:t>
      </w:r>
      <w:r w:rsidR="006E7515" w:rsidRPr="00A2333E">
        <w:t xml:space="preserve">using </w:t>
      </w:r>
      <w:r w:rsidRPr="00A2333E">
        <w:t xml:space="preserve">Van </w:t>
      </w:r>
      <w:proofErr w:type="spellStart"/>
      <w:r w:rsidRPr="00A2333E">
        <w:t>Hout</w:t>
      </w:r>
      <w:proofErr w:type="spellEnd"/>
      <w:r w:rsidRPr="00A2333E">
        <w:t xml:space="preserve"> et al.</w:t>
      </w:r>
      <w:r w:rsidR="00B439DE" w:rsidRPr="00A2333E">
        <w:t>,</w:t>
      </w:r>
      <w:r w:rsidRPr="00A2333E">
        <w:t xml:space="preserve"> 2012) </w:t>
      </w:r>
      <w:r w:rsidR="004E318D" w:rsidRPr="00A2333E">
        <w:t>for</w:t>
      </w:r>
      <w:r w:rsidR="00E567AF" w:rsidRPr="00A2333E">
        <w:t xml:space="preserve"> a regression model </w:t>
      </w:r>
      <w:r w:rsidR="00F85C9E" w:rsidRPr="00A2333E">
        <w:t>relating</w:t>
      </w:r>
      <w:r w:rsidR="00E567AF" w:rsidRPr="00A2333E">
        <w:t xml:space="preserve"> quality</w:t>
      </w:r>
      <w:r w:rsidR="00FF7F23" w:rsidRPr="00A2333E">
        <w:t xml:space="preserve"> </w:t>
      </w:r>
      <w:r w:rsidR="00E567AF" w:rsidRPr="00A2333E">
        <w:t>of</w:t>
      </w:r>
      <w:r w:rsidR="00FF7F23" w:rsidRPr="00A2333E">
        <w:t xml:space="preserve"> </w:t>
      </w:r>
      <w:r w:rsidR="00E567AF" w:rsidRPr="00A2333E">
        <w:t xml:space="preserve">life </w:t>
      </w:r>
      <w:r w:rsidR="00F85C9E" w:rsidRPr="00A2333E">
        <w:t>to</w:t>
      </w:r>
      <w:r w:rsidR="00E567AF" w:rsidRPr="00A2333E">
        <w:t xml:space="preserve"> PND score</w:t>
      </w:r>
      <w:r w:rsidR="004F7C03" w:rsidRPr="00A2333E">
        <w:t xml:space="preserve"> and</w:t>
      </w:r>
      <w:r w:rsidR="00E567AF" w:rsidRPr="00A2333E">
        <w:t xml:space="preserve"> </w:t>
      </w:r>
      <w:r w:rsidR="004F7C03" w:rsidRPr="00A2333E">
        <w:t>the interaction of time by treatment</w:t>
      </w:r>
      <w:r w:rsidR="00E567AF" w:rsidRPr="00A2333E">
        <w:t xml:space="preserve">. </w:t>
      </w:r>
      <w:r w:rsidR="00546FC1" w:rsidRPr="00A2333E">
        <w:t xml:space="preserve">Utilities for patients </w:t>
      </w:r>
      <w:r w:rsidR="00AE644B" w:rsidRPr="00A2333E">
        <w:t xml:space="preserve">having </w:t>
      </w:r>
      <w:r w:rsidR="00546FC1" w:rsidRPr="00A2333E">
        <w:t xml:space="preserve">patisiran and BSC were the same at </w:t>
      </w:r>
      <w:proofErr w:type="gramStart"/>
      <w:r w:rsidR="00546FC1" w:rsidRPr="00A2333E">
        <w:t xml:space="preserve">baseline, </w:t>
      </w:r>
      <w:r w:rsidR="00F85C9E" w:rsidRPr="00A2333E">
        <w:t>but</w:t>
      </w:r>
      <w:proofErr w:type="gramEnd"/>
      <w:r w:rsidR="00F85C9E" w:rsidRPr="00A2333E">
        <w:t xml:space="preserve"> increased every month for patients having patisiran and decreased every month for patients having BSC</w:t>
      </w:r>
      <w:r w:rsidR="003829A0" w:rsidRPr="00A2333E">
        <w:t xml:space="preserve"> (utilities and regression parameters are </w:t>
      </w:r>
      <w:r w:rsidR="00F85C9E" w:rsidRPr="00A2333E">
        <w:t xml:space="preserve">considered </w:t>
      </w:r>
      <w:r w:rsidR="003829A0" w:rsidRPr="00A2333E">
        <w:t>confidential</w:t>
      </w:r>
      <w:r w:rsidR="00F85C9E" w:rsidRPr="00A2333E">
        <w:t xml:space="preserve"> by the company</w:t>
      </w:r>
      <w:r w:rsidR="003829A0" w:rsidRPr="00A2333E">
        <w:t xml:space="preserve"> and cannot be reported)</w:t>
      </w:r>
      <w:r w:rsidR="00546FC1" w:rsidRPr="00A2333E">
        <w:t xml:space="preserve">. </w:t>
      </w:r>
      <w:r w:rsidR="00F85C9E" w:rsidRPr="00A2333E">
        <w:t>The company capped the u</w:t>
      </w:r>
      <w:r w:rsidR="00546FC1" w:rsidRPr="00A2333E">
        <w:t>tilit</w:t>
      </w:r>
      <w:r w:rsidR="00F85C9E" w:rsidRPr="00A2333E">
        <w:t>y values</w:t>
      </w:r>
      <w:r w:rsidR="00E567AF" w:rsidRPr="00A2333E">
        <w:t xml:space="preserve"> so </w:t>
      </w:r>
      <w:r w:rsidR="00102247" w:rsidRPr="00A2333E">
        <w:t xml:space="preserve">that </w:t>
      </w:r>
      <w:r w:rsidR="00E567AF" w:rsidRPr="00A2333E">
        <w:t xml:space="preserve">they could not exceed </w:t>
      </w:r>
      <w:r w:rsidR="00F85C9E" w:rsidRPr="00A2333E">
        <w:t xml:space="preserve">a </w:t>
      </w:r>
      <w:r w:rsidR="00E567AF" w:rsidRPr="00A2333E">
        <w:t xml:space="preserve">maximum (patisiran) </w:t>
      </w:r>
      <w:r w:rsidR="00F85C9E" w:rsidRPr="00A2333E">
        <w:t xml:space="preserve">or fall below a minimum (BSC) </w:t>
      </w:r>
      <w:r w:rsidR="00E567AF" w:rsidRPr="00A2333E">
        <w:t xml:space="preserve">in each health state. </w:t>
      </w:r>
      <w:r w:rsidR="004E318D" w:rsidRPr="00A2333E">
        <w:t>It</w:t>
      </w:r>
      <w:r w:rsidRPr="00A2333E">
        <w:t xml:space="preserve"> applied a</w:t>
      </w:r>
      <w:r w:rsidR="00E567AF" w:rsidRPr="00A2333E">
        <w:t xml:space="preserve"> further cap to ensure that the utilities for each health state did not exceed </w:t>
      </w:r>
      <w:r w:rsidR="00102247" w:rsidRPr="00A2333E">
        <w:t xml:space="preserve">those for the </w:t>
      </w:r>
      <w:r w:rsidR="00E567AF" w:rsidRPr="00A2333E">
        <w:t>general population in England (</w:t>
      </w:r>
      <w:r w:rsidR="00C0067E" w:rsidRPr="00A2333E">
        <w:t xml:space="preserve">using data from </w:t>
      </w:r>
      <w:r w:rsidR="00E567AF" w:rsidRPr="00A2333E">
        <w:t xml:space="preserve">Kind et al., 1999). </w:t>
      </w:r>
      <w:r w:rsidR="00340C46" w:rsidRPr="00A2333E">
        <w:t>The ERG considered the regression to be unreliable because</w:t>
      </w:r>
      <w:r w:rsidR="00102247" w:rsidRPr="00A2333E">
        <w:t xml:space="preserve"> it:</w:t>
      </w:r>
    </w:p>
    <w:p w14:paraId="1869222C" w14:textId="77777777" w:rsidR="00997C12" w:rsidRPr="00A2333E" w:rsidRDefault="00F85C9E" w:rsidP="00997C12">
      <w:pPr>
        <w:pStyle w:val="Bulletindent1"/>
      </w:pPr>
      <w:r w:rsidRPr="00A2333E">
        <w:t>excluded important parameters (such as cardiac involvement)</w:t>
      </w:r>
    </w:p>
    <w:p w14:paraId="1450B400" w14:textId="77777777" w:rsidR="00997C12" w:rsidRPr="00A2333E" w:rsidRDefault="006F4A99" w:rsidP="00997C12">
      <w:pPr>
        <w:pStyle w:val="Bulletindent1"/>
      </w:pPr>
      <w:r w:rsidRPr="00A2333E">
        <w:t xml:space="preserve">included </w:t>
      </w:r>
      <w:r w:rsidR="005B3E0D" w:rsidRPr="00A2333E">
        <w:t xml:space="preserve">the </w:t>
      </w:r>
      <w:r w:rsidRPr="00A2333E">
        <w:t>interaction</w:t>
      </w:r>
      <w:r w:rsidR="009F6604" w:rsidRPr="00A2333E">
        <w:t xml:space="preserve"> of time by treatment</w:t>
      </w:r>
      <w:r w:rsidRPr="00A2333E">
        <w:t xml:space="preserve"> without the main terms</w:t>
      </w:r>
      <w:r w:rsidR="009F6604" w:rsidRPr="00A2333E">
        <w:t xml:space="preserve"> (that is, time and treatment)</w:t>
      </w:r>
    </w:p>
    <w:p w14:paraId="77161872" w14:textId="77777777" w:rsidR="00496D13" w:rsidRPr="00A2333E" w:rsidRDefault="00102247" w:rsidP="00281064">
      <w:pPr>
        <w:pStyle w:val="Bulletindent1last"/>
      </w:pPr>
      <w:r w:rsidRPr="00A2333E">
        <w:t>chose</w:t>
      </w:r>
      <w:r w:rsidR="00340C46" w:rsidRPr="00A2333E">
        <w:t xml:space="preserve"> the minimum and maximum caps</w:t>
      </w:r>
      <w:r w:rsidR="00DB34C8" w:rsidRPr="00A2333E">
        <w:t xml:space="preserve"> </w:t>
      </w:r>
      <w:r w:rsidR="00340C46" w:rsidRPr="00A2333E">
        <w:t>arbitrarily</w:t>
      </w:r>
      <w:r w:rsidRPr="00A2333E">
        <w:t>, which</w:t>
      </w:r>
      <w:r w:rsidR="00340C46" w:rsidRPr="00A2333E">
        <w:t xml:space="preserve"> would not have been need</w:t>
      </w:r>
      <w:r w:rsidR="00F85C9E" w:rsidRPr="00A2333E">
        <w:t>ed</w:t>
      </w:r>
      <w:r w:rsidR="00340C46" w:rsidRPr="00A2333E">
        <w:t xml:space="preserve"> if the model </w:t>
      </w:r>
      <w:r w:rsidR="00F85C9E" w:rsidRPr="00A2333E">
        <w:t>had</w:t>
      </w:r>
      <w:r w:rsidR="00340C46" w:rsidRPr="00A2333E">
        <w:t xml:space="preserve"> </w:t>
      </w:r>
      <w:r w:rsidR="00F85C9E" w:rsidRPr="00A2333E">
        <w:t>been correctly specified</w:t>
      </w:r>
      <w:r w:rsidR="00E22329" w:rsidRPr="00A2333E">
        <w:t>.</w:t>
      </w:r>
      <w:r w:rsidRPr="00A2333E">
        <w:br/>
      </w:r>
      <w:r w:rsidR="00281064" w:rsidRPr="00A2333E">
        <w:br/>
      </w:r>
      <w:r w:rsidR="005370A5" w:rsidRPr="00A2333E">
        <w:t>During consultation, the company submitted a</w:t>
      </w:r>
      <w:r w:rsidR="0074341A" w:rsidRPr="00A2333E">
        <w:t xml:space="preserve"> revised </w:t>
      </w:r>
      <w:r w:rsidR="00AD2774" w:rsidRPr="00A2333E">
        <w:t xml:space="preserve">base case </w:t>
      </w:r>
      <w:r w:rsidR="00281064" w:rsidRPr="00A2333E">
        <w:t xml:space="preserve">that </w:t>
      </w:r>
      <w:r w:rsidR="003F039D" w:rsidRPr="00A2333E">
        <w:t>relied on a</w:t>
      </w:r>
      <w:r w:rsidR="00AD2774" w:rsidRPr="00A2333E">
        <w:t xml:space="preserve"> regression </w:t>
      </w:r>
      <w:r w:rsidR="005370A5" w:rsidRPr="00A2333E">
        <w:t>model includ</w:t>
      </w:r>
      <w:r w:rsidR="003F039D" w:rsidRPr="00A2333E">
        <w:t>ing</w:t>
      </w:r>
      <w:r w:rsidR="005370A5" w:rsidRPr="00A2333E">
        <w:t xml:space="preserve"> all regression terms </w:t>
      </w:r>
      <w:r w:rsidR="00DC5B99" w:rsidRPr="00A2333E">
        <w:t>(</w:t>
      </w:r>
      <w:r w:rsidR="003F039D" w:rsidRPr="00A2333E">
        <w:t>that is</w:t>
      </w:r>
      <w:r w:rsidR="004C2B21" w:rsidRPr="00A2333E">
        <w:t xml:space="preserve">, </w:t>
      </w:r>
      <w:r w:rsidR="00DC5B99" w:rsidRPr="00A2333E">
        <w:t>treatment group, time, PND score, NT</w:t>
      </w:r>
      <w:r w:rsidR="00281064" w:rsidRPr="00A2333E">
        <w:noBreakHyphen/>
      </w:r>
      <w:proofErr w:type="spellStart"/>
      <w:r w:rsidR="00DC5B99" w:rsidRPr="00A2333E">
        <w:t>ProBNP</w:t>
      </w:r>
      <w:proofErr w:type="spellEnd"/>
      <w:r w:rsidR="00DC5B99" w:rsidRPr="00A2333E">
        <w:t xml:space="preserve">, and </w:t>
      </w:r>
      <w:r w:rsidR="004C2B21" w:rsidRPr="00A2333E">
        <w:t>the interaction of time by treatment)</w:t>
      </w:r>
      <w:r w:rsidR="00DC5B99" w:rsidRPr="00A2333E">
        <w:t xml:space="preserve"> </w:t>
      </w:r>
      <w:r w:rsidR="005370A5" w:rsidRPr="00A2333E">
        <w:t>but still relied on the use of maximum and minimum caps. T</w:t>
      </w:r>
      <w:r w:rsidR="00546FC1" w:rsidRPr="00A2333E">
        <w:t>he ERG</w:t>
      </w:r>
      <w:r w:rsidR="00340C46" w:rsidRPr="00A2333E">
        <w:t xml:space="preserve"> explained that</w:t>
      </w:r>
      <w:r w:rsidRPr="00A2333E">
        <w:t>,</w:t>
      </w:r>
      <w:r w:rsidR="00340C46" w:rsidRPr="00A2333E">
        <w:t xml:space="preserve"> </w:t>
      </w:r>
      <w:r w:rsidR="00546FC1" w:rsidRPr="00A2333E">
        <w:t xml:space="preserve">without </w:t>
      </w:r>
      <w:r w:rsidR="00340C46" w:rsidRPr="00A2333E">
        <w:t xml:space="preserve">the </w:t>
      </w:r>
      <w:r w:rsidR="00546FC1" w:rsidRPr="00A2333E">
        <w:t xml:space="preserve">minimum and maximum caps, the utilities </w:t>
      </w:r>
      <w:r w:rsidR="00F1533D" w:rsidRPr="00A2333E">
        <w:t>reach</w:t>
      </w:r>
      <w:r w:rsidRPr="00A2333E">
        <w:t>ed</w:t>
      </w:r>
      <w:r w:rsidR="00F1533D" w:rsidRPr="00A2333E">
        <w:t xml:space="preserve"> unrealistic values. For example, </w:t>
      </w:r>
      <w:r w:rsidR="00546FC1" w:rsidRPr="00A2333E">
        <w:t>over time,</w:t>
      </w:r>
      <w:r w:rsidR="00340C46" w:rsidRPr="00A2333E">
        <w:t xml:space="preserve"> patients with PND</w:t>
      </w:r>
      <w:r w:rsidRPr="00A2333E">
        <w:t> </w:t>
      </w:r>
      <w:r w:rsidR="00340C46" w:rsidRPr="00A2333E">
        <w:t xml:space="preserve">II </w:t>
      </w:r>
      <w:r w:rsidR="00546FC1" w:rsidRPr="00A2333E">
        <w:t xml:space="preserve">in the patisiran arm </w:t>
      </w:r>
      <w:r w:rsidRPr="00A2333E">
        <w:t xml:space="preserve">were </w:t>
      </w:r>
      <w:r w:rsidR="00340C46" w:rsidRPr="00A2333E">
        <w:t xml:space="preserve">assumed to have the same </w:t>
      </w:r>
      <w:r w:rsidR="00546FC1" w:rsidRPr="00A2333E">
        <w:t>utility</w:t>
      </w:r>
      <w:r w:rsidR="00340C46" w:rsidRPr="00A2333E">
        <w:t xml:space="preserve"> as </w:t>
      </w:r>
      <w:r w:rsidR="00546FC1" w:rsidRPr="00A2333E">
        <w:t xml:space="preserve">patients with </w:t>
      </w:r>
      <w:r w:rsidRPr="00A2333E">
        <w:t>PND </w:t>
      </w:r>
      <w:r w:rsidR="00546FC1" w:rsidRPr="00A2333E">
        <w:t>0</w:t>
      </w:r>
      <w:r w:rsidR="00F85C9E" w:rsidRPr="00A2333E">
        <w:t xml:space="preserve"> (that is, </w:t>
      </w:r>
      <w:r w:rsidR="009402F1" w:rsidRPr="00A2333E">
        <w:t>no symptoms</w:t>
      </w:r>
      <w:r w:rsidR="00F85C9E" w:rsidRPr="00A2333E">
        <w:t>)</w:t>
      </w:r>
      <w:r w:rsidR="00551810" w:rsidRPr="00A2333E">
        <w:t xml:space="preserve"> although t</w:t>
      </w:r>
      <w:r w:rsidR="0024101C" w:rsidRPr="00A2333E">
        <w:t xml:space="preserve">his affected </w:t>
      </w:r>
      <w:r w:rsidR="00182D3C" w:rsidRPr="00A2333E">
        <w:t xml:space="preserve">only </w:t>
      </w:r>
      <w:r w:rsidR="00E7103E" w:rsidRPr="00A2333E">
        <w:t>very few</w:t>
      </w:r>
      <w:r w:rsidR="0024101C" w:rsidRPr="00A2333E">
        <w:t xml:space="preserve"> patients</w:t>
      </w:r>
      <w:r w:rsidR="00546FC1" w:rsidRPr="00A2333E">
        <w:t xml:space="preserve">. </w:t>
      </w:r>
      <w:r w:rsidR="00F1533D" w:rsidRPr="00A2333E">
        <w:t>The committee noted that a utility c</w:t>
      </w:r>
      <w:r w:rsidR="006F4A99" w:rsidRPr="00A2333E">
        <w:t>ould</w:t>
      </w:r>
      <w:r w:rsidR="00F1533D" w:rsidRPr="00A2333E">
        <w:t xml:space="preserve"> </w:t>
      </w:r>
      <w:r w:rsidR="00F1533D" w:rsidRPr="00A2333E">
        <w:lastRenderedPageBreak/>
        <w:t>vary within the same health state</w:t>
      </w:r>
      <w:r w:rsidR="001715A3" w:rsidRPr="00A2333E">
        <w:t xml:space="preserve"> </w:t>
      </w:r>
      <w:r w:rsidR="00F85C9E" w:rsidRPr="00A2333E">
        <w:t>depending on</w:t>
      </w:r>
      <w:r w:rsidR="00F1533D" w:rsidRPr="00A2333E">
        <w:t xml:space="preserve"> treatment</w:t>
      </w:r>
      <w:r w:rsidR="001715A3" w:rsidRPr="00A2333E">
        <w:t xml:space="preserve"> group.</w:t>
      </w:r>
      <w:r w:rsidR="000351BA" w:rsidRPr="00A2333E">
        <w:t xml:space="preserve"> The company explained that this </w:t>
      </w:r>
      <w:r w:rsidR="004E318D" w:rsidRPr="00A2333E">
        <w:t>wa</w:t>
      </w:r>
      <w:r w:rsidR="000351BA" w:rsidRPr="00A2333E">
        <w:t xml:space="preserve">s because PND score does not reflect all aspects of the </w:t>
      </w:r>
      <w:r w:rsidR="009402F1" w:rsidRPr="00A2333E">
        <w:t>condition</w:t>
      </w:r>
      <w:r w:rsidR="000351BA" w:rsidRPr="00A2333E">
        <w:t xml:space="preserve">; people may be in the same PND state but have improved autonomic symptoms if they are taking patisiran. The committee considered that this was at odds with what </w:t>
      </w:r>
      <w:r w:rsidR="00776E8D" w:rsidRPr="00A2333E">
        <w:t xml:space="preserve">it </w:t>
      </w:r>
      <w:r w:rsidR="000351BA" w:rsidRPr="00A2333E">
        <w:t>had heard from clinical experts about improvements in polyneuropathy and autonomic symptoms being correlated (see section</w:t>
      </w:r>
      <w:r w:rsidRPr="00A2333E">
        <w:t> </w:t>
      </w:r>
      <w:r w:rsidR="00480A24">
        <w:fldChar w:fldCharType="begin"/>
      </w:r>
      <w:r w:rsidR="00480A24">
        <w:instrText xml:space="preserve"> REF _Ref530320614 \n \h  \* MERGEFORMAT </w:instrText>
      </w:r>
      <w:r w:rsidR="00480A24">
        <w:fldChar w:fldCharType="separate"/>
      </w:r>
      <w:r w:rsidR="004238CE" w:rsidRPr="00A2333E">
        <w:t>4.7</w:t>
      </w:r>
      <w:r w:rsidR="00480A24">
        <w:fldChar w:fldCharType="end"/>
      </w:r>
      <w:r w:rsidR="000351BA" w:rsidRPr="00A2333E">
        <w:t>). It</w:t>
      </w:r>
      <w:r w:rsidR="001715A3" w:rsidRPr="00A2333E">
        <w:t xml:space="preserve"> questioned the reliability of the </w:t>
      </w:r>
      <w:r w:rsidR="004C2B21" w:rsidRPr="00A2333E">
        <w:t xml:space="preserve">original and revised </w:t>
      </w:r>
      <w:r w:rsidR="001715A3" w:rsidRPr="00A2333E">
        <w:t>method</w:t>
      </w:r>
      <w:r w:rsidR="00281064" w:rsidRPr="00A2333E">
        <w:t>s</w:t>
      </w:r>
      <w:r w:rsidR="001715A3" w:rsidRPr="00A2333E">
        <w:t xml:space="preserve"> to generate </w:t>
      </w:r>
      <w:r w:rsidR="004E318D" w:rsidRPr="00A2333E">
        <w:t xml:space="preserve">the </w:t>
      </w:r>
      <w:r w:rsidR="001715A3" w:rsidRPr="00A2333E">
        <w:t>utilities and</w:t>
      </w:r>
      <w:r w:rsidR="000351BA" w:rsidRPr="00A2333E">
        <w:t xml:space="preserve"> considered that it was unlikely that someone with </w:t>
      </w:r>
      <w:r w:rsidR="009402F1" w:rsidRPr="00A2333E">
        <w:t>no symptoms</w:t>
      </w:r>
      <w:r w:rsidR="000351BA" w:rsidRPr="00A2333E">
        <w:t xml:space="preserve"> w</w:t>
      </w:r>
      <w:r w:rsidR="00B439DE" w:rsidRPr="00A2333E">
        <w:t xml:space="preserve">ould have the same utility as someone </w:t>
      </w:r>
      <w:r w:rsidR="000351BA" w:rsidRPr="00A2333E">
        <w:t>with PND</w:t>
      </w:r>
      <w:r w:rsidRPr="00A2333E">
        <w:t> </w:t>
      </w:r>
      <w:r w:rsidR="00732434" w:rsidRPr="00A2333E">
        <w:t>II</w:t>
      </w:r>
      <w:r w:rsidR="000351BA" w:rsidRPr="00A2333E">
        <w:t xml:space="preserve">. </w:t>
      </w:r>
      <w:r w:rsidR="00CC704C" w:rsidRPr="00A2333E">
        <w:t>During consultation, the company provid</w:t>
      </w:r>
      <w:r w:rsidR="008D2515" w:rsidRPr="00A2333E">
        <w:t xml:space="preserve">ed </w:t>
      </w:r>
      <w:r w:rsidR="00CC704C" w:rsidRPr="00A2333E">
        <w:t>a post-hoc mixed model of repeated measures of APOLLO</w:t>
      </w:r>
      <w:r w:rsidR="004C2B21" w:rsidRPr="00A2333E">
        <w:t>’s</w:t>
      </w:r>
      <w:r w:rsidR="00CC704C" w:rsidRPr="00A2333E">
        <w:t xml:space="preserve"> key outcomes (including EQ</w:t>
      </w:r>
      <w:r w:rsidR="00281064" w:rsidRPr="00A2333E">
        <w:noBreakHyphen/>
      </w:r>
      <w:r w:rsidR="00CC704C" w:rsidRPr="00A2333E">
        <w:t>5D, COMPASS</w:t>
      </w:r>
      <w:r w:rsidR="00281064" w:rsidRPr="00A2333E">
        <w:noBreakHyphen/>
      </w:r>
      <w:r w:rsidR="00CC704C" w:rsidRPr="00A2333E">
        <w:t>31, Norfolk Q</w:t>
      </w:r>
      <w:r w:rsidR="00E22329" w:rsidRPr="00A2333E">
        <w:t>o</w:t>
      </w:r>
      <w:r w:rsidR="00CC704C" w:rsidRPr="00A2333E">
        <w:t>L</w:t>
      </w:r>
      <w:r w:rsidR="00281064" w:rsidRPr="00A2333E">
        <w:noBreakHyphen/>
      </w:r>
      <w:r w:rsidR="00CC704C" w:rsidRPr="00A2333E">
        <w:t xml:space="preserve">DN); this showed that utilities can improve (patisiran) or decrease (BSC) within the same PND </w:t>
      </w:r>
      <w:r w:rsidR="004C2B21" w:rsidRPr="00A2333E">
        <w:t xml:space="preserve">health </w:t>
      </w:r>
      <w:r w:rsidR="00CC704C" w:rsidRPr="00A2333E">
        <w:t>state from baseline to 18</w:t>
      </w:r>
      <w:r w:rsidR="00281064" w:rsidRPr="00A2333E">
        <w:t> </w:t>
      </w:r>
      <w:r w:rsidR="00CC704C" w:rsidRPr="00A2333E">
        <w:t>months. After 18</w:t>
      </w:r>
      <w:r w:rsidR="00281064" w:rsidRPr="00A2333E">
        <w:t> </w:t>
      </w:r>
      <w:r w:rsidR="00CC704C" w:rsidRPr="00A2333E">
        <w:t xml:space="preserve">months, because neither of the mixed model curves </w:t>
      </w:r>
      <w:r w:rsidR="00184E02" w:rsidRPr="00A2333E">
        <w:t xml:space="preserve">(based on observed APOLLO data) </w:t>
      </w:r>
      <w:r w:rsidR="00CC704C" w:rsidRPr="00A2333E">
        <w:t>was approaching a plateau</w:t>
      </w:r>
      <w:r w:rsidR="00813EEF" w:rsidRPr="00A2333E">
        <w:t xml:space="preserve"> by trial end</w:t>
      </w:r>
      <w:r w:rsidR="00CC704C" w:rsidRPr="00A2333E">
        <w:t xml:space="preserve">, the company extrapolated the utilities based on time-dependent effect. </w:t>
      </w:r>
      <w:r w:rsidR="0071446E" w:rsidRPr="00A2333E">
        <w:t>Following consultation</w:t>
      </w:r>
      <w:r w:rsidR="00C2071E" w:rsidRPr="00A2333E">
        <w:t>,</w:t>
      </w:r>
      <w:r w:rsidR="0071446E" w:rsidRPr="00A2333E">
        <w:t xml:space="preserve"> t</w:t>
      </w:r>
      <w:r w:rsidR="00C904D7" w:rsidRPr="00A2333E">
        <w:t xml:space="preserve">he company </w:t>
      </w:r>
      <w:r w:rsidR="00AD2774" w:rsidRPr="00A2333E">
        <w:t xml:space="preserve">also </w:t>
      </w:r>
      <w:r w:rsidR="00C9229D" w:rsidRPr="00A2333E">
        <w:t>explored scenario</w:t>
      </w:r>
      <w:r w:rsidR="006D4744" w:rsidRPr="00A2333E">
        <w:t xml:space="preserve"> analyses</w:t>
      </w:r>
      <w:r w:rsidR="00C9229D" w:rsidRPr="00A2333E">
        <w:t xml:space="preserve"> </w:t>
      </w:r>
      <w:r w:rsidR="006D4744" w:rsidRPr="00A2333E">
        <w:t xml:space="preserve">in </w:t>
      </w:r>
      <w:r w:rsidR="00C9229D" w:rsidRPr="00A2333E">
        <w:t xml:space="preserve">which </w:t>
      </w:r>
      <w:r w:rsidR="00963062" w:rsidRPr="00A2333E">
        <w:t xml:space="preserve">the </w:t>
      </w:r>
      <w:r w:rsidR="006D4744" w:rsidRPr="00A2333E">
        <w:t xml:space="preserve">minimum and maximum caps </w:t>
      </w:r>
      <w:r w:rsidR="00281064" w:rsidRPr="00A2333E">
        <w:t>we</w:t>
      </w:r>
      <w:r w:rsidR="006D4744" w:rsidRPr="00A2333E">
        <w:t xml:space="preserve">re removed and </w:t>
      </w:r>
      <w:r w:rsidR="007E073A" w:rsidRPr="00A2333E">
        <w:t>any improvement in</w:t>
      </w:r>
      <w:r w:rsidR="006D4744" w:rsidRPr="00A2333E">
        <w:t xml:space="preserve"> quality of life</w:t>
      </w:r>
      <w:r w:rsidR="009D07CC" w:rsidRPr="00A2333E">
        <w:t xml:space="preserve"> </w:t>
      </w:r>
      <w:r w:rsidR="007E073A" w:rsidRPr="00A2333E">
        <w:t xml:space="preserve">within a given </w:t>
      </w:r>
      <w:r w:rsidR="00131D50" w:rsidRPr="00A2333E">
        <w:t>PND</w:t>
      </w:r>
      <w:r w:rsidR="007E073A" w:rsidRPr="00A2333E">
        <w:t xml:space="preserve"> stage</w:t>
      </w:r>
      <w:r w:rsidR="00C9229D" w:rsidRPr="00A2333E">
        <w:t xml:space="preserve"> </w:t>
      </w:r>
      <w:r w:rsidR="00281064" w:rsidRPr="00A2333E">
        <w:t>wa</w:t>
      </w:r>
      <w:r w:rsidR="00C9229D" w:rsidRPr="00A2333E">
        <w:t>s limited by time</w:t>
      </w:r>
      <w:r w:rsidR="008C45E6" w:rsidRPr="00A2333E">
        <w:t xml:space="preserve"> (see section</w:t>
      </w:r>
      <w:r w:rsidR="00281064" w:rsidRPr="00A2333E">
        <w:t> </w:t>
      </w:r>
      <w:r w:rsidR="008C45E6" w:rsidRPr="00A2333E">
        <w:t>4.22)</w:t>
      </w:r>
      <w:r w:rsidR="006D4744" w:rsidRPr="00A2333E">
        <w:t xml:space="preserve">. </w:t>
      </w:r>
      <w:r w:rsidR="008C45E6" w:rsidRPr="00A2333E">
        <w:t>It</w:t>
      </w:r>
      <w:r w:rsidR="006D4744" w:rsidRPr="00A2333E">
        <w:t xml:space="preserve"> explored the limitation of treatment benefit based on arbitrary </w:t>
      </w:r>
      <w:r w:rsidR="00963062" w:rsidRPr="00A2333E">
        <w:t>timepoints</w:t>
      </w:r>
      <w:r w:rsidR="006D4744" w:rsidRPr="00A2333E">
        <w:t>: 4,</w:t>
      </w:r>
      <w:r w:rsidR="00281064" w:rsidRPr="00A2333E">
        <w:t> </w:t>
      </w:r>
      <w:r w:rsidR="006D4744" w:rsidRPr="00A2333E">
        <w:t>5 and 7</w:t>
      </w:r>
      <w:r w:rsidR="00281064" w:rsidRPr="00A2333E">
        <w:t> </w:t>
      </w:r>
      <w:r w:rsidR="006D4744" w:rsidRPr="00A2333E">
        <w:t>years. The company considered the scenario analyses</w:t>
      </w:r>
      <w:r w:rsidR="00253E79" w:rsidRPr="00A2333E">
        <w:t xml:space="preserve"> </w:t>
      </w:r>
      <w:r w:rsidR="00B852F1" w:rsidRPr="00A2333E">
        <w:t>to be</w:t>
      </w:r>
      <w:r w:rsidR="00253E79" w:rsidRPr="00A2333E">
        <w:t xml:space="preserve"> conservative because the utility associated with BSC treatment group </w:t>
      </w:r>
      <w:r w:rsidR="00B852F1" w:rsidRPr="00A2333E">
        <w:t xml:space="preserve">in a given </w:t>
      </w:r>
      <w:r w:rsidR="00131D50" w:rsidRPr="00A2333E">
        <w:t>PND</w:t>
      </w:r>
      <w:r w:rsidR="00B852F1" w:rsidRPr="00A2333E">
        <w:t xml:space="preserve"> state </w:t>
      </w:r>
      <w:r w:rsidR="00281064" w:rsidRPr="00A2333E">
        <w:t xml:space="preserve">could not </w:t>
      </w:r>
      <w:r w:rsidR="00253E79" w:rsidRPr="00A2333E">
        <w:t>worsen</w:t>
      </w:r>
      <w:r w:rsidR="00281064" w:rsidRPr="00A2333E">
        <w:t>,</w:t>
      </w:r>
      <w:r w:rsidR="00253E79" w:rsidRPr="00A2333E">
        <w:t xml:space="preserve"> which is clinically implausible. The ERG explored further </w:t>
      </w:r>
      <w:r w:rsidR="0074341A" w:rsidRPr="00A2333E">
        <w:t>timepoints</w:t>
      </w:r>
      <w:r w:rsidR="00253E79" w:rsidRPr="00A2333E">
        <w:t xml:space="preserve"> (2,</w:t>
      </w:r>
      <w:r w:rsidR="00281064" w:rsidRPr="00A2333E">
        <w:t> </w:t>
      </w:r>
      <w:r w:rsidR="00253E79" w:rsidRPr="00A2333E">
        <w:t>3, and 6</w:t>
      </w:r>
      <w:r w:rsidR="00281064" w:rsidRPr="00A2333E">
        <w:t> </w:t>
      </w:r>
      <w:r w:rsidR="00253E79" w:rsidRPr="00A2333E">
        <w:t xml:space="preserve">years) to assess the </w:t>
      </w:r>
      <w:r w:rsidR="00281064" w:rsidRPr="00A2333E">
        <w:t xml:space="preserve">effect </w:t>
      </w:r>
      <w:r w:rsidR="00253E79" w:rsidRPr="00A2333E">
        <w:t>on cost</w:t>
      </w:r>
      <w:r w:rsidR="008D2515" w:rsidRPr="00A2333E">
        <w:t xml:space="preserve"> </w:t>
      </w:r>
      <w:r w:rsidR="00253E79" w:rsidRPr="00A2333E">
        <w:t xml:space="preserve">effectiveness. The committee was satisfied with the </w:t>
      </w:r>
      <w:r w:rsidR="00CD3294" w:rsidRPr="00A2333E">
        <w:t xml:space="preserve">assumptions </w:t>
      </w:r>
      <w:r w:rsidR="0078449B" w:rsidRPr="00A2333E">
        <w:t xml:space="preserve">of the </w:t>
      </w:r>
      <w:r w:rsidR="00253E79" w:rsidRPr="00A2333E">
        <w:t xml:space="preserve">scenario analyses </w:t>
      </w:r>
      <w:r w:rsidR="0078449B" w:rsidRPr="00A2333E">
        <w:t>(that is</w:t>
      </w:r>
      <w:r w:rsidR="00C2071E" w:rsidRPr="00A2333E">
        <w:t>,</w:t>
      </w:r>
      <w:r w:rsidR="0078449B" w:rsidRPr="00A2333E">
        <w:t xml:space="preserve"> no minimum and maximum caps and treatment benefit limited by time) </w:t>
      </w:r>
      <w:r w:rsidR="00253E79" w:rsidRPr="00A2333E">
        <w:t xml:space="preserve">and </w:t>
      </w:r>
      <w:r w:rsidR="00AE3E37" w:rsidRPr="00A2333E">
        <w:t>considered</w:t>
      </w:r>
      <w:r w:rsidR="00253E79" w:rsidRPr="00A2333E">
        <w:t xml:space="preserve"> which timepoint </w:t>
      </w:r>
      <w:r w:rsidR="00AE3E37" w:rsidRPr="00A2333E">
        <w:t>for the duration of</w:t>
      </w:r>
      <w:r w:rsidR="0078449B" w:rsidRPr="00A2333E">
        <w:t xml:space="preserve"> </w:t>
      </w:r>
      <w:r w:rsidR="00253E79" w:rsidRPr="00A2333E">
        <w:t xml:space="preserve">treatment benefit </w:t>
      </w:r>
      <w:r w:rsidR="0078449B" w:rsidRPr="00A2333E">
        <w:t xml:space="preserve">would be </w:t>
      </w:r>
      <w:r w:rsidR="00253E79" w:rsidRPr="00A2333E">
        <w:t xml:space="preserve">most appropriate. </w:t>
      </w:r>
      <w:r w:rsidR="0074341A" w:rsidRPr="00A2333E">
        <w:t xml:space="preserve">The ERG explained that, in </w:t>
      </w:r>
      <w:r w:rsidR="00066C63" w:rsidRPr="00A2333E">
        <w:t xml:space="preserve">both </w:t>
      </w:r>
      <w:r w:rsidR="0074341A" w:rsidRPr="00A2333E">
        <w:t xml:space="preserve">the </w:t>
      </w:r>
      <w:r w:rsidR="00066C63" w:rsidRPr="00A2333E">
        <w:t>original and revised</w:t>
      </w:r>
      <w:r w:rsidR="0074341A" w:rsidRPr="00A2333E">
        <w:t xml:space="preserve"> model, constraints in minimum and maximum caps overr</w:t>
      </w:r>
      <w:r w:rsidR="00281064" w:rsidRPr="00A2333E">
        <w:t>o</w:t>
      </w:r>
      <w:r w:rsidR="0074341A" w:rsidRPr="00A2333E">
        <w:t>d</w:t>
      </w:r>
      <w:r w:rsidR="00AE3E37" w:rsidRPr="00A2333E">
        <w:t>e</w:t>
      </w:r>
      <w:r w:rsidR="0074341A" w:rsidRPr="00A2333E">
        <w:t xml:space="preserve"> the </w:t>
      </w:r>
      <w:r w:rsidR="0074341A" w:rsidRPr="00A2333E">
        <w:lastRenderedPageBreak/>
        <w:t>regression equation outputs at approximately 5</w:t>
      </w:r>
      <w:r w:rsidR="00281064" w:rsidRPr="00A2333E">
        <w:t> </w:t>
      </w:r>
      <w:r w:rsidR="0074341A" w:rsidRPr="00A2333E">
        <w:t>to 6</w:t>
      </w:r>
      <w:r w:rsidR="00281064" w:rsidRPr="00A2333E">
        <w:t> </w:t>
      </w:r>
      <w:r w:rsidR="0074341A" w:rsidRPr="00A2333E">
        <w:t>years. The committee concluded that the appropriate timepoint from which treatment benefit would be limited was 5</w:t>
      </w:r>
      <w:r w:rsidR="00281064" w:rsidRPr="00A2333E">
        <w:t> </w:t>
      </w:r>
      <w:r w:rsidR="0074341A" w:rsidRPr="00A2333E">
        <w:t>years</w:t>
      </w:r>
      <w:r w:rsidR="00066C63" w:rsidRPr="00A2333E">
        <w:t xml:space="preserve">, and </w:t>
      </w:r>
      <w:r w:rsidR="00281064" w:rsidRPr="00A2333E">
        <w:t xml:space="preserve">that </w:t>
      </w:r>
      <w:r w:rsidR="00066C63" w:rsidRPr="00A2333E">
        <w:t>this was also in line with</w:t>
      </w:r>
      <w:r w:rsidR="00AE3E37" w:rsidRPr="00A2333E">
        <w:t xml:space="preserve"> clinical experience with patisiran.</w:t>
      </w:r>
    </w:p>
    <w:p w14:paraId="25B4D350" w14:textId="77777777" w:rsidR="00496D13" w:rsidRPr="00A2333E" w:rsidRDefault="00496D13" w:rsidP="002D6DFD">
      <w:pPr>
        <w:pStyle w:val="Heading3"/>
      </w:pPr>
      <w:r w:rsidRPr="00A2333E">
        <w:t xml:space="preserve">Health-state utilities captured in the model after </w:t>
      </w:r>
      <w:r w:rsidR="001B0C52" w:rsidRPr="00A2333E">
        <w:t>stopping treatment</w:t>
      </w:r>
    </w:p>
    <w:p w14:paraId="251B6E52" w14:textId="77777777" w:rsidR="00496D13" w:rsidRPr="00A2333E" w:rsidRDefault="002D2C8A" w:rsidP="00661847">
      <w:pPr>
        <w:pStyle w:val="Numberedlevel2text"/>
      </w:pPr>
      <w:r w:rsidRPr="00A2333E">
        <w:t>T</w:t>
      </w:r>
      <w:r w:rsidR="002D6DFD" w:rsidRPr="00A2333E">
        <w:t>he company us</w:t>
      </w:r>
      <w:r w:rsidRPr="00A2333E">
        <w:t>ed</w:t>
      </w:r>
      <w:r w:rsidR="002D6DFD" w:rsidRPr="00A2333E">
        <w:t xml:space="preserve"> a formal stopping </w:t>
      </w:r>
      <w:proofErr w:type="gramStart"/>
      <w:r w:rsidR="002D6DFD" w:rsidRPr="00A2333E">
        <w:t>rule</w:t>
      </w:r>
      <w:r w:rsidR="001B0C52" w:rsidRPr="00A2333E">
        <w:t>,</w:t>
      </w:r>
      <w:r w:rsidR="002D6DFD" w:rsidRPr="00A2333E">
        <w:t xml:space="preserve"> and</w:t>
      </w:r>
      <w:proofErr w:type="gramEnd"/>
      <w:r w:rsidR="00EE704D" w:rsidRPr="00A2333E">
        <w:t xml:space="preserve"> </w:t>
      </w:r>
      <w:r w:rsidR="002D6DFD" w:rsidRPr="00A2333E">
        <w:t xml:space="preserve">added </w:t>
      </w:r>
      <w:r w:rsidR="00EE704D" w:rsidRPr="00A2333E">
        <w:t xml:space="preserve">a </w:t>
      </w:r>
      <w:r w:rsidR="002D6DFD" w:rsidRPr="00A2333E">
        <w:t>time-to-treatment discontinuation function (see section</w:t>
      </w:r>
      <w:r w:rsidR="001B0C52" w:rsidRPr="00A2333E">
        <w:t> </w:t>
      </w:r>
      <w:r w:rsidR="00DC6984" w:rsidRPr="00A2333E">
        <w:t>4</w:t>
      </w:r>
      <w:r w:rsidR="002D6DFD" w:rsidRPr="00A2333E">
        <w:t>.</w:t>
      </w:r>
      <w:r w:rsidR="00DC6984" w:rsidRPr="00A2333E">
        <w:t>13</w:t>
      </w:r>
      <w:r w:rsidR="002D6DFD" w:rsidRPr="00A2333E">
        <w:t>)</w:t>
      </w:r>
      <w:r w:rsidRPr="00A2333E">
        <w:t xml:space="preserve"> to its model.</w:t>
      </w:r>
      <w:r w:rsidR="002D6DFD" w:rsidRPr="00A2333E">
        <w:t xml:space="preserve"> </w:t>
      </w:r>
      <w:r w:rsidR="00496D13" w:rsidRPr="00A2333E">
        <w:t xml:space="preserve">The ERG had concerns </w:t>
      </w:r>
      <w:r w:rsidR="001B0C52" w:rsidRPr="00A2333E">
        <w:t xml:space="preserve">about </w:t>
      </w:r>
      <w:r w:rsidR="00496D13" w:rsidRPr="00A2333E">
        <w:t xml:space="preserve">the modelling </w:t>
      </w:r>
      <w:r w:rsidR="00661847" w:rsidRPr="00A2333E">
        <w:t xml:space="preserve">of </w:t>
      </w:r>
      <w:r w:rsidR="00496D13" w:rsidRPr="00A2333E">
        <w:t xml:space="preserve">utility </w:t>
      </w:r>
      <w:r w:rsidR="00661847" w:rsidRPr="00A2333E">
        <w:t xml:space="preserve">values </w:t>
      </w:r>
      <w:r w:rsidR="00E20C3C" w:rsidRPr="00A2333E">
        <w:t>for</w:t>
      </w:r>
      <w:r w:rsidR="00496D13" w:rsidRPr="00A2333E">
        <w:t xml:space="preserve"> patients </w:t>
      </w:r>
      <w:r w:rsidR="001B0C52" w:rsidRPr="00A2333E">
        <w:t>who had stopped treatment</w:t>
      </w:r>
      <w:r w:rsidR="00661847" w:rsidRPr="00A2333E">
        <w:t xml:space="preserve">. </w:t>
      </w:r>
      <w:r w:rsidR="00DE66F8" w:rsidRPr="00A2333E">
        <w:t>It explained that</w:t>
      </w:r>
      <w:r w:rsidR="001B0C52" w:rsidRPr="00A2333E">
        <w:t>,</w:t>
      </w:r>
      <w:r w:rsidR="00DE66F8" w:rsidRPr="00A2333E">
        <w:t xml:space="preserve"> </w:t>
      </w:r>
      <w:r w:rsidR="00496D13" w:rsidRPr="00A2333E">
        <w:t>to correctly implement the assumptions about patient utility (</w:t>
      </w:r>
      <w:r w:rsidR="001B0C52" w:rsidRPr="00A2333E">
        <w:t>that is,</w:t>
      </w:r>
      <w:r w:rsidR="00496D13" w:rsidRPr="00A2333E">
        <w:t xml:space="preserve"> no immediate utility rebound after </w:t>
      </w:r>
      <w:r w:rsidR="001B0C52" w:rsidRPr="00A2333E">
        <w:t>stopping</w:t>
      </w:r>
      <w:r w:rsidR="00496D13" w:rsidRPr="00A2333E">
        <w:t>)</w:t>
      </w:r>
      <w:r w:rsidR="001B0C52" w:rsidRPr="00A2333E">
        <w:t>,</w:t>
      </w:r>
      <w:r w:rsidR="00496D13" w:rsidRPr="00A2333E">
        <w:t xml:space="preserve"> the model would need to track patient utility at the point patisiran</w:t>
      </w:r>
      <w:r w:rsidR="001B0C52" w:rsidRPr="00A2333E">
        <w:t xml:space="preserve"> is stopped. This would mean that, </w:t>
      </w:r>
      <w:r w:rsidR="00E20C3C" w:rsidRPr="00A2333E">
        <w:t xml:space="preserve">for </w:t>
      </w:r>
      <w:r w:rsidR="001B0C52" w:rsidRPr="00A2333E">
        <w:t>someone stopping</w:t>
      </w:r>
      <w:r w:rsidR="00496D13" w:rsidRPr="00A2333E">
        <w:t xml:space="preserve"> patisiran, utility would increase for a period, plateau </w:t>
      </w:r>
      <w:r w:rsidR="001B0C52" w:rsidRPr="00A2333E">
        <w:t xml:space="preserve">and </w:t>
      </w:r>
      <w:r w:rsidR="00496D13" w:rsidRPr="00A2333E">
        <w:t>then</w:t>
      </w:r>
      <w:r w:rsidR="001B0C52" w:rsidRPr="00A2333E">
        <w:t>,</w:t>
      </w:r>
      <w:r w:rsidR="00496D13" w:rsidRPr="00A2333E">
        <w:t xml:space="preserve"> after </w:t>
      </w:r>
      <w:r w:rsidR="001B0C52" w:rsidRPr="00A2333E">
        <w:t xml:space="preserve">stopping, would </w:t>
      </w:r>
      <w:r w:rsidR="00496D13" w:rsidRPr="00A2333E">
        <w:t xml:space="preserve">decrease for a period and then plateau. </w:t>
      </w:r>
      <w:r w:rsidR="001B0C52" w:rsidRPr="00A2333E">
        <w:t xml:space="preserve">For </w:t>
      </w:r>
      <w:r w:rsidR="00661847" w:rsidRPr="00A2333E">
        <w:t>patients</w:t>
      </w:r>
      <w:r w:rsidR="00496D13" w:rsidRPr="00A2333E">
        <w:t xml:space="preserve"> </w:t>
      </w:r>
      <w:r w:rsidR="001B0C52" w:rsidRPr="00A2333E">
        <w:t xml:space="preserve">stopping </w:t>
      </w:r>
      <w:r w:rsidR="00496D13" w:rsidRPr="00A2333E">
        <w:t>sooner, the</w:t>
      </w:r>
      <w:r w:rsidR="001B0C52" w:rsidRPr="00A2333E">
        <w:t>re</w:t>
      </w:r>
      <w:r w:rsidR="00496D13" w:rsidRPr="00A2333E">
        <w:t xml:space="preserve"> would not </w:t>
      </w:r>
      <w:r w:rsidR="001B0C52" w:rsidRPr="00A2333E">
        <w:t xml:space="preserve">be </w:t>
      </w:r>
      <w:r w:rsidR="00496D13" w:rsidRPr="00A2333E">
        <w:t xml:space="preserve">the initial plateau. </w:t>
      </w:r>
      <w:r w:rsidR="00661847" w:rsidRPr="00A2333E">
        <w:t>The ERG explained that</w:t>
      </w:r>
      <w:r w:rsidR="001B0C52" w:rsidRPr="00A2333E">
        <w:t>,</w:t>
      </w:r>
      <w:r w:rsidR="00496D13" w:rsidRPr="00A2333E">
        <w:t xml:space="preserve"> to </w:t>
      </w:r>
      <w:r w:rsidR="00BF2850" w:rsidRPr="00A2333E">
        <w:t xml:space="preserve">properly </w:t>
      </w:r>
      <w:r w:rsidR="00496D13" w:rsidRPr="00A2333E">
        <w:t xml:space="preserve">account </w:t>
      </w:r>
      <w:r w:rsidR="004631B9" w:rsidRPr="00A2333E">
        <w:t>for utility values that are dependent on the time of stopping</w:t>
      </w:r>
      <w:r w:rsidR="00496D13" w:rsidRPr="00A2333E">
        <w:t xml:space="preserve">, the model would need </w:t>
      </w:r>
      <w:r w:rsidR="00BB05CB" w:rsidRPr="00A2333E">
        <w:t xml:space="preserve">to </w:t>
      </w:r>
      <w:r w:rsidR="00496D13" w:rsidRPr="00A2333E">
        <w:t xml:space="preserve">track </w:t>
      </w:r>
      <w:r w:rsidR="006668F9">
        <w:t xml:space="preserve">patients separately according to </w:t>
      </w:r>
      <w:r w:rsidR="006A5181">
        <w:t xml:space="preserve">the </w:t>
      </w:r>
      <w:r w:rsidR="006668F9">
        <w:t xml:space="preserve">time point at which they </w:t>
      </w:r>
      <w:r w:rsidR="00D47D2B">
        <w:t>stopped</w:t>
      </w:r>
      <w:r w:rsidR="001B0C52" w:rsidRPr="00A2333E">
        <w:t>. However</w:t>
      </w:r>
      <w:r w:rsidR="00661847" w:rsidRPr="00A2333E">
        <w:t xml:space="preserve">, the company’s </w:t>
      </w:r>
      <w:r w:rsidR="00496D13" w:rsidRPr="00A2333E">
        <w:t xml:space="preserve">simple Markov model </w:t>
      </w:r>
      <w:r w:rsidR="00BB05CB" w:rsidRPr="00A2333E">
        <w:t>was not designed to accommodate this</w:t>
      </w:r>
      <w:r w:rsidR="00496D13" w:rsidRPr="00A2333E">
        <w:t xml:space="preserve">. </w:t>
      </w:r>
      <w:r w:rsidR="00661847" w:rsidRPr="00A2333E">
        <w:t xml:space="preserve">The ERG suggested the use of </w:t>
      </w:r>
      <w:r w:rsidR="00496D13" w:rsidRPr="00A2333E">
        <w:t xml:space="preserve">tunnel states </w:t>
      </w:r>
      <w:r w:rsidR="00661847" w:rsidRPr="00A2333E">
        <w:t>or</w:t>
      </w:r>
      <w:r w:rsidR="00496D13" w:rsidRPr="00A2333E">
        <w:t xml:space="preserve"> patient-level simulation.</w:t>
      </w:r>
      <w:r w:rsidR="00661847" w:rsidRPr="00A2333E">
        <w:t xml:space="preserve"> The committee understood that </w:t>
      </w:r>
      <w:r w:rsidR="004B489D" w:rsidRPr="00A2333E">
        <w:t xml:space="preserve">modelling utility after </w:t>
      </w:r>
      <w:r w:rsidR="001B0C52" w:rsidRPr="00A2333E">
        <w:t xml:space="preserve">stopping treatment </w:t>
      </w:r>
      <w:r w:rsidR="004B489D" w:rsidRPr="00A2333E">
        <w:t xml:space="preserve">introduced uncertainty </w:t>
      </w:r>
      <w:r w:rsidR="00942524" w:rsidRPr="00A2333E">
        <w:t>in</w:t>
      </w:r>
      <w:r w:rsidR="004B489D" w:rsidRPr="00A2333E">
        <w:t>to the mode</w:t>
      </w:r>
      <w:r w:rsidR="001B0C52" w:rsidRPr="00A2333E">
        <w:t>l. It</w:t>
      </w:r>
      <w:r w:rsidR="00942524" w:rsidRPr="00A2333E">
        <w:t xml:space="preserve"> also recalled </w:t>
      </w:r>
      <w:r w:rsidR="00250DB0" w:rsidRPr="00A2333E">
        <w:t xml:space="preserve">that </w:t>
      </w:r>
      <w:r w:rsidR="00942524" w:rsidRPr="00A2333E">
        <w:t xml:space="preserve">it had a minimal </w:t>
      </w:r>
      <w:r w:rsidR="00250DB0" w:rsidRPr="00A2333E">
        <w:t xml:space="preserve">effect </w:t>
      </w:r>
      <w:r w:rsidR="00942524" w:rsidRPr="00A2333E">
        <w:t>on the ICER (see section</w:t>
      </w:r>
      <w:r w:rsidR="00DB5453" w:rsidRPr="00A2333E">
        <w:t> </w:t>
      </w:r>
      <w:r w:rsidR="00F032C8" w:rsidRPr="00A2333E">
        <w:t>4.13</w:t>
      </w:r>
      <w:r w:rsidR="00942524" w:rsidRPr="00A2333E">
        <w:t>)</w:t>
      </w:r>
      <w:r w:rsidR="00250DB0" w:rsidRPr="00A2333E">
        <w:t>. The committee</w:t>
      </w:r>
      <w:r w:rsidR="00942524" w:rsidRPr="00A2333E">
        <w:t xml:space="preserve"> concluded that </w:t>
      </w:r>
      <w:r w:rsidR="00DB1A4E" w:rsidRPr="00A2333E">
        <w:t>it would take this into account in its decision making.</w:t>
      </w:r>
    </w:p>
    <w:p w14:paraId="2863F37E" w14:textId="77777777" w:rsidR="003A3C0F" w:rsidRPr="00A2333E" w:rsidRDefault="008B616A" w:rsidP="00320937">
      <w:pPr>
        <w:pStyle w:val="Heading3"/>
      </w:pPr>
      <w:bookmarkStart w:id="26" w:name="_Hlk9528520"/>
      <w:r w:rsidRPr="00A2333E">
        <w:t>Gastrointestinal</w:t>
      </w:r>
      <w:r w:rsidR="00182D3C" w:rsidRPr="00A2333E">
        <w:t>-</w:t>
      </w:r>
      <w:r w:rsidR="003A3C0F" w:rsidRPr="00A2333E">
        <w:t>related disutil</w:t>
      </w:r>
      <w:r w:rsidR="00D54A56" w:rsidRPr="00A2333E">
        <w:t>i</w:t>
      </w:r>
      <w:r w:rsidR="003A3C0F" w:rsidRPr="00A2333E">
        <w:t>ties</w:t>
      </w:r>
      <w:bookmarkEnd w:id="26"/>
    </w:p>
    <w:p w14:paraId="1D80E8FD" w14:textId="7250DAD5" w:rsidR="00FE5EB2" w:rsidRPr="00A2333E" w:rsidRDefault="002D2C8A" w:rsidP="0001402C">
      <w:pPr>
        <w:pStyle w:val="Numberedlevel2text"/>
      </w:pPr>
      <w:r w:rsidRPr="00A2333E">
        <w:t>T</w:t>
      </w:r>
      <w:r w:rsidR="004329DE" w:rsidRPr="00A2333E">
        <w:t>he company</w:t>
      </w:r>
      <w:r w:rsidRPr="00A2333E">
        <w:t xml:space="preserve">’s </w:t>
      </w:r>
      <w:r w:rsidR="004329DE" w:rsidRPr="00A2333E">
        <w:t>model include</w:t>
      </w:r>
      <w:r w:rsidR="00BB05CB" w:rsidRPr="00A2333E">
        <w:t>d</w:t>
      </w:r>
      <w:r w:rsidR="004329DE" w:rsidRPr="00A2333E">
        <w:t xml:space="preserve"> </w:t>
      </w:r>
      <w:r w:rsidR="003A3C0F" w:rsidRPr="00A2333E">
        <w:t>time- and state-dependent utilities based on a regression model fitted to EQ</w:t>
      </w:r>
      <w:r w:rsidR="00DB5453" w:rsidRPr="00A2333E">
        <w:noBreakHyphen/>
      </w:r>
      <w:r w:rsidR="003A3C0F" w:rsidRPr="00A2333E">
        <w:t>5D data from APOLLO</w:t>
      </w:r>
      <w:r w:rsidR="000A21E7" w:rsidRPr="00A2333E">
        <w:t xml:space="preserve"> </w:t>
      </w:r>
      <w:r w:rsidR="00F91B82" w:rsidRPr="00A2333E">
        <w:t>(see section</w:t>
      </w:r>
      <w:r w:rsidR="00DB5453" w:rsidRPr="00A2333E">
        <w:t> </w:t>
      </w:r>
      <w:r w:rsidR="00DC6984" w:rsidRPr="00A2333E">
        <w:t>4</w:t>
      </w:r>
      <w:r w:rsidR="00F91B82" w:rsidRPr="00A2333E">
        <w:t>.</w:t>
      </w:r>
      <w:r w:rsidR="00DC6984" w:rsidRPr="00A2333E">
        <w:t>15</w:t>
      </w:r>
      <w:r w:rsidR="00F91B82" w:rsidRPr="00A2333E">
        <w:t>)</w:t>
      </w:r>
      <w:r w:rsidR="000A21E7" w:rsidRPr="00A2333E">
        <w:t xml:space="preserve">. </w:t>
      </w:r>
      <w:r w:rsidR="00BF518F" w:rsidRPr="00A2333E">
        <w:t xml:space="preserve">Its </w:t>
      </w:r>
      <w:r w:rsidR="002627D6" w:rsidRPr="00A2333E">
        <w:t>revised</w:t>
      </w:r>
      <w:r w:rsidR="004329DE" w:rsidRPr="00A2333E">
        <w:t xml:space="preserve"> </w:t>
      </w:r>
      <w:r w:rsidR="000A21E7" w:rsidRPr="00A2333E">
        <w:t xml:space="preserve">base case </w:t>
      </w:r>
      <w:r w:rsidR="004329DE" w:rsidRPr="00A2333E">
        <w:t>also include</w:t>
      </w:r>
      <w:r w:rsidR="001870D3" w:rsidRPr="00A2333E">
        <w:t>d</w:t>
      </w:r>
      <w:r w:rsidR="003A3C0F" w:rsidRPr="00A2333E">
        <w:t xml:space="preserve"> an additional assumption </w:t>
      </w:r>
      <w:r w:rsidR="00182D3C" w:rsidRPr="00A2333E">
        <w:t xml:space="preserve">in which </w:t>
      </w:r>
      <w:r w:rsidR="003A3C0F" w:rsidRPr="00A2333E">
        <w:t>patients with PND</w:t>
      </w:r>
      <w:r w:rsidR="00DB5453" w:rsidRPr="00A2333E">
        <w:t xml:space="preserve"> above </w:t>
      </w:r>
      <w:r w:rsidR="003A3C0F" w:rsidRPr="00A2333E">
        <w:t>I in the BSC group incur</w:t>
      </w:r>
      <w:r w:rsidR="00182D3C" w:rsidRPr="00A2333E">
        <w:t>red</w:t>
      </w:r>
      <w:r w:rsidR="003A3C0F" w:rsidRPr="00A2333E">
        <w:t xml:space="preserve"> further time-independent </w:t>
      </w:r>
      <w:r w:rsidR="008B616A" w:rsidRPr="00A2333E">
        <w:t>gastrointestinal</w:t>
      </w:r>
      <w:r w:rsidR="00182D3C" w:rsidRPr="00A2333E">
        <w:t>-</w:t>
      </w:r>
      <w:r w:rsidR="008B616A" w:rsidRPr="00A2333E">
        <w:t xml:space="preserve"> (GI) </w:t>
      </w:r>
      <w:r w:rsidR="003A3C0F" w:rsidRPr="00A2333E">
        <w:t>related disutilities.</w:t>
      </w:r>
      <w:r w:rsidR="00F91B82" w:rsidRPr="00A2333E">
        <w:t xml:space="preserve"> The </w:t>
      </w:r>
      <w:r w:rsidR="006F7056" w:rsidRPr="00A2333E">
        <w:t xml:space="preserve">committee recalled </w:t>
      </w:r>
      <w:r w:rsidR="004329DE" w:rsidRPr="00A2333E">
        <w:t xml:space="preserve">that </w:t>
      </w:r>
      <w:r w:rsidR="001870D3" w:rsidRPr="00A2333E">
        <w:t xml:space="preserve">the model might not </w:t>
      </w:r>
      <w:r w:rsidR="00182D3C" w:rsidRPr="00A2333E">
        <w:t xml:space="preserve">have </w:t>
      </w:r>
      <w:r w:rsidR="001870D3" w:rsidRPr="00A2333E">
        <w:t>capture</w:t>
      </w:r>
      <w:r w:rsidR="00182D3C" w:rsidRPr="00A2333E">
        <w:t>d</w:t>
      </w:r>
      <w:r w:rsidR="001870D3" w:rsidRPr="00A2333E">
        <w:t xml:space="preserve"> all aspects of </w:t>
      </w:r>
      <w:r w:rsidR="001870D3" w:rsidRPr="00A2333E">
        <w:lastRenderedPageBreak/>
        <w:t>the condition, including autonomic dysfunction</w:t>
      </w:r>
      <w:r w:rsidR="00182D3C" w:rsidRPr="00A2333E">
        <w:t>,</w:t>
      </w:r>
      <w:r w:rsidR="001870D3" w:rsidRPr="00A2333E">
        <w:t xml:space="preserve"> which patients have identified as </w:t>
      </w:r>
      <w:r w:rsidR="003C7A9C" w:rsidRPr="00A2333E">
        <w:t xml:space="preserve">a </w:t>
      </w:r>
      <w:r w:rsidR="001870D3" w:rsidRPr="00A2333E">
        <w:t xml:space="preserve">particularly important aspect of the </w:t>
      </w:r>
      <w:r w:rsidR="00B701D8">
        <w:t>condition</w:t>
      </w:r>
      <w:r w:rsidR="006A5181">
        <w:t>. However</w:t>
      </w:r>
      <w:r w:rsidR="001A39CE" w:rsidRPr="00A2333E">
        <w:t>,</w:t>
      </w:r>
      <w:r w:rsidR="006A7357" w:rsidRPr="00A2333E">
        <w:t xml:space="preserve"> </w:t>
      </w:r>
      <w:r w:rsidR="006A5181">
        <w:t>the</w:t>
      </w:r>
      <w:r w:rsidR="006A5181" w:rsidRPr="00A2333E">
        <w:t xml:space="preserve"> </w:t>
      </w:r>
      <w:r w:rsidR="004631B9" w:rsidRPr="00A2333E">
        <w:t xml:space="preserve">clinical experts described it </w:t>
      </w:r>
      <w:r w:rsidR="000C4D5C" w:rsidRPr="00A2333E">
        <w:t>as</w:t>
      </w:r>
      <w:r w:rsidR="004631B9" w:rsidRPr="00A2333E">
        <w:t xml:space="preserve"> an aspect </w:t>
      </w:r>
      <w:r w:rsidR="006A5181">
        <w:t>that</w:t>
      </w:r>
      <w:r w:rsidR="006A5181" w:rsidRPr="00A2333E">
        <w:t xml:space="preserve"> </w:t>
      </w:r>
      <w:r w:rsidR="004631B9" w:rsidRPr="00A2333E">
        <w:t xml:space="preserve">is </w:t>
      </w:r>
      <w:r w:rsidR="006A7357" w:rsidRPr="00A2333E">
        <w:t xml:space="preserve">difficult to measure </w:t>
      </w:r>
      <w:r w:rsidR="006F7056" w:rsidRPr="00A2333E">
        <w:t>(see section</w:t>
      </w:r>
      <w:r w:rsidR="001A39CE" w:rsidRPr="00A2333E">
        <w:t>s</w:t>
      </w:r>
      <w:r w:rsidR="006F7056" w:rsidRPr="00A2333E">
        <w:t xml:space="preserve"> </w:t>
      </w:r>
      <w:r w:rsidR="006A7357" w:rsidRPr="00A2333E">
        <w:t>4.7</w:t>
      </w:r>
      <w:r w:rsidR="00182D3C" w:rsidRPr="00A2333E">
        <w:t> </w:t>
      </w:r>
      <w:r w:rsidR="001A39CE" w:rsidRPr="00A2333E">
        <w:t>and</w:t>
      </w:r>
      <w:r w:rsidR="00182D3C" w:rsidRPr="00A2333E">
        <w:t> </w:t>
      </w:r>
      <w:r w:rsidR="001A39CE" w:rsidRPr="00A2333E">
        <w:t>4.12</w:t>
      </w:r>
      <w:r w:rsidR="006F7056" w:rsidRPr="00A2333E">
        <w:t>)</w:t>
      </w:r>
      <w:r w:rsidR="007F238A" w:rsidRPr="00A2333E">
        <w:t xml:space="preserve">. It understood from the company that </w:t>
      </w:r>
      <w:r w:rsidR="004329DE" w:rsidRPr="00A2333E">
        <w:t xml:space="preserve">the additional change </w:t>
      </w:r>
      <w:r w:rsidR="002627D6" w:rsidRPr="00A2333E">
        <w:t xml:space="preserve">was </w:t>
      </w:r>
      <w:r w:rsidR="007F238A" w:rsidRPr="00A2333E">
        <w:t xml:space="preserve">meant to reflect </w:t>
      </w:r>
      <w:r w:rsidR="004329DE" w:rsidRPr="00A2333E">
        <w:t xml:space="preserve">the different genetic mutations </w:t>
      </w:r>
      <w:r w:rsidR="007F238A" w:rsidRPr="00A2333E">
        <w:t xml:space="preserve">seen in APOLLO from </w:t>
      </w:r>
      <w:r w:rsidR="002627D6" w:rsidRPr="00A2333E">
        <w:t>those</w:t>
      </w:r>
      <w:r w:rsidR="004329DE" w:rsidRPr="00A2333E">
        <w:t xml:space="preserve"> seen in </w:t>
      </w:r>
      <w:r w:rsidR="009945D7" w:rsidRPr="00A2333E">
        <w:t xml:space="preserve">routine </w:t>
      </w:r>
      <w:r w:rsidR="00182D3C" w:rsidRPr="00A2333E">
        <w:t xml:space="preserve">UK </w:t>
      </w:r>
      <w:r w:rsidR="004329DE" w:rsidRPr="00A2333E">
        <w:t xml:space="preserve">clinical practice. </w:t>
      </w:r>
      <w:r w:rsidR="00182D3C" w:rsidRPr="00A2333E">
        <w:t>This m</w:t>
      </w:r>
      <w:r w:rsidR="009945D7" w:rsidRPr="00A2333E">
        <w:t>ean</w:t>
      </w:r>
      <w:r w:rsidR="00182D3C" w:rsidRPr="00A2333E">
        <w:t>t</w:t>
      </w:r>
      <w:r w:rsidR="009945D7" w:rsidRPr="00A2333E">
        <w:t xml:space="preserve"> that the model underestimated the benefit of patisiran on </w:t>
      </w:r>
      <w:r w:rsidR="00634012" w:rsidRPr="00A2333E">
        <w:t xml:space="preserve">autonomic neuropathy </w:t>
      </w:r>
      <w:r w:rsidR="00182D3C" w:rsidRPr="00A2333E">
        <w:t xml:space="preserve">(a determinative feature of the condition) as </w:t>
      </w:r>
      <w:r w:rsidR="00634012" w:rsidRPr="00A2333E">
        <w:t>captured by GI dysfunction</w:t>
      </w:r>
      <w:r w:rsidR="006F7056" w:rsidRPr="00A2333E">
        <w:t xml:space="preserve">. </w:t>
      </w:r>
      <w:r w:rsidR="00076F27" w:rsidRPr="00A2333E">
        <w:t xml:space="preserve">The committee discussed the genetic mutations of patients seen in APOLLO </w:t>
      </w:r>
      <w:r w:rsidR="005564BF" w:rsidRPr="00A2333E">
        <w:t xml:space="preserve">and recalled that the trial was broadly generalisable to </w:t>
      </w:r>
      <w:r w:rsidR="00182D3C" w:rsidRPr="00A2333E">
        <w:t xml:space="preserve">UK </w:t>
      </w:r>
      <w:r w:rsidR="005564BF" w:rsidRPr="00A2333E">
        <w:t>clinical practice (see section</w:t>
      </w:r>
      <w:r w:rsidR="00B727FE" w:rsidRPr="00A2333E">
        <w:t> </w:t>
      </w:r>
      <w:r w:rsidR="005564BF" w:rsidRPr="00A2333E">
        <w:t xml:space="preserve">4.5). </w:t>
      </w:r>
      <w:r w:rsidR="00076F27" w:rsidRPr="00A2333E">
        <w:t>Clinical experts explained that</w:t>
      </w:r>
      <w:r w:rsidR="0074746E" w:rsidRPr="00A2333E">
        <w:t>,</w:t>
      </w:r>
      <w:r w:rsidR="00076F27" w:rsidRPr="00A2333E">
        <w:t xml:space="preserve"> </w:t>
      </w:r>
      <w:r w:rsidR="003461E0" w:rsidRPr="00A2333E">
        <w:t>in most cases</w:t>
      </w:r>
      <w:r w:rsidR="0074746E" w:rsidRPr="00A2333E">
        <w:t>,</w:t>
      </w:r>
      <w:r w:rsidR="003461E0" w:rsidRPr="00A2333E">
        <w:t xml:space="preserve"> the underlying </w:t>
      </w:r>
      <w:r w:rsidR="00076F27" w:rsidRPr="00A2333E">
        <w:t>cause</w:t>
      </w:r>
      <w:r w:rsidR="00997809">
        <w:t>s</w:t>
      </w:r>
      <w:r w:rsidR="00076F27" w:rsidRPr="00A2333E">
        <w:t xml:space="preserve"> of death in hATTR amyloidosis </w:t>
      </w:r>
      <w:r w:rsidR="00997809">
        <w:t>are</w:t>
      </w:r>
      <w:r w:rsidR="00997809" w:rsidRPr="00A2333E">
        <w:t xml:space="preserve"> </w:t>
      </w:r>
      <w:r w:rsidR="00076F27" w:rsidRPr="00A2333E">
        <w:t xml:space="preserve">a combination of autonomic neuropathy (which includes the severely affected GI tract) and cardiac involvement. </w:t>
      </w:r>
      <w:r w:rsidR="006A5181">
        <w:t>The clinical e</w:t>
      </w:r>
      <w:r w:rsidR="00227B7A" w:rsidRPr="00A2333E">
        <w:t>xperts noted that people with Val30Met mutation (</w:t>
      </w:r>
      <w:r w:rsidR="002627D6" w:rsidRPr="00A2333E">
        <w:t xml:space="preserve">a </w:t>
      </w:r>
      <w:r w:rsidR="003C7A9C" w:rsidRPr="00A2333E">
        <w:t>large</w:t>
      </w:r>
      <w:r w:rsidR="002627D6" w:rsidRPr="00A2333E">
        <w:t xml:space="preserve"> proportion of those </w:t>
      </w:r>
      <w:r w:rsidR="00227B7A" w:rsidRPr="00A2333E">
        <w:t xml:space="preserve">in APOLLO) have </w:t>
      </w:r>
      <w:r w:rsidR="00076F27" w:rsidRPr="00A2333E">
        <w:t xml:space="preserve">relatively homogenous symptoms, </w:t>
      </w:r>
      <w:r w:rsidR="00BB05CB" w:rsidRPr="00A2333E">
        <w:t xml:space="preserve">usually </w:t>
      </w:r>
      <w:r w:rsidR="00076F27" w:rsidRPr="00A2333E">
        <w:t xml:space="preserve">developing autonomic disease </w:t>
      </w:r>
      <w:r w:rsidR="002627D6" w:rsidRPr="00A2333E">
        <w:t xml:space="preserve">later in the course of the </w:t>
      </w:r>
      <w:r w:rsidR="00182D3C" w:rsidRPr="00A2333E">
        <w:t xml:space="preserve">condition </w:t>
      </w:r>
      <w:r w:rsidR="00227B7A" w:rsidRPr="00A2333E">
        <w:t xml:space="preserve">but </w:t>
      </w:r>
      <w:r w:rsidR="002627D6" w:rsidRPr="00A2333E">
        <w:t>without</w:t>
      </w:r>
      <w:r w:rsidR="00227B7A" w:rsidRPr="00A2333E">
        <w:t xml:space="preserve"> </w:t>
      </w:r>
      <w:r w:rsidR="00076F27" w:rsidRPr="00A2333E">
        <w:t xml:space="preserve">much cardiac involvement. </w:t>
      </w:r>
      <w:r w:rsidR="00227B7A" w:rsidRPr="00A2333E">
        <w:t>They also explained that</w:t>
      </w:r>
      <w:r w:rsidR="00BD41A4" w:rsidRPr="00A2333E">
        <w:t>,</w:t>
      </w:r>
      <w:r w:rsidR="00227B7A" w:rsidRPr="00A2333E">
        <w:t xml:space="preserve"> i</w:t>
      </w:r>
      <w:r w:rsidR="00076F27" w:rsidRPr="00A2333E">
        <w:t>n the UK</w:t>
      </w:r>
      <w:r w:rsidR="00BD41A4" w:rsidRPr="00A2333E">
        <w:t>,</w:t>
      </w:r>
      <w:r w:rsidRPr="00A2333E">
        <w:t xml:space="preserve"> a</w:t>
      </w:r>
      <w:r w:rsidR="00076F27" w:rsidRPr="00A2333E">
        <w:t xml:space="preserve"> high proportion of</w:t>
      </w:r>
      <w:r w:rsidR="00227B7A" w:rsidRPr="00A2333E">
        <w:t xml:space="preserve"> people have</w:t>
      </w:r>
      <w:r w:rsidR="00076F27" w:rsidRPr="00A2333E">
        <w:t xml:space="preserve"> </w:t>
      </w:r>
      <w:r w:rsidR="00C97E16" w:rsidRPr="00A2333E">
        <w:t xml:space="preserve">Thr60Ala mutation, which can be characterised </w:t>
      </w:r>
      <w:r w:rsidRPr="00A2333E">
        <w:t>by</w:t>
      </w:r>
      <w:r w:rsidR="00C97E16" w:rsidRPr="00A2333E">
        <w:t xml:space="preserve"> </w:t>
      </w:r>
      <w:r w:rsidR="00BB05CB" w:rsidRPr="00A2333E">
        <w:t>peripheral neuropathy</w:t>
      </w:r>
      <w:r w:rsidR="00076F27" w:rsidRPr="00A2333E">
        <w:t xml:space="preserve">, autonomic neuropathy and cardiac involvement. </w:t>
      </w:r>
      <w:r w:rsidR="00017B23" w:rsidRPr="00A2333E">
        <w:t>Therefore,</w:t>
      </w:r>
      <w:r w:rsidR="000D32A6" w:rsidRPr="00A2333E">
        <w:t xml:space="preserve"> </w:t>
      </w:r>
      <w:r w:rsidR="002627D6" w:rsidRPr="00A2333E">
        <w:t xml:space="preserve">the </w:t>
      </w:r>
      <w:r w:rsidR="000D32A6" w:rsidRPr="00A2333E">
        <w:t xml:space="preserve">people </w:t>
      </w:r>
      <w:r w:rsidR="002627D6" w:rsidRPr="00A2333E">
        <w:t>recruited</w:t>
      </w:r>
      <w:r w:rsidR="000D32A6" w:rsidRPr="00A2333E">
        <w:t xml:space="preserve"> in</w:t>
      </w:r>
      <w:r w:rsidR="002627D6" w:rsidRPr="00A2333E">
        <w:t>to</w:t>
      </w:r>
      <w:r w:rsidR="000D32A6" w:rsidRPr="00A2333E">
        <w:t xml:space="preserve"> APOLLO d</w:t>
      </w:r>
      <w:r w:rsidR="00076F27" w:rsidRPr="00A2333E">
        <w:t>iffer</w:t>
      </w:r>
      <w:r w:rsidR="00BD41A4" w:rsidRPr="00A2333E">
        <w:t>ed</w:t>
      </w:r>
      <w:r w:rsidR="00076F27" w:rsidRPr="00A2333E">
        <w:t xml:space="preserve"> from </w:t>
      </w:r>
      <w:r w:rsidR="000D32A6" w:rsidRPr="00A2333E">
        <w:t xml:space="preserve">people seen in the UK </w:t>
      </w:r>
      <w:r w:rsidR="00BD41A4" w:rsidRPr="00A2333E">
        <w:t>because</w:t>
      </w:r>
      <w:r w:rsidR="00076F27" w:rsidRPr="00A2333E">
        <w:t xml:space="preserve"> they ha</w:t>
      </w:r>
      <w:r w:rsidR="00BD41A4" w:rsidRPr="00A2333E">
        <w:t>d</w:t>
      </w:r>
      <w:r w:rsidR="00076F27" w:rsidRPr="00A2333E">
        <w:t xml:space="preserve"> relatively little autonomic neuropathy. </w:t>
      </w:r>
      <w:r w:rsidR="0001402C" w:rsidRPr="00A2333E">
        <w:t xml:space="preserve">The ERG highlighted that </w:t>
      </w:r>
      <w:r w:rsidRPr="00A2333E">
        <w:t>an earlier</w:t>
      </w:r>
      <w:r w:rsidR="0001402C" w:rsidRPr="00A2333E">
        <w:t xml:space="preserve"> approach</w:t>
      </w:r>
      <w:r w:rsidRPr="00A2333E">
        <w:t xml:space="preserve"> used by the company</w:t>
      </w:r>
      <w:r w:rsidR="0001402C" w:rsidRPr="00A2333E">
        <w:t xml:space="preserve"> to model improvement (patisiran) or worsening (BSC) in EQ</w:t>
      </w:r>
      <w:r w:rsidR="00BD41A4" w:rsidRPr="00A2333E">
        <w:noBreakHyphen/>
      </w:r>
      <w:r w:rsidR="0001402C" w:rsidRPr="00A2333E">
        <w:t xml:space="preserve">5D within each PND health state </w:t>
      </w:r>
      <w:r w:rsidR="002627D6" w:rsidRPr="00A2333E">
        <w:t xml:space="preserve">with time </w:t>
      </w:r>
      <w:r w:rsidR="0001402C" w:rsidRPr="00A2333E">
        <w:t xml:space="preserve">was an attempt to reflect the aspects of the condition not captured in the definition of model health states. </w:t>
      </w:r>
      <w:r w:rsidR="00D11A92" w:rsidRPr="00A2333E">
        <w:t>Therefore,</w:t>
      </w:r>
      <w:r w:rsidR="0001402C" w:rsidRPr="00A2333E">
        <w:t xml:space="preserve"> if the inclusion of further GI-related disutilities in the model was </w:t>
      </w:r>
      <w:r w:rsidR="002627D6" w:rsidRPr="00A2333E">
        <w:t xml:space="preserve">also </w:t>
      </w:r>
      <w:r w:rsidR="0001402C" w:rsidRPr="00A2333E">
        <w:t xml:space="preserve">intended to quantify those factors, it </w:t>
      </w:r>
      <w:r w:rsidR="00BD41A4" w:rsidRPr="00A2333E">
        <w:t>wa</w:t>
      </w:r>
      <w:r w:rsidR="0001402C" w:rsidRPr="00A2333E">
        <w:t xml:space="preserve">s unclear what the time-dependent utilities </w:t>
      </w:r>
      <w:r w:rsidR="00BD41A4" w:rsidRPr="00A2333E">
        <w:t>we</w:t>
      </w:r>
      <w:r w:rsidR="0001402C" w:rsidRPr="00A2333E">
        <w:t xml:space="preserve">re intended to reflect. The committee noted the ERG’s critique </w:t>
      </w:r>
      <w:r w:rsidR="001655C8">
        <w:t>but</w:t>
      </w:r>
      <w:r w:rsidR="001655C8" w:rsidRPr="00A2333E">
        <w:t xml:space="preserve"> </w:t>
      </w:r>
      <w:r w:rsidR="0001402C" w:rsidRPr="00A2333E">
        <w:t xml:space="preserve">acknowledged </w:t>
      </w:r>
      <w:r w:rsidR="00017B23" w:rsidRPr="00A2333E">
        <w:t xml:space="preserve">the importance of </w:t>
      </w:r>
      <w:r w:rsidR="001655C8">
        <w:t xml:space="preserve">fully </w:t>
      </w:r>
      <w:r w:rsidR="00017B23" w:rsidRPr="00A2333E">
        <w:t>capturing GI dysfunction in the model</w:t>
      </w:r>
      <w:r w:rsidR="00BD41A4" w:rsidRPr="00A2333E">
        <w:t>. H</w:t>
      </w:r>
      <w:r w:rsidR="00017B23" w:rsidRPr="00A2333E">
        <w:t>owever</w:t>
      </w:r>
      <w:r w:rsidR="00BD41A4" w:rsidRPr="00A2333E">
        <w:t>,</w:t>
      </w:r>
      <w:r w:rsidR="00017B23" w:rsidRPr="00A2333E">
        <w:t xml:space="preserve"> it </w:t>
      </w:r>
      <w:r w:rsidR="0090452E" w:rsidRPr="00A2333E">
        <w:t xml:space="preserve">noted </w:t>
      </w:r>
      <w:r w:rsidR="00D11A92" w:rsidRPr="00A2333E">
        <w:t xml:space="preserve">that it </w:t>
      </w:r>
      <w:r w:rsidR="0090452E" w:rsidRPr="00A2333E">
        <w:t xml:space="preserve">had </w:t>
      </w:r>
      <w:r w:rsidR="00017B23" w:rsidRPr="00A2333E">
        <w:t xml:space="preserve">not </w:t>
      </w:r>
      <w:r w:rsidR="0090452E" w:rsidRPr="00A2333E">
        <w:t xml:space="preserve">been </w:t>
      </w:r>
      <w:r w:rsidR="00017B23" w:rsidRPr="00A2333E">
        <w:t>presented with any quantitative data show</w:t>
      </w:r>
      <w:r w:rsidR="0090452E" w:rsidRPr="00A2333E">
        <w:t>ing a</w:t>
      </w:r>
      <w:r w:rsidR="00017B23" w:rsidRPr="00A2333E">
        <w:t xml:space="preserve"> low incidence of GI symptoms</w:t>
      </w:r>
      <w:r w:rsidR="00134F44" w:rsidRPr="00A2333E">
        <w:t xml:space="preserve"> in </w:t>
      </w:r>
      <w:r w:rsidR="0090452E" w:rsidRPr="00A2333E">
        <w:t xml:space="preserve">people in </w:t>
      </w:r>
      <w:r w:rsidR="00134F44" w:rsidRPr="00A2333E">
        <w:lastRenderedPageBreak/>
        <w:t>APOLLO</w:t>
      </w:r>
      <w:r w:rsidR="00726FB1">
        <w:t>,</w:t>
      </w:r>
      <w:r w:rsidR="001655C8">
        <w:t xml:space="preserve"> as might be suggested by the range of mutations in patients studied</w:t>
      </w:r>
      <w:r w:rsidR="00134F44" w:rsidRPr="00A2333E">
        <w:t>.</w:t>
      </w:r>
    </w:p>
    <w:p w14:paraId="7576FEEF" w14:textId="491A256A" w:rsidR="00E57A58" w:rsidRPr="00A2333E" w:rsidRDefault="00FE5EB2" w:rsidP="004D047D">
      <w:pPr>
        <w:pStyle w:val="Numberedlevel2text"/>
      </w:pPr>
      <w:r w:rsidRPr="00A2333E">
        <w:t xml:space="preserve">The </w:t>
      </w:r>
      <w:r w:rsidR="0001402C" w:rsidRPr="00A2333E">
        <w:t xml:space="preserve">company </w:t>
      </w:r>
      <w:r w:rsidR="009219FB" w:rsidRPr="00A2333E">
        <w:t>pointed out that it is possible that not all aspects of autonomic neuropathy were captured in the model. It explained that the generic EQ</w:t>
      </w:r>
      <w:r w:rsidR="00BD41A4" w:rsidRPr="00A2333E">
        <w:noBreakHyphen/>
      </w:r>
      <w:r w:rsidR="009219FB" w:rsidRPr="00A2333E">
        <w:t>5D questionnaire might have functional limitations</w:t>
      </w:r>
      <w:r w:rsidR="00BD41A4" w:rsidRPr="00A2333E">
        <w:t>. This meant that</w:t>
      </w:r>
      <w:r w:rsidR="009219FB" w:rsidRPr="00A2333E">
        <w:t xml:space="preserve"> the effect</w:t>
      </w:r>
      <w:r w:rsidR="00BD41A4" w:rsidRPr="00A2333E">
        <w:t>s</w:t>
      </w:r>
      <w:r w:rsidR="009219FB" w:rsidRPr="00A2333E">
        <w:t xml:space="preserve"> </w:t>
      </w:r>
      <w:r w:rsidRPr="00A2333E">
        <w:t>of GI dysfunction</w:t>
      </w:r>
      <w:r w:rsidR="00BD41A4" w:rsidRPr="00A2333E">
        <w:t xml:space="preserve"> or </w:t>
      </w:r>
      <w:r w:rsidRPr="00A2333E">
        <w:t xml:space="preserve">improvement </w:t>
      </w:r>
      <w:r w:rsidR="0090452E" w:rsidRPr="00A2333E">
        <w:t xml:space="preserve">might not </w:t>
      </w:r>
      <w:r w:rsidR="00BD41A4" w:rsidRPr="00A2333E">
        <w:t xml:space="preserve">have </w:t>
      </w:r>
      <w:r w:rsidR="0090452E" w:rsidRPr="00A2333E">
        <w:t>be</w:t>
      </w:r>
      <w:r w:rsidR="00BD41A4" w:rsidRPr="00A2333E">
        <w:t>en</w:t>
      </w:r>
      <w:r w:rsidR="0090452E" w:rsidRPr="00A2333E">
        <w:t xml:space="preserve"> captured fully by</w:t>
      </w:r>
      <w:r w:rsidR="0001402C" w:rsidRPr="00A2333E">
        <w:t xml:space="preserve"> the assessment. </w:t>
      </w:r>
      <w:r w:rsidR="00D11A92" w:rsidRPr="00A2333E">
        <w:t xml:space="preserve">The committee also </w:t>
      </w:r>
      <w:r w:rsidR="00E57A58" w:rsidRPr="00A2333E">
        <w:t>heard</w:t>
      </w:r>
      <w:r w:rsidR="00D11A92" w:rsidRPr="00A2333E">
        <w:t xml:space="preserve"> patient testimony </w:t>
      </w:r>
      <w:r w:rsidR="0090452E" w:rsidRPr="00A2333E">
        <w:t>illustrating ways in which</w:t>
      </w:r>
      <w:r w:rsidR="001B5FA1" w:rsidRPr="00A2333E">
        <w:t xml:space="preserve"> EQ</w:t>
      </w:r>
      <w:r w:rsidR="00BD41A4" w:rsidRPr="00A2333E">
        <w:noBreakHyphen/>
      </w:r>
      <w:r w:rsidR="001B5FA1" w:rsidRPr="00A2333E">
        <w:t xml:space="preserve">5D might not capture </w:t>
      </w:r>
      <w:r w:rsidR="00B451D4" w:rsidRPr="00A2333E">
        <w:t xml:space="preserve">GI </w:t>
      </w:r>
      <w:r w:rsidR="001B5FA1" w:rsidRPr="00A2333E">
        <w:t xml:space="preserve">dysfunction </w:t>
      </w:r>
      <w:r w:rsidR="00B451D4" w:rsidRPr="00A2333E">
        <w:t xml:space="preserve">properly </w:t>
      </w:r>
      <w:r w:rsidR="001B5FA1" w:rsidRPr="00A2333E">
        <w:t>(</w:t>
      </w:r>
      <w:r w:rsidR="00BD41A4" w:rsidRPr="00A2333E">
        <w:t>for example,</w:t>
      </w:r>
      <w:r w:rsidR="001B5FA1" w:rsidRPr="00A2333E">
        <w:t xml:space="preserve"> low blood pressure, </w:t>
      </w:r>
      <w:r w:rsidR="00EE7362" w:rsidRPr="00A2333E">
        <w:t xml:space="preserve">sweating, </w:t>
      </w:r>
      <w:r w:rsidR="001B5FA1" w:rsidRPr="00A2333E">
        <w:t xml:space="preserve">waking up </w:t>
      </w:r>
      <w:r w:rsidR="00B451D4" w:rsidRPr="00A2333E">
        <w:t xml:space="preserve">several times </w:t>
      </w:r>
      <w:r w:rsidR="001B5FA1" w:rsidRPr="00A2333E">
        <w:t xml:space="preserve">during the night because of irregular bowel movement). The ERG had concerns about the company’s argument explaining that </w:t>
      </w:r>
      <w:r w:rsidR="00B451D4" w:rsidRPr="00A2333E">
        <w:t>the questionnaire</w:t>
      </w:r>
      <w:r w:rsidR="001B5FA1" w:rsidRPr="00A2333E">
        <w:t xml:space="preserve"> has been </w:t>
      </w:r>
      <w:r w:rsidR="00B451D4" w:rsidRPr="00A2333E">
        <w:t xml:space="preserve">routinely </w:t>
      </w:r>
      <w:r w:rsidR="001B5FA1" w:rsidRPr="00A2333E">
        <w:t>used in functional bowel disease and other serious GI</w:t>
      </w:r>
      <w:r w:rsidR="000B4214" w:rsidRPr="00A2333E">
        <w:noBreakHyphen/>
      </w:r>
      <w:r w:rsidR="001B5FA1" w:rsidRPr="00A2333E">
        <w:t xml:space="preserve">related </w:t>
      </w:r>
      <w:r w:rsidR="00BD41A4" w:rsidRPr="00A2333E">
        <w:t xml:space="preserve">conditions </w:t>
      </w:r>
      <w:proofErr w:type="gramStart"/>
      <w:r w:rsidR="00B451D4" w:rsidRPr="00A2333E">
        <w:t xml:space="preserve">before, </w:t>
      </w:r>
      <w:r w:rsidR="000B4214" w:rsidRPr="00A2333E">
        <w:t>and</w:t>
      </w:r>
      <w:proofErr w:type="gramEnd"/>
      <w:r w:rsidR="000B4214" w:rsidRPr="00A2333E">
        <w:t xml:space="preserve"> has </w:t>
      </w:r>
      <w:r w:rsidR="001B5FA1" w:rsidRPr="00A2333E">
        <w:t xml:space="preserve">also </w:t>
      </w:r>
      <w:r w:rsidR="000B4214" w:rsidRPr="00A2333E">
        <w:t xml:space="preserve">been </w:t>
      </w:r>
      <w:r w:rsidR="001B5FA1" w:rsidRPr="00A2333E">
        <w:t xml:space="preserve">used to measure </w:t>
      </w:r>
      <w:r w:rsidR="00B451D4" w:rsidRPr="00A2333E">
        <w:t xml:space="preserve">autonomic neuropathy. </w:t>
      </w:r>
      <w:r w:rsidR="009219FB" w:rsidRPr="00A2333E">
        <w:t>It</w:t>
      </w:r>
      <w:r w:rsidR="00B451D4" w:rsidRPr="00A2333E">
        <w:t xml:space="preserve"> clarified that </w:t>
      </w:r>
      <w:r w:rsidR="00E57A58" w:rsidRPr="00A2333E">
        <w:t>the questionnaire</w:t>
      </w:r>
      <w:r w:rsidR="00FC4CE8" w:rsidRPr="00A2333E">
        <w:t xml:space="preserve"> should be fully sensitive </w:t>
      </w:r>
      <w:r w:rsidR="00E57A58" w:rsidRPr="00A2333E">
        <w:t xml:space="preserve">to capture </w:t>
      </w:r>
      <w:r w:rsidR="004C25E3" w:rsidRPr="00A2333E">
        <w:t xml:space="preserve">the </w:t>
      </w:r>
      <w:r w:rsidR="000B4214" w:rsidRPr="00A2333E">
        <w:t>effe</w:t>
      </w:r>
      <w:r w:rsidR="004C25E3" w:rsidRPr="00A2333E">
        <w:t>ct of such symptoms</w:t>
      </w:r>
      <w:r w:rsidR="00E57A58" w:rsidRPr="00A2333E">
        <w:t xml:space="preserve"> </w:t>
      </w:r>
      <w:r w:rsidR="009219FB" w:rsidRPr="00A2333E">
        <w:t>o</w:t>
      </w:r>
      <w:r w:rsidR="00E57A58" w:rsidRPr="00A2333E">
        <w:t xml:space="preserve">n quality of life. The committee understood that </w:t>
      </w:r>
      <w:r w:rsidR="009219FB" w:rsidRPr="00A2333E">
        <w:t xml:space="preserve">additional </w:t>
      </w:r>
      <w:r w:rsidR="002D3DDB" w:rsidRPr="00A2333E">
        <w:t>GI</w:t>
      </w:r>
      <w:r w:rsidR="00B727FE" w:rsidRPr="00A2333E">
        <w:noBreakHyphen/>
      </w:r>
      <w:r w:rsidR="002D3DDB" w:rsidRPr="00A2333E">
        <w:t xml:space="preserve">related </w:t>
      </w:r>
      <w:r w:rsidR="009219FB" w:rsidRPr="00A2333E">
        <w:t>dis</w:t>
      </w:r>
      <w:r w:rsidR="002D3DDB" w:rsidRPr="00A2333E">
        <w:t>utilities may conceptually overlap with those captured by the EQ</w:t>
      </w:r>
      <w:r w:rsidR="00B727FE" w:rsidRPr="00A2333E">
        <w:noBreakHyphen/>
      </w:r>
      <w:r w:rsidR="002D3DDB" w:rsidRPr="00A2333E">
        <w:t>5D</w:t>
      </w:r>
      <w:r w:rsidR="00320937" w:rsidRPr="00A2333E">
        <w:t xml:space="preserve"> </w:t>
      </w:r>
      <w:r w:rsidR="00E57A58" w:rsidRPr="00A2333E">
        <w:t>questionnaire</w:t>
      </w:r>
      <w:r w:rsidR="002D3DDB" w:rsidRPr="00A2333E">
        <w:t>.</w:t>
      </w:r>
      <w:r w:rsidR="00E57A58" w:rsidRPr="00A2333E">
        <w:t xml:space="preserve"> It agreed that it was not clear what was being </w:t>
      </w:r>
      <w:proofErr w:type="gramStart"/>
      <w:r w:rsidR="00E57A58" w:rsidRPr="00A2333E">
        <w:t xml:space="preserve">taken </w:t>
      </w:r>
      <w:r w:rsidR="005501F8" w:rsidRPr="00A2333E">
        <w:t xml:space="preserve">into </w:t>
      </w:r>
      <w:r w:rsidR="00E57A58" w:rsidRPr="00A2333E">
        <w:t>account</w:t>
      </w:r>
      <w:proofErr w:type="gramEnd"/>
      <w:r w:rsidR="00E57A58" w:rsidRPr="00A2333E">
        <w:t xml:space="preserve"> </w:t>
      </w:r>
      <w:r w:rsidR="005501F8" w:rsidRPr="00A2333E">
        <w:t xml:space="preserve">by the separate disutility </w:t>
      </w:r>
      <w:r w:rsidR="00E57A58" w:rsidRPr="00A2333E">
        <w:t xml:space="preserve">and what </w:t>
      </w:r>
      <w:r w:rsidR="000B4214" w:rsidRPr="00A2333E">
        <w:t>wa</w:t>
      </w:r>
      <w:r w:rsidR="00E57A58" w:rsidRPr="00A2333E">
        <w:t xml:space="preserve">s reflected in the utilities </w:t>
      </w:r>
      <w:r w:rsidR="00EE7362" w:rsidRPr="00A2333E">
        <w:t xml:space="preserve">already. It considered that </w:t>
      </w:r>
      <w:r w:rsidR="0083765F" w:rsidRPr="00A2333E">
        <w:t xml:space="preserve">including the </w:t>
      </w:r>
      <w:r w:rsidR="004C25E3" w:rsidRPr="00A2333E">
        <w:t xml:space="preserve">additional </w:t>
      </w:r>
      <w:r w:rsidR="0083765F" w:rsidRPr="00A2333E">
        <w:t xml:space="preserve">GI disutility raised the possibility of </w:t>
      </w:r>
      <w:proofErr w:type="gramStart"/>
      <w:r w:rsidR="0083765F" w:rsidRPr="00A2333E">
        <w:t>double</w:t>
      </w:r>
      <w:r w:rsidR="002D2C8A" w:rsidRPr="00A2333E">
        <w:t>-</w:t>
      </w:r>
      <w:r w:rsidR="0083765F" w:rsidRPr="00A2333E">
        <w:t>counting</w:t>
      </w:r>
      <w:proofErr w:type="gramEnd"/>
      <w:r w:rsidR="00EE7362" w:rsidRPr="00A2333E">
        <w:t xml:space="preserve"> </w:t>
      </w:r>
      <w:r w:rsidR="0083765F" w:rsidRPr="00A2333E">
        <w:t xml:space="preserve">the effect of autonomic dysfunction, </w:t>
      </w:r>
      <w:r w:rsidR="001655C8">
        <w:t>but</w:t>
      </w:r>
      <w:r w:rsidR="001655C8" w:rsidRPr="00A2333E">
        <w:t xml:space="preserve"> </w:t>
      </w:r>
      <w:r w:rsidR="009219FB" w:rsidRPr="00A2333E">
        <w:t xml:space="preserve">that </w:t>
      </w:r>
      <w:r w:rsidR="00EE7362" w:rsidRPr="00A2333E">
        <w:t>the EQ</w:t>
      </w:r>
      <w:r w:rsidR="000B4214" w:rsidRPr="00A2333E">
        <w:noBreakHyphen/>
      </w:r>
      <w:r w:rsidR="00EE7362" w:rsidRPr="00A2333E">
        <w:t xml:space="preserve">5D questionnaire might not </w:t>
      </w:r>
      <w:r w:rsidR="004C25E3" w:rsidRPr="00A2333E">
        <w:t xml:space="preserve">fully </w:t>
      </w:r>
      <w:r w:rsidR="00EE7362" w:rsidRPr="00A2333E">
        <w:t xml:space="preserve">capture </w:t>
      </w:r>
      <w:r w:rsidR="0083765F" w:rsidRPr="00A2333E">
        <w:t xml:space="preserve">all the </w:t>
      </w:r>
      <w:r w:rsidR="000B4214" w:rsidRPr="00A2333E">
        <w:t xml:space="preserve">effects </w:t>
      </w:r>
      <w:r w:rsidR="0083765F" w:rsidRPr="00A2333E">
        <w:t>of autonomic neuropathy</w:t>
      </w:r>
      <w:r w:rsidR="00EE7362" w:rsidRPr="00A2333E">
        <w:t xml:space="preserve">. </w:t>
      </w:r>
      <w:r w:rsidR="0083765F" w:rsidRPr="00A2333E">
        <w:t>T</w:t>
      </w:r>
      <w:r w:rsidR="00EE7362" w:rsidRPr="00A2333E">
        <w:t xml:space="preserve">he committee </w:t>
      </w:r>
      <w:r w:rsidR="0083765F" w:rsidRPr="00A2333E">
        <w:t xml:space="preserve">therefore </w:t>
      </w:r>
      <w:r w:rsidR="00EE7362" w:rsidRPr="00A2333E">
        <w:t xml:space="preserve">concluded that the true value </w:t>
      </w:r>
      <w:r w:rsidR="000B4214" w:rsidRPr="00A2333E">
        <w:t>was</w:t>
      </w:r>
      <w:r w:rsidR="00EE7362" w:rsidRPr="00A2333E">
        <w:t xml:space="preserve"> somewhere between </w:t>
      </w:r>
      <w:r w:rsidR="001655C8" w:rsidRPr="00A2333E">
        <w:t xml:space="preserve">the model </w:t>
      </w:r>
      <w:r w:rsidR="001655C8">
        <w:t>outcomes with and without</w:t>
      </w:r>
      <w:r w:rsidR="00EE7362" w:rsidRPr="00A2333E">
        <w:t xml:space="preserve"> the additional disutility.</w:t>
      </w:r>
    </w:p>
    <w:p w14:paraId="711F0C89" w14:textId="33CBBE1F" w:rsidR="002A3CE7" w:rsidRPr="00A2333E" w:rsidRDefault="000D76D8" w:rsidP="002A3CE7">
      <w:pPr>
        <w:pStyle w:val="Numberedlevel2text"/>
      </w:pPr>
      <w:r w:rsidRPr="00A2333E">
        <w:t>The committee understood that</w:t>
      </w:r>
      <w:r w:rsidR="00DB5453" w:rsidRPr="00A2333E">
        <w:t>,</w:t>
      </w:r>
      <w:r w:rsidRPr="00A2333E">
        <w:t xml:space="preserve"> </w:t>
      </w:r>
      <w:r w:rsidR="00B54E3D" w:rsidRPr="00A2333E">
        <w:t xml:space="preserve">in the </w:t>
      </w:r>
      <w:r w:rsidR="000B4214" w:rsidRPr="00A2333E">
        <w:t xml:space="preserve">patients in the </w:t>
      </w:r>
      <w:r w:rsidR="00B54E3D" w:rsidRPr="00A2333E">
        <w:t>updated model</w:t>
      </w:r>
      <w:r w:rsidR="00DB5453" w:rsidRPr="00A2333E">
        <w:t>,</w:t>
      </w:r>
      <w:r w:rsidR="003A3C0F" w:rsidRPr="00A2333E">
        <w:t xml:space="preserve"> </w:t>
      </w:r>
      <w:r w:rsidR="00DB5453" w:rsidRPr="00A2333E">
        <w:t xml:space="preserve">stopping </w:t>
      </w:r>
      <w:r w:rsidRPr="00A2333E">
        <w:t xml:space="preserve">patisiran treatment and </w:t>
      </w:r>
      <w:r w:rsidR="003A3C0F" w:rsidRPr="00A2333E">
        <w:t>moving to BSC</w:t>
      </w:r>
      <w:r w:rsidRPr="00A2333E">
        <w:t xml:space="preserve"> </w:t>
      </w:r>
      <w:r w:rsidR="000B4214" w:rsidRPr="00A2333E">
        <w:t xml:space="preserve">did </w:t>
      </w:r>
      <w:r w:rsidRPr="00A2333E">
        <w:t xml:space="preserve">not </w:t>
      </w:r>
      <w:r w:rsidR="004C25E3" w:rsidRPr="00A2333E">
        <w:t xml:space="preserve">immediately </w:t>
      </w:r>
      <w:r w:rsidRPr="00A2333E">
        <w:t>incur the full GI</w:t>
      </w:r>
      <w:r w:rsidR="000B4214" w:rsidRPr="00A2333E">
        <w:noBreakHyphen/>
      </w:r>
      <w:r w:rsidRPr="00A2333E">
        <w:t xml:space="preserve">related disutilities. </w:t>
      </w:r>
      <w:r w:rsidR="00C746D2" w:rsidRPr="00A2333E">
        <w:t xml:space="preserve">It heard from the company that it is unlikely that patients would </w:t>
      </w:r>
      <w:r w:rsidR="003A3C0F" w:rsidRPr="00A2333E">
        <w:t>accrue all the disability and symptoms</w:t>
      </w:r>
      <w:r w:rsidR="00C746D2" w:rsidRPr="00A2333E">
        <w:t xml:space="preserve"> </w:t>
      </w:r>
      <w:r w:rsidR="000B4214" w:rsidRPr="00A2333E">
        <w:t xml:space="preserve">immediately </w:t>
      </w:r>
      <w:r w:rsidR="00C746D2" w:rsidRPr="00A2333E">
        <w:t xml:space="preserve">after </w:t>
      </w:r>
      <w:r w:rsidR="000B4214" w:rsidRPr="00A2333E">
        <w:t>stopping</w:t>
      </w:r>
      <w:r w:rsidR="00AD1DC6" w:rsidRPr="00A2333E">
        <w:t xml:space="preserve"> </w:t>
      </w:r>
      <w:r w:rsidR="00C746D2" w:rsidRPr="00A2333E">
        <w:t xml:space="preserve">treatment, </w:t>
      </w:r>
      <w:r w:rsidR="000B4214" w:rsidRPr="00A2333E">
        <w:t xml:space="preserve">so </w:t>
      </w:r>
      <w:r w:rsidR="00C746D2" w:rsidRPr="00A2333E">
        <w:t>the disutility was increased gradually</w:t>
      </w:r>
      <w:r w:rsidR="00182C78" w:rsidRPr="00A2333E">
        <w:t xml:space="preserve">, </w:t>
      </w:r>
      <w:r w:rsidR="004C25E3" w:rsidRPr="00A2333E">
        <w:t xml:space="preserve">only </w:t>
      </w:r>
      <w:r w:rsidR="00182C78" w:rsidRPr="00A2333E">
        <w:t>reaching 100% at 5</w:t>
      </w:r>
      <w:r w:rsidR="000B4214" w:rsidRPr="00A2333E">
        <w:t> </w:t>
      </w:r>
      <w:r w:rsidR="00182C78" w:rsidRPr="00A2333E">
        <w:t>years</w:t>
      </w:r>
      <w:r w:rsidR="003A3C0F" w:rsidRPr="00A2333E">
        <w:t xml:space="preserve">. </w:t>
      </w:r>
      <w:r w:rsidR="00780C53" w:rsidRPr="00A2333E">
        <w:t xml:space="preserve">The ERG raised </w:t>
      </w:r>
      <w:r w:rsidR="000B4214" w:rsidRPr="00A2333E">
        <w:t xml:space="preserve">a </w:t>
      </w:r>
      <w:r w:rsidR="00780C53" w:rsidRPr="00A2333E">
        <w:t xml:space="preserve">concern that the </w:t>
      </w:r>
      <w:r w:rsidR="00B54E3D" w:rsidRPr="00A2333E">
        <w:t xml:space="preserve">gradual </w:t>
      </w:r>
      <w:r w:rsidR="00B54E3D" w:rsidRPr="00A2333E">
        <w:lastRenderedPageBreak/>
        <w:t>onset of GI</w:t>
      </w:r>
      <w:r w:rsidR="000B4214" w:rsidRPr="00A2333E">
        <w:noBreakHyphen/>
      </w:r>
      <w:r w:rsidR="00DB5453" w:rsidRPr="00A2333E">
        <w:t>related</w:t>
      </w:r>
      <w:r w:rsidR="00B54E3D" w:rsidRPr="00A2333E">
        <w:t xml:space="preserve"> </w:t>
      </w:r>
      <w:r w:rsidR="00780C53" w:rsidRPr="00A2333E">
        <w:t xml:space="preserve">disutilities should have been applied to all patients </w:t>
      </w:r>
      <w:r w:rsidR="00DB5453" w:rsidRPr="00A2333E">
        <w:t>having</w:t>
      </w:r>
      <w:r w:rsidR="00780C53" w:rsidRPr="00A2333E">
        <w:t xml:space="preserve"> BSC</w:t>
      </w:r>
      <w:r w:rsidR="00DB5453" w:rsidRPr="00A2333E">
        <w:t>,</w:t>
      </w:r>
      <w:r w:rsidR="00780C53" w:rsidRPr="00A2333E">
        <w:t xml:space="preserve"> </w:t>
      </w:r>
      <w:r w:rsidR="001655C8">
        <w:t xml:space="preserve">including those </w:t>
      </w:r>
      <w:r w:rsidR="00726FB1">
        <w:t xml:space="preserve">who did </w:t>
      </w:r>
      <w:r w:rsidR="001655C8">
        <w:t xml:space="preserve">not previously </w:t>
      </w:r>
      <w:r w:rsidR="00726FB1">
        <w:t>have treatment</w:t>
      </w:r>
      <w:r w:rsidR="001655C8">
        <w:t xml:space="preserve"> with patisiran</w:t>
      </w:r>
      <w:r w:rsidR="00780C53" w:rsidRPr="00A2333E">
        <w:t>. It also</w:t>
      </w:r>
      <w:r w:rsidR="00C746D2" w:rsidRPr="00A2333E">
        <w:t xml:space="preserve"> pointed out </w:t>
      </w:r>
      <w:r w:rsidR="00457581" w:rsidRPr="00A2333E">
        <w:t xml:space="preserve">that </w:t>
      </w:r>
      <w:r w:rsidR="00780C53" w:rsidRPr="00A2333E">
        <w:t xml:space="preserve">the </w:t>
      </w:r>
      <w:r w:rsidR="00182C78" w:rsidRPr="00A2333E">
        <w:t xml:space="preserve">actual </w:t>
      </w:r>
      <w:r w:rsidR="003A3C0F" w:rsidRPr="00A2333E">
        <w:t>calculation</w:t>
      </w:r>
      <w:r w:rsidR="00780C53" w:rsidRPr="00A2333E">
        <w:t>s</w:t>
      </w:r>
      <w:r w:rsidR="003A3C0F" w:rsidRPr="00A2333E">
        <w:t xml:space="preserve"> </w:t>
      </w:r>
      <w:r w:rsidR="00B54E3D" w:rsidRPr="00A2333E">
        <w:t xml:space="preserve">coded </w:t>
      </w:r>
      <w:r w:rsidR="00182C78" w:rsidRPr="00A2333E">
        <w:t xml:space="preserve">in the model </w:t>
      </w:r>
      <w:r w:rsidR="000B4214" w:rsidRPr="00A2333E">
        <w:t xml:space="preserve">were </w:t>
      </w:r>
      <w:r w:rsidR="003A3C0F" w:rsidRPr="00A2333E">
        <w:t>unclear</w:t>
      </w:r>
      <w:r w:rsidR="000B4214" w:rsidRPr="00A2333E">
        <w:t>,</w:t>
      </w:r>
      <w:r w:rsidR="003A3C0F" w:rsidRPr="00A2333E">
        <w:t xml:space="preserve"> </w:t>
      </w:r>
      <w:r w:rsidR="00182C78" w:rsidRPr="00A2333E">
        <w:t xml:space="preserve">and it </w:t>
      </w:r>
      <w:r w:rsidR="00B54E3D" w:rsidRPr="00A2333E">
        <w:t xml:space="preserve">was concerned </w:t>
      </w:r>
      <w:r w:rsidR="003A3C0F" w:rsidRPr="00A2333E">
        <w:t xml:space="preserve">that </w:t>
      </w:r>
      <w:r w:rsidR="00B54E3D" w:rsidRPr="00A2333E">
        <w:t>the</w:t>
      </w:r>
      <w:r w:rsidR="005B1976" w:rsidRPr="00A2333E">
        <w:t xml:space="preserve"> </w:t>
      </w:r>
      <w:r w:rsidR="00B54E3D" w:rsidRPr="00A2333E">
        <w:t xml:space="preserve">additional </w:t>
      </w:r>
      <w:r w:rsidR="00182C78" w:rsidRPr="00A2333E">
        <w:t xml:space="preserve">disutility </w:t>
      </w:r>
      <w:r w:rsidR="00997809">
        <w:t>remained</w:t>
      </w:r>
      <w:r w:rsidR="00997809" w:rsidRPr="00A2333E">
        <w:t xml:space="preserve"> </w:t>
      </w:r>
      <w:r w:rsidR="003A3C0F" w:rsidRPr="00A2333E">
        <w:t>constant</w:t>
      </w:r>
      <w:r w:rsidR="001655C8">
        <w:t xml:space="preserve"> at 10% of the full amount</w:t>
      </w:r>
      <w:r w:rsidR="003A3C0F" w:rsidRPr="00A2333E">
        <w:t xml:space="preserve">, rather than </w:t>
      </w:r>
      <w:r w:rsidR="00182C78" w:rsidRPr="00A2333E">
        <w:t>increas</w:t>
      </w:r>
      <w:r w:rsidR="000B4214" w:rsidRPr="00A2333E">
        <w:t>ed</w:t>
      </w:r>
      <w:r w:rsidR="00182C78" w:rsidRPr="00A2333E">
        <w:t xml:space="preserve"> gradually</w:t>
      </w:r>
      <w:r w:rsidR="003A3C0F" w:rsidRPr="00A2333E">
        <w:t xml:space="preserve">. </w:t>
      </w:r>
      <w:r w:rsidR="00182C78" w:rsidRPr="00A2333E">
        <w:t xml:space="preserve">The committee understood that applying disutility for </w:t>
      </w:r>
      <w:r w:rsidR="00AD1DC6" w:rsidRPr="00A2333E">
        <w:t xml:space="preserve">people stopping </w:t>
      </w:r>
      <w:r w:rsidR="00182C78" w:rsidRPr="00A2333E">
        <w:t xml:space="preserve">patisiran had a </w:t>
      </w:r>
      <w:r w:rsidR="003A3C0F" w:rsidRPr="00A2333E">
        <w:t xml:space="preserve">relatively small </w:t>
      </w:r>
      <w:r w:rsidR="00AD1DC6" w:rsidRPr="00A2333E">
        <w:t>effe</w:t>
      </w:r>
      <w:r w:rsidR="00182C78" w:rsidRPr="00A2333E">
        <w:t>ct on the ICER</w:t>
      </w:r>
      <w:r w:rsidR="003A3C0F" w:rsidRPr="00A2333E">
        <w:t xml:space="preserve">. </w:t>
      </w:r>
      <w:r w:rsidR="00182C78" w:rsidRPr="00A2333E">
        <w:t xml:space="preserve">It also considered the ERG’s scenario analysis </w:t>
      </w:r>
      <w:r w:rsidR="00AD1DC6" w:rsidRPr="00A2333E">
        <w:t xml:space="preserve">in which </w:t>
      </w:r>
      <w:r w:rsidR="00182C78" w:rsidRPr="00A2333E">
        <w:t xml:space="preserve">GI-related disutilities were applied immediately for </w:t>
      </w:r>
      <w:r w:rsidR="00AD1DC6" w:rsidRPr="00A2333E">
        <w:t xml:space="preserve">people stopping treatment </w:t>
      </w:r>
      <w:r w:rsidR="00182C78" w:rsidRPr="00A2333E">
        <w:t xml:space="preserve">and </w:t>
      </w:r>
      <w:r w:rsidR="00AD1DC6" w:rsidRPr="00A2333E">
        <w:t xml:space="preserve">for </w:t>
      </w:r>
      <w:r w:rsidR="00182C78" w:rsidRPr="00A2333E">
        <w:t>BSC</w:t>
      </w:r>
      <w:r w:rsidR="00AD1DC6" w:rsidRPr="00A2333E">
        <w:t>. The committee</w:t>
      </w:r>
      <w:r w:rsidR="00182C78" w:rsidRPr="00A2333E">
        <w:t xml:space="preserve"> concluded that </w:t>
      </w:r>
      <w:r w:rsidR="00661DDF" w:rsidRPr="00A2333E">
        <w:t xml:space="preserve">the ERG’s assumption </w:t>
      </w:r>
      <w:r w:rsidR="00AD1DC6" w:rsidRPr="00A2333E">
        <w:t>wa</w:t>
      </w:r>
      <w:r w:rsidR="00661DDF" w:rsidRPr="00A2333E">
        <w:t>s preferable for use in the model.</w:t>
      </w:r>
    </w:p>
    <w:p w14:paraId="4F30CB65" w14:textId="77777777" w:rsidR="00C904D7" w:rsidRPr="00A2333E" w:rsidRDefault="00C904D7" w:rsidP="00F757AB">
      <w:pPr>
        <w:pStyle w:val="Heading3"/>
      </w:pPr>
      <w:r w:rsidRPr="00A2333E">
        <w:t>Caregiver disutilities</w:t>
      </w:r>
      <w:r w:rsidR="00B95A05" w:rsidRPr="00A2333E">
        <w:t xml:space="preserve"> applied in the model</w:t>
      </w:r>
    </w:p>
    <w:p w14:paraId="1DF7C3A0" w14:textId="77777777" w:rsidR="00534368" w:rsidRPr="00A2333E" w:rsidRDefault="00C904D7" w:rsidP="00922608">
      <w:pPr>
        <w:pStyle w:val="Numberedlevel2text"/>
      </w:pPr>
      <w:r w:rsidRPr="00A2333E">
        <w:t>T</w:t>
      </w:r>
      <w:r w:rsidR="00C44FF0" w:rsidRPr="00A2333E">
        <w:t xml:space="preserve">he company included a disutility for carers of 0.01 </w:t>
      </w:r>
      <w:r w:rsidR="00C44FF0" w:rsidRPr="00A2333E">
        <w:rPr>
          <w:color w:val="222222"/>
        </w:rPr>
        <w:t xml:space="preserve">for patients </w:t>
      </w:r>
      <w:r w:rsidR="00102247" w:rsidRPr="00A2333E">
        <w:rPr>
          <w:color w:val="222222"/>
        </w:rPr>
        <w:t>with</w:t>
      </w:r>
      <w:r w:rsidR="00C44FF0" w:rsidRPr="00A2333E">
        <w:rPr>
          <w:color w:val="222222"/>
        </w:rPr>
        <w:t xml:space="preserve"> PND</w:t>
      </w:r>
      <w:r w:rsidR="00CB1EBD" w:rsidRPr="00A2333E">
        <w:rPr>
          <w:color w:val="222222"/>
        </w:rPr>
        <w:t> </w:t>
      </w:r>
      <w:r w:rsidR="00C44FF0" w:rsidRPr="00A2333E">
        <w:rPr>
          <w:color w:val="222222"/>
        </w:rPr>
        <w:t>IV</w:t>
      </w:r>
      <w:r w:rsidR="00C44FF0" w:rsidRPr="00A2333E">
        <w:t xml:space="preserve">. The committee questioned whether </w:t>
      </w:r>
      <w:r w:rsidR="00630F02" w:rsidRPr="00A2333E">
        <w:t xml:space="preserve">this </w:t>
      </w:r>
      <w:r w:rsidR="006F4A99" w:rsidRPr="00A2333E">
        <w:t>adequate</w:t>
      </w:r>
      <w:r w:rsidR="00FF7F23" w:rsidRPr="00A2333E">
        <w:t>ly</w:t>
      </w:r>
      <w:r w:rsidR="00C44FF0" w:rsidRPr="00A2333E">
        <w:t xml:space="preserve"> </w:t>
      </w:r>
      <w:r w:rsidR="00FF7F23" w:rsidRPr="00A2333E">
        <w:t xml:space="preserve">reflected </w:t>
      </w:r>
      <w:r w:rsidR="00C44FF0" w:rsidRPr="00A2333E">
        <w:t xml:space="preserve">the </w:t>
      </w:r>
      <w:r w:rsidR="00102247" w:rsidRPr="00A2333E">
        <w:t xml:space="preserve">carer </w:t>
      </w:r>
      <w:r w:rsidR="00C44FF0" w:rsidRPr="00A2333E">
        <w:t xml:space="preserve">burden reported </w:t>
      </w:r>
      <w:r w:rsidR="006F4A99" w:rsidRPr="00A2333E">
        <w:t xml:space="preserve">in </w:t>
      </w:r>
      <w:r w:rsidR="00C44FF0" w:rsidRPr="00A2333E">
        <w:t xml:space="preserve">the </w:t>
      </w:r>
      <w:r w:rsidR="000D3166" w:rsidRPr="00A2333E">
        <w:t>Amyloidosis Research Consortium UK</w:t>
      </w:r>
      <w:r w:rsidR="00C44FF0" w:rsidRPr="00A2333E">
        <w:t xml:space="preserve"> </w:t>
      </w:r>
      <w:r w:rsidR="006F4A99" w:rsidRPr="00A2333E">
        <w:t xml:space="preserve">survey </w:t>
      </w:r>
      <w:r w:rsidR="00C44FF0" w:rsidRPr="00A2333E">
        <w:t>(see section</w:t>
      </w:r>
      <w:r w:rsidR="00102247" w:rsidRPr="00A2333E">
        <w:t> </w:t>
      </w:r>
      <w:r w:rsidR="00D40A12" w:rsidRPr="00A2333E">
        <w:fldChar w:fldCharType="begin"/>
      </w:r>
      <w:r w:rsidR="00D67236" w:rsidRPr="00A2333E">
        <w:instrText xml:space="preserve"> REF _Ref531344120 \r \h </w:instrText>
      </w:r>
      <w:r w:rsidR="00D40A12" w:rsidRPr="00A2333E">
        <w:fldChar w:fldCharType="separate"/>
      </w:r>
      <w:r w:rsidR="00D67236" w:rsidRPr="00A2333E">
        <w:t>4.2</w:t>
      </w:r>
      <w:r w:rsidR="00D40A12" w:rsidRPr="00A2333E">
        <w:fldChar w:fldCharType="end"/>
      </w:r>
      <w:r w:rsidR="00C44FF0" w:rsidRPr="00A2333E">
        <w:t>)</w:t>
      </w:r>
      <w:r w:rsidR="00732434" w:rsidRPr="00A2333E">
        <w:t>.</w:t>
      </w:r>
      <w:r w:rsidR="00DD3179" w:rsidRPr="00A2333E">
        <w:t xml:space="preserve"> </w:t>
      </w:r>
      <w:r w:rsidR="001715A3" w:rsidRPr="00A2333E">
        <w:t>The committee con</w:t>
      </w:r>
      <w:r w:rsidR="00C44FF0" w:rsidRPr="00A2333E">
        <w:t>sidered</w:t>
      </w:r>
      <w:r w:rsidR="001715A3" w:rsidRPr="00A2333E">
        <w:t xml:space="preserve"> that </w:t>
      </w:r>
      <w:r w:rsidR="003829A0" w:rsidRPr="00A2333E">
        <w:t xml:space="preserve">the </w:t>
      </w:r>
      <w:r w:rsidR="001715A3" w:rsidRPr="00A2333E">
        <w:t>way the company had modelled utility was highly uncertain</w:t>
      </w:r>
      <w:r w:rsidR="00C44FF0" w:rsidRPr="00A2333E">
        <w:t xml:space="preserve">, </w:t>
      </w:r>
      <w:r w:rsidR="005A7FCC" w:rsidRPr="00A2333E">
        <w:t xml:space="preserve">and </w:t>
      </w:r>
      <w:r w:rsidR="00C44FF0" w:rsidRPr="00A2333E">
        <w:t>that the alternative source suggested by the ERG</w:t>
      </w:r>
      <w:r w:rsidR="006F4A99" w:rsidRPr="00A2333E">
        <w:t xml:space="preserve"> was equally flawed</w:t>
      </w:r>
      <w:r w:rsidR="001715A3" w:rsidRPr="00A2333E">
        <w:t>.</w:t>
      </w:r>
      <w:bookmarkEnd w:id="25"/>
      <w:r w:rsidR="009D5C00" w:rsidRPr="00A2333E">
        <w:t xml:space="preserve"> </w:t>
      </w:r>
      <w:r w:rsidRPr="00A2333E">
        <w:t xml:space="preserve">In </w:t>
      </w:r>
      <w:r w:rsidR="00CF032F" w:rsidRPr="00A2333E">
        <w:t xml:space="preserve">its </w:t>
      </w:r>
      <w:r w:rsidR="00066C63" w:rsidRPr="00A2333E">
        <w:t>revised base case</w:t>
      </w:r>
      <w:r w:rsidRPr="00A2333E">
        <w:t xml:space="preserve">, the company assumed </w:t>
      </w:r>
      <w:r w:rsidR="00CF032F" w:rsidRPr="00A2333E">
        <w:t>1 </w:t>
      </w:r>
      <w:r w:rsidRPr="00A2333E">
        <w:t xml:space="preserve">full-time caregiver in </w:t>
      </w:r>
      <w:r w:rsidR="001C1739" w:rsidRPr="00A2333E">
        <w:t xml:space="preserve">FAP </w:t>
      </w:r>
      <w:r w:rsidRPr="00A2333E">
        <w:t>stages</w:t>
      </w:r>
      <w:r w:rsidR="00CF032F" w:rsidRPr="00A2333E">
        <w:t> </w:t>
      </w:r>
      <w:r w:rsidR="0070463B" w:rsidRPr="00A2333E">
        <w:t>1</w:t>
      </w:r>
      <w:r w:rsidR="009E0DDA" w:rsidRPr="00A2333E">
        <w:t xml:space="preserve"> and</w:t>
      </w:r>
      <w:r w:rsidR="00CF032F" w:rsidRPr="00A2333E">
        <w:t> </w:t>
      </w:r>
      <w:r w:rsidR="0070463B" w:rsidRPr="00A2333E">
        <w:t>2</w:t>
      </w:r>
      <w:r w:rsidR="009E0DDA" w:rsidRPr="00A2333E">
        <w:t xml:space="preserve">, and </w:t>
      </w:r>
      <w:r w:rsidR="00CF032F" w:rsidRPr="00A2333E">
        <w:t>2 </w:t>
      </w:r>
      <w:r w:rsidR="009E0DDA" w:rsidRPr="00A2333E">
        <w:t xml:space="preserve">full-time caregivers in </w:t>
      </w:r>
      <w:r w:rsidR="001C1739" w:rsidRPr="00A2333E">
        <w:t xml:space="preserve">FAP </w:t>
      </w:r>
      <w:r w:rsidR="009E0DDA" w:rsidRPr="00A2333E">
        <w:t>stage</w:t>
      </w:r>
      <w:r w:rsidR="00CF032F" w:rsidRPr="00A2333E">
        <w:t> </w:t>
      </w:r>
      <w:r w:rsidR="0070463B" w:rsidRPr="00A2333E">
        <w:t>3</w:t>
      </w:r>
      <w:r w:rsidR="009E0DDA" w:rsidRPr="00A2333E">
        <w:t xml:space="preserve"> reflecting the additional care needs of people with more advanced disease</w:t>
      </w:r>
      <w:r w:rsidR="00066C63" w:rsidRPr="00A2333E">
        <w:t>. This was</w:t>
      </w:r>
      <w:r w:rsidRPr="00A2333E">
        <w:t xml:space="preserve"> in line with what the committee </w:t>
      </w:r>
      <w:r w:rsidR="00CF032F" w:rsidRPr="00A2333E">
        <w:t xml:space="preserve">had </w:t>
      </w:r>
      <w:r w:rsidRPr="00A2333E">
        <w:t xml:space="preserve">accepted in </w:t>
      </w:r>
      <w:r w:rsidR="002D3124" w:rsidRPr="00A2333E">
        <w:t xml:space="preserve">NICE’s </w:t>
      </w:r>
      <w:r w:rsidR="00922608" w:rsidRPr="00A2333E">
        <w:t xml:space="preserve">highly specialised technology guidance </w:t>
      </w:r>
      <w:r w:rsidR="00CF032F" w:rsidRPr="00A2333E">
        <w:t>on</w:t>
      </w:r>
      <w:r w:rsidRPr="00A2333E">
        <w:t xml:space="preserve"> </w:t>
      </w:r>
      <w:hyperlink r:id="rId10" w:history="1">
        <w:r w:rsidR="0070463B" w:rsidRPr="00A2333E">
          <w:rPr>
            <w:rStyle w:val="Hyperlink"/>
          </w:rPr>
          <w:t>inotersen</w:t>
        </w:r>
      </w:hyperlink>
      <w:r w:rsidRPr="00A2333E">
        <w:t xml:space="preserve">. The committee concluded it was satisfied with the company’s </w:t>
      </w:r>
      <w:r w:rsidR="00A030C3" w:rsidRPr="00A2333E">
        <w:t>updated model incorporati</w:t>
      </w:r>
      <w:r w:rsidR="001C40D7" w:rsidRPr="00A2333E">
        <w:t>on of</w:t>
      </w:r>
      <w:r w:rsidR="00A030C3" w:rsidRPr="00A2333E">
        <w:t xml:space="preserve"> </w:t>
      </w:r>
      <w:r w:rsidRPr="00A2333E">
        <w:t xml:space="preserve">revised </w:t>
      </w:r>
      <w:r w:rsidR="00066C63" w:rsidRPr="00A2333E">
        <w:t>caregiver disutilities</w:t>
      </w:r>
      <w:r w:rsidRPr="00A2333E">
        <w:t>.</w:t>
      </w:r>
    </w:p>
    <w:p w14:paraId="4518941C" w14:textId="77777777" w:rsidR="00E567AF" w:rsidRPr="00A2333E" w:rsidRDefault="004E7BD2" w:rsidP="00E567AF">
      <w:pPr>
        <w:pStyle w:val="Heading3"/>
      </w:pPr>
      <w:r w:rsidRPr="00A2333E">
        <w:t>Modelling effects of patisiran and BSC on m</w:t>
      </w:r>
      <w:r w:rsidR="00E567AF" w:rsidRPr="00A2333E">
        <w:t>ortality</w:t>
      </w:r>
    </w:p>
    <w:p w14:paraId="5AF6DED8" w14:textId="18145104" w:rsidR="00E567AF" w:rsidRPr="00A2333E" w:rsidRDefault="00C44FF0" w:rsidP="00E567AF">
      <w:pPr>
        <w:pStyle w:val="Numberedlevel2text"/>
      </w:pPr>
      <w:bookmarkStart w:id="27" w:name="_Ref530152703"/>
      <w:r w:rsidRPr="00A2333E">
        <w:t>M</w:t>
      </w:r>
      <w:r w:rsidR="00E567AF" w:rsidRPr="00A2333E">
        <w:t xml:space="preserve">ortality </w:t>
      </w:r>
      <w:r w:rsidRPr="00A2333E">
        <w:t>was</w:t>
      </w:r>
      <w:r w:rsidR="00E567AF" w:rsidRPr="00A2333E">
        <w:t xml:space="preserve"> model</w:t>
      </w:r>
      <w:r w:rsidRPr="00A2333E">
        <w:t>led</w:t>
      </w:r>
      <w:r w:rsidR="00E567AF" w:rsidRPr="00A2333E">
        <w:t xml:space="preserve"> based on a series of hazard ratios </w:t>
      </w:r>
      <w:r w:rsidR="00F32E4D" w:rsidRPr="00A2333E">
        <w:t xml:space="preserve">to population death rates </w:t>
      </w:r>
      <w:r w:rsidR="00CB25B7" w:rsidRPr="00A2333E">
        <w:t xml:space="preserve">and relied </w:t>
      </w:r>
      <w:r w:rsidR="00E567AF" w:rsidRPr="00A2333E">
        <w:t>on the assumpti</w:t>
      </w:r>
      <w:r w:rsidR="00535144" w:rsidRPr="00A2333E">
        <w:t>on that mortality risk increases</w:t>
      </w:r>
      <w:r w:rsidR="00E567AF" w:rsidRPr="00A2333E">
        <w:t xml:space="preserve"> with advancing neuropathy (PND score) and cardiac involvement (NT</w:t>
      </w:r>
      <w:r w:rsidR="00630F02" w:rsidRPr="00A2333E">
        <w:noBreakHyphen/>
      </w:r>
      <w:proofErr w:type="spellStart"/>
      <w:r w:rsidR="00E567AF" w:rsidRPr="00A2333E">
        <w:t>proBNP</w:t>
      </w:r>
      <w:proofErr w:type="spellEnd"/>
      <w:r w:rsidR="00E567AF" w:rsidRPr="00A2333E">
        <w:t xml:space="preserve">). </w:t>
      </w:r>
      <w:r w:rsidR="00CB25B7" w:rsidRPr="00A2333E">
        <w:t>It was</w:t>
      </w:r>
      <w:r w:rsidR="00E567AF" w:rsidRPr="00A2333E">
        <w:t xml:space="preserve"> largely based on external data</w:t>
      </w:r>
      <w:r w:rsidRPr="00A2333E">
        <w:t>, with</w:t>
      </w:r>
      <w:r w:rsidR="00732434" w:rsidRPr="00A2333E">
        <w:t xml:space="preserve"> </w:t>
      </w:r>
      <w:r w:rsidRPr="00A2333E">
        <w:t>h</w:t>
      </w:r>
      <w:r w:rsidR="00E567AF" w:rsidRPr="00A2333E">
        <w:t xml:space="preserve">azard ratios for </w:t>
      </w:r>
      <w:r w:rsidR="00F32E4D" w:rsidRPr="00A2333E">
        <w:t>NT</w:t>
      </w:r>
      <w:r w:rsidR="00F32E4D" w:rsidRPr="00A2333E">
        <w:noBreakHyphen/>
      </w:r>
      <w:proofErr w:type="spellStart"/>
      <w:r w:rsidR="00F32E4D" w:rsidRPr="00A2333E">
        <w:t>proBNP</w:t>
      </w:r>
      <w:proofErr w:type="spellEnd"/>
      <w:r w:rsidR="00F32E4D" w:rsidRPr="00A2333E">
        <w:t xml:space="preserve"> </w:t>
      </w:r>
      <w:r w:rsidR="00E567AF" w:rsidRPr="00A2333E">
        <w:t xml:space="preserve">and </w:t>
      </w:r>
      <w:r w:rsidR="00F32E4D" w:rsidRPr="00A2333E">
        <w:t>PND score</w:t>
      </w:r>
      <w:r w:rsidR="00CF032F" w:rsidRPr="00A2333E">
        <w:t>s</w:t>
      </w:r>
      <w:r w:rsidR="00F32E4D" w:rsidRPr="00A2333E">
        <w:t xml:space="preserve"> </w:t>
      </w:r>
      <w:r w:rsidR="00E567AF" w:rsidRPr="00A2333E">
        <w:t xml:space="preserve">extracted from </w:t>
      </w:r>
      <w:proofErr w:type="spellStart"/>
      <w:r w:rsidR="00E567AF" w:rsidRPr="00A2333E">
        <w:t>Gillmore</w:t>
      </w:r>
      <w:proofErr w:type="spellEnd"/>
      <w:r w:rsidR="00E567AF" w:rsidRPr="00A2333E">
        <w:t xml:space="preserve"> et al. </w:t>
      </w:r>
      <w:r w:rsidR="005D7A21" w:rsidRPr="00A2333E">
        <w:t>(</w:t>
      </w:r>
      <w:r w:rsidR="00E567AF" w:rsidRPr="00A2333E">
        <w:t>1998</w:t>
      </w:r>
      <w:r w:rsidR="005D7A21" w:rsidRPr="00A2333E">
        <w:t>)</w:t>
      </w:r>
      <w:r w:rsidR="00E567AF" w:rsidRPr="00A2333E">
        <w:t xml:space="preserve"> </w:t>
      </w:r>
      <w:r w:rsidR="005A7FCC" w:rsidRPr="00A2333E">
        <w:t xml:space="preserve">and </w:t>
      </w:r>
      <w:r w:rsidR="00E567AF" w:rsidRPr="00A2333E">
        <w:t xml:space="preserve">Suhr et al. </w:t>
      </w:r>
      <w:r w:rsidR="005D7A21" w:rsidRPr="00A2333E">
        <w:t>(</w:t>
      </w:r>
      <w:r w:rsidR="00E567AF" w:rsidRPr="00A2333E">
        <w:t>1994</w:t>
      </w:r>
      <w:r w:rsidR="005D7A21" w:rsidRPr="00A2333E">
        <w:t>)</w:t>
      </w:r>
      <w:r w:rsidR="00E567AF" w:rsidRPr="00A2333E">
        <w:t xml:space="preserve"> </w:t>
      </w:r>
      <w:proofErr w:type="gramStart"/>
      <w:r w:rsidR="00E567AF" w:rsidRPr="00A2333E">
        <w:t>respectively</w:t>
      </w:r>
      <w:r w:rsidR="00630F02" w:rsidRPr="00A2333E">
        <w:t>,</w:t>
      </w:r>
      <w:r w:rsidR="005A7FCC" w:rsidRPr="00A2333E">
        <w:t xml:space="preserve"> and</w:t>
      </w:r>
      <w:proofErr w:type="gramEnd"/>
      <w:r w:rsidR="005A7FCC" w:rsidRPr="00A2333E">
        <w:t xml:space="preserve"> assumed to act independently</w:t>
      </w:r>
      <w:r w:rsidR="00E567AF" w:rsidRPr="00A2333E">
        <w:t xml:space="preserve">. The </w:t>
      </w:r>
      <w:r w:rsidR="00E567AF" w:rsidRPr="00A2333E">
        <w:lastRenderedPageBreak/>
        <w:t xml:space="preserve">ERG questioned the relevance of the Suhr study because </w:t>
      </w:r>
      <w:r w:rsidRPr="00A2333E">
        <w:t>the population was not clearly</w:t>
      </w:r>
      <w:r w:rsidR="00C26E01" w:rsidRPr="00A2333E">
        <w:t xml:space="preserve"> defined a</w:t>
      </w:r>
      <w:r w:rsidR="00E567AF" w:rsidRPr="00A2333E">
        <w:t xml:space="preserve">nd </w:t>
      </w:r>
      <w:r w:rsidR="00732434" w:rsidRPr="00A2333E">
        <w:t xml:space="preserve">there was </w:t>
      </w:r>
      <w:r w:rsidR="00243F81" w:rsidRPr="00A2333E">
        <w:t>uncertainty</w:t>
      </w:r>
      <w:r w:rsidR="00E567AF" w:rsidRPr="00A2333E">
        <w:t xml:space="preserve"> </w:t>
      </w:r>
      <w:r w:rsidR="00CB25B7" w:rsidRPr="00A2333E">
        <w:t xml:space="preserve">about </w:t>
      </w:r>
      <w:r w:rsidR="00E567AF" w:rsidRPr="00A2333E">
        <w:t xml:space="preserve">the survival analysis. </w:t>
      </w:r>
      <w:r w:rsidR="00C26E01" w:rsidRPr="00A2333E">
        <w:t>It</w:t>
      </w:r>
      <w:r w:rsidR="00E567AF" w:rsidRPr="00A2333E">
        <w:t xml:space="preserve"> </w:t>
      </w:r>
      <w:r w:rsidR="00F32E4D" w:rsidRPr="00A2333E">
        <w:t xml:space="preserve">advised </w:t>
      </w:r>
      <w:r w:rsidR="00E567AF" w:rsidRPr="00A2333E">
        <w:t>that</w:t>
      </w:r>
      <w:r w:rsidR="00C26E01" w:rsidRPr="00A2333E">
        <w:t xml:space="preserve"> the company’s approach was</w:t>
      </w:r>
      <w:r w:rsidR="00E567AF" w:rsidRPr="00A2333E">
        <w:t xml:space="preserve"> convoluted, circular and uncertain</w:t>
      </w:r>
      <w:r w:rsidR="00C26E01" w:rsidRPr="00A2333E">
        <w:t xml:space="preserve"> but agreed there was </w:t>
      </w:r>
      <w:r w:rsidR="00243F81" w:rsidRPr="00A2333E">
        <w:t xml:space="preserve">no </w:t>
      </w:r>
      <w:r w:rsidR="00C26E01" w:rsidRPr="00A2333E">
        <w:t>other existing source available</w:t>
      </w:r>
      <w:r w:rsidR="001655C8">
        <w:t xml:space="preserve"> linking PND stage and mortality</w:t>
      </w:r>
      <w:r w:rsidR="00E567AF" w:rsidRPr="00A2333E">
        <w:t xml:space="preserve">. </w:t>
      </w:r>
      <w:r w:rsidR="00243F81" w:rsidRPr="00A2333E">
        <w:t xml:space="preserve">The </w:t>
      </w:r>
      <w:r w:rsidR="009F3AD3" w:rsidRPr="00A2333E">
        <w:t xml:space="preserve">company explained that </w:t>
      </w:r>
      <w:r w:rsidR="00871417" w:rsidRPr="00A2333E">
        <w:t xml:space="preserve">it </w:t>
      </w:r>
      <w:r w:rsidR="009F3AD3" w:rsidRPr="00A2333E">
        <w:t xml:space="preserve">did not use APOLLO data to estimate mortality parameters </w:t>
      </w:r>
      <w:r w:rsidR="00871417" w:rsidRPr="00A2333E">
        <w:t>because of</w:t>
      </w:r>
      <w:r w:rsidR="009F3AD3" w:rsidRPr="00A2333E">
        <w:t xml:space="preserve"> the limited number of deaths. However</w:t>
      </w:r>
      <w:r w:rsidR="00630F02" w:rsidRPr="00A2333E">
        <w:t>,</w:t>
      </w:r>
      <w:r w:rsidR="009F3AD3" w:rsidRPr="00A2333E">
        <w:t xml:space="preserve"> the ERG </w:t>
      </w:r>
      <w:r w:rsidR="00243F81" w:rsidRPr="00A2333E">
        <w:t xml:space="preserve">noted that the company </w:t>
      </w:r>
      <w:r w:rsidR="00E22B0C" w:rsidRPr="00A2333E">
        <w:t xml:space="preserve">did </w:t>
      </w:r>
      <w:r w:rsidR="00243F81" w:rsidRPr="00A2333E">
        <w:t xml:space="preserve">not </w:t>
      </w:r>
      <w:r w:rsidR="007817E8" w:rsidRPr="00A2333E">
        <w:t>attempt</w:t>
      </w:r>
      <w:r w:rsidR="00243F81" w:rsidRPr="00A2333E">
        <w:t xml:space="preserve"> to</w:t>
      </w:r>
      <w:r w:rsidR="009F3AD3" w:rsidRPr="00A2333E">
        <w:t xml:space="preserve"> supplement</w:t>
      </w:r>
      <w:r w:rsidR="002C5228" w:rsidRPr="00A2333E">
        <w:t xml:space="preserve"> the limited </w:t>
      </w:r>
      <w:r w:rsidR="009F3AD3" w:rsidRPr="00A2333E">
        <w:t xml:space="preserve">APOLLO data with </w:t>
      </w:r>
      <w:r w:rsidR="00243F81" w:rsidRPr="00A2333E">
        <w:t>experts’ belief</w:t>
      </w:r>
      <w:r w:rsidR="00871417" w:rsidRPr="00A2333E">
        <w:t>s</w:t>
      </w:r>
      <w:r w:rsidR="00E567AF" w:rsidRPr="00A2333E">
        <w:t>.</w:t>
      </w:r>
      <w:r w:rsidR="00243F81" w:rsidRPr="00A2333E">
        <w:t xml:space="preserve"> </w:t>
      </w:r>
      <w:r w:rsidR="00E22B0C" w:rsidRPr="00A2333E">
        <w:t xml:space="preserve">The clinical experts agreed with the company’s approach </w:t>
      </w:r>
      <w:r w:rsidR="00871417" w:rsidRPr="00A2333E">
        <w:t xml:space="preserve">of </w:t>
      </w:r>
      <w:r w:rsidR="00E22B0C" w:rsidRPr="00A2333E">
        <w:t>combin</w:t>
      </w:r>
      <w:r w:rsidR="005A7FCC" w:rsidRPr="00A2333E">
        <w:t>ing</w:t>
      </w:r>
      <w:r w:rsidR="00E22B0C" w:rsidRPr="00A2333E">
        <w:t xml:space="preserve"> both the effect of neuropathy and cardiac involvement</w:t>
      </w:r>
      <w:r w:rsidR="00CF032F" w:rsidRPr="00A2333E">
        <w:t>. They</w:t>
      </w:r>
      <w:r w:rsidR="00E22B0C" w:rsidRPr="00A2333E">
        <w:t xml:space="preserve"> explained that patients </w:t>
      </w:r>
      <w:r w:rsidR="000334F5" w:rsidRPr="00A2333E">
        <w:t xml:space="preserve">can </w:t>
      </w:r>
      <w:r w:rsidR="00E22B0C" w:rsidRPr="00A2333E">
        <w:t xml:space="preserve">die from </w:t>
      </w:r>
      <w:r w:rsidR="00131D50" w:rsidRPr="00A2333E">
        <w:t>either</w:t>
      </w:r>
      <w:r w:rsidR="000334F5" w:rsidRPr="00A2333E">
        <w:t xml:space="preserve"> </w:t>
      </w:r>
      <w:proofErr w:type="gramStart"/>
      <w:r w:rsidR="00131D50" w:rsidRPr="00A2333E">
        <w:t>complications</w:t>
      </w:r>
      <w:proofErr w:type="gramEnd"/>
      <w:r w:rsidR="00131D50" w:rsidRPr="00A2333E">
        <w:t xml:space="preserve"> of </w:t>
      </w:r>
      <w:r w:rsidR="00C009FC" w:rsidRPr="00A2333E">
        <w:t xml:space="preserve">cardiac </w:t>
      </w:r>
      <w:r w:rsidR="00131D50" w:rsidRPr="00A2333E">
        <w:t xml:space="preserve">involvement </w:t>
      </w:r>
      <w:r w:rsidR="00D5762B" w:rsidRPr="00A2333E">
        <w:t xml:space="preserve">or </w:t>
      </w:r>
      <w:r w:rsidR="000334F5" w:rsidRPr="00A2333E">
        <w:t xml:space="preserve">complications </w:t>
      </w:r>
      <w:r w:rsidR="00131D50" w:rsidRPr="00A2333E">
        <w:t>of neuropathy</w:t>
      </w:r>
      <w:r w:rsidR="00CF032F" w:rsidRPr="00A2333E">
        <w:t>, which are</w:t>
      </w:r>
      <w:r w:rsidR="00131D50" w:rsidRPr="00A2333E">
        <w:t xml:space="preserve"> </w:t>
      </w:r>
      <w:r w:rsidR="001B2579" w:rsidRPr="00A2333E">
        <w:t>captured in part by the PND state</w:t>
      </w:r>
      <w:r w:rsidR="00CF032F" w:rsidRPr="00A2333E">
        <w:t>,</w:t>
      </w:r>
      <w:r w:rsidR="001B2579" w:rsidRPr="00A2333E">
        <w:t xml:space="preserve"> </w:t>
      </w:r>
      <w:r w:rsidR="000334F5" w:rsidRPr="00A2333E">
        <w:t xml:space="preserve">although the prognosis is </w:t>
      </w:r>
      <w:r w:rsidR="00131D50" w:rsidRPr="00A2333E">
        <w:t>affected more</w:t>
      </w:r>
      <w:r w:rsidR="000334F5" w:rsidRPr="00A2333E">
        <w:t xml:space="preserve"> by cardiac involvement</w:t>
      </w:r>
      <w:r w:rsidR="00C009FC" w:rsidRPr="00A2333E">
        <w:t>. They noted that the hazard ratios for each PND</w:t>
      </w:r>
      <w:r w:rsidR="00871417" w:rsidRPr="00A2333E">
        <w:t>/</w:t>
      </w:r>
      <w:r w:rsidR="00C009FC" w:rsidRPr="00A2333E">
        <w:t>NT</w:t>
      </w:r>
      <w:r w:rsidR="00871417" w:rsidRPr="00A2333E">
        <w:noBreakHyphen/>
      </w:r>
      <w:proofErr w:type="spellStart"/>
      <w:r w:rsidR="00C009FC" w:rsidRPr="00A2333E">
        <w:t>proBNP</w:t>
      </w:r>
      <w:proofErr w:type="spellEnd"/>
      <w:r w:rsidR="00C009FC" w:rsidRPr="00A2333E">
        <w:t xml:space="preserve"> combination were largely plausible.</w:t>
      </w:r>
      <w:r w:rsidR="00E22B0C" w:rsidRPr="00A2333E">
        <w:t xml:space="preserve"> In </w:t>
      </w:r>
      <w:r w:rsidR="00871417" w:rsidRPr="00A2333E">
        <w:t xml:space="preserve">its </w:t>
      </w:r>
      <w:r w:rsidR="000D654E" w:rsidRPr="00A2333E">
        <w:t>preferred analysis</w:t>
      </w:r>
      <w:r w:rsidR="00E22B0C" w:rsidRPr="00A2333E">
        <w:t xml:space="preserve">, the ERG assessed the </w:t>
      </w:r>
      <w:r w:rsidR="00E94A2B" w:rsidRPr="00A2333E">
        <w:t xml:space="preserve">effect </w:t>
      </w:r>
      <w:r w:rsidR="00E22B0C" w:rsidRPr="00A2333E">
        <w:t xml:space="preserve">of removing the mortality effect in patients with </w:t>
      </w:r>
      <w:r w:rsidR="00651C42" w:rsidRPr="00A2333E">
        <w:t>no</w:t>
      </w:r>
      <w:r w:rsidR="00E22B0C" w:rsidRPr="00A2333E">
        <w:t xml:space="preserve"> cardiac involvement. </w:t>
      </w:r>
      <w:r w:rsidR="000F0B59" w:rsidRPr="00A2333E">
        <w:t xml:space="preserve">In </w:t>
      </w:r>
      <w:r w:rsidR="00CF032F" w:rsidRPr="00A2333E">
        <w:t xml:space="preserve">its </w:t>
      </w:r>
      <w:r w:rsidR="000F0B59" w:rsidRPr="00A2333E">
        <w:t>revised base case, t</w:t>
      </w:r>
      <w:r w:rsidR="00570692" w:rsidRPr="00A2333E">
        <w:t xml:space="preserve">he company assessed the </w:t>
      </w:r>
      <w:r w:rsidR="00CF032F" w:rsidRPr="00A2333E">
        <w:t>effe</w:t>
      </w:r>
      <w:r w:rsidR="00570692" w:rsidRPr="00A2333E">
        <w:t xml:space="preserve">ct of removing mortality associated with PND </w:t>
      </w:r>
      <w:r w:rsidR="001B2579" w:rsidRPr="00A2333E">
        <w:t xml:space="preserve">score </w:t>
      </w:r>
      <w:r w:rsidR="00570692" w:rsidRPr="00A2333E">
        <w:t xml:space="preserve">in all patients. The committee </w:t>
      </w:r>
      <w:r w:rsidR="00AE3E37" w:rsidRPr="00A2333E">
        <w:t xml:space="preserve">considered this to be unrealistic based on </w:t>
      </w:r>
      <w:r w:rsidR="00CF032F" w:rsidRPr="00A2333E">
        <w:t xml:space="preserve">the </w:t>
      </w:r>
      <w:r w:rsidR="00AE3E37" w:rsidRPr="00A2333E">
        <w:t>testimony</w:t>
      </w:r>
      <w:r w:rsidR="00570692" w:rsidRPr="00A2333E">
        <w:t xml:space="preserve"> from clinical </w:t>
      </w:r>
      <w:r w:rsidR="00C87030" w:rsidRPr="00A2333E">
        <w:t xml:space="preserve">experts </w:t>
      </w:r>
      <w:r w:rsidR="00AE3E37" w:rsidRPr="00A2333E">
        <w:t>that</w:t>
      </w:r>
      <w:r w:rsidR="00570692" w:rsidRPr="00A2333E">
        <w:t xml:space="preserve"> increased PND </w:t>
      </w:r>
      <w:r w:rsidR="000F0B59" w:rsidRPr="00A2333E">
        <w:t xml:space="preserve">score </w:t>
      </w:r>
      <w:r w:rsidR="00570692" w:rsidRPr="00A2333E">
        <w:t xml:space="preserve">is likely to be associated with increased mortality risks. </w:t>
      </w:r>
      <w:r w:rsidR="00243F81" w:rsidRPr="00A2333E">
        <w:t xml:space="preserve">The committee </w:t>
      </w:r>
      <w:r w:rsidR="00535144" w:rsidRPr="00A2333E">
        <w:t>recognised the complexities of the company’s approach</w:t>
      </w:r>
      <w:r w:rsidR="003B5107" w:rsidRPr="00A2333E">
        <w:t>,</w:t>
      </w:r>
      <w:r w:rsidR="00535144" w:rsidRPr="00A2333E">
        <w:t xml:space="preserve"> </w:t>
      </w:r>
      <w:r w:rsidR="003B5107" w:rsidRPr="00A2333E">
        <w:t>which combined both PND and cardiac mortality</w:t>
      </w:r>
      <w:r w:rsidR="006A5181">
        <w:t>,</w:t>
      </w:r>
      <w:r w:rsidR="003B5107" w:rsidRPr="00A2333E">
        <w:t xml:space="preserve"> </w:t>
      </w:r>
      <w:r w:rsidR="00535144" w:rsidRPr="00A2333E">
        <w:t xml:space="preserve">and its </w:t>
      </w:r>
      <w:r w:rsidR="00C009FC" w:rsidRPr="00A2333E">
        <w:t>limitations</w:t>
      </w:r>
      <w:r w:rsidR="006A5181">
        <w:t>. However</w:t>
      </w:r>
      <w:r w:rsidR="003A545B" w:rsidRPr="00A2333E">
        <w:t>,</w:t>
      </w:r>
      <w:r w:rsidR="00535144" w:rsidRPr="00A2333E">
        <w:t xml:space="preserve"> </w:t>
      </w:r>
      <w:r w:rsidR="006A5181">
        <w:t>i</w:t>
      </w:r>
      <w:r w:rsidR="00C009FC" w:rsidRPr="00A2333E">
        <w:t xml:space="preserve">t </w:t>
      </w:r>
      <w:r w:rsidR="00E22B0C" w:rsidRPr="00A2333E">
        <w:t>concluded that th</w:t>
      </w:r>
      <w:r w:rsidR="00630F02" w:rsidRPr="00A2333E">
        <w:t>is</w:t>
      </w:r>
      <w:r w:rsidR="00E22B0C" w:rsidRPr="00A2333E">
        <w:t xml:space="preserve"> approach was acceptable</w:t>
      </w:r>
      <w:r w:rsidR="00871417" w:rsidRPr="00A2333E">
        <w:t xml:space="preserve"> because of the lack of other evidence</w:t>
      </w:r>
      <w:r w:rsidR="00E22B0C" w:rsidRPr="00A2333E">
        <w:t>.</w:t>
      </w:r>
      <w:bookmarkEnd w:id="27"/>
    </w:p>
    <w:p w14:paraId="4BCFFB28" w14:textId="661E308B" w:rsidR="006A5706" w:rsidRPr="00A2333E" w:rsidRDefault="00AA7A14" w:rsidP="00683B0A">
      <w:pPr>
        <w:pStyle w:val="Numberedlevel2text"/>
      </w:pPr>
      <w:r w:rsidRPr="00A2333E">
        <w:t>After consultation</w:t>
      </w:r>
      <w:r w:rsidR="00CC2D9E" w:rsidRPr="00A2333E">
        <w:t>,</w:t>
      </w:r>
      <w:r w:rsidRPr="00A2333E">
        <w:t xml:space="preserve"> the company</w:t>
      </w:r>
      <w:r w:rsidR="003B6EA5" w:rsidRPr="00A2333E">
        <w:t xml:space="preserve"> implemented a new approach by modelling the effects of treatment with patisiran and BSC on mortality </w:t>
      </w:r>
      <w:r w:rsidR="00CC2D9E" w:rsidRPr="00A2333E">
        <w:t xml:space="preserve">using </w:t>
      </w:r>
      <w:r w:rsidR="003B6EA5" w:rsidRPr="00A2333E">
        <w:t>NT</w:t>
      </w:r>
      <w:r w:rsidR="00CC2D9E" w:rsidRPr="00A2333E">
        <w:noBreakHyphen/>
      </w:r>
      <w:proofErr w:type="spellStart"/>
      <w:r w:rsidR="003B6EA5" w:rsidRPr="00A2333E">
        <w:t>proBNP</w:t>
      </w:r>
      <w:proofErr w:type="spellEnd"/>
      <w:r w:rsidR="003B6EA5" w:rsidRPr="00A2333E">
        <w:t xml:space="preserve"> alone. The ERG </w:t>
      </w:r>
      <w:r w:rsidR="00B55965" w:rsidRPr="00A2333E">
        <w:t xml:space="preserve">argued </w:t>
      </w:r>
      <w:r w:rsidR="0028754C" w:rsidRPr="00A2333E">
        <w:t xml:space="preserve">that </w:t>
      </w:r>
      <w:r w:rsidR="00B55965" w:rsidRPr="00A2333E">
        <w:t xml:space="preserve">this method </w:t>
      </w:r>
      <w:r w:rsidR="00DB1BDD">
        <w:t>may</w:t>
      </w:r>
      <w:r w:rsidR="001655C8">
        <w:t xml:space="preserve"> be</w:t>
      </w:r>
      <w:r w:rsidR="001655C8" w:rsidRPr="00A2333E">
        <w:t xml:space="preserve"> </w:t>
      </w:r>
      <w:r w:rsidR="00B55965" w:rsidRPr="00A2333E">
        <w:t>flawed</w:t>
      </w:r>
      <w:r w:rsidR="00CC2D9E" w:rsidRPr="00A2333E">
        <w:t xml:space="preserve"> because it</w:t>
      </w:r>
      <w:r w:rsidR="003B6EA5" w:rsidRPr="00A2333E">
        <w:t xml:space="preserve"> </w:t>
      </w:r>
      <w:r w:rsidR="00997809">
        <w:t>suggested</w:t>
      </w:r>
      <w:r w:rsidR="00997809" w:rsidRPr="00A2333E">
        <w:t xml:space="preserve"> </w:t>
      </w:r>
      <w:r w:rsidR="00CC2D9E" w:rsidRPr="00A2333E">
        <w:t>that</w:t>
      </w:r>
      <w:r w:rsidR="003B6EA5" w:rsidRPr="00A2333E">
        <w:t xml:space="preserve"> undiscounted survival of people in the BSC group increased to 14.43</w:t>
      </w:r>
      <w:r w:rsidR="00CC2D9E" w:rsidRPr="00A2333E">
        <w:t> </w:t>
      </w:r>
      <w:r w:rsidR="003B6EA5" w:rsidRPr="00A2333E">
        <w:t>years</w:t>
      </w:r>
      <w:r w:rsidR="00CC2D9E" w:rsidRPr="00A2333E">
        <w:t>,</w:t>
      </w:r>
      <w:r w:rsidR="00F32E4D" w:rsidRPr="00A2333E">
        <w:t xml:space="preserve"> which was not in keeping with the bounds suggested by clinical experts</w:t>
      </w:r>
      <w:r w:rsidR="00CC2D9E" w:rsidRPr="00A2333E">
        <w:t xml:space="preserve">. </w:t>
      </w:r>
      <w:r w:rsidR="001655C8">
        <w:t>This contra</w:t>
      </w:r>
      <w:r w:rsidR="00997809">
        <w:t>s</w:t>
      </w:r>
      <w:r w:rsidR="001655C8">
        <w:t>ts with</w:t>
      </w:r>
      <w:r w:rsidR="003B6EA5" w:rsidRPr="00A2333E">
        <w:t xml:space="preserve"> the original company model</w:t>
      </w:r>
      <w:r w:rsidR="001655C8">
        <w:t xml:space="preserve"> </w:t>
      </w:r>
      <w:r w:rsidR="00726FB1">
        <w:t>in which</w:t>
      </w:r>
      <w:r w:rsidR="00CC2D9E" w:rsidRPr="00A2333E">
        <w:t xml:space="preserve"> it was only 8.27 years</w:t>
      </w:r>
      <w:r w:rsidR="003B6EA5" w:rsidRPr="00A2333E">
        <w:t xml:space="preserve">. </w:t>
      </w:r>
      <w:r w:rsidR="00CC2D9E" w:rsidRPr="00A2333E">
        <w:t>In addition</w:t>
      </w:r>
      <w:r w:rsidR="005B47F2" w:rsidRPr="00A2333E">
        <w:t xml:space="preserve">, the ERG described the substantial </w:t>
      </w:r>
      <w:r w:rsidR="00E94A2B" w:rsidRPr="00A2333E">
        <w:t xml:space="preserve">effect </w:t>
      </w:r>
      <w:r w:rsidR="005B47F2" w:rsidRPr="00A2333E">
        <w:t>of the new assumption on the ICER</w:t>
      </w:r>
      <w:r w:rsidR="00CC2D9E" w:rsidRPr="00A2333E">
        <w:t>, which fell</w:t>
      </w:r>
      <w:r w:rsidR="005B47F2" w:rsidRPr="00A2333E">
        <w:t xml:space="preserve"> </w:t>
      </w:r>
      <w:r w:rsidR="005B47F2" w:rsidRPr="00A2333E">
        <w:lastRenderedPageBreak/>
        <w:t>considerably as people spen</w:t>
      </w:r>
      <w:r w:rsidR="00CC2D9E" w:rsidRPr="00A2333E">
        <w:t>t</w:t>
      </w:r>
      <w:r w:rsidR="005B47F2" w:rsidRPr="00A2333E">
        <w:t xml:space="preserve"> more time in the BSC arm </w:t>
      </w:r>
      <w:r w:rsidR="00E250F8" w:rsidRPr="00A2333E">
        <w:t xml:space="preserve">of the model </w:t>
      </w:r>
      <w:r w:rsidR="00FB2CE3" w:rsidRPr="00A2333E">
        <w:t>accru</w:t>
      </w:r>
      <w:r w:rsidR="00997809">
        <w:t xml:space="preserve">ing </w:t>
      </w:r>
      <w:r w:rsidR="00FB2CE3" w:rsidRPr="00A2333E">
        <w:t xml:space="preserve">negative </w:t>
      </w:r>
      <w:r w:rsidR="002466CA" w:rsidRPr="00A2333E">
        <w:t>quality-adjusted life years (</w:t>
      </w:r>
      <w:r w:rsidR="00FB2CE3" w:rsidRPr="00A2333E">
        <w:t>QALYs</w:t>
      </w:r>
      <w:r w:rsidR="002466CA" w:rsidRPr="00A2333E">
        <w:t>)</w:t>
      </w:r>
      <w:r w:rsidR="00FB2CE3" w:rsidRPr="00A2333E">
        <w:t xml:space="preserve"> after 2</w:t>
      </w:r>
      <w:r w:rsidR="00CC2D9E" w:rsidRPr="00A2333E">
        <w:t> </w:t>
      </w:r>
      <w:r w:rsidR="00FB2CE3" w:rsidRPr="00A2333E">
        <w:t>years</w:t>
      </w:r>
      <w:r w:rsidR="00E250F8" w:rsidRPr="00A2333E">
        <w:t xml:space="preserve">. The clinical experts </w:t>
      </w:r>
      <w:r w:rsidR="00F50083" w:rsidRPr="00A2333E">
        <w:t>suggest</w:t>
      </w:r>
      <w:r w:rsidR="00CC2D9E" w:rsidRPr="00A2333E">
        <w:t>ed</w:t>
      </w:r>
      <w:r w:rsidR="00F50083" w:rsidRPr="00A2333E">
        <w:t xml:space="preserve"> </w:t>
      </w:r>
      <w:r w:rsidR="00E250F8" w:rsidRPr="00A2333E">
        <w:t xml:space="preserve">that the biggest </w:t>
      </w:r>
      <w:r w:rsidR="00F32E4D" w:rsidRPr="00A2333E">
        <w:t>determinant of</w:t>
      </w:r>
      <w:r w:rsidR="00E250F8" w:rsidRPr="00A2333E">
        <w:t xml:space="preserve"> mortality is whether the heart is involved or not</w:t>
      </w:r>
      <w:r w:rsidR="00683B0A" w:rsidRPr="00A2333E">
        <w:t xml:space="preserve">. </w:t>
      </w:r>
      <w:r w:rsidR="007E7D37" w:rsidRPr="00A2333E">
        <w:t>Survival of patients with cardiac involvement is usually 2</w:t>
      </w:r>
      <w:r w:rsidR="00CC2D9E" w:rsidRPr="00A2333E">
        <w:t> </w:t>
      </w:r>
      <w:r w:rsidR="007E7D37" w:rsidRPr="00A2333E">
        <w:t>to</w:t>
      </w:r>
      <w:r w:rsidR="00CC2D9E" w:rsidRPr="00A2333E">
        <w:t> </w:t>
      </w:r>
      <w:r w:rsidR="007E7D37" w:rsidRPr="00A2333E">
        <w:t>5</w:t>
      </w:r>
      <w:r w:rsidR="00CC2D9E" w:rsidRPr="00A2333E">
        <w:t> </w:t>
      </w:r>
      <w:r w:rsidR="007E7D37" w:rsidRPr="00A2333E">
        <w:t xml:space="preserve">years. </w:t>
      </w:r>
      <w:r w:rsidR="0028754C" w:rsidRPr="00A2333E">
        <w:t xml:space="preserve">It understood that survival </w:t>
      </w:r>
      <w:r w:rsidR="007E7D37" w:rsidRPr="00A2333E">
        <w:t xml:space="preserve">can </w:t>
      </w:r>
      <w:r w:rsidR="0028754C" w:rsidRPr="00A2333E">
        <w:t xml:space="preserve">depend on genotype. </w:t>
      </w:r>
      <w:r w:rsidR="00CC2D9E" w:rsidRPr="00A2333E">
        <w:t>M</w:t>
      </w:r>
      <w:r w:rsidR="0028754C" w:rsidRPr="00A2333E">
        <w:t xml:space="preserve">edian survival </w:t>
      </w:r>
      <w:r w:rsidR="00CC2D9E" w:rsidRPr="00A2333E">
        <w:t xml:space="preserve">in people </w:t>
      </w:r>
      <w:r w:rsidR="0028754C" w:rsidRPr="00A2333E">
        <w:t xml:space="preserve">with </w:t>
      </w:r>
      <w:r w:rsidR="00CC2D9E" w:rsidRPr="00A2333E">
        <w:t xml:space="preserve">the </w:t>
      </w:r>
      <w:r w:rsidR="005E26EF" w:rsidRPr="00A2333E">
        <w:t>Thr60Ala</w:t>
      </w:r>
      <w:r w:rsidR="0028754C" w:rsidRPr="00A2333E">
        <w:t xml:space="preserve"> mutation</w:t>
      </w:r>
      <w:r w:rsidR="00CC2D9E" w:rsidRPr="00A2333E">
        <w:t xml:space="preserve"> (</w:t>
      </w:r>
      <w:r w:rsidR="007E7D37" w:rsidRPr="00A2333E">
        <w:t>seen commonly in the UK</w:t>
      </w:r>
      <w:r w:rsidR="00CC2D9E" w:rsidRPr="00A2333E">
        <w:t>)</w:t>
      </w:r>
      <w:r w:rsidR="0028754C" w:rsidRPr="00A2333E">
        <w:t xml:space="preserve"> </w:t>
      </w:r>
      <w:r w:rsidR="007E7D37" w:rsidRPr="00A2333E">
        <w:t xml:space="preserve">has been reported </w:t>
      </w:r>
      <w:r w:rsidR="00CC2D9E" w:rsidRPr="00A2333E">
        <w:t xml:space="preserve">to be </w:t>
      </w:r>
      <w:r w:rsidR="0028754C" w:rsidRPr="00A2333E">
        <w:t>64</w:t>
      </w:r>
      <w:r w:rsidR="00CC2D9E" w:rsidRPr="00A2333E">
        <w:t> </w:t>
      </w:r>
      <w:r w:rsidR="0028754C" w:rsidRPr="00A2333E">
        <w:t xml:space="preserve">months, </w:t>
      </w:r>
      <w:r w:rsidR="00CC2D9E" w:rsidRPr="00A2333E">
        <w:t xml:space="preserve">while </w:t>
      </w:r>
      <w:r w:rsidR="0028754C" w:rsidRPr="00A2333E">
        <w:t xml:space="preserve">people with </w:t>
      </w:r>
      <w:r w:rsidR="005E26EF" w:rsidRPr="00A2333E">
        <w:t>Val30Met</w:t>
      </w:r>
      <w:r w:rsidR="0028754C" w:rsidRPr="00A2333E">
        <w:t xml:space="preserve"> mutation can live </w:t>
      </w:r>
      <w:r w:rsidR="00CC2D9E" w:rsidRPr="00A2333E">
        <w:t xml:space="preserve">for </w:t>
      </w:r>
      <w:r w:rsidR="0028754C" w:rsidRPr="00A2333E">
        <w:t>up to 10</w:t>
      </w:r>
      <w:r w:rsidR="00CC2D9E" w:rsidRPr="00A2333E">
        <w:t> </w:t>
      </w:r>
      <w:r w:rsidR="0028754C" w:rsidRPr="00A2333E">
        <w:t xml:space="preserve">years. </w:t>
      </w:r>
      <w:r w:rsidR="005E26EF" w:rsidRPr="00A2333E">
        <w:t xml:space="preserve">The committee </w:t>
      </w:r>
      <w:r w:rsidR="007E7D37" w:rsidRPr="00A2333E">
        <w:t>considered whether longer survival might be expected in the model because of the younger age of patients starting treatment</w:t>
      </w:r>
      <w:r w:rsidR="00CC2D9E" w:rsidRPr="00A2333E">
        <w:t>. However</w:t>
      </w:r>
      <w:r w:rsidR="00E539D2" w:rsidRPr="00A2333E">
        <w:t>,</w:t>
      </w:r>
      <w:r w:rsidR="007E7D37" w:rsidRPr="00A2333E">
        <w:t xml:space="preserve"> </w:t>
      </w:r>
      <w:r w:rsidR="00F50083" w:rsidRPr="00A2333E">
        <w:t xml:space="preserve">the </w:t>
      </w:r>
      <w:r w:rsidR="000619B3" w:rsidRPr="00A2333E">
        <w:t xml:space="preserve">clinical </w:t>
      </w:r>
      <w:r w:rsidR="00F50083" w:rsidRPr="00A2333E">
        <w:t xml:space="preserve">experts </w:t>
      </w:r>
      <w:r w:rsidR="00207CC1" w:rsidRPr="00A2333E">
        <w:t xml:space="preserve">explained </w:t>
      </w:r>
      <w:r w:rsidR="00F50083" w:rsidRPr="00A2333E">
        <w:t xml:space="preserve">that </w:t>
      </w:r>
      <w:r w:rsidR="00207CC1" w:rsidRPr="00A2333E">
        <w:t>age does not have a major effect on survival</w:t>
      </w:r>
      <w:r w:rsidR="00FA67DA" w:rsidRPr="00A2333E">
        <w:t>,</w:t>
      </w:r>
      <w:r w:rsidR="00207CC1" w:rsidRPr="00A2333E">
        <w:t xml:space="preserve"> even though </w:t>
      </w:r>
      <w:r w:rsidR="00F50083" w:rsidRPr="00A2333E">
        <w:t xml:space="preserve">hATTR amyloidosis is </w:t>
      </w:r>
      <w:r w:rsidR="002E7626" w:rsidRPr="00A2333E">
        <w:t xml:space="preserve">now </w:t>
      </w:r>
      <w:r w:rsidR="00F50083" w:rsidRPr="00A2333E">
        <w:t xml:space="preserve">likely to be </w:t>
      </w:r>
      <w:r w:rsidR="002E7626" w:rsidRPr="00A2333E">
        <w:t>diagnosed earlier (</w:t>
      </w:r>
      <w:bookmarkStart w:id="28" w:name="_Hlk11313524"/>
      <w:r w:rsidR="002E7626" w:rsidRPr="00A2333E">
        <w:t xml:space="preserve">people </w:t>
      </w:r>
      <w:r w:rsidR="00207CC1" w:rsidRPr="00A2333E">
        <w:t xml:space="preserve">are </w:t>
      </w:r>
      <w:r w:rsidR="002E7626" w:rsidRPr="00A2333E">
        <w:t>usually diagnosed before the age of 60</w:t>
      </w:r>
      <w:r w:rsidR="00207CC1" w:rsidRPr="00A2333E">
        <w:t> to </w:t>
      </w:r>
      <w:r w:rsidR="002E7626" w:rsidRPr="00A2333E">
        <w:t>65</w:t>
      </w:r>
      <w:r w:rsidR="00207CC1" w:rsidRPr="00A2333E">
        <w:t> years</w:t>
      </w:r>
      <w:bookmarkEnd w:id="28"/>
      <w:r w:rsidR="002E7626" w:rsidRPr="00A2333E">
        <w:t>)</w:t>
      </w:r>
      <w:r w:rsidR="007E7D37" w:rsidRPr="00A2333E">
        <w:t>. They inferred</w:t>
      </w:r>
      <w:r w:rsidR="002E7626" w:rsidRPr="00A2333E">
        <w:t xml:space="preserve"> that</w:t>
      </w:r>
      <w:r w:rsidR="00FA67DA" w:rsidRPr="00A2333E">
        <w:t>, unlike</w:t>
      </w:r>
      <w:r w:rsidR="002E7626" w:rsidRPr="00A2333E">
        <w:t xml:space="preserve"> </w:t>
      </w:r>
      <w:r w:rsidR="00FA67DA" w:rsidRPr="00A2333E">
        <w:t xml:space="preserve">stage of disease at the time of diagnosis, </w:t>
      </w:r>
      <w:r w:rsidR="0028754C" w:rsidRPr="00A2333E">
        <w:t xml:space="preserve">age </w:t>
      </w:r>
      <w:r w:rsidR="00FA67DA" w:rsidRPr="00A2333E">
        <w:t xml:space="preserve">at </w:t>
      </w:r>
      <w:r w:rsidR="0028754C" w:rsidRPr="00A2333E">
        <w:t xml:space="preserve">diagnosis is not a </w:t>
      </w:r>
      <w:r w:rsidR="00964C6B" w:rsidRPr="00A2333E">
        <w:t xml:space="preserve">very </w:t>
      </w:r>
      <w:r w:rsidR="0028754C" w:rsidRPr="00A2333E">
        <w:t xml:space="preserve">important factor. </w:t>
      </w:r>
      <w:r w:rsidR="000B775B" w:rsidRPr="00A2333E">
        <w:t xml:space="preserve">The committee </w:t>
      </w:r>
      <w:r w:rsidR="00997809">
        <w:t>considered</w:t>
      </w:r>
      <w:r w:rsidR="00997809" w:rsidRPr="00A2333E">
        <w:t xml:space="preserve"> </w:t>
      </w:r>
      <w:r w:rsidR="000B775B" w:rsidRPr="00A2333E">
        <w:t xml:space="preserve">that it was unlikely that the model reflected the natural history of the </w:t>
      </w:r>
      <w:r w:rsidR="00B701D8">
        <w:t>condition</w:t>
      </w:r>
      <w:r w:rsidR="00B701D8" w:rsidRPr="00A2333E">
        <w:t xml:space="preserve"> </w:t>
      </w:r>
      <w:r w:rsidR="000B775B" w:rsidRPr="00A2333E">
        <w:t xml:space="preserve">in </w:t>
      </w:r>
      <w:r w:rsidR="0070463B" w:rsidRPr="00A2333E">
        <w:t>the UK</w:t>
      </w:r>
      <w:r w:rsidR="00FA67DA" w:rsidRPr="00A2333E">
        <w:t>,</w:t>
      </w:r>
      <w:r w:rsidR="006A5706" w:rsidRPr="00A2333E">
        <w:t xml:space="preserve"> and </w:t>
      </w:r>
      <w:r w:rsidR="00FA67DA" w:rsidRPr="00A2333E">
        <w:t xml:space="preserve">that </w:t>
      </w:r>
      <w:r w:rsidR="006A5706" w:rsidRPr="00A2333E">
        <w:t>the 14.43</w:t>
      </w:r>
      <w:r w:rsidR="00FA67DA" w:rsidRPr="00A2333E">
        <w:t> </w:t>
      </w:r>
      <w:r w:rsidR="006A5706" w:rsidRPr="00A2333E">
        <w:t>year</w:t>
      </w:r>
      <w:r w:rsidR="00FA67DA" w:rsidRPr="00A2333E">
        <w:t>s of</w:t>
      </w:r>
      <w:r w:rsidR="006A5706" w:rsidRPr="00A2333E">
        <w:t xml:space="preserve"> </w:t>
      </w:r>
      <w:r w:rsidR="007E7D37" w:rsidRPr="00A2333E">
        <w:t xml:space="preserve">survival on BSC </w:t>
      </w:r>
      <w:r w:rsidR="00FA67DA" w:rsidRPr="00A2333E">
        <w:t xml:space="preserve">was </w:t>
      </w:r>
      <w:r w:rsidR="006A5706" w:rsidRPr="00A2333E">
        <w:t xml:space="preserve">not credible. </w:t>
      </w:r>
      <w:r w:rsidR="00FA67DA" w:rsidRPr="00A2333E">
        <w:t>It</w:t>
      </w:r>
      <w:r w:rsidR="006A5706" w:rsidRPr="00A2333E">
        <w:t xml:space="preserve"> therefore concluded that life expectancy in the new model was outside expectations, even </w:t>
      </w:r>
      <w:r w:rsidR="002D3124" w:rsidRPr="00A2333E">
        <w:t>considering</w:t>
      </w:r>
      <w:r w:rsidR="007E7D37" w:rsidRPr="00A2333E">
        <w:t xml:space="preserve"> </w:t>
      </w:r>
      <w:r w:rsidR="00FA67DA" w:rsidRPr="00A2333E">
        <w:t xml:space="preserve">the </w:t>
      </w:r>
      <w:r w:rsidR="006A5706" w:rsidRPr="00A2333E">
        <w:t xml:space="preserve">possible age difference </w:t>
      </w:r>
      <w:r w:rsidR="007E7D37" w:rsidRPr="00A2333E">
        <w:t>between UK</w:t>
      </w:r>
      <w:r w:rsidR="006A5706" w:rsidRPr="00A2333E">
        <w:t xml:space="preserve"> patients </w:t>
      </w:r>
      <w:r w:rsidR="007E7D37" w:rsidRPr="00A2333E">
        <w:t xml:space="preserve">and those in the model </w:t>
      </w:r>
      <w:r w:rsidR="006A5706" w:rsidRPr="00A2333E">
        <w:t xml:space="preserve">and </w:t>
      </w:r>
      <w:r w:rsidR="003B5107" w:rsidRPr="00A2333E">
        <w:t xml:space="preserve">the possibility that </w:t>
      </w:r>
      <w:r w:rsidR="006A5706" w:rsidRPr="00A2333E">
        <w:t xml:space="preserve">patients </w:t>
      </w:r>
      <w:r w:rsidR="007E7D37" w:rsidRPr="00A2333E">
        <w:t>may now be</w:t>
      </w:r>
      <w:r w:rsidR="006A5706" w:rsidRPr="00A2333E">
        <w:t xml:space="preserve"> diagnosed earlier.</w:t>
      </w:r>
    </w:p>
    <w:p w14:paraId="04E2FC96" w14:textId="77777777" w:rsidR="00FB2CE3" w:rsidRPr="00A2333E" w:rsidRDefault="00155450" w:rsidP="00922608">
      <w:pPr>
        <w:pStyle w:val="Numberedlevel2text"/>
      </w:pPr>
      <w:r w:rsidRPr="00A2333E">
        <w:t>I</w:t>
      </w:r>
      <w:r w:rsidR="003C5BAD" w:rsidRPr="00A2333E">
        <w:t>n</w:t>
      </w:r>
      <w:r w:rsidR="00D92DC9" w:rsidRPr="00A2333E">
        <w:t xml:space="preserve"> an exploratory analysis</w:t>
      </w:r>
      <w:r w:rsidR="00FA67DA" w:rsidRPr="00A2333E">
        <w:t>,</w:t>
      </w:r>
      <w:r w:rsidR="00D92DC9" w:rsidRPr="00A2333E">
        <w:t xml:space="preserve"> the ERG showed the </w:t>
      </w:r>
      <w:r w:rsidR="00FA67DA" w:rsidRPr="00A2333E">
        <w:t xml:space="preserve">effect </w:t>
      </w:r>
      <w:r w:rsidR="00D92DC9" w:rsidRPr="00A2333E">
        <w:t xml:space="preserve">of using </w:t>
      </w:r>
      <w:r w:rsidR="003C5BAD" w:rsidRPr="00A2333E">
        <w:t>PND</w:t>
      </w:r>
      <w:r w:rsidR="00FA67DA" w:rsidRPr="00A2333E">
        <w:noBreakHyphen/>
      </w:r>
      <w:r w:rsidR="003C5BAD" w:rsidRPr="00A2333E">
        <w:t xml:space="preserve">related </w:t>
      </w:r>
      <w:r w:rsidR="000619B3" w:rsidRPr="00A2333E">
        <w:t>hazard ratios</w:t>
      </w:r>
      <w:r w:rsidR="003C5BAD" w:rsidRPr="00A2333E">
        <w:t xml:space="preserve"> only</w:t>
      </w:r>
      <w:r w:rsidR="002D3124" w:rsidRPr="00A2333E">
        <w:t>. This was</w:t>
      </w:r>
      <w:r w:rsidR="003C5BAD" w:rsidRPr="00A2333E">
        <w:t xml:space="preserve"> in line with what was accepted in </w:t>
      </w:r>
      <w:r w:rsidR="002D3124" w:rsidRPr="00A2333E">
        <w:t xml:space="preserve">NICE’s </w:t>
      </w:r>
      <w:r w:rsidR="00922608" w:rsidRPr="00A2333E">
        <w:t>highly specialised technology guidance</w:t>
      </w:r>
      <w:r w:rsidR="002D3124" w:rsidRPr="00A2333E">
        <w:t xml:space="preserve"> on </w:t>
      </w:r>
      <w:bookmarkStart w:id="29" w:name="_Hlk9579118"/>
      <w:r w:rsidR="00D40A12" w:rsidRPr="00A2333E">
        <w:fldChar w:fldCharType="begin"/>
      </w:r>
      <w:r w:rsidR="003C5BAD" w:rsidRPr="00A2333E">
        <w:instrText xml:space="preserve"> HYPERLINK "https://www.nice.org.uk/guidance/hst9/chapter/1-Recommendations" </w:instrText>
      </w:r>
      <w:r w:rsidR="00D40A12" w:rsidRPr="00A2333E">
        <w:fldChar w:fldCharType="separate"/>
      </w:r>
      <w:proofErr w:type="spellStart"/>
      <w:r w:rsidR="003C5BAD" w:rsidRPr="00A2333E">
        <w:rPr>
          <w:rStyle w:val="Hyperlink"/>
        </w:rPr>
        <w:t>inotersen</w:t>
      </w:r>
      <w:proofErr w:type="spellEnd"/>
      <w:r w:rsidR="00D40A12" w:rsidRPr="00A2333E">
        <w:fldChar w:fldCharType="end"/>
      </w:r>
      <w:bookmarkEnd w:id="29"/>
      <w:r w:rsidR="003C5BAD" w:rsidRPr="00A2333E">
        <w:t xml:space="preserve">. </w:t>
      </w:r>
      <w:r w:rsidRPr="00A2333E">
        <w:t>The committee</w:t>
      </w:r>
      <w:r w:rsidR="007F4E4E" w:rsidRPr="00A2333E">
        <w:t xml:space="preserve"> recalled </w:t>
      </w:r>
      <w:r w:rsidRPr="00A2333E">
        <w:t>that</w:t>
      </w:r>
      <w:r w:rsidR="00A6256D" w:rsidRPr="00A2333E">
        <w:t>,</w:t>
      </w:r>
      <w:r w:rsidRPr="00A2333E">
        <w:t xml:space="preserve"> for most genotypes</w:t>
      </w:r>
      <w:r w:rsidR="00A6256D" w:rsidRPr="00A2333E">
        <w:t>,</w:t>
      </w:r>
      <w:r w:rsidRPr="00A2333E">
        <w:t xml:space="preserve"> there is a </w:t>
      </w:r>
      <w:r w:rsidR="00223D29" w:rsidRPr="00A2333E">
        <w:t>combination</w:t>
      </w:r>
      <w:r w:rsidRPr="00A2333E">
        <w:t xml:space="preserve"> of neuropathy (PND stage) and cardiomyopathy (see section</w:t>
      </w:r>
      <w:r w:rsidR="00A6256D" w:rsidRPr="00A2333E">
        <w:t> </w:t>
      </w:r>
      <w:r w:rsidR="00524CE7" w:rsidRPr="00A2333E">
        <w:t>4.7</w:t>
      </w:r>
      <w:r w:rsidRPr="00A2333E">
        <w:t xml:space="preserve">), </w:t>
      </w:r>
      <w:r w:rsidR="00223D29" w:rsidRPr="00A2333E">
        <w:t xml:space="preserve">and </w:t>
      </w:r>
      <w:r w:rsidR="00A6256D" w:rsidRPr="00A2333E">
        <w:t xml:space="preserve">that the </w:t>
      </w:r>
      <w:r w:rsidR="00223D29" w:rsidRPr="00A2333E">
        <w:t>clinical expert</w:t>
      </w:r>
      <w:r w:rsidR="00A6256D" w:rsidRPr="00A2333E">
        <w:t>s had</w:t>
      </w:r>
      <w:r w:rsidR="00223D29" w:rsidRPr="00A2333E">
        <w:t xml:space="preserve"> advi</w:t>
      </w:r>
      <w:r w:rsidR="00A6256D" w:rsidRPr="00A2333E">
        <w:t>sed</w:t>
      </w:r>
      <w:r w:rsidR="00223D29" w:rsidRPr="00A2333E">
        <w:t xml:space="preserve"> that progression of these was correlated</w:t>
      </w:r>
      <w:r w:rsidR="00A6256D" w:rsidRPr="00A2333E">
        <w:t>. It</w:t>
      </w:r>
      <w:r w:rsidR="00223D29" w:rsidRPr="00A2333E">
        <w:t xml:space="preserve"> </w:t>
      </w:r>
      <w:r w:rsidRPr="00A2333E">
        <w:t xml:space="preserve">therefore </w:t>
      </w:r>
      <w:r w:rsidR="00223D29" w:rsidRPr="00A2333E">
        <w:t xml:space="preserve">considered </w:t>
      </w:r>
      <w:r w:rsidR="00A6256D" w:rsidRPr="00A2333E">
        <w:t xml:space="preserve">that </w:t>
      </w:r>
      <w:r w:rsidR="00C70CE6" w:rsidRPr="00A2333E">
        <w:t xml:space="preserve">using PND </w:t>
      </w:r>
      <w:r w:rsidR="00924FA3" w:rsidRPr="00A2333E">
        <w:t xml:space="preserve">mortality hazard ratios </w:t>
      </w:r>
      <w:r w:rsidR="00C70CE6" w:rsidRPr="00A2333E">
        <w:t>w</w:t>
      </w:r>
      <w:r w:rsidR="00984158" w:rsidRPr="00A2333E">
        <w:t>ould</w:t>
      </w:r>
      <w:r w:rsidR="00C70CE6" w:rsidRPr="00A2333E">
        <w:t xml:space="preserve"> capture </w:t>
      </w:r>
      <w:r w:rsidR="00534368" w:rsidRPr="00A2333E">
        <w:t xml:space="preserve">the excess mortality </w:t>
      </w:r>
      <w:r w:rsidR="00A6256D" w:rsidRPr="00A2333E">
        <w:t>caused by</w:t>
      </w:r>
      <w:r w:rsidR="00984158" w:rsidRPr="00A2333E">
        <w:t xml:space="preserve"> </w:t>
      </w:r>
      <w:r w:rsidR="00534368" w:rsidRPr="00A2333E">
        <w:t xml:space="preserve">cardiomyopathy. </w:t>
      </w:r>
      <w:r w:rsidRPr="00A2333E">
        <w:t>It recognised that</w:t>
      </w:r>
      <w:r w:rsidR="00A6256D" w:rsidRPr="00A2333E">
        <w:t>,</w:t>
      </w:r>
      <w:r w:rsidRPr="00A2333E">
        <w:t xml:space="preserve"> while mortality based on PND </w:t>
      </w:r>
      <w:r w:rsidR="00924FA3" w:rsidRPr="00A2333E">
        <w:t xml:space="preserve">hazard ratios </w:t>
      </w:r>
      <w:r w:rsidRPr="00A2333E">
        <w:t xml:space="preserve">is </w:t>
      </w:r>
      <w:r w:rsidR="00984158" w:rsidRPr="00A2333E">
        <w:t xml:space="preserve">less than </w:t>
      </w:r>
      <w:r w:rsidRPr="00A2333E">
        <w:t xml:space="preserve">ideal, it </w:t>
      </w:r>
      <w:r w:rsidR="00212C2E" w:rsidRPr="00A2333E">
        <w:t xml:space="preserve">could not accept the company’s new </w:t>
      </w:r>
      <w:r w:rsidR="0070463B" w:rsidRPr="00A2333E">
        <w:t>analysis</w:t>
      </w:r>
      <w:r w:rsidR="00A6256D" w:rsidRPr="00A2333E">
        <w:t>. This was because it</w:t>
      </w:r>
      <w:r w:rsidR="00212C2E" w:rsidRPr="00A2333E">
        <w:t xml:space="preserve"> lack</w:t>
      </w:r>
      <w:r w:rsidR="00984158" w:rsidRPr="00A2333E">
        <w:t>ed</w:t>
      </w:r>
      <w:r w:rsidR="00212C2E" w:rsidRPr="00A2333E">
        <w:t xml:space="preserve"> face validity</w:t>
      </w:r>
      <w:r w:rsidR="000619B3" w:rsidRPr="00A2333E">
        <w:t xml:space="preserve"> and was not in line with the natural history of the </w:t>
      </w:r>
      <w:r w:rsidR="00B701D8">
        <w:t>condition</w:t>
      </w:r>
      <w:r w:rsidR="00B701D8" w:rsidRPr="00A2333E">
        <w:t xml:space="preserve"> </w:t>
      </w:r>
      <w:r w:rsidR="000619B3" w:rsidRPr="00A2333E">
        <w:t xml:space="preserve">in the </w:t>
      </w:r>
      <w:r w:rsidR="000619B3" w:rsidRPr="00A2333E">
        <w:lastRenderedPageBreak/>
        <w:t>UK</w:t>
      </w:r>
      <w:r w:rsidR="00212C2E" w:rsidRPr="00A2333E">
        <w:t xml:space="preserve">. </w:t>
      </w:r>
      <w:r w:rsidR="00683B0A" w:rsidRPr="00A2333E">
        <w:t>The committee</w:t>
      </w:r>
      <w:r w:rsidR="000B775B" w:rsidRPr="00A2333E">
        <w:t xml:space="preserve"> understood that there were advantages and disadvantages with each source of </w:t>
      </w:r>
      <w:r w:rsidR="00683B0A" w:rsidRPr="00A2333E">
        <w:t>mortality</w:t>
      </w:r>
      <w:r w:rsidR="000B775B" w:rsidRPr="00A2333E">
        <w:t xml:space="preserve"> data</w:t>
      </w:r>
      <w:r w:rsidR="00A6256D" w:rsidRPr="00A2333E">
        <w:t>. It also</w:t>
      </w:r>
      <w:r w:rsidR="000B775B" w:rsidRPr="00A2333E">
        <w:t xml:space="preserve"> recognised the uncertainties around the values</w:t>
      </w:r>
      <w:r w:rsidR="00984158" w:rsidRPr="00A2333E">
        <w:t xml:space="preserve"> b</w:t>
      </w:r>
      <w:r w:rsidR="0070463B" w:rsidRPr="00A2333E">
        <w:t>ut</w:t>
      </w:r>
      <w:r w:rsidR="00683B0A" w:rsidRPr="00A2333E">
        <w:t xml:space="preserve"> concluded that </w:t>
      </w:r>
      <w:r w:rsidR="00212C2E" w:rsidRPr="00A2333E">
        <w:t xml:space="preserve">the </w:t>
      </w:r>
      <w:r w:rsidR="00683B0A" w:rsidRPr="00A2333E">
        <w:t xml:space="preserve">use of PND-related mortality only, </w:t>
      </w:r>
      <w:r w:rsidR="000B775B" w:rsidRPr="00A2333E">
        <w:t>although not optimal, was acceptable for decision</w:t>
      </w:r>
      <w:r w:rsidR="00A6256D" w:rsidRPr="00A2333E">
        <w:t xml:space="preserve"> </w:t>
      </w:r>
      <w:r w:rsidR="000B775B" w:rsidRPr="00A2333E">
        <w:t>making.</w:t>
      </w:r>
    </w:p>
    <w:p w14:paraId="1300ABCF" w14:textId="77777777" w:rsidR="007E2265" w:rsidRPr="00A2333E" w:rsidRDefault="007E2265" w:rsidP="007E2265">
      <w:pPr>
        <w:pStyle w:val="Heading3"/>
      </w:pPr>
      <w:r w:rsidRPr="00A2333E">
        <w:t>Resource use</w:t>
      </w:r>
    </w:p>
    <w:p w14:paraId="1BCBE936" w14:textId="77777777" w:rsidR="003B4E93" w:rsidRPr="00A2333E" w:rsidRDefault="00E567AF" w:rsidP="003A545B">
      <w:pPr>
        <w:pStyle w:val="Numberedlevel2text"/>
      </w:pPr>
      <w:r w:rsidRPr="00A2333E">
        <w:t xml:space="preserve">The company used a Delphi approach to elicit experts’ beliefs about resource use, </w:t>
      </w:r>
      <w:proofErr w:type="gramStart"/>
      <w:r w:rsidRPr="00A2333E">
        <w:t>in particular for</w:t>
      </w:r>
      <w:proofErr w:type="gramEnd"/>
      <w:r w:rsidRPr="00A2333E">
        <w:t xml:space="preserve"> cardiomyopathy-related </w:t>
      </w:r>
      <w:r w:rsidR="00817698" w:rsidRPr="00A2333E">
        <w:t>costs</w:t>
      </w:r>
      <w:r w:rsidRPr="00A2333E">
        <w:t xml:space="preserve">. The ERG </w:t>
      </w:r>
      <w:r w:rsidR="003A545B" w:rsidRPr="00A2333E">
        <w:t>was concerned</w:t>
      </w:r>
      <w:r w:rsidRPr="00A2333E">
        <w:t xml:space="preserve"> that </w:t>
      </w:r>
      <w:r w:rsidR="003A545B" w:rsidRPr="00A2333E">
        <w:t>the method</w:t>
      </w:r>
      <w:r w:rsidRPr="00A2333E">
        <w:t xml:space="preserve"> is unlikely to</w:t>
      </w:r>
      <w:r w:rsidR="00630F02" w:rsidRPr="00A2333E">
        <w:t xml:space="preserve"> have</w:t>
      </w:r>
      <w:r w:rsidRPr="00A2333E">
        <w:t xml:space="preserve"> reflect</w:t>
      </w:r>
      <w:r w:rsidR="00630F02" w:rsidRPr="00A2333E">
        <w:t>ed</w:t>
      </w:r>
      <w:r w:rsidRPr="00A2333E">
        <w:t xml:space="preserve"> the true expected cost and uncertainty</w:t>
      </w:r>
      <w:r w:rsidR="003B4E93" w:rsidRPr="00A2333E">
        <w:t>.</w:t>
      </w:r>
      <w:r w:rsidR="003A545B" w:rsidRPr="00A2333E">
        <w:t xml:space="preserve"> Moreover, t</w:t>
      </w:r>
      <w:r w:rsidR="003B4E93" w:rsidRPr="00A2333E">
        <w:t>he company included the costs of adverse events by assuming a constant rate of events (based on APOLLO) as well as a reduction over time (based on treatment discontinuation function</w:t>
      </w:r>
      <w:r w:rsidR="003A545B" w:rsidRPr="00A2333E">
        <w:t>; see section</w:t>
      </w:r>
      <w:r w:rsidR="0096436C" w:rsidRPr="00A2333E">
        <w:t> </w:t>
      </w:r>
      <w:r w:rsidR="00D40A12" w:rsidRPr="00A2333E">
        <w:fldChar w:fldCharType="begin"/>
      </w:r>
      <w:r w:rsidR="003A545B" w:rsidRPr="00A2333E">
        <w:instrText xml:space="preserve"> REF _Ref530140058 \r \h </w:instrText>
      </w:r>
      <w:r w:rsidR="00D40A12" w:rsidRPr="00A2333E">
        <w:fldChar w:fldCharType="separate"/>
      </w:r>
      <w:r w:rsidR="004238CE" w:rsidRPr="00A2333E">
        <w:t>4.13</w:t>
      </w:r>
      <w:r w:rsidR="00D40A12" w:rsidRPr="00A2333E">
        <w:fldChar w:fldCharType="end"/>
      </w:r>
      <w:r w:rsidR="003B4E93" w:rsidRPr="00A2333E">
        <w:t xml:space="preserve">). </w:t>
      </w:r>
      <w:bookmarkStart w:id="30" w:name="_Hlk9941024"/>
      <w:r w:rsidR="003B4E93" w:rsidRPr="00A2333E">
        <w:t xml:space="preserve">The ERG considered </w:t>
      </w:r>
      <w:r w:rsidR="00630F02" w:rsidRPr="00A2333E">
        <w:t xml:space="preserve">that </w:t>
      </w:r>
      <w:r w:rsidR="0096436C" w:rsidRPr="00A2333E">
        <w:t xml:space="preserve">this </w:t>
      </w:r>
      <w:r w:rsidR="003B4E93" w:rsidRPr="00A2333E">
        <w:t>was illogical</w:t>
      </w:r>
      <w:r w:rsidR="00651C42" w:rsidRPr="00A2333E">
        <w:t xml:space="preserve"> because</w:t>
      </w:r>
      <w:r w:rsidR="0096436C" w:rsidRPr="00A2333E">
        <w:t xml:space="preserve"> it meant that </w:t>
      </w:r>
      <w:r w:rsidR="00651C42" w:rsidRPr="00A2333E">
        <w:t xml:space="preserve">all patients would </w:t>
      </w:r>
      <w:r w:rsidR="00AE644B" w:rsidRPr="00A2333E">
        <w:t xml:space="preserve">stop </w:t>
      </w:r>
      <w:r w:rsidR="00651C42" w:rsidRPr="00A2333E">
        <w:t>patisiran</w:t>
      </w:r>
      <w:r w:rsidR="0096436C" w:rsidRPr="00A2333E">
        <w:t xml:space="preserve"> at the end of the time horizon</w:t>
      </w:r>
      <w:r w:rsidR="00651C42" w:rsidRPr="00A2333E">
        <w:t xml:space="preserve"> and</w:t>
      </w:r>
      <w:r w:rsidR="0096436C" w:rsidRPr="00A2333E">
        <w:t>,</w:t>
      </w:r>
      <w:r w:rsidR="00651C42" w:rsidRPr="00A2333E">
        <w:t xml:space="preserve"> at the same time, develop adverse events</w:t>
      </w:r>
      <w:r w:rsidR="003B4E93" w:rsidRPr="00A2333E">
        <w:t xml:space="preserve">. </w:t>
      </w:r>
      <w:bookmarkEnd w:id="30"/>
      <w:r w:rsidR="003A545B" w:rsidRPr="00A2333E">
        <w:t>Additionally, t</w:t>
      </w:r>
      <w:r w:rsidR="003B4E93" w:rsidRPr="00A2333E">
        <w:t xml:space="preserve">he committee was aware that the </w:t>
      </w:r>
      <w:r w:rsidR="00C009FC" w:rsidRPr="00A2333E">
        <w:t>company proposed a</w:t>
      </w:r>
      <w:r w:rsidR="003B4E93" w:rsidRPr="00A2333E">
        <w:t xml:space="preserve"> homecare service for patients and noted that </w:t>
      </w:r>
      <w:r w:rsidR="00630F02" w:rsidRPr="00A2333E">
        <w:t xml:space="preserve">the </w:t>
      </w:r>
      <w:r w:rsidR="003B4E93" w:rsidRPr="00A2333E">
        <w:t xml:space="preserve">costs </w:t>
      </w:r>
      <w:r w:rsidR="00630F02" w:rsidRPr="00A2333E">
        <w:t xml:space="preserve">for this </w:t>
      </w:r>
      <w:r w:rsidR="003B4E93" w:rsidRPr="00A2333E">
        <w:t xml:space="preserve">were not included in </w:t>
      </w:r>
      <w:r w:rsidR="00776E8D" w:rsidRPr="00A2333E">
        <w:t xml:space="preserve">its </w:t>
      </w:r>
      <w:r w:rsidR="003B4E93" w:rsidRPr="00A2333E">
        <w:t>model.</w:t>
      </w:r>
      <w:r w:rsidR="003337FC" w:rsidRPr="00A2333E">
        <w:t xml:space="preserve"> </w:t>
      </w:r>
      <w:r w:rsidR="003A545B" w:rsidRPr="00A2333E">
        <w:t xml:space="preserve">The </w:t>
      </w:r>
      <w:r w:rsidR="00C009FC" w:rsidRPr="00A2333E">
        <w:t>committee</w:t>
      </w:r>
      <w:r w:rsidR="003A545B" w:rsidRPr="00A2333E">
        <w:t xml:space="preserve"> concluded that there w</w:t>
      </w:r>
      <w:r w:rsidR="00C009FC" w:rsidRPr="00A2333E">
        <w:t>ere</w:t>
      </w:r>
      <w:r w:rsidR="003A545B" w:rsidRPr="00A2333E">
        <w:t xml:space="preserve"> some uncertainties in the company’s resource use</w:t>
      </w:r>
      <w:r w:rsidR="00C009FC" w:rsidRPr="00A2333E">
        <w:t xml:space="preserve"> assumptions</w:t>
      </w:r>
      <w:r w:rsidR="00630F02" w:rsidRPr="00A2333E">
        <w:t>,</w:t>
      </w:r>
      <w:r w:rsidR="003A545B" w:rsidRPr="00A2333E">
        <w:t xml:space="preserve"> and that </w:t>
      </w:r>
      <w:r w:rsidR="00776E8D" w:rsidRPr="00A2333E">
        <w:t xml:space="preserve">it </w:t>
      </w:r>
      <w:r w:rsidR="003A545B" w:rsidRPr="00A2333E">
        <w:t xml:space="preserve">would take </w:t>
      </w:r>
      <w:r w:rsidR="00776E8D" w:rsidRPr="00A2333E">
        <w:t xml:space="preserve">this </w:t>
      </w:r>
      <w:r w:rsidR="003A545B" w:rsidRPr="00A2333E">
        <w:t xml:space="preserve">into account in </w:t>
      </w:r>
      <w:r w:rsidR="00776E8D" w:rsidRPr="00A2333E">
        <w:t xml:space="preserve">its </w:t>
      </w:r>
      <w:r w:rsidR="003A545B" w:rsidRPr="00A2333E">
        <w:t>decision</w:t>
      </w:r>
      <w:r w:rsidR="00776E8D" w:rsidRPr="00A2333E">
        <w:t xml:space="preserve"> </w:t>
      </w:r>
      <w:r w:rsidR="003A545B" w:rsidRPr="00A2333E">
        <w:t>making.</w:t>
      </w:r>
    </w:p>
    <w:p w14:paraId="78BE7B41" w14:textId="77777777" w:rsidR="00F02CBE" w:rsidRPr="00A2333E" w:rsidRDefault="001342EF" w:rsidP="001342EF">
      <w:pPr>
        <w:pStyle w:val="Heading3"/>
      </w:pPr>
      <w:r w:rsidRPr="00A2333E">
        <w:t>Discount rate</w:t>
      </w:r>
    </w:p>
    <w:p w14:paraId="3E8B671F" w14:textId="77777777" w:rsidR="00C513F3" w:rsidRPr="00A2333E" w:rsidRDefault="00B91883" w:rsidP="00B91883">
      <w:pPr>
        <w:pStyle w:val="Numberedlevel2text"/>
      </w:pPr>
      <w:bookmarkStart w:id="31" w:name="_Ref512617005"/>
      <w:r w:rsidRPr="00A2333E">
        <w:t xml:space="preserve">The committee was aware that NICE’s </w:t>
      </w:r>
      <w:hyperlink r:id="rId11" w:history="1">
        <w:r w:rsidRPr="00A2333E">
          <w:rPr>
            <w:rStyle w:val="Hyperlink"/>
          </w:rPr>
          <w:t>guide to the methods of technology appraisal</w:t>
        </w:r>
      </w:hyperlink>
      <w:r w:rsidRPr="00A2333E">
        <w:t xml:space="preserve"> (2013) and its </w:t>
      </w:r>
      <w:hyperlink r:id="rId12" w:history="1">
        <w:r w:rsidRPr="00A2333E">
          <w:rPr>
            <w:rStyle w:val="Hyperlink"/>
          </w:rPr>
          <w:t>interim process and methods of the highly specialised technologies programme</w:t>
        </w:r>
      </w:hyperlink>
      <w:r w:rsidRPr="00A2333E">
        <w:t xml:space="preserve"> (2017) specify that the discount rate that should be used in the reference case is 3.5% for costs and health effects. However, it also states that a non-reference-case rate of 1.5% for costs and health effects may be used when: treatment restores people to full or near-full health when they would otherwise die or have severely impaired lives; if it is highly likely that there will be long-term benefits (normally</w:t>
      </w:r>
      <w:r w:rsidR="00F90197" w:rsidRPr="00A2333E">
        <w:t xml:space="preserve"> sustained for</w:t>
      </w:r>
      <w:r w:rsidRPr="00A2333E">
        <w:t xml:space="preserve"> at least 30</w:t>
      </w:r>
      <w:r w:rsidR="0096436C" w:rsidRPr="00A2333E">
        <w:t> </w:t>
      </w:r>
      <w:r w:rsidRPr="00A2333E">
        <w:t xml:space="preserve">years); and if the treatment does not commit the NHS to significant irrecoverable costs. The company proposed using a discount rate of 1.5% on health effects and 3.5% on costs </w:t>
      </w:r>
      <w:r w:rsidRPr="00A2333E">
        <w:lastRenderedPageBreak/>
        <w:t xml:space="preserve">because </w:t>
      </w:r>
      <w:r w:rsidR="00776E8D" w:rsidRPr="00A2333E">
        <w:t xml:space="preserve">it </w:t>
      </w:r>
      <w:r w:rsidRPr="00A2333E">
        <w:t>argued patisiran has shown long</w:t>
      </w:r>
      <w:r w:rsidR="0096436C" w:rsidRPr="00A2333E">
        <w:t>-</w:t>
      </w:r>
      <w:r w:rsidRPr="00A2333E">
        <w:t xml:space="preserve">term benefit and has </w:t>
      </w:r>
      <w:r w:rsidR="00AE644B" w:rsidRPr="00A2333E">
        <w:t xml:space="preserve">shown </w:t>
      </w:r>
      <w:r w:rsidRPr="00A2333E">
        <w:t>the ability to halt or reverse disease progression. It accepted that patisiran was unlikely to meet the requirement that health benefits must be sustained over at least 30</w:t>
      </w:r>
      <w:r w:rsidR="0096436C" w:rsidRPr="00A2333E">
        <w:t> </w:t>
      </w:r>
      <w:r w:rsidRPr="00A2333E">
        <w:t xml:space="preserve">years. However, it considered that this criterion unfairly penalises </w:t>
      </w:r>
      <w:r w:rsidR="009402F1" w:rsidRPr="00A2333E">
        <w:t xml:space="preserve">people </w:t>
      </w:r>
      <w:r w:rsidRPr="00A2333E">
        <w:t xml:space="preserve">with hATTR amyloidosis because they are older and </w:t>
      </w:r>
      <w:r w:rsidR="009402F1" w:rsidRPr="00A2333E">
        <w:t xml:space="preserve">so </w:t>
      </w:r>
      <w:r w:rsidRPr="00A2333E">
        <w:t xml:space="preserve">would have a life expectancy </w:t>
      </w:r>
      <w:r w:rsidR="009402F1" w:rsidRPr="00A2333E">
        <w:t xml:space="preserve">of </w:t>
      </w:r>
      <w:r w:rsidRPr="00A2333E">
        <w:t>less than 30</w:t>
      </w:r>
      <w:r w:rsidR="009402F1" w:rsidRPr="00A2333E">
        <w:t> </w:t>
      </w:r>
      <w:r w:rsidRPr="00A2333E">
        <w:t xml:space="preserve">years even in the absence of this </w:t>
      </w:r>
      <w:r w:rsidR="009402F1" w:rsidRPr="00A2333E">
        <w:t>condition</w:t>
      </w:r>
      <w:r w:rsidRPr="00A2333E">
        <w:t>. The committee discussed the company’s arguments for applying the 1.5% discount rates to health effects only</w:t>
      </w:r>
      <w:r w:rsidR="00C513F3" w:rsidRPr="00A2333E">
        <w:t xml:space="preserve"> and noted that:</w:t>
      </w:r>
    </w:p>
    <w:p w14:paraId="04FFE981" w14:textId="77777777" w:rsidR="00C513F3" w:rsidRPr="00A2333E" w:rsidRDefault="00C513F3" w:rsidP="00C513F3">
      <w:pPr>
        <w:pStyle w:val="Bulletindent1"/>
      </w:pPr>
      <w:r w:rsidRPr="00A2333E">
        <w:t xml:space="preserve">Neither </w:t>
      </w:r>
      <w:r w:rsidR="00B91883" w:rsidRPr="00A2333E">
        <w:t xml:space="preserve">the NICE Reference Case </w:t>
      </w:r>
      <w:r w:rsidR="00326A14" w:rsidRPr="00A2333E">
        <w:t xml:space="preserve">nor </w:t>
      </w:r>
      <w:r w:rsidRPr="00A2333E">
        <w:t xml:space="preserve">the </w:t>
      </w:r>
      <w:r w:rsidR="00326A14" w:rsidRPr="00A2333E">
        <w:t xml:space="preserve">cited non-reference case </w:t>
      </w:r>
      <w:r w:rsidR="00B91883" w:rsidRPr="00A2333E">
        <w:t>support the use of differential discount rates (that is 1.5% for health outcome and 3.5% for costs, or vice-versa).</w:t>
      </w:r>
    </w:p>
    <w:p w14:paraId="68ADBA26" w14:textId="77777777" w:rsidR="00C513F3" w:rsidRPr="00A2333E" w:rsidRDefault="00C513F3" w:rsidP="00C513F3">
      <w:pPr>
        <w:pStyle w:val="Bulletindent1"/>
      </w:pPr>
      <w:r w:rsidRPr="00A2333E">
        <w:t>T</w:t>
      </w:r>
      <w:r w:rsidR="00326A14" w:rsidRPr="00A2333E">
        <w:t>he clinical experts explained that</w:t>
      </w:r>
      <w:r w:rsidR="006D6EFD" w:rsidRPr="00A2333E">
        <w:t>, based on response to chemotherapy in light chain amyloid</w:t>
      </w:r>
      <w:r w:rsidR="003857E0" w:rsidRPr="00A2333E">
        <w:t>osis</w:t>
      </w:r>
      <w:r w:rsidR="00D6469A" w:rsidRPr="00A2333E">
        <w:t xml:space="preserve"> (the most common form of systemic</w:t>
      </w:r>
      <w:r w:rsidR="00206662" w:rsidRPr="00A2333E">
        <w:t xml:space="preserve"> </w:t>
      </w:r>
      <w:r w:rsidR="00D6469A" w:rsidRPr="00A2333E">
        <w:t>amyloidosis)</w:t>
      </w:r>
      <w:r w:rsidR="006D6EFD" w:rsidRPr="00A2333E">
        <w:t>,</w:t>
      </w:r>
      <w:r w:rsidR="00326A14" w:rsidRPr="00A2333E">
        <w:t xml:space="preserve"> they expected only around half of </w:t>
      </w:r>
      <w:r w:rsidR="00AE644B" w:rsidRPr="00A2333E">
        <w:t xml:space="preserve">people </w:t>
      </w:r>
      <w:r w:rsidR="006D6EFD" w:rsidRPr="00A2333E">
        <w:t xml:space="preserve">remaining on treatment </w:t>
      </w:r>
      <w:r w:rsidR="00326A14" w:rsidRPr="00A2333E">
        <w:t xml:space="preserve">to return to what might be considered near-full heath. This is because </w:t>
      </w:r>
      <w:r w:rsidR="009402F1" w:rsidRPr="00A2333E">
        <w:t>the condition is often</w:t>
      </w:r>
      <w:r w:rsidR="00326A14" w:rsidRPr="00A2333E">
        <w:t xml:space="preserve"> diagnosed at an advanced stage from which </w:t>
      </w:r>
      <w:r w:rsidR="009402F1" w:rsidRPr="00A2333E">
        <w:t>it may not be possible</w:t>
      </w:r>
      <w:r w:rsidR="00326A14" w:rsidRPr="00A2333E">
        <w:t xml:space="preserve"> to return to PND</w:t>
      </w:r>
      <w:r w:rsidR="009402F1" w:rsidRPr="00A2333E">
        <w:t> 0</w:t>
      </w:r>
      <w:r w:rsidR="00326A14" w:rsidRPr="00A2333E">
        <w:t xml:space="preserve"> or FAP</w:t>
      </w:r>
      <w:r w:rsidR="009402F1" w:rsidRPr="00A2333E">
        <w:t> </w:t>
      </w:r>
      <w:r w:rsidR="00326A14" w:rsidRPr="00A2333E">
        <w:t>0.</w:t>
      </w:r>
    </w:p>
    <w:p w14:paraId="6BCB3E29" w14:textId="77777777" w:rsidR="00A67ACC" w:rsidRPr="00A2333E" w:rsidRDefault="003857E0" w:rsidP="007A6730">
      <w:pPr>
        <w:pStyle w:val="Bulletindent1last"/>
      </w:pPr>
      <w:r w:rsidRPr="00A2333E">
        <w:t>Whether</w:t>
      </w:r>
      <w:r w:rsidR="00B91883" w:rsidRPr="00A2333E">
        <w:t xml:space="preserve"> health benefits </w:t>
      </w:r>
      <w:r w:rsidRPr="00A2333E">
        <w:t>are</w:t>
      </w:r>
      <w:r w:rsidR="00B91883" w:rsidRPr="00A2333E">
        <w:t xml:space="preserve"> sustained for 30</w:t>
      </w:r>
      <w:r w:rsidR="00C513F3" w:rsidRPr="00A2333E">
        <w:t> </w:t>
      </w:r>
      <w:r w:rsidR="00B91883" w:rsidRPr="00A2333E">
        <w:t xml:space="preserve">years </w:t>
      </w:r>
      <w:r w:rsidRPr="00A2333E">
        <w:t>i</w:t>
      </w:r>
      <w:r w:rsidR="00B91883" w:rsidRPr="00A2333E">
        <w:t>s</w:t>
      </w:r>
      <w:r w:rsidRPr="00A2333E">
        <w:t xml:space="preserve"> considered</w:t>
      </w:r>
      <w:r w:rsidR="00B91883" w:rsidRPr="00A2333E">
        <w:t xml:space="preserve"> </w:t>
      </w:r>
      <w:r w:rsidR="001B2579" w:rsidRPr="00A2333E">
        <w:t xml:space="preserve">only </w:t>
      </w:r>
      <w:r w:rsidR="00367893" w:rsidRPr="00A2333E">
        <w:t xml:space="preserve">because cost-effectiveness analyses are particularly sensitive to the choice of discount rate when benefits are accrued over a very long </w:t>
      </w:r>
      <w:r w:rsidR="00E03559" w:rsidRPr="00A2333E">
        <w:t>time.</w:t>
      </w:r>
      <w:r w:rsidR="00367893" w:rsidRPr="00A2333E">
        <w:t xml:space="preserve"> </w:t>
      </w:r>
      <w:r w:rsidR="00B91883" w:rsidRPr="00A2333E">
        <w:t xml:space="preserve">The criterion does not therefore penalise </w:t>
      </w:r>
      <w:r w:rsidR="00AE644B" w:rsidRPr="00A2333E">
        <w:t xml:space="preserve">people </w:t>
      </w:r>
      <w:r w:rsidR="00B91883" w:rsidRPr="00A2333E">
        <w:t xml:space="preserve">with hATTR </w:t>
      </w:r>
      <w:r w:rsidR="00672043" w:rsidRPr="00A2333E">
        <w:t xml:space="preserve">amyloidosis </w:t>
      </w:r>
      <w:r w:rsidR="00B91883" w:rsidRPr="00A2333E">
        <w:t>because of the age at which they are diagnosed</w:t>
      </w:r>
      <w:r w:rsidR="00592518" w:rsidRPr="00A2333E">
        <w:t>.</w:t>
      </w:r>
      <w:r w:rsidR="00461902" w:rsidRPr="00A2333E">
        <w:br/>
      </w:r>
      <w:r w:rsidR="00461902" w:rsidRPr="00A2333E">
        <w:br/>
      </w:r>
      <w:r w:rsidR="00B91883" w:rsidRPr="00A2333E">
        <w:t>The committee therefore concluded that patisiran</w:t>
      </w:r>
      <w:r w:rsidR="00592518" w:rsidRPr="00A2333E">
        <w:t xml:space="preserve"> does not meet the</w:t>
      </w:r>
      <w:r w:rsidR="00B91883" w:rsidRPr="00A2333E">
        <w:t xml:space="preserve"> criteria for applying a discount rate of 1.5%. It concluded that a discount rate of 3.5% should be applied for </w:t>
      </w:r>
      <w:r w:rsidR="006D6EFD" w:rsidRPr="00A2333E">
        <w:t xml:space="preserve">both </w:t>
      </w:r>
      <w:r w:rsidR="00B91883" w:rsidRPr="00A2333E">
        <w:t>cost</w:t>
      </w:r>
      <w:r w:rsidR="006D6EFD" w:rsidRPr="00A2333E">
        <w:t>s</w:t>
      </w:r>
      <w:r w:rsidR="00B91883" w:rsidRPr="00A2333E">
        <w:t xml:space="preserve"> and health effects.</w:t>
      </w:r>
      <w:bookmarkEnd w:id="31"/>
    </w:p>
    <w:p w14:paraId="6F1C9C7C" w14:textId="77777777" w:rsidR="007E2265" w:rsidRPr="00A2333E" w:rsidRDefault="007E2265" w:rsidP="007E2265">
      <w:pPr>
        <w:pStyle w:val="Heading3"/>
      </w:pPr>
      <w:r w:rsidRPr="00A2333E">
        <w:t>Cost-effectiveness results</w:t>
      </w:r>
    </w:p>
    <w:p w14:paraId="37AC28F9" w14:textId="77777777" w:rsidR="00F757AB" w:rsidRPr="00A2333E" w:rsidRDefault="00394D54" w:rsidP="00B7716A">
      <w:pPr>
        <w:pStyle w:val="Numberedlevel2text"/>
      </w:pPr>
      <w:r w:rsidRPr="00394D54">
        <w:t xml:space="preserve">The committee noted that, in the company’s base case, </w:t>
      </w:r>
      <w:r>
        <w:t>patisiran</w:t>
      </w:r>
      <w:r w:rsidRPr="00394D54">
        <w:t xml:space="preserve"> was associated with </w:t>
      </w:r>
      <w:r>
        <w:t xml:space="preserve">an </w:t>
      </w:r>
      <w:r w:rsidRPr="00394D54">
        <w:t>ICER of £80,730</w:t>
      </w:r>
      <w:r w:rsidR="004178C8">
        <w:t xml:space="preserve"> per QALY gained</w:t>
      </w:r>
      <w:r>
        <w:t>. However, it</w:t>
      </w:r>
      <w:r w:rsidRPr="00394D54">
        <w:t xml:space="preserve"> considered that the company’s base case was not appropriate for decision </w:t>
      </w:r>
      <w:r w:rsidRPr="00394D54">
        <w:lastRenderedPageBreak/>
        <w:t xml:space="preserve">making. </w:t>
      </w:r>
      <w:r w:rsidR="007A6730" w:rsidRPr="00A2333E">
        <w:t>This was</w:t>
      </w:r>
      <w:r w:rsidR="005F7390" w:rsidRPr="00A2333E">
        <w:t xml:space="preserve"> mainly</w:t>
      </w:r>
      <w:r w:rsidR="00F7188C" w:rsidRPr="00A2333E">
        <w:t xml:space="preserve"> because of concerns about the </w:t>
      </w:r>
      <w:r w:rsidR="008C0BF3" w:rsidRPr="00A2333E">
        <w:t xml:space="preserve">utility values used in the model and </w:t>
      </w:r>
      <w:r w:rsidR="00F7188C" w:rsidRPr="00A2333E">
        <w:t xml:space="preserve">survival output produced by the model. </w:t>
      </w:r>
      <w:r w:rsidR="00B7716A" w:rsidRPr="00A2333E">
        <w:t xml:space="preserve">The committee </w:t>
      </w:r>
      <w:r w:rsidR="00F7188C" w:rsidRPr="00A2333E">
        <w:t xml:space="preserve">therefore </w:t>
      </w:r>
      <w:r w:rsidR="00B7716A" w:rsidRPr="00A2333E">
        <w:t>considered the ICER per QALY</w:t>
      </w:r>
      <w:r w:rsidR="002466CA" w:rsidRPr="00A2333E">
        <w:t xml:space="preserve"> </w:t>
      </w:r>
      <w:r w:rsidR="00B7716A" w:rsidRPr="00A2333E">
        <w:t>gained using its preferred assumptions</w:t>
      </w:r>
      <w:r w:rsidR="007A6730" w:rsidRPr="00A2333E">
        <w:t>, which were</w:t>
      </w:r>
      <w:r w:rsidR="00B7716A" w:rsidRPr="00A2333E">
        <w:t>:</w:t>
      </w:r>
    </w:p>
    <w:p w14:paraId="62ACAFE6" w14:textId="77777777" w:rsidR="00DB1A4E" w:rsidRPr="00A2333E" w:rsidRDefault="00DB1A4E" w:rsidP="00672043">
      <w:pPr>
        <w:pStyle w:val="Bulletindent1"/>
      </w:pPr>
      <w:r w:rsidRPr="00A2333E">
        <w:t>accept</w:t>
      </w:r>
      <w:r w:rsidR="007A6730" w:rsidRPr="00A2333E">
        <w:t>ing the</w:t>
      </w:r>
      <w:r w:rsidRPr="00A2333E">
        <w:t xml:space="preserve"> company’s formal </w:t>
      </w:r>
      <w:r w:rsidR="00AD1DC6" w:rsidRPr="00A2333E">
        <w:t xml:space="preserve">stopping </w:t>
      </w:r>
      <w:r w:rsidRPr="00A2333E">
        <w:t>rule and the additional time-to-treatment discontinuation curve (see section</w:t>
      </w:r>
      <w:r w:rsidR="007A6730" w:rsidRPr="00A2333E">
        <w:t> </w:t>
      </w:r>
      <w:r w:rsidR="00EF042F" w:rsidRPr="00A2333E">
        <w:t>4.13</w:t>
      </w:r>
      <w:r w:rsidR="007A6730" w:rsidRPr="00A2333E">
        <w:t>)</w:t>
      </w:r>
    </w:p>
    <w:p w14:paraId="15E4E36C" w14:textId="77777777" w:rsidR="00DB1A4E" w:rsidRPr="00A2333E" w:rsidRDefault="007A6730" w:rsidP="00672043">
      <w:pPr>
        <w:pStyle w:val="Bulletindent1"/>
      </w:pPr>
      <w:r w:rsidRPr="00A2333E">
        <w:t xml:space="preserve">capping </w:t>
      </w:r>
      <w:r w:rsidR="00DB1A4E" w:rsidRPr="00A2333E">
        <w:t>duration of treatment</w:t>
      </w:r>
      <w:r w:rsidR="007D728B">
        <w:t>-</w:t>
      </w:r>
      <w:r w:rsidR="003B5107" w:rsidRPr="00A2333E">
        <w:t>related utility gains or losses within the same health state</w:t>
      </w:r>
      <w:r w:rsidR="00DB1A4E" w:rsidRPr="00A2333E">
        <w:t xml:space="preserve"> at 5</w:t>
      </w:r>
      <w:r w:rsidRPr="00A2333E">
        <w:t> </w:t>
      </w:r>
      <w:r w:rsidR="00DB1A4E" w:rsidRPr="00A2333E">
        <w:t>years (see section</w:t>
      </w:r>
      <w:r w:rsidRPr="00A2333E">
        <w:t> </w:t>
      </w:r>
      <w:r w:rsidR="00EF042F" w:rsidRPr="00A2333E">
        <w:t>4.15</w:t>
      </w:r>
      <w:r w:rsidR="00DB1A4E" w:rsidRPr="00A2333E">
        <w:t>)</w:t>
      </w:r>
    </w:p>
    <w:p w14:paraId="08F56A0C" w14:textId="77777777" w:rsidR="00DB1A4E" w:rsidRPr="00A2333E" w:rsidRDefault="00DB1A4E" w:rsidP="00DB1A4E">
      <w:pPr>
        <w:pStyle w:val="Bulletindent1"/>
      </w:pPr>
      <w:r w:rsidRPr="00A2333E">
        <w:t>us</w:t>
      </w:r>
      <w:r w:rsidR="007A6730" w:rsidRPr="00A2333E">
        <w:t>ing</w:t>
      </w:r>
      <w:r w:rsidRPr="00A2333E">
        <w:t xml:space="preserve"> a utility cap for the general population based on more recent data (Ara and Brazier, 2010, rather than Kind et al., 1999</w:t>
      </w:r>
      <w:r w:rsidR="00EF042F" w:rsidRPr="00A2333E">
        <w:t xml:space="preserve"> – see section</w:t>
      </w:r>
      <w:r w:rsidR="007A6730" w:rsidRPr="00A2333E">
        <w:t> </w:t>
      </w:r>
      <w:r w:rsidR="00EF042F" w:rsidRPr="00A2333E">
        <w:t>4.15</w:t>
      </w:r>
      <w:r w:rsidRPr="00A2333E">
        <w:t>)</w:t>
      </w:r>
    </w:p>
    <w:p w14:paraId="49F21099" w14:textId="77777777" w:rsidR="00DB1A4E" w:rsidRPr="00A2333E" w:rsidRDefault="00832338" w:rsidP="00672043">
      <w:pPr>
        <w:pStyle w:val="Bulletindent1"/>
      </w:pPr>
      <w:r w:rsidRPr="00A2333E">
        <w:t>appl</w:t>
      </w:r>
      <w:r w:rsidR="007A6730" w:rsidRPr="00A2333E">
        <w:t>y</w:t>
      </w:r>
      <w:r w:rsidRPr="00A2333E">
        <w:t>i</w:t>
      </w:r>
      <w:r w:rsidR="007A6730" w:rsidRPr="00A2333E">
        <w:t>ng</w:t>
      </w:r>
      <w:r w:rsidR="00DB1A4E" w:rsidRPr="00A2333E">
        <w:t xml:space="preserve"> only part of GI</w:t>
      </w:r>
      <w:r w:rsidR="007A6730" w:rsidRPr="00A2333E">
        <w:noBreakHyphen/>
      </w:r>
      <w:r w:rsidR="00DB1A4E" w:rsidRPr="00A2333E">
        <w:t>related disutilities in the model (see section</w:t>
      </w:r>
      <w:r w:rsidR="007A6730" w:rsidRPr="00A2333E">
        <w:t> </w:t>
      </w:r>
      <w:r w:rsidR="00EF042F" w:rsidRPr="00A2333E">
        <w:t>4.18</w:t>
      </w:r>
      <w:r w:rsidR="00DB1A4E" w:rsidRPr="00A2333E">
        <w:t>)</w:t>
      </w:r>
    </w:p>
    <w:p w14:paraId="667386EF" w14:textId="77777777" w:rsidR="00DB1A4E" w:rsidRPr="00A2333E" w:rsidRDefault="007A6730" w:rsidP="00672043">
      <w:pPr>
        <w:pStyle w:val="Bulletindent1"/>
      </w:pPr>
      <w:r w:rsidRPr="00A2333E">
        <w:t xml:space="preserve">applying </w:t>
      </w:r>
      <w:r w:rsidR="00DB1A4E" w:rsidRPr="00A2333E">
        <w:t>GI</w:t>
      </w:r>
      <w:r w:rsidRPr="00A2333E">
        <w:noBreakHyphen/>
      </w:r>
      <w:r w:rsidR="00DB1A4E" w:rsidRPr="00A2333E">
        <w:t xml:space="preserve">related disutilities </w:t>
      </w:r>
      <w:r w:rsidR="00832338" w:rsidRPr="00A2333E">
        <w:t xml:space="preserve">immediately after </w:t>
      </w:r>
      <w:r w:rsidR="00AD1DC6" w:rsidRPr="00A2333E">
        <w:t xml:space="preserve">stopping treatment </w:t>
      </w:r>
      <w:r w:rsidR="000B3DAC">
        <w:t xml:space="preserve">with patisiran </w:t>
      </w:r>
      <w:r w:rsidR="00832338" w:rsidRPr="00A2333E">
        <w:t>(see section</w:t>
      </w:r>
      <w:r w:rsidRPr="00A2333E">
        <w:t> </w:t>
      </w:r>
      <w:r w:rsidR="00EF042F" w:rsidRPr="00A2333E">
        <w:t>4.19</w:t>
      </w:r>
      <w:r w:rsidR="00832338" w:rsidRPr="00A2333E">
        <w:t>)</w:t>
      </w:r>
    </w:p>
    <w:p w14:paraId="790C785B" w14:textId="77777777" w:rsidR="00832338" w:rsidRPr="00A2333E" w:rsidRDefault="007A6730" w:rsidP="00672043">
      <w:pPr>
        <w:pStyle w:val="Bulletindent1"/>
      </w:pPr>
      <w:r w:rsidRPr="00A2333E">
        <w:t xml:space="preserve">assuming </w:t>
      </w:r>
      <w:r w:rsidR="00832338" w:rsidRPr="00A2333E">
        <w:t>1</w:t>
      </w:r>
      <w:r w:rsidRPr="00A2333E">
        <w:t> </w:t>
      </w:r>
      <w:r w:rsidR="00832338" w:rsidRPr="00A2333E">
        <w:t xml:space="preserve">carer assumed in </w:t>
      </w:r>
      <w:r w:rsidR="005F7390" w:rsidRPr="00A2333E">
        <w:t xml:space="preserve">FAP </w:t>
      </w:r>
      <w:r w:rsidR="00832338" w:rsidRPr="00A2333E">
        <w:t>stages 1</w:t>
      </w:r>
      <w:r w:rsidRPr="00A2333E">
        <w:t> </w:t>
      </w:r>
      <w:r w:rsidR="00832338" w:rsidRPr="00A2333E">
        <w:t>and</w:t>
      </w:r>
      <w:r w:rsidRPr="00A2333E">
        <w:t> </w:t>
      </w:r>
      <w:r w:rsidR="00832338" w:rsidRPr="00A2333E">
        <w:t>2, and 2</w:t>
      </w:r>
      <w:r w:rsidRPr="00A2333E">
        <w:t> </w:t>
      </w:r>
      <w:r w:rsidR="00832338" w:rsidRPr="00A2333E">
        <w:t xml:space="preserve">carers in </w:t>
      </w:r>
      <w:r w:rsidR="005F7390" w:rsidRPr="00A2333E">
        <w:t xml:space="preserve">FAP </w:t>
      </w:r>
      <w:r w:rsidR="00832338" w:rsidRPr="00A2333E">
        <w:t>stage</w:t>
      </w:r>
      <w:r w:rsidRPr="00A2333E">
        <w:t> </w:t>
      </w:r>
      <w:r w:rsidR="00832338" w:rsidRPr="00A2333E">
        <w:t>3 based on the company’s updated model (see section</w:t>
      </w:r>
      <w:r w:rsidRPr="00A2333E">
        <w:t> </w:t>
      </w:r>
      <w:r w:rsidR="00EF042F" w:rsidRPr="00A2333E">
        <w:t>4.20</w:t>
      </w:r>
      <w:r w:rsidR="00832338" w:rsidRPr="00A2333E">
        <w:t>)</w:t>
      </w:r>
    </w:p>
    <w:p w14:paraId="6E722CB9" w14:textId="77777777" w:rsidR="00832338" w:rsidRPr="00A2333E" w:rsidRDefault="007A6730" w:rsidP="00672043">
      <w:pPr>
        <w:pStyle w:val="Bulletindent1"/>
      </w:pPr>
      <w:r w:rsidRPr="00A2333E">
        <w:t xml:space="preserve">modelling </w:t>
      </w:r>
      <w:r w:rsidR="00832338" w:rsidRPr="00A2333E">
        <w:t xml:space="preserve">effects of treatment on mortality </w:t>
      </w:r>
      <w:r w:rsidRPr="00A2333E">
        <w:t>using</w:t>
      </w:r>
      <w:r w:rsidR="00832338" w:rsidRPr="00A2333E">
        <w:t xml:space="preserve"> PND-related hazard ratios only (see section</w:t>
      </w:r>
      <w:r w:rsidRPr="00A2333E">
        <w:t> </w:t>
      </w:r>
      <w:r w:rsidR="00EF042F" w:rsidRPr="00A2333E">
        <w:t>4.23</w:t>
      </w:r>
      <w:r w:rsidR="00832338" w:rsidRPr="00A2333E">
        <w:t>)</w:t>
      </w:r>
    </w:p>
    <w:p w14:paraId="2D2AA42D" w14:textId="1BEF08D4" w:rsidR="00BA580A" w:rsidRPr="00A2333E" w:rsidRDefault="0008194F" w:rsidP="007A6730">
      <w:pPr>
        <w:pStyle w:val="Bulletindent1last"/>
      </w:pPr>
      <w:r w:rsidRPr="00A2333E">
        <w:t>us</w:t>
      </w:r>
      <w:r w:rsidR="007A6730" w:rsidRPr="00A2333E">
        <w:t>ing</w:t>
      </w:r>
      <w:r w:rsidRPr="00A2333E">
        <w:t xml:space="preserve"> a </w:t>
      </w:r>
      <w:r w:rsidR="00B135C8" w:rsidRPr="00A2333E">
        <w:t>discount rate of 3.5% for costs and benefits (see section</w:t>
      </w:r>
      <w:r w:rsidR="00672043" w:rsidRPr="00A2333E">
        <w:t> </w:t>
      </w:r>
      <w:r w:rsidR="00EF042F" w:rsidRPr="00A2333E">
        <w:t>4.25</w:t>
      </w:r>
      <w:r w:rsidR="003307BA" w:rsidRPr="00A2333E">
        <w:t>)</w:t>
      </w:r>
      <w:r w:rsidR="007A6730" w:rsidRPr="00A2333E">
        <w:t>.</w:t>
      </w:r>
      <w:r w:rsidR="007A6730" w:rsidRPr="00A2333E">
        <w:br/>
      </w:r>
      <w:r w:rsidR="007A6730" w:rsidRPr="00A2333E">
        <w:br/>
      </w:r>
      <w:r w:rsidR="00752611">
        <w:t>A scenario provided by the ERG</w:t>
      </w:r>
      <w:r w:rsidR="00726FB1">
        <w:t>,</w:t>
      </w:r>
      <w:r w:rsidR="00752611">
        <w:t xml:space="preserve"> which used the committee’s preferred assumptions and applied more pessimistic g</w:t>
      </w:r>
      <w:r w:rsidR="00752611" w:rsidRPr="00394D54">
        <w:t>astrointestinal-related disutilities</w:t>
      </w:r>
      <w:r w:rsidR="00752611">
        <w:t xml:space="preserve"> in the model</w:t>
      </w:r>
      <w:r w:rsidR="00726FB1">
        <w:t>,</w:t>
      </w:r>
      <w:r w:rsidR="00752611">
        <w:t xml:space="preserve"> resulted in survival output that was more plausible. In this scenario analysis patisiran was associated with an ICER of £125,256 per QALY gained. The committee acknowledged that neither the company’s base case nor the ERG scenario </w:t>
      </w:r>
      <w:proofErr w:type="gramStart"/>
      <w:r w:rsidR="00726FB1">
        <w:t>were</w:t>
      </w:r>
      <w:proofErr w:type="gramEnd"/>
      <w:r w:rsidR="00752611">
        <w:t xml:space="preserve"> </w:t>
      </w:r>
      <w:r w:rsidR="00997809">
        <w:t xml:space="preserve">without </w:t>
      </w:r>
      <w:r w:rsidR="00752611">
        <w:t>flaws</w:t>
      </w:r>
      <w:r w:rsidR="00726FB1">
        <w:t xml:space="preserve">. However, </w:t>
      </w:r>
      <w:r w:rsidR="00752611">
        <w:t xml:space="preserve">it </w:t>
      </w:r>
      <w:r w:rsidR="00C87030" w:rsidRPr="00A2333E">
        <w:t xml:space="preserve">considered </w:t>
      </w:r>
      <w:r w:rsidR="00A47025" w:rsidRPr="00A2333E">
        <w:t xml:space="preserve">that the most plausible </w:t>
      </w:r>
      <w:r w:rsidR="006F10FB" w:rsidRPr="00A2333E">
        <w:t xml:space="preserve">ICER for </w:t>
      </w:r>
      <w:r w:rsidR="00850CFB" w:rsidRPr="00A2333E">
        <w:t xml:space="preserve">patisiran </w:t>
      </w:r>
      <w:r w:rsidR="006F10FB" w:rsidRPr="00A2333E">
        <w:t xml:space="preserve">compared with </w:t>
      </w:r>
      <w:r w:rsidR="00850CFB" w:rsidRPr="00A2333E">
        <w:t>BSC</w:t>
      </w:r>
      <w:r w:rsidR="006F10FB" w:rsidRPr="00A2333E">
        <w:t xml:space="preserve"> using the confidential commercial arrangement for </w:t>
      </w:r>
      <w:r w:rsidR="005F7390" w:rsidRPr="00A2333E">
        <w:t xml:space="preserve">patisiran </w:t>
      </w:r>
      <w:r w:rsidR="00752611">
        <w:t xml:space="preserve">was likely to be between </w:t>
      </w:r>
      <w:bookmarkStart w:id="32" w:name="_Hlk11851987"/>
      <w:r w:rsidR="00F078CD" w:rsidRPr="00FD702D">
        <w:t>£80,730</w:t>
      </w:r>
      <w:r w:rsidR="00F078CD" w:rsidRPr="00102160">
        <w:t xml:space="preserve"> </w:t>
      </w:r>
      <w:bookmarkEnd w:id="32"/>
      <w:r w:rsidR="00F078CD" w:rsidRPr="00102160">
        <w:t xml:space="preserve">and </w:t>
      </w:r>
      <w:r w:rsidR="00F078CD" w:rsidRPr="00FD702D">
        <w:t>£125,256</w:t>
      </w:r>
      <w:r w:rsidR="00F078CD" w:rsidRPr="00C549AD">
        <w:t xml:space="preserve"> per QALY gained</w:t>
      </w:r>
      <w:r w:rsidR="00482931">
        <w:t>.</w:t>
      </w:r>
      <w:r w:rsidR="00752611">
        <w:t xml:space="preserve"> </w:t>
      </w:r>
      <w:r w:rsidR="00482931">
        <w:t>T</w:t>
      </w:r>
      <w:r w:rsidR="00F078CD">
        <w:t>herefore</w:t>
      </w:r>
      <w:r w:rsidR="00752611">
        <w:t>,</w:t>
      </w:r>
      <w:r w:rsidR="00F078CD">
        <w:t xml:space="preserve"> </w:t>
      </w:r>
      <w:r w:rsidR="00482931">
        <w:t xml:space="preserve">the </w:t>
      </w:r>
      <w:r w:rsidR="009F1277">
        <w:t xml:space="preserve">committee concluded that the most </w:t>
      </w:r>
      <w:r w:rsidR="00EC33F7">
        <w:t>plausible</w:t>
      </w:r>
      <w:r w:rsidR="00482931">
        <w:t xml:space="preserve"> </w:t>
      </w:r>
      <w:r w:rsidR="00482931">
        <w:lastRenderedPageBreak/>
        <w:t xml:space="preserve">ICER is </w:t>
      </w:r>
      <w:r w:rsidR="006F10FB" w:rsidRPr="00A2333E">
        <w:t xml:space="preserve">above </w:t>
      </w:r>
      <w:r w:rsidR="00850CFB" w:rsidRPr="00A2333E">
        <w:t>the range that can</w:t>
      </w:r>
      <w:r w:rsidR="00F078CD">
        <w:t xml:space="preserve"> usually</w:t>
      </w:r>
      <w:r w:rsidR="00850CFB" w:rsidRPr="00A2333E">
        <w:t xml:space="preserve"> be considered an effective use of NHS resources</w:t>
      </w:r>
      <w:r w:rsidR="00850CFB" w:rsidRPr="00A2333E" w:rsidDel="00630DDD">
        <w:t xml:space="preserve"> </w:t>
      </w:r>
      <w:r w:rsidR="00850CFB" w:rsidRPr="00A2333E">
        <w:t>for highly specialised technologies</w:t>
      </w:r>
      <w:r w:rsidR="006F10FB" w:rsidRPr="00A2333E">
        <w:t>.</w:t>
      </w:r>
    </w:p>
    <w:p w14:paraId="57E92CA3" w14:textId="77777777" w:rsidR="00445176" w:rsidRPr="00A2333E" w:rsidRDefault="00445176" w:rsidP="00445176">
      <w:pPr>
        <w:pStyle w:val="Heading3"/>
      </w:pPr>
      <w:r w:rsidRPr="00A2333E">
        <w:t>Application of QALY weighting</w:t>
      </w:r>
    </w:p>
    <w:p w14:paraId="27623E56" w14:textId="77777777" w:rsidR="00445176" w:rsidRPr="00A2333E" w:rsidRDefault="00445176" w:rsidP="00445176">
      <w:pPr>
        <w:pStyle w:val="Numberedlevel2text"/>
      </w:pPr>
      <w:r w:rsidRPr="00A2333E">
        <w:t xml:space="preserve">The committee understood that the </w:t>
      </w:r>
      <w:hyperlink r:id="rId13" w:history="1">
        <w:r w:rsidRPr="00A2333E">
          <w:rPr>
            <w:rStyle w:val="Hyperlink"/>
          </w:rPr>
          <w:t>interim process and methods of the highly specialised technologies programme</w:t>
        </w:r>
      </w:hyperlink>
      <w:r w:rsidRPr="00A2333E">
        <w:t xml:space="preserve"> (2017) specifies that a most plausible ICER of below £100,000 per QALY gained for a highly specialised technology is normally considered an effective use of NHS resources. For a most plausible ICER above £100,000 per QALY gained, judgements about the acceptability of the highly specialised technology as an effective use of NHS resources must take account of the magnitude of the incremental therapeutic improvement, as revealed through the number of additional QALYs gained and by applying a ‘QALY weight’. It understood that a weight between 1 and 3 can be applied when the QALY gain is between 10 and 30 QALYs. The committee discussed the QALY gains associated with </w:t>
      </w:r>
      <w:r w:rsidR="005E4F6D" w:rsidRPr="00A2333E">
        <w:t>patisiran and</w:t>
      </w:r>
      <w:r w:rsidRPr="00A2333E">
        <w:t xml:space="preserve"> highlighted that these were </w:t>
      </w:r>
      <w:r w:rsidR="00CD0191">
        <w:t xml:space="preserve">likely </w:t>
      </w:r>
      <w:r w:rsidR="004178C8">
        <w:t xml:space="preserve">to be </w:t>
      </w:r>
      <w:r w:rsidR="008C12E8">
        <w:t xml:space="preserve">just </w:t>
      </w:r>
      <w:r w:rsidRPr="00A2333E">
        <w:t>below 10</w:t>
      </w:r>
      <w:r w:rsidR="00CD0191">
        <w:t xml:space="preserve"> (ranging from 9.16 QALYs using the committee’s preferred assumptions </w:t>
      </w:r>
      <w:r w:rsidR="004178C8">
        <w:t>to</w:t>
      </w:r>
      <w:r w:rsidR="00CD0191">
        <w:t xml:space="preserve"> 12.19 QALYs in the company’s revised base </w:t>
      </w:r>
      <w:proofErr w:type="gramStart"/>
      <w:r w:rsidR="00CD0191">
        <w:t>case</w:t>
      </w:r>
      <w:r w:rsidR="007A164F">
        <w:t>, but</w:t>
      </w:r>
      <w:proofErr w:type="gramEnd"/>
      <w:r w:rsidR="007A164F">
        <w:t xml:space="preserve"> expected to be closer to the lower endpoint</w:t>
      </w:r>
      <w:r w:rsidR="00CD0191">
        <w:t>)</w:t>
      </w:r>
      <w:r w:rsidRPr="00A2333E">
        <w:t xml:space="preserve">. </w:t>
      </w:r>
      <w:r w:rsidR="007A164F">
        <w:t>Although, QALY gains with patisiran were likely to be close to the threshold</w:t>
      </w:r>
      <w:r w:rsidR="003D01C2" w:rsidRPr="003D01C2">
        <w:t>, the committee concluded that patisiran did not meet the criteria for applying a QALY weight.</w:t>
      </w:r>
    </w:p>
    <w:p w14:paraId="7EFE29E7" w14:textId="77777777" w:rsidR="004C644E" w:rsidRPr="00A2333E" w:rsidRDefault="004C644E" w:rsidP="00F51D14">
      <w:pPr>
        <w:pStyle w:val="Heading3"/>
      </w:pPr>
      <w:r w:rsidRPr="00A2333E">
        <w:t>Impact of the technology beyond direct health benefits and on the delivery of the specialised service</w:t>
      </w:r>
    </w:p>
    <w:p w14:paraId="779A79C0" w14:textId="77777777" w:rsidR="00D6469A" w:rsidRPr="00A2333E" w:rsidRDefault="00D6469A" w:rsidP="00D6469A">
      <w:pPr>
        <w:pStyle w:val="Numberedlevel2text"/>
      </w:pPr>
      <w:r w:rsidRPr="00A2333E">
        <w:t>The committee discussed the effect</w:t>
      </w:r>
      <w:r w:rsidR="00FE6690" w:rsidRPr="00A2333E">
        <w:t>s</w:t>
      </w:r>
      <w:r w:rsidRPr="00A2333E">
        <w:t xml:space="preserve"> of </w:t>
      </w:r>
      <w:r w:rsidR="00FE6690" w:rsidRPr="00A2333E">
        <w:t xml:space="preserve">patisiran </w:t>
      </w:r>
      <w:r w:rsidRPr="00A2333E">
        <w:t>beyond its direct health benefits and the testimony of the patient experts. It understood from patient and clinical experts that all aspects of patients</w:t>
      </w:r>
      <w:r w:rsidR="00FE6690" w:rsidRPr="00A2333E">
        <w:t>’</w:t>
      </w:r>
      <w:r w:rsidRPr="00A2333E">
        <w:t>, families</w:t>
      </w:r>
      <w:r w:rsidR="00FE6690" w:rsidRPr="00A2333E">
        <w:t>’</w:t>
      </w:r>
      <w:r w:rsidRPr="00A2333E">
        <w:t xml:space="preserve"> and carers’ lives are affected by the condition. It noted that there is a significant negative financial </w:t>
      </w:r>
      <w:r w:rsidR="00FE6690" w:rsidRPr="00A2333E">
        <w:t xml:space="preserve">effect </w:t>
      </w:r>
      <w:r w:rsidRPr="00A2333E">
        <w:t xml:space="preserve">for families </w:t>
      </w:r>
      <w:r w:rsidR="00FE6690" w:rsidRPr="00A2333E">
        <w:t xml:space="preserve">if they </w:t>
      </w:r>
      <w:proofErr w:type="gramStart"/>
      <w:r w:rsidR="00FE6690" w:rsidRPr="00A2333E">
        <w:t xml:space="preserve">have </w:t>
      </w:r>
      <w:r w:rsidRPr="00A2333E">
        <w:t>to</w:t>
      </w:r>
      <w:proofErr w:type="gramEnd"/>
      <w:r w:rsidRPr="00A2333E">
        <w:t xml:space="preserve"> give up work to provide full-time care or </w:t>
      </w:r>
      <w:r w:rsidR="00FE6690" w:rsidRPr="00A2333E">
        <w:t xml:space="preserve">need to </w:t>
      </w:r>
      <w:r w:rsidRPr="00A2333E">
        <w:t xml:space="preserve">employ professional </w:t>
      </w:r>
      <w:proofErr w:type="spellStart"/>
      <w:r w:rsidRPr="00A2333E">
        <w:t>carers</w:t>
      </w:r>
      <w:proofErr w:type="spellEnd"/>
      <w:r w:rsidRPr="00A2333E">
        <w:t xml:space="preserve">. The patient experts explained that </w:t>
      </w:r>
      <w:r w:rsidR="005D2BE7" w:rsidRPr="00A2333E">
        <w:t xml:space="preserve">patisiran </w:t>
      </w:r>
      <w:r w:rsidRPr="00A2333E">
        <w:t>has changed their experience of living with hATTR amyloidosis. The committee concluded that hATTR amyloidosis affects patients beyond direct health benefits.</w:t>
      </w:r>
    </w:p>
    <w:p w14:paraId="7C3DBE3F" w14:textId="77777777" w:rsidR="00D33D8C" w:rsidRPr="00A2333E" w:rsidRDefault="00D33D8C" w:rsidP="00D33D8C">
      <w:pPr>
        <w:pStyle w:val="Numberedlevel2text"/>
      </w:pPr>
      <w:r w:rsidRPr="00A2333E">
        <w:lastRenderedPageBreak/>
        <w:t>The committee noted that hATTR</w:t>
      </w:r>
      <w:r w:rsidRPr="00A2333E">
        <w:rPr>
          <w:szCs w:val="22"/>
        </w:rPr>
        <w:t xml:space="preserve"> </w:t>
      </w:r>
      <w:r w:rsidR="00672043" w:rsidRPr="00A2333E">
        <w:t xml:space="preserve">amyloidosis </w:t>
      </w:r>
      <w:r w:rsidRPr="00A2333E">
        <w:t xml:space="preserve">is managed at </w:t>
      </w:r>
      <w:r w:rsidR="0008194F" w:rsidRPr="00A2333E">
        <w:t>the National Amyloidosis Centre</w:t>
      </w:r>
      <w:r w:rsidRPr="00A2333E">
        <w:t xml:space="preserve">, so no additional infrastructure or staff training will be needed to manage </w:t>
      </w:r>
      <w:r w:rsidR="00584119" w:rsidRPr="00A2333E">
        <w:t xml:space="preserve">patisiran </w:t>
      </w:r>
      <w:r w:rsidRPr="00A2333E">
        <w:t>use in England.</w:t>
      </w:r>
    </w:p>
    <w:p w14:paraId="67B86EB2" w14:textId="77777777" w:rsidR="00DE6E38" w:rsidRPr="00A2333E" w:rsidRDefault="00996887" w:rsidP="00DE6E38">
      <w:pPr>
        <w:pStyle w:val="Heading2"/>
      </w:pPr>
      <w:r w:rsidRPr="00A2333E">
        <w:t xml:space="preserve">Additional </w:t>
      </w:r>
      <w:r w:rsidR="00DE6E38" w:rsidRPr="00A2333E">
        <w:t>factors</w:t>
      </w:r>
    </w:p>
    <w:p w14:paraId="297B8D97" w14:textId="77777777" w:rsidR="006F10FB" w:rsidRPr="00A2333E" w:rsidRDefault="006F10FB" w:rsidP="006F10FB">
      <w:pPr>
        <w:pStyle w:val="Heading3"/>
      </w:pPr>
      <w:r w:rsidRPr="00A2333E">
        <w:t>Innovation</w:t>
      </w:r>
    </w:p>
    <w:p w14:paraId="03F3950E" w14:textId="351EDD82" w:rsidR="00692129" w:rsidRPr="00A2333E" w:rsidRDefault="00692129" w:rsidP="00692129">
      <w:pPr>
        <w:pStyle w:val="Numberedlevel2text"/>
      </w:pPr>
      <w:r w:rsidRPr="00A2333E">
        <w:t>The committee discussed the innovative nature of patisiran</w:t>
      </w:r>
      <w:r w:rsidR="000967FF" w:rsidRPr="00A2333E">
        <w:t>. It</w:t>
      </w:r>
      <w:r w:rsidRPr="00A2333E">
        <w:t xml:space="preserve"> not</w:t>
      </w:r>
      <w:r w:rsidR="000967FF" w:rsidRPr="00A2333E">
        <w:t>ed</w:t>
      </w:r>
      <w:r w:rsidRPr="00A2333E">
        <w:t xml:space="preserve"> that </w:t>
      </w:r>
      <w:r w:rsidR="000967FF" w:rsidRPr="00A2333E">
        <w:t xml:space="preserve">the drug </w:t>
      </w:r>
      <w:r w:rsidRPr="00A2333E">
        <w:t>is t</w:t>
      </w:r>
      <w:bookmarkStart w:id="33" w:name="_GoBack"/>
      <w:bookmarkEnd w:id="33"/>
      <w:r w:rsidRPr="00A2333E">
        <w:t xml:space="preserve">he first licensed ‘small </w:t>
      </w:r>
      <w:bookmarkStart w:id="34" w:name="_Hlk10471431"/>
      <w:r w:rsidRPr="00A2333E">
        <w:t>interfering ribonucleic acid</w:t>
      </w:r>
      <w:r w:rsidR="00A900CF" w:rsidRPr="00A2333E">
        <w:t xml:space="preserve"> (RNA)</w:t>
      </w:r>
      <w:r w:rsidRPr="00A2333E">
        <w:t>’</w:t>
      </w:r>
      <w:bookmarkEnd w:id="34"/>
      <w:r w:rsidR="000967FF" w:rsidRPr="00A2333E">
        <w:t>. It also noted that</w:t>
      </w:r>
      <w:r w:rsidR="000443E8" w:rsidRPr="00A2333E">
        <w:t xml:space="preserve"> confirmation of the clinical utility of </w:t>
      </w:r>
      <w:r w:rsidR="00570C29">
        <w:t>RNA interference</w:t>
      </w:r>
      <w:r w:rsidR="000443E8" w:rsidRPr="00A2333E">
        <w:t xml:space="preserve"> </w:t>
      </w:r>
      <w:r w:rsidR="00570C29">
        <w:t xml:space="preserve">in this case </w:t>
      </w:r>
      <w:proofErr w:type="gramStart"/>
      <w:r w:rsidR="00570C29">
        <w:t>opens up</w:t>
      </w:r>
      <w:proofErr w:type="gramEnd"/>
      <w:r w:rsidR="000443E8" w:rsidRPr="00A2333E">
        <w:t xml:space="preserve"> the possibility </w:t>
      </w:r>
      <w:r w:rsidR="000B3DAC">
        <w:t>of</w:t>
      </w:r>
      <w:r w:rsidR="000B3DAC" w:rsidRPr="00A2333E">
        <w:t xml:space="preserve"> </w:t>
      </w:r>
      <w:r w:rsidR="00570C29">
        <w:t xml:space="preserve">applying similar strategies for </w:t>
      </w:r>
      <w:r w:rsidR="005B01DF" w:rsidRPr="00A2333E">
        <w:t>muting</w:t>
      </w:r>
      <w:r w:rsidR="000443E8" w:rsidRPr="00A2333E">
        <w:t xml:space="preserve"> genes </w:t>
      </w:r>
      <w:r w:rsidR="00570C29">
        <w:t xml:space="preserve">in </w:t>
      </w:r>
      <w:r w:rsidR="000443E8" w:rsidRPr="00A2333E">
        <w:t xml:space="preserve">a range of </w:t>
      </w:r>
      <w:r w:rsidR="00BD41A4" w:rsidRPr="00A2333E">
        <w:t>conditions</w:t>
      </w:r>
      <w:r w:rsidRPr="00A2333E">
        <w:t xml:space="preserve">. </w:t>
      </w:r>
      <w:proofErr w:type="spellStart"/>
      <w:r w:rsidR="000967FF" w:rsidRPr="00A2333E">
        <w:t>Patisiran’</w:t>
      </w:r>
      <w:r w:rsidRPr="00A2333E">
        <w:t>s</w:t>
      </w:r>
      <w:proofErr w:type="spellEnd"/>
      <w:r w:rsidRPr="00A2333E">
        <w:t xml:space="preserve"> mechanism of action is distinct from all previous treatments for hATTR amyloidosis</w:t>
      </w:r>
      <w:r w:rsidR="000443E8" w:rsidRPr="00A2333E">
        <w:t xml:space="preserve"> and produces a substantial reduction or</w:t>
      </w:r>
      <w:r w:rsidR="002D0120" w:rsidRPr="00A2333E">
        <w:t xml:space="preserve"> </w:t>
      </w:r>
      <w:r w:rsidR="000443E8" w:rsidRPr="00A2333E">
        <w:t xml:space="preserve">’knockdown’ in </w:t>
      </w:r>
      <w:r w:rsidR="000967FF" w:rsidRPr="00A2333E">
        <w:t xml:space="preserve">TTR </w:t>
      </w:r>
      <w:r w:rsidR="000443E8" w:rsidRPr="00A2333E">
        <w:t>protein</w:t>
      </w:r>
      <w:r w:rsidRPr="00A2333E">
        <w:t xml:space="preserve">. The company considered that patisiran is a step-change in managing hATTR amyloidosis because it is likely to </w:t>
      </w:r>
      <w:r w:rsidR="006E5031" w:rsidRPr="00A2333E">
        <w:t xml:space="preserve">provide </w:t>
      </w:r>
      <w:r w:rsidRPr="00A2333E">
        <w:t xml:space="preserve">great benefit in </w:t>
      </w:r>
      <w:r w:rsidR="00DB27A3" w:rsidRPr="00A2333E">
        <w:t xml:space="preserve">terms of </w:t>
      </w:r>
      <w:r w:rsidRPr="00A2333E">
        <w:t xml:space="preserve">halting or reversing </w:t>
      </w:r>
      <w:r w:rsidR="00BD41A4" w:rsidRPr="00A2333E">
        <w:t xml:space="preserve">disease </w:t>
      </w:r>
      <w:r w:rsidRPr="00A2333E">
        <w:t xml:space="preserve">progression. The patient experts explained that having treatments available would give people with the condition hope </w:t>
      </w:r>
      <w:r w:rsidR="002D0120" w:rsidRPr="00A2333E">
        <w:t xml:space="preserve">of stabilisation </w:t>
      </w:r>
      <w:r w:rsidR="006E5031" w:rsidRPr="00A2333E">
        <w:t xml:space="preserve">and </w:t>
      </w:r>
      <w:r w:rsidR="002D0120" w:rsidRPr="00A2333E">
        <w:t xml:space="preserve">possibly reversal </w:t>
      </w:r>
      <w:r w:rsidR="006E5031" w:rsidRPr="00A2333E">
        <w:t xml:space="preserve">of the </w:t>
      </w:r>
      <w:r w:rsidR="00B701D8">
        <w:t>condition</w:t>
      </w:r>
      <w:r w:rsidR="006E5031" w:rsidRPr="00A2333E">
        <w:t>,</w:t>
      </w:r>
      <w:r w:rsidRPr="00A2333E">
        <w:t xml:space="preserve"> both for themselves and for family members who may be affected in the future. </w:t>
      </w:r>
      <w:r w:rsidR="006F10FB" w:rsidRPr="00A2333E">
        <w:t xml:space="preserve">The clinical experts explained that </w:t>
      </w:r>
      <w:r w:rsidR="00E13164" w:rsidRPr="00A2333E">
        <w:t>patisiran</w:t>
      </w:r>
      <w:r w:rsidR="006F10FB" w:rsidRPr="00A2333E">
        <w:t xml:space="preserve"> has a </w:t>
      </w:r>
      <w:r w:rsidR="00580376" w:rsidRPr="00A2333E">
        <w:t>favou</w:t>
      </w:r>
      <w:r w:rsidR="002A3CE7" w:rsidRPr="00A2333E">
        <w:t>r</w:t>
      </w:r>
      <w:r w:rsidR="00580376" w:rsidRPr="00A2333E">
        <w:t>able</w:t>
      </w:r>
      <w:r w:rsidR="00E13164" w:rsidRPr="00A2333E">
        <w:t xml:space="preserve"> </w:t>
      </w:r>
      <w:r w:rsidR="00B0555C" w:rsidRPr="00A2333E">
        <w:t>safety</w:t>
      </w:r>
      <w:r w:rsidR="00E13164" w:rsidRPr="00A2333E">
        <w:t xml:space="preserve"> profile </w:t>
      </w:r>
      <w:r w:rsidR="00B0555C" w:rsidRPr="00A2333E">
        <w:t>and</w:t>
      </w:r>
      <w:r w:rsidR="006F10FB" w:rsidRPr="00A2333E">
        <w:t xml:space="preserve"> </w:t>
      </w:r>
      <w:r w:rsidR="006E5031" w:rsidRPr="00A2333E">
        <w:t xml:space="preserve">is </w:t>
      </w:r>
      <w:r w:rsidR="00580376" w:rsidRPr="00A2333E">
        <w:t>well</w:t>
      </w:r>
      <w:r w:rsidR="00E22329" w:rsidRPr="00A2333E">
        <w:t xml:space="preserve"> </w:t>
      </w:r>
      <w:r w:rsidR="00580376" w:rsidRPr="00A2333E">
        <w:t>tolerated</w:t>
      </w:r>
      <w:r w:rsidR="006F10FB" w:rsidRPr="00A2333E">
        <w:t xml:space="preserve">. The committee </w:t>
      </w:r>
      <w:r w:rsidR="00AF77C4" w:rsidRPr="00A2333E">
        <w:t>concluded</w:t>
      </w:r>
      <w:r w:rsidR="006F10FB" w:rsidRPr="00A2333E">
        <w:t xml:space="preserve"> that the benefits of </w:t>
      </w:r>
      <w:r w:rsidR="00B0555C" w:rsidRPr="00A2333E">
        <w:t>patisiran showed that it is a unique and innovative treatment</w:t>
      </w:r>
      <w:r w:rsidR="006F10FB" w:rsidRPr="00A2333E">
        <w:t>.</w:t>
      </w:r>
    </w:p>
    <w:p w14:paraId="32A9DA3B" w14:textId="77777777" w:rsidR="006F10FB" w:rsidRPr="00A2333E" w:rsidRDefault="002A3CE7" w:rsidP="00922E53">
      <w:pPr>
        <w:pStyle w:val="Heading3"/>
      </w:pPr>
      <w:r w:rsidRPr="00A2333E">
        <w:t>Uncaptured</w:t>
      </w:r>
      <w:r w:rsidR="006F10FB" w:rsidRPr="00A2333E">
        <w:t xml:space="preserve"> </w:t>
      </w:r>
      <w:bookmarkStart w:id="35" w:name="_Hlk9527190"/>
      <w:r w:rsidR="006F10FB" w:rsidRPr="00A2333E">
        <w:t>health-related benefits</w:t>
      </w:r>
      <w:bookmarkEnd w:id="35"/>
    </w:p>
    <w:p w14:paraId="3925E05A" w14:textId="06038083" w:rsidR="006F10FB" w:rsidRPr="00A2333E" w:rsidRDefault="006F10FB" w:rsidP="006F10FB">
      <w:pPr>
        <w:pStyle w:val="Numberedlevel2text"/>
      </w:pPr>
      <w:r w:rsidRPr="00A2333E">
        <w:t xml:space="preserve">The committee considered whether there were any health-related benefits that were not captured in the economic analysis. It was aware that </w:t>
      </w:r>
      <w:r w:rsidR="00692129" w:rsidRPr="00A2333E">
        <w:t>hATTR amyloidosis</w:t>
      </w:r>
      <w:r w:rsidRPr="00A2333E">
        <w:t xml:space="preserve"> is a devastating </w:t>
      </w:r>
      <w:r w:rsidR="00BD41A4" w:rsidRPr="00A2333E">
        <w:t xml:space="preserve">condition </w:t>
      </w:r>
      <w:r w:rsidRPr="00A2333E">
        <w:t xml:space="preserve">that </w:t>
      </w:r>
      <w:r w:rsidR="00692129" w:rsidRPr="00A2333E">
        <w:t xml:space="preserve">affects patients </w:t>
      </w:r>
      <w:r w:rsidRPr="00A2333E">
        <w:t xml:space="preserve">as well as their families and carers. The committee acknowledged that there were uncaptured health-related </w:t>
      </w:r>
      <w:bookmarkStart w:id="36" w:name="_Hlk9580881"/>
      <w:r w:rsidRPr="00A2333E">
        <w:t>benefits</w:t>
      </w:r>
      <w:r w:rsidR="00692129" w:rsidRPr="00A2333E">
        <w:t xml:space="preserve"> </w:t>
      </w:r>
      <w:r w:rsidR="00B75E86" w:rsidRPr="00A2333E">
        <w:t xml:space="preserve">that </w:t>
      </w:r>
      <w:r w:rsidR="000B3DAC">
        <w:t>could</w:t>
      </w:r>
      <w:r w:rsidR="00692129" w:rsidRPr="00A2333E">
        <w:t xml:space="preserve"> be realised </w:t>
      </w:r>
      <w:r w:rsidR="00B75E86" w:rsidRPr="00A2333E">
        <w:t>with</w:t>
      </w:r>
      <w:r w:rsidR="00692129" w:rsidRPr="00A2333E">
        <w:t xml:space="preserve"> long-term </w:t>
      </w:r>
      <w:r w:rsidR="00B75E86" w:rsidRPr="00A2333E">
        <w:t xml:space="preserve">patisiran </w:t>
      </w:r>
      <w:r w:rsidR="00692129" w:rsidRPr="00A2333E">
        <w:t xml:space="preserve">treatment </w:t>
      </w:r>
      <w:bookmarkEnd w:id="36"/>
      <w:r w:rsidR="00692129" w:rsidRPr="00A2333E">
        <w:t>(see section</w:t>
      </w:r>
      <w:r w:rsidR="00B75E86" w:rsidRPr="00A2333E">
        <w:t> </w:t>
      </w:r>
      <w:r w:rsidR="009778C3" w:rsidRPr="00A2333E">
        <w:t>4.9</w:t>
      </w:r>
      <w:r w:rsidR="00692129" w:rsidRPr="00A2333E">
        <w:t>)</w:t>
      </w:r>
      <w:r w:rsidRPr="00A2333E">
        <w:t xml:space="preserve">. </w:t>
      </w:r>
      <w:r w:rsidR="00692129" w:rsidRPr="00A2333E">
        <w:t>I</w:t>
      </w:r>
      <w:r w:rsidRPr="00A2333E">
        <w:t xml:space="preserve">t recognised the severity of the </w:t>
      </w:r>
      <w:r w:rsidR="00BD41A4" w:rsidRPr="00A2333E">
        <w:t xml:space="preserve">condition </w:t>
      </w:r>
      <w:r w:rsidRPr="00A2333E">
        <w:t>and the importance of generating potentially life-long health benefits for this patient population</w:t>
      </w:r>
      <w:r w:rsidR="007D728B">
        <w:t xml:space="preserve">. </w:t>
      </w:r>
      <w:r w:rsidR="00651C16">
        <w:t>The committee</w:t>
      </w:r>
      <w:r w:rsidR="00F51D14" w:rsidRPr="00A2333E">
        <w:t xml:space="preserve"> </w:t>
      </w:r>
      <w:r w:rsidR="00DA4077" w:rsidRPr="00A2333E">
        <w:t xml:space="preserve">also understood that </w:t>
      </w:r>
      <w:r w:rsidR="00A2333E">
        <w:lastRenderedPageBreak/>
        <w:t xml:space="preserve">patients would highly value treatments </w:t>
      </w:r>
      <w:r w:rsidR="007D728B">
        <w:t xml:space="preserve">that </w:t>
      </w:r>
      <w:r w:rsidR="00A2333E">
        <w:t xml:space="preserve">could </w:t>
      </w:r>
      <w:r w:rsidR="00035CB2">
        <w:t>help to</w:t>
      </w:r>
      <w:r w:rsidR="001042F0">
        <w:t xml:space="preserve"> </w:t>
      </w:r>
      <w:r w:rsidR="004F169D" w:rsidRPr="00A2333E">
        <w:t xml:space="preserve">stop </w:t>
      </w:r>
      <w:r w:rsidR="00DA4077" w:rsidRPr="00A2333E">
        <w:t>or revers</w:t>
      </w:r>
      <w:r w:rsidR="00035CB2">
        <w:t>e</w:t>
      </w:r>
      <w:r w:rsidR="001042F0">
        <w:t xml:space="preserve"> </w:t>
      </w:r>
      <w:r w:rsidR="004F169D" w:rsidRPr="00A2333E">
        <w:t xml:space="preserve">the </w:t>
      </w:r>
      <w:r w:rsidR="00B701D8">
        <w:t>condition</w:t>
      </w:r>
      <w:r w:rsidR="00B701D8" w:rsidRPr="00A2333E">
        <w:t xml:space="preserve"> </w:t>
      </w:r>
      <w:r w:rsidR="00A2333E">
        <w:t>in the longer</w:t>
      </w:r>
      <w:r w:rsidR="008B6B10">
        <w:t xml:space="preserve"> </w:t>
      </w:r>
      <w:r w:rsidR="00A2333E">
        <w:t>term</w:t>
      </w:r>
      <w:r w:rsidR="00DA4077" w:rsidRPr="00A2333E">
        <w:t xml:space="preserve">. </w:t>
      </w:r>
      <w:r w:rsidR="00AA1276">
        <w:t>T</w:t>
      </w:r>
      <w:r w:rsidR="00651C16">
        <w:t>he committee noted</w:t>
      </w:r>
      <w:r w:rsidR="008005CA" w:rsidRPr="00A2333E">
        <w:t xml:space="preserve"> the innovative mechanism of action, the degree of TTR ‘knockdown’ achieved</w:t>
      </w:r>
      <w:r w:rsidR="00651C16">
        <w:t>,</w:t>
      </w:r>
      <w:r w:rsidR="008005CA" w:rsidRPr="00A2333E">
        <w:t xml:space="preserve"> and the clinical expectation that this </w:t>
      </w:r>
      <w:r w:rsidR="00A2333E">
        <w:t xml:space="preserve">stops disease progression and </w:t>
      </w:r>
      <w:r w:rsidR="008005CA" w:rsidRPr="00A2333E">
        <w:t xml:space="preserve">may allow </w:t>
      </w:r>
      <w:r w:rsidR="00A2333E">
        <w:t xml:space="preserve">the </w:t>
      </w:r>
      <w:r w:rsidR="00B701D8">
        <w:t>condition</w:t>
      </w:r>
      <w:r w:rsidR="001042F0">
        <w:t xml:space="preserve"> </w:t>
      </w:r>
      <w:r w:rsidR="008005CA" w:rsidRPr="00A2333E">
        <w:t>to be reversed in some patients</w:t>
      </w:r>
      <w:r w:rsidR="004178C8">
        <w:t>. This would</w:t>
      </w:r>
      <w:r w:rsidR="00AA1276">
        <w:t xml:space="preserve"> </w:t>
      </w:r>
      <w:bookmarkStart w:id="37" w:name="_Hlk11246380"/>
      <w:r w:rsidR="00AA1276">
        <w:t>enabl</w:t>
      </w:r>
      <w:r w:rsidR="004178C8">
        <w:t>e</w:t>
      </w:r>
      <w:r w:rsidR="00AA1276">
        <w:t xml:space="preserve"> patients to return to work, </w:t>
      </w:r>
      <w:r w:rsidR="0041197F">
        <w:t xml:space="preserve">carry out daily activities, </w:t>
      </w:r>
      <w:r w:rsidR="00AA1276">
        <w:t xml:space="preserve">participate in </w:t>
      </w:r>
      <w:r w:rsidR="006C0E10">
        <w:t xml:space="preserve">a </w:t>
      </w:r>
      <w:r w:rsidR="00AA1276">
        <w:t>more</w:t>
      </w:r>
      <w:r w:rsidR="004178C8">
        <w:t xml:space="preserve"> </w:t>
      </w:r>
      <w:r w:rsidR="00AA1276">
        <w:t xml:space="preserve">active family and social life; and maintain their </w:t>
      </w:r>
      <w:r w:rsidR="000709A0">
        <w:t xml:space="preserve">independence and </w:t>
      </w:r>
      <w:r w:rsidR="00AA1276">
        <w:t>dignity</w:t>
      </w:r>
      <w:bookmarkEnd w:id="37"/>
      <w:r w:rsidR="00651C16">
        <w:t>. Therefore</w:t>
      </w:r>
      <w:r w:rsidR="008005CA" w:rsidRPr="00A2333E">
        <w:t xml:space="preserve">, </w:t>
      </w:r>
      <w:r w:rsidR="00651C16">
        <w:t>it</w:t>
      </w:r>
      <w:r w:rsidR="008005CA" w:rsidRPr="00A2333E">
        <w:t xml:space="preserve"> </w:t>
      </w:r>
      <w:r w:rsidRPr="00A2333E">
        <w:t xml:space="preserve">was </w:t>
      </w:r>
      <w:r w:rsidR="002D0120" w:rsidRPr="00A2333E">
        <w:t xml:space="preserve">persuaded </w:t>
      </w:r>
      <w:r w:rsidRPr="00A2333E">
        <w:t>that there were health-related benefits that were not captured in the company’s model, which needed to be accounted for in its decision</w:t>
      </w:r>
      <w:r w:rsidR="00B75E86" w:rsidRPr="00A2333E">
        <w:t xml:space="preserve"> </w:t>
      </w:r>
      <w:r w:rsidRPr="00A2333E">
        <w:t>making.</w:t>
      </w:r>
    </w:p>
    <w:p w14:paraId="7D1CAB24" w14:textId="77777777" w:rsidR="006F10FB" w:rsidRPr="00A2333E" w:rsidRDefault="00996887" w:rsidP="006F10FB">
      <w:pPr>
        <w:pStyle w:val="Numberedlevel2text"/>
      </w:pPr>
      <w:r w:rsidRPr="00A2333E">
        <w:t>The committee acknowledged that hATTR amyloidosis is an exceptionally rare condition that causes a wide variety of symptoms and impairments.</w:t>
      </w:r>
      <w:r w:rsidR="00D16C51" w:rsidRPr="00A2333E">
        <w:t xml:space="preserve"> The </w:t>
      </w:r>
      <w:r w:rsidR="00BD41A4" w:rsidRPr="00A2333E">
        <w:t xml:space="preserve">condition </w:t>
      </w:r>
      <w:r w:rsidR="00D16C51" w:rsidRPr="00A2333E">
        <w:t>has a considerable effect on patients’ independence</w:t>
      </w:r>
      <w:r w:rsidR="00B75E86" w:rsidRPr="00A2333E">
        <w:t xml:space="preserve"> and</w:t>
      </w:r>
      <w:r w:rsidR="00D16C51" w:rsidRPr="00A2333E">
        <w:t xml:space="preserve"> dignity, and their ability to work, take part in family and social life, and carry out daily activities. The condition is </w:t>
      </w:r>
      <w:proofErr w:type="gramStart"/>
      <w:r w:rsidR="00D16C51" w:rsidRPr="00A2333E">
        <w:t>progressive, and</w:t>
      </w:r>
      <w:proofErr w:type="gramEnd"/>
      <w:r w:rsidR="00D16C51" w:rsidRPr="00A2333E">
        <w:t xml:space="preserve"> can result </w:t>
      </w:r>
      <w:r w:rsidR="00B75E86" w:rsidRPr="00A2333E">
        <w:t xml:space="preserve">in </w:t>
      </w:r>
      <w:r w:rsidR="00D16C51" w:rsidRPr="00A2333E">
        <w:t xml:space="preserve">death from </w:t>
      </w:r>
      <w:r w:rsidR="00BD41A4" w:rsidRPr="00A2333E">
        <w:t xml:space="preserve">its </w:t>
      </w:r>
      <w:r w:rsidR="00D16C51" w:rsidRPr="00A2333E">
        <w:t>effects and complications within 5</w:t>
      </w:r>
      <w:r w:rsidR="00BD41A4" w:rsidRPr="00A2333E">
        <w:t> to </w:t>
      </w:r>
      <w:r w:rsidR="00D16C51" w:rsidRPr="00A2333E">
        <w:t>15</w:t>
      </w:r>
      <w:r w:rsidR="00BD41A4" w:rsidRPr="00A2333E">
        <w:t> </w:t>
      </w:r>
      <w:r w:rsidR="00D16C51" w:rsidRPr="00A2333E">
        <w:t xml:space="preserve">years of </w:t>
      </w:r>
      <w:r w:rsidR="00B75E86" w:rsidRPr="00A2333E">
        <w:t xml:space="preserve">the </w:t>
      </w:r>
      <w:r w:rsidR="00D16C51" w:rsidRPr="00A2333E">
        <w:t>first symptoms developing.</w:t>
      </w:r>
      <w:r w:rsidR="00A900CF" w:rsidRPr="00A2333E">
        <w:t xml:space="preserve"> </w:t>
      </w:r>
      <w:r w:rsidR="00651C16">
        <w:t>The c</w:t>
      </w:r>
      <w:r w:rsidR="00A900CF" w:rsidRPr="00A2333E">
        <w:t xml:space="preserve">linical experts emphasised the importance of cardiac disease </w:t>
      </w:r>
      <w:r w:rsidR="00651C16">
        <w:t>because it is</w:t>
      </w:r>
      <w:r w:rsidR="00651C16" w:rsidRPr="00A2333E">
        <w:t xml:space="preserve"> </w:t>
      </w:r>
      <w:r w:rsidR="00A900CF" w:rsidRPr="00A2333E">
        <w:t xml:space="preserve">the </w:t>
      </w:r>
      <w:r w:rsidR="00651C16">
        <w:t>main</w:t>
      </w:r>
      <w:r w:rsidR="00651C16" w:rsidRPr="00A2333E">
        <w:t xml:space="preserve"> </w:t>
      </w:r>
      <w:r w:rsidR="00A900CF" w:rsidRPr="00A2333E">
        <w:t>cause of mortality</w:t>
      </w:r>
      <w:r w:rsidR="00651C16">
        <w:t xml:space="preserve"> and of</w:t>
      </w:r>
      <w:r w:rsidR="00A900CF" w:rsidRPr="00A2333E">
        <w:t xml:space="preserve"> autonomic neuropathy </w:t>
      </w:r>
      <w:r w:rsidR="00651C16">
        <w:t>because of its</w:t>
      </w:r>
      <w:r w:rsidR="00A900CF" w:rsidRPr="00A2333E">
        <w:t xml:space="preserve"> major </w:t>
      </w:r>
      <w:r w:rsidR="00651C16">
        <w:t>effect</w:t>
      </w:r>
      <w:r w:rsidR="00651C16" w:rsidRPr="00A2333E">
        <w:t xml:space="preserve"> </w:t>
      </w:r>
      <w:r w:rsidR="00A900CF" w:rsidRPr="00A2333E">
        <w:t>on quality of life.</w:t>
      </w:r>
    </w:p>
    <w:p w14:paraId="4FDE8B19" w14:textId="77777777" w:rsidR="006F10FB" w:rsidRPr="00A2333E" w:rsidRDefault="00692129" w:rsidP="00692129">
      <w:pPr>
        <w:pStyle w:val="Heading3"/>
      </w:pPr>
      <w:r w:rsidRPr="00A2333E">
        <w:t>Equality</w:t>
      </w:r>
    </w:p>
    <w:p w14:paraId="278B2436" w14:textId="77777777" w:rsidR="00007F8C" w:rsidRPr="00A2333E" w:rsidRDefault="00D6469A" w:rsidP="00A70253">
      <w:pPr>
        <w:pStyle w:val="Numberedlevel2text"/>
      </w:pPr>
      <w:r w:rsidRPr="00A2333E">
        <w:t xml:space="preserve">The committee noted the potential equality issue raised by clinical experts and the </w:t>
      </w:r>
      <w:proofErr w:type="gramStart"/>
      <w:r w:rsidRPr="00A2333E">
        <w:t>company</w:t>
      </w:r>
      <w:r w:rsidR="00FE6690" w:rsidRPr="00A2333E">
        <w:t>,</w:t>
      </w:r>
      <w:r w:rsidRPr="00A2333E">
        <w:t xml:space="preserve"> and</w:t>
      </w:r>
      <w:proofErr w:type="gramEnd"/>
      <w:r w:rsidRPr="00A2333E">
        <w:t xml:space="preserve"> recognised that specific mutations were more common in some ethnic groups in the UK. It also considered whether the age of onset of the condition raised </w:t>
      </w:r>
      <w:proofErr w:type="gramStart"/>
      <w:r w:rsidRPr="00A2333E">
        <w:t>particular issues</w:t>
      </w:r>
      <w:proofErr w:type="gramEnd"/>
      <w:r w:rsidRPr="00A2333E">
        <w:t xml:space="preserve"> of equality. The committee concluded that its recommendations apply equally</w:t>
      </w:r>
      <w:r w:rsidR="00956887">
        <w:t>,</w:t>
      </w:r>
      <w:r w:rsidRPr="00A2333E">
        <w:t xml:space="preserve"> regardless of age or ethnicity, so a difference in disease prevalence in different age and ethnic groups does not in itself represent an equality issue.</w:t>
      </w:r>
    </w:p>
    <w:p w14:paraId="1FF8F533" w14:textId="77777777" w:rsidR="00996887" w:rsidRPr="00A2333E" w:rsidRDefault="00AA12F9" w:rsidP="00003E1F">
      <w:pPr>
        <w:pStyle w:val="Heading2"/>
      </w:pPr>
      <w:r w:rsidRPr="00A2333E">
        <w:t>Conclusion</w:t>
      </w:r>
    </w:p>
    <w:p w14:paraId="2CE3673E" w14:textId="7D1905A6" w:rsidR="00996887" w:rsidRPr="00A2333E" w:rsidRDefault="00996887" w:rsidP="005D44B1">
      <w:pPr>
        <w:pStyle w:val="Numberedlevel2text"/>
        <w:rPr>
          <w:b/>
        </w:rPr>
      </w:pPr>
      <w:r w:rsidRPr="00A2333E">
        <w:t>The committee</w:t>
      </w:r>
      <w:r w:rsidR="00AA12F9" w:rsidRPr="00A2333E">
        <w:t xml:space="preserve"> noted that the clinical evidence suggested that </w:t>
      </w:r>
      <w:r w:rsidR="00546686" w:rsidRPr="00A2333E">
        <w:t>patisiran</w:t>
      </w:r>
      <w:r w:rsidR="00AA12F9" w:rsidRPr="00A2333E">
        <w:t xml:space="preserve"> provide</w:t>
      </w:r>
      <w:r w:rsidR="00546686" w:rsidRPr="00A2333E">
        <w:t>s</w:t>
      </w:r>
      <w:r w:rsidR="00AA12F9" w:rsidRPr="00A2333E">
        <w:t xml:space="preserve"> </w:t>
      </w:r>
      <w:r w:rsidR="00546686" w:rsidRPr="00A2333E">
        <w:t xml:space="preserve">considerable </w:t>
      </w:r>
      <w:r w:rsidR="00AA12F9" w:rsidRPr="00A2333E">
        <w:t>clinical benefits</w:t>
      </w:r>
      <w:r w:rsidR="00592CFA" w:rsidRPr="00A2333E">
        <w:t xml:space="preserve"> in</w:t>
      </w:r>
      <w:r w:rsidR="00C7639B" w:rsidRPr="00A2333E">
        <w:t xml:space="preserve"> terms of</w:t>
      </w:r>
      <w:r w:rsidR="00592CFA" w:rsidRPr="00A2333E">
        <w:t xml:space="preserve"> </w:t>
      </w:r>
      <w:r w:rsidR="00A2333E">
        <w:t>stopping</w:t>
      </w:r>
      <w:r w:rsidR="00A2333E" w:rsidRPr="00A2333E">
        <w:t xml:space="preserve"> </w:t>
      </w:r>
      <w:r w:rsidR="00A2333E">
        <w:t xml:space="preserve">disease </w:t>
      </w:r>
      <w:r w:rsidR="00A2333E">
        <w:lastRenderedPageBreak/>
        <w:t xml:space="preserve">progression and </w:t>
      </w:r>
      <w:r w:rsidR="00520D16">
        <w:t xml:space="preserve">potentially </w:t>
      </w:r>
      <w:r w:rsidR="00592CFA" w:rsidRPr="00A2333E">
        <w:t xml:space="preserve">reversing </w:t>
      </w:r>
      <w:r w:rsidR="00520D16">
        <w:t xml:space="preserve">the </w:t>
      </w:r>
      <w:r w:rsidR="00651C16">
        <w:t>condition</w:t>
      </w:r>
      <w:r w:rsidR="00651C16" w:rsidRPr="00A2333E">
        <w:t xml:space="preserve"> </w:t>
      </w:r>
      <w:r w:rsidR="00520D16">
        <w:t>in the longer</w:t>
      </w:r>
      <w:r w:rsidR="00651C16">
        <w:t xml:space="preserve"> </w:t>
      </w:r>
      <w:r w:rsidR="00520D16">
        <w:t>term</w:t>
      </w:r>
      <w:r w:rsidR="00592CFA" w:rsidRPr="00A2333E">
        <w:t xml:space="preserve">. </w:t>
      </w:r>
      <w:r w:rsidR="00651C16">
        <w:t>It</w:t>
      </w:r>
      <w:r w:rsidR="00A900CF" w:rsidRPr="00A2333E">
        <w:t xml:space="preserve"> considered that the new RNA</w:t>
      </w:r>
      <w:r w:rsidR="00651C16">
        <w:t>-</w:t>
      </w:r>
      <w:r w:rsidR="00A900CF" w:rsidRPr="00A2333E">
        <w:t xml:space="preserve">interference method of action was innovative and first of its kind. </w:t>
      </w:r>
      <w:r w:rsidR="00651C16">
        <w:t>T</w:t>
      </w:r>
      <w:r w:rsidR="00A900CF" w:rsidRPr="00A2333E">
        <w:t xml:space="preserve">his aspect alone would not have been enough to </w:t>
      </w:r>
      <w:r w:rsidR="00651C16">
        <w:t xml:space="preserve">for the committee to </w:t>
      </w:r>
      <w:r w:rsidR="00A900CF" w:rsidRPr="00A2333E">
        <w:t>recommend patisiran as an option for treating hATTR amyloidosis</w:t>
      </w:r>
      <w:r w:rsidR="00651C16">
        <w:t>. However</w:t>
      </w:r>
      <w:r w:rsidR="00A900CF" w:rsidRPr="00A2333E">
        <w:t>, taken together with other factors</w:t>
      </w:r>
      <w:r w:rsidR="00651C16">
        <w:t>, the committee considered that</w:t>
      </w:r>
      <w:r w:rsidR="00A900CF" w:rsidRPr="00A2333E">
        <w:t xml:space="preserve"> it was a relevant aspect. </w:t>
      </w:r>
      <w:r w:rsidR="00592CFA" w:rsidRPr="00A2333E">
        <w:t>Also,</w:t>
      </w:r>
      <w:r w:rsidR="00AA12F9" w:rsidRPr="00A2333E">
        <w:t xml:space="preserve"> </w:t>
      </w:r>
      <w:r w:rsidR="00651C16">
        <w:t>it</w:t>
      </w:r>
      <w:r w:rsidR="003F10BD" w:rsidRPr="00A2333E">
        <w:t xml:space="preserve"> acknowledged </w:t>
      </w:r>
      <w:r w:rsidR="00A900CF" w:rsidRPr="00A2333E">
        <w:t xml:space="preserve">that </w:t>
      </w:r>
      <w:r w:rsidR="00592CFA" w:rsidRPr="00A2333E">
        <w:t>additional benefits</w:t>
      </w:r>
      <w:r w:rsidR="002A3CE7" w:rsidRPr="00A2333E">
        <w:t xml:space="preserve"> not captured in the economic modelling</w:t>
      </w:r>
      <w:r w:rsidR="00592CFA" w:rsidRPr="00A2333E">
        <w:t xml:space="preserve"> are likely to be realised </w:t>
      </w:r>
      <w:r w:rsidR="00C7639B" w:rsidRPr="00A2333E">
        <w:t>with</w:t>
      </w:r>
      <w:r w:rsidR="00592CFA" w:rsidRPr="00A2333E">
        <w:t xml:space="preserve"> long-term treatment with patisiran. </w:t>
      </w:r>
      <w:r w:rsidR="004C1C9C" w:rsidRPr="00A2333E">
        <w:t xml:space="preserve">The committee considered the strengths and weaknesses of the company’s base case and the ERG’s scenario analyses, noting the overall uncertainty in the model. Having considered the ICERs from both approaches, the committee agreed that the most plausible ICER for patisiran </w:t>
      </w:r>
      <w:r w:rsidR="00F078CD">
        <w:t xml:space="preserve">compared </w:t>
      </w:r>
      <w:r w:rsidR="004178C8">
        <w:t>with</w:t>
      </w:r>
      <w:r w:rsidR="00F078CD">
        <w:t xml:space="preserve"> </w:t>
      </w:r>
      <w:r w:rsidR="008B6B10">
        <w:t>BSC</w:t>
      </w:r>
      <w:r w:rsidR="00F078CD">
        <w:t xml:space="preserve"> was likely to be somewhere between </w:t>
      </w:r>
      <w:r w:rsidR="00F078CD" w:rsidRPr="00FD702D">
        <w:t>£80,730</w:t>
      </w:r>
      <w:r w:rsidR="00F078CD" w:rsidRPr="00102160">
        <w:t xml:space="preserve"> and </w:t>
      </w:r>
      <w:r w:rsidR="00F078CD" w:rsidRPr="00FD702D">
        <w:t>£125,256</w:t>
      </w:r>
      <w:r w:rsidR="00F078CD" w:rsidRPr="00C549AD">
        <w:t xml:space="preserve"> per QALY gained</w:t>
      </w:r>
      <w:r w:rsidR="00EC33F7">
        <w:t xml:space="preserve"> (see section 4.26)</w:t>
      </w:r>
      <w:r w:rsidR="00752611">
        <w:t>.</w:t>
      </w:r>
      <w:r w:rsidR="004178C8">
        <w:t xml:space="preserve"> This is</w:t>
      </w:r>
      <w:r w:rsidR="00F078CD">
        <w:t xml:space="preserve"> above what </w:t>
      </w:r>
      <w:r w:rsidR="004C1C9C" w:rsidRPr="00A2333E">
        <w:t xml:space="preserve">would normally be considered </w:t>
      </w:r>
      <w:r w:rsidR="00B36609">
        <w:t>value for money within the context of a highly specialised service</w:t>
      </w:r>
      <w:r w:rsidR="004C1C9C" w:rsidRPr="00A2333E">
        <w:t>.</w:t>
      </w:r>
    </w:p>
    <w:p w14:paraId="2AFC7477" w14:textId="77777777" w:rsidR="004C1C9C" w:rsidRPr="00A2333E" w:rsidRDefault="00996887" w:rsidP="005D44B1">
      <w:pPr>
        <w:pStyle w:val="Numberedlevel2text"/>
        <w:rPr>
          <w:b/>
        </w:rPr>
      </w:pPr>
      <w:r w:rsidRPr="00A2333E">
        <w:t>The committee discussed the need to balance the importance of improving the lives of people with hATTR amyloidosis and their families</w:t>
      </w:r>
      <w:r w:rsidR="00C7639B" w:rsidRPr="00A2333E">
        <w:t>. It</w:t>
      </w:r>
      <w:r w:rsidRPr="00A2333E">
        <w:t xml:space="preserve"> noted </w:t>
      </w:r>
      <w:hyperlink r:id="rId14" w:history="1">
        <w:r w:rsidRPr="00A2333E">
          <w:rPr>
            <w:rStyle w:val="Hyperlink"/>
          </w:rPr>
          <w:t>NICE’s social value judgements: principles for the development of NICE guidance</w:t>
        </w:r>
      </w:hyperlink>
      <w:r w:rsidRPr="00A2333E">
        <w:t>, which emphasise</w:t>
      </w:r>
      <w:r w:rsidR="00C7639B" w:rsidRPr="00A2333E">
        <w:t>s</w:t>
      </w:r>
      <w:r w:rsidRPr="00A2333E">
        <w:t xml:space="preserve"> the importance of considering the distribution of health resources fairly within society as a whole, as well as considering factors other than relative costs and benefits alone. When developing the social value judgements, the </w:t>
      </w:r>
      <w:hyperlink r:id="rId15" w:history="1">
        <w:r w:rsidRPr="00A2333E">
          <w:rPr>
            <w:rFonts w:cs="Arial"/>
            <w:bCs w:val="0"/>
            <w:iCs w:val="0"/>
            <w:color w:val="0000FF"/>
            <w:szCs w:val="24"/>
            <w:u w:val="single"/>
          </w:rPr>
          <w:t>Citizens Council</w:t>
        </w:r>
      </w:hyperlink>
      <w:r w:rsidRPr="00A2333E">
        <w:rPr>
          <w:rFonts w:cs="Arial"/>
          <w:bCs w:val="0"/>
          <w:iCs w:val="0"/>
          <w:color w:val="0000FF"/>
          <w:szCs w:val="24"/>
          <w:u w:val="single"/>
        </w:rPr>
        <w:t xml:space="preserve"> </w:t>
      </w:r>
      <w:r w:rsidRPr="00A2333E">
        <w:t xml:space="preserve">considered that rarity alone is not a mitigating factor for accepting high ICERs, but </w:t>
      </w:r>
      <w:r w:rsidR="00C7639B" w:rsidRPr="00A2333E">
        <w:t xml:space="preserve">that </w:t>
      </w:r>
      <w:r w:rsidRPr="00A2333E">
        <w:t>the committee should consider taking into account other factors such as disease severity in its decision</w:t>
      </w:r>
      <w:r w:rsidR="00C7639B" w:rsidRPr="00A2333E">
        <w:t xml:space="preserve"> </w:t>
      </w:r>
      <w:r w:rsidRPr="00A2333E">
        <w:t xml:space="preserve">making. The committee concluded </w:t>
      </w:r>
      <w:r w:rsidR="00C7639B" w:rsidRPr="00A2333E">
        <w:t xml:space="preserve">that </w:t>
      </w:r>
      <w:r w:rsidRPr="00A2333E">
        <w:t>the severity of hATTR amyloidosis should be considered in its decision</w:t>
      </w:r>
      <w:r w:rsidR="00C7639B" w:rsidRPr="00A2333E">
        <w:t xml:space="preserve"> </w:t>
      </w:r>
      <w:r w:rsidRPr="00A2333E">
        <w:t>making.</w:t>
      </w:r>
    </w:p>
    <w:p w14:paraId="320CC2E3" w14:textId="11B8E187" w:rsidR="00996887" w:rsidRPr="00A2333E" w:rsidRDefault="00DA7CAA" w:rsidP="00996887">
      <w:pPr>
        <w:pStyle w:val="Heading3"/>
      </w:pPr>
      <w:r>
        <w:lastRenderedPageBreak/>
        <w:t>Additional factors</w:t>
      </w:r>
      <w:r w:rsidR="000B7BBD" w:rsidRPr="000B7BBD">
        <w:t xml:space="preserve"> ta</w:t>
      </w:r>
      <w:r w:rsidR="001C387A">
        <w:t>ken</w:t>
      </w:r>
      <w:r w:rsidR="000B7BBD" w:rsidRPr="000B7BBD">
        <w:t xml:space="preserve"> into consideration in </w:t>
      </w:r>
      <w:r w:rsidR="000B7BBD">
        <w:t>the</w:t>
      </w:r>
      <w:r w:rsidR="000B7BBD" w:rsidRPr="000B7BBD">
        <w:t xml:space="preserve"> decision making</w:t>
      </w:r>
    </w:p>
    <w:p w14:paraId="2E9D4726" w14:textId="77777777" w:rsidR="00D16C51" w:rsidRPr="00A2333E" w:rsidRDefault="00580376" w:rsidP="00996887">
      <w:pPr>
        <w:pStyle w:val="Numberedlevel2text"/>
        <w:rPr>
          <w:b/>
        </w:rPr>
      </w:pPr>
      <w:r w:rsidRPr="00A2333E">
        <w:t>T</w:t>
      </w:r>
      <w:r w:rsidR="00C018C4" w:rsidRPr="00A2333E">
        <w:t xml:space="preserve">he committee </w:t>
      </w:r>
      <w:r w:rsidRPr="00A2333E">
        <w:t>was aware of the uncertainty around the ICER for patisiran</w:t>
      </w:r>
      <w:r w:rsidR="00E03A08" w:rsidRPr="00A2333E">
        <w:t>. However</w:t>
      </w:r>
      <w:r w:rsidRPr="00A2333E">
        <w:t xml:space="preserve">, it acknowledged that there were </w:t>
      </w:r>
      <w:r w:rsidR="00C018C4" w:rsidRPr="00A2333E">
        <w:t>a</w:t>
      </w:r>
      <w:r w:rsidR="00624234" w:rsidRPr="00A2333E">
        <w:t xml:space="preserve">dditional </w:t>
      </w:r>
      <w:r w:rsidR="00C018C4" w:rsidRPr="00A2333E">
        <w:t>factors</w:t>
      </w:r>
      <w:r w:rsidRPr="00A2333E">
        <w:t xml:space="preserve"> that should be taken into consideration</w:t>
      </w:r>
      <w:r w:rsidR="00C018C4" w:rsidRPr="00A2333E">
        <w:t xml:space="preserve"> in its decision making, including</w:t>
      </w:r>
      <w:r w:rsidR="00D16C51" w:rsidRPr="00A2333E">
        <w:t>:</w:t>
      </w:r>
    </w:p>
    <w:p w14:paraId="62BF379F" w14:textId="77777777" w:rsidR="00D16C51" w:rsidRPr="00A2333E" w:rsidRDefault="00C018C4" w:rsidP="006E5031">
      <w:pPr>
        <w:pStyle w:val="Bulletindent1"/>
        <w:rPr>
          <w:b/>
        </w:rPr>
      </w:pPr>
      <w:r w:rsidRPr="00A2333E">
        <w:t xml:space="preserve">the rarity and severity of the </w:t>
      </w:r>
      <w:r w:rsidR="00BD41A4" w:rsidRPr="00A2333E">
        <w:t xml:space="preserve">condition </w:t>
      </w:r>
      <w:r w:rsidRPr="00A2333E">
        <w:t>(see section</w:t>
      </w:r>
      <w:r w:rsidR="00132779" w:rsidRPr="00A2333E">
        <w:t xml:space="preserve">s </w:t>
      </w:r>
      <w:r w:rsidR="00EF042F" w:rsidRPr="00A2333E">
        <w:t>4.1</w:t>
      </w:r>
      <w:r w:rsidR="00E03A08" w:rsidRPr="00A2333E">
        <w:t> </w:t>
      </w:r>
      <w:r w:rsidR="00EF042F" w:rsidRPr="00A2333E">
        <w:t>and</w:t>
      </w:r>
      <w:r w:rsidR="00E03A08" w:rsidRPr="00A2333E">
        <w:t> </w:t>
      </w:r>
      <w:r w:rsidR="00EF042F" w:rsidRPr="00A2333E">
        <w:t>4.2</w:t>
      </w:r>
      <w:r w:rsidRPr="00A2333E">
        <w:t>)</w:t>
      </w:r>
    </w:p>
    <w:p w14:paraId="5CC5BF27" w14:textId="77777777" w:rsidR="00D16C51" w:rsidRPr="00A2333E" w:rsidRDefault="00C018C4" w:rsidP="006E5031">
      <w:pPr>
        <w:pStyle w:val="Bulletindent1"/>
        <w:rPr>
          <w:b/>
        </w:rPr>
      </w:pPr>
      <w:r w:rsidRPr="00A2333E">
        <w:t xml:space="preserve">the considerable </w:t>
      </w:r>
      <w:r w:rsidR="00E03A08" w:rsidRPr="00A2333E">
        <w:t xml:space="preserve">effect </w:t>
      </w:r>
      <w:r w:rsidRPr="00A2333E">
        <w:t>on families and carers</w:t>
      </w:r>
      <w:r w:rsidR="00132779" w:rsidRPr="00A2333E">
        <w:t xml:space="preserve"> (see section</w:t>
      </w:r>
      <w:r w:rsidR="00E03A08" w:rsidRPr="00A2333E">
        <w:t> </w:t>
      </w:r>
      <w:r w:rsidR="00EF042F" w:rsidRPr="00A2333E">
        <w:t>4.3</w:t>
      </w:r>
      <w:r w:rsidR="00132779" w:rsidRPr="00A2333E">
        <w:t>)</w:t>
      </w:r>
    </w:p>
    <w:p w14:paraId="294326B1" w14:textId="77777777" w:rsidR="00D16C51" w:rsidRPr="00A2333E" w:rsidRDefault="00132779" w:rsidP="006E5031">
      <w:pPr>
        <w:pStyle w:val="Bulletindent1"/>
        <w:rPr>
          <w:b/>
        </w:rPr>
      </w:pPr>
      <w:r w:rsidRPr="00A2333E">
        <w:t xml:space="preserve">the </w:t>
      </w:r>
      <w:r w:rsidR="00E03A08" w:rsidRPr="00A2333E">
        <w:t xml:space="preserve">size </w:t>
      </w:r>
      <w:r w:rsidRPr="00A2333E">
        <w:t xml:space="preserve">of the health benefits </w:t>
      </w:r>
      <w:r w:rsidR="004F4A0E" w:rsidRPr="00A2333E">
        <w:t>(see section</w:t>
      </w:r>
      <w:r w:rsidR="00EF042F" w:rsidRPr="00A2333E">
        <w:t>s</w:t>
      </w:r>
      <w:r w:rsidR="004F4A0E" w:rsidRPr="00A2333E">
        <w:t xml:space="preserve"> </w:t>
      </w:r>
      <w:r w:rsidR="00EF042F" w:rsidRPr="00A2333E">
        <w:t>4.8</w:t>
      </w:r>
      <w:r w:rsidR="00E03A08" w:rsidRPr="00A2333E">
        <w:t> </w:t>
      </w:r>
      <w:r w:rsidR="00EF042F" w:rsidRPr="00A2333E">
        <w:t>and</w:t>
      </w:r>
      <w:r w:rsidR="00E03A08" w:rsidRPr="00A2333E">
        <w:t> </w:t>
      </w:r>
      <w:r w:rsidR="00EF042F" w:rsidRPr="00A2333E">
        <w:t>4.9</w:t>
      </w:r>
      <w:r w:rsidR="008D3719" w:rsidRPr="00A2333E">
        <w:t>)</w:t>
      </w:r>
    </w:p>
    <w:p w14:paraId="103020E1" w14:textId="394E6D6F" w:rsidR="00C018C4" w:rsidRPr="00A2333E" w:rsidRDefault="00580376" w:rsidP="00104A82">
      <w:pPr>
        <w:pStyle w:val="Bulletindent1last"/>
        <w:rPr>
          <w:b/>
        </w:rPr>
      </w:pPr>
      <w:r w:rsidRPr="00A2333E">
        <w:t xml:space="preserve">the innovative nature of the treatment </w:t>
      </w:r>
      <w:r w:rsidR="00132779" w:rsidRPr="00A2333E">
        <w:t>and health-related benefits not captured in the economic model (see section</w:t>
      </w:r>
      <w:r w:rsidR="003455B1" w:rsidRPr="00A2333E">
        <w:t>s</w:t>
      </w:r>
      <w:r w:rsidR="00E03A08" w:rsidRPr="00A2333E">
        <w:t> </w:t>
      </w:r>
      <w:r w:rsidR="00EF042F" w:rsidRPr="00A2333E">
        <w:t>4.30</w:t>
      </w:r>
      <w:r w:rsidR="00651C16">
        <w:t xml:space="preserve"> to </w:t>
      </w:r>
      <w:r w:rsidR="003455B1" w:rsidRPr="00A2333E">
        <w:t>4.32</w:t>
      </w:r>
      <w:r w:rsidR="00132779" w:rsidRPr="00A2333E">
        <w:t>)</w:t>
      </w:r>
      <w:r w:rsidR="00E03A08" w:rsidRPr="00A2333E">
        <w:t>.</w:t>
      </w:r>
      <w:r w:rsidR="00651C16">
        <w:rPr>
          <w:b/>
        </w:rPr>
        <w:br/>
      </w:r>
      <w:r w:rsidR="00651C16">
        <w:rPr>
          <w:b/>
        </w:rPr>
        <w:br/>
      </w:r>
      <w:r w:rsidR="00C018C4" w:rsidRPr="00A2333E">
        <w:t>The committee concluded that</w:t>
      </w:r>
      <w:r w:rsidR="006E5031" w:rsidRPr="00A2333E">
        <w:t>, considering</w:t>
      </w:r>
      <w:r w:rsidRPr="00A2333E">
        <w:t xml:space="preserve"> all these factors, it was able to recommend patisiran as an option for treating hATTR amyloidosis</w:t>
      </w:r>
      <w:bookmarkStart w:id="38" w:name="_Ref520293089"/>
      <w:r w:rsidR="004C1C9C" w:rsidRPr="00A2333E">
        <w:t>.</w:t>
      </w:r>
      <w:bookmarkEnd w:id="38"/>
    </w:p>
    <w:p w14:paraId="216A23A5" w14:textId="77777777" w:rsidR="004B7AB5" w:rsidRPr="00A2333E" w:rsidRDefault="004B7AB5" w:rsidP="004B7AB5">
      <w:pPr>
        <w:pStyle w:val="Numberedheading1"/>
        <w:numPr>
          <w:ilvl w:val="0"/>
          <w:numId w:val="1"/>
        </w:numPr>
        <w:rPr>
          <w:lang w:val="en-GB"/>
        </w:rPr>
      </w:pPr>
      <w:r w:rsidRPr="00A2333E">
        <w:rPr>
          <w:lang w:val="en-GB"/>
        </w:rPr>
        <w:t>Implementation</w:t>
      </w:r>
    </w:p>
    <w:p w14:paraId="7FE6247D" w14:textId="77777777" w:rsidR="004B7AB5" w:rsidRPr="00A2333E" w:rsidRDefault="004B7AB5" w:rsidP="004B7AB5">
      <w:pPr>
        <w:pStyle w:val="Numberedlevel2text"/>
      </w:pPr>
      <w:r w:rsidRPr="00A2333E">
        <w:t xml:space="preserve">Section 8(6) of the </w:t>
      </w:r>
      <w:hyperlink r:id="rId16" w:history="1">
        <w:r w:rsidRPr="00A2333E">
          <w:rPr>
            <w:rStyle w:val="Hyperlink"/>
          </w:rPr>
          <w:t>National Institute for Health and Care Excellence (Constitution and Functions) and the Health and Social Care Information Centre (Functions) Regulations 2013</w:t>
        </w:r>
      </w:hyperlink>
      <w:r w:rsidRPr="00A2333E">
        <w:t xml:space="preserve"> requires clinical commissioning groups, NHS England and, with respect to their public health functions, local authorities to comply with the recommendations in this evaluation within 3 months of its date of publication. Because patisiran has been available through the </w:t>
      </w:r>
      <w:hyperlink r:id="rId17" w:history="1">
        <w:r w:rsidRPr="00A2333E">
          <w:rPr>
            <w:rStyle w:val="Hyperlink"/>
          </w:rPr>
          <w:t>early access to medicines scheme</w:t>
        </w:r>
      </w:hyperlink>
      <w:r w:rsidRPr="00A2333E">
        <w:t>, NHS England and commissioning groups have agreed to provide funding to implement this guidance 30 days after publication.</w:t>
      </w:r>
    </w:p>
    <w:p w14:paraId="3B12CE6A" w14:textId="77777777" w:rsidR="004B7AB5" w:rsidRPr="00A2333E" w:rsidRDefault="004B7AB5" w:rsidP="004B7AB5">
      <w:pPr>
        <w:pStyle w:val="Numberedlevel2text"/>
      </w:pPr>
      <w:r w:rsidRPr="00A2333E">
        <w:t xml:space="preserve">The Welsh </w:t>
      </w:r>
      <w:r w:rsidR="002A3CE7" w:rsidRPr="00A2333E">
        <w:t>ministers</w:t>
      </w:r>
      <w:r w:rsidRPr="00A2333E">
        <w:t xml:space="preserve"> have issued directions to the NHS in Wales on implementing NICE highly specialised technologies guidance. When a NICE highly specialised technologies guidance recommends the use of a drug or treatment, or other technology, the NHS in Wales must usually</w:t>
      </w:r>
      <w:r w:rsidRPr="00A2333E">
        <w:rPr>
          <w:color w:val="9D4B9F"/>
        </w:rPr>
        <w:t xml:space="preserve"> </w:t>
      </w:r>
      <w:r w:rsidRPr="00A2333E">
        <w:t>provide funding and resources for it within 2 months of the first publication of the final evaluation document.</w:t>
      </w:r>
    </w:p>
    <w:p w14:paraId="5B858DDA" w14:textId="77777777" w:rsidR="004B7AB5" w:rsidRPr="00A2333E" w:rsidRDefault="004B7AB5" w:rsidP="004B7AB5">
      <w:pPr>
        <w:pStyle w:val="Numberedlevel2text"/>
      </w:pPr>
      <w:r w:rsidRPr="00A2333E">
        <w:lastRenderedPageBreak/>
        <w:t>When NICE recommends a treatment ‘as an option’, the NHS must make sure it is available within the period set out in the paragraph above. This means that, if a patient has hereditary transthyretin amyloidosis and the doctor responsible for their care thinks that patisiran is the right treatment, it should be available for use, in line with NICE’s recommendations.</w:t>
      </w:r>
    </w:p>
    <w:p w14:paraId="2D9FB9C4" w14:textId="77777777" w:rsidR="007D7F83" w:rsidRPr="00A2333E" w:rsidRDefault="00A90863" w:rsidP="00580376">
      <w:pPr>
        <w:pStyle w:val="Numberedheading1"/>
        <w:numPr>
          <w:ilvl w:val="0"/>
          <w:numId w:val="1"/>
        </w:numPr>
        <w:rPr>
          <w:lang w:val="en-GB"/>
        </w:rPr>
      </w:pPr>
      <w:r w:rsidRPr="00A2333E">
        <w:rPr>
          <w:lang w:val="en-GB"/>
        </w:rPr>
        <w:t>R</w:t>
      </w:r>
      <w:r w:rsidR="007D7F83" w:rsidRPr="00A2333E">
        <w:rPr>
          <w:lang w:val="en-GB"/>
        </w:rPr>
        <w:t>eview of guidance</w:t>
      </w:r>
    </w:p>
    <w:p w14:paraId="63A65850" w14:textId="77777777" w:rsidR="007D7F83" w:rsidRPr="00A2333E" w:rsidRDefault="002D3488" w:rsidP="00611951">
      <w:pPr>
        <w:pStyle w:val="Numberedlevel2text"/>
      </w:pPr>
      <w:r w:rsidRPr="00A2333E">
        <w:t>NICE proposes that the guidance on this technology is considered for review</w:t>
      </w:r>
      <w:r w:rsidR="000345D3" w:rsidRPr="00A2333E">
        <w:t xml:space="preserve"> by the </w:t>
      </w:r>
      <w:r w:rsidR="00250239" w:rsidRPr="00A2333E">
        <w:t>g</w:t>
      </w:r>
      <w:r w:rsidR="000345D3" w:rsidRPr="00A2333E">
        <w:t xml:space="preserve">uidance </w:t>
      </w:r>
      <w:r w:rsidR="00250239" w:rsidRPr="00A2333E">
        <w:t>e</w:t>
      </w:r>
      <w:r w:rsidR="000345D3" w:rsidRPr="00A2333E">
        <w:t>xecutive</w:t>
      </w:r>
      <w:r w:rsidRPr="00A2333E">
        <w:t xml:space="preserve"> </w:t>
      </w:r>
      <w:r w:rsidR="0066708C" w:rsidRPr="00A2333E">
        <w:rPr>
          <w:rFonts w:cs="Arial"/>
          <w:bCs w:val="0"/>
          <w:iCs w:val="0"/>
        </w:rPr>
        <w:t>3</w:t>
      </w:r>
      <w:r w:rsidR="003C1B77" w:rsidRPr="00A2333E">
        <w:rPr>
          <w:rFonts w:cs="Arial"/>
          <w:bCs w:val="0"/>
          <w:iCs w:val="0"/>
        </w:rPr>
        <w:t> </w:t>
      </w:r>
      <w:r w:rsidR="0066708C" w:rsidRPr="00A2333E">
        <w:rPr>
          <w:rFonts w:cs="Arial"/>
          <w:bCs w:val="0"/>
          <w:iCs w:val="0"/>
        </w:rPr>
        <w:t>years after publication of the guidance</w:t>
      </w:r>
      <w:r w:rsidR="0066708C" w:rsidRPr="00A2333E">
        <w:rPr>
          <w:rFonts w:cs="Arial"/>
          <w:iCs w:val="0"/>
        </w:rPr>
        <w:t xml:space="preserve">. NICE welcomes comment on this proposed date. The </w:t>
      </w:r>
      <w:r w:rsidR="001836D7" w:rsidRPr="00A2333E">
        <w:rPr>
          <w:rFonts w:cs="Arial"/>
          <w:iCs w:val="0"/>
        </w:rPr>
        <w:t xml:space="preserve">guidance executive </w:t>
      </w:r>
      <w:r w:rsidR="0066708C" w:rsidRPr="00A2333E">
        <w:rPr>
          <w:rFonts w:cs="Arial"/>
          <w:iCs w:val="0"/>
        </w:rPr>
        <w:t>will decide whether the technology should be reviewed based on information gathered by NICE, and in consultation with consultees and commentators</w:t>
      </w:r>
      <w:r w:rsidRPr="00A2333E">
        <w:t>.</w:t>
      </w:r>
    </w:p>
    <w:p w14:paraId="7F96D32B" w14:textId="77777777" w:rsidR="00685B52" w:rsidRPr="00A2333E" w:rsidRDefault="003962DF" w:rsidP="00685B52">
      <w:pPr>
        <w:pStyle w:val="NICEnormal"/>
      </w:pPr>
      <w:r w:rsidRPr="00A2333E">
        <w:t>Peter Jackson</w:t>
      </w:r>
      <w:r w:rsidR="00685B52" w:rsidRPr="00A2333E">
        <w:br/>
        <w:t xml:space="preserve">Chair, </w:t>
      </w:r>
      <w:r w:rsidR="00CF01BE" w:rsidRPr="00A2333E">
        <w:t>h</w:t>
      </w:r>
      <w:r w:rsidR="00FF485D" w:rsidRPr="00A2333E">
        <w:t xml:space="preserve">ighly </w:t>
      </w:r>
      <w:r w:rsidR="00CF01BE" w:rsidRPr="00A2333E">
        <w:t>s</w:t>
      </w:r>
      <w:r w:rsidR="00FF485D" w:rsidRPr="00A2333E">
        <w:t>pecialised</w:t>
      </w:r>
      <w:r w:rsidR="00CF01BE" w:rsidRPr="00A2333E">
        <w:t xml:space="preserve"> t</w:t>
      </w:r>
      <w:r w:rsidR="00FF485D" w:rsidRPr="00A2333E">
        <w:t xml:space="preserve">echnologies </w:t>
      </w:r>
      <w:r w:rsidR="00CF01BE" w:rsidRPr="00A2333E">
        <w:t>e</w:t>
      </w:r>
      <w:r w:rsidR="00FF485D" w:rsidRPr="00A2333E">
        <w:t>valuation</w:t>
      </w:r>
      <w:r w:rsidR="00685B52" w:rsidRPr="00A2333E">
        <w:t xml:space="preserve"> </w:t>
      </w:r>
      <w:r w:rsidR="00CF01BE" w:rsidRPr="00A2333E">
        <w:t>c</w:t>
      </w:r>
      <w:r w:rsidR="00685B52" w:rsidRPr="00A2333E">
        <w:t>ommittee</w:t>
      </w:r>
      <w:r w:rsidR="00685B52" w:rsidRPr="00A2333E">
        <w:br/>
      </w:r>
      <w:r w:rsidR="00007F8C" w:rsidRPr="00A2333E">
        <w:t>May</w:t>
      </w:r>
      <w:r w:rsidR="00567517" w:rsidRPr="00A2333E">
        <w:t xml:space="preserve"> </w:t>
      </w:r>
      <w:r w:rsidRPr="00A2333E">
        <w:t>201</w:t>
      </w:r>
      <w:r w:rsidR="00635EFC" w:rsidRPr="00A2333E">
        <w:t>9</w:t>
      </w:r>
    </w:p>
    <w:p w14:paraId="58301E38" w14:textId="77777777" w:rsidR="002B6A99" w:rsidRPr="00A2333E" w:rsidRDefault="00874BA9" w:rsidP="00580376">
      <w:pPr>
        <w:pStyle w:val="Numberedheading1"/>
        <w:numPr>
          <w:ilvl w:val="0"/>
          <w:numId w:val="1"/>
        </w:numPr>
        <w:rPr>
          <w:lang w:val="en-GB"/>
        </w:rPr>
      </w:pPr>
      <w:r w:rsidRPr="00A2333E">
        <w:rPr>
          <w:lang w:val="en-GB"/>
        </w:rPr>
        <w:br w:type="page"/>
      </w:r>
      <w:bookmarkStart w:id="39" w:name="_Ref530404669"/>
      <w:r w:rsidR="007E0A2D" w:rsidRPr="00A2333E">
        <w:rPr>
          <w:lang w:val="en-GB"/>
        </w:rPr>
        <w:lastRenderedPageBreak/>
        <w:t>Evaluation</w:t>
      </w:r>
      <w:r w:rsidR="002B6A99" w:rsidRPr="00A2333E">
        <w:rPr>
          <w:lang w:val="en-GB"/>
        </w:rPr>
        <w:t xml:space="preserve"> committee members and NICE project team</w:t>
      </w:r>
      <w:bookmarkEnd w:id="39"/>
    </w:p>
    <w:p w14:paraId="49041F16" w14:textId="77777777" w:rsidR="002B6A99" w:rsidRPr="00A2333E" w:rsidRDefault="002B6A99" w:rsidP="002B6A99">
      <w:pPr>
        <w:pStyle w:val="Heading2"/>
      </w:pPr>
      <w:r w:rsidRPr="00A2333E">
        <w:t>Evaluation committee members</w:t>
      </w:r>
    </w:p>
    <w:p w14:paraId="3E29798A" w14:textId="77777777" w:rsidR="008F5797" w:rsidRPr="00A2333E" w:rsidRDefault="002B6A99" w:rsidP="002B6A99">
      <w:pPr>
        <w:pStyle w:val="NICEnormal"/>
      </w:pPr>
      <w:r w:rsidRPr="00A2333E">
        <w:t>The highly specialised technologies evaluation committee is a standing advisory committee of NICE.</w:t>
      </w:r>
    </w:p>
    <w:p w14:paraId="58288836" w14:textId="77777777" w:rsidR="002B6A99" w:rsidRPr="00A2333E" w:rsidRDefault="007F0016" w:rsidP="002B6A99">
      <w:pPr>
        <w:pStyle w:val="NICEnormal"/>
      </w:pPr>
      <w:hyperlink r:id="rId18" w:history="1">
        <w:r w:rsidR="002B6A99" w:rsidRPr="00A2333E">
          <w:rPr>
            <w:rStyle w:val="Hyperlink"/>
          </w:rPr>
          <w:t>Committee members</w:t>
        </w:r>
      </w:hyperlink>
      <w:r w:rsidR="002B6A99" w:rsidRPr="00A2333E">
        <w:t xml:space="preserve"> are asked to declare any interests in the technology to be appraised. If it is considered that there is a conflict of interest, the member is excluded from participating further in that appraisal.</w:t>
      </w:r>
    </w:p>
    <w:p w14:paraId="25FE5ABB" w14:textId="77777777" w:rsidR="002B6A99" w:rsidRPr="00A2333E" w:rsidRDefault="002B6A99" w:rsidP="002B6A99">
      <w:pPr>
        <w:spacing w:after="240" w:line="360" w:lineRule="auto"/>
        <w:rPr>
          <w:rFonts w:ascii="Arial" w:hAnsi="Arial" w:cs="Arial"/>
          <w:lang w:eastAsia="en-GB"/>
        </w:rPr>
      </w:pPr>
      <w:r w:rsidRPr="00A2333E">
        <w:rPr>
          <w:rFonts w:ascii="Arial" w:hAnsi="Arial" w:cs="Arial"/>
          <w:lang w:eastAsia="en-GB"/>
        </w:rPr>
        <w:t xml:space="preserve">The </w:t>
      </w:r>
      <w:hyperlink r:id="rId19" w:history="1">
        <w:r w:rsidRPr="00A2333E">
          <w:rPr>
            <w:rStyle w:val="Hyperlink"/>
            <w:rFonts w:ascii="Arial" w:eastAsia="Calibri" w:hAnsi="Arial" w:cs="Arial"/>
            <w:lang w:eastAsia="en-GB"/>
          </w:rPr>
          <w:t>minutes</w:t>
        </w:r>
      </w:hyperlink>
      <w:r w:rsidRPr="00A2333E">
        <w:rPr>
          <w:rFonts w:ascii="Arial" w:hAnsi="Arial" w:cs="Arial"/>
          <w:lang w:eastAsia="en-GB"/>
        </w:rPr>
        <w:t xml:space="preserve"> of each evaluation committee meeting, which include the names of the members who attended and their declarations of interests, are posted on the NICE website.</w:t>
      </w:r>
    </w:p>
    <w:p w14:paraId="29EB8CFB" w14:textId="77777777" w:rsidR="00A41114" w:rsidRPr="00A2333E" w:rsidRDefault="00A41114" w:rsidP="00A41114">
      <w:pPr>
        <w:pStyle w:val="Heading2"/>
      </w:pPr>
      <w:bookmarkStart w:id="40" w:name="Text45"/>
      <w:r w:rsidRPr="00A2333E">
        <w:t>NICE project team</w:t>
      </w:r>
    </w:p>
    <w:p w14:paraId="4C8C32E1" w14:textId="77777777" w:rsidR="00A41114" w:rsidRPr="00A2333E" w:rsidRDefault="00A41114" w:rsidP="00A41114">
      <w:pPr>
        <w:pStyle w:val="NICEnormal"/>
        <w:rPr>
          <w:rFonts w:eastAsia="Calibri"/>
        </w:rPr>
      </w:pPr>
      <w:r w:rsidRPr="00A2333E">
        <w:t xml:space="preserve">Each </w:t>
      </w:r>
      <w:r w:rsidR="00944B17" w:rsidRPr="00A2333E">
        <w:t xml:space="preserve">highly specialised </w:t>
      </w:r>
      <w:r w:rsidRPr="00A2333E">
        <w:t>technology appraisal is ass</w:t>
      </w:r>
      <w:r w:rsidR="00944B17" w:rsidRPr="00A2333E">
        <w:t>igned to a team consisting of 1 </w:t>
      </w:r>
      <w:r w:rsidRPr="00A2333E">
        <w:t>or more health technology analysts (who act as technical leads for the appraisal), a technical adviser and a project manager.</w:t>
      </w:r>
    </w:p>
    <w:p w14:paraId="3988B655" w14:textId="77777777" w:rsidR="00A41114" w:rsidRPr="00A2333E" w:rsidRDefault="003021AC" w:rsidP="00A41114">
      <w:pPr>
        <w:pStyle w:val="NICEnormal"/>
      </w:pPr>
      <w:r w:rsidRPr="00A2333E">
        <w:rPr>
          <w:b/>
          <w:bCs/>
        </w:rPr>
        <w:t xml:space="preserve">Orsolya Balogh, </w:t>
      </w:r>
      <w:r w:rsidR="003962DF" w:rsidRPr="00A2333E">
        <w:rPr>
          <w:b/>
          <w:bCs/>
        </w:rPr>
        <w:t>Aminata Thiam</w:t>
      </w:r>
      <w:r w:rsidR="00A41114" w:rsidRPr="00A2333E">
        <w:br/>
        <w:t>Technical Lead</w:t>
      </w:r>
    </w:p>
    <w:p w14:paraId="4CC7B77D" w14:textId="77777777" w:rsidR="00A41114" w:rsidRPr="00A2333E" w:rsidRDefault="003021AC" w:rsidP="00A41114">
      <w:pPr>
        <w:pStyle w:val="NICEnormal"/>
      </w:pPr>
      <w:r w:rsidRPr="00A2333E">
        <w:rPr>
          <w:b/>
          <w:bCs/>
        </w:rPr>
        <w:t xml:space="preserve">Richard Diaz, </w:t>
      </w:r>
      <w:r w:rsidR="00E6006E" w:rsidRPr="00A2333E">
        <w:rPr>
          <w:b/>
          <w:bCs/>
        </w:rPr>
        <w:t>Ian Watson, Ross Dent</w:t>
      </w:r>
      <w:r w:rsidR="00234868" w:rsidRPr="00A2333E">
        <w:rPr>
          <w:b/>
          <w:bCs/>
        </w:rPr>
        <w:t>,</w:t>
      </w:r>
      <w:r w:rsidR="00635EFC" w:rsidRPr="00A2333E">
        <w:rPr>
          <w:b/>
          <w:bCs/>
        </w:rPr>
        <w:t xml:space="preserve"> Eleanor Donegan</w:t>
      </w:r>
      <w:r w:rsidR="00A41114" w:rsidRPr="00A2333E">
        <w:br/>
        <w:t>Technical Adviser</w:t>
      </w:r>
      <w:r w:rsidR="00B7136B" w:rsidRPr="00A2333E">
        <w:t>s</w:t>
      </w:r>
    </w:p>
    <w:p w14:paraId="24D723BC" w14:textId="77777777" w:rsidR="00A41114" w:rsidRPr="00A2333E" w:rsidRDefault="00E6006E" w:rsidP="00A41114">
      <w:pPr>
        <w:pStyle w:val="NICEnormal"/>
      </w:pPr>
      <w:r w:rsidRPr="00A2333E">
        <w:rPr>
          <w:b/>
          <w:bCs/>
        </w:rPr>
        <w:t>Joanne Ekeledo</w:t>
      </w:r>
      <w:r w:rsidR="00A41114" w:rsidRPr="00A2333E">
        <w:br/>
        <w:t>Project Manager</w:t>
      </w:r>
    </w:p>
    <w:p w14:paraId="6C82974B" w14:textId="77777777" w:rsidR="00E4273E" w:rsidRPr="00A2333E" w:rsidRDefault="00E4273E" w:rsidP="00CD6ED0">
      <w:pPr>
        <w:pStyle w:val="NICEnormal"/>
      </w:pPr>
    </w:p>
    <w:bookmarkEnd w:id="40"/>
    <w:p w14:paraId="68F31AB2" w14:textId="77777777" w:rsidR="001C0F06" w:rsidRPr="00A2333E" w:rsidRDefault="005502D4" w:rsidP="005502D4">
      <w:pPr>
        <w:pStyle w:val="Bulletleft1"/>
        <w:numPr>
          <w:ilvl w:val="0"/>
          <w:numId w:val="0"/>
        </w:numPr>
      </w:pPr>
      <w:r w:rsidRPr="00A2333E">
        <w:t xml:space="preserve">ISBN: </w:t>
      </w:r>
      <w:r w:rsidRPr="00A2333E">
        <w:rPr>
          <w:highlight w:val="green"/>
        </w:rPr>
        <w:t>[to be added at publication]</w:t>
      </w:r>
      <w:bookmarkEnd w:id="0"/>
    </w:p>
    <w:p w14:paraId="515401A5" w14:textId="77777777" w:rsidR="003021AC" w:rsidRPr="00A2333E" w:rsidRDefault="003021AC" w:rsidP="003021AC"/>
    <w:p w14:paraId="1ECFEEC2" w14:textId="77777777" w:rsidR="003021AC" w:rsidRPr="00A2333E" w:rsidRDefault="003021AC" w:rsidP="003021AC"/>
    <w:p w14:paraId="2A075DD2" w14:textId="77777777" w:rsidR="003021AC" w:rsidRPr="00A2333E" w:rsidRDefault="003021AC" w:rsidP="003021AC"/>
    <w:p w14:paraId="77A716DB" w14:textId="77777777" w:rsidR="007344D0" w:rsidRPr="00A2333E" w:rsidRDefault="007344D0"/>
    <w:sectPr w:rsidR="007344D0" w:rsidRPr="00A2333E" w:rsidSect="00A5224E">
      <w:headerReference w:type="default" r:id="rId20"/>
      <w:footerReference w:type="default" r:id="rId21"/>
      <w:pgSz w:w="11907" w:h="16840" w:code="9"/>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A785934" w14:textId="77777777" w:rsidR="00BF264D" w:rsidRDefault="00BF264D">
      <w:r>
        <w:separator/>
      </w:r>
    </w:p>
  </w:endnote>
  <w:endnote w:type="continuationSeparator" w:id="0">
    <w:p w14:paraId="3CCE5A1D" w14:textId="77777777" w:rsidR="00BF264D" w:rsidRDefault="00BF264D">
      <w:r>
        <w:continuationSeparator/>
      </w:r>
    </w:p>
  </w:endnote>
  <w:endnote w:type="continuationNotice" w:id="1">
    <w:p w14:paraId="38180140" w14:textId="77777777" w:rsidR="00BF264D" w:rsidRDefault="00BF264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80F6C1" w14:textId="77777777" w:rsidR="003C7A9C" w:rsidRPr="00A15C6B" w:rsidRDefault="003C7A9C" w:rsidP="000049E1">
    <w:pPr>
      <w:pStyle w:val="NICEnormalsinglespacing"/>
      <w:spacing w:before="120" w:after="0"/>
      <w:ind w:right="-896"/>
      <w:rPr>
        <w:sz w:val="18"/>
        <w:szCs w:val="18"/>
      </w:rPr>
    </w:pPr>
    <w:r w:rsidRPr="00647FF7">
      <w:rPr>
        <w:sz w:val="18"/>
        <w:szCs w:val="18"/>
      </w:rPr>
      <w:t>Final evaluation document</w:t>
    </w:r>
    <w:r w:rsidRPr="00A15C6B">
      <w:rPr>
        <w:sz w:val="18"/>
        <w:szCs w:val="18"/>
      </w:rPr>
      <w:t xml:space="preserve">– Patisiran for treating hereditary transthyretin amyloidosis        </w:t>
    </w:r>
    <w:r w:rsidRPr="00A15C6B">
      <w:rPr>
        <w:rStyle w:val="PageNumber"/>
        <w:sz w:val="18"/>
        <w:szCs w:val="18"/>
      </w:rPr>
      <w:t xml:space="preserve">Page </w:t>
    </w:r>
    <w:r w:rsidR="00D40A12" w:rsidRPr="00A15C6B">
      <w:rPr>
        <w:rStyle w:val="PageNumber"/>
        <w:sz w:val="18"/>
        <w:szCs w:val="18"/>
      </w:rPr>
      <w:fldChar w:fldCharType="begin"/>
    </w:r>
    <w:r w:rsidRPr="00A15C6B">
      <w:rPr>
        <w:rStyle w:val="PageNumber"/>
        <w:sz w:val="18"/>
        <w:szCs w:val="18"/>
      </w:rPr>
      <w:instrText xml:space="preserve"> PAGE </w:instrText>
    </w:r>
    <w:r w:rsidR="00D40A12" w:rsidRPr="00A15C6B">
      <w:rPr>
        <w:rStyle w:val="PageNumber"/>
        <w:sz w:val="18"/>
        <w:szCs w:val="18"/>
      </w:rPr>
      <w:fldChar w:fldCharType="separate"/>
    </w:r>
    <w:r w:rsidR="00997809">
      <w:rPr>
        <w:rStyle w:val="PageNumber"/>
        <w:noProof/>
        <w:sz w:val="18"/>
        <w:szCs w:val="18"/>
      </w:rPr>
      <w:t>27</w:t>
    </w:r>
    <w:r w:rsidR="00D40A12" w:rsidRPr="00A15C6B">
      <w:rPr>
        <w:rStyle w:val="PageNumber"/>
        <w:sz w:val="18"/>
        <w:szCs w:val="18"/>
      </w:rPr>
      <w:fldChar w:fldCharType="end"/>
    </w:r>
    <w:r w:rsidRPr="00A15C6B">
      <w:rPr>
        <w:rStyle w:val="PageNumber"/>
        <w:sz w:val="18"/>
        <w:szCs w:val="18"/>
      </w:rPr>
      <w:t xml:space="preserve"> of </w:t>
    </w:r>
    <w:r w:rsidR="00D40A12" w:rsidRPr="00A15C6B">
      <w:rPr>
        <w:rStyle w:val="PageNumber"/>
        <w:sz w:val="18"/>
        <w:szCs w:val="18"/>
      </w:rPr>
      <w:fldChar w:fldCharType="begin"/>
    </w:r>
    <w:r w:rsidRPr="00A15C6B">
      <w:rPr>
        <w:rStyle w:val="PageNumber"/>
        <w:sz w:val="18"/>
        <w:szCs w:val="18"/>
      </w:rPr>
      <w:instrText xml:space="preserve"> NUMPAGES </w:instrText>
    </w:r>
    <w:r w:rsidR="00D40A12" w:rsidRPr="00A15C6B">
      <w:rPr>
        <w:rStyle w:val="PageNumber"/>
        <w:sz w:val="18"/>
        <w:szCs w:val="18"/>
      </w:rPr>
      <w:fldChar w:fldCharType="separate"/>
    </w:r>
    <w:r w:rsidR="00997809">
      <w:rPr>
        <w:rStyle w:val="PageNumber"/>
        <w:noProof/>
        <w:sz w:val="18"/>
        <w:szCs w:val="18"/>
      </w:rPr>
      <w:t>32</w:t>
    </w:r>
    <w:r w:rsidR="00D40A12" w:rsidRPr="00A15C6B">
      <w:rPr>
        <w:rStyle w:val="PageNumber"/>
        <w:sz w:val="18"/>
        <w:szCs w:val="18"/>
      </w:rPr>
      <w:fldChar w:fldCharType="end"/>
    </w:r>
  </w:p>
  <w:p w14:paraId="4B86F81E" w14:textId="77777777" w:rsidR="003C7A9C" w:rsidRPr="00A15C6B" w:rsidRDefault="003C7A9C" w:rsidP="000F6FE2">
    <w:pPr>
      <w:pStyle w:val="NICEnormalsinglespacing"/>
      <w:spacing w:before="120" w:after="0"/>
      <w:rPr>
        <w:sz w:val="18"/>
        <w:szCs w:val="18"/>
      </w:rPr>
    </w:pPr>
    <w:r w:rsidRPr="00A15C6B">
      <w:rPr>
        <w:sz w:val="18"/>
        <w:szCs w:val="18"/>
      </w:rPr>
      <w:t xml:space="preserve">Issue date: </w:t>
    </w:r>
    <w:r>
      <w:rPr>
        <w:sz w:val="18"/>
        <w:szCs w:val="18"/>
      </w:rPr>
      <w:t>June 2019</w:t>
    </w:r>
  </w:p>
  <w:p w14:paraId="13E984F9" w14:textId="77777777" w:rsidR="003C7A9C" w:rsidRPr="00A15C6B" w:rsidRDefault="003C7A9C" w:rsidP="000F6FE2">
    <w:pPr>
      <w:pStyle w:val="NICEnormalsinglespacing"/>
      <w:spacing w:before="120" w:after="0"/>
      <w:rPr>
        <w:sz w:val="18"/>
        <w:szCs w:val="18"/>
      </w:rPr>
    </w:pPr>
    <w:r w:rsidRPr="00A15C6B">
      <w:rPr>
        <w:sz w:val="18"/>
        <w:szCs w:val="18"/>
      </w:rPr>
      <w:t>© NICE 201</w:t>
    </w:r>
    <w:r>
      <w:rPr>
        <w:sz w:val="18"/>
        <w:szCs w:val="18"/>
      </w:rPr>
      <w:t>9</w:t>
    </w:r>
    <w:r w:rsidRPr="00A15C6B">
      <w:rPr>
        <w:sz w:val="18"/>
        <w:szCs w:val="18"/>
      </w:rPr>
      <w:t xml:space="preserve">. All rights reserved. Subject to </w:t>
    </w:r>
    <w:hyperlink r:id="rId1" w:history="1">
      <w:r w:rsidRPr="00A15C6B">
        <w:rPr>
          <w:rStyle w:val="Hyperlink"/>
          <w:sz w:val="18"/>
          <w:szCs w:val="18"/>
        </w:rPr>
        <w:t>Notice of rights</w:t>
      </w:r>
    </w:hyperlink>
    <w:r w:rsidRPr="00A15C6B">
      <w:rPr>
        <w:sz w:val="18"/>
        <w:szCs w:val="18"/>
      </w:rPr>
      <w:t>.</w:t>
    </w:r>
  </w:p>
  <w:p w14:paraId="009EFCE2" w14:textId="77777777" w:rsidR="003C7A9C" w:rsidRPr="00A5224E" w:rsidRDefault="003C7A9C" w:rsidP="000F6FE2">
    <w:pPr>
      <w:pStyle w:val="NICEnormalsinglespacing"/>
      <w:spacing w:before="120" w:after="0"/>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8E541DC" w14:textId="77777777" w:rsidR="00BF264D" w:rsidRDefault="00BF264D">
      <w:r>
        <w:separator/>
      </w:r>
    </w:p>
  </w:footnote>
  <w:footnote w:type="continuationSeparator" w:id="0">
    <w:p w14:paraId="1F73D2D2" w14:textId="77777777" w:rsidR="00BF264D" w:rsidRDefault="00BF264D">
      <w:r>
        <w:continuationSeparator/>
      </w:r>
    </w:p>
  </w:footnote>
  <w:footnote w:type="continuationNotice" w:id="1">
    <w:p w14:paraId="6F09BE67" w14:textId="77777777" w:rsidR="00BF264D" w:rsidRDefault="00BF264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BBDABF" w14:textId="77777777" w:rsidR="003C7A9C" w:rsidRPr="006446B7" w:rsidRDefault="003C7A9C" w:rsidP="006446B7">
    <w:pPr>
      <w:pStyle w:val="Header"/>
      <w:jc w:val="right"/>
      <w:rPr>
        <w:b/>
      </w:rPr>
    </w:pPr>
    <w:r w:rsidRPr="006446B7">
      <w:rPr>
        <w:b/>
      </w:rPr>
      <w:t>CONFIDENTIAL</w:t>
    </w:r>
    <w:r>
      <w:rPr>
        <w:b/>
      </w:rPr>
      <w:t xml:space="preserve"> UNTIL PUBLISHED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9D0FAC"/>
    <w:multiLevelType w:val="multilevel"/>
    <w:tmpl w:val="72188DC4"/>
    <w:lvl w:ilvl="0">
      <w:start w:val="1"/>
      <w:numFmt w:val="bullet"/>
      <w:pStyle w:val="Bulletindent1"/>
      <w:lvlText w:val=""/>
      <w:lvlJc w:val="left"/>
      <w:pPr>
        <w:tabs>
          <w:tab w:val="num" w:pos="1418"/>
        </w:tabs>
        <w:ind w:left="1418" w:hanging="284"/>
      </w:pPr>
      <w:rPr>
        <w:rFonts w:ascii="Symbol" w:hAnsi="Symbol" w:hint="default"/>
        <w:color w:val="auto"/>
      </w:rPr>
    </w:lvl>
    <w:lvl w:ilvl="1">
      <w:start w:val="1"/>
      <w:numFmt w:val="bullet"/>
      <w:lvlText w:val=""/>
      <w:lvlJc w:val="left"/>
      <w:pPr>
        <w:tabs>
          <w:tab w:val="num" w:pos="1701"/>
        </w:tabs>
        <w:ind w:left="1701" w:hanging="283"/>
      </w:pPr>
      <w:rPr>
        <w:rFonts w:ascii="Symbol" w:hAnsi="Symbol" w:hint="default"/>
      </w:rPr>
    </w:lvl>
    <w:lvl w:ilvl="2">
      <w:start w:val="1"/>
      <w:numFmt w:val="bullet"/>
      <w:lvlText w:val=""/>
      <w:lvlJc w:val="left"/>
      <w:pPr>
        <w:tabs>
          <w:tab w:val="num" w:pos="1985"/>
        </w:tabs>
        <w:ind w:left="1985" w:hanging="284"/>
      </w:pPr>
      <w:rPr>
        <w:rFonts w:ascii="Symbol" w:hAnsi="Symbol" w:hint="default"/>
        <w:color w:val="auto"/>
      </w:rPr>
    </w:lvl>
    <w:lvl w:ilvl="3">
      <w:start w:val="1"/>
      <w:numFmt w:val="decimal"/>
      <w:lvlText w:val="%1.%2.%3.%4"/>
      <w:lvlJc w:val="left"/>
      <w:pPr>
        <w:tabs>
          <w:tab w:val="num" w:pos="1968"/>
        </w:tabs>
        <w:ind w:left="1968" w:hanging="964"/>
      </w:pPr>
      <w:rPr>
        <w:rFonts w:hint="default"/>
      </w:rPr>
    </w:lvl>
    <w:lvl w:ilvl="4">
      <w:start w:val="1"/>
      <w:numFmt w:val="decimal"/>
      <w:lvlText w:val="%1.%2.%3.%4.%5."/>
      <w:lvlJc w:val="left"/>
      <w:pPr>
        <w:tabs>
          <w:tab w:val="num" w:pos="5324"/>
        </w:tabs>
        <w:ind w:left="3236" w:hanging="792"/>
      </w:pPr>
      <w:rPr>
        <w:rFonts w:hint="default"/>
      </w:rPr>
    </w:lvl>
    <w:lvl w:ilvl="5">
      <w:start w:val="1"/>
      <w:numFmt w:val="decimal"/>
      <w:lvlText w:val="%1.%2.%3.%4.%5.%6."/>
      <w:lvlJc w:val="left"/>
      <w:pPr>
        <w:tabs>
          <w:tab w:val="num" w:pos="6404"/>
        </w:tabs>
        <w:ind w:left="3740" w:hanging="936"/>
      </w:pPr>
      <w:rPr>
        <w:rFonts w:hint="default"/>
      </w:rPr>
    </w:lvl>
    <w:lvl w:ilvl="6">
      <w:start w:val="1"/>
      <w:numFmt w:val="decimal"/>
      <w:lvlText w:val="%1.%2.%3.%4.%5.%6.%7."/>
      <w:lvlJc w:val="left"/>
      <w:pPr>
        <w:tabs>
          <w:tab w:val="num" w:pos="7484"/>
        </w:tabs>
        <w:ind w:left="4244" w:hanging="1080"/>
      </w:pPr>
      <w:rPr>
        <w:rFonts w:hint="default"/>
      </w:rPr>
    </w:lvl>
    <w:lvl w:ilvl="7">
      <w:start w:val="1"/>
      <w:numFmt w:val="decimal"/>
      <w:lvlText w:val="%1.%2.%3.%4.%5.%6.%7.%8."/>
      <w:lvlJc w:val="left"/>
      <w:pPr>
        <w:tabs>
          <w:tab w:val="num" w:pos="8204"/>
        </w:tabs>
        <w:ind w:left="4748" w:hanging="1224"/>
      </w:pPr>
      <w:rPr>
        <w:rFonts w:hint="default"/>
      </w:rPr>
    </w:lvl>
    <w:lvl w:ilvl="8">
      <w:start w:val="1"/>
      <w:numFmt w:val="decimal"/>
      <w:lvlText w:val="%1.%2.%3.%4.%5.%6.%7.%8.%9."/>
      <w:lvlJc w:val="left"/>
      <w:pPr>
        <w:tabs>
          <w:tab w:val="num" w:pos="9284"/>
        </w:tabs>
        <w:ind w:left="5324" w:hanging="1440"/>
      </w:pPr>
      <w:rPr>
        <w:rFonts w:hint="default"/>
      </w:rPr>
    </w:lvl>
  </w:abstractNum>
  <w:abstractNum w:abstractNumId="1" w15:restartNumberingAfterBreak="0">
    <w:nsid w:val="0B377270"/>
    <w:multiLevelType w:val="multilevel"/>
    <w:tmpl w:val="2B6892E8"/>
    <w:lvl w:ilvl="0">
      <w:start w:val="1"/>
      <w:numFmt w:val="bullet"/>
      <w:lvlText w:val=""/>
      <w:lvlJc w:val="left"/>
      <w:pPr>
        <w:tabs>
          <w:tab w:val="num" w:pos="284"/>
        </w:tabs>
        <w:ind w:left="284" w:hanging="284"/>
      </w:pPr>
      <w:rPr>
        <w:rFonts w:ascii="Symbol" w:hAnsi="Symbol" w:hint="default"/>
        <w:color w:val="auto"/>
      </w:rPr>
    </w:lvl>
    <w:lvl w:ilvl="1">
      <w:start w:val="1"/>
      <w:numFmt w:val="bullet"/>
      <w:pStyle w:val="Bulletleft2"/>
      <w:lvlText w:val=""/>
      <w:lvlJc w:val="left"/>
      <w:pPr>
        <w:tabs>
          <w:tab w:val="num" w:pos="567"/>
        </w:tabs>
        <w:ind w:left="567" w:hanging="283"/>
      </w:pPr>
      <w:rPr>
        <w:rFonts w:ascii="Symbol" w:hAnsi="Symbol" w:hint="default"/>
      </w:rPr>
    </w:lvl>
    <w:lvl w:ilvl="2">
      <w:start w:val="1"/>
      <w:numFmt w:val="bullet"/>
      <w:lvlText w:val=""/>
      <w:lvlJc w:val="left"/>
      <w:pPr>
        <w:tabs>
          <w:tab w:val="num" w:pos="1364"/>
        </w:tabs>
        <w:ind w:left="1364" w:hanging="360"/>
      </w:pPr>
      <w:rPr>
        <w:rFonts w:ascii="Symbol" w:hAnsi="Symbol" w:hint="default"/>
        <w:color w:val="auto"/>
      </w:rPr>
    </w:lvl>
    <w:lvl w:ilvl="3">
      <w:start w:val="1"/>
      <w:numFmt w:val="decimal"/>
      <w:lvlText w:val="(%4)"/>
      <w:lvlJc w:val="left"/>
      <w:pPr>
        <w:tabs>
          <w:tab w:val="num" w:pos="1724"/>
        </w:tabs>
        <w:ind w:left="1724" w:hanging="360"/>
      </w:pPr>
      <w:rPr>
        <w:rFonts w:hint="default"/>
      </w:rPr>
    </w:lvl>
    <w:lvl w:ilvl="4">
      <w:start w:val="1"/>
      <w:numFmt w:val="lowerLetter"/>
      <w:lvlText w:val="(%5)"/>
      <w:lvlJc w:val="left"/>
      <w:pPr>
        <w:tabs>
          <w:tab w:val="num" w:pos="2084"/>
        </w:tabs>
        <w:ind w:left="2084" w:hanging="360"/>
      </w:pPr>
      <w:rPr>
        <w:rFonts w:hint="default"/>
      </w:rPr>
    </w:lvl>
    <w:lvl w:ilvl="5">
      <w:start w:val="1"/>
      <w:numFmt w:val="lowerRoman"/>
      <w:lvlText w:val="(%6)"/>
      <w:lvlJc w:val="left"/>
      <w:pPr>
        <w:tabs>
          <w:tab w:val="num" w:pos="2444"/>
        </w:tabs>
        <w:ind w:left="2444" w:hanging="360"/>
      </w:pPr>
      <w:rPr>
        <w:rFonts w:hint="default"/>
      </w:rPr>
    </w:lvl>
    <w:lvl w:ilvl="6">
      <w:start w:val="1"/>
      <w:numFmt w:val="decimal"/>
      <w:lvlText w:val="%7."/>
      <w:lvlJc w:val="left"/>
      <w:pPr>
        <w:tabs>
          <w:tab w:val="num" w:pos="2804"/>
        </w:tabs>
        <w:ind w:left="2804" w:hanging="360"/>
      </w:pPr>
      <w:rPr>
        <w:rFonts w:hint="default"/>
      </w:rPr>
    </w:lvl>
    <w:lvl w:ilvl="7">
      <w:start w:val="1"/>
      <w:numFmt w:val="lowerLetter"/>
      <w:lvlText w:val="%8."/>
      <w:lvlJc w:val="left"/>
      <w:pPr>
        <w:tabs>
          <w:tab w:val="num" w:pos="3164"/>
        </w:tabs>
        <w:ind w:left="3164" w:hanging="360"/>
      </w:pPr>
      <w:rPr>
        <w:rFonts w:hint="default"/>
      </w:rPr>
    </w:lvl>
    <w:lvl w:ilvl="8">
      <w:start w:val="1"/>
      <w:numFmt w:val="lowerRoman"/>
      <w:lvlText w:val="%9."/>
      <w:lvlJc w:val="left"/>
      <w:pPr>
        <w:tabs>
          <w:tab w:val="num" w:pos="3524"/>
        </w:tabs>
        <w:ind w:left="3524" w:hanging="360"/>
      </w:pPr>
      <w:rPr>
        <w:rFonts w:hint="default"/>
      </w:rPr>
    </w:lvl>
  </w:abstractNum>
  <w:abstractNum w:abstractNumId="2" w15:restartNumberingAfterBreak="0">
    <w:nsid w:val="15017405"/>
    <w:multiLevelType w:val="multilevel"/>
    <w:tmpl w:val="B0A899F0"/>
    <w:lvl w:ilvl="0">
      <w:start w:val="1"/>
      <w:numFmt w:val="bullet"/>
      <w:pStyle w:val="Bulletleft1"/>
      <w:lvlText w:val=""/>
      <w:lvlJc w:val="left"/>
      <w:pPr>
        <w:tabs>
          <w:tab w:val="num" w:pos="284"/>
        </w:tabs>
        <w:ind w:left="284" w:hanging="284"/>
      </w:pPr>
      <w:rPr>
        <w:rFonts w:ascii="Symbol" w:hAnsi="Symbol" w:hint="default"/>
        <w:color w:val="auto"/>
      </w:rPr>
    </w:lvl>
    <w:lvl w:ilvl="1">
      <w:start w:val="1"/>
      <w:numFmt w:val="bullet"/>
      <w:lvlText w:val=""/>
      <w:lvlJc w:val="left"/>
      <w:pPr>
        <w:tabs>
          <w:tab w:val="num" w:pos="567"/>
        </w:tabs>
        <w:ind w:left="567" w:hanging="283"/>
      </w:pPr>
      <w:rPr>
        <w:rFonts w:ascii="Symbol" w:hAnsi="Symbol" w:hint="default"/>
      </w:rPr>
    </w:lvl>
    <w:lvl w:ilvl="2">
      <w:start w:val="1"/>
      <w:numFmt w:val="bullet"/>
      <w:lvlText w:val=""/>
      <w:lvlJc w:val="left"/>
      <w:pPr>
        <w:tabs>
          <w:tab w:val="num" w:pos="851"/>
        </w:tabs>
        <w:ind w:left="851" w:hanging="284"/>
      </w:pPr>
      <w:rPr>
        <w:rFonts w:ascii="Symbol" w:hAnsi="Symbol" w:hint="default"/>
        <w:color w:val="auto"/>
      </w:rPr>
    </w:lvl>
    <w:lvl w:ilvl="3">
      <w:start w:val="1"/>
      <w:numFmt w:val="decimal"/>
      <w:lvlText w:val="(%4)"/>
      <w:lvlJc w:val="left"/>
      <w:pPr>
        <w:tabs>
          <w:tab w:val="num" w:pos="1724"/>
        </w:tabs>
        <w:ind w:left="1724" w:hanging="360"/>
      </w:pPr>
      <w:rPr>
        <w:rFonts w:hint="default"/>
      </w:rPr>
    </w:lvl>
    <w:lvl w:ilvl="4">
      <w:start w:val="1"/>
      <w:numFmt w:val="lowerLetter"/>
      <w:lvlText w:val="(%5)"/>
      <w:lvlJc w:val="left"/>
      <w:pPr>
        <w:tabs>
          <w:tab w:val="num" w:pos="2084"/>
        </w:tabs>
        <w:ind w:left="2084" w:hanging="360"/>
      </w:pPr>
      <w:rPr>
        <w:rFonts w:hint="default"/>
      </w:rPr>
    </w:lvl>
    <w:lvl w:ilvl="5">
      <w:start w:val="1"/>
      <w:numFmt w:val="lowerRoman"/>
      <w:lvlText w:val="(%6)"/>
      <w:lvlJc w:val="left"/>
      <w:pPr>
        <w:tabs>
          <w:tab w:val="num" w:pos="2444"/>
        </w:tabs>
        <w:ind w:left="2444" w:hanging="360"/>
      </w:pPr>
      <w:rPr>
        <w:rFonts w:hint="default"/>
      </w:rPr>
    </w:lvl>
    <w:lvl w:ilvl="6">
      <w:start w:val="1"/>
      <w:numFmt w:val="decimal"/>
      <w:lvlText w:val="%7."/>
      <w:lvlJc w:val="left"/>
      <w:pPr>
        <w:tabs>
          <w:tab w:val="num" w:pos="2804"/>
        </w:tabs>
        <w:ind w:left="2804" w:hanging="360"/>
      </w:pPr>
      <w:rPr>
        <w:rFonts w:hint="default"/>
      </w:rPr>
    </w:lvl>
    <w:lvl w:ilvl="7">
      <w:start w:val="1"/>
      <w:numFmt w:val="lowerLetter"/>
      <w:lvlText w:val="%8."/>
      <w:lvlJc w:val="left"/>
      <w:pPr>
        <w:tabs>
          <w:tab w:val="num" w:pos="3164"/>
        </w:tabs>
        <w:ind w:left="3164" w:hanging="360"/>
      </w:pPr>
      <w:rPr>
        <w:rFonts w:hint="default"/>
      </w:rPr>
    </w:lvl>
    <w:lvl w:ilvl="8">
      <w:start w:val="1"/>
      <w:numFmt w:val="lowerRoman"/>
      <w:lvlText w:val="%9."/>
      <w:lvlJc w:val="left"/>
      <w:pPr>
        <w:tabs>
          <w:tab w:val="num" w:pos="3524"/>
        </w:tabs>
        <w:ind w:left="3524" w:hanging="360"/>
      </w:pPr>
      <w:rPr>
        <w:rFonts w:hint="default"/>
      </w:rPr>
    </w:lvl>
  </w:abstractNum>
  <w:abstractNum w:abstractNumId="3" w15:restartNumberingAfterBreak="0">
    <w:nsid w:val="1B8D3711"/>
    <w:multiLevelType w:val="hybridMultilevel"/>
    <w:tmpl w:val="12EE7D60"/>
    <w:lvl w:ilvl="0" w:tplc="C6A8CC88">
      <w:start w:val="4"/>
      <w:numFmt w:val="bullet"/>
      <w:pStyle w:val="Bulletleft1last"/>
      <w:lvlText w:val=""/>
      <w:lvlJc w:val="left"/>
      <w:pPr>
        <w:tabs>
          <w:tab w:val="num" w:pos="284"/>
        </w:tabs>
        <w:ind w:left="284" w:hanging="284"/>
      </w:pPr>
      <w:rPr>
        <w:rFonts w:ascii="Symbol" w:hAnsi="Symbol" w:hint="default"/>
        <w:sz w:val="24"/>
        <w:szCs w:val="24"/>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2C22BA8"/>
    <w:multiLevelType w:val="hybridMultilevel"/>
    <w:tmpl w:val="191A4934"/>
    <w:lvl w:ilvl="0" w:tplc="E7C28008">
      <w:start w:val="4"/>
      <w:numFmt w:val="bullet"/>
      <w:pStyle w:val="Bulletindent1last"/>
      <w:lvlText w:val=""/>
      <w:lvlJc w:val="left"/>
      <w:pPr>
        <w:tabs>
          <w:tab w:val="num" w:pos="1418"/>
        </w:tabs>
        <w:ind w:left="1418" w:hanging="284"/>
      </w:pPr>
      <w:rPr>
        <w:rFonts w:ascii="Symbol" w:hAnsi="Symbol" w:hint="default"/>
        <w:color w:val="auto"/>
        <w:sz w:val="24"/>
        <w:szCs w:val="24"/>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9CC3584"/>
    <w:multiLevelType w:val="multilevel"/>
    <w:tmpl w:val="F5321C44"/>
    <w:lvl w:ilvl="0">
      <w:start w:val="1"/>
      <w:numFmt w:val="decimal"/>
      <w:pStyle w:val="Numberedheading1"/>
      <w:lvlText w:val="%1"/>
      <w:lvlJc w:val="left"/>
      <w:pPr>
        <w:tabs>
          <w:tab w:val="num" w:pos="1134"/>
        </w:tabs>
        <w:ind w:left="1134" w:hanging="1134"/>
      </w:pPr>
      <w:rPr>
        <w:rFonts w:hint="default"/>
      </w:rPr>
    </w:lvl>
    <w:lvl w:ilvl="1">
      <w:start w:val="1"/>
      <w:numFmt w:val="decimal"/>
      <w:pStyle w:val="Numberedlevel2text"/>
      <w:lvlText w:val="%1.%2"/>
      <w:lvlJc w:val="left"/>
      <w:pPr>
        <w:tabs>
          <w:tab w:val="num" w:pos="1134"/>
        </w:tabs>
        <w:ind w:left="1134" w:hanging="1134"/>
      </w:pPr>
      <w:rPr>
        <w:rFonts w:hint="default"/>
        <w:b w:val="0"/>
        <w:i w:val="0"/>
        <w:sz w:val="24"/>
        <w:szCs w:val="24"/>
      </w:rPr>
    </w:lvl>
    <w:lvl w:ilvl="2">
      <w:start w:val="1"/>
      <w:numFmt w:val="decimal"/>
      <w:lvlText w:val="%1.%2.%3"/>
      <w:lvlJc w:val="left"/>
      <w:pPr>
        <w:tabs>
          <w:tab w:val="num" w:pos="1134"/>
        </w:tabs>
        <w:ind w:left="1134" w:hanging="1134"/>
      </w:pPr>
      <w:rPr>
        <w:rFonts w:hint="default"/>
      </w:rPr>
    </w:lvl>
    <w:lvl w:ilvl="3">
      <w:start w:val="1"/>
      <w:numFmt w:val="decimal"/>
      <w:pStyle w:val="Numberedheading1"/>
      <w:lvlText w:val="%1.%2.%3.%4"/>
      <w:lvlJc w:val="left"/>
      <w:pPr>
        <w:tabs>
          <w:tab w:val="num" w:pos="1134"/>
        </w:tabs>
        <w:ind w:left="1134" w:hanging="1134"/>
      </w:pPr>
      <w:rPr>
        <w:rFonts w:hint="default"/>
      </w:rPr>
    </w:lvl>
    <w:lvl w:ilvl="4">
      <w:start w:val="1"/>
      <w:numFmt w:val="decimal"/>
      <w:lvlText w:val="%1.%2.%3.%4.%5."/>
      <w:lvlJc w:val="left"/>
      <w:pPr>
        <w:tabs>
          <w:tab w:val="num" w:pos="4320"/>
        </w:tabs>
        <w:ind w:left="2232" w:hanging="792"/>
      </w:pPr>
      <w:rPr>
        <w:rFonts w:hint="default"/>
      </w:rPr>
    </w:lvl>
    <w:lvl w:ilvl="5">
      <w:start w:val="1"/>
      <w:numFmt w:val="decimal"/>
      <w:lvlText w:val="%1.%2.%3.%4.%5.%6."/>
      <w:lvlJc w:val="left"/>
      <w:pPr>
        <w:tabs>
          <w:tab w:val="num" w:pos="5400"/>
        </w:tabs>
        <w:ind w:left="2736" w:hanging="936"/>
      </w:pPr>
      <w:rPr>
        <w:rFonts w:hint="default"/>
      </w:rPr>
    </w:lvl>
    <w:lvl w:ilvl="6">
      <w:start w:val="1"/>
      <w:numFmt w:val="decimal"/>
      <w:lvlText w:val="%1.%2.%3.%4.%5.%6.%7."/>
      <w:lvlJc w:val="left"/>
      <w:pPr>
        <w:tabs>
          <w:tab w:val="num" w:pos="6480"/>
        </w:tabs>
        <w:ind w:left="3240" w:hanging="1080"/>
      </w:pPr>
      <w:rPr>
        <w:rFonts w:hint="default"/>
      </w:rPr>
    </w:lvl>
    <w:lvl w:ilvl="7">
      <w:start w:val="1"/>
      <w:numFmt w:val="decimal"/>
      <w:lvlText w:val="%1.%2.%3.%4.%5.%6.%7.%8."/>
      <w:lvlJc w:val="left"/>
      <w:pPr>
        <w:tabs>
          <w:tab w:val="num" w:pos="7200"/>
        </w:tabs>
        <w:ind w:left="3744" w:hanging="1224"/>
      </w:pPr>
      <w:rPr>
        <w:rFonts w:hint="default"/>
      </w:rPr>
    </w:lvl>
    <w:lvl w:ilvl="8">
      <w:start w:val="1"/>
      <w:numFmt w:val="decimal"/>
      <w:lvlText w:val="%1.%2.%3.%4.%5.%6.%7.%8.%9."/>
      <w:lvlJc w:val="left"/>
      <w:pPr>
        <w:tabs>
          <w:tab w:val="num" w:pos="8280"/>
        </w:tabs>
        <w:ind w:left="4320" w:hanging="1440"/>
      </w:pPr>
      <w:rPr>
        <w:rFonts w:hint="default"/>
      </w:rPr>
    </w:lvl>
  </w:abstractNum>
  <w:abstractNum w:abstractNumId="6" w15:restartNumberingAfterBreak="0">
    <w:nsid w:val="441B7135"/>
    <w:multiLevelType w:val="multilevel"/>
    <w:tmpl w:val="A710AC7A"/>
    <w:lvl w:ilvl="0">
      <w:start w:val="1"/>
      <w:numFmt w:val="bullet"/>
      <w:lvlText w:val=""/>
      <w:lvlJc w:val="left"/>
      <w:pPr>
        <w:tabs>
          <w:tab w:val="num" w:pos="1418"/>
        </w:tabs>
        <w:ind w:left="1418" w:hanging="284"/>
      </w:pPr>
      <w:rPr>
        <w:rFonts w:ascii="Symbol" w:hAnsi="Symbol" w:hint="default"/>
        <w:color w:val="auto"/>
      </w:rPr>
    </w:lvl>
    <w:lvl w:ilvl="1">
      <w:start w:val="1"/>
      <w:numFmt w:val="bullet"/>
      <w:pStyle w:val="Bulletindent2"/>
      <w:lvlText w:val=""/>
      <w:lvlJc w:val="left"/>
      <w:pPr>
        <w:tabs>
          <w:tab w:val="num" w:pos="1701"/>
        </w:tabs>
        <w:ind w:left="1701" w:hanging="283"/>
      </w:pPr>
      <w:rPr>
        <w:rFonts w:ascii="Symbol" w:hAnsi="Symbol" w:hint="default"/>
      </w:rPr>
    </w:lvl>
    <w:lvl w:ilvl="2">
      <w:start w:val="1"/>
      <w:numFmt w:val="decimal"/>
      <w:lvlText w:val="%3.%1.%2"/>
      <w:lvlJc w:val="left"/>
      <w:pPr>
        <w:tabs>
          <w:tab w:val="num" w:pos="1968"/>
        </w:tabs>
        <w:ind w:left="1968" w:hanging="964"/>
      </w:pPr>
      <w:rPr>
        <w:rFonts w:hint="default"/>
      </w:rPr>
    </w:lvl>
    <w:lvl w:ilvl="3">
      <w:start w:val="1"/>
      <w:numFmt w:val="decimal"/>
      <w:lvlText w:val="%1.%2.%3.%4"/>
      <w:lvlJc w:val="left"/>
      <w:pPr>
        <w:tabs>
          <w:tab w:val="num" w:pos="1968"/>
        </w:tabs>
        <w:ind w:left="1968" w:hanging="964"/>
      </w:pPr>
      <w:rPr>
        <w:rFonts w:hint="default"/>
      </w:rPr>
    </w:lvl>
    <w:lvl w:ilvl="4">
      <w:start w:val="1"/>
      <w:numFmt w:val="decimal"/>
      <w:lvlText w:val="%1.%2.%3.%4.%5."/>
      <w:lvlJc w:val="left"/>
      <w:pPr>
        <w:tabs>
          <w:tab w:val="num" w:pos="5324"/>
        </w:tabs>
        <w:ind w:left="3236" w:hanging="792"/>
      </w:pPr>
      <w:rPr>
        <w:rFonts w:hint="default"/>
      </w:rPr>
    </w:lvl>
    <w:lvl w:ilvl="5">
      <w:start w:val="1"/>
      <w:numFmt w:val="decimal"/>
      <w:lvlText w:val="%1.%2.%3.%4.%5.%6."/>
      <w:lvlJc w:val="left"/>
      <w:pPr>
        <w:tabs>
          <w:tab w:val="num" w:pos="6404"/>
        </w:tabs>
        <w:ind w:left="3740" w:hanging="936"/>
      </w:pPr>
      <w:rPr>
        <w:rFonts w:hint="default"/>
      </w:rPr>
    </w:lvl>
    <w:lvl w:ilvl="6">
      <w:start w:val="1"/>
      <w:numFmt w:val="decimal"/>
      <w:lvlText w:val="%1.%2.%3.%4.%5.%6.%7."/>
      <w:lvlJc w:val="left"/>
      <w:pPr>
        <w:tabs>
          <w:tab w:val="num" w:pos="7484"/>
        </w:tabs>
        <w:ind w:left="4244" w:hanging="1080"/>
      </w:pPr>
      <w:rPr>
        <w:rFonts w:hint="default"/>
      </w:rPr>
    </w:lvl>
    <w:lvl w:ilvl="7">
      <w:start w:val="1"/>
      <w:numFmt w:val="decimal"/>
      <w:lvlText w:val="%1.%2.%3.%4.%5.%6.%7.%8."/>
      <w:lvlJc w:val="left"/>
      <w:pPr>
        <w:tabs>
          <w:tab w:val="num" w:pos="8204"/>
        </w:tabs>
        <w:ind w:left="4748" w:hanging="1224"/>
      </w:pPr>
      <w:rPr>
        <w:rFonts w:hint="default"/>
      </w:rPr>
    </w:lvl>
    <w:lvl w:ilvl="8">
      <w:start w:val="1"/>
      <w:numFmt w:val="decimal"/>
      <w:lvlText w:val="%1.%2.%3.%4.%5.%6.%7.%8.%9."/>
      <w:lvlJc w:val="left"/>
      <w:pPr>
        <w:tabs>
          <w:tab w:val="num" w:pos="9284"/>
        </w:tabs>
        <w:ind w:left="5324" w:hanging="1440"/>
      </w:pPr>
      <w:rPr>
        <w:rFonts w:hint="default"/>
      </w:rPr>
    </w:lvl>
  </w:abstractNum>
  <w:abstractNum w:abstractNumId="7" w15:restartNumberingAfterBreak="0">
    <w:nsid w:val="470E2489"/>
    <w:multiLevelType w:val="multilevel"/>
    <w:tmpl w:val="CF7423B4"/>
    <w:lvl w:ilvl="0">
      <w:start w:val="1"/>
      <w:numFmt w:val="bullet"/>
      <w:lvlText w:val=""/>
      <w:lvlJc w:val="left"/>
      <w:pPr>
        <w:tabs>
          <w:tab w:val="num" w:pos="1418"/>
        </w:tabs>
        <w:ind w:left="1418" w:hanging="284"/>
      </w:pPr>
      <w:rPr>
        <w:rFonts w:ascii="Symbol" w:hAnsi="Symbol" w:hint="default"/>
        <w:color w:val="auto"/>
      </w:rPr>
    </w:lvl>
    <w:lvl w:ilvl="1">
      <w:start w:val="1"/>
      <w:numFmt w:val="bullet"/>
      <w:lvlText w:val=""/>
      <w:lvlJc w:val="left"/>
      <w:pPr>
        <w:tabs>
          <w:tab w:val="num" w:pos="1701"/>
        </w:tabs>
        <w:ind w:left="1701" w:hanging="283"/>
      </w:pPr>
      <w:rPr>
        <w:rFonts w:ascii="Symbol" w:hAnsi="Symbol" w:hint="default"/>
      </w:rPr>
    </w:lvl>
    <w:lvl w:ilvl="2">
      <w:start w:val="1"/>
      <w:numFmt w:val="bullet"/>
      <w:pStyle w:val="Bulletindent3"/>
      <w:lvlText w:val=""/>
      <w:lvlJc w:val="left"/>
      <w:pPr>
        <w:tabs>
          <w:tab w:val="num" w:pos="1985"/>
        </w:tabs>
        <w:ind w:left="1985" w:hanging="284"/>
      </w:pPr>
      <w:rPr>
        <w:rFonts w:ascii="Symbol" w:hAnsi="Symbol" w:hint="default"/>
        <w:color w:val="auto"/>
      </w:rPr>
    </w:lvl>
    <w:lvl w:ilvl="3">
      <w:start w:val="1"/>
      <w:numFmt w:val="decimal"/>
      <w:lvlText w:val="%1.%2.%3.%4"/>
      <w:lvlJc w:val="left"/>
      <w:pPr>
        <w:tabs>
          <w:tab w:val="num" w:pos="1968"/>
        </w:tabs>
        <w:ind w:left="1968" w:hanging="964"/>
      </w:pPr>
      <w:rPr>
        <w:rFonts w:hint="default"/>
      </w:rPr>
    </w:lvl>
    <w:lvl w:ilvl="4">
      <w:start w:val="1"/>
      <w:numFmt w:val="decimal"/>
      <w:lvlText w:val="%1.%2.%3.%4.%5."/>
      <w:lvlJc w:val="left"/>
      <w:pPr>
        <w:tabs>
          <w:tab w:val="num" w:pos="5324"/>
        </w:tabs>
        <w:ind w:left="3236" w:hanging="792"/>
      </w:pPr>
      <w:rPr>
        <w:rFonts w:hint="default"/>
      </w:rPr>
    </w:lvl>
    <w:lvl w:ilvl="5">
      <w:start w:val="1"/>
      <w:numFmt w:val="decimal"/>
      <w:lvlText w:val="%1.%2.%3.%4.%5.%6."/>
      <w:lvlJc w:val="left"/>
      <w:pPr>
        <w:tabs>
          <w:tab w:val="num" w:pos="6404"/>
        </w:tabs>
        <w:ind w:left="3740" w:hanging="936"/>
      </w:pPr>
      <w:rPr>
        <w:rFonts w:hint="default"/>
      </w:rPr>
    </w:lvl>
    <w:lvl w:ilvl="6">
      <w:start w:val="1"/>
      <w:numFmt w:val="decimal"/>
      <w:lvlText w:val="%1.%2.%3.%4.%5.%6.%7."/>
      <w:lvlJc w:val="left"/>
      <w:pPr>
        <w:tabs>
          <w:tab w:val="num" w:pos="7484"/>
        </w:tabs>
        <w:ind w:left="4244" w:hanging="1080"/>
      </w:pPr>
      <w:rPr>
        <w:rFonts w:hint="default"/>
      </w:rPr>
    </w:lvl>
    <w:lvl w:ilvl="7">
      <w:start w:val="1"/>
      <w:numFmt w:val="decimal"/>
      <w:lvlText w:val="%1.%2.%3.%4.%5.%6.%7.%8."/>
      <w:lvlJc w:val="left"/>
      <w:pPr>
        <w:tabs>
          <w:tab w:val="num" w:pos="8204"/>
        </w:tabs>
        <w:ind w:left="4748" w:hanging="1224"/>
      </w:pPr>
      <w:rPr>
        <w:rFonts w:hint="default"/>
      </w:rPr>
    </w:lvl>
    <w:lvl w:ilvl="8">
      <w:start w:val="1"/>
      <w:numFmt w:val="decimal"/>
      <w:lvlText w:val="%1.%2.%3.%4.%5.%6.%7.%8.%9."/>
      <w:lvlJc w:val="left"/>
      <w:pPr>
        <w:tabs>
          <w:tab w:val="num" w:pos="9284"/>
        </w:tabs>
        <w:ind w:left="5324" w:hanging="1440"/>
      </w:pPr>
      <w:rPr>
        <w:rFonts w:hint="default"/>
      </w:rPr>
    </w:lvl>
  </w:abstractNum>
  <w:abstractNum w:abstractNumId="8" w15:restartNumberingAfterBreak="0">
    <w:nsid w:val="4AED2C06"/>
    <w:multiLevelType w:val="hybridMultilevel"/>
    <w:tmpl w:val="50D45964"/>
    <w:lvl w:ilvl="0" w:tplc="975C3584">
      <w:start w:val="1"/>
      <w:numFmt w:val="decimal"/>
      <w:pStyle w:val="Heading1"/>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543841DF"/>
    <w:multiLevelType w:val="multilevel"/>
    <w:tmpl w:val="0809001D"/>
    <w:name w:val="numberedheadings2"/>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0" w15:restartNumberingAfterBreak="0">
    <w:nsid w:val="5C277C90"/>
    <w:multiLevelType w:val="hybridMultilevel"/>
    <w:tmpl w:val="04D48B12"/>
    <w:lvl w:ilvl="0" w:tplc="08090001">
      <w:start w:val="1"/>
      <w:numFmt w:val="bullet"/>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11" w15:restartNumberingAfterBreak="0">
    <w:nsid w:val="66C20063"/>
    <w:multiLevelType w:val="multilevel"/>
    <w:tmpl w:val="043E412C"/>
    <w:lvl w:ilvl="0">
      <w:start w:val="1"/>
      <w:numFmt w:val="bullet"/>
      <w:lvlText w:val=""/>
      <w:lvlJc w:val="left"/>
      <w:pPr>
        <w:tabs>
          <w:tab w:val="num" w:pos="284"/>
        </w:tabs>
        <w:ind w:left="284" w:hanging="284"/>
      </w:pPr>
      <w:rPr>
        <w:rFonts w:ascii="Symbol" w:hAnsi="Symbol" w:hint="default"/>
        <w:color w:val="auto"/>
      </w:rPr>
    </w:lvl>
    <w:lvl w:ilvl="1">
      <w:start w:val="1"/>
      <w:numFmt w:val="bullet"/>
      <w:lvlText w:val=""/>
      <w:lvlJc w:val="left"/>
      <w:pPr>
        <w:tabs>
          <w:tab w:val="num" w:pos="567"/>
        </w:tabs>
        <w:ind w:left="567" w:hanging="283"/>
      </w:pPr>
      <w:rPr>
        <w:rFonts w:ascii="Symbol" w:hAnsi="Symbol" w:hint="default"/>
      </w:rPr>
    </w:lvl>
    <w:lvl w:ilvl="2">
      <w:start w:val="1"/>
      <w:numFmt w:val="bullet"/>
      <w:pStyle w:val="Bulletleft3"/>
      <w:lvlText w:val=""/>
      <w:lvlJc w:val="left"/>
      <w:pPr>
        <w:tabs>
          <w:tab w:val="num" w:pos="851"/>
        </w:tabs>
        <w:ind w:left="851" w:hanging="284"/>
      </w:pPr>
      <w:rPr>
        <w:rFonts w:ascii="Symbol" w:hAnsi="Symbol" w:hint="default"/>
        <w:color w:val="auto"/>
      </w:rPr>
    </w:lvl>
    <w:lvl w:ilvl="3">
      <w:start w:val="1"/>
      <w:numFmt w:val="decimal"/>
      <w:lvlText w:val="(%4)"/>
      <w:lvlJc w:val="left"/>
      <w:pPr>
        <w:tabs>
          <w:tab w:val="num" w:pos="1724"/>
        </w:tabs>
        <w:ind w:left="1724" w:hanging="360"/>
      </w:pPr>
      <w:rPr>
        <w:rFonts w:hint="default"/>
      </w:rPr>
    </w:lvl>
    <w:lvl w:ilvl="4">
      <w:start w:val="1"/>
      <w:numFmt w:val="lowerLetter"/>
      <w:lvlText w:val="(%5)"/>
      <w:lvlJc w:val="left"/>
      <w:pPr>
        <w:tabs>
          <w:tab w:val="num" w:pos="2084"/>
        </w:tabs>
        <w:ind w:left="2084" w:hanging="360"/>
      </w:pPr>
      <w:rPr>
        <w:rFonts w:hint="default"/>
      </w:rPr>
    </w:lvl>
    <w:lvl w:ilvl="5">
      <w:start w:val="1"/>
      <w:numFmt w:val="lowerRoman"/>
      <w:lvlText w:val="(%6)"/>
      <w:lvlJc w:val="left"/>
      <w:pPr>
        <w:tabs>
          <w:tab w:val="num" w:pos="2444"/>
        </w:tabs>
        <w:ind w:left="2444" w:hanging="360"/>
      </w:pPr>
      <w:rPr>
        <w:rFonts w:hint="default"/>
      </w:rPr>
    </w:lvl>
    <w:lvl w:ilvl="6">
      <w:start w:val="1"/>
      <w:numFmt w:val="decimal"/>
      <w:lvlText w:val="%7."/>
      <w:lvlJc w:val="left"/>
      <w:pPr>
        <w:tabs>
          <w:tab w:val="num" w:pos="2804"/>
        </w:tabs>
        <w:ind w:left="2804" w:hanging="360"/>
      </w:pPr>
      <w:rPr>
        <w:rFonts w:hint="default"/>
      </w:rPr>
    </w:lvl>
    <w:lvl w:ilvl="7">
      <w:start w:val="1"/>
      <w:numFmt w:val="lowerLetter"/>
      <w:lvlText w:val="%8."/>
      <w:lvlJc w:val="left"/>
      <w:pPr>
        <w:tabs>
          <w:tab w:val="num" w:pos="3164"/>
        </w:tabs>
        <w:ind w:left="3164" w:hanging="360"/>
      </w:pPr>
      <w:rPr>
        <w:rFonts w:hint="default"/>
      </w:rPr>
    </w:lvl>
    <w:lvl w:ilvl="8">
      <w:start w:val="1"/>
      <w:numFmt w:val="lowerRoman"/>
      <w:lvlText w:val="%9."/>
      <w:lvlJc w:val="left"/>
      <w:pPr>
        <w:tabs>
          <w:tab w:val="num" w:pos="3524"/>
        </w:tabs>
        <w:ind w:left="3524" w:hanging="360"/>
      </w:pPr>
      <w:rPr>
        <w:rFonts w:hint="default"/>
      </w:rPr>
    </w:lvl>
  </w:abstractNum>
  <w:abstractNum w:abstractNumId="12" w15:restartNumberingAfterBreak="0">
    <w:nsid w:val="7E770260"/>
    <w:multiLevelType w:val="multilevel"/>
    <w:tmpl w:val="0809001D"/>
    <w:name w:val="numberedheadings3"/>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abstractNumId w:val="5"/>
  </w:num>
  <w:num w:numId="2">
    <w:abstractNumId w:val="1"/>
  </w:num>
  <w:num w:numId="3">
    <w:abstractNumId w:val="11"/>
  </w:num>
  <w:num w:numId="4">
    <w:abstractNumId w:val="6"/>
  </w:num>
  <w:num w:numId="5">
    <w:abstractNumId w:val="7"/>
  </w:num>
  <w:num w:numId="6">
    <w:abstractNumId w:val="0"/>
  </w:num>
  <w:num w:numId="7">
    <w:abstractNumId w:val="2"/>
  </w:num>
  <w:num w:numId="8">
    <w:abstractNumId w:val="3"/>
  </w:num>
  <w:num w:numId="9">
    <w:abstractNumId w:val="4"/>
  </w:num>
  <w:num w:numId="10">
    <w:abstractNumId w:val="8"/>
  </w:num>
  <w:num w:numId="11">
    <w:abstractNumId w:val="1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720"/>
  <w:characterSpacingControl w:val="doNotCompress"/>
  <w:hdrShapeDefaults>
    <o:shapedefaults v:ext="edit" spidmax="59393"/>
  </w:hdrShapeDefaults>
  <w:footnotePr>
    <w:footnote w:id="-1"/>
    <w:footnote w:id="0"/>
    <w:footnote w:id="1"/>
  </w:footnotePr>
  <w:endnotePr>
    <w:endnote w:id="-1"/>
    <w:endnote w:id="0"/>
    <w:endnote w:id="1"/>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6AE0"/>
    <w:rsid w:val="00001518"/>
    <w:rsid w:val="00002ACF"/>
    <w:rsid w:val="00003E1F"/>
    <w:rsid w:val="000043A7"/>
    <w:rsid w:val="000049E1"/>
    <w:rsid w:val="000061DF"/>
    <w:rsid w:val="00007F8C"/>
    <w:rsid w:val="000119FB"/>
    <w:rsid w:val="000120A5"/>
    <w:rsid w:val="00013C91"/>
    <w:rsid w:val="00013EC3"/>
    <w:rsid w:val="0001402C"/>
    <w:rsid w:val="00014413"/>
    <w:rsid w:val="00014B75"/>
    <w:rsid w:val="00017B23"/>
    <w:rsid w:val="00021B49"/>
    <w:rsid w:val="00023391"/>
    <w:rsid w:val="000315AC"/>
    <w:rsid w:val="00031FA5"/>
    <w:rsid w:val="000334F5"/>
    <w:rsid w:val="000344AA"/>
    <w:rsid w:val="000345D3"/>
    <w:rsid w:val="000351BA"/>
    <w:rsid w:val="00035CB2"/>
    <w:rsid w:val="000402BE"/>
    <w:rsid w:val="0004092E"/>
    <w:rsid w:val="000443E8"/>
    <w:rsid w:val="00044A36"/>
    <w:rsid w:val="00044CC7"/>
    <w:rsid w:val="000459F7"/>
    <w:rsid w:val="00047853"/>
    <w:rsid w:val="00051651"/>
    <w:rsid w:val="000553F3"/>
    <w:rsid w:val="000567CE"/>
    <w:rsid w:val="000619B3"/>
    <w:rsid w:val="000643BC"/>
    <w:rsid w:val="00066C63"/>
    <w:rsid w:val="00067B2F"/>
    <w:rsid w:val="000709A0"/>
    <w:rsid w:val="000754C1"/>
    <w:rsid w:val="0007642F"/>
    <w:rsid w:val="00076A32"/>
    <w:rsid w:val="00076F27"/>
    <w:rsid w:val="0008194F"/>
    <w:rsid w:val="0008263E"/>
    <w:rsid w:val="000832EE"/>
    <w:rsid w:val="0008436A"/>
    <w:rsid w:val="00084B4D"/>
    <w:rsid w:val="00085968"/>
    <w:rsid w:val="00086814"/>
    <w:rsid w:val="00090E7D"/>
    <w:rsid w:val="00091826"/>
    <w:rsid w:val="00092394"/>
    <w:rsid w:val="00092433"/>
    <w:rsid w:val="00092E3F"/>
    <w:rsid w:val="00095D31"/>
    <w:rsid w:val="000967FF"/>
    <w:rsid w:val="00096DA6"/>
    <w:rsid w:val="00097500"/>
    <w:rsid w:val="000A21E7"/>
    <w:rsid w:val="000A2F24"/>
    <w:rsid w:val="000A3204"/>
    <w:rsid w:val="000A3378"/>
    <w:rsid w:val="000A3562"/>
    <w:rsid w:val="000A58D7"/>
    <w:rsid w:val="000A5FF9"/>
    <w:rsid w:val="000A6170"/>
    <w:rsid w:val="000B0E2A"/>
    <w:rsid w:val="000B12A4"/>
    <w:rsid w:val="000B3482"/>
    <w:rsid w:val="000B366C"/>
    <w:rsid w:val="000B3DAC"/>
    <w:rsid w:val="000B4214"/>
    <w:rsid w:val="000B48A1"/>
    <w:rsid w:val="000B629D"/>
    <w:rsid w:val="000B6DB0"/>
    <w:rsid w:val="000B775B"/>
    <w:rsid w:val="000B7BBD"/>
    <w:rsid w:val="000C046C"/>
    <w:rsid w:val="000C0DE1"/>
    <w:rsid w:val="000C14B6"/>
    <w:rsid w:val="000C3F60"/>
    <w:rsid w:val="000C48D6"/>
    <w:rsid w:val="000C4D5C"/>
    <w:rsid w:val="000C4FF2"/>
    <w:rsid w:val="000C6B04"/>
    <w:rsid w:val="000D3166"/>
    <w:rsid w:val="000D32A6"/>
    <w:rsid w:val="000D3C93"/>
    <w:rsid w:val="000D654E"/>
    <w:rsid w:val="000D6D86"/>
    <w:rsid w:val="000D76D8"/>
    <w:rsid w:val="000E16A6"/>
    <w:rsid w:val="000E398D"/>
    <w:rsid w:val="000E3DF5"/>
    <w:rsid w:val="000E444C"/>
    <w:rsid w:val="000E467A"/>
    <w:rsid w:val="000E67A8"/>
    <w:rsid w:val="000E6E4B"/>
    <w:rsid w:val="000E6FAD"/>
    <w:rsid w:val="000F0B59"/>
    <w:rsid w:val="000F17BF"/>
    <w:rsid w:val="000F2229"/>
    <w:rsid w:val="000F5872"/>
    <w:rsid w:val="000F6DBF"/>
    <w:rsid w:val="000F6FE2"/>
    <w:rsid w:val="00101F34"/>
    <w:rsid w:val="00102247"/>
    <w:rsid w:val="001042F0"/>
    <w:rsid w:val="00104A82"/>
    <w:rsid w:val="00105275"/>
    <w:rsid w:val="001079BA"/>
    <w:rsid w:val="001108A2"/>
    <w:rsid w:val="001108FF"/>
    <w:rsid w:val="0011132F"/>
    <w:rsid w:val="00112956"/>
    <w:rsid w:val="00113B59"/>
    <w:rsid w:val="00121A31"/>
    <w:rsid w:val="001221E8"/>
    <w:rsid w:val="00122E60"/>
    <w:rsid w:val="00123550"/>
    <w:rsid w:val="00127207"/>
    <w:rsid w:val="00130EDD"/>
    <w:rsid w:val="00131A2C"/>
    <w:rsid w:val="00131D50"/>
    <w:rsid w:val="00132779"/>
    <w:rsid w:val="00133E42"/>
    <w:rsid w:val="001342EF"/>
    <w:rsid w:val="00134F44"/>
    <w:rsid w:val="00135520"/>
    <w:rsid w:val="00135834"/>
    <w:rsid w:val="00135AF0"/>
    <w:rsid w:val="00141A73"/>
    <w:rsid w:val="00141B21"/>
    <w:rsid w:val="0014215E"/>
    <w:rsid w:val="00143970"/>
    <w:rsid w:val="001445FE"/>
    <w:rsid w:val="00147C7A"/>
    <w:rsid w:val="001503B4"/>
    <w:rsid w:val="001509D6"/>
    <w:rsid w:val="001523B3"/>
    <w:rsid w:val="00153D5B"/>
    <w:rsid w:val="0015503E"/>
    <w:rsid w:val="0015509D"/>
    <w:rsid w:val="00155450"/>
    <w:rsid w:val="00155F91"/>
    <w:rsid w:val="001565DC"/>
    <w:rsid w:val="001602D3"/>
    <w:rsid w:val="00160596"/>
    <w:rsid w:val="001607DA"/>
    <w:rsid w:val="00161AA0"/>
    <w:rsid w:val="001625DB"/>
    <w:rsid w:val="0016294C"/>
    <w:rsid w:val="00164144"/>
    <w:rsid w:val="0016521D"/>
    <w:rsid w:val="001655C8"/>
    <w:rsid w:val="001674AF"/>
    <w:rsid w:val="001708C1"/>
    <w:rsid w:val="001715A3"/>
    <w:rsid w:val="00173717"/>
    <w:rsid w:val="00173AEF"/>
    <w:rsid w:val="0017448B"/>
    <w:rsid w:val="00176249"/>
    <w:rsid w:val="00180614"/>
    <w:rsid w:val="00182C78"/>
    <w:rsid w:val="00182D3C"/>
    <w:rsid w:val="0018301B"/>
    <w:rsid w:val="001836D7"/>
    <w:rsid w:val="00184E02"/>
    <w:rsid w:val="001853FD"/>
    <w:rsid w:val="00186A2E"/>
    <w:rsid w:val="00186A4D"/>
    <w:rsid w:val="00186AB8"/>
    <w:rsid w:val="001870D3"/>
    <w:rsid w:val="0018758F"/>
    <w:rsid w:val="00187E07"/>
    <w:rsid w:val="00191F26"/>
    <w:rsid w:val="00192811"/>
    <w:rsid w:val="00193595"/>
    <w:rsid w:val="001956FC"/>
    <w:rsid w:val="001A2E24"/>
    <w:rsid w:val="001A39CE"/>
    <w:rsid w:val="001A605C"/>
    <w:rsid w:val="001B0C52"/>
    <w:rsid w:val="001B1258"/>
    <w:rsid w:val="001B1BC4"/>
    <w:rsid w:val="001B2579"/>
    <w:rsid w:val="001B2EF1"/>
    <w:rsid w:val="001B3528"/>
    <w:rsid w:val="001B4A01"/>
    <w:rsid w:val="001B5105"/>
    <w:rsid w:val="001B5FA1"/>
    <w:rsid w:val="001B7AB8"/>
    <w:rsid w:val="001C0C5A"/>
    <w:rsid w:val="001C0F06"/>
    <w:rsid w:val="001C1739"/>
    <w:rsid w:val="001C387A"/>
    <w:rsid w:val="001C3AD1"/>
    <w:rsid w:val="001C40D7"/>
    <w:rsid w:val="001C4FB7"/>
    <w:rsid w:val="001D022D"/>
    <w:rsid w:val="001D0AD6"/>
    <w:rsid w:val="001D0BE2"/>
    <w:rsid w:val="001D0C94"/>
    <w:rsid w:val="001D0DF5"/>
    <w:rsid w:val="001D0E67"/>
    <w:rsid w:val="001D18A1"/>
    <w:rsid w:val="001D445E"/>
    <w:rsid w:val="001D5CCF"/>
    <w:rsid w:val="001D75A9"/>
    <w:rsid w:val="001E01CD"/>
    <w:rsid w:val="001E1C4D"/>
    <w:rsid w:val="001E5850"/>
    <w:rsid w:val="001F16B4"/>
    <w:rsid w:val="001F4FF1"/>
    <w:rsid w:val="001F5868"/>
    <w:rsid w:val="001F5FE9"/>
    <w:rsid w:val="002007A2"/>
    <w:rsid w:val="002025B8"/>
    <w:rsid w:val="002040A5"/>
    <w:rsid w:val="00204567"/>
    <w:rsid w:val="00206662"/>
    <w:rsid w:val="0020671D"/>
    <w:rsid w:val="00207CC1"/>
    <w:rsid w:val="002121D0"/>
    <w:rsid w:val="0021237B"/>
    <w:rsid w:val="00212C2E"/>
    <w:rsid w:val="00213579"/>
    <w:rsid w:val="0022009B"/>
    <w:rsid w:val="002202FC"/>
    <w:rsid w:val="00221FA4"/>
    <w:rsid w:val="002225EF"/>
    <w:rsid w:val="00223740"/>
    <w:rsid w:val="00223D29"/>
    <w:rsid w:val="0022485A"/>
    <w:rsid w:val="00224B65"/>
    <w:rsid w:val="0022622A"/>
    <w:rsid w:val="002263BA"/>
    <w:rsid w:val="00227B7A"/>
    <w:rsid w:val="00227D50"/>
    <w:rsid w:val="00230812"/>
    <w:rsid w:val="002313A0"/>
    <w:rsid w:val="00231F54"/>
    <w:rsid w:val="00232AB9"/>
    <w:rsid w:val="00234868"/>
    <w:rsid w:val="00235CAB"/>
    <w:rsid w:val="00237F73"/>
    <w:rsid w:val="0024054F"/>
    <w:rsid w:val="0024101C"/>
    <w:rsid w:val="00243F81"/>
    <w:rsid w:val="002442CE"/>
    <w:rsid w:val="00244F13"/>
    <w:rsid w:val="002466CA"/>
    <w:rsid w:val="00247D28"/>
    <w:rsid w:val="00250239"/>
    <w:rsid w:val="00250300"/>
    <w:rsid w:val="00250438"/>
    <w:rsid w:val="00250DB0"/>
    <w:rsid w:val="00251A2F"/>
    <w:rsid w:val="00252F2A"/>
    <w:rsid w:val="00253E79"/>
    <w:rsid w:val="002548D9"/>
    <w:rsid w:val="00255C12"/>
    <w:rsid w:val="00257C5B"/>
    <w:rsid w:val="002606B4"/>
    <w:rsid w:val="0026145F"/>
    <w:rsid w:val="002627D6"/>
    <w:rsid w:val="00263DFA"/>
    <w:rsid w:val="00270993"/>
    <w:rsid w:val="00272CBA"/>
    <w:rsid w:val="00276AE0"/>
    <w:rsid w:val="00277BFB"/>
    <w:rsid w:val="00281064"/>
    <w:rsid w:val="00282C8A"/>
    <w:rsid w:val="00282D7E"/>
    <w:rsid w:val="00284551"/>
    <w:rsid w:val="002856B4"/>
    <w:rsid w:val="0028754C"/>
    <w:rsid w:val="00287C4A"/>
    <w:rsid w:val="00290415"/>
    <w:rsid w:val="0029052C"/>
    <w:rsid w:val="00293328"/>
    <w:rsid w:val="00296C04"/>
    <w:rsid w:val="002A2B03"/>
    <w:rsid w:val="002A3CE7"/>
    <w:rsid w:val="002A5955"/>
    <w:rsid w:val="002B10DF"/>
    <w:rsid w:val="002B229F"/>
    <w:rsid w:val="002B51DE"/>
    <w:rsid w:val="002B69AC"/>
    <w:rsid w:val="002B6A99"/>
    <w:rsid w:val="002C4B97"/>
    <w:rsid w:val="002C5228"/>
    <w:rsid w:val="002C542A"/>
    <w:rsid w:val="002C6759"/>
    <w:rsid w:val="002C6D6B"/>
    <w:rsid w:val="002C7CEF"/>
    <w:rsid w:val="002C7CFD"/>
    <w:rsid w:val="002D0120"/>
    <w:rsid w:val="002D07FA"/>
    <w:rsid w:val="002D2451"/>
    <w:rsid w:val="002D2C8A"/>
    <w:rsid w:val="002D3124"/>
    <w:rsid w:val="002D3428"/>
    <w:rsid w:val="002D3488"/>
    <w:rsid w:val="002D3DDB"/>
    <w:rsid w:val="002D691C"/>
    <w:rsid w:val="002D6DFD"/>
    <w:rsid w:val="002D7015"/>
    <w:rsid w:val="002D777C"/>
    <w:rsid w:val="002D7CBC"/>
    <w:rsid w:val="002D7FE1"/>
    <w:rsid w:val="002E0ED9"/>
    <w:rsid w:val="002E2ABE"/>
    <w:rsid w:val="002E7626"/>
    <w:rsid w:val="002E7CA6"/>
    <w:rsid w:val="002F19E5"/>
    <w:rsid w:val="002F4824"/>
    <w:rsid w:val="002F5DC9"/>
    <w:rsid w:val="002F683B"/>
    <w:rsid w:val="002F762C"/>
    <w:rsid w:val="002F7D8C"/>
    <w:rsid w:val="0030183C"/>
    <w:rsid w:val="003021AC"/>
    <w:rsid w:val="00302B8E"/>
    <w:rsid w:val="00303A0E"/>
    <w:rsid w:val="00304C7A"/>
    <w:rsid w:val="003078C2"/>
    <w:rsid w:val="00311B8F"/>
    <w:rsid w:val="00313045"/>
    <w:rsid w:val="003132DC"/>
    <w:rsid w:val="00313370"/>
    <w:rsid w:val="003135E7"/>
    <w:rsid w:val="0031664C"/>
    <w:rsid w:val="003171DE"/>
    <w:rsid w:val="00317B68"/>
    <w:rsid w:val="00320937"/>
    <w:rsid w:val="00322358"/>
    <w:rsid w:val="00322B28"/>
    <w:rsid w:val="00326A14"/>
    <w:rsid w:val="00327BA9"/>
    <w:rsid w:val="003307BA"/>
    <w:rsid w:val="003330E6"/>
    <w:rsid w:val="003337FC"/>
    <w:rsid w:val="00334520"/>
    <w:rsid w:val="00337523"/>
    <w:rsid w:val="00340B44"/>
    <w:rsid w:val="00340C46"/>
    <w:rsid w:val="00341CC9"/>
    <w:rsid w:val="0034337B"/>
    <w:rsid w:val="00343B2C"/>
    <w:rsid w:val="00344005"/>
    <w:rsid w:val="003455B1"/>
    <w:rsid w:val="003461E0"/>
    <w:rsid w:val="00346762"/>
    <w:rsid w:val="00346A05"/>
    <w:rsid w:val="00354525"/>
    <w:rsid w:val="00356B46"/>
    <w:rsid w:val="0035754D"/>
    <w:rsid w:val="0036102E"/>
    <w:rsid w:val="0036158A"/>
    <w:rsid w:val="003629B8"/>
    <w:rsid w:val="00365A4F"/>
    <w:rsid w:val="00366751"/>
    <w:rsid w:val="003670CC"/>
    <w:rsid w:val="00367893"/>
    <w:rsid w:val="00377530"/>
    <w:rsid w:val="00381385"/>
    <w:rsid w:val="00382529"/>
    <w:rsid w:val="0038285B"/>
    <w:rsid w:val="003829A0"/>
    <w:rsid w:val="00383083"/>
    <w:rsid w:val="003857E0"/>
    <w:rsid w:val="00385F57"/>
    <w:rsid w:val="00387549"/>
    <w:rsid w:val="00390D8D"/>
    <w:rsid w:val="003935B5"/>
    <w:rsid w:val="00394AB2"/>
    <w:rsid w:val="00394D54"/>
    <w:rsid w:val="00394DCF"/>
    <w:rsid w:val="003962DF"/>
    <w:rsid w:val="00396B52"/>
    <w:rsid w:val="003A3974"/>
    <w:rsid w:val="003A3C0F"/>
    <w:rsid w:val="003A545B"/>
    <w:rsid w:val="003A7418"/>
    <w:rsid w:val="003B0BFD"/>
    <w:rsid w:val="003B0DAE"/>
    <w:rsid w:val="003B1A8E"/>
    <w:rsid w:val="003B1BDB"/>
    <w:rsid w:val="003B4E93"/>
    <w:rsid w:val="003B4EF6"/>
    <w:rsid w:val="003B5107"/>
    <w:rsid w:val="003B513A"/>
    <w:rsid w:val="003B5498"/>
    <w:rsid w:val="003B6EA5"/>
    <w:rsid w:val="003B71B7"/>
    <w:rsid w:val="003B7FEA"/>
    <w:rsid w:val="003C107F"/>
    <w:rsid w:val="003C1B77"/>
    <w:rsid w:val="003C36AC"/>
    <w:rsid w:val="003C4619"/>
    <w:rsid w:val="003C5104"/>
    <w:rsid w:val="003C5BAD"/>
    <w:rsid w:val="003C7152"/>
    <w:rsid w:val="003C7A9C"/>
    <w:rsid w:val="003D01C2"/>
    <w:rsid w:val="003D11D4"/>
    <w:rsid w:val="003D1E93"/>
    <w:rsid w:val="003E391A"/>
    <w:rsid w:val="003F0306"/>
    <w:rsid w:val="003F039D"/>
    <w:rsid w:val="003F0F2C"/>
    <w:rsid w:val="003F10BD"/>
    <w:rsid w:val="003F358E"/>
    <w:rsid w:val="003F3AD5"/>
    <w:rsid w:val="003F4152"/>
    <w:rsid w:val="00401863"/>
    <w:rsid w:val="00401C90"/>
    <w:rsid w:val="00403016"/>
    <w:rsid w:val="00405747"/>
    <w:rsid w:val="00405B22"/>
    <w:rsid w:val="00410B19"/>
    <w:rsid w:val="00410ED1"/>
    <w:rsid w:val="0041197F"/>
    <w:rsid w:val="00411E68"/>
    <w:rsid w:val="004127A3"/>
    <w:rsid w:val="00412AE8"/>
    <w:rsid w:val="00412C50"/>
    <w:rsid w:val="004130C4"/>
    <w:rsid w:val="00416716"/>
    <w:rsid w:val="00416747"/>
    <w:rsid w:val="0041680D"/>
    <w:rsid w:val="00417337"/>
    <w:rsid w:val="004178C8"/>
    <w:rsid w:val="00417A62"/>
    <w:rsid w:val="00417EC0"/>
    <w:rsid w:val="00420B3D"/>
    <w:rsid w:val="0042129F"/>
    <w:rsid w:val="004238CE"/>
    <w:rsid w:val="00425B8A"/>
    <w:rsid w:val="00427E58"/>
    <w:rsid w:val="004322FA"/>
    <w:rsid w:val="004329DE"/>
    <w:rsid w:val="0043435E"/>
    <w:rsid w:val="00434F28"/>
    <w:rsid w:val="004371BD"/>
    <w:rsid w:val="00445062"/>
    <w:rsid w:val="00445176"/>
    <w:rsid w:val="004454E0"/>
    <w:rsid w:val="00445FA9"/>
    <w:rsid w:val="0044624B"/>
    <w:rsid w:val="004465A3"/>
    <w:rsid w:val="0044673C"/>
    <w:rsid w:val="00447185"/>
    <w:rsid w:val="00447FE2"/>
    <w:rsid w:val="00450074"/>
    <w:rsid w:val="004524CB"/>
    <w:rsid w:val="004525C3"/>
    <w:rsid w:val="004559F0"/>
    <w:rsid w:val="00455FFC"/>
    <w:rsid w:val="00457581"/>
    <w:rsid w:val="00461902"/>
    <w:rsid w:val="00461ACB"/>
    <w:rsid w:val="004625A0"/>
    <w:rsid w:val="004625B9"/>
    <w:rsid w:val="004631B9"/>
    <w:rsid w:val="004635D1"/>
    <w:rsid w:val="00464E36"/>
    <w:rsid w:val="00467DB2"/>
    <w:rsid w:val="00471398"/>
    <w:rsid w:val="004716BC"/>
    <w:rsid w:val="00472E35"/>
    <w:rsid w:val="0047473B"/>
    <w:rsid w:val="00474DCE"/>
    <w:rsid w:val="00477605"/>
    <w:rsid w:val="00477C3F"/>
    <w:rsid w:val="004805B0"/>
    <w:rsid w:val="004808F9"/>
    <w:rsid w:val="00480A24"/>
    <w:rsid w:val="00480B27"/>
    <w:rsid w:val="00481B18"/>
    <w:rsid w:val="004820E9"/>
    <w:rsid w:val="00482931"/>
    <w:rsid w:val="0048361F"/>
    <w:rsid w:val="00494251"/>
    <w:rsid w:val="00495C6A"/>
    <w:rsid w:val="004968BB"/>
    <w:rsid w:val="00496D13"/>
    <w:rsid w:val="004A2684"/>
    <w:rsid w:val="004A5801"/>
    <w:rsid w:val="004A63A4"/>
    <w:rsid w:val="004B200C"/>
    <w:rsid w:val="004B489D"/>
    <w:rsid w:val="004B4A7E"/>
    <w:rsid w:val="004B4BC0"/>
    <w:rsid w:val="004B514C"/>
    <w:rsid w:val="004B51DA"/>
    <w:rsid w:val="004B5452"/>
    <w:rsid w:val="004B7AB5"/>
    <w:rsid w:val="004B7C97"/>
    <w:rsid w:val="004C1120"/>
    <w:rsid w:val="004C1540"/>
    <w:rsid w:val="004C1C9C"/>
    <w:rsid w:val="004C25E3"/>
    <w:rsid w:val="004C2B21"/>
    <w:rsid w:val="004C4D6A"/>
    <w:rsid w:val="004C5CEF"/>
    <w:rsid w:val="004C60C2"/>
    <w:rsid w:val="004C644E"/>
    <w:rsid w:val="004D047D"/>
    <w:rsid w:val="004D1714"/>
    <w:rsid w:val="004D1F51"/>
    <w:rsid w:val="004D6EC4"/>
    <w:rsid w:val="004E0DC2"/>
    <w:rsid w:val="004E0E24"/>
    <w:rsid w:val="004E318D"/>
    <w:rsid w:val="004E50CD"/>
    <w:rsid w:val="004E7078"/>
    <w:rsid w:val="004E7AE0"/>
    <w:rsid w:val="004E7BD2"/>
    <w:rsid w:val="004F0A74"/>
    <w:rsid w:val="004F0C1A"/>
    <w:rsid w:val="004F169D"/>
    <w:rsid w:val="004F4A0E"/>
    <w:rsid w:val="004F645B"/>
    <w:rsid w:val="004F7C03"/>
    <w:rsid w:val="00501292"/>
    <w:rsid w:val="005012FE"/>
    <w:rsid w:val="00501A11"/>
    <w:rsid w:val="0050357A"/>
    <w:rsid w:val="00503880"/>
    <w:rsid w:val="00504AB4"/>
    <w:rsid w:val="0050576B"/>
    <w:rsid w:val="00506CA9"/>
    <w:rsid w:val="0051518C"/>
    <w:rsid w:val="005154C0"/>
    <w:rsid w:val="00517AB3"/>
    <w:rsid w:val="0052040A"/>
    <w:rsid w:val="00520D16"/>
    <w:rsid w:val="00522C8E"/>
    <w:rsid w:val="00524CE7"/>
    <w:rsid w:val="00524EBD"/>
    <w:rsid w:val="00526C07"/>
    <w:rsid w:val="00526F97"/>
    <w:rsid w:val="005304F2"/>
    <w:rsid w:val="005309B4"/>
    <w:rsid w:val="0053334D"/>
    <w:rsid w:val="00533472"/>
    <w:rsid w:val="0053387C"/>
    <w:rsid w:val="00533DF1"/>
    <w:rsid w:val="00534368"/>
    <w:rsid w:val="005350CF"/>
    <w:rsid w:val="00535144"/>
    <w:rsid w:val="005370A5"/>
    <w:rsid w:val="0053752E"/>
    <w:rsid w:val="00537BEC"/>
    <w:rsid w:val="00541D3E"/>
    <w:rsid w:val="00542870"/>
    <w:rsid w:val="00543B86"/>
    <w:rsid w:val="00543DCC"/>
    <w:rsid w:val="00544C77"/>
    <w:rsid w:val="00546686"/>
    <w:rsid w:val="00546FC1"/>
    <w:rsid w:val="005501F8"/>
    <w:rsid w:val="005502D4"/>
    <w:rsid w:val="00550AFB"/>
    <w:rsid w:val="00551810"/>
    <w:rsid w:val="00552B30"/>
    <w:rsid w:val="00553891"/>
    <w:rsid w:val="00553974"/>
    <w:rsid w:val="005556C7"/>
    <w:rsid w:val="00555BD3"/>
    <w:rsid w:val="005564BF"/>
    <w:rsid w:val="005571E5"/>
    <w:rsid w:val="005573A4"/>
    <w:rsid w:val="00557EC8"/>
    <w:rsid w:val="005611A1"/>
    <w:rsid w:val="00562227"/>
    <w:rsid w:val="00564899"/>
    <w:rsid w:val="005648C7"/>
    <w:rsid w:val="00567517"/>
    <w:rsid w:val="00570692"/>
    <w:rsid w:val="00570886"/>
    <w:rsid w:val="00570C29"/>
    <w:rsid w:val="00575514"/>
    <w:rsid w:val="00580376"/>
    <w:rsid w:val="005812A8"/>
    <w:rsid w:val="00584119"/>
    <w:rsid w:val="0058599B"/>
    <w:rsid w:val="00591C2A"/>
    <w:rsid w:val="00592518"/>
    <w:rsid w:val="00592CFA"/>
    <w:rsid w:val="005943D9"/>
    <w:rsid w:val="00596AAC"/>
    <w:rsid w:val="005A1A02"/>
    <w:rsid w:val="005A3BB9"/>
    <w:rsid w:val="005A59E4"/>
    <w:rsid w:val="005A7045"/>
    <w:rsid w:val="005A7EC2"/>
    <w:rsid w:val="005A7FCC"/>
    <w:rsid w:val="005B01DF"/>
    <w:rsid w:val="005B0AA4"/>
    <w:rsid w:val="005B1376"/>
    <w:rsid w:val="005B1976"/>
    <w:rsid w:val="005B314B"/>
    <w:rsid w:val="005B3E0D"/>
    <w:rsid w:val="005B47F2"/>
    <w:rsid w:val="005B5432"/>
    <w:rsid w:val="005C051F"/>
    <w:rsid w:val="005C12DE"/>
    <w:rsid w:val="005C4D28"/>
    <w:rsid w:val="005C4DD9"/>
    <w:rsid w:val="005C503A"/>
    <w:rsid w:val="005C5671"/>
    <w:rsid w:val="005C73F0"/>
    <w:rsid w:val="005C762E"/>
    <w:rsid w:val="005C7806"/>
    <w:rsid w:val="005D098C"/>
    <w:rsid w:val="005D2BE7"/>
    <w:rsid w:val="005D2D25"/>
    <w:rsid w:val="005D426A"/>
    <w:rsid w:val="005D44B1"/>
    <w:rsid w:val="005D540C"/>
    <w:rsid w:val="005D5B66"/>
    <w:rsid w:val="005D5EF4"/>
    <w:rsid w:val="005D712B"/>
    <w:rsid w:val="005D7A21"/>
    <w:rsid w:val="005D7B12"/>
    <w:rsid w:val="005E07F1"/>
    <w:rsid w:val="005E11DA"/>
    <w:rsid w:val="005E26EF"/>
    <w:rsid w:val="005E3DC4"/>
    <w:rsid w:val="005E4F6D"/>
    <w:rsid w:val="005E658D"/>
    <w:rsid w:val="005E725C"/>
    <w:rsid w:val="005F3329"/>
    <w:rsid w:val="005F47E8"/>
    <w:rsid w:val="005F7390"/>
    <w:rsid w:val="005F7A45"/>
    <w:rsid w:val="00600E13"/>
    <w:rsid w:val="00602DBF"/>
    <w:rsid w:val="00603C94"/>
    <w:rsid w:val="00603FE6"/>
    <w:rsid w:val="00604FFF"/>
    <w:rsid w:val="00605143"/>
    <w:rsid w:val="0060662A"/>
    <w:rsid w:val="0061056F"/>
    <w:rsid w:val="006111BA"/>
    <w:rsid w:val="00611951"/>
    <w:rsid w:val="00612789"/>
    <w:rsid w:val="00613ACD"/>
    <w:rsid w:val="00614BDA"/>
    <w:rsid w:val="00615C59"/>
    <w:rsid w:val="00617395"/>
    <w:rsid w:val="00620A10"/>
    <w:rsid w:val="00622B84"/>
    <w:rsid w:val="00622C68"/>
    <w:rsid w:val="00624234"/>
    <w:rsid w:val="00624B7F"/>
    <w:rsid w:val="00624DEB"/>
    <w:rsid w:val="006250BD"/>
    <w:rsid w:val="00630F02"/>
    <w:rsid w:val="00632A7B"/>
    <w:rsid w:val="006331B4"/>
    <w:rsid w:val="00634012"/>
    <w:rsid w:val="006343F3"/>
    <w:rsid w:val="00635CFA"/>
    <w:rsid w:val="00635EFC"/>
    <w:rsid w:val="00640851"/>
    <w:rsid w:val="0064086D"/>
    <w:rsid w:val="00640C20"/>
    <w:rsid w:val="00641728"/>
    <w:rsid w:val="00642906"/>
    <w:rsid w:val="006446B7"/>
    <w:rsid w:val="006457EF"/>
    <w:rsid w:val="00646875"/>
    <w:rsid w:val="00647FF7"/>
    <w:rsid w:val="0065123D"/>
    <w:rsid w:val="00651C16"/>
    <w:rsid w:val="00651C42"/>
    <w:rsid w:val="00651EF9"/>
    <w:rsid w:val="00653C16"/>
    <w:rsid w:val="00656AC9"/>
    <w:rsid w:val="00660010"/>
    <w:rsid w:val="00660EA2"/>
    <w:rsid w:val="00661533"/>
    <w:rsid w:val="00661847"/>
    <w:rsid w:val="00661DDF"/>
    <w:rsid w:val="006623DC"/>
    <w:rsid w:val="00662FE2"/>
    <w:rsid w:val="006636A4"/>
    <w:rsid w:val="006641D8"/>
    <w:rsid w:val="006659EA"/>
    <w:rsid w:val="006668F9"/>
    <w:rsid w:val="0066708C"/>
    <w:rsid w:val="00670542"/>
    <w:rsid w:val="006714D2"/>
    <w:rsid w:val="00671AD6"/>
    <w:rsid w:val="00672043"/>
    <w:rsid w:val="00672721"/>
    <w:rsid w:val="00672798"/>
    <w:rsid w:val="00672D87"/>
    <w:rsid w:val="00672EFB"/>
    <w:rsid w:val="0067342C"/>
    <w:rsid w:val="006811CE"/>
    <w:rsid w:val="006812C3"/>
    <w:rsid w:val="006826A1"/>
    <w:rsid w:val="006827CD"/>
    <w:rsid w:val="00683B0A"/>
    <w:rsid w:val="0068470C"/>
    <w:rsid w:val="006853BB"/>
    <w:rsid w:val="00685B52"/>
    <w:rsid w:val="006861D0"/>
    <w:rsid w:val="00687693"/>
    <w:rsid w:val="00687B6D"/>
    <w:rsid w:val="006913A0"/>
    <w:rsid w:val="00692129"/>
    <w:rsid w:val="00692B51"/>
    <w:rsid w:val="00693BB4"/>
    <w:rsid w:val="00693FA7"/>
    <w:rsid w:val="006953AB"/>
    <w:rsid w:val="0069727A"/>
    <w:rsid w:val="006973DD"/>
    <w:rsid w:val="006A42F7"/>
    <w:rsid w:val="006A5181"/>
    <w:rsid w:val="006A5706"/>
    <w:rsid w:val="006A5C6E"/>
    <w:rsid w:val="006A721F"/>
    <w:rsid w:val="006A7357"/>
    <w:rsid w:val="006B2049"/>
    <w:rsid w:val="006B3DA9"/>
    <w:rsid w:val="006B5151"/>
    <w:rsid w:val="006B660A"/>
    <w:rsid w:val="006C021D"/>
    <w:rsid w:val="006C0E10"/>
    <w:rsid w:val="006C13C6"/>
    <w:rsid w:val="006C419A"/>
    <w:rsid w:val="006C5C83"/>
    <w:rsid w:val="006C7C58"/>
    <w:rsid w:val="006D05C7"/>
    <w:rsid w:val="006D3BCA"/>
    <w:rsid w:val="006D4744"/>
    <w:rsid w:val="006D5929"/>
    <w:rsid w:val="006D5E1E"/>
    <w:rsid w:val="006D6EB8"/>
    <w:rsid w:val="006D6EFD"/>
    <w:rsid w:val="006D73F1"/>
    <w:rsid w:val="006E0D19"/>
    <w:rsid w:val="006E5031"/>
    <w:rsid w:val="006E51A5"/>
    <w:rsid w:val="006E7515"/>
    <w:rsid w:val="006F0FB1"/>
    <w:rsid w:val="006F1014"/>
    <w:rsid w:val="006F10FB"/>
    <w:rsid w:val="006F20D9"/>
    <w:rsid w:val="006F303B"/>
    <w:rsid w:val="006F4A99"/>
    <w:rsid w:val="006F5551"/>
    <w:rsid w:val="006F7056"/>
    <w:rsid w:val="007032CE"/>
    <w:rsid w:val="007040DE"/>
    <w:rsid w:val="0070463B"/>
    <w:rsid w:val="00704E78"/>
    <w:rsid w:val="00710208"/>
    <w:rsid w:val="0071172D"/>
    <w:rsid w:val="00713FCB"/>
    <w:rsid w:val="0071446E"/>
    <w:rsid w:val="00715128"/>
    <w:rsid w:val="007219FA"/>
    <w:rsid w:val="00721A92"/>
    <w:rsid w:val="007230B5"/>
    <w:rsid w:val="007235B6"/>
    <w:rsid w:val="007235ED"/>
    <w:rsid w:val="00724646"/>
    <w:rsid w:val="00724DF1"/>
    <w:rsid w:val="0072517A"/>
    <w:rsid w:val="00726FB1"/>
    <w:rsid w:val="007275FC"/>
    <w:rsid w:val="00732434"/>
    <w:rsid w:val="00732519"/>
    <w:rsid w:val="007344D0"/>
    <w:rsid w:val="00734A23"/>
    <w:rsid w:val="00736134"/>
    <w:rsid w:val="00737941"/>
    <w:rsid w:val="007412FF"/>
    <w:rsid w:val="00742467"/>
    <w:rsid w:val="00743399"/>
    <w:rsid w:val="0074341A"/>
    <w:rsid w:val="0074746E"/>
    <w:rsid w:val="007506E3"/>
    <w:rsid w:val="00752611"/>
    <w:rsid w:val="00752775"/>
    <w:rsid w:val="00753237"/>
    <w:rsid w:val="0075577C"/>
    <w:rsid w:val="007565E8"/>
    <w:rsid w:val="00760190"/>
    <w:rsid w:val="007608AA"/>
    <w:rsid w:val="0076231C"/>
    <w:rsid w:val="00763243"/>
    <w:rsid w:val="00763ADE"/>
    <w:rsid w:val="0076465C"/>
    <w:rsid w:val="007652A2"/>
    <w:rsid w:val="00767134"/>
    <w:rsid w:val="0077314B"/>
    <w:rsid w:val="00775CA8"/>
    <w:rsid w:val="0077670C"/>
    <w:rsid w:val="00776BF6"/>
    <w:rsid w:val="00776E8D"/>
    <w:rsid w:val="00777F84"/>
    <w:rsid w:val="00780C53"/>
    <w:rsid w:val="00781215"/>
    <w:rsid w:val="007817E8"/>
    <w:rsid w:val="0078449B"/>
    <w:rsid w:val="0078573E"/>
    <w:rsid w:val="00786C86"/>
    <w:rsid w:val="00792BAE"/>
    <w:rsid w:val="00792DFE"/>
    <w:rsid w:val="007939C9"/>
    <w:rsid w:val="00793FE7"/>
    <w:rsid w:val="00795AEE"/>
    <w:rsid w:val="00795C85"/>
    <w:rsid w:val="0079680F"/>
    <w:rsid w:val="007973DE"/>
    <w:rsid w:val="00797963"/>
    <w:rsid w:val="007A164F"/>
    <w:rsid w:val="007A3ACE"/>
    <w:rsid w:val="007A4EEE"/>
    <w:rsid w:val="007A54EA"/>
    <w:rsid w:val="007A6730"/>
    <w:rsid w:val="007B1503"/>
    <w:rsid w:val="007B5E6A"/>
    <w:rsid w:val="007B69A1"/>
    <w:rsid w:val="007B7EC1"/>
    <w:rsid w:val="007C0E00"/>
    <w:rsid w:val="007C13A8"/>
    <w:rsid w:val="007C18CE"/>
    <w:rsid w:val="007C47CA"/>
    <w:rsid w:val="007C5185"/>
    <w:rsid w:val="007C5EB9"/>
    <w:rsid w:val="007C7C5D"/>
    <w:rsid w:val="007D0312"/>
    <w:rsid w:val="007D0858"/>
    <w:rsid w:val="007D728B"/>
    <w:rsid w:val="007D7F83"/>
    <w:rsid w:val="007E00D5"/>
    <w:rsid w:val="007E073A"/>
    <w:rsid w:val="007E0A2D"/>
    <w:rsid w:val="007E2168"/>
    <w:rsid w:val="007E2265"/>
    <w:rsid w:val="007E269A"/>
    <w:rsid w:val="007E331D"/>
    <w:rsid w:val="007E36F8"/>
    <w:rsid w:val="007E664B"/>
    <w:rsid w:val="007E7D37"/>
    <w:rsid w:val="007F0016"/>
    <w:rsid w:val="007F04E2"/>
    <w:rsid w:val="007F0569"/>
    <w:rsid w:val="007F1C70"/>
    <w:rsid w:val="007F238A"/>
    <w:rsid w:val="007F3226"/>
    <w:rsid w:val="007F44D8"/>
    <w:rsid w:val="007F4E4E"/>
    <w:rsid w:val="008005CA"/>
    <w:rsid w:val="00800EA7"/>
    <w:rsid w:val="00800EA9"/>
    <w:rsid w:val="008042FA"/>
    <w:rsid w:val="00806A59"/>
    <w:rsid w:val="0081163C"/>
    <w:rsid w:val="0081230F"/>
    <w:rsid w:val="008131FC"/>
    <w:rsid w:val="00813EEF"/>
    <w:rsid w:val="00814210"/>
    <w:rsid w:val="00814DEF"/>
    <w:rsid w:val="008156C2"/>
    <w:rsid w:val="008157A7"/>
    <w:rsid w:val="00817698"/>
    <w:rsid w:val="00820F88"/>
    <w:rsid w:val="00821C8C"/>
    <w:rsid w:val="0082343C"/>
    <w:rsid w:val="00827489"/>
    <w:rsid w:val="00827BE3"/>
    <w:rsid w:val="00831F79"/>
    <w:rsid w:val="00832338"/>
    <w:rsid w:val="00835068"/>
    <w:rsid w:val="00835FC3"/>
    <w:rsid w:val="00836003"/>
    <w:rsid w:val="00836546"/>
    <w:rsid w:val="0083765F"/>
    <w:rsid w:val="00837AC2"/>
    <w:rsid w:val="00840804"/>
    <w:rsid w:val="00840D2B"/>
    <w:rsid w:val="00843F39"/>
    <w:rsid w:val="008457D4"/>
    <w:rsid w:val="00847D68"/>
    <w:rsid w:val="008505C3"/>
    <w:rsid w:val="00850716"/>
    <w:rsid w:val="008508B5"/>
    <w:rsid w:val="00850CFB"/>
    <w:rsid w:val="0085143F"/>
    <w:rsid w:val="00857F8F"/>
    <w:rsid w:val="00861F22"/>
    <w:rsid w:val="00862A30"/>
    <w:rsid w:val="0086373F"/>
    <w:rsid w:val="0086429A"/>
    <w:rsid w:val="0086472B"/>
    <w:rsid w:val="00867187"/>
    <w:rsid w:val="00870CFA"/>
    <w:rsid w:val="008712F0"/>
    <w:rsid w:val="00871417"/>
    <w:rsid w:val="008714DE"/>
    <w:rsid w:val="008728FB"/>
    <w:rsid w:val="00872FFC"/>
    <w:rsid w:val="008731A9"/>
    <w:rsid w:val="0087435E"/>
    <w:rsid w:val="00874BA9"/>
    <w:rsid w:val="00875B68"/>
    <w:rsid w:val="00877C01"/>
    <w:rsid w:val="00883503"/>
    <w:rsid w:val="00883710"/>
    <w:rsid w:val="00885088"/>
    <w:rsid w:val="008851D3"/>
    <w:rsid w:val="00885D2D"/>
    <w:rsid w:val="008863A6"/>
    <w:rsid w:val="008865EE"/>
    <w:rsid w:val="00887B1B"/>
    <w:rsid w:val="008909E8"/>
    <w:rsid w:val="00891E3B"/>
    <w:rsid w:val="00892561"/>
    <w:rsid w:val="008970A0"/>
    <w:rsid w:val="00897354"/>
    <w:rsid w:val="00897595"/>
    <w:rsid w:val="008A18AB"/>
    <w:rsid w:val="008A2B03"/>
    <w:rsid w:val="008A4265"/>
    <w:rsid w:val="008A6FC6"/>
    <w:rsid w:val="008B0A43"/>
    <w:rsid w:val="008B0E0F"/>
    <w:rsid w:val="008B0F65"/>
    <w:rsid w:val="008B1FC2"/>
    <w:rsid w:val="008B4244"/>
    <w:rsid w:val="008B43F1"/>
    <w:rsid w:val="008B52A6"/>
    <w:rsid w:val="008B5B2F"/>
    <w:rsid w:val="008B5D7F"/>
    <w:rsid w:val="008B616A"/>
    <w:rsid w:val="008B6B10"/>
    <w:rsid w:val="008B7F26"/>
    <w:rsid w:val="008C0BE8"/>
    <w:rsid w:val="008C0BF3"/>
    <w:rsid w:val="008C0F67"/>
    <w:rsid w:val="008C1032"/>
    <w:rsid w:val="008C12E8"/>
    <w:rsid w:val="008C4212"/>
    <w:rsid w:val="008C45E6"/>
    <w:rsid w:val="008C67AD"/>
    <w:rsid w:val="008C7596"/>
    <w:rsid w:val="008D2515"/>
    <w:rsid w:val="008D2601"/>
    <w:rsid w:val="008D367A"/>
    <w:rsid w:val="008D3719"/>
    <w:rsid w:val="008D40FF"/>
    <w:rsid w:val="008D6260"/>
    <w:rsid w:val="008E122D"/>
    <w:rsid w:val="008E13D2"/>
    <w:rsid w:val="008E3104"/>
    <w:rsid w:val="008E325E"/>
    <w:rsid w:val="008E73E8"/>
    <w:rsid w:val="008E7585"/>
    <w:rsid w:val="008E7A06"/>
    <w:rsid w:val="008F0108"/>
    <w:rsid w:val="008F3EC9"/>
    <w:rsid w:val="008F40C6"/>
    <w:rsid w:val="008F5797"/>
    <w:rsid w:val="008F6948"/>
    <w:rsid w:val="008F76D3"/>
    <w:rsid w:val="00901AA8"/>
    <w:rsid w:val="0090452E"/>
    <w:rsid w:val="0090756E"/>
    <w:rsid w:val="009076B4"/>
    <w:rsid w:val="00910893"/>
    <w:rsid w:val="00914324"/>
    <w:rsid w:val="00916156"/>
    <w:rsid w:val="009219FB"/>
    <w:rsid w:val="00921AA9"/>
    <w:rsid w:val="00922608"/>
    <w:rsid w:val="00922E53"/>
    <w:rsid w:val="009238A9"/>
    <w:rsid w:val="00924FA3"/>
    <w:rsid w:val="0092657D"/>
    <w:rsid w:val="009278DD"/>
    <w:rsid w:val="00927935"/>
    <w:rsid w:val="0093053B"/>
    <w:rsid w:val="009309ED"/>
    <w:rsid w:val="00931333"/>
    <w:rsid w:val="00932A58"/>
    <w:rsid w:val="00932A74"/>
    <w:rsid w:val="009331F5"/>
    <w:rsid w:val="00936448"/>
    <w:rsid w:val="00936D5F"/>
    <w:rsid w:val="0093753C"/>
    <w:rsid w:val="009402F1"/>
    <w:rsid w:val="009422DA"/>
    <w:rsid w:val="00942524"/>
    <w:rsid w:val="00942D29"/>
    <w:rsid w:val="0094366C"/>
    <w:rsid w:val="00943983"/>
    <w:rsid w:val="00944B17"/>
    <w:rsid w:val="00945289"/>
    <w:rsid w:val="00945C9D"/>
    <w:rsid w:val="00947494"/>
    <w:rsid w:val="0094755F"/>
    <w:rsid w:val="00950912"/>
    <w:rsid w:val="00950DFA"/>
    <w:rsid w:val="00952D7A"/>
    <w:rsid w:val="00953ADF"/>
    <w:rsid w:val="00954D8A"/>
    <w:rsid w:val="00956887"/>
    <w:rsid w:val="009569DA"/>
    <w:rsid w:val="00961F99"/>
    <w:rsid w:val="00962CAF"/>
    <w:rsid w:val="00963062"/>
    <w:rsid w:val="00963A27"/>
    <w:rsid w:val="0096436C"/>
    <w:rsid w:val="00964C6B"/>
    <w:rsid w:val="0096534C"/>
    <w:rsid w:val="00967AC2"/>
    <w:rsid w:val="00967CE9"/>
    <w:rsid w:val="00971566"/>
    <w:rsid w:val="00971D3F"/>
    <w:rsid w:val="0097684A"/>
    <w:rsid w:val="0097702A"/>
    <w:rsid w:val="009778C3"/>
    <w:rsid w:val="0098028A"/>
    <w:rsid w:val="00980A55"/>
    <w:rsid w:val="00983BFB"/>
    <w:rsid w:val="00984158"/>
    <w:rsid w:val="00985ECD"/>
    <w:rsid w:val="00990E5C"/>
    <w:rsid w:val="00992166"/>
    <w:rsid w:val="00993870"/>
    <w:rsid w:val="00993CA8"/>
    <w:rsid w:val="009945D7"/>
    <w:rsid w:val="00995CFD"/>
    <w:rsid w:val="00996185"/>
    <w:rsid w:val="00996780"/>
    <w:rsid w:val="00996887"/>
    <w:rsid w:val="00997809"/>
    <w:rsid w:val="00997C12"/>
    <w:rsid w:val="009A020A"/>
    <w:rsid w:val="009A22DE"/>
    <w:rsid w:val="009A58E3"/>
    <w:rsid w:val="009A78EA"/>
    <w:rsid w:val="009B01BE"/>
    <w:rsid w:val="009B0F93"/>
    <w:rsid w:val="009B2D9C"/>
    <w:rsid w:val="009B3551"/>
    <w:rsid w:val="009B613B"/>
    <w:rsid w:val="009B621A"/>
    <w:rsid w:val="009B7298"/>
    <w:rsid w:val="009C0D91"/>
    <w:rsid w:val="009C1E4F"/>
    <w:rsid w:val="009C45D9"/>
    <w:rsid w:val="009C5A85"/>
    <w:rsid w:val="009C62C1"/>
    <w:rsid w:val="009C6BA0"/>
    <w:rsid w:val="009C6F32"/>
    <w:rsid w:val="009D0610"/>
    <w:rsid w:val="009D07CC"/>
    <w:rsid w:val="009D1AB0"/>
    <w:rsid w:val="009D2202"/>
    <w:rsid w:val="009D2813"/>
    <w:rsid w:val="009D33A2"/>
    <w:rsid w:val="009D3DF5"/>
    <w:rsid w:val="009D5C00"/>
    <w:rsid w:val="009E0739"/>
    <w:rsid w:val="009E0DDA"/>
    <w:rsid w:val="009E3875"/>
    <w:rsid w:val="009E731A"/>
    <w:rsid w:val="009E7F54"/>
    <w:rsid w:val="009F1277"/>
    <w:rsid w:val="009F1BB5"/>
    <w:rsid w:val="009F291C"/>
    <w:rsid w:val="009F307F"/>
    <w:rsid w:val="009F3AD3"/>
    <w:rsid w:val="009F4C61"/>
    <w:rsid w:val="009F4D90"/>
    <w:rsid w:val="009F5C2D"/>
    <w:rsid w:val="009F6604"/>
    <w:rsid w:val="009F739C"/>
    <w:rsid w:val="00A01D9F"/>
    <w:rsid w:val="00A030C3"/>
    <w:rsid w:val="00A06657"/>
    <w:rsid w:val="00A07F0E"/>
    <w:rsid w:val="00A11772"/>
    <w:rsid w:val="00A139EC"/>
    <w:rsid w:val="00A145FF"/>
    <w:rsid w:val="00A14733"/>
    <w:rsid w:val="00A151F6"/>
    <w:rsid w:val="00A15C6B"/>
    <w:rsid w:val="00A15E10"/>
    <w:rsid w:val="00A15E3B"/>
    <w:rsid w:val="00A1624E"/>
    <w:rsid w:val="00A163D1"/>
    <w:rsid w:val="00A16B33"/>
    <w:rsid w:val="00A2118D"/>
    <w:rsid w:val="00A21C03"/>
    <w:rsid w:val="00A21E00"/>
    <w:rsid w:val="00A223A4"/>
    <w:rsid w:val="00A223AC"/>
    <w:rsid w:val="00A2333E"/>
    <w:rsid w:val="00A23A30"/>
    <w:rsid w:val="00A252A1"/>
    <w:rsid w:val="00A25A11"/>
    <w:rsid w:val="00A264D7"/>
    <w:rsid w:val="00A2729C"/>
    <w:rsid w:val="00A3030A"/>
    <w:rsid w:val="00A30714"/>
    <w:rsid w:val="00A308F8"/>
    <w:rsid w:val="00A30F10"/>
    <w:rsid w:val="00A31D32"/>
    <w:rsid w:val="00A320D6"/>
    <w:rsid w:val="00A330B9"/>
    <w:rsid w:val="00A333FF"/>
    <w:rsid w:val="00A33806"/>
    <w:rsid w:val="00A348F1"/>
    <w:rsid w:val="00A34DCF"/>
    <w:rsid w:val="00A36D19"/>
    <w:rsid w:val="00A37C2D"/>
    <w:rsid w:val="00A41114"/>
    <w:rsid w:val="00A418D7"/>
    <w:rsid w:val="00A42F9A"/>
    <w:rsid w:val="00A45CA6"/>
    <w:rsid w:val="00A47025"/>
    <w:rsid w:val="00A47537"/>
    <w:rsid w:val="00A47B77"/>
    <w:rsid w:val="00A47D78"/>
    <w:rsid w:val="00A512AA"/>
    <w:rsid w:val="00A52011"/>
    <w:rsid w:val="00A5224E"/>
    <w:rsid w:val="00A531AD"/>
    <w:rsid w:val="00A53AE1"/>
    <w:rsid w:val="00A5494C"/>
    <w:rsid w:val="00A55000"/>
    <w:rsid w:val="00A6256D"/>
    <w:rsid w:val="00A6316C"/>
    <w:rsid w:val="00A6344E"/>
    <w:rsid w:val="00A634AA"/>
    <w:rsid w:val="00A643EB"/>
    <w:rsid w:val="00A65140"/>
    <w:rsid w:val="00A67ACC"/>
    <w:rsid w:val="00A70253"/>
    <w:rsid w:val="00A74865"/>
    <w:rsid w:val="00A76873"/>
    <w:rsid w:val="00A76B09"/>
    <w:rsid w:val="00A82A49"/>
    <w:rsid w:val="00A82C8C"/>
    <w:rsid w:val="00A839AB"/>
    <w:rsid w:val="00A83FFB"/>
    <w:rsid w:val="00A854A8"/>
    <w:rsid w:val="00A86D3D"/>
    <w:rsid w:val="00A86E42"/>
    <w:rsid w:val="00A87CFE"/>
    <w:rsid w:val="00A900CF"/>
    <w:rsid w:val="00A903FB"/>
    <w:rsid w:val="00A907DA"/>
    <w:rsid w:val="00A90863"/>
    <w:rsid w:val="00A91724"/>
    <w:rsid w:val="00A9233B"/>
    <w:rsid w:val="00A92DC7"/>
    <w:rsid w:val="00A93254"/>
    <w:rsid w:val="00A958F6"/>
    <w:rsid w:val="00A95E6F"/>
    <w:rsid w:val="00AA1276"/>
    <w:rsid w:val="00AA12F9"/>
    <w:rsid w:val="00AA2C81"/>
    <w:rsid w:val="00AA371A"/>
    <w:rsid w:val="00AA4853"/>
    <w:rsid w:val="00AA5A39"/>
    <w:rsid w:val="00AA7A14"/>
    <w:rsid w:val="00AB0BE0"/>
    <w:rsid w:val="00AB11D1"/>
    <w:rsid w:val="00AB2948"/>
    <w:rsid w:val="00AB2B0A"/>
    <w:rsid w:val="00AB2B9D"/>
    <w:rsid w:val="00AB39FA"/>
    <w:rsid w:val="00AB3E1C"/>
    <w:rsid w:val="00AB42A6"/>
    <w:rsid w:val="00AB487B"/>
    <w:rsid w:val="00AB61E2"/>
    <w:rsid w:val="00AB7EA1"/>
    <w:rsid w:val="00AC0B80"/>
    <w:rsid w:val="00AC1CF9"/>
    <w:rsid w:val="00AC2B13"/>
    <w:rsid w:val="00AC2FCA"/>
    <w:rsid w:val="00AC379E"/>
    <w:rsid w:val="00AC3C66"/>
    <w:rsid w:val="00AC4938"/>
    <w:rsid w:val="00AC51CD"/>
    <w:rsid w:val="00AC7A3B"/>
    <w:rsid w:val="00AD09FC"/>
    <w:rsid w:val="00AD143B"/>
    <w:rsid w:val="00AD1DC6"/>
    <w:rsid w:val="00AD2774"/>
    <w:rsid w:val="00AD2BD8"/>
    <w:rsid w:val="00AD3BEC"/>
    <w:rsid w:val="00AD4F1D"/>
    <w:rsid w:val="00AD564E"/>
    <w:rsid w:val="00AD6933"/>
    <w:rsid w:val="00AD6B7B"/>
    <w:rsid w:val="00AD7F61"/>
    <w:rsid w:val="00AE1260"/>
    <w:rsid w:val="00AE1B68"/>
    <w:rsid w:val="00AE2C34"/>
    <w:rsid w:val="00AE3B51"/>
    <w:rsid w:val="00AE3E37"/>
    <w:rsid w:val="00AE4486"/>
    <w:rsid w:val="00AE5645"/>
    <w:rsid w:val="00AE644B"/>
    <w:rsid w:val="00AE7C31"/>
    <w:rsid w:val="00AF379A"/>
    <w:rsid w:val="00AF6DD6"/>
    <w:rsid w:val="00AF77C4"/>
    <w:rsid w:val="00B0011E"/>
    <w:rsid w:val="00B00713"/>
    <w:rsid w:val="00B01FC2"/>
    <w:rsid w:val="00B031CF"/>
    <w:rsid w:val="00B04603"/>
    <w:rsid w:val="00B04970"/>
    <w:rsid w:val="00B0555C"/>
    <w:rsid w:val="00B05B6A"/>
    <w:rsid w:val="00B063E4"/>
    <w:rsid w:val="00B07BC5"/>
    <w:rsid w:val="00B1088C"/>
    <w:rsid w:val="00B12F36"/>
    <w:rsid w:val="00B135C8"/>
    <w:rsid w:val="00B141BF"/>
    <w:rsid w:val="00B15AEE"/>
    <w:rsid w:val="00B20479"/>
    <w:rsid w:val="00B21FD1"/>
    <w:rsid w:val="00B2217A"/>
    <w:rsid w:val="00B22B4B"/>
    <w:rsid w:val="00B24506"/>
    <w:rsid w:val="00B2601C"/>
    <w:rsid w:val="00B332A9"/>
    <w:rsid w:val="00B33D4B"/>
    <w:rsid w:val="00B33FD6"/>
    <w:rsid w:val="00B35861"/>
    <w:rsid w:val="00B36609"/>
    <w:rsid w:val="00B36CBA"/>
    <w:rsid w:val="00B37F86"/>
    <w:rsid w:val="00B42090"/>
    <w:rsid w:val="00B42D2F"/>
    <w:rsid w:val="00B4396B"/>
    <w:rsid w:val="00B439DE"/>
    <w:rsid w:val="00B443EE"/>
    <w:rsid w:val="00B451D4"/>
    <w:rsid w:val="00B502C2"/>
    <w:rsid w:val="00B50A90"/>
    <w:rsid w:val="00B511C1"/>
    <w:rsid w:val="00B52C23"/>
    <w:rsid w:val="00B52C76"/>
    <w:rsid w:val="00B53D83"/>
    <w:rsid w:val="00B54069"/>
    <w:rsid w:val="00B54E3D"/>
    <w:rsid w:val="00B54FB0"/>
    <w:rsid w:val="00B55965"/>
    <w:rsid w:val="00B563C4"/>
    <w:rsid w:val="00B571D6"/>
    <w:rsid w:val="00B60B9F"/>
    <w:rsid w:val="00B60D8B"/>
    <w:rsid w:val="00B61364"/>
    <w:rsid w:val="00B61619"/>
    <w:rsid w:val="00B616B8"/>
    <w:rsid w:val="00B626E2"/>
    <w:rsid w:val="00B649B0"/>
    <w:rsid w:val="00B659AC"/>
    <w:rsid w:val="00B6607C"/>
    <w:rsid w:val="00B67CCC"/>
    <w:rsid w:val="00B701D8"/>
    <w:rsid w:val="00B70916"/>
    <w:rsid w:val="00B7136B"/>
    <w:rsid w:val="00B727FE"/>
    <w:rsid w:val="00B72A30"/>
    <w:rsid w:val="00B731D8"/>
    <w:rsid w:val="00B752D8"/>
    <w:rsid w:val="00B75E86"/>
    <w:rsid w:val="00B76249"/>
    <w:rsid w:val="00B7629B"/>
    <w:rsid w:val="00B7716A"/>
    <w:rsid w:val="00B77DCA"/>
    <w:rsid w:val="00B81377"/>
    <w:rsid w:val="00B8243B"/>
    <w:rsid w:val="00B83C5B"/>
    <w:rsid w:val="00B84A36"/>
    <w:rsid w:val="00B852F1"/>
    <w:rsid w:val="00B85692"/>
    <w:rsid w:val="00B86C36"/>
    <w:rsid w:val="00B87CD9"/>
    <w:rsid w:val="00B917D4"/>
    <w:rsid w:val="00B91883"/>
    <w:rsid w:val="00B9228A"/>
    <w:rsid w:val="00B92B42"/>
    <w:rsid w:val="00B9386B"/>
    <w:rsid w:val="00B93CC9"/>
    <w:rsid w:val="00B94D4A"/>
    <w:rsid w:val="00B95A05"/>
    <w:rsid w:val="00B96594"/>
    <w:rsid w:val="00B96636"/>
    <w:rsid w:val="00BA1872"/>
    <w:rsid w:val="00BA401C"/>
    <w:rsid w:val="00BA453A"/>
    <w:rsid w:val="00BA55EF"/>
    <w:rsid w:val="00BA580A"/>
    <w:rsid w:val="00BA5963"/>
    <w:rsid w:val="00BA5F3D"/>
    <w:rsid w:val="00BB03F6"/>
    <w:rsid w:val="00BB047B"/>
    <w:rsid w:val="00BB05CB"/>
    <w:rsid w:val="00BB0FB8"/>
    <w:rsid w:val="00BB3A76"/>
    <w:rsid w:val="00BB5931"/>
    <w:rsid w:val="00BB6398"/>
    <w:rsid w:val="00BB7835"/>
    <w:rsid w:val="00BC24A9"/>
    <w:rsid w:val="00BC402F"/>
    <w:rsid w:val="00BC71D8"/>
    <w:rsid w:val="00BD0372"/>
    <w:rsid w:val="00BD1431"/>
    <w:rsid w:val="00BD18EB"/>
    <w:rsid w:val="00BD1D6D"/>
    <w:rsid w:val="00BD1E9E"/>
    <w:rsid w:val="00BD41A4"/>
    <w:rsid w:val="00BD5C26"/>
    <w:rsid w:val="00BD5D26"/>
    <w:rsid w:val="00BD758A"/>
    <w:rsid w:val="00BE04C3"/>
    <w:rsid w:val="00BE1ADF"/>
    <w:rsid w:val="00BE5B37"/>
    <w:rsid w:val="00BE702D"/>
    <w:rsid w:val="00BF102F"/>
    <w:rsid w:val="00BF1F6F"/>
    <w:rsid w:val="00BF264D"/>
    <w:rsid w:val="00BF2850"/>
    <w:rsid w:val="00BF518F"/>
    <w:rsid w:val="00BF5523"/>
    <w:rsid w:val="00BF63FC"/>
    <w:rsid w:val="00BF6AFF"/>
    <w:rsid w:val="00C0067E"/>
    <w:rsid w:val="00C0081F"/>
    <w:rsid w:val="00C009FC"/>
    <w:rsid w:val="00C018C4"/>
    <w:rsid w:val="00C018DD"/>
    <w:rsid w:val="00C01D9C"/>
    <w:rsid w:val="00C039E7"/>
    <w:rsid w:val="00C04B98"/>
    <w:rsid w:val="00C04C67"/>
    <w:rsid w:val="00C11FC7"/>
    <w:rsid w:val="00C12EAD"/>
    <w:rsid w:val="00C139CA"/>
    <w:rsid w:val="00C15BD4"/>
    <w:rsid w:val="00C1658A"/>
    <w:rsid w:val="00C165F7"/>
    <w:rsid w:val="00C2071E"/>
    <w:rsid w:val="00C209A9"/>
    <w:rsid w:val="00C21557"/>
    <w:rsid w:val="00C219D1"/>
    <w:rsid w:val="00C21BF2"/>
    <w:rsid w:val="00C226C8"/>
    <w:rsid w:val="00C2309C"/>
    <w:rsid w:val="00C23CB5"/>
    <w:rsid w:val="00C26E01"/>
    <w:rsid w:val="00C30AEA"/>
    <w:rsid w:val="00C31A33"/>
    <w:rsid w:val="00C32866"/>
    <w:rsid w:val="00C337A1"/>
    <w:rsid w:val="00C3773F"/>
    <w:rsid w:val="00C37DBC"/>
    <w:rsid w:val="00C37E0C"/>
    <w:rsid w:val="00C43D09"/>
    <w:rsid w:val="00C44FF0"/>
    <w:rsid w:val="00C4503D"/>
    <w:rsid w:val="00C477DF"/>
    <w:rsid w:val="00C5094C"/>
    <w:rsid w:val="00C513F3"/>
    <w:rsid w:val="00C51429"/>
    <w:rsid w:val="00C51A28"/>
    <w:rsid w:val="00C5230B"/>
    <w:rsid w:val="00C53920"/>
    <w:rsid w:val="00C551B9"/>
    <w:rsid w:val="00C56E60"/>
    <w:rsid w:val="00C60224"/>
    <w:rsid w:val="00C6450D"/>
    <w:rsid w:val="00C655C7"/>
    <w:rsid w:val="00C70CE6"/>
    <w:rsid w:val="00C70F0A"/>
    <w:rsid w:val="00C74108"/>
    <w:rsid w:val="00C746D2"/>
    <w:rsid w:val="00C75030"/>
    <w:rsid w:val="00C7537B"/>
    <w:rsid w:val="00C75B23"/>
    <w:rsid w:val="00C7639B"/>
    <w:rsid w:val="00C76528"/>
    <w:rsid w:val="00C80B36"/>
    <w:rsid w:val="00C82673"/>
    <w:rsid w:val="00C85777"/>
    <w:rsid w:val="00C86509"/>
    <w:rsid w:val="00C87030"/>
    <w:rsid w:val="00C9047C"/>
    <w:rsid w:val="00C904D7"/>
    <w:rsid w:val="00C91CEB"/>
    <w:rsid w:val="00C9229D"/>
    <w:rsid w:val="00C96590"/>
    <w:rsid w:val="00C97E16"/>
    <w:rsid w:val="00CA0436"/>
    <w:rsid w:val="00CA11EA"/>
    <w:rsid w:val="00CA3201"/>
    <w:rsid w:val="00CA3D5F"/>
    <w:rsid w:val="00CA42DA"/>
    <w:rsid w:val="00CA4766"/>
    <w:rsid w:val="00CA4DD3"/>
    <w:rsid w:val="00CA6596"/>
    <w:rsid w:val="00CB1EBD"/>
    <w:rsid w:val="00CB25B7"/>
    <w:rsid w:val="00CB53F7"/>
    <w:rsid w:val="00CB7116"/>
    <w:rsid w:val="00CC019F"/>
    <w:rsid w:val="00CC0A0E"/>
    <w:rsid w:val="00CC142A"/>
    <w:rsid w:val="00CC28BC"/>
    <w:rsid w:val="00CC2D9E"/>
    <w:rsid w:val="00CC3353"/>
    <w:rsid w:val="00CC704C"/>
    <w:rsid w:val="00CD0191"/>
    <w:rsid w:val="00CD03EB"/>
    <w:rsid w:val="00CD3174"/>
    <w:rsid w:val="00CD3294"/>
    <w:rsid w:val="00CD346D"/>
    <w:rsid w:val="00CD5585"/>
    <w:rsid w:val="00CD6A60"/>
    <w:rsid w:val="00CD6ED0"/>
    <w:rsid w:val="00CE066B"/>
    <w:rsid w:val="00CE2C7F"/>
    <w:rsid w:val="00CE3237"/>
    <w:rsid w:val="00CE4DB9"/>
    <w:rsid w:val="00CE653F"/>
    <w:rsid w:val="00CE6FC3"/>
    <w:rsid w:val="00CF01BE"/>
    <w:rsid w:val="00CF032F"/>
    <w:rsid w:val="00CF4C03"/>
    <w:rsid w:val="00CF7948"/>
    <w:rsid w:val="00CF7E99"/>
    <w:rsid w:val="00D00A29"/>
    <w:rsid w:val="00D00C23"/>
    <w:rsid w:val="00D11A92"/>
    <w:rsid w:val="00D1209C"/>
    <w:rsid w:val="00D14C3B"/>
    <w:rsid w:val="00D15733"/>
    <w:rsid w:val="00D15F11"/>
    <w:rsid w:val="00D16C51"/>
    <w:rsid w:val="00D16CBC"/>
    <w:rsid w:val="00D16CC2"/>
    <w:rsid w:val="00D174CF"/>
    <w:rsid w:val="00D20B5F"/>
    <w:rsid w:val="00D223D3"/>
    <w:rsid w:val="00D22CB2"/>
    <w:rsid w:val="00D261AE"/>
    <w:rsid w:val="00D263B8"/>
    <w:rsid w:val="00D26C84"/>
    <w:rsid w:val="00D30D60"/>
    <w:rsid w:val="00D31D2A"/>
    <w:rsid w:val="00D32C53"/>
    <w:rsid w:val="00D33D8C"/>
    <w:rsid w:val="00D3415E"/>
    <w:rsid w:val="00D34CC3"/>
    <w:rsid w:val="00D3612A"/>
    <w:rsid w:val="00D36CA3"/>
    <w:rsid w:val="00D36ECF"/>
    <w:rsid w:val="00D37703"/>
    <w:rsid w:val="00D37F25"/>
    <w:rsid w:val="00D40A12"/>
    <w:rsid w:val="00D43649"/>
    <w:rsid w:val="00D4364D"/>
    <w:rsid w:val="00D43A77"/>
    <w:rsid w:val="00D44AB9"/>
    <w:rsid w:val="00D450A2"/>
    <w:rsid w:val="00D45997"/>
    <w:rsid w:val="00D464E0"/>
    <w:rsid w:val="00D479D1"/>
    <w:rsid w:val="00D47D2B"/>
    <w:rsid w:val="00D504F6"/>
    <w:rsid w:val="00D51637"/>
    <w:rsid w:val="00D5176E"/>
    <w:rsid w:val="00D51BE8"/>
    <w:rsid w:val="00D527FD"/>
    <w:rsid w:val="00D535B9"/>
    <w:rsid w:val="00D54A56"/>
    <w:rsid w:val="00D570A0"/>
    <w:rsid w:val="00D5762B"/>
    <w:rsid w:val="00D615DF"/>
    <w:rsid w:val="00D62D66"/>
    <w:rsid w:val="00D63F3D"/>
    <w:rsid w:val="00D6469A"/>
    <w:rsid w:val="00D65555"/>
    <w:rsid w:val="00D65586"/>
    <w:rsid w:val="00D663FF"/>
    <w:rsid w:val="00D67236"/>
    <w:rsid w:val="00D673EB"/>
    <w:rsid w:val="00D710C0"/>
    <w:rsid w:val="00D7120A"/>
    <w:rsid w:val="00D721D5"/>
    <w:rsid w:val="00D74B00"/>
    <w:rsid w:val="00D75B25"/>
    <w:rsid w:val="00D75F07"/>
    <w:rsid w:val="00D75F6F"/>
    <w:rsid w:val="00D855F1"/>
    <w:rsid w:val="00D8606D"/>
    <w:rsid w:val="00D8799B"/>
    <w:rsid w:val="00D87B62"/>
    <w:rsid w:val="00D91946"/>
    <w:rsid w:val="00D92DC9"/>
    <w:rsid w:val="00D930D2"/>
    <w:rsid w:val="00D96434"/>
    <w:rsid w:val="00DA0AB5"/>
    <w:rsid w:val="00DA4077"/>
    <w:rsid w:val="00DA67C6"/>
    <w:rsid w:val="00DA7CAA"/>
    <w:rsid w:val="00DB1A4E"/>
    <w:rsid w:val="00DB1BDD"/>
    <w:rsid w:val="00DB27A3"/>
    <w:rsid w:val="00DB34C8"/>
    <w:rsid w:val="00DB37FC"/>
    <w:rsid w:val="00DB3801"/>
    <w:rsid w:val="00DB48C6"/>
    <w:rsid w:val="00DB5453"/>
    <w:rsid w:val="00DB6878"/>
    <w:rsid w:val="00DC55EC"/>
    <w:rsid w:val="00DC5B80"/>
    <w:rsid w:val="00DC5B99"/>
    <w:rsid w:val="00DC607C"/>
    <w:rsid w:val="00DC6984"/>
    <w:rsid w:val="00DC7433"/>
    <w:rsid w:val="00DD02C7"/>
    <w:rsid w:val="00DD1F90"/>
    <w:rsid w:val="00DD3179"/>
    <w:rsid w:val="00DD4D40"/>
    <w:rsid w:val="00DD6040"/>
    <w:rsid w:val="00DD60FE"/>
    <w:rsid w:val="00DD6196"/>
    <w:rsid w:val="00DD67FC"/>
    <w:rsid w:val="00DE47A2"/>
    <w:rsid w:val="00DE519C"/>
    <w:rsid w:val="00DE5E9C"/>
    <w:rsid w:val="00DE643F"/>
    <w:rsid w:val="00DE66F8"/>
    <w:rsid w:val="00DE6E38"/>
    <w:rsid w:val="00DE6EE7"/>
    <w:rsid w:val="00DE718D"/>
    <w:rsid w:val="00DE7E27"/>
    <w:rsid w:val="00DF1386"/>
    <w:rsid w:val="00DF1957"/>
    <w:rsid w:val="00DF550B"/>
    <w:rsid w:val="00E029D6"/>
    <w:rsid w:val="00E03559"/>
    <w:rsid w:val="00E03577"/>
    <w:rsid w:val="00E03A08"/>
    <w:rsid w:val="00E0748A"/>
    <w:rsid w:val="00E074B9"/>
    <w:rsid w:val="00E07AA1"/>
    <w:rsid w:val="00E10B96"/>
    <w:rsid w:val="00E12618"/>
    <w:rsid w:val="00E12CED"/>
    <w:rsid w:val="00E13164"/>
    <w:rsid w:val="00E20C3C"/>
    <w:rsid w:val="00E22329"/>
    <w:rsid w:val="00E2255A"/>
    <w:rsid w:val="00E22570"/>
    <w:rsid w:val="00E22A1A"/>
    <w:rsid w:val="00E22B0C"/>
    <w:rsid w:val="00E243F3"/>
    <w:rsid w:val="00E24CD5"/>
    <w:rsid w:val="00E250F8"/>
    <w:rsid w:val="00E269AC"/>
    <w:rsid w:val="00E26F0A"/>
    <w:rsid w:val="00E27989"/>
    <w:rsid w:val="00E3031A"/>
    <w:rsid w:val="00E3229A"/>
    <w:rsid w:val="00E33BC7"/>
    <w:rsid w:val="00E37920"/>
    <w:rsid w:val="00E4273E"/>
    <w:rsid w:val="00E42CA9"/>
    <w:rsid w:val="00E43E9D"/>
    <w:rsid w:val="00E4491A"/>
    <w:rsid w:val="00E4622C"/>
    <w:rsid w:val="00E47BD6"/>
    <w:rsid w:val="00E51FFB"/>
    <w:rsid w:val="00E53769"/>
    <w:rsid w:val="00E539D2"/>
    <w:rsid w:val="00E544CA"/>
    <w:rsid w:val="00E567AF"/>
    <w:rsid w:val="00E57A58"/>
    <w:rsid w:val="00E6006E"/>
    <w:rsid w:val="00E616FB"/>
    <w:rsid w:val="00E619EE"/>
    <w:rsid w:val="00E625FD"/>
    <w:rsid w:val="00E636D9"/>
    <w:rsid w:val="00E649E6"/>
    <w:rsid w:val="00E64D36"/>
    <w:rsid w:val="00E654E0"/>
    <w:rsid w:val="00E667F1"/>
    <w:rsid w:val="00E67414"/>
    <w:rsid w:val="00E70247"/>
    <w:rsid w:val="00E7103E"/>
    <w:rsid w:val="00E714B9"/>
    <w:rsid w:val="00E729D1"/>
    <w:rsid w:val="00E7528E"/>
    <w:rsid w:val="00E805C4"/>
    <w:rsid w:val="00E8280E"/>
    <w:rsid w:val="00E82ACF"/>
    <w:rsid w:val="00E82DF9"/>
    <w:rsid w:val="00E83014"/>
    <w:rsid w:val="00E83219"/>
    <w:rsid w:val="00E83490"/>
    <w:rsid w:val="00E835ED"/>
    <w:rsid w:val="00E840C6"/>
    <w:rsid w:val="00E84A17"/>
    <w:rsid w:val="00E84C61"/>
    <w:rsid w:val="00E8716A"/>
    <w:rsid w:val="00E946C7"/>
    <w:rsid w:val="00E94A2B"/>
    <w:rsid w:val="00E95A1E"/>
    <w:rsid w:val="00E95C22"/>
    <w:rsid w:val="00E961DB"/>
    <w:rsid w:val="00E96FC5"/>
    <w:rsid w:val="00EA7E28"/>
    <w:rsid w:val="00EB1EEC"/>
    <w:rsid w:val="00EB4613"/>
    <w:rsid w:val="00EB7EB5"/>
    <w:rsid w:val="00EC0233"/>
    <w:rsid w:val="00EC0AC1"/>
    <w:rsid w:val="00EC1F73"/>
    <w:rsid w:val="00EC33F7"/>
    <w:rsid w:val="00EC3FE3"/>
    <w:rsid w:val="00EC62EE"/>
    <w:rsid w:val="00EC6DE2"/>
    <w:rsid w:val="00EC7026"/>
    <w:rsid w:val="00ED313F"/>
    <w:rsid w:val="00ED339F"/>
    <w:rsid w:val="00ED63F5"/>
    <w:rsid w:val="00ED6F26"/>
    <w:rsid w:val="00ED6F70"/>
    <w:rsid w:val="00EE0563"/>
    <w:rsid w:val="00EE1169"/>
    <w:rsid w:val="00EE235A"/>
    <w:rsid w:val="00EE704D"/>
    <w:rsid w:val="00EE7362"/>
    <w:rsid w:val="00EF042F"/>
    <w:rsid w:val="00EF3F0A"/>
    <w:rsid w:val="00EF78CC"/>
    <w:rsid w:val="00F02CBE"/>
    <w:rsid w:val="00F03008"/>
    <w:rsid w:val="00F032C8"/>
    <w:rsid w:val="00F03E5C"/>
    <w:rsid w:val="00F062CF"/>
    <w:rsid w:val="00F06CE8"/>
    <w:rsid w:val="00F06D8C"/>
    <w:rsid w:val="00F078CD"/>
    <w:rsid w:val="00F130CB"/>
    <w:rsid w:val="00F1533D"/>
    <w:rsid w:val="00F15914"/>
    <w:rsid w:val="00F15D16"/>
    <w:rsid w:val="00F17097"/>
    <w:rsid w:val="00F177E0"/>
    <w:rsid w:val="00F17B5E"/>
    <w:rsid w:val="00F2260C"/>
    <w:rsid w:val="00F2387E"/>
    <w:rsid w:val="00F23EE9"/>
    <w:rsid w:val="00F25087"/>
    <w:rsid w:val="00F26A9F"/>
    <w:rsid w:val="00F26E78"/>
    <w:rsid w:val="00F2734A"/>
    <w:rsid w:val="00F27D88"/>
    <w:rsid w:val="00F30237"/>
    <w:rsid w:val="00F30A3E"/>
    <w:rsid w:val="00F323B2"/>
    <w:rsid w:val="00F32E4D"/>
    <w:rsid w:val="00F32F28"/>
    <w:rsid w:val="00F34DB9"/>
    <w:rsid w:val="00F35757"/>
    <w:rsid w:val="00F37B41"/>
    <w:rsid w:val="00F40113"/>
    <w:rsid w:val="00F41CBB"/>
    <w:rsid w:val="00F4290C"/>
    <w:rsid w:val="00F436AB"/>
    <w:rsid w:val="00F463A8"/>
    <w:rsid w:val="00F46CE9"/>
    <w:rsid w:val="00F50083"/>
    <w:rsid w:val="00F50DE8"/>
    <w:rsid w:val="00F51D14"/>
    <w:rsid w:val="00F53557"/>
    <w:rsid w:val="00F62ACA"/>
    <w:rsid w:val="00F63A41"/>
    <w:rsid w:val="00F66DF8"/>
    <w:rsid w:val="00F67CE8"/>
    <w:rsid w:val="00F7188C"/>
    <w:rsid w:val="00F721AF"/>
    <w:rsid w:val="00F72CA7"/>
    <w:rsid w:val="00F757AB"/>
    <w:rsid w:val="00F7669F"/>
    <w:rsid w:val="00F820D7"/>
    <w:rsid w:val="00F82FC9"/>
    <w:rsid w:val="00F85C9E"/>
    <w:rsid w:val="00F86800"/>
    <w:rsid w:val="00F87523"/>
    <w:rsid w:val="00F90197"/>
    <w:rsid w:val="00F9070D"/>
    <w:rsid w:val="00F91B82"/>
    <w:rsid w:val="00F9297C"/>
    <w:rsid w:val="00F931E2"/>
    <w:rsid w:val="00F9322D"/>
    <w:rsid w:val="00F932EF"/>
    <w:rsid w:val="00F95376"/>
    <w:rsid w:val="00F979B7"/>
    <w:rsid w:val="00FA0443"/>
    <w:rsid w:val="00FA0FCE"/>
    <w:rsid w:val="00FA4C59"/>
    <w:rsid w:val="00FA6516"/>
    <w:rsid w:val="00FA67DA"/>
    <w:rsid w:val="00FA74BB"/>
    <w:rsid w:val="00FB137D"/>
    <w:rsid w:val="00FB21CE"/>
    <w:rsid w:val="00FB24C5"/>
    <w:rsid w:val="00FB2CE3"/>
    <w:rsid w:val="00FB388E"/>
    <w:rsid w:val="00FB3A07"/>
    <w:rsid w:val="00FB4AD2"/>
    <w:rsid w:val="00FB5DE2"/>
    <w:rsid w:val="00FB5E55"/>
    <w:rsid w:val="00FB6AC1"/>
    <w:rsid w:val="00FC0C69"/>
    <w:rsid w:val="00FC41CD"/>
    <w:rsid w:val="00FC4CE8"/>
    <w:rsid w:val="00FD4BD0"/>
    <w:rsid w:val="00FD54CD"/>
    <w:rsid w:val="00FD6124"/>
    <w:rsid w:val="00FE060E"/>
    <w:rsid w:val="00FE0C59"/>
    <w:rsid w:val="00FE10E8"/>
    <w:rsid w:val="00FE1630"/>
    <w:rsid w:val="00FE4A2F"/>
    <w:rsid w:val="00FE5336"/>
    <w:rsid w:val="00FE5EB2"/>
    <w:rsid w:val="00FE6690"/>
    <w:rsid w:val="00FF1D09"/>
    <w:rsid w:val="00FF485D"/>
    <w:rsid w:val="00FF504D"/>
    <w:rsid w:val="00FF5930"/>
    <w:rsid w:val="00FF7F2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9393"/>
    <o:shapelayout v:ext="edit">
      <o:idmap v:ext="edit" data="1"/>
    </o:shapelayout>
  </w:shapeDefaults>
  <w:decimalSymbol w:val="."/>
  <w:listSeparator w:val=","/>
  <w14:docId w14:val="2C72F421"/>
  <w15:docId w15:val="{E661472C-BE24-412A-BF81-2CF1F9FE2C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uiPriority="9"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76528"/>
    <w:rPr>
      <w:sz w:val="24"/>
      <w:szCs w:val="24"/>
      <w:lang w:eastAsia="en-US"/>
    </w:rPr>
  </w:style>
  <w:style w:type="paragraph" w:styleId="Heading1">
    <w:name w:val="heading 1"/>
    <w:basedOn w:val="Normal"/>
    <w:next w:val="NICEnormal"/>
    <w:link w:val="Heading1Char"/>
    <w:qFormat/>
    <w:rsid w:val="007A4EEE"/>
    <w:pPr>
      <w:keepNext/>
      <w:numPr>
        <w:numId w:val="10"/>
      </w:numPr>
      <w:spacing w:before="240" w:after="120" w:line="360" w:lineRule="auto"/>
      <w:outlineLvl w:val="0"/>
    </w:pPr>
    <w:rPr>
      <w:rFonts w:ascii="Arial" w:hAnsi="Arial" w:cs="Arial"/>
      <w:b/>
      <w:bCs/>
      <w:kern w:val="32"/>
      <w:sz w:val="32"/>
      <w:szCs w:val="32"/>
      <w:lang w:val="en-US"/>
    </w:rPr>
  </w:style>
  <w:style w:type="paragraph" w:styleId="Heading2">
    <w:name w:val="heading 2"/>
    <w:basedOn w:val="Normal"/>
    <w:next w:val="NICEnormal"/>
    <w:link w:val="Heading2Char"/>
    <w:qFormat/>
    <w:rsid w:val="006714D2"/>
    <w:pPr>
      <w:keepNext/>
      <w:tabs>
        <w:tab w:val="left" w:pos="1134"/>
      </w:tabs>
      <w:spacing w:before="240" w:after="60" w:line="360" w:lineRule="auto"/>
      <w:outlineLvl w:val="1"/>
    </w:pPr>
    <w:rPr>
      <w:rFonts w:ascii="Arial" w:hAnsi="Arial" w:cs="Arial"/>
      <w:b/>
      <w:bCs/>
      <w:i/>
      <w:iCs/>
      <w:sz w:val="28"/>
      <w:szCs w:val="28"/>
    </w:rPr>
  </w:style>
  <w:style w:type="paragraph" w:styleId="Heading3">
    <w:name w:val="heading 3"/>
    <w:basedOn w:val="Normal"/>
    <w:next w:val="NICEnormal"/>
    <w:link w:val="Heading3Char"/>
    <w:uiPriority w:val="9"/>
    <w:qFormat/>
    <w:rsid w:val="007A4EEE"/>
    <w:pPr>
      <w:keepNext/>
      <w:spacing w:before="240" w:after="60" w:line="360" w:lineRule="auto"/>
      <w:outlineLvl w:val="2"/>
    </w:pPr>
    <w:rPr>
      <w:rFonts w:ascii="Arial" w:hAnsi="Arial" w:cs="Arial"/>
      <w:b/>
      <w:bCs/>
    </w:rPr>
  </w:style>
  <w:style w:type="paragraph" w:styleId="Heading4">
    <w:name w:val="heading 4"/>
    <w:basedOn w:val="Normal"/>
    <w:next w:val="NICEnormal"/>
    <w:qFormat/>
    <w:rsid w:val="007A4EEE"/>
    <w:pPr>
      <w:keepNext/>
      <w:spacing w:before="240" w:after="60" w:line="360" w:lineRule="auto"/>
      <w:outlineLvl w:val="3"/>
    </w:pPr>
    <w:rPr>
      <w:rFonts w:ascii="Arial" w:hAnsi="Arial"/>
      <w:b/>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ICEnormal">
    <w:name w:val="NICE normal"/>
    <w:link w:val="NICEnormalChar"/>
    <w:rsid w:val="00B53D83"/>
    <w:pPr>
      <w:spacing w:after="240" w:line="360" w:lineRule="auto"/>
    </w:pPr>
    <w:rPr>
      <w:rFonts w:ascii="Arial" w:hAnsi="Arial"/>
      <w:sz w:val="24"/>
      <w:szCs w:val="24"/>
      <w:lang w:eastAsia="en-US"/>
    </w:rPr>
  </w:style>
  <w:style w:type="character" w:customStyle="1" w:styleId="NICEnormalChar">
    <w:name w:val="NICE normal Char"/>
    <w:link w:val="NICEnormal"/>
    <w:rsid w:val="00B53D83"/>
    <w:rPr>
      <w:rFonts w:ascii="Arial" w:hAnsi="Arial"/>
      <w:sz w:val="24"/>
      <w:szCs w:val="24"/>
      <w:lang w:val="en-GB" w:eastAsia="en-US" w:bidi="ar-SA"/>
    </w:rPr>
  </w:style>
  <w:style w:type="character" w:customStyle="1" w:styleId="Heading1Char">
    <w:name w:val="Heading 1 Char"/>
    <w:link w:val="Heading1"/>
    <w:rsid w:val="00AB2948"/>
    <w:rPr>
      <w:rFonts w:ascii="Arial" w:hAnsi="Arial" w:cs="Arial"/>
      <w:b/>
      <w:bCs/>
      <w:kern w:val="32"/>
      <w:sz w:val="32"/>
      <w:szCs w:val="32"/>
      <w:lang w:val="en-US" w:eastAsia="en-US"/>
    </w:rPr>
  </w:style>
  <w:style w:type="character" w:customStyle="1" w:styleId="Heading2Char">
    <w:name w:val="Heading 2 Char"/>
    <w:link w:val="Heading2"/>
    <w:rsid w:val="006714D2"/>
    <w:rPr>
      <w:rFonts w:ascii="Arial" w:hAnsi="Arial" w:cs="Arial"/>
      <w:b/>
      <w:bCs/>
      <w:i/>
      <w:iCs/>
      <w:sz w:val="28"/>
      <w:szCs w:val="28"/>
      <w:lang w:val="en-GB" w:eastAsia="en-US" w:bidi="ar-SA"/>
    </w:rPr>
  </w:style>
  <w:style w:type="table" w:styleId="TableGrid">
    <w:name w:val="Table Grid"/>
    <w:basedOn w:val="TableNormal"/>
    <w:rsid w:val="00A01D9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ICEnormalsinglespacing">
    <w:name w:val="NICE normal single spacing"/>
    <w:basedOn w:val="NICEnormal"/>
    <w:rsid w:val="005C762E"/>
    <w:pPr>
      <w:spacing w:line="240" w:lineRule="auto"/>
    </w:pPr>
  </w:style>
  <w:style w:type="paragraph" w:styleId="Title">
    <w:name w:val="Title"/>
    <w:basedOn w:val="Normal"/>
    <w:next w:val="NICEnormal"/>
    <w:qFormat/>
    <w:rsid w:val="00BB047B"/>
    <w:pPr>
      <w:keepNext/>
      <w:spacing w:before="240" w:after="240"/>
      <w:jc w:val="center"/>
      <w:outlineLvl w:val="0"/>
    </w:pPr>
    <w:rPr>
      <w:rFonts w:ascii="Arial" w:hAnsi="Arial" w:cs="Arial"/>
      <w:b/>
      <w:bCs/>
      <w:kern w:val="28"/>
      <w:sz w:val="40"/>
      <w:szCs w:val="32"/>
    </w:rPr>
  </w:style>
  <w:style w:type="paragraph" w:customStyle="1" w:styleId="Title2">
    <w:name w:val="Title 2"/>
    <w:basedOn w:val="Title"/>
    <w:rsid w:val="005C762E"/>
    <w:rPr>
      <w:sz w:val="32"/>
    </w:rPr>
  </w:style>
  <w:style w:type="paragraph" w:customStyle="1" w:styleId="Numberedheading1">
    <w:name w:val="Numbered heading 1"/>
    <w:basedOn w:val="Heading1"/>
    <w:next w:val="NICEnormal"/>
    <w:link w:val="Numberedheading1CharChar"/>
    <w:qFormat/>
    <w:rsid w:val="00282D7E"/>
    <w:pPr>
      <w:numPr>
        <w:ilvl w:val="3"/>
        <w:numId w:val="1"/>
      </w:numPr>
    </w:pPr>
    <w:rPr>
      <w:szCs w:val="24"/>
    </w:rPr>
  </w:style>
  <w:style w:type="character" w:customStyle="1" w:styleId="Numberedheading1CharChar">
    <w:name w:val="Numbered heading 1 Char Char"/>
    <w:link w:val="Numberedheading1"/>
    <w:rsid w:val="00C51429"/>
    <w:rPr>
      <w:rFonts w:ascii="Arial" w:hAnsi="Arial" w:cs="Arial"/>
      <w:b/>
      <w:bCs/>
      <w:kern w:val="32"/>
      <w:sz w:val="32"/>
      <w:szCs w:val="24"/>
      <w:lang w:val="en-US" w:eastAsia="en-US"/>
    </w:rPr>
  </w:style>
  <w:style w:type="paragraph" w:customStyle="1" w:styleId="Bulletindent2">
    <w:name w:val="Bullet indent 2"/>
    <w:basedOn w:val="NICEnormal"/>
    <w:rsid w:val="00D3612A"/>
    <w:pPr>
      <w:numPr>
        <w:ilvl w:val="1"/>
        <w:numId w:val="4"/>
      </w:numPr>
      <w:spacing w:after="0"/>
      <w:ind w:left="1702" w:hanging="284"/>
    </w:pPr>
  </w:style>
  <w:style w:type="paragraph" w:customStyle="1" w:styleId="Bulletleft1">
    <w:name w:val="Bullet left 1"/>
    <w:basedOn w:val="NICEnormal"/>
    <w:rsid w:val="00D37F25"/>
    <w:pPr>
      <w:numPr>
        <w:numId w:val="7"/>
      </w:numPr>
      <w:spacing w:after="0"/>
    </w:pPr>
  </w:style>
  <w:style w:type="paragraph" w:customStyle="1" w:styleId="Bulletleft2">
    <w:name w:val="Bullet left 2"/>
    <w:basedOn w:val="NICEnormal"/>
    <w:rsid w:val="008505C3"/>
    <w:pPr>
      <w:numPr>
        <w:ilvl w:val="1"/>
        <w:numId w:val="2"/>
      </w:numPr>
      <w:spacing w:after="0"/>
      <w:ind w:left="568" w:hanging="284"/>
    </w:pPr>
  </w:style>
  <w:style w:type="paragraph" w:customStyle="1" w:styleId="Bulletleft3">
    <w:name w:val="Bullet left 3"/>
    <w:basedOn w:val="NICEnormal"/>
    <w:rsid w:val="008505C3"/>
    <w:pPr>
      <w:numPr>
        <w:ilvl w:val="2"/>
        <w:numId w:val="3"/>
      </w:numPr>
      <w:spacing w:after="0"/>
    </w:pPr>
  </w:style>
  <w:style w:type="paragraph" w:customStyle="1" w:styleId="Bulletindent1">
    <w:name w:val="Bullet indent 1"/>
    <w:basedOn w:val="NICEnormal"/>
    <w:link w:val="Bulletindent1Char"/>
    <w:rsid w:val="00D3612A"/>
    <w:pPr>
      <w:numPr>
        <w:numId w:val="6"/>
      </w:numPr>
      <w:spacing w:after="0"/>
    </w:pPr>
  </w:style>
  <w:style w:type="character" w:customStyle="1" w:styleId="Bulletindent1Char">
    <w:name w:val="Bullet indent 1 Char"/>
    <w:link w:val="Bulletindent1"/>
    <w:rsid w:val="006714D2"/>
    <w:rPr>
      <w:rFonts w:ascii="Arial" w:hAnsi="Arial"/>
      <w:sz w:val="24"/>
      <w:szCs w:val="24"/>
      <w:lang w:eastAsia="en-US"/>
    </w:rPr>
  </w:style>
  <w:style w:type="paragraph" w:customStyle="1" w:styleId="Bulletindent3">
    <w:name w:val="Bullet indent 3"/>
    <w:basedOn w:val="NICEnormal"/>
    <w:rsid w:val="00D3612A"/>
    <w:pPr>
      <w:numPr>
        <w:ilvl w:val="2"/>
        <w:numId w:val="5"/>
      </w:numPr>
      <w:spacing w:after="0"/>
    </w:pPr>
  </w:style>
  <w:style w:type="paragraph" w:customStyle="1" w:styleId="Numberedlevel2text">
    <w:name w:val="Numbered level 2 text"/>
    <w:basedOn w:val="Normal"/>
    <w:link w:val="Numberedlevel2textChar"/>
    <w:qFormat/>
    <w:rsid w:val="00B94D4A"/>
    <w:pPr>
      <w:numPr>
        <w:ilvl w:val="1"/>
        <w:numId w:val="1"/>
      </w:numPr>
      <w:spacing w:after="240" w:line="360" w:lineRule="auto"/>
    </w:pPr>
    <w:rPr>
      <w:rFonts w:ascii="Arial" w:hAnsi="Arial"/>
      <w:bCs/>
      <w:iCs/>
      <w:szCs w:val="28"/>
    </w:rPr>
  </w:style>
  <w:style w:type="character" w:customStyle="1" w:styleId="Numberedlevel2textChar">
    <w:name w:val="Numbered level 2 text Char"/>
    <w:link w:val="Numberedlevel2text"/>
    <w:rsid w:val="00611951"/>
    <w:rPr>
      <w:rFonts w:ascii="Arial" w:hAnsi="Arial"/>
      <w:bCs/>
      <w:iCs/>
      <w:sz w:val="24"/>
      <w:szCs w:val="28"/>
      <w:lang w:eastAsia="en-US"/>
    </w:rPr>
  </w:style>
  <w:style w:type="paragraph" w:customStyle="1" w:styleId="Bulletleft1last">
    <w:name w:val="Bullet left 1 last"/>
    <w:basedOn w:val="NICEnormal"/>
    <w:rsid w:val="00953ADF"/>
    <w:pPr>
      <w:numPr>
        <w:numId w:val="8"/>
      </w:numPr>
    </w:pPr>
    <w:rPr>
      <w:rFonts w:cs="Arial"/>
    </w:rPr>
  </w:style>
  <w:style w:type="paragraph" w:styleId="Header">
    <w:name w:val="header"/>
    <w:basedOn w:val="NICEnormalsinglespacing"/>
    <w:rsid w:val="0053387C"/>
    <w:pPr>
      <w:tabs>
        <w:tab w:val="center" w:pos="4153"/>
        <w:tab w:val="right" w:pos="8306"/>
      </w:tabs>
    </w:pPr>
  </w:style>
  <w:style w:type="paragraph" w:styleId="Footer">
    <w:name w:val="footer"/>
    <w:basedOn w:val="NICEnormalsinglespacing"/>
    <w:rsid w:val="00A5224E"/>
    <w:pPr>
      <w:spacing w:before="120" w:after="0"/>
    </w:pPr>
    <w:rPr>
      <w:sz w:val="20"/>
      <w:szCs w:val="20"/>
    </w:rPr>
  </w:style>
  <w:style w:type="character" w:styleId="PageNumber">
    <w:name w:val="page number"/>
    <w:rsid w:val="00A86D3D"/>
    <w:rPr>
      <w:rFonts w:ascii="Arial" w:hAnsi="Arial"/>
      <w:sz w:val="24"/>
    </w:rPr>
  </w:style>
  <w:style w:type="paragraph" w:customStyle="1" w:styleId="Bulletindent1last">
    <w:name w:val="Bullet indent 1 last"/>
    <w:basedOn w:val="NICEnormal"/>
    <w:next w:val="NICEnormal"/>
    <w:rsid w:val="00953ADF"/>
    <w:pPr>
      <w:numPr>
        <w:numId w:val="9"/>
      </w:numPr>
    </w:pPr>
  </w:style>
  <w:style w:type="paragraph" w:customStyle="1" w:styleId="NICEnormalindented">
    <w:name w:val="NICE normal indented"/>
    <w:basedOn w:val="NICEnormal"/>
    <w:qFormat/>
    <w:rsid w:val="00BD0372"/>
    <w:pPr>
      <w:tabs>
        <w:tab w:val="left" w:pos="1134"/>
      </w:tabs>
      <w:ind w:left="1134"/>
    </w:pPr>
  </w:style>
  <w:style w:type="paragraph" w:customStyle="1" w:styleId="Tabletext">
    <w:name w:val="Table text"/>
    <w:basedOn w:val="NICEnormalsinglespacing"/>
    <w:rsid w:val="00A5224E"/>
    <w:pPr>
      <w:spacing w:after="60"/>
    </w:pPr>
    <w:rPr>
      <w:sz w:val="22"/>
    </w:rPr>
  </w:style>
  <w:style w:type="character" w:styleId="Hyperlink">
    <w:name w:val="Hyperlink"/>
    <w:rsid w:val="00AE1B68"/>
    <w:rPr>
      <w:color w:val="0000FF"/>
      <w:u w:val="single"/>
    </w:rPr>
  </w:style>
  <w:style w:type="paragraph" w:styleId="BalloonText">
    <w:name w:val="Balloon Text"/>
    <w:basedOn w:val="Normal"/>
    <w:semiHidden/>
    <w:rsid w:val="00874BA9"/>
    <w:rPr>
      <w:rFonts w:ascii="Tahoma" w:hAnsi="Tahoma" w:cs="Tahoma"/>
      <w:sz w:val="16"/>
      <w:szCs w:val="16"/>
    </w:rPr>
  </w:style>
  <w:style w:type="character" w:styleId="CommentReference">
    <w:name w:val="annotation reference"/>
    <w:semiHidden/>
    <w:rsid w:val="00CD3174"/>
    <w:rPr>
      <w:sz w:val="16"/>
      <w:szCs w:val="16"/>
    </w:rPr>
  </w:style>
  <w:style w:type="paragraph" w:styleId="CommentText">
    <w:name w:val="annotation text"/>
    <w:basedOn w:val="Normal"/>
    <w:link w:val="CommentTextChar"/>
    <w:semiHidden/>
    <w:rsid w:val="00CD3174"/>
    <w:rPr>
      <w:sz w:val="20"/>
      <w:szCs w:val="20"/>
    </w:rPr>
  </w:style>
  <w:style w:type="paragraph" w:styleId="CommentSubject">
    <w:name w:val="annotation subject"/>
    <w:basedOn w:val="CommentText"/>
    <w:next w:val="CommentText"/>
    <w:semiHidden/>
    <w:rsid w:val="00CD3174"/>
    <w:rPr>
      <w:b/>
      <w:bCs/>
    </w:rPr>
  </w:style>
  <w:style w:type="paragraph" w:customStyle="1" w:styleId="Title1">
    <w:name w:val="Title 1"/>
    <w:basedOn w:val="Title"/>
    <w:qFormat/>
    <w:rsid w:val="00BB7835"/>
  </w:style>
  <w:style w:type="paragraph" w:customStyle="1" w:styleId="Guidanceissuedate">
    <w:name w:val="Guidance issue date"/>
    <w:basedOn w:val="NICEnormal"/>
    <w:qFormat/>
    <w:rsid w:val="00BB7835"/>
    <w:rPr>
      <w:lang w:val="en-US"/>
    </w:rPr>
  </w:style>
  <w:style w:type="paragraph" w:customStyle="1" w:styleId="Documentissuedate">
    <w:name w:val="Document issue date"/>
    <w:basedOn w:val="NICEnormal"/>
    <w:qFormat/>
    <w:rsid w:val="00BB7835"/>
    <w:rPr>
      <w:lang w:val="en-US"/>
    </w:rPr>
  </w:style>
  <w:style w:type="character" w:styleId="FollowedHyperlink">
    <w:name w:val="FollowedHyperlink"/>
    <w:rsid w:val="00E24CD5"/>
    <w:rPr>
      <w:color w:val="800080"/>
      <w:u w:val="single"/>
    </w:rPr>
  </w:style>
  <w:style w:type="paragraph" w:styleId="Revision">
    <w:name w:val="Revision"/>
    <w:hidden/>
    <w:uiPriority w:val="99"/>
    <w:semiHidden/>
    <w:rsid w:val="009331F5"/>
    <w:rPr>
      <w:sz w:val="24"/>
      <w:szCs w:val="24"/>
      <w:lang w:eastAsia="en-US"/>
    </w:rPr>
  </w:style>
  <w:style w:type="character" w:customStyle="1" w:styleId="InternetLink">
    <w:name w:val="Internet Link"/>
    <w:basedOn w:val="DefaultParagraphFont"/>
    <w:rsid w:val="00FF1D09"/>
    <w:rPr>
      <w:color w:val="0563C1"/>
      <w:u w:val="single"/>
    </w:rPr>
  </w:style>
  <w:style w:type="paragraph" w:styleId="NormalWeb">
    <w:name w:val="Normal (Web)"/>
    <w:basedOn w:val="Normal"/>
    <w:uiPriority w:val="99"/>
    <w:unhideWhenUsed/>
    <w:rsid w:val="00550AFB"/>
    <w:pPr>
      <w:spacing w:before="100" w:beforeAutospacing="1" w:after="100" w:afterAutospacing="1"/>
    </w:pPr>
    <w:rPr>
      <w:lang w:eastAsia="en-GB"/>
    </w:rPr>
  </w:style>
  <w:style w:type="paragraph" w:styleId="ListParagraph">
    <w:name w:val="List Paragraph"/>
    <w:aliases w:val="Table Legend,Bullet1,Medium Grid 1 - Accent 21,Bullet List"/>
    <w:basedOn w:val="Normal"/>
    <w:link w:val="ListParagraphChar"/>
    <w:uiPriority w:val="34"/>
    <w:qFormat/>
    <w:rsid w:val="0069727A"/>
    <w:pPr>
      <w:ind w:left="720"/>
      <w:contextualSpacing/>
    </w:pPr>
    <w:rPr>
      <w:lang w:eastAsia="en-GB"/>
    </w:rPr>
  </w:style>
  <w:style w:type="character" w:customStyle="1" w:styleId="ListParagraphChar">
    <w:name w:val="List Paragraph Char"/>
    <w:aliases w:val="Table Legend Char,Bullet1 Char,Medium Grid 1 - Accent 21 Char,Bullet List Char"/>
    <w:link w:val="ListParagraph"/>
    <w:uiPriority w:val="34"/>
    <w:locked/>
    <w:rsid w:val="00051651"/>
    <w:rPr>
      <w:sz w:val="24"/>
      <w:szCs w:val="24"/>
    </w:rPr>
  </w:style>
  <w:style w:type="paragraph" w:styleId="Subtitle">
    <w:name w:val="Subtitle"/>
    <w:basedOn w:val="Normal"/>
    <w:next w:val="Normal"/>
    <w:link w:val="SubtitleChar"/>
    <w:qFormat/>
    <w:rsid w:val="00AA2C81"/>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rsid w:val="00AA2C81"/>
    <w:rPr>
      <w:rFonts w:asciiTheme="minorHAnsi" w:eastAsiaTheme="minorEastAsia" w:hAnsiTheme="minorHAnsi" w:cstheme="minorBidi"/>
      <w:color w:val="5A5A5A" w:themeColor="text1" w:themeTint="A5"/>
      <w:spacing w:val="15"/>
      <w:sz w:val="22"/>
      <w:szCs w:val="22"/>
      <w:lang w:eastAsia="en-US"/>
    </w:rPr>
  </w:style>
  <w:style w:type="character" w:styleId="Strong">
    <w:name w:val="Strong"/>
    <w:basedOn w:val="DefaultParagraphFont"/>
    <w:qFormat/>
    <w:rsid w:val="00AA2C81"/>
    <w:rPr>
      <w:b/>
      <w:bCs/>
    </w:rPr>
  </w:style>
  <w:style w:type="paragraph" w:styleId="Caption">
    <w:name w:val="caption"/>
    <w:basedOn w:val="Normal"/>
    <w:next w:val="Normal"/>
    <w:unhideWhenUsed/>
    <w:qFormat/>
    <w:rsid w:val="00AA2C81"/>
    <w:pPr>
      <w:spacing w:after="200"/>
    </w:pPr>
    <w:rPr>
      <w:i/>
      <w:iCs/>
      <w:color w:val="1F497D" w:themeColor="text2"/>
      <w:sz w:val="18"/>
      <w:szCs w:val="18"/>
    </w:rPr>
  </w:style>
  <w:style w:type="character" w:styleId="Emphasis">
    <w:name w:val="Emphasis"/>
    <w:basedOn w:val="DefaultParagraphFont"/>
    <w:uiPriority w:val="20"/>
    <w:qFormat/>
    <w:rsid w:val="00D6469A"/>
    <w:rPr>
      <w:i/>
      <w:iCs/>
    </w:rPr>
  </w:style>
  <w:style w:type="character" w:customStyle="1" w:styleId="UnresolvedMention1">
    <w:name w:val="Unresolved Mention1"/>
    <w:basedOn w:val="DefaultParagraphFont"/>
    <w:uiPriority w:val="99"/>
    <w:semiHidden/>
    <w:unhideWhenUsed/>
    <w:rsid w:val="003C5BAD"/>
    <w:rPr>
      <w:color w:val="605E5C"/>
      <w:shd w:val="clear" w:color="auto" w:fill="E1DFDD"/>
    </w:rPr>
  </w:style>
  <w:style w:type="character" w:customStyle="1" w:styleId="Heading3Char">
    <w:name w:val="Heading 3 Char"/>
    <w:basedOn w:val="DefaultParagraphFont"/>
    <w:link w:val="Heading3"/>
    <w:uiPriority w:val="9"/>
    <w:rsid w:val="00496D13"/>
    <w:rPr>
      <w:rFonts w:ascii="Arial" w:hAnsi="Arial" w:cs="Arial"/>
      <w:b/>
      <w:bCs/>
      <w:sz w:val="24"/>
      <w:szCs w:val="24"/>
      <w:lang w:eastAsia="en-US"/>
    </w:rPr>
  </w:style>
  <w:style w:type="character" w:customStyle="1" w:styleId="UnresolvedMention2">
    <w:name w:val="Unresolved Mention2"/>
    <w:basedOn w:val="DefaultParagraphFont"/>
    <w:uiPriority w:val="99"/>
    <w:semiHidden/>
    <w:unhideWhenUsed/>
    <w:rsid w:val="00624DEB"/>
    <w:rPr>
      <w:color w:val="605E5C"/>
      <w:shd w:val="clear" w:color="auto" w:fill="E1DFDD"/>
    </w:rPr>
  </w:style>
  <w:style w:type="character" w:customStyle="1" w:styleId="UnresolvedMention3">
    <w:name w:val="Unresolved Mention3"/>
    <w:basedOn w:val="DefaultParagraphFont"/>
    <w:uiPriority w:val="99"/>
    <w:semiHidden/>
    <w:unhideWhenUsed/>
    <w:rsid w:val="00365A4F"/>
    <w:rPr>
      <w:color w:val="605E5C"/>
      <w:shd w:val="clear" w:color="auto" w:fill="E1DFDD"/>
    </w:rPr>
  </w:style>
  <w:style w:type="character" w:customStyle="1" w:styleId="CommentTextChar">
    <w:name w:val="Comment Text Char"/>
    <w:basedOn w:val="DefaultParagraphFont"/>
    <w:link w:val="CommentText"/>
    <w:semiHidden/>
    <w:rsid w:val="001042F0"/>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0951634">
      <w:bodyDiv w:val="1"/>
      <w:marLeft w:val="0"/>
      <w:marRight w:val="0"/>
      <w:marTop w:val="0"/>
      <w:marBottom w:val="0"/>
      <w:divBdr>
        <w:top w:val="none" w:sz="0" w:space="0" w:color="auto"/>
        <w:left w:val="none" w:sz="0" w:space="0" w:color="auto"/>
        <w:bottom w:val="none" w:sz="0" w:space="0" w:color="auto"/>
        <w:right w:val="none" w:sz="0" w:space="0" w:color="auto"/>
      </w:divBdr>
    </w:div>
    <w:div w:id="134032932">
      <w:bodyDiv w:val="1"/>
      <w:marLeft w:val="0"/>
      <w:marRight w:val="0"/>
      <w:marTop w:val="0"/>
      <w:marBottom w:val="0"/>
      <w:divBdr>
        <w:top w:val="none" w:sz="0" w:space="0" w:color="auto"/>
        <w:left w:val="none" w:sz="0" w:space="0" w:color="auto"/>
        <w:bottom w:val="none" w:sz="0" w:space="0" w:color="auto"/>
        <w:right w:val="none" w:sz="0" w:space="0" w:color="auto"/>
      </w:divBdr>
    </w:div>
    <w:div w:id="149949999">
      <w:bodyDiv w:val="1"/>
      <w:marLeft w:val="0"/>
      <w:marRight w:val="0"/>
      <w:marTop w:val="0"/>
      <w:marBottom w:val="0"/>
      <w:divBdr>
        <w:top w:val="none" w:sz="0" w:space="0" w:color="auto"/>
        <w:left w:val="none" w:sz="0" w:space="0" w:color="auto"/>
        <w:bottom w:val="none" w:sz="0" w:space="0" w:color="auto"/>
        <w:right w:val="none" w:sz="0" w:space="0" w:color="auto"/>
      </w:divBdr>
      <w:divsChild>
        <w:div w:id="1892615218">
          <w:marLeft w:val="547"/>
          <w:marRight w:val="0"/>
          <w:marTop w:val="170"/>
          <w:marBottom w:val="0"/>
          <w:divBdr>
            <w:top w:val="none" w:sz="0" w:space="0" w:color="auto"/>
            <w:left w:val="none" w:sz="0" w:space="0" w:color="auto"/>
            <w:bottom w:val="none" w:sz="0" w:space="0" w:color="auto"/>
            <w:right w:val="none" w:sz="0" w:space="0" w:color="auto"/>
          </w:divBdr>
        </w:div>
      </w:divsChild>
    </w:div>
    <w:div w:id="200216923">
      <w:bodyDiv w:val="1"/>
      <w:marLeft w:val="0"/>
      <w:marRight w:val="0"/>
      <w:marTop w:val="0"/>
      <w:marBottom w:val="0"/>
      <w:divBdr>
        <w:top w:val="none" w:sz="0" w:space="0" w:color="auto"/>
        <w:left w:val="none" w:sz="0" w:space="0" w:color="auto"/>
        <w:bottom w:val="none" w:sz="0" w:space="0" w:color="auto"/>
        <w:right w:val="none" w:sz="0" w:space="0" w:color="auto"/>
      </w:divBdr>
    </w:div>
    <w:div w:id="214322458">
      <w:bodyDiv w:val="1"/>
      <w:marLeft w:val="0"/>
      <w:marRight w:val="0"/>
      <w:marTop w:val="0"/>
      <w:marBottom w:val="0"/>
      <w:divBdr>
        <w:top w:val="none" w:sz="0" w:space="0" w:color="auto"/>
        <w:left w:val="none" w:sz="0" w:space="0" w:color="auto"/>
        <w:bottom w:val="none" w:sz="0" w:space="0" w:color="auto"/>
        <w:right w:val="none" w:sz="0" w:space="0" w:color="auto"/>
      </w:divBdr>
      <w:divsChild>
        <w:div w:id="2022664173">
          <w:marLeft w:val="1238"/>
          <w:marRight w:val="0"/>
          <w:marTop w:val="0"/>
          <w:marBottom w:val="0"/>
          <w:divBdr>
            <w:top w:val="none" w:sz="0" w:space="0" w:color="auto"/>
            <w:left w:val="none" w:sz="0" w:space="0" w:color="auto"/>
            <w:bottom w:val="none" w:sz="0" w:space="0" w:color="auto"/>
            <w:right w:val="none" w:sz="0" w:space="0" w:color="auto"/>
          </w:divBdr>
        </w:div>
      </w:divsChild>
    </w:div>
    <w:div w:id="275601225">
      <w:bodyDiv w:val="1"/>
      <w:marLeft w:val="0"/>
      <w:marRight w:val="0"/>
      <w:marTop w:val="0"/>
      <w:marBottom w:val="0"/>
      <w:divBdr>
        <w:top w:val="none" w:sz="0" w:space="0" w:color="auto"/>
        <w:left w:val="none" w:sz="0" w:space="0" w:color="auto"/>
        <w:bottom w:val="none" w:sz="0" w:space="0" w:color="auto"/>
        <w:right w:val="none" w:sz="0" w:space="0" w:color="auto"/>
      </w:divBdr>
      <w:divsChild>
        <w:div w:id="175122018">
          <w:marLeft w:val="547"/>
          <w:marRight w:val="0"/>
          <w:marTop w:val="0"/>
          <w:marBottom w:val="0"/>
          <w:divBdr>
            <w:top w:val="none" w:sz="0" w:space="0" w:color="auto"/>
            <w:left w:val="none" w:sz="0" w:space="0" w:color="auto"/>
            <w:bottom w:val="none" w:sz="0" w:space="0" w:color="auto"/>
            <w:right w:val="none" w:sz="0" w:space="0" w:color="auto"/>
          </w:divBdr>
        </w:div>
      </w:divsChild>
    </w:div>
    <w:div w:id="294220073">
      <w:bodyDiv w:val="1"/>
      <w:marLeft w:val="0"/>
      <w:marRight w:val="0"/>
      <w:marTop w:val="0"/>
      <w:marBottom w:val="0"/>
      <w:divBdr>
        <w:top w:val="none" w:sz="0" w:space="0" w:color="auto"/>
        <w:left w:val="none" w:sz="0" w:space="0" w:color="auto"/>
        <w:bottom w:val="none" w:sz="0" w:space="0" w:color="auto"/>
        <w:right w:val="none" w:sz="0" w:space="0" w:color="auto"/>
      </w:divBdr>
    </w:div>
    <w:div w:id="395706667">
      <w:bodyDiv w:val="1"/>
      <w:marLeft w:val="0"/>
      <w:marRight w:val="0"/>
      <w:marTop w:val="0"/>
      <w:marBottom w:val="0"/>
      <w:divBdr>
        <w:top w:val="none" w:sz="0" w:space="0" w:color="auto"/>
        <w:left w:val="none" w:sz="0" w:space="0" w:color="auto"/>
        <w:bottom w:val="none" w:sz="0" w:space="0" w:color="auto"/>
        <w:right w:val="none" w:sz="0" w:space="0" w:color="auto"/>
      </w:divBdr>
      <w:divsChild>
        <w:div w:id="1590235454">
          <w:marLeft w:val="446"/>
          <w:marRight w:val="0"/>
          <w:marTop w:val="0"/>
          <w:marBottom w:val="0"/>
          <w:divBdr>
            <w:top w:val="none" w:sz="0" w:space="0" w:color="auto"/>
            <w:left w:val="none" w:sz="0" w:space="0" w:color="auto"/>
            <w:bottom w:val="none" w:sz="0" w:space="0" w:color="auto"/>
            <w:right w:val="none" w:sz="0" w:space="0" w:color="auto"/>
          </w:divBdr>
        </w:div>
      </w:divsChild>
    </w:div>
    <w:div w:id="553666231">
      <w:bodyDiv w:val="1"/>
      <w:marLeft w:val="0"/>
      <w:marRight w:val="0"/>
      <w:marTop w:val="0"/>
      <w:marBottom w:val="0"/>
      <w:divBdr>
        <w:top w:val="none" w:sz="0" w:space="0" w:color="auto"/>
        <w:left w:val="none" w:sz="0" w:space="0" w:color="auto"/>
        <w:bottom w:val="none" w:sz="0" w:space="0" w:color="auto"/>
        <w:right w:val="none" w:sz="0" w:space="0" w:color="auto"/>
      </w:divBdr>
      <w:divsChild>
        <w:div w:id="1236667303">
          <w:marLeft w:val="0"/>
          <w:marRight w:val="0"/>
          <w:marTop w:val="0"/>
          <w:marBottom w:val="0"/>
          <w:divBdr>
            <w:top w:val="none" w:sz="0" w:space="0" w:color="auto"/>
            <w:left w:val="none" w:sz="0" w:space="0" w:color="auto"/>
            <w:bottom w:val="none" w:sz="0" w:space="0" w:color="auto"/>
            <w:right w:val="none" w:sz="0" w:space="0" w:color="auto"/>
          </w:divBdr>
        </w:div>
        <w:div w:id="525677525">
          <w:marLeft w:val="0"/>
          <w:marRight w:val="0"/>
          <w:marTop w:val="0"/>
          <w:marBottom w:val="0"/>
          <w:divBdr>
            <w:top w:val="none" w:sz="0" w:space="0" w:color="auto"/>
            <w:left w:val="none" w:sz="0" w:space="0" w:color="auto"/>
            <w:bottom w:val="none" w:sz="0" w:space="0" w:color="auto"/>
            <w:right w:val="none" w:sz="0" w:space="0" w:color="auto"/>
          </w:divBdr>
        </w:div>
        <w:div w:id="206531874">
          <w:marLeft w:val="0"/>
          <w:marRight w:val="0"/>
          <w:marTop w:val="0"/>
          <w:marBottom w:val="0"/>
          <w:divBdr>
            <w:top w:val="none" w:sz="0" w:space="0" w:color="auto"/>
            <w:left w:val="none" w:sz="0" w:space="0" w:color="auto"/>
            <w:bottom w:val="none" w:sz="0" w:space="0" w:color="auto"/>
            <w:right w:val="none" w:sz="0" w:space="0" w:color="auto"/>
          </w:divBdr>
        </w:div>
        <w:div w:id="1321422768">
          <w:marLeft w:val="0"/>
          <w:marRight w:val="0"/>
          <w:marTop w:val="0"/>
          <w:marBottom w:val="0"/>
          <w:divBdr>
            <w:top w:val="none" w:sz="0" w:space="0" w:color="auto"/>
            <w:left w:val="none" w:sz="0" w:space="0" w:color="auto"/>
            <w:bottom w:val="none" w:sz="0" w:space="0" w:color="auto"/>
            <w:right w:val="none" w:sz="0" w:space="0" w:color="auto"/>
          </w:divBdr>
        </w:div>
      </w:divsChild>
    </w:div>
    <w:div w:id="561604643">
      <w:bodyDiv w:val="1"/>
      <w:marLeft w:val="0"/>
      <w:marRight w:val="0"/>
      <w:marTop w:val="0"/>
      <w:marBottom w:val="0"/>
      <w:divBdr>
        <w:top w:val="none" w:sz="0" w:space="0" w:color="auto"/>
        <w:left w:val="none" w:sz="0" w:space="0" w:color="auto"/>
        <w:bottom w:val="none" w:sz="0" w:space="0" w:color="auto"/>
        <w:right w:val="none" w:sz="0" w:space="0" w:color="auto"/>
      </w:divBdr>
      <w:divsChild>
        <w:div w:id="569342668">
          <w:marLeft w:val="446"/>
          <w:marRight w:val="0"/>
          <w:marTop w:val="0"/>
          <w:marBottom w:val="0"/>
          <w:divBdr>
            <w:top w:val="none" w:sz="0" w:space="0" w:color="auto"/>
            <w:left w:val="none" w:sz="0" w:space="0" w:color="auto"/>
            <w:bottom w:val="none" w:sz="0" w:space="0" w:color="auto"/>
            <w:right w:val="none" w:sz="0" w:space="0" w:color="auto"/>
          </w:divBdr>
        </w:div>
      </w:divsChild>
    </w:div>
    <w:div w:id="638531161">
      <w:bodyDiv w:val="1"/>
      <w:marLeft w:val="0"/>
      <w:marRight w:val="0"/>
      <w:marTop w:val="0"/>
      <w:marBottom w:val="0"/>
      <w:divBdr>
        <w:top w:val="none" w:sz="0" w:space="0" w:color="auto"/>
        <w:left w:val="none" w:sz="0" w:space="0" w:color="auto"/>
        <w:bottom w:val="none" w:sz="0" w:space="0" w:color="auto"/>
        <w:right w:val="none" w:sz="0" w:space="0" w:color="auto"/>
      </w:divBdr>
      <w:divsChild>
        <w:div w:id="278026888">
          <w:marLeft w:val="547"/>
          <w:marRight w:val="0"/>
          <w:marTop w:val="170"/>
          <w:marBottom w:val="0"/>
          <w:divBdr>
            <w:top w:val="none" w:sz="0" w:space="0" w:color="auto"/>
            <w:left w:val="none" w:sz="0" w:space="0" w:color="auto"/>
            <w:bottom w:val="none" w:sz="0" w:space="0" w:color="auto"/>
            <w:right w:val="none" w:sz="0" w:space="0" w:color="auto"/>
          </w:divBdr>
        </w:div>
      </w:divsChild>
    </w:div>
    <w:div w:id="647132413">
      <w:bodyDiv w:val="1"/>
      <w:marLeft w:val="0"/>
      <w:marRight w:val="0"/>
      <w:marTop w:val="0"/>
      <w:marBottom w:val="0"/>
      <w:divBdr>
        <w:top w:val="none" w:sz="0" w:space="0" w:color="auto"/>
        <w:left w:val="none" w:sz="0" w:space="0" w:color="auto"/>
        <w:bottom w:val="none" w:sz="0" w:space="0" w:color="auto"/>
        <w:right w:val="none" w:sz="0" w:space="0" w:color="auto"/>
      </w:divBdr>
    </w:div>
    <w:div w:id="703333551">
      <w:bodyDiv w:val="1"/>
      <w:marLeft w:val="0"/>
      <w:marRight w:val="0"/>
      <w:marTop w:val="0"/>
      <w:marBottom w:val="0"/>
      <w:divBdr>
        <w:top w:val="none" w:sz="0" w:space="0" w:color="auto"/>
        <w:left w:val="none" w:sz="0" w:space="0" w:color="auto"/>
        <w:bottom w:val="none" w:sz="0" w:space="0" w:color="auto"/>
        <w:right w:val="none" w:sz="0" w:space="0" w:color="auto"/>
      </w:divBdr>
      <w:divsChild>
        <w:div w:id="1059329046">
          <w:marLeft w:val="446"/>
          <w:marRight w:val="0"/>
          <w:marTop w:val="0"/>
          <w:marBottom w:val="0"/>
          <w:divBdr>
            <w:top w:val="none" w:sz="0" w:space="0" w:color="auto"/>
            <w:left w:val="none" w:sz="0" w:space="0" w:color="auto"/>
            <w:bottom w:val="none" w:sz="0" w:space="0" w:color="auto"/>
            <w:right w:val="none" w:sz="0" w:space="0" w:color="auto"/>
          </w:divBdr>
        </w:div>
      </w:divsChild>
    </w:div>
    <w:div w:id="732579882">
      <w:bodyDiv w:val="1"/>
      <w:marLeft w:val="0"/>
      <w:marRight w:val="0"/>
      <w:marTop w:val="0"/>
      <w:marBottom w:val="0"/>
      <w:divBdr>
        <w:top w:val="none" w:sz="0" w:space="0" w:color="auto"/>
        <w:left w:val="none" w:sz="0" w:space="0" w:color="auto"/>
        <w:bottom w:val="none" w:sz="0" w:space="0" w:color="auto"/>
        <w:right w:val="none" w:sz="0" w:space="0" w:color="auto"/>
      </w:divBdr>
    </w:div>
    <w:div w:id="761535378">
      <w:bodyDiv w:val="1"/>
      <w:marLeft w:val="0"/>
      <w:marRight w:val="0"/>
      <w:marTop w:val="0"/>
      <w:marBottom w:val="0"/>
      <w:divBdr>
        <w:top w:val="none" w:sz="0" w:space="0" w:color="auto"/>
        <w:left w:val="none" w:sz="0" w:space="0" w:color="auto"/>
        <w:bottom w:val="none" w:sz="0" w:space="0" w:color="auto"/>
        <w:right w:val="none" w:sz="0" w:space="0" w:color="auto"/>
      </w:divBdr>
    </w:div>
    <w:div w:id="1134519112">
      <w:bodyDiv w:val="1"/>
      <w:marLeft w:val="0"/>
      <w:marRight w:val="0"/>
      <w:marTop w:val="0"/>
      <w:marBottom w:val="0"/>
      <w:divBdr>
        <w:top w:val="none" w:sz="0" w:space="0" w:color="auto"/>
        <w:left w:val="none" w:sz="0" w:space="0" w:color="auto"/>
        <w:bottom w:val="none" w:sz="0" w:space="0" w:color="auto"/>
        <w:right w:val="none" w:sz="0" w:space="0" w:color="auto"/>
      </w:divBdr>
    </w:div>
    <w:div w:id="1298414484">
      <w:bodyDiv w:val="1"/>
      <w:marLeft w:val="0"/>
      <w:marRight w:val="0"/>
      <w:marTop w:val="0"/>
      <w:marBottom w:val="0"/>
      <w:divBdr>
        <w:top w:val="none" w:sz="0" w:space="0" w:color="auto"/>
        <w:left w:val="none" w:sz="0" w:space="0" w:color="auto"/>
        <w:bottom w:val="none" w:sz="0" w:space="0" w:color="auto"/>
        <w:right w:val="none" w:sz="0" w:space="0" w:color="auto"/>
      </w:divBdr>
    </w:div>
    <w:div w:id="1325470934">
      <w:bodyDiv w:val="1"/>
      <w:marLeft w:val="0"/>
      <w:marRight w:val="0"/>
      <w:marTop w:val="0"/>
      <w:marBottom w:val="0"/>
      <w:divBdr>
        <w:top w:val="none" w:sz="0" w:space="0" w:color="auto"/>
        <w:left w:val="none" w:sz="0" w:space="0" w:color="auto"/>
        <w:bottom w:val="none" w:sz="0" w:space="0" w:color="auto"/>
        <w:right w:val="none" w:sz="0" w:space="0" w:color="auto"/>
      </w:divBdr>
    </w:div>
    <w:div w:id="1400127858">
      <w:bodyDiv w:val="1"/>
      <w:marLeft w:val="0"/>
      <w:marRight w:val="0"/>
      <w:marTop w:val="0"/>
      <w:marBottom w:val="0"/>
      <w:divBdr>
        <w:top w:val="none" w:sz="0" w:space="0" w:color="auto"/>
        <w:left w:val="none" w:sz="0" w:space="0" w:color="auto"/>
        <w:bottom w:val="none" w:sz="0" w:space="0" w:color="auto"/>
        <w:right w:val="none" w:sz="0" w:space="0" w:color="auto"/>
      </w:divBdr>
      <w:divsChild>
        <w:div w:id="220408627">
          <w:marLeft w:val="547"/>
          <w:marRight w:val="0"/>
          <w:marTop w:val="170"/>
          <w:marBottom w:val="0"/>
          <w:divBdr>
            <w:top w:val="none" w:sz="0" w:space="0" w:color="auto"/>
            <w:left w:val="none" w:sz="0" w:space="0" w:color="auto"/>
            <w:bottom w:val="none" w:sz="0" w:space="0" w:color="auto"/>
            <w:right w:val="none" w:sz="0" w:space="0" w:color="auto"/>
          </w:divBdr>
        </w:div>
      </w:divsChild>
    </w:div>
    <w:div w:id="1607692934">
      <w:bodyDiv w:val="1"/>
      <w:marLeft w:val="0"/>
      <w:marRight w:val="0"/>
      <w:marTop w:val="0"/>
      <w:marBottom w:val="0"/>
      <w:divBdr>
        <w:top w:val="none" w:sz="0" w:space="0" w:color="auto"/>
        <w:left w:val="none" w:sz="0" w:space="0" w:color="auto"/>
        <w:bottom w:val="none" w:sz="0" w:space="0" w:color="auto"/>
        <w:right w:val="none" w:sz="0" w:space="0" w:color="auto"/>
      </w:divBdr>
    </w:div>
    <w:div w:id="1659189168">
      <w:bodyDiv w:val="1"/>
      <w:marLeft w:val="0"/>
      <w:marRight w:val="0"/>
      <w:marTop w:val="0"/>
      <w:marBottom w:val="0"/>
      <w:divBdr>
        <w:top w:val="none" w:sz="0" w:space="0" w:color="auto"/>
        <w:left w:val="none" w:sz="0" w:space="0" w:color="auto"/>
        <w:bottom w:val="none" w:sz="0" w:space="0" w:color="auto"/>
        <w:right w:val="none" w:sz="0" w:space="0" w:color="auto"/>
      </w:divBdr>
      <w:divsChild>
        <w:div w:id="1702822251">
          <w:marLeft w:val="994"/>
          <w:marRight w:val="0"/>
          <w:marTop w:val="170"/>
          <w:marBottom w:val="0"/>
          <w:divBdr>
            <w:top w:val="none" w:sz="0" w:space="0" w:color="auto"/>
            <w:left w:val="none" w:sz="0" w:space="0" w:color="auto"/>
            <w:bottom w:val="none" w:sz="0" w:space="0" w:color="auto"/>
            <w:right w:val="none" w:sz="0" w:space="0" w:color="auto"/>
          </w:divBdr>
        </w:div>
      </w:divsChild>
    </w:div>
    <w:div w:id="1773625935">
      <w:bodyDiv w:val="1"/>
      <w:marLeft w:val="0"/>
      <w:marRight w:val="0"/>
      <w:marTop w:val="0"/>
      <w:marBottom w:val="0"/>
      <w:divBdr>
        <w:top w:val="none" w:sz="0" w:space="0" w:color="auto"/>
        <w:left w:val="none" w:sz="0" w:space="0" w:color="auto"/>
        <w:bottom w:val="none" w:sz="0" w:space="0" w:color="auto"/>
        <w:right w:val="none" w:sz="0" w:space="0" w:color="auto"/>
      </w:divBdr>
      <w:divsChild>
        <w:div w:id="372340665">
          <w:marLeft w:val="547"/>
          <w:marRight w:val="0"/>
          <w:marTop w:val="0"/>
          <w:marBottom w:val="0"/>
          <w:divBdr>
            <w:top w:val="none" w:sz="0" w:space="0" w:color="auto"/>
            <w:left w:val="none" w:sz="0" w:space="0" w:color="auto"/>
            <w:bottom w:val="none" w:sz="0" w:space="0" w:color="auto"/>
            <w:right w:val="none" w:sz="0" w:space="0" w:color="auto"/>
          </w:divBdr>
        </w:div>
        <w:div w:id="1219170918">
          <w:marLeft w:val="547"/>
          <w:marRight w:val="0"/>
          <w:marTop w:val="0"/>
          <w:marBottom w:val="0"/>
          <w:divBdr>
            <w:top w:val="none" w:sz="0" w:space="0" w:color="auto"/>
            <w:left w:val="none" w:sz="0" w:space="0" w:color="auto"/>
            <w:bottom w:val="none" w:sz="0" w:space="0" w:color="auto"/>
            <w:right w:val="none" w:sz="0" w:space="0" w:color="auto"/>
          </w:divBdr>
        </w:div>
      </w:divsChild>
    </w:div>
    <w:div w:id="1818569978">
      <w:bodyDiv w:val="1"/>
      <w:marLeft w:val="0"/>
      <w:marRight w:val="0"/>
      <w:marTop w:val="0"/>
      <w:marBottom w:val="0"/>
      <w:divBdr>
        <w:top w:val="none" w:sz="0" w:space="0" w:color="auto"/>
        <w:left w:val="none" w:sz="0" w:space="0" w:color="auto"/>
        <w:bottom w:val="none" w:sz="0" w:space="0" w:color="auto"/>
        <w:right w:val="none" w:sz="0" w:space="0" w:color="auto"/>
      </w:divBdr>
    </w:div>
    <w:div w:id="1880508219">
      <w:bodyDiv w:val="1"/>
      <w:marLeft w:val="0"/>
      <w:marRight w:val="0"/>
      <w:marTop w:val="0"/>
      <w:marBottom w:val="0"/>
      <w:divBdr>
        <w:top w:val="none" w:sz="0" w:space="0" w:color="auto"/>
        <w:left w:val="none" w:sz="0" w:space="0" w:color="auto"/>
        <w:bottom w:val="none" w:sz="0" w:space="0" w:color="auto"/>
        <w:right w:val="none" w:sz="0" w:space="0" w:color="auto"/>
      </w:divBdr>
      <w:divsChild>
        <w:div w:id="1123766951">
          <w:marLeft w:val="446"/>
          <w:marRight w:val="0"/>
          <w:marTop w:val="0"/>
          <w:marBottom w:val="0"/>
          <w:divBdr>
            <w:top w:val="none" w:sz="0" w:space="0" w:color="auto"/>
            <w:left w:val="none" w:sz="0" w:space="0" w:color="auto"/>
            <w:bottom w:val="none" w:sz="0" w:space="0" w:color="auto"/>
            <w:right w:val="none" w:sz="0" w:space="0" w:color="auto"/>
          </w:divBdr>
        </w:div>
      </w:divsChild>
    </w:div>
    <w:div w:id="1923030839">
      <w:bodyDiv w:val="1"/>
      <w:marLeft w:val="0"/>
      <w:marRight w:val="0"/>
      <w:marTop w:val="0"/>
      <w:marBottom w:val="0"/>
      <w:divBdr>
        <w:top w:val="none" w:sz="0" w:space="0" w:color="auto"/>
        <w:left w:val="none" w:sz="0" w:space="0" w:color="auto"/>
        <w:bottom w:val="none" w:sz="0" w:space="0" w:color="auto"/>
        <w:right w:val="none" w:sz="0" w:space="0" w:color="auto"/>
      </w:divBdr>
    </w:div>
    <w:div w:id="1998533755">
      <w:bodyDiv w:val="1"/>
      <w:marLeft w:val="0"/>
      <w:marRight w:val="0"/>
      <w:marTop w:val="0"/>
      <w:marBottom w:val="0"/>
      <w:divBdr>
        <w:top w:val="none" w:sz="0" w:space="0" w:color="auto"/>
        <w:left w:val="none" w:sz="0" w:space="0" w:color="auto"/>
        <w:bottom w:val="none" w:sz="0" w:space="0" w:color="auto"/>
        <w:right w:val="none" w:sz="0" w:space="0" w:color="auto"/>
      </w:divBdr>
      <w:divsChild>
        <w:div w:id="1316032059">
          <w:marLeft w:val="0"/>
          <w:marRight w:val="0"/>
          <w:marTop w:val="0"/>
          <w:marBottom w:val="0"/>
          <w:divBdr>
            <w:top w:val="none" w:sz="0" w:space="0" w:color="auto"/>
            <w:left w:val="none" w:sz="0" w:space="0" w:color="auto"/>
            <w:bottom w:val="none" w:sz="0" w:space="0" w:color="auto"/>
            <w:right w:val="none" w:sz="0" w:space="0" w:color="auto"/>
          </w:divBdr>
          <w:divsChild>
            <w:div w:id="1474563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1951003">
      <w:bodyDiv w:val="1"/>
      <w:marLeft w:val="0"/>
      <w:marRight w:val="0"/>
      <w:marTop w:val="0"/>
      <w:marBottom w:val="0"/>
      <w:divBdr>
        <w:top w:val="none" w:sz="0" w:space="0" w:color="auto"/>
        <w:left w:val="none" w:sz="0" w:space="0" w:color="auto"/>
        <w:bottom w:val="none" w:sz="0" w:space="0" w:color="auto"/>
        <w:right w:val="none" w:sz="0" w:space="0" w:color="auto"/>
      </w:divBdr>
    </w:div>
    <w:div w:id="2057656092">
      <w:bodyDiv w:val="1"/>
      <w:marLeft w:val="0"/>
      <w:marRight w:val="0"/>
      <w:marTop w:val="0"/>
      <w:marBottom w:val="0"/>
      <w:divBdr>
        <w:top w:val="none" w:sz="0" w:space="0" w:color="auto"/>
        <w:left w:val="none" w:sz="0" w:space="0" w:color="auto"/>
        <w:bottom w:val="none" w:sz="0" w:space="0" w:color="auto"/>
        <w:right w:val="none" w:sz="0" w:space="0" w:color="auto"/>
      </w:divBdr>
      <w:divsChild>
        <w:div w:id="1866206976">
          <w:marLeft w:val="0"/>
          <w:marRight w:val="0"/>
          <w:marTop w:val="0"/>
          <w:marBottom w:val="100"/>
          <w:divBdr>
            <w:top w:val="none" w:sz="0" w:space="0" w:color="auto"/>
            <w:left w:val="none" w:sz="0" w:space="0" w:color="auto"/>
            <w:bottom w:val="none" w:sz="0" w:space="0" w:color="auto"/>
            <w:right w:val="none" w:sz="0" w:space="0" w:color="auto"/>
          </w:divBdr>
          <w:divsChild>
            <w:div w:id="461575769">
              <w:marLeft w:val="0"/>
              <w:marRight w:val="0"/>
              <w:marTop w:val="0"/>
              <w:marBottom w:val="100"/>
              <w:divBdr>
                <w:top w:val="none" w:sz="0" w:space="0" w:color="auto"/>
                <w:left w:val="none" w:sz="0" w:space="0" w:color="auto"/>
                <w:bottom w:val="none" w:sz="0" w:space="0" w:color="auto"/>
                <w:right w:val="none" w:sz="0" w:space="0" w:color="auto"/>
              </w:divBdr>
              <w:divsChild>
                <w:div w:id="766268786">
                  <w:marLeft w:val="0"/>
                  <w:marRight w:val="0"/>
                  <w:marTop w:val="0"/>
                  <w:marBottom w:val="0"/>
                  <w:divBdr>
                    <w:top w:val="single" w:sz="6" w:space="0" w:color="989DA5"/>
                    <w:left w:val="single" w:sz="6" w:space="0" w:color="989DA5"/>
                    <w:bottom w:val="single" w:sz="6" w:space="0" w:color="989DA5"/>
                    <w:right w:val="single" w:sz="6" w:space="0" w:color="989DA5"/>
                  </w:divBdr>
                  <w:divsChild>
                    <w:div w:id="700206834">
                      <w:marLeft w:val="0"/>
                      <w:marRight w:val="0"/>
                      <w:marTop w:val="150"/>
                      <w:marBottom w:val="150"/>
                      <w:divBdr>
                        <w:top w:val="single" w:sz="6" w:space="0" w:color="666666"/>
                        <w:left w:val="single" w:sz="6" w:space="0" w:color="666666"/>
                        <w:bottom w:val="single" w:sz="6" w:space="0" w:color="666666"/>
                        <w:right w:val="single" w:sz="6" w:space="0" w:color="666666"/>
                      </w:divBdr>
                      <w:divsChild>
                        <w:div w:id="1974211850">
                          <w:marLeft w:val="0"/>
                          <w:marRight w:val="0"/>
                          <w:marTop w:val="0"/>
                          <w:marBottom w:val="0"/>
                          <w:divBdr>
                            <w:top w:val="single" w:sz="6" w:space="6" w:color="666666"/>
                            <w:left w:val="none" w:sz="0" w:space="0" w:color="auto"/>
                            <w:bottom w:val="none" w:sz="0" w:space="0" w:color="auto"/>
                            <w:right w:val="none" w:sz="0" w:space="0" w:color="auto"/>
                          </w:divBdr>
                        </w:div>
                      </w:divsChild>
                    </w:div>
                    <w:div w:id="891621702">
                      <w:marLeft w:val="0"/>
                      <w:marRight w:val="0"/>
                      <w:marTop w:val="0"/>
                      <w:marBottom w:val="0"/>
                      <w:divBdr>
                        <w:top w:val="none" w:sz="0" w:space="0" w:color="auto"/>
                        <w:left w:val="none" w:sz="0" w:space="0" w:color="auto"/>
                        <w:bottom w:val="none" w:sz="0" w:space="0" w:color="auto"/>
                        <w:right w:val="none" w:sz="0" w:space="0" w:color="auto"/>
                      </w:divBdr>
                    </w:div>
                    <w:div w:id="1087648868">
                      <w:marLeft w:val="0"/>
                      <w:marRight w:val="0"/>
                      <w:marTop w:val="0"/>
                      <w:marBottom w:val="0"/>
                      <w:divBdr>
                        <w:top w:val="none" w:sz="0" w:space="0" w:color="auto"/>
                        <w:left w:val="none" w:sz="0" w:space="0" w:color="auto"/>
                        <w:bottom w:val="none" w:sz="0" w:space="0" w:color="auto"/>
                        <w:right w:val="none" w:sz="0" w:space="0" w:color="auto"/>
                      </w:divBdr>
                    </w:div>
                    <w:div w:id="1221861056">
                      <w:marLeft w:val="0"/>
                      <w:marRight w:val="0"/>
                      <w:marTop w:val="0"/>
                      <w:marBottom w:val="0"/>
                      <w:divBdr>
                        <w:top w:val="none" w:sz="0" w:space="0" w:color="auto"/>
                        <w:left w:val="none" w:sz="0" w:space="0" w:color="auto"/>
                        <w:bottom w:val="none" w:sz="0" w:space="0" w:color="auto"/>
                        <w:right w:val="none" w:sz="0" w:space="0" w:color="auto"/>
                      </w:divBdr>
                    </w:div>
                    <w:div w:id="2048600924">
                      <w:marLeft w:val="0"/>
                      <w:marRight w:val="0"/>
                      <w:marTop w:val="0"/>
                      <w:marBottom w:val="0"/>
                      <w:divBdr>
                        <w:top w:val="none" w:sz="0" w:space="0" w:color="auto"/>
                        <w:left w:val="none" w:sz="0" w:space="0" w:color="auto"/>
                        <w:bottom w:val="none" w:sz="0" w:space="0" w:color="auto"/>
                        <w:right w:val="none" w:sz="0" w:space="0" w:color="auto"/>
                      </w:divBdr>
                    </w:div>
                    <w:div w:id="2134471793">
                      <w:marLeft w:val="0"/>
                      <w:marRight w:val="0"/>
                      <w:marTop w:val="0"/>
                      <w:marBottom w:val="0"/>
                      <w:divBdr>
                        <w:top w:val="none" w:sz="0" w:space="0" w:color="auto"/>
                        <w:left w:val="none" w:sz="0" w:space="0" w:color="auto"/>
                        <w:bottom w:val="none" w:sz="0" w:space="0" w:color="auto"/>
                        <w:right w:val="none" w:sz="0" w:space="0" w:color="auto"/>
                      </w:divBdr>
                      <w:divsChild>
                        <w:div w:id="1094208380">
                          <w:marLeft w:val="0"/>
                          <w:marRight w:val="0"/>
                          <w:marTop w:val="0"/>
                          <w:marBottom w:val="0"/>
                          <w:divBdr>
                            <w:top w:val="none" w:sz="0" w:space="0" w:color="auto"/>
                            <w:left w:val="none" w:sz="0" w:space="0" w:color="auto"/>
                            <w:bottom w:val="none" w:sz="0" w:space="0" w:color="auto"/>
                            <w:right w:val="none" w:sz="0" w:space="0" w:color="auto"/>
                          </w:divBdr>
                          <w:divsChild>
                            <w:div w:id="1085806992">
                              <w:marLeft w:val="0"/>
                              <w:marRight w:val="0"/>
                              <w:marTop w:val="0"/>
                              <w:marBottom w:val="0"/>
                              <w:divBdr>
                                <w:top w:val="none" w:sz="0" w:space="0" w:color="auto"/>
                                <w:left w:val="none" w:sz="0" w:space="0" w:color="auto"/>
                                <w:bottom w:val="none" w:sz="0" w:space="0" w:color="auto"/>
                                <w:right w:val="none" w:sz="0" w:space="0" w:color="auto"/>
                              </w:divBdr>
                            </w:div>
                          </w:divsChild>
                        </w:div>
                        <w:div w:id="1132673840">
                          <w:marLeft w:val="0"/>
                          <w:marRight w:val="0"/>
                          <w:marTop w:val="0"/>
                          <w:marBottom w:val="0"/>
                          <w:divBdr>
                            <w:top w:val="none" w:sz="0" w:space="0" w:color="auto"/>
                            <w:left w:val="none" w:sz="0" w:space="0" w:color="auto"/>
                            <w:bottom w:val="none" w:sz="0" w:space="0" w:color="auto"/>
                            <w:right w:val="none" w:sz="0" w:space="0" w:color="auto"/>
                          </w:divBdr>
                        </w:div>
                        <w:div w:id="1237203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2697441">
                  <w:marLeft w:val="0"/>
                  <w:marRight w:val="0"/>
                  <w:marTop w:val="0"/>
                  <w:marBottom w:val="0"/>
                  <w:divBdr>
                    <w:top w:val="none" w:sz="0" w:space="0" w:color="auto"/>
                    <w:left w:val="none" w:sz="0" w:space="0" w:color="auto"/>
                    <w:bottom w:val="none" w:sz="0" w:space="0" w:color="auto"/>
                    <w:right w:val="none" w:sz="0" w:space="0" w:color="auto"/>
                  </w:divBdr>
                </w:div>
                <w:div w:id="1339574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3019797">
      <w:bodyDiv w:val="1"/>
      <w:marLeft w:val="0"/>
      <w:marRight w:val="0"/>
      <w:marTop w:val="0"/>
      <w:marBottom w:val="0"/>
      <w:divBdr>
        <w:top w:val="none" w:sz="0" w:space="0" w:color="auto"/>
        <w:left w:val="none" w:sz="0" w:space="0" w:color="auto"/>
        <w:bottom w:val="none" w:sz="0" w:space="0" w:color="auto"/>
        <w:right w:val="none" w:sz="0" w:space="0" w:color="auto"/>
      </w:divBdr>
    </w:div>
    <w:div w:id="2083985114">
      <w:bodyDiv w:val="1"/>
      <w:marLeft w:val="0"/>
      <w:marRight w:val="0"/>
      <w:marTop w:val="0"/>
      <w:marBottom w:val="0"/>
      <w:divBdr>
        <w:top w:val="none" w:sz="0" w:space="0" w:color="auto"/>
        <w:left w:val="none" w:sz="0" w:space="0" w:color="auto"/>
        <w:bottom w:val="none" w:sz="0" w:space="0" w:color="auto"/>
        <w:right w:val="none" w:sz="0" w:space="0" w:color="auto"/>
      </w:divBdr>
    </w:div>
    <w:div w:id="2129081603">
      <w:bodyDiv w:val="1"/>
      <w:marLeft w:val="0"/>
      <w:marRight w:val="0"/>
      <w:marTop w:val="0"/>
      <w:marBottom w:val="0"/>
      <w:divBdr>
        <w:top w:val="none" w:sz="0" w:space="0" w:color="auto"/>
        <w:left w:val="none" w:sz="0" w:space="0" w:color="auto"/>
        <w:bottom w:val="none" w:sz="0" w:space="0" w:color="auto"/>
        <w:right w:val="none" w:sz="0" w:space="0" w:color="auto"/>
      </w:divBdr>
      <w:divsChild>
        <w:div w:id="290942113">
          <w:marLeft w:val="547"/>
          <w:marRight w:val="0"/>
          <w:marTop w:val="17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nice.org.uk/guidance/hst9" TargetMode="External"/><Relationship Id="rId13" Type="http://schemas.openxmlformats.org/officeDocument/2006/relationships/hyperlink" Target="https://www.nice.org.uk/Media/Default/About/what-we-do/NICE-guidance/NICE-highly-specialised-technologies-guidance/HST-interim-methods-process-guide-may-17.pdf" TargetMode="External"/><Relationship Id="rId18" Type="http://schemas.openxmlformats.org/officeDocument/2006/relationships/hyperlink" Target="https://www.nice.org.uk/Get-Involved/Meetings-in-public/Highly-Specialised-Technologies-Evaluation-Committee/Members" TargetMode="Externa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https://www.nice.org.uk/Media/Default/About/what-we-do/NICE-guidance/NICE-highly-specialised-technologies-guidance/HST-interim-methods-process-guide-may-17.pdf" TargetMode="External"/><Relationship Id="rId17" Type="http://schemas.openxmlformats.org/officeDocument/2006/relationships/hyperlink" Target="https://www.gov.uk/government/publications/early-access-to-medicines-scheme-eams-how-the-scheme-works" TargetMode="External"/><Relationship Id="rId2" Type="http://schemas.openxmlformats.org/officeDocument/2006/relationships/numbering" Target="numbering.xml"/><Relationship Id="rId16" Type="http://schemas.openxmlformats.org/officeDocument/2006/relationships/hyperlink" Target="http://www.legislation.gov.uk/uksi/2013/259/contents/made"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nice.org.uk/process/pmg9/chapter/foreword" TargetMode="External"/><Relationship Id="rId5" Type="http://schemas.openxmlformats.org/officeDocument/2006/relationships/webSettings" Target="webSettings.xml"/><Relationship Id="rId15" Type="http://schemas.openxmlformats.org/officeDocument/2006/relationships/hyperlink" Target="https://www.nice.org.uk/get-involved/citizens-council" TargetMode="External"/><Relationship Id="rId23" Type="http://schemas.openxmlformats.org/officeDocument/2006/relationships/theme" Target="theme/theme1.xml"/><Relationship Id="rId10" Type="http://schemas.openxmlformats.org/officeDocument/2006/relationships/hyperlink" Target="https://www.nice.org.uk/guidance/hst9/chapter/1-Recommendations" TargetMode="External"/><Relationship Id="rId19" Type="http://schemas.openxmlformats.org/officeDocument/2006/relationships/hyperlink" Target="https://www.nice.org.uk/Get-Involved/Meetings-in-public/Highly-Specialised-Technologies-Evaluation-Committee" TargetMode="External"/><Relationship Id="rId4" Type="http://schemas.openxmlformats.org/officeDocument/2006/relationships/settings" Target="settings.xml"/><Relationship Id="rId9" Type="http://schemas.openxmlformats.org/officeDocument/2006/relationships/hyperlink" Target="https://www.nice.org.uk/guidance/indevelopment/gid-hst10014/documents%20papers" TargetMode="External"/><Relationship Id="rId14" Type="http://schemas.openxmlformats.org/officeDocument/2006/relationships/hyperlink" Target="https://www.nice.org.uk/about/who-we-are" TargetMode="External"/><Relationship Id="rId22"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https://www.nice.org.uk/terms-and-condition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C0DD015-B0A6-4785-84C2-CF4EB73722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5D75185F</Template>
  <TotalTime>4</TotalTime>
  <Pages>32</Pages>
  <Words>9569</Words>
  <Characters>54046</Characters>
  <Application>Microsoft Office Word</Application>
  <DocSecurity>0</DocSecurity>
  <Lines>450</Lines>
  <Paragraphs>126</Paragraphs>
  <ScaleCrop>false</ScaleCrop>
  <HeadingPairs>
    <vt:vector size="2" baseType="variant">
      <vt:variant>
        <vt:lpstr>Title</vt:lpstr>
      </vt:variant>
      <vt:variant>
        <vt:i4>1</vt:i4>
      </vt:variant>
    </vt:vector>
  </HeadingPairs>
  <TitlesOfParts>
    <vt:vector size="1" baseType="lpstr">
      <vt:lpstr>1</vt:lpstr>
    </vt:vector>
  </TitlesOfParts>
  <Company>Happy</Company>
  <LinksUpToDate>false</LinksUpToDate>
  <CharactersWithSpaces>63489</CharactersWithSpaces>
  <SharedDoc>false</SharedDoc>
  <HLinks>
    <vt:vector size="36" baseType="variant">
      <vt:variant>
        <vt:i4>4128801</vt:i4>
      </vt:variant>
      <vt:variant>
        <vt:i4>150</vt:i4>
      </vt:variant>
      <vt:variant>
        <vt:i4>0</vt:i4>
      </vt:variant>
      <vt:variant>
        <vt:i4>5</vt:i4>
      </vt:variant>
      <vt:variant>
        <vt:lpwstr>http://www.nice.org.uk/</vt:lpwstr>
      </vt:variant>
      <vt:variant>
        <vt:lpwstr/>
      </vt:variant>
      <vt:variant>
        <vt:i4>327704</vt:i4>
      </vt:variant>
      <vt:variant>
        <vt:i4>141</vt:i4>
      </vt:variant>
      <vt:variant>
        <vt:i4>0</vt:i4>
      </vt:variant>
      <vt:variant>
        <vt:i4>5</vt:i4>
      </vt:variant>
      <vt:variant>
        <vt:lpwstr>http://www.nice.org.uk/guidance/TAXXX</vt:lpwstr>
      </vt:variant>
      <vt:variant>
        <vt:lpwstr/>
      </vt:variant>
      <vt:variant>
        <vt:i4>4522076</vt:i4>
      </vt:variant>
      <vt:variant>
        <vt:i4>132</vt:i4>
      </vt:variant>
      <vt:variant>
        <vt:i4>0</vt:i4>
      </vt:variant>
      <vt:variant>
        <vt:i4>5</vt:i4>
      </vt:variant>
      <vt:variant>
        <vt:lpwstr>http://www.legislation.gov.uk/uksi/2013/259/contents/made</vt:lpwstr>
      </vt:variant>
      <vt:variant>
        <vt:lpwstr/>
      </vt:variant>
      <vt:variant>
        <vt:i4>4522076</vt:i4>
      </vt:variant>
      <vt:variant>
        <vt:i4>129</vt:i4>
      </vt:variant>
      <vt:variant>
        <vt:i4>0</vt:i4>
      </vt:variant>
      <vt:variant>
        <vt:i4>5</vt:i4>
      </vt:variant>
      <vt:variant>
        <vt:lpwstr>http://www.legislation.gov.uk/uksi/2013/259/contents/made</vt:lpwstr>
      </vt:variant>
      <vt:variant>
        <vt:lpwstr/>
      </vt:variant>
      <vt:variant>
        <vt:i4>2818165</vt:i4>
      </vt:variant>
      <vt:variant>
        <vt:i4>18</vt:i4>
      </vt:variant>
      <vt:variant>
        <vt:i4>0</vt:i4>
      </vt:variant>
      <vt:variant>
        <vt:i4>5</vt:i4>
      </vt:variant>
      <vt:variant>
        <vt:lpwstr>http://www.nice.org.uk/media/4AF/0F/HighlySpecialisedTechnologiesInterimMethodsAndProcessStatements.pdf</vt:lpwstr>
      </vt:variant>
      <vt:variant>
        <vt:lpwstr/>
      </vt:variant>
      <vt:variant>
        <vt:i4>4128801</vt:i4>
      </vt:variant>
      <vt:variant>
        <vt:i4>9</vt:i4>
      </vt:variant>
      <vt:variant>
        <vt:i4>0</vt:i4>
      </vt:variant>
      <vt:variant>
        <vt:i4>5</vt:i4>
      </vt:variant>
      <vt:variant>
        <vt:lpwstr>http://www.nice.org.uk/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creator>Aminata Thiam</dc:creator>
  <cp:lastModifiedBy>Orsolya Balogh</cp:lastModifiedBy>
  <cp:revision>4</cp:revision>
  <cp:lastPrinted>2012-11-14T13:35:00Z</cp:lastPrinted>
  <dcterms:created xsi:type="dcterms:W3CDTF">2019-06-27T11:00:00Z</dcterms:created>
  <dcterms:modified xsi:type="dcterms:W3CDTF">2019-06-27T11:14:00Z</dcterms:modified>
</cp:coreProperties>
</file>