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E226" w14:textId="356C5019" w:rsidR="009064F7" w:rsidRPr="00CC6C94" w:rsidRDefault="00C249F1" w:rsidP="009064F7">
      <w:pPr>
        <w:spacing w:after="0" w:line="240" w:lineRule="auto"/>
        <w:jc w:val="both"/>
        <w:rPr>
          <w:rFonts w:ascii="Arial" w:hAnsi="Arial" w:cs="Arial"/>
          <w:sz w:val="20"/>
          <w:szCs w:val="20"/>
        </w:rPr>
      </w:pPr>
      <w:proofErr w:type="spellStart"/>
      <w:r w:rsidRPr="00C249F1">
        <w:rPr>
          <w:rFonts w:ascii="Arial" w:hAnsi="Arial" w:cs="Arial"/>
          <w:sz w:val="20"/>
          <w:szCs w:val="20"/>
          <w:highlight w:val="black"/>
        </w:rPr>
        <w:t>xxxxxxxxxxxxxxx</w:t>
      </w:r>
      <w:proofErr w:type="spellEnd"/>
    </w:p>
    <w:p w14:paraId="4042CBB5" w14:textId="77777777" w:rsidR="009064F7" w:rsidRPr="00CC6C94" w:rsidRDefault="009064F7" w:rsidP="009064F7">
      <w:pPr>
        <w:spacing w:after="0" w:line="240" w:lineRule="auto"/>
        <w:jc w:val="both"/>
        <w:rPr>
          <w:rFonts w:ascii="Arial" w:hAnsi="Arial" w:cs="Arial"/>
          <w:sz w:val="20"/>
          <w:szCs w:val="20"/>
        </w:rPr>
      </w:pPr>
      <w:r w:rsidRPr="00CC6C94">
        <w:rPr>
          <w:rFonts w:ascii="Arial" w:hAnsi="Arial" w:cs="Arial"/>
          <w:sz w:val="20"/>
          <w:szCs w:val="20"/>
        </w:rPr>
        <w:t>Director of Global Operations,</w:t>
      </w:r>
    </w:p>
    <w:p w14:paraId="5D8DBAFD" w14:textId="77777777" w:rsidR="009064F7" w:rsidRPr="00CC6C94" w:rsidRDefault="009064F7" w:rsidP="009064F7">
      <w:pPr>
        <w:spacing w:after="0" w:line="240" w:lineRule="auto"/>
        <w:jc w:val="both"/>
        <w:rPr>
          <w:rFonts w:ascii="Arial" w:hAnsi="Arial" w:cs="Arial"/>
          <w:sz w:val="20"/>
          <w:szCs w:val="20"/>
        </w:rPr>
      </w:pPr>
      <w:r w:rsidRPr="00CC6C94">
        <w:rPr>
          <w:rFonts w:ascii="Arial" w:hAnsi="Arial" w:cs="Arial"/>
          <w:sz w:val="20"/>
          <w:szCs w:val="20"/>
        </w:rPr>
        <w:t>CLINUVEL Group</w:t>
      </w:r>
    </w:p>
    <w:p w14:paraId="568C23E9" w14:textId="77777777" w:rsidR="00C249F1" w:rsidRPr="00CC6C94" w:rsidRDefault="009064F7" w:rsidP="00C249F1">
      <w:pPr>
        <w:spacing w:after="0" w:line="240" w:lineRule="auto"/>
        <w:jc w:val="both"/>
        <w:rPr>
          <w:rFonts w:ascii="Arial" w:hAnsi="Arial" w:cs="Arial"/>
          <w:sz w:val="20"/>
          <w:szCs w:val="20"/>
        </w:rPr>
      </w:pPr>
      <w:r w:rsidRPr="00CC6C94">
        <w:rPr>
          <w:rFonts w:ascii="Arial" w:hAnsi="Arial" w:cs="Arial"/>
          <w:sz w:val="20"/>
          <w:szCs w:val="20"/>
        </w:rPr>
        <w:t xml:space="preserve">Sent by e-mail only: </w:t>
      </w:r>
      <w:proofErr w:type="spellStart"/>
      <w:r w:rsidR="00C249F1" w:rsidRPr="00C249F1">
        <w:rPr>
          <w:rFonts w:ascii="Arial" w:hAnsi="Arial" w:cs="Arial"/>
          <w:sz w:val="20"/>
          <w:szCs w:val="20"/>
          <w:highlight w:val="black"/>
        </w:rPr>
        <w:t>xxxxxxxxxxxxxxx</w:t>
      </w:r>
      <w:proofErr w:type="spellEnd"/>
    </w:p>
    <w:p w14:paraId="434F284B" w14:textId="77777777" w:rsidR="00C249F1" w:rsidRDefault="00C249F1" w:rsidP="009064F7">
      <w:pPr>
        <w:jc w:val="both"/>
      </w:pPr>
    </w:p>
    <w:p w14:paraId="10FA9D10" w14:textId="033C81E0" w:rsidR="009064F7" w:rsidRPr="00CC6C94" w:rsidRDefault="002D70AB" w:rsidP="009064F7">
      <w:pPr>
        <w:jc w:val="both"/>
        <w:rPr>
          <w:rFonts w:ascii="Arial" w:hAnsi="Arial" w:cs="Arial"/>
          <w:sz w:val="20"/>
          <w:szCs w:val="20"/>
        </w:rPr>
      </w:pPr>
      <w:r>
        <w:rPr>
          <w:rFonts w:ascii="Arial" w:hAnsi="Arial" w:cs="Arial"/>
          <w:sz w:val="20"/>
          <w:szCs w:val="20"/>
        </w:rPr>
        <w:t>26 April 2023</w:t>
      </w:r>
    </w:p>
    <w:p w14:paraId="2A41BCA4" w14:textId="77777777" w:rsidR="00C249F1" w:rsidRDefault="009064F7" w:rsidP="00C249F1">
      <w:pPr>
        <w:spacing w:after="0" w:line="240" w:lineRule="auto"/>
        <w:jc w:val="both"/>
        <w:rPr>
          <w:rFonts w:ascii="Arial" w:hAnsi="Arial" w:cs="Arial"/>
          <w:sz w:val="20"/>
          <w:szCs w:val="20"/>
        </w:rPr>
      </w:pPr>
      <w:bookmarkStart w:id="0" w:name="deartext"/>
      <w:r w:rsidRPr="00CC6C94">
        <w:rPr>
          <w:rFonts w:ascii="Arial" w:hAnsi="Arial" w:cs="Arial"/>
          <w:sz w:val="20"/>
          <w:szCs w:val="20"/>
        </w:rPr>
        <w:t>Dear</w:t>
      </w:r>
      <w:bookmarkEnd w:id="0"/>
      <w:r w:rsidRPr="00CC6C94">
        <w:rPr>
          <w:rFonts w:ascii="Arial" w:hAnsi="Arial" w:cs="Arial"/>
          <w:sz w:val="20"/>
          <w:szCs w:val="20"/>
        </w:rPr>
        <w:t xml:space="preserve"> </w:t>
      </w:r>
      <w:bookmarkStart w:id="1" w:name="Sal"/>
      <w:bookmarkEnd w:id="1"/>
      <w:proofErr w:type="spellStart"/>
      <w:r w:rsidR="00C249F1" w:rsidRPr="00C249F1">
        <w:rPr>
          <w:rFonts w:ascii="Arial" w:hAnsi="Arial" w:cs="Arial"/>
          <w:sz w:val="20"/>
          <w:szCs w:val="20"/>
          <w:highlight w:val="black"/>
        </w:rPr>
        <w:t>xxxxxxxxxxxxxxx</w:t>
      </w:r>
      <w:proofErr w:type="spellEnd"/>
    </w:p>
    <w:p w14:paraId="6D850C07" w14:textId="77777777" w:rsidR="00C249F1" w:rsidRPr="00CC6C94" w:rsidRDefault="00C249F1" w:rsidP="00C249F1">
      <w:pPr>
        <w:spacing w:after="0" w:line="240" w:lineRule="auto"/>
        <w:jc w:val="both"/>
        <w:rPr>
          <w:rFonts w:ascii="Arial" w:hAnsi="Arial" w:cs="Arial"/>
          <w:sz w:val="20"/>
          <w:szCs w:val="20"/>
        </w:rPr>
      </w:pPr>
    </w:p>
    <w:p w14:paraId="2937D6BB" w14:textId="36EE9E98" w:rsidR="009064F7" w:rsidRPr="00CC6C94" w:rsidRDefault="009064F7" w:rsidP="009064F7">
      <w:pPr>
        <w:ind w:left="426" w:right="468" w:hanging="426"/>
        <w:jc w:val="both"/>
        <w:rPr>
          <w:rFonts w:ascii="Arial" w:hAnsi="Arial" w:cs="Arial"/>
          <w:b/>
          <w:sz w:val="20"/>
          <w:szCs w:val="20"/>
        </w:rPr>
      </w:pPr>
      <w:r w:rsidRPr="00CC6C94">
        <w:rPr>
          <w:rFonts w:ascii="Arial" w:hAnsi="Arial" w:cs="Arial"/>
          <w:noProof/>
          <w:spacing w:val="-3"/>
          <w:sz w:val="20"/>
          <w:szCs w:val="20"/>
          <w:lang w:eastAsia="en-GB"/>
        </w:rPr>
        <mc:AlternateContent>
          <mc:Choice Requires="wps">
            <w:drawing>
              <wp:anchor distT="4294967294" distB="4294967294" distL="114300" distR="114300" simplePos="0" relativeHeight="251661312" behindDoc="0" locked="0" layoutInCell="1" allowOverlap="1" wp14:anchorId="5E35942E" wp14:editId="48829728">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A5373E" id="Straight Connector 4"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CC6C94">
        <w:rPr>
          <w:rFonts w:ascii="Arial" w:hAnsi="Arial" w:cs="Arial"/>
          <w:b/>
          <w:spacing w:val="-3"/>
          <w:sz w:val="20"/>
          <w:szCs w:val="20"/>
        </w:rPr>
        <w:t xml:space="preserve">Re: </w:t>
      </w:r>
      <w:r w:rsidRPr="00CC6C94">
        <w:rPr>
          <w:rFonts w:ascii="Arial" w:hAnsi="Arial" w:cs="Arial"/>
          <w:b/>
          <w:sz w:val="20"/>
          <w:szCs w:val="20"/>
        </w:rPr>
        <w:t>Final Evaluation Determination— AFAMELANOTIDE FOR ERYTHROPOIETIC PROTOPORPHYRIA (EPP) [ID927]</w:t>
      </w:r>
    </w:p>
    <w:p w14:paraId="645F333C" w14:textId="75692051" w:rsidR="00DB178D" w:rsidRPr="00CC6C94" w:rsidRDefault="00DB178D" w:rsidP="00DB178D">
      <w:pPr>
        <w:spacing w:before="240" w:after="240"/>
        <w:jc w:val="both"/>
        <w:rPr>
          <w:rFonts w:ascii="Arial" w:eastAsia="Times New Roman" w:hAnsi="Arial" w:cs="Arial"/>
          <w:sz w:val="20"/>
          <w:szCs w:val="20"/>
        </w:rPr>
      </w:pPr>
      <w:r w:rsidRPr="00CC6C94">
        <w:rPr>
          <w:rFonts w:ascii="Arial" w:eastAsia="Times New Roman" w:hAnsi="Arial" w:cs="Arial"/>
          <w:sz w:val="20"/>
          <w:szCs w:val="20"/>
        </w:rPr>
        <w:t xml:space="preserve">Thank you for your letter of </w:t>
      </w:r>
      <w:r w:rsidR="009064F7" w:rsidRPr="00CC6C94">
        <w:rPr>
          <w:rFonts w:ascii="Arial" w:eastAsia="Times New Roman" w:hAnsi="Arial" w:cs="Arial"/>
          <w:sz w:val="20"/>
          <w:szCs w:val="20"/>
        </w:rPr>
        <w:t>18 April 2023</w:t>
      </w:r>
      <w:r w:rsidRPr="00CC6C94">
        <w:rPr>
          <w:rFonts w:ascii="Arial" w:eastAsia="Times New Roman" w:hAnsi="Arial" w:cs="Arial"/>
          <w:sz w:val="20"/>
          <w:szCs w:val="20"/>
        </w:rPr>
        <w:t xml:space="preserve"> responding to my initial scrutiny views.  This is my final decision on initial scrutiny.</w:t>
      </w:r>
    </w:p>
    <w:p w14:paraId="504D1693" w14:textId="65528F1B" w:rsidR="00524627" w:rsidRPr="00CC6C94" w:rsidRDefault="009064F7" w:rsidP="00DB178D">
      <w:pPr>
        <w:spacing w:before="240" w:after="240"/>
        <w:jc w:val="both"/>
        <w:rPr>
          <w:rFonts w:ascii="Arial" w:eastAsia="Times New Roman" w:hAnsi="Arial" w:cs="Arial"/>
          <w:sz w:val="20"/>
          <w:szCs w:val="20"/>
        </w:rPr>
      </w:pPr>
      <w:r w:rsidRPr="00CC6C94">
        <w:rPr>
          <w:rFonts w:ascii="Arial" w:eastAsia="Times New Roman" w:hAnsi="Arial" w:cs="Arial"/>
          <w:sz w:val="20"/>
          <w:szCs w:val="20"/>
        </w:rPr>
        <w:t xml:space="preserve">Thank you for clarifying </w:t>
      </w:r>
      <w:r w:rsidR="00524627" w:rsidRPr="00CC6C94">
        <w:rPr>
          <w:rFonts w:ascii="Arial" w:eastAsia="Times New Roman" w:hAnsi="Arial" w:cs="Arial"/>
          <w:sz w:val="20"/>
          <w:szCs w:val="20"/>
        </w:rPr>
        <w:t xml:space="preserve">in paragraph 1.3 of your letter that </w:t>
      </w:r>
      <w:r w:rsidR="00DD6A93">
        <w:rPr>
          <w:rFonts w:ascii="Arial" w:eastAsia="Times New Roman" w:hAnsi="Arial" w:cs="Arial"/>
          <w:sz w:val="20"/>
          <w:szCs w:val="20"/>
        </w:rPr>
        <w:t>CLINUVEL</w:t>
      </w:r>
      <w:r w:rsidR="00524627" w:rsidRPr="00CC6C94">
        <w:rPr>
          <w:rFonts w:ascii="Arial" w:eastAsia="Times New Roman" w:hAnsi="Arial" w:cs="Arial"/>
          <w:sz w:val="20"/>
          <w:szCs w:val="20"/>
        </w:rPr>
        <w:t xml:space="preserve"> does not assert legal privilege over your appeal letter of 24 March 2023.  Thank you also for confirming that C</w:t>
      </w:r>
      <w:r w:rsidR="00DD6A93">
        <w:rPr>
          <w:rFonts w:ascii="Arial" w:eastAsia="Times New Roman" w:hAnsi="Arial" w:cs="Arial"/>
          <w:sz w:val="20"/>
          <w:szCs w:val="20"/>
        </w:rPr>
        <w:t>LINUVEL</w:t>
      </w:r>
      <w:r w:rsidR="00524627" w:rsidRPr="00CC6C94">
        <w:rPr>
          <w:rFonts w:ascii="Arial" w:eastAsia="Times New Roman" w:hAnsi="Arial" w:cs="Arial"/>
          <w:sz w:val="20"/>
          <w:szCs w:val="20"/>
        </w:rPr>
        <w:t xml:space="preserve"> claims confidentiality only over material redacted </w:t>
      </w:r>
      <w:r w:rsidR="00DD6A93">
        <w:rPr>
          <w:rFonts w:ascii="Arial" w:eastAsia="Times New Roman" w:hAnsi="Arial" w:cs="Arial"/>
          <w:sz w:val="20"/>
          <w:szCs w:val="20"/>
        </w:rPr>
        <w:t>from</w:t>
      </w:r>
      <w:r w:rsidR="00524627" w:rsidRPr="00CC6C94">
        <w:rPr>
          <w:rFonts w:ascii="Arial" w:eastAsia="Times New Roman" w:hAnsi="Arial" w:cs="Arial"/>
          <w:sz w:val="20"/>
          <w:szCs w:val="20"/>
        </w:rPr>
        <w:t xml:space="preserve"> paragraphs 4.3 and 9.17 of that </w:t>
      </w:r>
      <w:proofErr w:type="gramStart"/>
      <w:r w:rsidR="00524627" w:rsidRPr="00CC6C94">
        <w:rPr>
          <w:rFonts w:ascii="Arial" w:eastAsia="Times New Roman" w:hAnsi="Arial" w:cs="Arial"/>
          <w:sz w:val="20"/>
          <w:szCs w:val="20"/>
        </w:rPr>
        <w:t>letter</w:t>
      </w:r>
      <w:proofErr w:type="gramEnd"/>
      <w:r w:rsidR="00524627" w:rsidRPr="00CC6C94">
        <w:rPr>
          <w:rFonts w:ascii="Arial" w:eastAsia="Times New Roman" w:hAnsi="Arial" w:cs="Arial"/>
          <w:sz w:val="20"/>
          <w:szCs w:val="20"/>
        </w:rPr>
        <w:t xml:space="preserve">, and material redacted </w:t>
      </w:r>
      <w:r w:rsidR="00DD6A93">
        <w:rPr>
          <w:rFonts w:ascii="Arial" w:eastAsia="Times New Roman" w:hAnsi="Arial" w:cs="Arial"/>
          <w:sz w:val="20"/>
          <w:szCs w:val="20"/>
        </w:rPr>
        <w:t>from CLINUVEL</w:t>
      </w:r>
      <w:r w:rsidR="00524627" w:rsidRPr="00CC6C94">
        <w:rPr>
          <w:rFonts w:ascii="Arial" w:eastAsia="Times New Roman" w:hAnsi="Arial" w:cs="Arial"/>
          <w:sz w:val="20"/>
          <w:szCs w:val="20"/>
        </w:rPr>
        <w:t xml:space="preserve">’s letters of 16 March and 14 July 2022 that were annexed to your appeal letter.  </w:t>
      </w:r>
      <w:r w:rsidR="00524627" w:rsidRPr="0026266B">
        <w:rPr>
          <w:rFonts w:ascii="Arial" w:eastAsia="Times New Roman" w:hAnsi="Arial" w:cs="Arial"/>
          <w:sz w:val="20"/>
          <w:szCs w:val="20"/>
        </w:rPr>
        <w:t>NICE has confirmed to me that it is content with those redactions.</w:t>
      </w:r>
      <w:r w:rsidR="00524627" w:rsidRPr="00CC6C94">
        <w:rPr>
          <w:rFonts w:ascii="Arial" w:eastAsia="Times New Roman" w:hAnsi="Arial" w:cs="Arial"/>
          <w:sz w:val="20"/>
          <w:szCs w:val="20"/>
        </w:rPr>
        <w:t xml:space="preserve">  I note that your letter of 18 April 2023 is also marked ‘CONFIDENTIAL’.  Please can you confirm that CLINUVEL does not object to the publication of that letter on NICE’s website, or </w:t>
      </w:r>
      <w:r w:rsidR="00DD6A93">
        <w:rPr>
          <w:rFonts w:ascii="Arial" w:eastAsia="Times New Roman" w:hAnsi="Arial" w:cs="Arial"/>
          <w:sz w:val="20"/>
          <w:szCs w:val="20"/>
        </w:rPr>
        <w:t xml:space="preserve">alternatively, </w:t>
      </w:r>
      <w:r w:rsidR="00524627" w:rsidRPr="00CC6C94">
        <w:rPr>
          <w:rFonts w:ascii="Arial" w:eastAsia="Times New Roman" w:hAnsi="Arial" w:cs="Arial"/>
          <w:sz w:val="20"/>
          <w:szCs w:val="20"/>
        </w:rPr>
        <w:t xml:space="preserve">if CLINUVEL asserts confidentiality over all or any part of that letter, please provide the reasons for that assertion.  </w:t>
      </w:r>
    </w:p>
    <w:p w14:paraId="55B1D5E2" w14:textId="2260387F" w:rsidR="00DB178D" w:rsidRPr="00CC6C94" w:rsidRDefault="009064F7" w:rsidP="00DB178D">
      <w:pPr>
        <w:spacing w:before="240" w:after="240"/>
        <w:jc w:val="both"/>
        <w:rPr>
          <w:rFonts w:ascii="Arial" w:eastAsia="Times New Roman" w:hAnsi="Arial" w:cs="Arial"/>
          <w:sz w:val="20"/>
          <w:szCs w:val="20"/>
        </w:rPr>
      </w:pPr>
      <w:r w:rsidRPr="00CC6C94">
        <w:rPr>
          <w:rFonts w:ascii="Arial" w:eastAsia="Times New Roman" w:hAnsi="Arial" w:cs="Arial"/>
          <w:sz w:val="20"/>
          <w:szCs w:val="20"/>
        </w:rPr>
        <w:t xml:space="preserve">I confirm my decision below in relation to each ground raised in your appeal letter.  </w:t>
      </w:r>
      <w:r w:rsidR="00DB178D" w:rsidRPr="00CC6C94">
        <w:rPr>
          <w:rFonts w:ascii="Arial" w:eastAsia="Times New Roman" w:hAnsi="Arial" w:cs="Arial"/>
          <w:sz w:val="20"/>
          <w:szCs w:val="20"/>
        </w:rPr>
        <w:t xml:space="preserve">I consider the ground 1(a) points followed by the ground 1(b) </w:t>
      </w:r>
      <w:r w:rsidRPr="00CC6C94">
        <w:rPr>
          <w:rFonts w:ascii="Arial" w:eastAsia="Times New Roman" w:hAnsi="Arial" w:cs="Arial"/>
          <w:sz w:val="20"/>
          <w:szCs w:val="20"/>
        </w:rPr>
        <w:t xml:space="preserve">appeal points </w:t>
      </w:r>
      <w:r w:rsidR="00DB178D" w:rsidRPr="00CC6C94">
        <w:rPr>
          <w:rFonts w:ascii="Arial" w:eastAsia="Times New Roman" w:hAnsi="Arial" w:cs="Arial"/>
          <w:sz w:val="20"/>
          <w:szCs w:val="20"/>
        </w:rPr>
        <w:t>and then the ground 2 points.</w:t>
      </w:r>
    </w:p>
    <w:p w14:paraId="154A6AA5" w14:textId="77777777" w:rsidR="00DB178D" w:rsidRPr="00CC6C94" w:rsidRDefault="00DB178D" w:rsidP="00DB178D">
      <w:pPr>
        <w:spacing w:before="240" w:after="240"/>
        <w:jc w:val="both"/>
        <w:rPr>
          <w:rFonts w:ascii="Arial" w:hAnsi="Arial" w:cs="Arial"/>
          <w:b/>
          <w:i/>
          <w:sz w:val="20"/>
          <w:szCs w:val="20"/>
        </w:rPr>
      </w:pPr>
      <w:r w:rsidRPr="00CC6C94">
        <w:rPr>
          <w:rFonts w:ascii="Arial" w:eastAsia="Times New Roman" w:hAnsi="Arial" w:cs="Arial"/>
          <w:b/>
          <w:bCs/>
          <w:i/>
          <w:iCs/>
          <w:sz w:val="20"/>
          <w:szCs w:val="20"/>
        </w:rPr>
        <w:t xml:space="preserve">Ground 1(a): In making the assessment that preceded the recommendation, NICE has failed to act </w:t>
      </w:r>
      <w:proofErr w:type="gramStart"/>
      <w:r w:rsidRPr="00CC6C94">
        <w:rPr>
          <w:rFonts w:ascii="Arial" w:eastAsia="Times New Roman" w:hAnsi="Arial" w:cs="Arial"/>
          <w:b/>
          <w:bCs/>
          <w:i/>
          <w:iCs/>
          <w:sz w:val="20"/>
          <w:szCs w:val="20"/>
        </w:rPr>
        <w:t>fairly</w:t>
      </w:r>
      <w:proofErr w:type="gramEnd"/>
    </w:p>
    <w:p w14:paraId="566EA312" w14:textId="306437D8" w:rsidR="009064F7" w:rsidRPr="00CC6C94" w:rsidRDefault="009064F7" w:rsidP="009064F7">
      <w:pPr>
        <w:spacing w:before="240" w:after="240"/>
        <w:jc w:val="both"/>
        <w:rPr>
          <w:rFonts w:ascii="Arial" w:hAnsi="Arial" w:cs="Arial"/>
          <w:b/>
          <w:sz w:val="20"/>
          <w:szCs w:val="20"/>
          <w:u w:val="single"/>
        </w:rPr>
      </w:pPr>
      <w:r w:rsidRPr="00CC6C94">
        <w:rPr>
          <w:rFonts w:ascii="Arial" w:hAnsi="Arial" w:cs="Arial"/>
          <w:b/>
          <w:sz w:val="20"/>
          <w:szCs w:val="20"/>
          <w:u w:val="single"/>
        </w:rPr>
        <w:t xml:space="preserve">Appeal </w:t>
      </w:r>
      <w:proofErr w:type="gramStart"/>
      <w:r w:rsidRPr="00CC6C94">
        <w:rPr>
          <w:rFonts w:ascii="Arial" w:hAnsi="Arial" w:cs="Arial"/>
          <w:b/>
          <w:sz w:val="20"/>
          <w:szCs w:val="20"/>
          <w:u w:val="single"/>
        </w:rPr>
        <w:t>point</w:t>
      </w:r>
      <w:proofErr w:type="gramEnd"/>
      <w:r w:rsidRPr="00CC6C94">
        <w:rPr>
          <w:rFonts w:ascii="Arial" w:hAnsi="Arial" w:cs="Arial"/>
          <w:b/>
          <w:sz w:val="20"/>
          <w:szCs w:val="20"/>
          <w:u w:val="single"/>
        </w:rPr>
        <w:t xml:space="preserve"> 1(a).1</w:t>
      </w:r>
      <w:r w:rsidR="00DD6A93">
        <w:rPr>
          <w:rFonts w:ascii="Arial" w:hAnsi="Arial" w:cs="Arial"/>
          <w:b/>
          <w:sz w:val="20"/>
          <w:szCs w:val="20"/>
          <w:u w:val="single"/>
        </w:rPr>
        <w:t>:</w:t>
      </w:r>
      <w:r w:rsidRPr="00CC6C94">
        <w:rPr>
          <w:rFonts w:ascii="Arial" w:hAnsi="Arial" w:cs="Arial"/>
          <w:b/>
          <w:sz w:val="20"/>
          <w:szCs w:val="20"/>
          <w:u w:val="single"/>
        </w:rPr>
        <w:t xml:space="preserve"> The procedure followed by the Committee was not sufficiently transparent </w:t>
      </w:r>
    </w:p>
    <w:p w14:paraId="15395D98" w14:textId="77777777" w:rsidR="009064F7" w:rsidRPr="00CC6C94" w:rsidRDefault="009064F7" w:rsidP="009064F7">
      <w:pPr>
        <w:pStyle w:val="Paragraph"/>
        <w:numPr>
          <w:ilvl w:val="0"/>
          <w:numId w:val="0"/>
        </w:numPr>
        <w:spacing w:before="120"/>
        <w:jc w:val="both"/>
        <w:rPr>
          <w:rFonts w:cs="Arial"/>
          <w:sz w:val="20"/>
          <w:szCs w:val="20"/>
        </w:rPr>
      </w:pPr>
      <w:r w:rsidRPr="00CC6C94">
        <w:rPr>
          <w:rFonts w:cs="Arial"/>
          <w:sz w:val="20"/>
          <w:szCs w:val="20"/>
        </w:rPr>
        <w:t>I confirm my view that this is a valid appeal point and refer it to the Appeal Panel.</w:t>
      </w:r>
    </w:p>
    <w:p w14:paraId="57640141" w14:textId="1BA0816B" w:rsidR="009064F7" w:rsidRPr="00CC6C94" w:rsidRDefault="009064F7" w:rsidP="009064F7">
      <w:pPr>
        <w:spacing w:before="240" w:after="240"/>
        <w:jc w:val="both"/>
        <w:rPr>
          <w:rFonts w:ascii="Arial" w:hAnsi="Arial" w:cs="Arial"/>
          <w:b/>
          <w:sz w:val="20"/>
          <w:szCs w:val="20"/>
          <w:u w:val="single"/>
        </w:rPr>
      </w:pPr>
      <w:r w:rsidRPr="00CC6C94">
        <w:rPr>
          <w:rFonts w:ascii="Arial" w:hAnsi="Arial" w:cs="Arial"/>
          <w:b/>
          <w:sz w:val="20"/>
          <w:szCs w:val="20"/>
          <w:u w:val="single"/>
        </w:rPr>
        <w:t xml:space="preserve">Appeal </w:t>
      </w:r>
      <w:proofErr w:type="gramStart"/>
      <w:r w:rsidRPr="00CC6C94">
        <w:rPr>
          <w:rFonts w:ascii="Arial" w:hAnsi="Arial" w:cs="Arial"/>
          <w:b/>
          <w:sz w:val="20"/>
          <w:szCs w:val="20"/>
          <w:u w:val="single"/>
        </w:rPr>
        <w:t>point</w:t>
      </w:r>
      <w:proofErr w:type="gramEnd"/>
      <w:r w:rsidRPr="00CC6C94">
        <w:rPr>
          <w:rFonts w:ascii="Arial" w:hAnsi="Arial" w:cs="Arial"/>
          <w:b/>
          <w:sz w:val="20"/>
          <w:szCs w:val="20"/>
          <w:u w:val="single"/>
        </w:rPr>
        <w:t xml:space="preserve"> 1(a).2</w:t>
      </w:r>
      <w:r w:rsidR="00DD6A93">
        <w:rPr>
          <w:rFonts w:ascii="Arial" w:hAnsi="Arial" w:cs="Arial"/>
          <w:b/>
          <w:sz w:val="20"/>
          <w:szCs w:val="20"/>
          <w:u w:val="single"/>
        </w:rPr>
        <w:t>: T</w:t>
      </w:r>
      <w:r w:rsidRPr="00CC6C94">
        <w:rPr>
          <w:rFonts w:ascii="Arial" w:hAnsi="Arial" w:cs="Arial"/>
          <w:b/>
          <w:sz w:val="20"/>
          <w:szCs w:val="20"/>
          <w:u w:val="single"/>
        </w:rPr>
        <w:t>he requirement of ‘conscientious consideration’ was not met</w:t>
      </w:r>
    </w:p>
    <w:p w14:paraId="413D33E5" w14:textId="77777777" w:rsidR="001B6E27" w:rsidRPr="00CC6C94" w:rsidRDefault="00524627" w:rsidP="009064F7">
      <w:pPr>
        <w:spacing w:before="240" w:after="240"/>
        <w:jc w:val="both"/>
        <w:rPr>
          <w:rFonts w:ascii="Arial" w:hAnsi="Arial" w:cs="Arial"/>
          <w:color w:val="0D0D0D" w:themeColor="text1" w:themeTint="F2"/>
          <w:sz w:val="20"/>
          <w:szCs w:val="20"/>
          <w:lang w:eastAsia="en-GB"/>
        </w:rPr>
      </w:pPr>
      <w:r w:rsidRPr="00CC6C94">
        <w:rPr>
          <w:rFonts w:ascii="Arial" w:eastAsia="Times New Roman" w:hAnsi="Arial" w:cs="Arial"/>
          <w:color w:val="0D0D0D" w:themeColor="text1" w:themeTint="F2"/>
          <w:sz w:val="20"/>
          <w:szCs w:val="20"/>
          <w:lang w:eastAsia="en-GB"/>
        </w:rPr>
        <w:t xml:space="preserve">Having considered the additional arguments made in your letter of </w:t>
      </w:r>
      <w:r w:rsidRPr="00CC6C94">
        <w:rPr>
          <w:rFonts w:ascii="Arial" w:hAnsi="Arial" w:cs="Arial"/>
          <w:color w:val="0D0D0D" w:themeColor="text1" w:themeTint="F2"/>
          <w:sz w:val="20"/>
          <w:szCs w:val="20"/>
          <w:lang w:eastAsia="en-GB"/>
        </w:rPr>
        <w:t>18 April 2023</w:t>
      </w:r>
      <w:r w:rsidRPr="00CC6C94">
        <w:rPr>
          <w:rFonts w:ascii="Arial" w:eastAsia="Times New Roman" w:hAnsi="Arial" w:cs="Arial"/>
          <w:color w:val="0D0D0D" w:themeColor="text1" w:themeTint="F2"/>
          <w:sz w:val="20"/>
          <w:szCs w:val="20"/>
          <w:lang w:eastAsia="en-GB"/>
        </w:rPr>
        <w:t xml:space="preserve">, I </w:t>
      </w:r>
      <w:r w:rsidRPr="00CC6C94">
        <w:rPr>
          <w:rFonts w:ascii="Arial" w:hAnsi="Arial" w:cs="Arial"/>
          <w:color w:val="0D0D0D" w:themeColor="text1" w:themeTint="F2"/>
          <w:sz w:val="20"/>
          <w:szCs w:val="20"/>
          <w:lang w:eastAsia="en-GB"/>
        </w:rPr>
        <w:t xml:space="preserve">remain of the view that this appeal point should not proceed to an oral hearing. </w:t>
      </w:r>
    </w:p>
    <w:p w14:paraId="22E69917" w14:textId="5A6097BF" w:rsidR="001B6E27" w:rsidRPr="00CC6C94" w:rsidRDefault="001B6E27" w:rsidP="009064F7">
      <w:pPr>
        <w:spacing w:before="240" w:after="240"/>
        <w:jc w:val="both"/>
        <w:rPr>
          <w:rFonts w:ascii="Arial" w:hAnsi="Arial" w:cs="Arial"/>
          <w:color w:val="0D0D0D" w:themeColor="text1" w:themeTint="F2"/>
          <w:sz w:val="20"/>
          <w:szCs w:val="20"/>
          <w:lang w:eastAsia="en-GB"/>
        </w:rPr>
      </w:pPr>
      <w:r w:rsidRPr="00CC6C94">
        <w:rPr>
          <w:rFonts w:ascii="Arial" w:hAnsi="Arial" w:cs="Arial"/>
          <w:color w:val="0D0D0D" w:themeColor="text1" w:themeTint="F2"/>
          <w:sz w:val="20"/>
          <w:szCs w:val="20"/>
          <w:lang w:eastAsia="en-GB"/>
        </w:rPr>
        <w:t xml:space="preserve">CLINUVEL’s further submissions in that letter focus first on NICE’s approach to its duties under </w:t>
      </w:r>
      <w:r w:rsidR="00DD6A93">
        <w:rPr>
          <w:rFonts w:ascii="Arial" w:hAnsi="Arial" w:cs="Arial"/>
          <w:color w:val="0D0D0D" w:themeColor="text1" w:themeTint="F2"/>
          <w:sz w:val="20"/>
          <w:szCs w:val="20"/>
          <w:lang w:eastAsia="en-GB"/>
        </w:rPr>
        <w:t>the Equality Act 2010</w:t>
      </w:r>
      <w:r w:rsidRPr="00CC6C94">
        <w:rPr>
          <w:rFonts w:ascii="Arial" w:hAnsi="Arial" w:cs="Arial"/>
          <w:color w:val="0D0D0D" w:themeColor="text1" w:themeTint="F2"/>
          <w:sz w:val="20"/>
          <w:szCs w:val="20"/>
          <w:lang w:eastAsia="en-GB"/>
        </w:rPr>
        <w:t xml:space="preserve">.  You say that these </w:t>
      </w:r>
      <w:r w:rsidR="00DD6A93">
        <w:rPr>
          <w:rFonts w:ascii="Arial" w:hAnsi="Arial" w:cs="Arial"/>
          <w:color w:val="0D0D0D" w:themeColor="text1" w:themeTint="F2"/>
          <w:sz w:val="20"/>
          <w:szCs w:val="20"/>
          <w:lang w:eastAsia="en-GB"/>
        </w:rPr>
        <w:t xml:space="preserve">submissions </w:t>
      </w:r>
      <w:r w:rsidRPr="00CC6C94">
        <w:rPr>
          <w:rFonts w:ascii="Arial" w:hAnsi="Arial" w:cs="Arial"/>
          <w:color w:val="0D0D0D" w:themeColor="text1" w:themeTint="F2"/>
          <w:sz w:val="20"/>
          <w:szCs w:val="20"/>
          <w:lang w:eastAsia="en-GB"/>
        </w:rPr>
        <w:t xml:space="preserve">evidence the Committee’s unwillingness to ‘seriously contemplate a change of course’.  However, I have </w:t>
      </w:r>
      <w:r w:rsidR="00DD6A93">
        <w:rPr>
          <w:rFonts w:ascii="Arial" w:hAnsi="Arial" w:cs="Arial"/>
          <w:color w:val="0D0D0D" w:themeColor="text1" w:themeTint="F2"/>
          <w:sz w:val="20"/>
          <w:szCs w:val="20"/>
          <w:lang w:eastAsia="en-GB"/>
        </w:rPr>
        <w:t>confirmed</w:t>
      </w:r>
      <w:r w:rsidRPr="00CC6C94">
        <w:rPr>
          <w:rFonts w:ascii="Arial" w:hAnsi="Arial" w:cs="Arial"/>
          <w:color w:val="0D0D0D" w:themeColor="text1" w:themeTint="F2"/>
          <w:sz w:val="20"/>
          <w:szCs w:val="20"/>
          <w:lang w:eastAsia="en-GB"/>
        </w:rPr>
        <w:t xml:space="preserve"> that CLINUVEL’s appeal point challenging NICE’s compliance with its duties under </w:t>
      </w:r>
      <w:r w:rsidR="00DD6A93">
        <w:rPr>
          <w:rFonts w:ascii="Arial" w:hAnsi="Arial" w:cs="Arial"/>
          <w:color w:val="0D0D0D" w:themeColor="text1" w:themeTint="F2"/>
          <w:sz w:val="20"/>
          <w:szCs w:val="20"/>
          <w:lang w:eastAsia="en-GB"/>
        </w:rPr>
        <w:t xml:space="preserve">the Equality Act 2010 </w:t>
      </w:r>
      <w:r w:rsidRPr="00CC6C94">
        <w:rPr>
          <w:rFonts w:ascii="Arial" w:hAnsi="Arial" w:cs="Arial"/>
          <w:color w:val="0D0D0D" w:themeColor="text1" w:themeTint="F2"/>
          <w:sz w:val="20"/>
          <w:szCs w:val="20"/>
          <w:lang w:eastAsia="en-GB"/>
        </w:rPr>
        <w:t>(1(b)</w:t>
      </w:r>
      <w:r w:rsidR="00DD6A93">
        <w:rPr>
          <w:rFonts w:ascii="Arial" w:hAnsi="Arial" w:cs="Arial"/>
          <w:color w:val="0D0D0D" w:themeColor="text1" w:themeTint="F2"/>
          <w:sz w:val="20"/>
          <w:szCs w:val="20"/>
          <w:lang w:eastAsia="en-GB"/>
        </w:rPr>
        <w:t>.1</w:t>
      </w:r>
      <w:r w:rsidRPr="00CC6C94">
        <w:rPr>
          <w:rFonts w:ascii="Arial" w:hAnsi="Arial" w:cs="Arial"/>
          <w:color w:val="0D0D0D" w:themeColor="text1" w:themeTint="F2"/>
          <w:sz w:val="20"/>
          <w:szCs w:val="20"/>
          <w:lang w:eastAsia="en-GB"/>
        </w:rPr>
        <w:t>) is a valid appeal point</w:t>
      </w:r>
      <w:r w:rsidR="00DD6A93">
        <w:rPr>
          <w:rFonts w:ascii="Arial" w:hAnsi="Arial" w:cs="Arial"/>
          <w:color w:val="0D0D0D" w:themeColor="text1" w:themeTint="F2"/>
          <w:sz w:val="20"/>
          <w:szCs w:val="20"/>
          <w:lang w:eastAsia="en-GB"/>
        </w:rPr>
        <w:t>, and so the Appeal Panel will consider NICE’s compliance with those duties</w:t>
      </w:r>
      <w:r w:rsidRPr="00CC6C94">
        <w:rPr>
          <w:rFonts w:ascii="Arial" w:hAnsi="Arial" w:cs="Arial"/>
          <w:color w:val="0D0D0D" w:themeColor="text1" w:themeTint="F2"/>
          <w:sz w:val="20"/>
          <w:szCs w:val="20"/>
          <w:lang w:eastAsia="en-GB"/>
        </w:rPr>
        <w:t xml:space="preserve">.  CLINUVEL also submits that the Committee’s approach to different types of quantitative and qualitative evidence also evidences an unwillingness to change course.  Again, </w:t>
      </w:r>
      <w:r w:rsidR="00DD6A93">
        <w:rPr>
          <w:rFonts w:ascii="Arial" w:hAnsi="Arial" w:cs="Arial"/>
          <w:color w:val="0D0D0D" w:themeColor="text1" w:themeTint="F2"/>
          <w:sz w:val="20"/>
          <w:szCs w:val="20"/>
          <w:lang w:eastAsia="en-GB"/>
        </w:rPr>
        <w:t xml:space="preserve">however, </w:t>
      </w:r>
      <w:r w:rsidRPr="00CC6C94">
        <w:rPr>
          <w:rFonts w:ascii="Arial" w:hAnsi="Arial" w:cs="Arial"/>
          <w:color w:val="0D0D0D" w:themeColor="text1" w:themeTint="F2"/>
          <w:sz w:val="20"/>
          <w:szCs w:val="20"/>
          <w:lang w:eastAsia="en-GB"/>
        </w:rPr>
        <w:t>I have confirmed that CLINUVEL’s appeal points challenging the Committee’s approach to evidence, both under fairness (1</w:t>
      </w:r>
      <w:r w:rsidR="00DD6A93">
        <w:rPr>
          <w:rFonts w:ascii="Arial" w:hAnsi="Arial" w:cs="Arial"/>
          <w:color w:val="0D0D0D" w:themeColor="text1" w:themeTint="F2"/>
          <w:sz w:val="20"/>
          <w:szCs w:val="20"/>
          <w:lang w:eastAsia="en-GB"/>
        </w:rPr>
        <w:t>(</w:t>
      </w:r>
      <w:r w:rsidRPr="00CC6C94">
        <w:rPr>
          <w:rFonts w:ascii="Arial" w:hAnsi="Arial" w:cs="Arial"/>
          <w:color w:val="0D0D0D" w:themeColor="text1" w:themeTint="F2"/>
          <w:sz w:val="20"/>
          <w:szCs w:val="20"/>
          <w:lang w:eastAsia="en-GB"/>
        </w:rPr>
        <w:t>a</w:t>
      </w:r>
      <w:r w:rsidR="00DD6A93">
        <w:rPr>
          <w:rFonts w:ascii="Arial" w:hAnsi="Arial" w:cs="Arial"/>
          <w:color w:val="0D0D0D" w:themeColor="text1" w:themeTint="F2"/>
          <w:sz w:val="20"/>
          <w:szCs w:val="20"/>
          <w:lang w:eastAsia="en-GB"/>
        </w:rPr>
        <w:t>).</w:t>
      </w:r>
      <w:r w:rsidRPr="00CC6C94">
        <w:rPr>
          <w:rFonts w:ascii="Arial" w:hAnsi="Arial" w:cs="Arial"/>
          <w:color w:val="0D0D0D" w:themeColor="text1" w:themeTint="F2"/>
          <w:sz w:val="20"/>
          <w:szCs w:val="20"/>
          <w:lang w:eastAsia="en-GB"/>
        </w:rPr>
        <w:t xml:space="preserve">1) and reasonableness (2.4), are valid appeal points.  The points made under this proposed appeal point 1(a).2 </w:t>
      </w:r>
      <w:r w:rsidRPr="00CC6C94">
        <w:rPr>
          <w:rFonts w:ascii="Arial" w:hAnsi="Arial" w:cs="Arial"/>
          <w:color w:val="0D0D0D" w:themeColor="text1" w:themeTint="F2"/>
          <w:sz w:val="20"/>
          <w:szCs w:val="20"/>
          <w:lang w:eastAsia="en-GB"/>
        </w:rPr>
        <w:lastRenderedPageBreak/>
        <w:t xml:space="preserve">are well covered </w:t>
      </w:r>
      <w:r w:rsidR="00DD6A93">
        <w:rPr>
          <w:rFonts w:ascii="Arial" w:hAnsi="Arial" w:cs="Arial"/>
          <w:color w:val="0D0D0D" w:themeColor="text1" w:themeTint="F2"/>
          <w:sz w:val="20"/>
          <w:szCs w:val="20"/>
          <w:lang w:eastAsia="en-GB"/>
        </w:rPr>
        <w:t>across referred</w:t>
      </w:r>
      <w:r w:rsidRPr="00CC6C94">
        <w:rPr>
          <w:rFonts w:ascii="Arial" w:hAnsi="Arial" w:cs="Arial"/>
          <w:color w:val="0D0D0D" w:themeColor="text1" w:themeTint="F2"/>
          <w:sz w:val="20"/>
          <w:szCs w:val="20"/>
          <w:lang w:eastAsia="en-GB"/>
        </w:rPr>
        <w:t xml:space="preserve"> appeal points </w:t>
      </w:r>
      <w:r w:rsidR="00DD6A93">
        <w:rPr>
          <w:rFonts w:ascii="Arial" w:hAnsi="Arial" w:cs="Arial"/>
          <w:color w:val="0D0D0D" w:themeColor="text1" w:themeTint="F2"/>
          <w:sz w:val="20"/>
          <w:szCs w:val="20"/>
          <w:lang w:eastAsia="en-GB"/>
        </w:rPr>
        <w:t>1(a).1, 1(b).1 and 2.4.</w:t>
      </w:r>
      <w:r w:rsidRPr="00CC6C94">
        <w:rPr>
          <w:rFonts w:ascii="Arial" w:hAnsi="Arial" w:cs="Arial"/>
          <w:color w:val="0D0D0D" w:themeColor="text1" w:themeTint="F2"/>
          <w:sz w:val="20"/>
          <w:szCs w:val="20"/>
          <w:lang w:eastAsia="en-GB"/>
        </w:rPr>
        <w:t xml:space="preserve">  I am therefore satisfied that this appeal point would not anything of substance as a freestanding appeal point.</w:t>
      </w:r>
    </w:p>
    <w:p w14:paraId="4786ADA3" w14:textId="3B52752D" w:rsidR="009064F7" w:rsidRPr="00CC6C94" w:rsidRDefault="009064F7" w:rsidP="009064F7">
      <w:pPr>
        <w:spacing w:before="240" w:after="240"/>
        <w:jc w:val="both"/>
        <w:rPr>
          <w:rFonts w:ascii="Arial" w:hAnsi="Arial" w:cs="Arial"/>
          <w:b/>
          <w:sz w:val="20"/>
          <w:szCs w:val="20"/>
          <w:u w:val="single"/>
        </w:rPr>
      </w:pPr>
      <w:r w:rsidRPr="00CC6C94">
        <w:rPr>
          <w:rFonts w:ascii="Arial" w:hAnsi="Arial" w:cs="Arial"/>
          <w:b/>
          <w:sz w:val="20"/>
          <w:szCs w:val="20"/>
          <w:u w:val="single"/>
        </w:rPr>
        <w:t xml:space="preserve">Appeal </w:t>
      </w:r>
      <w:proofErr w:type="gramStart"/>
      <w:r w:rsidRPr="00CC6C94">
        <w:rPr>
          <w:rFonts w:ascii="Arial" w:hAnsi="Arial" w:cs="Arial"/>
          <w:b/>
          <w:sz w:val="20"/>
          <w:szCs w:val="20"/>
          <w:u w:val="single"/>
        </w:rPr>
        <w:t>point</w:t>
      </w:r>
      <w:proofErr w:type="gramEnd"/>
      <w:r w:rsidRPr="00CC6C94">
        <w:rPr>
          <w:rFonts w:ascii="Arial" w:hAnsi="Arial" w:cs="Arial"/>
          <w:b/>
          <w:sz w:val="20"/>
          <w:szCs w:val="20"/>
          <w:u w:val="single"/>
        </w:rPr>
        <w:t xml:space="preserve"> 1(a).3</w:t>
      </w:r>
      <w:r w:rsidR="00DD6A93">
        <w:rPr>
          <w:rFonts w:ascii="Arial" w:hAnsi="Arial" w:cs="Arial"/>
          <w:b/>
          <w:sz w:val="20"/>
          <w:szCs w:val="20"/>
          <w:u w:val="single"/>
        </w:rPr>
        <w:t xml:space="preserve">: </w:t>
      </w:r>
      <w:r w:rsidRPr="00CC6C94">
        <w:rPr>
          <w:rFonts w:ascii="Arial" w:hAnsi="Arial" w:cs="Arial"/>
          <w:b/>
          <w:sz w:val="20"/>
          <w:szCs w:val="20"/>
          <w:u w:val="single"/>
        </w:rPr>
        <w:t>NICE acted unfairly by reason of delay</w:t>
      </w:r>
    </w:p>
    <w:p w14:paraId="3F03D4FF" w14:textId="110F0558" w:rsidR="009064F7" w:rsidRPr="00CC6C94" w:rsidRDefault="009064F7" w:rsidP="009064F7">
      <w:pPr>
        <w:pStyle w:val="Paragraph"/>
        <w:numPr>
          <w:ilvl w:val="0"/>
          <w:numId w:val="0"/>
        </w:numPr>
        <w:spacing w:before="120"/>
        <w:jc w:val="both"/>
        <w:rPr>
          <w:rFonts w:cs="Arial"/>
          <w:sz w:val="20"/>
          <w:szCs w:val="20"/>
        </w:rPr>
      </w:pPr>
      <w:r w:rsidRPr="00CC6C94">
        <w:rPr>
          <w:rFonts w:cs="Arial"/>
          <w:sz w:val="20"/>
          <w:szCs w:val="20"/>
        </w:rPr>
        <w:t>I confirm my view that this is a valid appeal point and refer it to the Appeal Panel.</w:t>
      </w:r>
    </w:p>
    <w:p w14:paraId="1BE25AC9" w14:textId="54C83A54" w:rsidR="00DB178D" w:rsidRPr="00CC6C94" w:rsidRDefault="00DB178D" w:rsidP="009064F7">
      <w:pPr>
        <w:pStyle w:val="Paragraph"/>
        <w:numPr>
          <w:ilvl w:val="0"/>
          <w:numId w:val="0"/>
        </w:numPr>
        <w:spacing w:before="120"/>
        <w:jc w:val="both"/>
        <w:rPr>
          <w:rFonts w:cs="Arial"/>
          <w:b/>
          <w:i/>
          <w:sz w:val="20"/>
          <w:szCs w:val="20"/>
        </w:rPr>
      </w:pPr>
      <w:r w:rsidRPr="00CC6C94">
        <w:rPr>
          <w:rFonts w:cs="Arial"/>
          <w:b/>
          <w:i/>
          <w:sz w:val="20"/>
          <w:szCs w:val="20"/>
        </w:rPr>
        <w:t xml:space="preserve">Ground 1(b): In making the assessment that preceded the recommendation, NICE has exceeded its </w:t>
      </w:r>
      <w:proofErr w:type="gramStart"/>
      <w:r w:rsidRPr="00CC6C94">
        <w:rPr>
          <w:rFonts w:cs="Arial"/>
          <w:b/>
          <w:i/>
          <w:sz w:val="20"/>
          <w:szCs w:val="20"/>
        </w:rPr>
        <w:t>powers</w:t>
      </w:r>
      <w:proofErr w:type="gramEnd"/>
    </w:p>
    <w:p w14:paraId="33665133" w14:textId="78EEF723" w:rsidR="001B6E27" w:rsidRPr="00DD6A93" w:rsidRDefault="001B6E27" w:rsidP="001B6E27">
      <w:pPr>
        <w:pStyle w:val="Default"/>
        <w:rPr>
          <w:rFonts w:ascii="Arial" w:hAnsi="Arial" w:cs="Arial"/>
          <w:b/>
          <w:bCs/>
          <w:sz w:val="20"/>
          <w:szCs w:val="20"/>
          <w:u w:val="single"/>
        </w:rPr>
      </w:pPr>
      <w:r w:rsidRPr="00DD6A93">
        <w:rPr>
          <w:rFonts w:ascii="Arial" w:hAnsi="Arial" w:cs="Arial"/>
          <w:b/>
          <w:bCs/>
          <w:sz w:val="20"/>
          <w:szCs w:val="20"/>
          <w:u w:val="single"/>
        </w:rPr>
        <w:t xml:space="preserve">Appeal </w:t>
      </w:r>
      <w:proofErr w:type="gramStart"/>
      <w:r w:rsidRPr="00DD6A93">
        <w:rPr>
          <w:rFonts w:ascii="Arial" w:hAnsi="Arial" w:cs="Arial"/>
          <w:b/>
          <w:bCs/>
          <w:sz w:val="20"/>
          <w:szCs w:val="20"/>
          <w:u w:val="single"/>
        </w:rPr>
        <w:t>point</w:t>
      </w:r>
      <w:proofErr w:type="gramEnd"/>
      <w:r w:rsidRPr="00DD6A93">
        <w:rPr>
          <w:rFonts w:ascii="Arial" w:hAnsi="Arial" w:cs="Arial"/>
          <w:b/>
          <w:bCs/>
          <w:sz w:val="20"/>
          <w:szCs w:val="20"/>
          <w:u w:val="single"/>
        </w:rPr>
        <w:t xml:space="preserve"> 1(b)</w:t>
      </w:r>
      <w:r w:rsidR="00DD6A93">
        <w:rPr>
          <w:rFonts w:ascii="Arial" w:hAnsi="Arial" w:cs="Arial"/>
          <w:b/>
          <w:bCs/>
          <w:sz w:val="20"/>
          <w:szCs w:val="20"/>
          <w:u w:val="single"/>
        </w:rPr>
        <w:t>.1</w:t>
      </w:r>
      <w:r w:rsidR="00DD6A93" w:rsidRPr="00DD6A93">
        <w:rPr>
          <w:rFonts w:ascii="Arial" w:hAnsi="Arial" w:cs="Arial"/>
          <w:b/>
          <w:bCs/>
          <w:sz w:val="20"/>
          <w:szCs w:val="20"/>
          <w:u w:val="single"/>
        </w:rPr>
        <w:t>:</w:t>
      </w:r>
      <w:r w:rsidRPr="00DD6A93">
        <w:rPr>
          <w:rFonts w:ascii="Arial" w:hAnsi="Arial" w:cs="Arial"/>
          <w:b/>
          <w:bCs/>
          <w:sz w:val="20"/>
          <w:szCs w:val="20"/>
          <w:u w:val="single"/>
        </w:rPr>
        <w:t xml:space="preserve"> NICE breached its duties under the Equality Act 2010 </w:t>
      </w:r>
    </w:p>
    <w:p w14:paraId="468703E4" w14:textId="2BED4CB1" w:rsidR="00D770E0" w:rsidRPr="00CC6C94" w:rsidRDefault="00D770E0" w:rsidP="00D770E0">
      <w:pPr>
        <w:spacing w:before="120" w:after="240"/>
        <w:rPr>
          <w:rFonts w:ascii="Arial" w:hAnsi="Arial" w:cs="Arial"/>
          <w:color w:val="0D0D0D" w:themeColor="text1" w:themeTint="F2"/>
          <w:sz w:val="20"/>
          <w:szCs w:val="20"/>
          <w:lang w:eastAsia="en-GB"/>
        </w:rPr>
      </w:pPr>
      <w:r w:rsidRPr="00CC6C94">
        <w:rPr>
          <w:rFonts w:ascii="Arial" w:eastAsia="Times New Roman" w:hAnsi="Arial" w:cs="Arial"/>
          <w:color w:val="0D0D0D" w:themeColor="text1" w:themeTint="F2"/>
          <w:sz w:val="20"/>
          <w:szCs w:val="20"/>
          <w:lang w:eastAsia="en-GB"/>
        </w:rPr>
        <w:t xml:space="preserve">Having considered the additional arguments made in your letter of </w:t>
      </w:r>
      <w:r w:rsidR="001B6E27" w:rsidRPr="00CC6C94">
        <w:rPr>
          <w:rFonts w:ascii="Arial" w:eastAsia="Times New Roman" w:hAnsi="Arial" w:cs="Arial"/>
          <w:color w:val="0D0D0D" w:themeColor="text1" w:themeTint="F2"/>
          <w:sz w:val="20"/>
          <w:szCs w:val="20"/>
          <w:lang w:eastAsia="en-GB"/>
        </w:rPr>
        <w:t>18 April 2023</w:t>
      </w:r>
      <w:r w:rsidRPr="00CC6C94">
        <w:rPr>
          <w:rFonts w:ascii="Arial" w:eastAsia="Times New Roman" w:hAnsi="Arial" w:cs="Arial"/>
          <w:color w:val="0D0D0D" w:themeColor="text1" w:themeTint="F2"/>
          <w:sz w:val="20"/>
          <w:szCs w:val="20"/>
          <w:lang w:eastAsia="en-GB"/>
        </w:rPr>
        <w:t xml:space="preserve">, I </w:t>
      </w:r>
      <w:r w:rsidR="004B0C8B" w:rsidRPr="00CC6C94">
        <w:rPr>
          <w:rFonts w:ascii="Arial" w:eastAsia="Times New Roman" w:hAnsi="Arial" w:cs="Arial"/>
          <w:color w:val="0D0D0D" w:themeColor="text1" w:themeTint="F2"/>
          <w:sz w:val="20"/>
          <w:szCs w:val="20"/>
          <w:lang w:eastAsia="en-GB"/>
        </w:rPr>
        <w:t xml:space="preserve">confirm that this is valid appeal point, both in respect of the duty to make reasonable adjustments, and the duty to have regard to the need to advance equality of opportunity. </w:t>
      </w:r>
    </w:p>
    <w:p w14:paraId="4710A553" w14:textId="308FE8CA" w:rsidR="00DB178D" w:rsidRPr="00CC6C94" w:rsidRDefault="00DB178D" w:rsidP="00DB178D">
      <w:pPr>
        <w:pStyle w:val="Paragraph"/>
        <w:numPr>
          <w:ilvl w:val="0"/>
          <w:numId w:val="0"/>
        </w:numPr>
        <w:spacing w:before="120"/>
        <w:jc w:val="both"/>
        <w:rPr>
          <w:rFonts w:cs="Arial"/>
          <w:b/>
          <w:i/>
          <w:sz w:val="20"/>
          <w:szCs w:val="20"/>
        </w:rPr>
      </w:pPr>
      <w:r w:rsidRPr="00CC6C94">
        <w:rPr>
          <w:rFonts w:cs="Arial"/>
          <w:b/>
          <w:i/>
          <w:sz w:val="20"/>
          <w:szCs w:val="20"/>
        </w:rPr>
        <w:t>Ground 2:</w:t>
      </w:r>
      <w:r w:rsidRPr="00CC6C94">
        <w:rPr>
          <w:rFonts w:cs="Arial"/>
          <w:i/>
          <w:sz w:val="20"/>
          <w:szCs w:val="20"/>
        </w:rPr>
        <w:t xml:space="preserve"> </w:t>
      </w:r>
      <w:r w:rsidRPr="00CC6C94">
        <w:rPr>
          <w:rFonts w:cs="Arial"/>
          <w:b/>
          <w:i/>
          <w:sz w:val="20"/>
          <w:szCs w:val="20"/>
        </w:rPr>
        <w:t xml:space="preserve">the recommendation is unreasonable in the light of the evidence submitted to </w:t>
      </w:r>
      <w:proofErr w:type="gramStart"/>
      <w:r w:rsidRPr="00CC6C94">
        <w:rPr>
          <w:rFonts w:cs="Arial"/>
          <w:b/>
          <w:i/>
          <w:sz w:val="20"/>
          <w:szCs w:val="20"/>
        </w:rPr>
        <w:t>NICE</w:t>
      </w:r>
      <w:proofErr w:type="gramEnd"/>
    </w:p>
    <w:p w14:paraId="31D090FA" w14:textId="77777777" w:rsidR="004B0C8B" w:rsidRPr="00CC6C94" w:rsidRDefault="004B0C8B" w:rsidP="004B0C8B">
      <w:pPr>
        <w:pStyle w:val="Paragraph"/>
        <w:numPr>
          <w:ilvl w:val="0"/>
          <w:numId w:val="0"/>
        </w:numPr>
        <w:jc w:val="both"/>
        <w:rPr>
          <w:rFonts w:cs="Arial"/>
          <w:b/>
          <w:sz w:val="20"/>
          <w:szCs w:val="20"/>
          <w:u w:val="single"/>
        </w:rPr>
      </w:pPr>
      <w:r w:rsidRPr="00CC6C94">
        <w:rPr>
          <w:rFonts w:cs="Arial"/>
          <w:b/>
          <w:sz w:val="20"/>
          <w:szCs w:val="20"/>
          <w:u w:val="single"/>
        </w:rPr>
        <w:t xml:space="preserve">Appeal </w:t>
      </w:r>
      <w:proofErr w:type="gramStart"/>
      <w:r w:rsidRPr="00CC6C94">
        <w:rPr>
          <w:rFonts w:cs="Arial"/>
          <w:b/>
          <w:sz w:val="20"/>
          <w:szCs w:val="20"/>
          <w:u w:val="single"/>
        </w:rPr>
        <w:t>point</w:t>
      </w:r>
      <w:proofErr w:type="gramEnd"/>
      <w:r w:rsidRPr="00CC6C94">
        <w:rPr>
          <w:rFonts w:cs="Arial"/>
          <w:b/>
          <w:sz w:val="20"/>
          <w:szCs w:val="20"/>
          <w:u w:val="single"/>
        </w:rPr>
        <w:t xml:space="preserve"> 2.1: The Committee’s decision-making did not follow the relevant NICE Principles</w:t>
      </w:r>
    </w:p>
    <w:p w14:paraId="5FDE12B3" w14:textId="47F5E253" w:rsidR="004B0C8B" w:rsidRPr="00CC6C94" w:rsidRDefault="004B0C8B" w:rsidP="00D770E0">
      <w:pPr>
        <w:spacing w:before="120" w:after="240"/>
        <w:rPr>
          <w:rFonts w:ascii="Arial" w:eastAsia="Times New Roman" w:hAnsi="Arial" w:cs="Arial"/>
          <w:color w:val="0D0D0D" w:themeColor="text1" w:themeTint="F2"/>
          <w:sz w:val="20"/>
          <w:szCs w:val="20"/>
          <w:lang w:eastAsia="en-GB"/>
        </w:rPr>
      </w:pPr>
      <w:r w:rsidRPr="00CC6C94">
        <w:rPr>
          <w:rFonts w:ascii="Arial" w:eastAsia="Times New Roman" w:hAnsi="Arial" w:cs="Arial"/>
          <w:color w:val="0D0D0D" w:themeColor="text1" w:themeTint="F2"/>
          <w:sz w:val="20"/>
          <w:szCs w:val="20"/>
          <w:lang w:eastAsia="en-GB"/>
        </w:rPr>
        <w:t xml:space="preserve">I confirm my view that the point made in paragraph 9.7 of the CLINUVEL appeal letter is a valid appeal point and refer it to the Appeal Panel.  I note that CLINUVEL may seek to </w:t>
      </w:r>
      <w:r w:rsidR="00CC6C94" w:rsidRPr="00CC6C94">
        <w:rPr>
          <w:rFonts w:ascii="Arial" w:eastAsia="Times New Roman" w:hAnsi="Arial" w:cs="Arial"/>
          <w:color w:val="0D0D0D" w:themeColor="text1" w:themeTint="F2"/>
          <w:sz w:val="20"/>
          <w:szCs w:val="20"/>
          <w:lang w:eastAsia="en-GB"/>
        </w:rPr>
        <w:t>discuss</w:t>
      </w:r>
      <w:r w:rsidRPr="00CC6C94">
        <w:rPr>
          <w:rFonts w:ascii="Arial" w:eastAsia="Times New Roman" w:hAnsi="Arial" w:cs="Arial"/>
          <w:color w:val="0D0D0D" w:themeColor="text1" w:themeTint="F2"/>
          <w:sz w:val="20"/>
          <w:szCs w:val="20"/>
          <w:lang w:eastAsia="en-GB"/>
        </w:rPr>
        <w:t xml:space="preserve"> the points made in paragraphs 9.8 and 9.9 of its appeal </w:t>
      </w:r>
      <w:proofErr w:type="gramStart"/>
      <w:r w:rsidRPr="00CC6C94">
        <w:rPr>
          <w:rFonts w:ascii="Arial" w:eastAsia="Times New Roman" w:hAnsi="Arial" w:cs="Arial"/>
          <w:color w:val="0D0D0D" w:themeColor="text1" w:themeTint="F2"/>
          <w:sz w:val="20"/>
          <w:szCs w:val="20"/>
          <w:lang w:eastAsia="en-GB"/>
        </w:rPr>
        <w:t>letter</w:t>
      </w:r>
      <w:proofErr w:type="gramEnd"/>
      <w:r w:rsidRPr="00CC6C94">
        <w:rPr>
          <w:rFonts w:ascii="Arial" w:eastAsia="Times New Roman" w:hAnsi="Arial" w:cs="Arial"/>
          <w:color w:val="0D0D0D" w:themeColor="text1" w:themeTint="F2"/>
          <w:sz w:val="20"/>
          <w:szCs w:val="20"/>
          <w:lang w:eastAsia="en-GB"/>
        </w:rPr>
        <w:t xml:space="preserve"> in support of that appeal point.</w:t>
      </w:r>
      <w:r w:rsidR="00650F04">
        <w:rPr>
          <w:rFonts w:ascii="Arial" w:eastAsia="Times New Roman" w:hAnsi="Arial" w:cs="Arial"/>
          <w:color w:val="0D0D0D" w:themeColor="text1" w:themeTint="F2"/>
          <w:sz w:val="20"/>
          <w:szCs w:val="20"/>
          <w:lang w:eastAsia="en-GB"/>
        </w:rPr>
        <w:t xml:space="preserve"> </w:t>
      </w:r>
      <w:r w:rsidR="00650F04" w:rsidRPr="00650F04">
        <w:rPr>
          <w:rFonts w:ascii="Arial" w:eastAsia="Times New Roman" w:hAnsi="Arial" w:cs="Arial"/>
          <w:color w:val="0D0D0D" w:themeColor="text1" w:themeTint="F2"/>
          <w:sz w:val="20"/>
          <w:szCs w:val="20"/>
          <w:lang w:eastAsia="en-GB"/>
        </w:rPr>
        <w:t>It will be for the Chair of the Appeal Panel to ensure that submissions made by all parties during the oral hearing of the appeal are focused to those relevant to the appeal point under consideration.</w:t>
      </w:r>
    </w:p>
    <w:p w14:paraId="0D13741B" w14:textId="50586E99" w:rsidR="004B0C8B" w:rsidRPr="00CC6C94" w:rsidRDefault="004B0C8B" w:rsidP="004B0C8B">
      <w:pPr>
        <w:pStyle w:val="Paragraph"/>
        <w:numPr>
          <w:ilvl w:val="0"/>
          <w:numId w:val="0"/>
        </w:numPr>
        <w:spacing w:before="120"/>
        <w:jc w:val="both"/>
        <w:rPr>
          <w:rFonts w:cs="Arial"/>
          <w:b/>
          <w:sz w:val="20"/>
          <w:szCs w:val="20"/>
          <w:u w:val="single"/>
        </w:rPr>
      </w:pPr>
      <w:r w:rsidRPr="00CC6C94">
        <w:rPr>
          <w:rFonts w:cs="Arial"/>
          <w:b/>
          <w:sz w:val="20"/>
          <w:szCs w:val="20"/>
          <w:u w:val="single"/>
        </w:rPr>
        <w:t xml:space="preserve">Appeal </w:t>
      </w:r>
      <w:proofErr w:type="gramStart"/>
      <w:r w:rsidRPr="00CC6C94">
        <w:rPr>
          <w:rFonts w:cs="Arial"/>
          <w:b/>
          <w:sz w:val="20"/>
          <w:szCs w:val="20"/>
          <w:u w:val="single"/>
        </w:rPr>
        <w:t>point</w:t>
      </w:r>
      <w:proofErr w:type="gramEnd"/>
      <w:r w:rsidRPr="00CC6C94">
        <w:rPr>
          <w:rFonts w:cs="Arial"/>
          <w:b/>
          <w:sz w:val="20"/>
          <w:szCs w:val="20"/>
          <w:u w:val="single"/>
        </w:rPr>
        <w:t xml:space="preserve"> 2.2</w:t>
      </w:r>
      <w:r w:rsidR="00DD6A93">
        <w:rPr>
          <w:rFonts w:cs="Arial"/>
          <w:b/>
          <w:sz w:val="20"/>
          <w:szCs w:val="20"/>
          <w:u w:val="single"/>
        </w:rPr>
        <w:t>:</w:t>
      </w:r>
      <w:r w:rsidRPr="00CC6C94">
        <w:rPr>
          <w:rFonts w:cs="Arial"/>
          <w:b/>
          <w:sz w:val="20"/>
          <w:szCs w:val="20"/>
          <w:u w:val="single"/>
        </w:rPr>
        <w:t xml:space="preserve"> It was unreasonable for the Committee to conclude that </w:t>
      </w:r>
      <w:proofErr w:type="spellStart"/>
      <w:r w:rsidRPr="00CC6C94">
        <w:rPr>
          <w:rFonts w:cs="Arial"/>
          <w:b/>
          <w:sz w:val="20"/>
          <w:szCs w:val="20"/>
          <w:u w:val="single"/>
        </w:rPr>
        <w:t>afamelanotide</w:t>
      </w:r>
      <w:proofErr w:type="spellEnd"/>
      <w:r w:rsidRPr="00CC6C94">
        <w:rPr>
          <w:rFonts w:cs="Arial"/>
          <w:b/>
          <w:sz w:val="20"/>
          <w:szCs w:val="20"/>
          <w:u w:val="single"/>
        </w:rPr>
        <w:t xml:space="preserve"> could not be recommended for funding on the basis of the ICERs falling outside the normal range in the HST Process Guide</w:t>
      </w:r>
    </w:p>
    <w:p w14:paraId="280EFB83" w14:textId="7DCA6EF5" w:rsidR="004B0C8B" w:rsidRPr="00CC6C94" w:rsidRDefault="00CC6C94" w:rsidP="00D770E0">
      <w:pPr>
        <w:spacing w:before="120" w:after="240"/>
        <w:rPr>
          <w:rFonts w:ascii="Arial" w:eastAsia="Times New Roman" w:hAnsi="Arial" w:cs="Arial"/>
          <w:color w:val="0D0D0D" w:themeColor="text1" w:themeTint="F2"/>
          <w:sz w:val="20"/>
          <w:szCs w:val="20"/>
          <w:lang w:eastAsia="en-GB"/>
        </w:rPr>
      </w:pPr>
      <w:r w:rsidRPr="00CC6C94">
        <w:rPr>
          <w:rFonts w:ascii="Arial" w:eastAsia="Times New Roman" w:hAnsi="Arial" w:cs="Arial"/>
          <w:color w:val="0D0D0D" w:themeColor="text1" w:themeTint="F2"/>
          <w:sz w:val="20"/>
          <w:szCs w:val="20"/>
          <w:lang w:eastAsia="en-GB"/>
        </w:rPr>
        <w:t>I confirm my view that this is</w:t>
      </w:r>
      <w:r>
        <w:rPr>
          <w:rFonts w:ascii="Arial" w:eastAsia="Times New Roman" w:hAnsi="Arial" w:cs="Arial"/>
          <w:color w:val="0D0D0D" w:themeColor="text1" w:themeTint="F2"/>
          <w:sz w:val="20"/>
          <w:szCs w:val="20"/>
          <w:lang w:eastAsia="en-GB"/>
        </w:rPr>
        <w:t xml:space="preserve"> </w:t>
      </w:r>
      <w:r w:rsidRPr="00CC6C94">
        <w:rPr>
          <w:rFonts w:ascii="Arial" w:eastAsia="Times New Roman" w:hAnsi="Arial" w:cs="Arial"/>
          <w:color w:val="0D0D0D" w:themeColor="text1" w:themeTint="F2"/>
          <w:sz w:val="20"/>
          <w:szCs w:val="20"/>
          <w:lang w:eastAsia="en-GB"/>
        </w:rPr>
        <w:t xml:space="preserve">a valid appeal </w:t>
      </w:r>
      <w:r>
        <w:rPr>
          <w:rFonts w:ascii="Arial" w:eastAsia="Times New Roman" w:hAnsi="Arial" w:cs="Arial"/>
          <w:color w:val="0D0D0D" w:themeColor="text1" w:themeTint="F2"/>
          <w:sz w:val="20"/>
          <w:szCs w:val="20"/>
          <w:lang w:eastAsia="en-GB"/>
        </w:rPr>
        <w:t xml:space="preserve">point </w:t>
      </w:r>
      <w:r w:rsidRPr="00CC6C94">
        <w:rPr>
          <w:rFonts w:ascii="Arial" w:eastAsia="Times New Roman" w:hAnsi="Arial" w:cs="Arial"/>
          <w:color w:val="0D0D0D" w:themeColor="text1" w:themeTint="F2"/>
          <w:sz w:val="20"/>
          <w:szCs w:val="20"/>
          <w:lang w:eastAsia="en-GB"/>
        </w:rPr>
        <w:t>and refer it to the Appeal Panel.</w:t>
      </w:r>
    </w:p>
    <w:p w14:paraId="4CD120AC" w14:textId="38E5CE6B" w:rsidR="00CC6C94" w:rsidRPr="00CC6C94" w:rsidRDefault="00CC6C94" w:rsidP="00CC6C94">
      <w:pPr>
        <w:pStyle w:val="Paragraph"/>
        <w:numPr>
          <w:ilvl w:val="0"/>
          <w:numId w:val="0"/>
        </w:numPr>
        <w:spacing w:before="120"/>
        <w:jc w:val="both"/>
        <w:rPr>
          <w:rFonts w:cs="Arial"/>
          <w:b/>
          <w:sz w:val="20"/>
          <w:szCs w:val="20"/>
          <w:u w:val="single"/>
        </w:rPr>
      </w:pPr>
      <w:r w:rsidRPr="00CC6C94">
        <w:rPr>
          <w:rFonts w:cs="Arial"/>
          <w:b/>
          <w:sz w:val="20"/>
          <w:szCs w:val="20"/>
          <w:u w:val="single"/>
        </w:rPr>
        <w:t xml:space="preserve">Appeal </w:t>
      </w:r>
      <w:proofErr w:type="gramStart"/>
      <w:r w:rsidRPr="00CC6C94">
        <w:rPr>
          <w:rFonts w:cs="Arial"/>
          <w:b/>
          <w:sz w:val="20"/>
          <w:szCs w:val="20"/>
          <w:u w:val="single"/>
        </w:rPr>
        <w:t>point</w:t>
      </w:r>
      <w:proofErr w:type="gramEnd"/>
      <w:r w:rsidRPr="00CC6C94">
        <w:rPr>
          <w:rFonts w:cs="Arial"/>
          <w:b/>
          <w:sz w:val="20"/>
          <w:szCs w:val="20"/>
          <w:u w:val="single"/>
        </w:rPr>
        <w:t xml:space="preserve"> 2.3</w:t>
      </w:r>
      <w:r w:rsidR="00DD6A93">
        <w:rPr>
          <w:rFonts w:cs="Arial"/>
          <w:b/>
          <w:sz w:val="20"/>
          <w:szCs w:val="20"/>
          <w:u w:val="single"/>
        </w:rPr>
        <w:t>:</w:t>
      </w:r>
      <w:r w:rsidRPr="00CC6C94">
        <w:rPr>
          <w:rFonts w:cs="Arial"/>
          <w:b/>
          <w:sz w:val="20"/>
          <w:szCs w:val="20"/>
          <w:u w:val="single"/>
        </w:rPr>
        <w:t xml:space="preserve"> The reasons in the FED for refusing to recommend an MAA were illogical</w:t>
      </w:r>
    </w:p>
    <w:p w14:paraId="4BF7C361" w14:textId="32D40F25" w:rsidR="00CC6C94" w:rsidRPr="00CC6C94" w:rsidRDefault="00CC6C94" w:rsidP="00CC6C94">
      <w:pPr>
        <w:spacing w:before="120" w:after="240"/>
        <w:rPr>
          <w:rFonts w:ascii="Arial" w:eastAsia="Times New Roman" w:hAnsi="Arial" w:cs="Arial"/>
          <w:color w:val="0D0D0D" w:themeColor="text1" w:themeTint="F2"/>
          <w:sz w:val="20"/>
          <w:szCs w:val="20"/>
          <w:lang w:eastAsia="en-GB"/>
        </w:rPr>
      </w:pPr>
      <w:r w:rsidRPr="00CC6C94">
        <w:rPr>
          <w:rFonts w:ascii="Arial" w:eastAsia="Times New Roman" w:hAnsi="Arial" w:cs="Arial"/>
          <w:color w:val="0D0D0D" w:themeColor="text1" w:themeTint="F2"/>
          <w:sz w:val="20"/>
          <w:szCs w:val="20"/>
          <w:lang w:eastAsia="en-GB"/>
        </w:rPr>
        <w:t>I confirm my view that this is</w:t>
      </w:r>
      <w:r>
        <w:rPr>
          <w:rFonts w:ascii="Arial" w:eastAsia="Times New Roman" w:hAnsi="Arial" w:cs="Arial"/>
          <w:color w:val="0D0D0D" w:themeColor="text1" w:themeTint="F2"/>
          <w:sz w:val="20"/>
          <w:szCs w:val="20"/>
          <w:lang w:eastAsia="en-GB"/>
        </w:rPr>
        <w:t xml:space="preserve"> </w:t>
      </w:r>
      <w:r w:rsidRPr="00CC6C94">
        <w:rPr>
          <w:rFonts w:ascii="Arial" w:eastAsia="Times New Roman" w:hAnsi="Arial" w:cs="Arial"/>
          <w:color w:val="0D0D0D" w:themeColor="text1" w:themeTint="F2"/>
          <w:sz w:val="20"/>
          <w:szCs w:val="20"/>
          <w:lang w:eastAsia="en-GB"/>
        </w:rPr>
        <w:t>a valid appeal</w:t>
      </w:r>
      <w:r>
        <w:rPr>
          <w:rFonts w:ascii="Arial" w:eastAsia="Times New Roman" w:hAnsi="Arial" w:cs="Arial"/>
          <w:color w:val="0D0D0D" w:themeColor="text1" w:themeTint="F2"/>
          <w:sz w:val="20"/>
          <w:szCs w:val="20"/>
          <w:lang w:eastAsia="en-GB"/>
        </w:rPr>
        <w:t xml:space="preserve"> point</w:t>
      </w:r>
      <w:r w:rsidRPr="00CC6C94">
        <w:rPr>
          <w:rFonts w:ascii="Arial" w:eastAsia="Times New Roman" w:hAnsi="Arial" w:cs="Arial"/>
          <w:color w:val="0D0D0D" w:themeColor="text1" w:themeTint="F2"/>
          <w:sz w:val="20"/>
          <w:szCs w:val="20"/>
          <w:lang w:eastAsia="en-GB"/>
        </w:rPr>
        <w:t xml:space="preserve"> and refer it to the Appeal Panel.</w:t>
      </w:r>
    </w:p>
    <w:p w14:paraId="2AE0B2E9" w14:textId="42361824" w:rsidR="00CC6C94" w:rsidRPr="00CC6C94" w:rsidRDefault="00CC6C94" w:rsidP="00CC6C94">
      <w:pPr>
        <w:pStyle w:val="Paragraph"/>
        <w:numPr>
          <w:ilvl w:val="0"/>
          <w:numId w:val="0"/>
        </w:numPr>
        <w:spacing w:before="120"/>
        <w:jc w:val="both"/>
        <w:rPr>
          <w:rFonts w:cs="Arial"/>
          <w:b/>
          <w:sz w:val="20"/>
          <w:szCs w:val="20"/>
          <w:u w:val="single"/>
        </w:rPr>
      </w:pPr>
      <w:r w:rsidRPr="00CC6C94">
        <w:rPr>
          <w:rFonts w:cs="Arial"/>
          <w:b/>
          <w:sz w:val="20"/>
          <w:szCs w:val="20"/>
          <w:u w:val="single"/>
        </w:rPr>
        <w:t xml:space="preserve">Appeal </w:t>
      </w:r>
      <w:proofErr w:type="gramStart"/>
      <w:r w:rsidRPr="00CC6C94">
        <w:rPr>
          <w:rFonts w:cs="Arial"/>
          <w:b/>
          <w:sz w:val="20"/>
          <w:szCs w:val="20"/>
          <w:u w:val="single"/>
        </w:rPr>
        <w:t>point</w:t>
      </w:r>
      <w:proofErr w:type="gramEnd"/>
      <w:r w:rsidRPr="00CC6C94">
        <w:rPr>
          <w:rFonts w:cs="Arial"/>
          <w:b/>
          <w:sz w:val="20"/>
          <w:szCs w:val="20"/>
          <w:u w:val="single"/>
        </w:rPr>
        <w:t xml:space="preserve"> 2.4</w:t>
      </w:r>
      <w:r w:rsidR="00DD6A93">
        <w:rPr>
          <w:rFonts w:cs="Arial"/>
          <w:b/>
          <w:sz w:val="20"/>
          <w:szCs w:val="20"/>
          <w:u w:val="single"/>
        </w:rPr>
        <w:t>:</w:t>
      </w:r>
      <w:r w:rsidRPr="00CC6C94">
        <w:rPr>
          <w:rFonts w:cs="Arial"/>
          <w:b/>
          <w:sz w:val="20"/>
          <w:szCs w:val="20"/>
          <w:u w:val="single"/>
        </w:rPr>
        <w:t xml:space="preserve"> The emphasis placed by the Committee and NICE on the importance and usefulness of a vignette study to inform the QALY was irrational</w:t>
      </w:r>
    </w:p>
    <w:p w14:paraId="2907D13C" w14:textId="352A04A3" w:rsidR="00CC6C94" w:rsidRPr="00CC6C94" w:rsidRDefault="00CC6C94" w:rsidP="00CC6C94">
      <w:pPr>
        <w:spacing w:before="120" w:after="240"/>
        <w:rPr>
          <w:rFonts w:ascii="Arial" w:eastAsia="Times New Roman" w:hAnsi="Arial" w:cs="Arial"/>
          <w:color w:val="0D0D0D" w:themeColor="text1" w:themeTint="F2"/>
          <w:sz w:val="20"/>
          <w:szCs w:val="20"/>
          <w:lang w:eastAsia="en-GB"/>
        </w:rPr>
      </w:pPr>
      <w:r w:rsidRPr="00CC6C94">
        <w:rPr>
          <w:rFonts w:ascii="Arial" w:eastAsia="Times New Roman" w:hAnsi="Arial" w:cs="Arial"/>
          <w:color w:val="0D0D0D" w:themeColor="text1" w:themeTint="F2"/>
          <w:sz w:val="20"/>
          <w:szCs w:val="20"/>
          <w:lang w:eastAsia="en-GB"/>
        </w:rPr>
        <w:t xml:space="preserve">I confirm my view that this is a valid appeal </w:t>
      </w:r>
      <w:r>
        <w:rPr>
          <w:rFonts w:ascii="Arial" w:eastAsia="Times New Roman" w:hAnsi="Arial" w:cs="Arial"/>
          <w:color w:val="0D0D0D" w:themeColor="text1" w:themeTint="F2"/>
          <w:sz w:val="20"/>
          <w:szCs w:val="20"/>
          <w:lang w:eastAsia="en-GB"/>
        </w:rPr>
        <w:t xml:space="preserve">point </w:t>
      </w:r>
      <w:r w:rsidRPr="00CC6C94">
        <w:rPr>
          <w:rFonts w:ascii="Arial" w:eastAsia="Times New Roman" w:hAnsi="Arial" w:cs="Arial"/>
          <w:color w:val="0D0D0D" w:themeColor="text1" w:themeTint="F2"/>
          <w:sz w:val="20"/>
          <w:szCs w:val="20"/>
          <w:lang w:eastAsia="en-GB"/>
        </w:rPr>
        <w:t>and refer it to the Appeal Panel.</w:t>
      </w:r>
    </w:p>
    <w:p w14:paraId="4E396BC5" w14:textId="775B47E3" w:rsidR="00CC6C94" w:rsidRPr="00CC6C94" w:rsidRDefault="00CC6C94" w:rsidP="00CC6C94">
      <w:pPr>
        <w:spacing w:before="240" w:after="240"/>
        <w:jc w:val="both"/>
        <w:rPr>
          <w:rFonts w:ascii="Arial" w:hAnsi="Arial" w:cs="Arial"/>
          <w:sz w:val="20"/>
          <w:szCs w:val="20"/>
        </w:rPr>
      </w:pPr>
      <w:r w:rsidRPr="00CC6C94">
        <w:rPr>
          <w:rFonts w:ascii="Arial" w:hAnsi="Arial" w:cs="Arial"/>
          <w:b/>
          <w:sz w:val="20"/>
          <w:szCs w:val="20"/>
          <w:u w:val="single"/>
        </w:rPr>
        <w:t xml:space="preserve">Appeal </w:t>
      </w:r>
      <w:proofErr w:type="gramStart"/>
      <w:r w:rsidRPr="00CC6C94">
        <w:rPr>
          <w:rFonts w:ascii="Arial" w:hAnsi="Arial" w:cs="Arial"/>
          <w:b/>
          <w:sz w:val="20"/>
          <w:szCs w:val="20"/>
          <w:u w:val="single"/>
        </w:rPr>
        <w:t>point</w:t>
      </w:r>
      <w:proofErr w:type="gramEnd"/>
      <w:r w:rsidRPr="00CC6C94">
        <w:rPr>
          <w:rFonts w:ascii="Arial" w:hAnsi="Arial" w:cs="Arial"/>
          <w:b/>
          <w:sz w:val="20"/>
          <w:szCs w:val="20"/>
          <w:u w:val="single"/>
        </w:rPr>
        <w:t xml:space="preserve"> 2.5</w:t>
      </w:r>
      <w:r w:rsidR="00DD6A93">
        <w:rPr>
          <w:rFonts w:ascii="Arial" w:hAnsi="Arial" w:cs="Arial"/>
          <w:b/>
          <w:sz w:val="20"/>
          <w:szCs w:val="20"/>
          <w:u w:val="single"/>
        </w:rPr>
        <w:t>:</w:t>
      </w:r>
      <w:r w:rsidRPr="00CC6C94">
        <w:rPr>
          <w:rFonts w:ascii="Arial" w:hAnsi="Arial" w:cs="Arial"/>
          <w:sz w:val="20"/>
          <w:szCs w:val="20"/>
          <w:u w:val="single"/>
        </w:rPr>
        <w:t xml:space="preserve"> </w:t>
      </w:r>
      <w:r w:rsidRPr="00CC6C94">
        <w:rPr>
          <w:rFonts w:ascii="Arial" w:hAnsi="Arial" w:cs="Arial"/>
          <w:b/>
          <w:sz w:val="20"/>
          <w:szCs w:val="20"/>
          <w:u w:val="single"/>
        </w:rPr>
        <w:t>The failure to place any (or any adequate) weight on treatment adherence data was irrational</w:t>
      </w:r>
    </w:p>
    <w:p w14:paraId="44AD24F5" w14:textId="57594E97" w:rsidR="00D770E0" w:rsidRPr="00CC6C94" w:rsidRDefault="00D770E0" w:rsidP="00D770E0">
      <w:pPr>
        <w:spacing w:before="120" w:after="240"/>
        <w:rPr>
          <w:rFonts w:ascii="Arial" w:eastAsia="Times New Roman" w:hAnsi="Arial" w:cs="Arial"/>
          <w:color w:val="0D0D0D" w:themeColor="text1" w:themeTint="F2"/>
          <w:sz w:val="20"/>
          <w:szCs w:val="20"/>
          <w:lang w:eastAsia="en-GB"/>
        </w:rPr>
      </w:pPr>
      <w:r w:rsidRPr="00CC6C94">
        <w:rPr>
          <w:rFonts w:ascii="Arial" w:eastAsia="Times New Roman" w:hAnsi="Arial" w:cs="Arial"/>
          <w:color w:val="0D0D0D" w:themeColor="text1" w:themeTint="F2"/>
          <w:sz w:val="20"/>
          <w:szCs w:val="20"/>
          <w:lang w:eastAsia="en-GB"/>
        </w:rPr>
        <w:t xml:space="preserve">Having considered the additional arguments made in your letter of </w:t>
      </w:r>
      <w:r w:rsidR="00CC6C94" w:rsidRPr="00CC6C94">
        <w:rPr>
          <w:rFonts w:ascii="Arial" w:eastAsia="Times New Roman" w:hAnsi="Arial" w:cs="Arial"/>
          <w:color w:val="0D0D0D" w:themeColor="text1" w:themeTint="F2"/>
          <w:sz w:val="20"/>
          <w:szCs w:val="20"/>
          <w:lang w:eastAsia="en-GB"/>
        </w:rPr>
        <w:t>18 April 2023</w:t>
      </w:r>
      <w:r w:rsidRPr="00CC6C94">
        <w:rPr>
          <w:rFonts w:ascii="Arial" w:eastAsia="Times New Roman" w:hAnsi="Arial" w:cs="Arial"/>
          <w:color w:val="0D0D0D" w:themeColor="text1" w:themeTint="F2"/>
          <w:sz w:val="20"/>
          <w:szCs w:val="20"/>
          <w:lang w:eastAsia="en-GB"/>
        </w:rPr>
        <w:t>, I agree that this is a valid appeal point.</w:t>
      </w:r>
      <w:r w:rsidR="00CC6C94" w:rsidRPr="00CC6C94">
        <w:rPr>
          <w:rFonts w:ascii="Arial" w:eastAsia="Times New Roman" w:hAnsi="Arial" w:cs="Arial"/>
          <w:color w:val="0D0D0D" w:themeColor="text1" w:themeTint="F2"/>
          <w:sz w:val="20"/>
          <w:szCs w:val="20"/>
          <w:lang w:eastAsia="en-GB"/>
        </w:rPr>
        <w:t xml:space="preserve">  </w:t>
      </w:r>
    </w:p>
    <w:p w14:paraId="53122AA3" w14:textId="0A7B12C4" w:rsidR="00CC6C94" w:rsidRPr="00CC6C94" w:rsidRDefault="00CC6C94" w:rsidP="00CC6C94">
      <w:pPr>
        <w:pStyle w:val="Paragraph"/>
        <w:numPr>
          <w:ilvl w:val="0"/>
          <w:numId w:val="0"/>
        </w:numPr>
        <w:spacing w:before="120"/>
        <w:jc w:val="both"/>
        <w:rPr>
          <w:rFonts w:cs="Arial"/>
          <w:b/>
          <w:sz w:val="20"/>
          <w:szCs w:val="20"/>
          <w:u w:val="single"/>
        </w:rPr>
      </w:pPr>
      <w:r w:rsidRPr="00CC6C94">
        <w:rPr>
          <w:rFonts w:cs="Arial"/>
          <w:b/>
          <w:sz w:val="20"/>
          <w:szCs w:val="20"/>
          <w:u w:val="single"/>
        </w:rPr>
        <w:t xml:space="preserve">Appeal </w:t>
      </w:r>
      <w:proofErr w:type="gramStart"/>
      <w:r w:rsidRPr="00CC6C94">
        <w:rPr>
          <w:rFonts w:cs="Arial"/>
          <w:b/>
          <w:sz w:val="20"/>
          <w:szCs w:val="20"/>
          <w:u w:val="single"/>
        </w:rPr>
        <w:t>point</w:t>
      </w:r>
      <w:proofErr w:type="gramEnd"/>
      <w:r w:rsidRPr="00CC6C94">
        <w:rPr>
          <w:rFonts w:cs="Arial"/>
          <w:b/>
          <w:sz w:val="20"/>
          <w:szCs w:val="20"/>
          <w:u w:val="single"/>
        </w:rPr>
        <w:t xml:space="preserve"> 2.6</w:t>
      </w:r>
      <w:r w:rsidR="00DD6A93">
        <w:rPr>
          <w:rFonts w:cs="Arial"/>
          <w:b/>
          <w:sz w:val="20"/>
          <w:szCs w:val="20"/>
          <w:u w:val="single"/>
        </w:rPr>
        <w:t>:</w:t>
      </w:r>
      <w:r w:rsidRPr="00CC6C94">
        <w:rPr>
          <w:rFonts w:cs="Arial"/>
          <w:sz w:val="20"/>
          <w:szCs w:val="20"/>
          <w:u w:val="single"/>
        </w:rPr>
        <w:t xml:space="preserve"> </w:t>
      </w:r>
      <w:r w:rsidRPr="00CC6C94">
        <w:rPr>
          <w:rFonts w:cs="Arial"/>
          <w:b/>
          <w:sz w:val="20"/>
          <w:szCs w:val="20"/>
          <w:u w:val="single"/>
        </w:rPr>
        <w:t>The failure to place any (or any adequate) weight on data from post-authorisation and observational studies was irrational</w:t>
      </w:r>
    </w:p>
    <w:p w14:paraId="20C8F31F" w14:textId="77777777" w:rsidR="00CC6C94" w:rsidRPr="00CC6C94" w:rsidRDefault="00CC6C94" w:rsidP="00CC6C94">
      <w:pPr>
        <w:spacing w:before="120" w:after="240"/>
        <w:rPr>
          <w:rFonts w:ascii="Arial" w:hAnsi="Arial" w:cs="Arial"/>
          <w:sz w:val="20"/>
          <w:szCs w:val="20"/>
        </w:rPr>
      </w:pPr>
      <w:r w:rsidRPr="00CC6C94">
        <w:rPr>
          <w:rFonts w:ascii="Arial" w:hAnsi="Arial" w:cs="Arial"/>
          <w:sz w:val="20"/>
          <w:szCs w:val="20"/>
        </w:rPr>
        <w:t>I confirm my view that this is not a valid free-standing appeal point, as it does not raise issues that fall outside the scope of appeal point 2.4, which I have referred to the Appeal Panel.</w:t>
      </w:r>
    </w:p>
    <w:p w14:paraId="2AADAF28" w14:textId="0C2402C2" w:rsidR="005A7A7D" w:rsidRPr="00CC6C94" w:rsidRDefault="00CC6C94" w:rsidP="00CC6C94">
      <w:pPr>
        <w:spacing w:before="120" w:after="240"/>
        <w:rPr>
          <w:rFonts w:ascii="Arial" w:eastAsia="Times New Roman" w:hAnsi="Arial" w:cs="Arial"/>
          <w:sz w:val="20"/>
          <w:szCs w:val="20"/>
          <w:u w:val="single"/>
        </w:rPr>
      </w:pPr>
      <w:r w:rsidRPr="00CC6C94">
        <w:rPr>
          <w:rFonts w:ascii="Arial" w:hAnsi="Arial" w:cs="Arial"/>
          <w:sz w:val="20"/>
          <w:szCs w:val="20"/>
        </w:rPr>
        <w:t xml:space="preserve"> </w:t>
      </w:r>
      <w:r w:rsidR="005A7A7D" w:rsidRPr="00CC6C94">
        <w:rPr>
          <w:rFonts w:ascii="Arial" w:eastAsia="Times New Roman" w:hAnsi="Arial" w:cs="Arial"/>
          <w:sz w:val="20"/>
          <w:szCs w:val="20"/>
          <w:u w:val="single"/>
        </w:rPr>
        <w:t>Conclusion</w:t>
      </w:r>
    </w:p>
    <w:p w14:paraId="64256DC4" w14:textId="77777777" w:rsidR="005A7A7D" w:rsidRPr="00CC6C94" w:rsidRDefault="005A7A7D" w:rsidP="005A7A7D">
      <w:pPr>
        <w:spacing w:before="120" w:after="240"/>
        <w:jc w:val="both"/>
        <w:rPr>
          <w:rFonts w:ascii="Arial" w:eastAsia="Times New Roman" w:hAnsi="Arial" w:cs="Arial"/>
          <w:sz w:val="20"/>
          <w:szCs w:val="20"/>
        </w:rPr>
      </w:pPr>
      <w:proofErr w:type="gramStart"/>
      <w:r w:rsidRPr="00CC6C94">
        <w:rPr>
          <w:rFonts w:ascii="Arial" w:eastAsia="Times New Roman" w:hAnsi="Arial" w:cs="Arial"/>
          <w:sz w:val="20"/>
          <w:szCs w:val="20"/>
        </w:rPr>
        <w:lastRenderedPageBreak/>
        <w:t>Therefore</w:t>
      </w:r>
      <w:proofErr w:type="gramEnd"/>
      <w:r w:rsidRPr="00CC6C94">
        <w:rPr>
          <w:rFonts w:ascii="Arial" w:eastAsia="Times New Roman" w:hAnsi="Arial" w:cs="Arial"/>
          <w:sz w:val="20"/>
          <w:szCs w:val="20"/>
        </w:rPr>
        <w:t xml:space="preserve"> the valid appeal points are:</w:t>
      </w:r>
    </w:p>
    <w:p w14:paraId="0AF0E90C" w14:textId="3DC72838" w:rsidR="005A7A7D" w:rsidRDefault="00CC6C94" w:rsidP="00DD6A93">
      <w:pPr>
        <w:pStyle w:val="ListParagraph"/>
        <w:numPr>
          <w:ilvl w:val="0"/>
          <w:numId w:val="11"/>
        </w:numPr>
        <w:spacing w:before="120" w:after="240"/>
        <w:jc w:val="both"/>
        <w:rPr>
          <w:rFonts w:cs="Arial"/>
          <w:bCs/>
        </w:rPr>
      </w:pPr>
      <w:r w:rsidRPr="00DD6A93">
        <w:rPr>
          <w:rFonts w:cs="Arial"/>
          <w:bCs/>
        </w:rPr>
        <w:t xml:space="preserve">Appeal </w:t>
      </w:r>
      <w:proofErr w:type="gramStart"/>
      <w:r w:rsidRPr="00DD6A93">
        <w:rPr>
          <w:rFonts w:cs="Arial"/>
          <w:bCs/>
        </w:rPr>
        <w:t>point</w:t>
      </w:r>
      <w:proofErr w:type="gramEnd"/>
      <w:r w:rsidRPr="00DD6A93">
        <w:rPr>
          <w:rFonts w:cs="Arial"/>
          <w:bCs/>
        </w:rPr>
        <w:t xml:space="preserve"> 1(a).1; The procedure followed by the Committee was not sufficiently transparent</w:t>
      </w:r>
      <w:r w:rsidR="00DD6A93">
        <w:rPr>
          <w:rFonts w:cs="Arial"/>
          <w:bCs/>
        </w:rPr>
        <w:t>.</w:t>
      </w:r>
    </w:p>
    <w:p w14:paraId="1C5EBE2B" w14:textId="77777777" w:rsidR="00DD6A93" w:rsidRPr="00DD6A93" w:rsidRDefault="00DD6A93" w:rsidP="00DD6A93">
      <w:pPr>
        <w:pStyle w:val="ListParagraph"/>
        <w:spacing w:before="120" w:after="240"/>
        <w:ind w:left="1080"/>
        <w:jc w:val="both"/>
        <w:rPr>
          <w:rFonts w:cs="Arial"/>
          <w:bCs/>
        </w:rPr>
      </w:pPr>
    </w:p>
    <w:p w14:paraId="572939F7" w14:textId="1AB34CF9" w:rsidR="005A7A7D" w:rsidRDefault="00CC6C94" w:rsidP="00DD6A93">
      <w:pPr>
        <w:pStyle w:val="ListParagraph"/>
        <w:numPr>
          <w:ilvl w:val="0"/>
          <w:numId w:val="11"/>
        </w:numPr>
        <w:spacing w:before="120" w:after="240"/>
        <w:jc w:val="both"/>
        <w:rPr>
          <w:rFonts w:cs="Arial"/>
          <w:bCs/>
        </w:rPr>
      </w:pPr>
      <w:r w:rsidRPr="00DD6A93">
        <w:rPr>
          <w:rFonts w:cs="Arial"/>
          <w:bCs/>
        </w:rPr>
        <w:t xml:space="preserve">Appeal </w:t>
      </w:r>
      <w:proofErr w:type="gramStart"/>
      <w:r w:rsidRPr="00DD6A93">
        <w:rPr>
          <w:rFonts w:cs="Arial"/>
          <w:bCs/>
        </w:rPr>
        <w:t>point</w:t>
      </w:r>
      <w:proofErr w:type="gramEnd"/>
      <w:r w:rsidRPr="00DD6A93">
        <w:rPr>
          <w:rFonts w:cs="Arial"/>
          <w:bCs/>
        </w:rPr>
        <w:t xml:space="preserve"> 1(a).3</w:t>
      </w:r>
      <w:r w:rsidR="00DD6A93">
        <w:rPr>
          <w:rFonts w:cs="Arial"/>
          <w:bCs/>
        </w:rPr>
        <w:t>:</w:t>
      </w:r>
      <w:r w:rsidRPr="00DD6A93">
        <w:rPr>
          <w:rFonts w:cs="Arial"/>
          <w:bCs/>
        </w:rPr>
        <w:t xml:space="preserve"> NICE acted unfairly by reason of delay</w:t>
      </w:r>
    </w:p>
    <w:p w14:paraId="7764CF4E" w14:textId="77777777" w:rsidR="00DD6A93" w:rsidRPr="00DD6A93" w:rsidRDefault="00DD6A93" w:rsidP="00DD6A93">
      <w:pPr>
        <w:pStyle w:val="ListParagraph"/>
        <w:rPr>
          <w:rFonts w:cs="Arial"/>
          <w:bCs/>
        </w:rPr>
      </w:pPr>
    </w:p>
    <w:p w14:paraId="63A192F1" w14:textId="0227A143" w:rsidR="005A7A7D" w:rsidRDefault="00CC6C94" w:rsidP="00DD6A93">
      <w:pPr>
        <w:pStyle w:val="ListParagraph"/>
        <w:numPr>
          <w:ilvl w:val="0"/>
          <w:numId w:val="11"/>
        </w:numPr>
        <w:spacing w:before="120" w:after="240"/>
        <w:jc w:val="both"/>
        <w:rPr>
          <w:rFonts w:cs="Arial"/>
          <w:bCs/>
        </w:rPr>
      </w:pPr>
      <w:r w:rsidRPr="00DD6A93">
        <w:rPr>
          <w:rFonts w:cs="Arial"/>
          <w:bCs/>
        </w:rPr>
        <w:t xml:space="preserve">Appeal </w:t>
      </w:r>
      <w:proofErr w:type="gramStart"/>
      <w:r w:rsidRPr="00DD6A93">
        <w:rPr>
          <w:rFonts w:cs="Arial"/>
          <w:bCs/>
        </w:rPr>
        <w:t>point</w:t>
      </w:r>
      <w:proofErr w:type="gramEnd"/>
      <w:r w:rsidRPr="00DD6A93">
        <w:rPr>
          <w:rFonts w:cs="Arial"/>
          <w:bCs/>
        </w:rPr>
        <w:t xml:space="preserve"> 1(b).</w:t>
      </w:r>
      <w:r w:rsidR="00DD6A93">
        <w:rPr>
          <w:rFonts w:cs="Arial"/>
          <w:bCs/>
        </w:rPr>
        <w:t>1:</w:t>
      </w:r>
      <w:r w:rsidRPr="00DD6A93">
        <w:rPr>
          <w:rFonts w:cs="Arial"/>
          <w:bCs/>
        </w:rPr>
        <w:t xml:space="preserve"> NICE breached its duties under the Equality Act 2010</w:t>
      </w:r>
    </w:p>
    <w:p w14:paraId="650F9A3E" w14:textId="77777777" w:rsidR="00DD6A93" w:rsidRPr="00DD6A93" w:rsidRDefault="00DD6A93" w:rsidP="00DD6A93">
      <w:pPr>
        <w:pStyle w:val="ListParagraph"/>
        <w:rPr>
          <w:rFonts w:cs="Arial"/>
          <w:bCs/>
        </w:rPr>
      </w:pPr>
    </w:p>
    <w:p w14:paraId="488F1C10" w14:textId="53ACD340" w:rsidR="005A7A7D" w:rsidRDefault="00CC6C94" w:rsidP="00DD6A93">
      <w:pPr>
        <w:pStyle w:val="ListParagraph"/>
        <w:numPr>
          <w:ilvl w:val="0"/>
          <w:numId w:val="11"/>
        </w:numPr>
        <w:spacing w:before="120" w:after="240"/>
        <w:jc w:val="both"/>
        <w:rPr>
          <w:rFonts w:cs="Arial"/>
          <w:bCs/>
        </w:rPr>
      </w:pPr>
      <w:r w:rsidRPr="00DD6A93">
        <w:rPr>
          <w:rFonts w:cs="Arial"/>
          <w:bCs/>
        </w:rPr>
        <w:t xml:space="preserve">Appeal </w:t>
      </w:r>
      <w:proofErr w:type="gramStart"/>
      <w:r w:rsidRPr="00DD6A93">
        <w:rPr>
          <w:rFonts w:cs="Arial"/>
          <w:bCs/>
        </w:rPr>
        <w:t>point</w:t>
      </w:r>
      <w:proofErr w:type="gramEnd"/>
      <w:r w:rsidRPr="00DD6A93">
        <w:rPr>
          <w:rFonts w:cs="Arial"/>
          <w:bCs/>
        </w:rPr>
        <w:t xml:space="preserve"> 2.1: The Committee’s decision-making did not follow the relevant NICE Principles</w:t>
      </w:r>
    </w:p>
    <w:p w14:paraId="7F4D9253" w14:textId="77777777" w:rsidR="00DD6A93" w:rsidRPr="00DD6A93" w:rsidRDefault="00DD6A93" w:rsidP="00DD6A93">
      <w:pPr>
        <w:pStyle w:val="ListParagraph"/>
        <w:rPr>
          <w:rFonts w:cs="Arial"/>
          <w:bCs/>
        </w:rPr>
      </w:pPr>
    </w:p>
    <w:p w14:paraId="35347CF6" w14:textId="2F06A790" w:rsidR="005A7A7D" w:rsidRDefault="00CC6C94" w:rsidP="00DD6A93">
      <w:pPr>
        <w:pStyle w:val="ListParagraph"/>
        <w:numPr>
          <w:ilvl w:val="0"/>
          <w:numId w:val="11"/>
        </w:numPr>
        <w:spacing w:before="120" w:after="240"/>
        <w:jc w:val="both"/>
        <w:rPr>
          <w:rFonts w:cs="Arial"/>
          <w:bCs/>
        </w:rPr>
      </w:pPr>
      <w:r w:rsidRPr="00DD6A93">
        <w:rPr>
          <w:rFonts w:cs="Arial"/>
          <w:bCs/>
        </w:rPr>
        <w:t xml:space="preserve">Appeal </w:t>
      </w:r>
      <w:proofErr w:type="gramStart"/>
      <w:r w:rsidRPr="00DD6A93">
        <w:rPr>
          <w:rFonts w:cs="Arial"/>
          <w:bCs/>
        </w:rPr>
        <w:t>point</w:t>
      </w:r>
      <w:proofErr w:type="gramEnd"/>
      <w:r w:rsidRPr="00DD6A93">
        <w:rPr>
          <w:rFonts w:cs="Arial"/>
          <w:bCs/>
        </w:rPr>
        <w:t xml:space="preserve"> 2.2</w:t>
      </w:r>
      <w:r w:rsidR="00DD6A93">
        <w:rPr>
          <w:rFonts w:cs="Arial"/>
          <w:bCs/>
        </w:rPr>
        <w:t>:</w:t>
      </w:r>
      <w:r w:rsidRPr="00DD6A93">
        <w:rPr>
          <w:rFonts w:cs="Arial"/>
          <w:bCs/>
        </w:rPr>
        <w:t xml:space="preserve"> It was unreasonable for the Committee to conclude that </w:t>
      </w:r>
      <w:proofErr w:type="spellStart"/>
      <w:r w:rsidRPr="00DD6A93">
        <w:rPr>
          <w:rFonts w:cs="Arial"/>
          <w:bCs/>
        </w:rPr>
        <w:t>afamelanotide</w:t>
      </w:r>
      <w:proofErr w:type="spellEnd"/>
      <w:r w:rsidRPr="00DD6A93">
        <w:rPr>
          <w:rFonts w:cs="Arial"/>
          <w:bCs/>
        </w:rPr>
        <w:t xml:space="preserve"> could not be recommended for funding on the basis of the ICERs falling outside the normal range in the HST Process Guide</w:t>
      </w:r>
    </w:p>
    <w:p w14:paraId="00C60658" w14:textId="77777777" w:rsidR="00DD6A93" w:rsidRPr="00DD6A93" w:rsidRDefault="00DD6A93" w:rsidP="00DD6A93">
      <w:pPr>
        <w:pStyle w:val="ListParagraph"/>
        <w:rPr>
          <w:rFonts w:cs="Arial"/>
          <w:bCs/>
        </w:rPr>
      </w:pPr>
    </w:p>
    <w:p w14:paraId="39AAB977" w14:textId="57AE2522" w:rsidR="005A7A7D" w:rsidRPr="00DD6A93" w:rsidRDefault="00CC6C94" w:rsidP="00DD6A93">
      <w:pPr>
        <w:pStyle w:val="ListParagraph"/>
        <w:numPr>
          <w:ilvl w:val="0"/>
          <w:numId w:val="11"/>
        </w:numPr>
        <w:spacing w:before="120" w:after="240"/>
        <w:jc w:val="both"/>
        <w:rPr>
          <w:rFonts w:cs="Arial"/>
          <w:bCs/>
        </w:rPr>
      </w:pPr>
      <w:r w:rsidRPr="00DD6A93">
        <w:rPr>
          <w:rFonts w:cs="Arial"/>
          <w:bCs/>
        </w:rPr>
        <w:t xml:space="preserve">Appeal </w:t>
      </w:r>
      <w:proofErr w:type="gramStart"/>
      <w:r w:rsidRPr="00DD6A93">
        <w:rPr>
          <w:rFonts w:cs="Arial"/>
          <w:bCs/>
        </w:rPr>
        <w:t>point</w:t>
      </w:r>
      <w:proofErr w:type="gramEnd"/>
      <w:r w:rsidRPr="00DD6A93">
        <w:rPr>
          <w:rFonts w:cs="Arial"/>
          <w:bCs/>
        </w:rPr>
        <w:t xml:space="preserve"> 2.3</w:t>
      </w:r>
      <w:r w:rsidR="00DD6A93">
        <w:rPr>
          <w:rFonts w:cs="Arial"/>
          <w:bCs/>
        </w:rPr>
        <w:t>:</w:t>
      </w:r>
      <w:r w:rsidRPr="00DD6A93">
        <w:rPr>
          <w:rFonts w:cs="Arial"/>
          <w:bCs/>
        </w:rPr>
        <w:t xml:space="preserve"> The reasons in the FED for refusing to recommend an MAA were illogical</w:t>
      </w:r>
    </w:p>
    <w:p w14:paraId="31E9E0C9" w14:textId="20294E1C" w:rsidR="00CC6C94" w:rsidRPr="00DD6A93" w:rsidRDefault="00CC6C94" w:rsidP="00DD6A93">
      <w:pPr>
        <w:pStyle w:val="Paragraph"/>
        <w:numPr>
          <w:ilvl w:val="0"/>
          <w:numId w:val="11"/>
        </w:numPr>
        <w:spacing w:before="120"/>
        <w:jc w:val="both"/>
        <w:rPr>
          <w:rFonts w:cs="Arial"/>
          <w:bCs/>
          <w:sz w:val="20"/>
          <w:szCs w:val="20"/>
        </w:rPr>
      </w:pPr>
      <w:r w:rsidRPr="00DD6A93">
        <w:rPr>
          <w:rFonts w:cs="Arial"/>
          <w:bCs/>
          <w:sz w:val="20"/>
          <w:szCs w:val="20"/>
        </w:rPr>
        <w:t xml:space="preserve">Appeal </w:t>
      </w:r>
      <w:proofErr w:type="gramStart"/>
      <w:r w:rsidRPr="00DD6A93">
        <w:rPr>
          <w:rFonts w:cs="Arial"/>
          <w:bCs/>
          <w:sz w:val="20"/>
          <w:szCs w:val="20"/>
        </w:rPr>
        <w:t>point</w:t>
      </w:r>
      <w:proofErr w:type="gramEnd"/>
      <w:r w:rsidRPr="00DD6A93">
        <w:rPr>
          <w:rFonts w:cs="Arial"/>
          <w:bCs/>
          <w:sz w:val="20"/>
          <w:szCs w:val="20"/>
        </w:rPr>
        <w:t xml:space="preserve"> 2.4</w:t>
      </w:r>
      <w:r w:rsidR="00DD6A93">
        <w:rPr>
          <w:rFonts w:cs="Arial"/>
          <w:bCs/>
          <w:sz w:val="20"/>
          <w:szCs w:val="20"/>
        </w:rPr>
        <w:t>:</w:t>
      </w:r>
      <w:r w:rsidRPr="00DD6A93">
        <w:rPr>
          <w:rFonts w:cs="Arial"/>
          <w:bCs/>
          <w:sz w:val="20"/>
          <w:szCs w:val="20"/>
        </w:rPr>
        <w:t xml:space="preserve"> The emphasis placed by the Committee and NICE on the importance and usefulness of a vignette study to inform the QALY was irrational</w:t>
      </w:r>
    </w:p>
    <w:p w14:paraId="13D914FB" w14:textId="6783F059" w:rsidR="00CC6C94" w:rsidRPr="00DD6A93" w:rsidRDefault="00CC6C94" w:rsidP="00DD6A93">
      <w:pPr>
        <w:pStyle w:val="ListParagraph"/>
        <w:numPr>
          <w:ilvl w:val="0"/>
          <w:numId w:val="11"/>
        </w:numPr>
        <w:spacing w:before="240" w:after="240"/>
        <w:jc w:val="both"/>
        <w:rPr>
          <w:rFonts w:cs="Arial"/>
          <w:bCs/>
        </w:rPr>
      </w:pPr>
      <w:r w:rsidRPr="00DD6A93">
        <w:rPr>
          <w:rFonts w:cs="Arial"/>
          <w:bCs/>
        </w:rPr>
        <w:t xml:space="preserve">Appeal </w:t>
      </w:r>
      <w:proofErr w:type="gramStart"/>
      <w:r w:rsidRPr="00DD6A93">
        <w:rPr>
          <w:rFonts w:cs="Arial"/>
          <w:bCs/>
        </w:rPr>
        <w:t>point</w:t>
      </w:r>
      <w:proofErr w:type="gramEnd"/>
      <w:r w:rsidRPr="00DD6A93">
        <w:rPr>
          <w:rFonts w:cs="Arial"/>
          <w:bCs/>
        </w:rPr>
        <w:t xml:space="preserve"> 2.5</w:t>
      </w:r>
      <w:r w:rsidR="00DD6A93">
        <w:rPr>
          <w:rFonts w:cs="Arial"/>
          <w:bCs/>
        </w:rPr>
        <w:t>:</w:t>
      </w:r>
      <w:r w:rsidRPr="00DD6A93">
        <w:rPr>
          <w:rFonts w:cs="Arial"/>
          <w:bCs/>
        </w:rPr>
        <w:t xml:space="preserve"> The failure to place any (or any adequate) weight on treatment adherence data was irrational</w:t>
      </w:r>
    </w:p>
    <w:p w14:paraId="6599EABC" w14:textId="610F88DA" w:rsidR="005A7A7D" w:rsidRPr="00CC6C94" w:rsidRDefault="005A7A7D" w:rsidP="005A7A7D">
      <w:pPr>
        <w:spacing w:before="120" w:after="240"/>
        <w:jc w:val="both"/>
        <w:rPr>
          <w:rFonts w:ascii="Arial" w:eastAsia="Times New Roman" w:hAnsi="Arial" w:cs="Arial"/>
          <w:sz w:val="20"/>
          <w:szCs w:val="20"/>
        </w:rPr>
      </w:pPr>
      <w:r w:rsidRPr="00CC6C94">
        <w:rPr>
          <w:rFonts w:ascii="Arial" w:eastAsia="Times New Roman" w:hAnsi="Arial" w:cs="Arial"/>
          <w:sz w:val="20"/>
          <w:szCs w:val="20"/>
        </w:rPr>
        <w:t xml:space="preserve">NICE shares the valid appeal grounds of each appellant with the other appellants to assist with preparation for the hearing.  </w:t>
      </w:r>
      <w:r w:rsidR="0026266B">
        <w:rPr>
          <w:rFonts w:ascii="Arial" w:eastAsia="Times New Roman" w:hAnsi="Arial" w:cs="Arial"/>
          <w:sz w:val="20"/>
          <w:szCs w:val="20"/>
        </w:rPr>
        <w:t xml:space="preserve">These will be shared with you in the appeal papers. </w:t>
      </w:r>
    </w:p>
    <w:p w14:paraId="5CCF2CB3" w14:textId="77777777" w:rsidR="005A7A7D" w:rsidRPr="00CC6C94" w:rsidRDefault="005A7A7D" w:rsidP="005A7A7D">
      <w:pPr>
        <w:spacing w:before="120" w:after="240"/>
        <w:jc w:val="both"/>
        <w:rPr>
          <w:rFonts w:ascii="Arial" w:eastAsia="Times New Roman" w:hAnsi="Arial" w:cs="Arial"/>
          <w:sz w:val="20"/>
          <w:szCs w:val="20"/>
        </w:rPr>
      </w:pPr>
      <w:r w:rsidRPr="00CC6C94">
        <w:rPr>
          <w:rFonts w:ascii="Arial" w:eastAsia="Times New Roman" w:hAnsi="Arial" w:cs="Arial"/>
          <w:sz w:val="20"/>
          <w:szCs w:val="20"/>
        </w:rPr>
        <w:t xml:space="preserve">NICE will be in contact with you regarding the administration of the appeal, which will be held orally. </w:t>
      </w:r>
    </w:p>
    <w:p w14:paraId="12F2B947" w14:textId="77777777" w:rsidR="005A7A7D" w:rsidRPr="00CC6C94" w:rsidRDefault="005A7A7D" w:rsidP="005A7A7D">
      <w:pPr>
        <w:spacing w:before="120" w:after="240"/>
        <w:jc w:val="both"/>
        <w:rPr>
          <w:rFonts w:ascii="Arial" w:eastAsia="Times New Roman" w:hAnsi="Arial" w:cs="Arial"/>
          <w:sz w:val="20"/>
          <w:szCs w:val="20"/>
          <w:u w:val="single"/>
        </w:rPr>
      </w:pPr>
    </w:p>
    <w:p w14:paraId="04BAA200" w14:textId="77777777" w:rsidR="005A7A7D" w:rsidRDefault="005A7A7D" w:rsidP="005A7A7D">
      <w:pPr>
        <w:spacing w:before="120" w:after="240"/>
        <w:jc w:val="both"/>
        <w:rPr>
          <w:rFonts w:ascii="Arial" w:eastAsia="Times New Roman" w:hAnsi="Arial" w:cs="Arial"/>
          <w:sz w:val="20"/>
          <w:szCs w:val="20"/>
        </w:rPr>
      </w:pPr>
      <w:r w:rsidRPr="00CC6C94">
        <w:rPr>
          <w:rFonts w:ascii="Arial" w:eastAsia="Times New Roman" w:hAnsi="Arial" w:cs="Arial"/>
          <w:sz w:val="20"/>
          <w:szCs w:val="20"/>
        </w:rPr>
        <w:t>Yours sincerely</w:t>
      </w:r>
    </w:p>
    <w:p w14:paraId="6382142F" w14:textId="242B4A2D" w:rsidR="0026266B" w:rsidRPr="00CC6C94" w:rsidRDefault="0026266B" w:rsidP="005A7A7D">
      <w:pPr>
        <w:spacing w:before="120" w:after="240"/>
        <w:jc w:val="both"/>
        <w:rPr>
          <w:rFonts w:ascii="Arial" w:eastAsia="Times New Roman" w:hAnsi="Arial" w:cs="Arial"/>
          <w:sz w:val="20"/>
          <w:szCs w:val="20"/>
        </w:rPr>
      </w:pPr>
    </w:p>
    <w:p w14:paraId="06E59F3D" w14:textId="77777777" w:rsidR="005A7A7D" w:rsidRPr="00CC6C94" w:rsidRDefault="005A7A7D" w:rsidP="005A7A7D">
      <w:pPr>
        <w:spacing w:before="120" w:after="240"/>
        <w:jc w:val="both"/>
        <w:rPr>
          <w:rFonts w:ascii="Arial" w:eastAsia="Times New Roman" w:hAnsi="Arial" w:cs="Arial"/>
          <w:sz w:val="20"/>
          <w:szCs w:val="20"/>
        </w:rPr>
      </w:pPr>
      <w:r w:rsidRPr="00CC6C94">
        <w:rPr>
          <w:rFonts w:ascii="Arial" w:eastAsia="Times New Roman" w:hAnsi="Arial" w:cs="Arial"/>
          <w:sz w:val="20"/>
          <w:szCs w:val="20"/>
        </w:rPr>
        <w:t>Dr Mark Chakravarty</w:t>
      </w:r>
    </w:p>
    <w:p w14:paraId="321A9458" w14:textId="77777777" w:rsidR="005A7A7D" w:rsidRPr="00CC6C94" w:rsidRDefault="005A7A7D" w:rsidP="005A7A7D">
      <w:pPr>
        <w:spacing w:before="120" w:after="240"/>
        <w:jc w:val="both"/>
        <w:rPr>
          <w:rFonts w:ascii="Arial" w:eastAsia="Times New Roman" w:hAnsi="Arial" w:cs="Arial"/>
          <w:sz w:val="20"/>
          <w:szCs w:val="20"/>
        </w:rPr>
      </w:pPr>
      <w:r w:rsidRPr="00CC6C94">
        <w:rPr>
          <w:rFonts w:ascii="Arial" w:eastAsia="Times New Roman" w:hAnsi="Arial" w:cs="Arial"/>
          <w:sz w:val="20"/>
          <w:szCs w:val="20"/>
        </w:rPr>
        <w:t>Lead Non-Executive Director for Appeals &amp; Vice Chairman</w:t>
      </w:r>
    </w:p>
    <w:p w14:paraId="40B9BBC0" w14:textId="77777777" w:rsidR="005A7A7D" w:rsidRPr="00CC6C94" w:rsidRDefault="005A7A7D" w:rsidP="005A7A7D">
      <w:pPr>
        <w:spacing w:before="120" w:after="240"/>
        <w:jc w:val="both"/>
        <w:rPr>
          <w:rFonts w:ascii="Arial" w:eastAsia="Times New Roman" w:hAnsi="Arial" w:cs="Arial"/>
          <w:sz w:val="20"/>
          <w:szCs w:val="20"/>
        </w:rPr>
      </w:pPr>
      <w:r w:rsidRPr="00CC6C94">
        <w:rPr>
          <w:rFonts w:ascii="Arial" w:eastAsia="Times New Roman" w:hAnsi="Arial" w:cs="Arial"/>
          <w:sz w:val="20"/>
          <w:szCs w:val="20"/>
        </w:rPr>
        <w:t>National Institute for Health and Care Excellence</w:t>
      </w:r>
    </w:p>
    <w:p w14:paraId="03E7BAFA" w14:textId="4811D299" w:rsidR="000B36E1" w:rsidRPr="00CC6C94" w:rsidRDefault="000B36E1" w:rsidP="002B6A0D">
      <w:pPr>
        <w:spacing w:line="360" w:lineRule="auto"/>
        <w:rPr>
          <w:rFonts w:ascii="Arial" w:hAnsi="Arial" w:cs="Arial"/>
          <w:sz w:val="20"/>
          <w:szCs w:val="20"/>
        </w:rPr>
      </w:pPr>
    </w:p>
    <w:sectPr w:rsidR="000B36E1" w:rsidRPr="00CC6C94"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2D2F" w14:textId="77777777" w:rsidR="00635E2F" w:rsidRDefault="00635E2F" w:rsidP="000B352B">
      <w:pPr>
        <w:spacing w:after="0" w:line="240" w:lineRule="auto"/>
      </w:pPr>
      <w:r>
        <w:separator/>
      </w:r>
    </w:p>
  </w:endnote>
  <w:endnote w:type="continuationSeparator" w:id="0">
    <w:p w14:paraId="6F379072" w14:textId="77777777" w:rsidR="00635E2F" w:rsidRDefault="00635E2F"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CEBF2EA"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3FDCD" w14:textId="77777777" w:rsidR="00635E2F" w:rsidRDefault="00635E2F" w:rsidP="000B352B">
      <w:pPr>
        <w:spacing w:after="0" w:line="240" w:lineRule="auto"/>
      </w:pPr>
      <w:r>
        <w:separator/>
      </w:r>
    </w:p>
  </w:footnote>
  <w:footnote w:type="continuationSeparator" w:id="0">
    <w:p w14:paraId="29345576" w14:textId="77777777" w:rsidR="00635E2F" w:rsidRDefault="00635E2F"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63A9E"/>
    <w:multiLevelType w:val="hybridMultilevel"/>
    <w:tmpl w:val="DA22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8" w15:restartNumberingAfterBreak="0">
    <w:nsid w:val="6E0B6E59"/>
    <w:multiLevelType w:val="hybridMultilevel"/>
    <w:tmpl w:val="989AE840"/>
    <w:lvl w:ilvl="0" w:tplc="2696C29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008635">
    <w:abstractNumId w:val="2"/>
  </w:num>
  <w:num w:numId="2" w16cid:durableId="1836257695">
    <w:abstractNumId w:val="6"/>
  </w:num>
  <w:num w:numId="3" w16cid:durableId="1630085123">
    <w:abstractNumId w:val="3"/>
  </w:num>
  <w:num w:numId="4" w16cid:durableId="807435929">
    <w:abstractNumId w:val="7"/>
  </w:num>
  <w:num w:numId="5" w16cid:durableId="493255928">
    <w:abstractNumId w:val="0"/>
  </w:num>
  <w:num w:numId="6" w16cid:durableId="717318338">
    <w:abstractNumId w:val="4"/>
  </w:num>
  <w:num w:numId="7" w16cid:durableId="8300291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1647748">
    <w:abstractNumId w:val="5"/>
  </w:num>
  <w:num w:numId="9" w16cid:durableId="1065569234">
    <w:abstractNumId w:val="9"/>
  </w:num>
  <w:num w:numId="10" w16cid:durableId="267322256">
    <w:abstractNumId w:val="1"/>
  </w:num>
  <w:num w:numId="11" w16cid:durableId="1421676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641E7"/>
    <w:rsid w:val="00085181"/>
    <w:rsid w:val="000B104A"/>
    <w:rsid w:val="000B352B"/>
    <w:rsid w:val="000B36E1"/>
    <w:rsid w:val="00144F73"/>
    <w:rsid w:val="0014732A"/>
    <w:rsid w:val="00176AA4"/>
    <w:rsid w:val="001A0EF4"/>
    <w:rsid w:val="001B6E27"/>
    <w:rsid w:val="001D5BD2"/>
    <w:rsid w:val="001E0317"/>
    <w:rsid w:val="001F3962"/>
    <w:rsid w:val="0022689E"/>
    <w:rsid w:val="0026266B"/>
    <w:rsid w:val="002B6A0D"/>
    <w:rsid w:val="002D70AB"/>
    <w:rsid w:val="00320722"/>
    <w:rsid w:val="00321B75"/>
    <w:rsid w:val="00371B99"/>
    <w:rsid w:val="003936B7"/>
    <w:rsid w:val="003A3E2E"/>
    <w:rsid w:val="003A79BD"/>
    <w:rsid w:val="003B2535"/>
    <w:rsid w:val="003D614E"/>
    <w:rsid w:val="0040409D"/>
    <w:rsid w:val="004215D9"/>
    <w:rsid w:val="0043022B"/>
    <w:rsid w:val="00453738"/>
    <w:rsid w:val="00453774"/>
    <w:rsid w:val="00480405"/>
    <w:rsid w:val="00493D2F"/>
    <w:rsid w:val="004B0C8B"/>
    <w:rsid w:val="004C2D22"/>
    <w:rsid w:val="004E4493"/>
    <w:rsid w:val="004F29D7"/>
    <w:rsid w:val="004F39B0"/>
    <w:rsid w:val="00524627"/>
    <w:rsid w:val="00593F3D"/>
    <w:rsid w:val="005A42E5"/>
    <w:rsid w:val="005A7A7D"/>
    <w:rsid w:val="005B078B"/>
    <w:rsid w:val="005C388B"/>
    <w:rsid w:val="005C7480"/>
    <w:rsid w:val="005D782B"/>
    <w:rsid w:val="005E0434"/>
    <w:rsid w:val="005E2A58"/>
    <w:rsid w:val="00635E2F"/>
    <w:rsid w:val="00641CEB"/>
    <w:rsid w:val="00650F04"/>
    <w:rsid w:val="006628FF"/>
    <w:rsid w:val="00671EF3"/>
    <w:rsid w:val="0069376C"/>
    <w:rsid w:val="006D0C62"/>
    <w:rsid w:val="006F031D"/>
    <w:rsid w:val="0072577F"/>
    <w:rsid w:val="00732227"/>
    <w:rsid w:val="0079326E"/>
    <w:rsid w:val="007B36FA"/>
    <w:rsid w:val="007C64C6"/>
    <w:rsid w:val="007D4914"/>
    <w:rsid w:val="00826015"/>
    <w:rsid w:val="00866617"/>
    <w:rsid w:val="008C081A"/>
    <w:rsid w:val="008E4AE4"/>
    <w:rsid w:val="009064F7"/>
    <w:rsid w:val="00961369"/>
    <w:rsid w:val="009A01FD"/>
    <w:rsid w:val="009E2F15"/>
    <w:rsid w:val="009E5151"/>
    <w:rsid w:val="009F0476"/>
    <w:rsid w:val="00A0226C"/>
    <w:rsid w:val="00A84AF4"/>
    <w:rsid w:val="00AE303D"/>
    <w:rsid w:val="00B24360"/>
    <w:rsid w:val="00B32B71"/>
    <w:rsid w:val="00B737D4"/>
    <w:rsid w:val="00BC7BE7"/>
    <w:rsid w:val="00C249F1"/>
    <w:rsid w:val="00C85906"/>
    <w:rsid w:val="00C93E1C"/>
    <w:rsid w:val="00C96687"/>
    <w:rsid w:val="00CA3FBE"/>
    <w:rsid w:val="00CB4563"/>
    <w:rsid w:val="00CC6C94"/>
    <w:rsid w:val="00CE085C"/>
    <w:rsid w:val="00D22D3F"/>
    <w:rsid w:val="00D37DEC"/>
    <w:rsid w:val="00D43C5C"/>
    <w:rsid w:val="00D719B2"/>
    <w:rsid w:val="00D755E3"/>
    <w:rsid w:val="00D770E0"/>
    <w:rsid w:val="00DB178D"/>
    <w:rsid w:val="00DB6C6C"/>
    <w:rsid w:val="00DD43C2"/>
    <w:rsid w:val="00DD6A93"/>
    <w:rsid w:val="00E03263"/>
    <w:rsid w:val="00E467E2"/>
    <w:rsid w:val="00E60FCF"/>
    <w:rsid w:val="00E622D7"/>
    <w:rsid w:val="00E67BD1"/>
    <w:rsid w:val="00E70F23"/>
    <w:rsid w:val="00E7772A"/>
    <w:rsid w:val="00EA3919"/>
    <w:rsid w:val="00EE6553"/>
    <w:rsid w:val="00F04994"/>
    <w:rsid w:val="00F1265E"/>
    <w:rsid w:val="00F233EA"/>
    <w:rsid w:val="00F24B1D"/>
    <w:rsid w:val="00F47A04"/>
    <w:rsid w:val="00F70A40"/>
    <w:rsid w:val="00FB225B"/>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semiHidden/>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semiHidden/>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 w:type="paragraph" w:customStyle="1" w:styleId="Body4">
    <w:name w:val="Body4"/>
    <w:basedOn w:val="Normal"/>
    <w:rsid w:val="009064F7"/>
    <w:pPr>
      <w:spacing w:line="288" w:lineRule="auto"/>
      <w:ind w:left="3617"/>
    </w:pPr>
    <w:rPr>
      <w:rFonts w:ascii="Arial" w:eastAsia="Times New Roman" w:hAnsi="Arial"/>
      <w:color w:val="333333"/>
      <w:sz w:val="20"/>
      <w:szCs w:val="20"/>
    </w:rPr>
  </w:style>
  <w:style w:type="paragraph" w:customStyle="1" w:styleId="Default">
    <w:name w:val="Default"/>
    <w:rsid w:val="001B6E2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2D7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 A C T I V E 1 ! 1 4 9 9 7 7 8 2 0 . 1 < / d o c u m e n t i d >  
     < s e n d e r i d > A J W R < / s e n d e r i d >  
     < s e n d e r e m a i l > A R O B E R T S O N @ D A C B E A C H C R O F T . C O M < / s e n d e r e m a i l >  
     < l a s t m o d i f i e d > 2 0 2 3 - 0 4 - 2 4 T 1 3 : 2 2 : 0 0 . 0 0 0 0 0 0 0 + 0 1 : 0 0 < / l a s t m o d i f i e d >  
     < d a t a b a s e > A C T I V E 1 < / d a t a b a s e >  
 < / p r o p e r t i e s > 
</file>

<file path=customXml/itemProps1.xml><?xml version="1.0" encoding="utf-8"?>
<ds:datastoreItem xmlns:ds="http://schemas.openxmlformats.org/officeDocument/2006/customXml" ds:itemID="{232261F5-7443-4011-BEFD-A56A57456AFE}">
  <ds:schemaRefs>
    <ds:schemaRef ds:uri="http://schemas.openxmlformats.org/officeDocument/2006/bibliography"/>
  </ds:schemaRefs>
</ds:datastoreItem>
</file>

<file path=customXml/itemProps2.xml><?xml version="1.0" encoding="utf-8"?>
<ds:datastoreItem xmlns:ds="http://schemas.openxmlformats.org/officeDocument/2006/customXml" ds:itemID="{33F4A58E-BEC7-459E-B977-5DF9C4DFF21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6</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Emma Gordon</cp:lastModifiedBy>
  <cp:revision>6</cp:revision>
  <cp:lastPrinted>2017-02-13T09:51:00Z</cp:lastPrinted>
  <dcterms:created xsi:type="dcterms:W3CDTF">2023-04-24T12:22:00Z</dcterms:created>
  <dcterms:modified xsi:type="dcterms:W3CDTF">2023-05-02T14:35:00Z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2023-04-26T07:58:53Z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585874bc-60b7-4599-80b8-19c35be226a3</vt:lpwstr>
  </property>
  <property fmtid="{D5CDD505-2E9C-101B-9397-08002B2CF9AE}" pid="8" name="MSIP_Label_c69d85d5-6d9e-4305-a294-1f636ec0f2d6_ContentBits">
    <vt:lpwstr>0</vt:lpwstr>
  </property>
</Properties>
</file>