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8043" w14:textId="77777777" w:rsidR="001E203D" w:rsidRPr="00CC6C94" w:rsidRDefault="001E203D" w:rsidP="001E203D">
      <w:pPr>
        <w:spacing w:after="0" w:line="240" w:lineRule="auto"/>
        <w:jc w:val="both"/>
        <w:rPr>
          <w:rFonts w:ascii="Arial" w:hAnsi="Arial" w:cs="Arial"/>
          <w:sz w:val="20"/>
          <w:szCs w:val="20"/>
        </w:rPr>
      </w:pPr>
      <w:proofErr w:type="spellStart"/>
      <w:r w:rsidRPr="00C249F1">
        <w:rPr>
          <w:rFonts w:ascii="Arial" w:hAnsi="Arial" w:cs="Arial"/>
          <w:sz w:val="20"/>
          <w:szCs w:val="20"/>
          <w:highlight w:val="black"/>
        </w:rPr>
        <w:t>xxxxxxxxxxxxxxx</w:t>
      </w:r>
      <w:proofErr w:type="spellEnd"/>
    </w:p>
    <w:p w14:paraId="1C8DA269" w14:textId="0DB08904" w:rsidR="00F75E40" w:rsidRDefault="00F75E40" w:rsidP="00182043">
      <w:pPr>
        <w:spacing w:after="0" w:line="240" w:lineRule="auto"/>
        <w:jc w:val="both"/>
        <w:rPr>
          <w:rFonts w:ascii="Arial" w:hAnsi="Arial" w:cs="Arial"/>
        </w:rPr>
      </w:pPr>
      <w:r>
        <w:rPr>
          <w:rFonts w:ascii="Arial" w:hAnsi="Arial" w:cs="Arial"/>
        </w:rPr>
        <w:t>Director of Global Operations</w:t>
      </w:r>
    </w:p>
    <w:p w14:paraId="61196276" w14:textId="42D32A57" w:rsidR="000E6B73" w:rsidRPr="00182043" w:rsidRDefault="00F75E40" w:rsidP="00182043">
      <w:pPr>
        <w:spacing w:after="0" w:line="240" w:lineRule="auto"/>
        <w:jc w:val="both"/>
        <w:rPr>
          <w:rFonts w:ascii="Arial" w:hAnsi="Arial" w:cs="Arial"/>
        </w:rPr>
      </w:pPr>
      <w:proofErr w:type="spellStart"/>
      <w:r>
        <w:rPr>
          <w:rFonts w:ascii="Arial" w:hAnsi="Arial" w:cs="Arial"/>
        </w:rPr>
        <w:t>Clinuvel</w:t>
      </w:r>
      <w:proofErr w:type="spellEnd"/>
      <w:r>
        <w:rPr>
          <w:rFonts w:ascii="Arial" w:hAnsi="Arial" w:cs="Arial"/>
        </w:rPr>
        <w:t xml:space="preserve"> Group</w:t>
      </w:r>
    </w:p>
    <w:p w14:paraId="0394E79A" w14:textId="77777777" w:rsidR="00182043" w:rsidRPr="00182043" w:rsidRDefault="00182043" w:rsidP="00182043">
      <w:pPr>
        <w:spacing w:after="0" w:line="240" w:lineRule="auto"/>
        <w:jc w:val="both"/>
        <w:rPr>
          <w:rFonts w:ascii="Arial" w:hAnsi="Arial" w:cs="Arial"/>
        </w:rPr>
      </w:pPr>
    </w:p>
    <w:p w14:paraId="7BB7C91A" w14:textId="77777777" w:rsidR="00507A44" w:rsidRDefault="00507A44" w:rsidP="00182043">
      <w:pPr>
        <w:jc w:val="both"/>
        <w:rPr>
          <w:rFonts w:ascii="Arial" w:hAnsi="Arial" w:cs="Arial"/>
        </w:rPr>
      </w:pPr>
    </w:p>
    <w:p w14:paraId="573DB47C" w14:textId="56EB5BA9" w:rsidR="00507A44" w:rsidRDefault="00182043" w:rsidP="001E203D">
      <w:pPr>
        <w:spacing w:after="0" w:line="240" w:lineRule="auto"/>
        <w:jc w:val="both"/>
      </w:pPr>
      <w:r w:rsidRPr="00182043">
        <w:rPr>
          <w:rFonts w:ascii="Arial" w:hAnsi="Arial" w:cs="Arial"/>
        </w:rPr>
        <w:t xml:space="preserve">Sent by e-mail only: </w:t>
      </w:r>
      <w:r w:rsidR="001E203D" w:rsidRPr="001E203D">
        <w:rPr>
          <w:rFonts w:ascii="Arial" w:hAnsi="Arial" w:cs="Arial"/>
          <w:sz w:val="20"/>
          <w:szCs w:val="20"/>
          <w:highlight w:val="black"/>
        </w:rPr>
        <w:t xml:space="preserve"> </w:t>
      </w:r>
      <w:proofErr w:type="spellStart"/>
      <w:r w:rsidR="001E203D" w:rsidRPr="00C249F1">
        <w:rPr>
          <w:rFonts w:ascii="Arial" w:hAnsi="Arial" w:cs="Arial"/>
          <w:sz w:val="20"/>
          <w:szCs w:val="20"/>
          <w:highlight w:val="black"/>
        </w:rPr>
        <w:t>xxxxxx</w:t>
      </w:r>
      <w:r w:rsidR="001E203D" w:rsidRPr="00C249F1">
        <w:rPr>
          <w:rFonts w:ascii="Arial" w:hAnsi="Arial" w:cs="Arial"/>
          <w:sz w:val="20"/>
          <w:szCs w:val="20"/>
          <w:highlight w:val="black"/>
        </w:rPr>
        <w:t>xxxxxxxxx</w:t>
      </w:r>
      <w:proofErr w:type="spellEnd"/>
    </w:p>
    <w:p w14:paraId="2B8F033C" w14:textId="77777777" w:rsidR="00F75E40" w:rsidRPr="00507A44" w:rsidRDefault="00F75E40" w:rsidP="00182043">
      <w:pPr>
        <w:jc w:val="both"/>
      </w:pPr>
    </w:p>
    <w:p w14:paraId="5F459D74" w14:textId="2BCB80DF" w:rsidR="00182043" w:rsidRPr="00182043" w:rsidRDefault="00507A44" w:rsidP="00182043">
      <w:pPr>
        <w:jc w:val="both"/>
        <w:rPr>
          <w:rFonts w:ascii="Arial" w:hAnsi="Arial" w:cs="Arial"/>
        </w:rPr>
      </w:pPr>
      <w:bookmarkStart w:id="0" w:name="Text"/>
      <w:bookmarkEnd w:id="0"/>
      <w:r>
        <w:rPr>
          <w:rFonts w:ascii="Arial" w:hAnsi="Arial" w:cs="Arial"/>
        </w:rPr>
        <w:t>31 March 2023</w:t>
      </w:r>
    </w:p>
    <w:p w14:paraId="0CB6644E" w14:textId="0EA9A3EE" w:rsidR="00182043" w:rsidRDefault="00182043" w:rsidP="001E203D">
      <w:pPr>
        <w:spacing w:after="0" w:line="240" w:lineRule="auto"/>
        <w:jc w:val="both"/>
        <w:rPr>
          <w:rFonts w:ascii="Arial" w:hAnsi="Arial" w:cs="Arial"/>
        </w:rPr>
      </w:pPr>
      <w:bookmarkStart w:id="1" w:name="deartext"/>
      <w:r w:rsidRPr="00182043">
        <w:rPr>
          <w:rFonts w:ascii="Arial" w:hAnsi="Arial" w:cs="Arial"/>
        </w:rPr>
        <w:t>Dear</w:t>
      </w:r>
      <w:bookmarkEnd w:id="1"/>
      <w:r w:rsidRPr="00182043">
        <w:rPr>
          <w:rFonts w:ascii="Arial" w:hAnsi="Arial" w:cs="Arial"/>
        </w:rPr>
        <w:t xml:space="preserve"> </w:t>
      </w:r>
      <w:bookmarkStart w:id="2" w:name="Sal"/>
      <w:bookmarkEnd w:id="2"/>
      <w:proofErr w:type="spellStart"/>
      <w:r w:rsidR="001E203D" w:rsidRPr="00C249F1">
        <w:rPr>
          <w:rFonts w:ascii="Arial" w:hAnsi="Arial" w:cs="Arial"/>
          <w:sz w:val="20"/>
          <w:szCs w:val="20"/>
          <w:highlight w:val="black"/>
        </w:rPr>
        <w:t>xxx</w:t>
      </w:r>
      <w:r w:rsidR="001E203D">
        <w:rPr>
          <w:rFonts w:ascii="Arial" w:hAnsi="Arial" w:cs="Arial"/>
          <w:sz w:val="20"/>
          <w:szCs w:val="20"/>
          <w:highlight w:val="black"/>
        </w:rPr>
        <w:t>x</w:t>
      </w:r>
      <w:r w:rsidR="001E203D" w:rsidRPr="00C249F1">
        <w:rPr>
          <w:rFonts w:ascii="Arial" w:hAnsi="Arial" w:cs="Arial"/>
          <w:sz w:val="20"/>
          <w:szCs w:val="20"/>
          <w:highlight w:val="black"/>
        </w:rPr>
        <w:t>xxxxx</w:t>
      </w:r>
      <w:proofErr w:type="spellEnd"/>
      <w:r>
        <w:rPr>
          <w:rFonts w:ascii="Arial" w:hAnsi="Arial" w:cs="Arial"/>
        </w:rPr>
        <w:t>,</w:t>
      </w:r>
    </w:p>
    <w:p w14:paraId="7CCB7AA7" w14:textId="77777777" w:rsidR="001E203D" w:rsidRPr="00182043" w:rsidRDefault="001E203D" w:rsidP="001E203D">
      <w:pPr>
        <w:spacing w:after="0" w:line="240" w:lineRule="auto"/>
        <w:jc w:val="both"/>
        <w:rPr>
          <w:rFonts w:ascii="Arial" w:hAnsi="Arial" w:cs="Arial"/>
          <w:noProof/>
          <w:spacing w:val="-3"/>
          <w:lang w:eastAsia="en-GB"/>
        </w:rPr>
      </w:pPr>
    </w:p>
    <w:p w14:paraId="4C32C3CD" w14:textId="7C9E34F6" w:rsidR="00182043" w:rsidRPr="00182043" w:rsidRDefault="00182043" w:rsidP="00182043">
      <w:pPr>
        <w:ind w:left="426" w:right="468" w:hanging="426"/>
        <w:jc w:val="both"/>
        <w:rPr>
          <w:rFonts w:ascii="Arial" w:hAnsi="Arial" w:cs="Arial"/>
          <w:b/>
        </w:rPr>
      </w:pPr>
      <w:r w:rsidRPr="00182043">
        <w:rPr>
          <w:rFonts w:ascii="Arial" w:hAnsi="Arial" w:cs="Arial"/>
          <w:noProof/>
          <w:spacing w:val="-3"/>
          <w:lang w:eastAsia="en-GB"/>
        </w:rPr>
        <mc:AlternateContent>
          <mc:Choice Requires="wps">
            <w:drawing>
              <wp:anchor distT="4294967294" distB="4294967294" distL="114300" distR="114300" simplePos="0" relativeHeight="251659264" behindDoc="0" locked="0" layoutInCell="1" allowOverlap="1" wp14:anchorId="424AD06D" wp14:editId="4B2ABCBD">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57A041"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182043">
        <w:rPr>
          <w:rFonts w:ascii="Arial" w:hAnsi="Arial" w:cs="Arial"/>
          <w:b/>
          <w:spacing w:val="-3"/>
        </w:rPr>
        <w:t xml:space="preserve">Re: </w:t>
      </w:r>
      <w:r w:rsidRPr="00182043">
        <w:rPr>
          <w:rFonts w:ascii="Arial" w:hAnsi="Arial" w:cs="Arial"/>
          <w:b/>
        </w:rPr>
        <w:t xml:space="preserve">Final </w:t>
      </w:r>
      <w:r w:rsidR="00507A44">
        <w:rPr>
          <w:rFonts w:ascii="Arial" w:hAnsi="Arial" w:cs="Arial"/>
          <w:b/>
        </w:rPr>
        <w:t>Evaluation</w:t>
      </w:r>
      <w:r w:rsidRPr="00182043">
        <w:rPr>
          <w:rFonts w:ascii="Arial" w:hAnsi="Arial" w:cs="Arial"/>
          <w:b/>
        </w:rPr>
        <w:t xml:space="preserve"> D</w:t>
      </w:r>
      <w:r w:rsidR="00507A44">
        <w:rPr>
          <w:rFonts w:ascii="Arial" w:hAnsi="Arial" w:cs="Arial"/>
          <w:b/>
        </w:rPr>
        <w:t>etermination</w:t>
      </w:r>
      <w:r w:rsidRPr="00182043">
        <w:rPr>
          <w:rFonts w:ascii="Arial" w:hAnsi="Arial" w:cs="Arial"/>
          <w:b/>
        </w:rPr>
        <w:t xml:space="preserve"> — </w:t>
      </w:r>
      <w:proofErr w:type="spellStart"/>
      <w:r w:rsidR="00507A44" w:rsidRPr="00507A44">
        <w:rPr>
          <w:rFonts w:ascii="Arial" w:hAnsi="Arial" w:cs="Arial"/>
          <w:b/>
        </w:rPr>
        <w:t>Afamelanotide</w:t>
      </w:r>
      <w:proofErr w:type="spellEnd"/>
      <w:r w:rsidR="00507A44" w:rsidRPr="00507A44">
        <w:rPr>
          <w:rFonts w:ascii="Arial" w:hAnsi="Arial" w:cs="Arial"/>
          <w:b/>
        </w:rPr>
        <w:t xml:space="preserve"> for erythropoietic protoporphyria</w:t>
      </w:r>
      <w:r w:rsidR="0013555D">
        <w:rPr>
          <w:rFonts w:ascii="Arial" w:hAnsi="Arial" w:cs="Arial"/>
          <w:b/>
        </w:rPr>
        <w:t xml:space="preserve"> (EPP)</w:t>
      </w:r>
      <w:r w:rsidR="00507A44" w:rsidRPr="00507A44">
        <w:rPr>
          <w:rFonts w:ascii="Arial" w:hAnsi="Arial" w:cs="Arial"/>
          <w:b/>
        </w:rPr>
        <w:t xml:space="preserve"> [ID927</w:t>
      </w:r>
      <w:r w:rsidR="00507A44">
        <w:rPr>
          <w:rFonts w:ascii="Arial" w:hAnsi="Arial" w:cs="Arial"/>
          <w:b/>
        </w:rPr>
        <w:t>]</w:t>
      </w:r>
    </w:p>
    <w:p w14:paraId="528E638B" w14:textId="1DE5492D" w:rsidR="00182043" w:rsidRPr="00182043" w:rsidRDefault="00182043" w:rsidP="00182043">
      <w:pPr>
        <w:jc w:val="both"/>
        <w:rPr>
          <w:rFonts w:ascii="Arial" w:hAnsi="Arial" w:cs="Arial"/>
        </w:rPr>
      </w:pPr>
      <w:r w:rsidRPr="00182043">
        <w:rPr>
          <w:rFonts w:ascii="Arial" w:hAnsi="Arial" w:cs="Arial"/>
        </w:rPr>
        <w:t xml:space="preserve">Thank you for your letter of </w:t>
      </w:r>
      <w:r w:rsidR="00507A44">
        <w:rPr>
          <w:rFonts w:ascii="Arial" w:hAnsi="Arial" w:cs="Arial"/>
        </w:rPr>
        <w:t>2</w:t>
      </w:r>
      <w:r w:rsidR="00F75E40">
        <w:rPr>
          <w:rFonts w:ascii="Arial" w:hAnsi="Arial" w:cs="Arial"/>
        </w:rPr>
        <w:t>4</w:t>
      </w:r>
      <w:r w:rsidR="00507A44">
        <w:rPr>
          <w:rFonts w:ascii="Arial" w:hAnsi="Arial" w:cs="Arial"/>
        </w:rPr>
        <w:t xml:space="preserve"> March 2023</w:t>
      </w:r>
      <w:r w:rsidRPr="00182043">
        <w:rPr>
          <w:rFonts w:ascii="Arial" w:hAnsi="Arial" w:cs="Arial"/>
        </w:rPr>
        <w:t xml:space="preserve">, lodging an appeal against the above Final </w:t>
      </w:r>
      <w:r w:rsidR="00507A44">
        <w:rPr>
          <w:rFonts w:ascii="Arial" w:hAnsi="Arial" w:cs="Arial"/>
        </w:rPr>
        <w:t>Evaluation Determination (FED)</w:t>
      </w:r>
      <w:r w:rsidR="0013555D">
        <w:rPr>
          <w:rFonts w:ascii="Arial" w:hAnsi="Arial" w:cs="Arial"/>
        </w:rPr>
        <w:t>.</w:t>
      </w:r>
      <w:r w:rsidRPr="00182043">
        <w:rPr>
          <w:rFonts w:ascii="Arial" w:hAnsi="Arial" w:cs="Arial"/>
        </w:rPr>
        <w:t xml:space="preserve"> </w:t>
      </w:r>
    </w:p>
    <w:p w14:paraId="3B8D9DB1" w14:textId="77777777" w:rsidR="00182043" w:rsidRPr="00182043" w:rsidRDefault="00182043" w:rsidP="00182043">
      <w:pPr>
        <w:jc w:val="both"/>
        <w:rPr>
          <w:rFonts w:ascii="Arial" w:hAnsi="Arial" w:cs="Arial"/>
        </w:rPr>
      </w:pPr>
      <w:r w:rsidRPr="00182043">
        <w:rPr>
          <w:rFonts w:ascii="Arial" w:hAnsi="Arial" w:cs="Arial"/>
          <w:u w:val="single"/>
        </w:rPr>
        <w:t>Introduction</w:t>
      </w:r>
      <w:r w:rsidRPr="00182043">
        <w:rPr>
          <w:rFonts w:ascii="Arial" w:hAnsi="Arial" w:cs="Arial"/>
        </w:rPr>
        <w:t xml:space="preserve"> </w:t>
      </w:r>
    </w:p>
    <w:p w14:paraId="42E7731B" w14:textId="77777777" w:rsidR="00182043" w:rsidRPr="00182043" w:rsidRDefault="00182043" w:rsidP="00182043">
      <w:pPr>
        <w:jc w:val="both"/>
        <w:rPr>
          <w:rFonts w:ascii="Arial" w:hAnsi="Arial" w:cs="Arial"/>
        </w:rPr>
      </w:pPr>
      <w:r w:rsidRPr="00182043">
        <w:rPr>
          <w:rFonts w:ascii="Arial" w:hAnsi="Arial" w:cs="Arial"/>
        </w:rPr>
        <w:t xml:space="preserve">The Institute's appeal procedures provide for an initial scrutiny of points that an appellant wishes to raise, to provide an initial view on whether they are within the permitted grounds of appeal ("valid") and are at least arguable. The permitted grounds of appeal are: </w:t>
      </w:r>
    </w:p>
    <w:p w14:paraId="4437AA8D" w14:textId="77777777" w:rsidR="00182043" w:rsidRPr="00182043" w:rsidRDefault="00182043" w:rsidP="00182043">
      <w:pPr>
        <w:numPr>
          <w:ilvl w:val="0"/>
          <w:numId w:val="1"/>
        </w:numPr>
        <w:shd w:val="clear" w:color="auto" w:fill="FFFFFF"/>
        <w:spacing w:before="240" w:after="240" w:line="240" w:lineRule="auto"/>
        <w:jc w:val="both"/>
        <w:rPr>
          <w:rFonts w:ascii="Arial" w:hAnsi="Arial" w:cs="Arial"/>
        </w:rPr>
      </w:pPr>
      <w:r w:rsidRPr="00182043">
        <w:rPr>
          <w:rFonts w:ascii="Arial" w:hAnsi="Arial" w:cs="Arial"/>
        </w:rPr>
        <w:t xml:space="preserve">1(a) NICE has failed to act fairly, or </w:t>
      </w:r>
    </w:p>
    <w:p w14:paraId="2696B199" w14:textId="77777777" w:rsidR="00182043" w:rsidRPr="00182043" w:rsidRDefault="00182043" w:rsidP="00182043">
      <w:pPr>
        <w:numPr>
          <w:ilvl w:val="0"/>
          <w:numId w:val="1"/>
        </w:numPr>
        <w:shd w:val="clear" w:color="auto" w:fill="FFFFFF"/>
        <w:spacing w:before="240" w:after="240" w:line="240" w:lineRule="auto"/>
        <w:jc w:val="both"/>
        <w:rPr>
          <w:rFonts w:ascii="Arial" w:hAnsi="Arial" w:cs="Arial"/>
        </w:rPr>
      </w:pPr>
      <w:r w:rsidRPr="00182043">
        <w:rPr>
          <w:rFonts w:ascii="Arial" w:hAnsi="Arial" w:cs="Arial"/>
        </w:rPr>
        <w:t xml:space="preserve">1(b) NICE has exceeded </w:t>
      </w:r>
      <w:proofErr w:type="gramStart"/>
      <w:r w:rsidRPr="00182043">
        <w:rPr>
          <w:rFonts w:ascii="Arial" w:hAnsi="Arial" w:cs="Arial"/>
        </w:rPr>
        <w:t>powers;</w:t>
      </w:r>
      <w:proofErr w:type="gramEnd"/>
    </w:p>
    <w:p w14:paraId="7E281445" w14:textId="77777777" w:rsidR="00182043" w:rsidRPr="00182043" w:rsidRDefault="00182043" w:rsidP="00182043">
      <w:pPr>
        <w:numPr>
          <w:ilvl w:val="0"/>
          <w:numId w:val="1"/>
        </w:numPr>
        <w:shd w:val="clear" w:color="auto" w:fill="FFFFFF"/>
        <w:spacing w:before="240" w:after="240" w:line="240" w:lineRule="auto"/>
        <w:jc w:val="both"/>
        <w:rPr>
          <w:rFonts w:ascii="Arial" w:hAnsi="Arial" w:cs="Arial"/>
        </w:rPr>
      </w:pPr>
      <w:r w:rsidRPr="00182043">
        <w:rPr>
          <w:rFonts w:ascii="Arial" w:hAnsi="Arial" w:cs="Arial"/>
        </w:rPr>
        <w:t>(2) the recommendation is unreasonable in the light of the evidence submitted to NICE.</w:t>
      </w:r>
    </w:p>
    <w:p w14:paraId="629E852A" w14:textId="77777777" w:rsidR="00182043" w:rsidRPr="00182043" w:rsidRDefault="00182043" w:rsidP="00182043">
      <w:pPr>
        <w:jc w:val="both"/>
        <w:rPr>
          <w:rFonts w:ascii="Arial" w:hAnsi="Arial" w:cs="Arial"/>
        </w:rPr>
      </w:pPr>
      <w:r w:rsidRPr="00182043">
        <w:rPr>
          <w:rFonts w:ascii="Arial" w:hAnsi="Arial" w:cs="Arial"/>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are arguable, and fall within any one of the grounds will your appeal be referred to the Appeal Panel. </w:t>
      </w:r>
    </w:p>
    <w:p w14:paraId="76677DE3" w14:textId="77777777" w:rsidR="00182043" w:rsidRDefault="00182043" w:rsidP="00182043">
      <w:pPr>
        <w:jc w:val="both"/>
        <w:rPr>
          <w:rFonts w:ascii="Arial" w:hAnsi="Arial" w:cs="Arial"/>
        </w:rPr>
      </w:pPr>
      <w:r w:rsidRPr="00182043">
        <w:rPr>
          <w:rFonts w:ascii="Arial" w:hAnsi="Arial" w:cs="Arial"/>
        </w:rPr>
        <w:t xml:space="preserve">You </w:t>
      </w:r>
      <w:proofErr w:type="gramStart"/>
      <w:r w:rsidRPr="00182043">
        <w:rPr>
          <w:rFonts w:ascii="Arial" w:hAnsi="Arial" w:cs="Arial"/>
        </w:rPr>
        <w:t>have the opportunity to</w:t>
      </w:r>
      <w:proofErr w:type="gramEnd"/>
      <w:r w:rsidRPr="00182043">
        <w:rPr>
          <w:rFonts w:ascii="Arial" w:hAnsi="Arial" w:cs="Arial"/>
        </w:rPr>
        <w:t xml:space="preserve"> comment on this letter in order to elaborate on or clarify any of the points raised before I will make my final decision as to whether each appeal point should be referred on to the Appeal Panel. </w:t>
      </w:r>
    </w:p>
    <w:p w14:paraId="19443BBA" w14:textId="7566BFC9" w:rsidR="0013555D" w:rsidRPr="00182043" w:rsidRDefault="0013555D" w:rsidP="00182043">
      <w:pPr>
        <w:jc w:val="both"/>
        <w:rPr>
          <w:rFonts w:ascii="Arial" w:hAnsi="Arial" w:cs="Arial"/>
        </w:rPr>
      </w:pPr>
      <w:r w:rsidRPr="0013555D">
        <w:rPr>
          <w:rFonts w:ascii="Arial" w:hAnsi="Arial" w:cs="Arial"/>
        </w:rPr>
        <w:t>As a preliminary point, I note that CLINUVEL’s appeal letter is marked ‘PRIVILEGED &amp; CONFIDENTIAL’.  Please could you confirm the basis on which any legal privilege is asserted over the contents of the letter, and which, if any, parts of the letter you consider to be confidential, and the reasons for that view?  NICE’s usual practice is to publish appeal letters alongside the remaining appeal documents.</w:t>
      </w:r>
    </w:p>
    <w:p w14:paraId="6A4AB38D" w14:textId="77777777" w:rsidR="0013555D" w:rsidRDefault="0013555D" w:rsidP="00182043">
      <w:pPr>
        <w:jc w:val="both"/>
        <w:rPr>
          <w:rFonts w:ascii="Arial" w:hAnsi="Arial" w:cs="Arial"/>
          <w:u w:val="single"/>
        </w:rPr>
      </w:pPr>
    </w:p>
    <w:p w14:paraId="7B55614D" w14:textId="01D883F3" w:rsidR="00182043" w:rsidRPr="00182043" w:rsidRDefault="00182043" w:rsidP="00182043">
      <w:pPr>
        <w:jc w:val="both"/>
        <w:rPr>
          <w:rFonts w:ascii="Arial" w:hAnsi="Arial" w:cs="Arial"/>
          <w:u w:val="single"/>
        </w:rPr>
      </w:pPr>
      <w:r w:rsidRPr="00182043">
        <w:rPr>
          <w:rFonts w:ascii="Arial" w:hAnsi="Arial" w:cs="Arial"/>
          <w:u w:val="single"/>
        </w:rPr>
        <w:t>Initial View</w:t>
      </w:r>
    </w:p>
    <w:p w14:paraId="1582C049" w14:textId="2EA63CB1" w:rsidR="00182043" w:rsidRPr="00182043" w:rsidRDefault="00182043" w:rsidP="00182043">
      <w:pPr>
        <w:jc w:val="both"/>
        <w:rPr>
          <w:rFonts w:ascii="Arial" w:hAnsi="Arial" w:cs="Arial"/>
        </w:rPr>
      </w:pPr>
      <w:r w:rsidRPr="00182043">
        <w:rPr>
          <w:rFonts w:ascii="Arial" w:hAnsi="Arial" w:cs="Arial"/>
        </w:rPr>
        <w:lastRenderedPageBreak/>
        <w:t xml:space="preserve">I assess each of your points in turn.  </w:t>
      </w:r>
      <w:r w:rsidR="0013555D" w:rsidRPr="0013555D">
        <w:rPr>
          <w:rFonts w:ascii="Arial" w:hAnsi="Arial" w:cs="Arial"/>
        </w:rPr>
        <w:t>I have considered the ground 1a points first, then the 1b point, then finally the ground 2 points.</w:t>
      </w:r>
    </w:p>
    <w:p w14:paraId="541766FE" w14:textId="77777777" w:rsidR="00182043" w:rsidRDefault="00182043" w:rsidP="00182043">
      <w:pPr>
        <w:spacing w:before="240" w:after="240"/>
        <w:jc w:val="both"/>
        <w:rPr>
          <w:rFonts w:ascii="Arial" w:hAnsi="Arial" w:cs="Arial"/>
          <w:b/>
          <w:i/>
        </w:rPr>
      </w:pPr>
      <w:r w:rsidRPr="007211B7">
        <w:rPr>
          <w:rFonts w:ascii="Arial" w:hAnsi="Arial" w:cs="Arial"/>
          <w:b/>
          <w:i/>
        </w:rPr>
        <w:t xml:space="preserve">Ground 1a: In making the assessment that preceded the recommendation, NICE has failed to act </w:t>
      </w:r>
      <w:proofErr w:type="gramStart"/>
      <w:r w:rsidRPr="007211B7">
        <w:rPr>
          <w:rFonts w:ascii="Arial" w:hAnsi="Arial" w:cs="Arial"/>
          <w:b/>
          <w:i/>
        </w:rPr>
        <w:t>fairly</w:t>
      </w:r>
      <w:proofErr w:type="gramEnd"/>
    </w:p>
    <w:p w14:paraId="564805D3" w14:textId="77777777" w:rsidR="0013555D" w:rsidRPr="0013555D" w:rsidRDefault="0013555D" w:rsidP="0013555D">
      <w:pPr>
        <w:spacing w:before="240" w:after="240"/>
        <w:jc w:val="both"/>
        <w:rPr>
          <w:rFonts w:ascii="Arial" w:eastAsia="Times New Roman" w:hAnsi="Arial" w:cs="Arial"/>
          <w:b/>
          <w:u w:val="single"/>
        </w:rPr>
      </w:pPr>
      <w:r w:rsidRPr="0013555D">
        <w:rPr>
          <w:rFonts w:ascii="Arial" w:eastAsia="Times New Roman" w:hAnsi="Arial" w:cs="Arial"/>
          <w:b/>
          <w:u w:val="single"/>
        </w:rPr>
        <w:t xml:space="preserve">Appeal </w:t>
      </w:r>
      <w:proofErr w:type="gramStart"/>
      <w:r w:rsidRPr="0013555D">
        <w:rPr>
          <w:rFonts w:ascii="Arial" w:eastAsia="Times New Roman" w:hAnsi="Arial" w:cs="Arial"/>
          <w:b/>
          <w:u w:val="single"/>
        </w:rPr>
        <w:t>point</w:t>
      </w:r>
      <w:proofErr w:type="gramEnd"/>
      <w:r w:rsidRPr="0013555D">
        <w:rPr>
          <w:rFonts w:ascii="Arial" w:eastAsia="Times New Roman" w:hAnsi="Arial" w:cs="Arial"/>
          <w:b/>
          <w:u w:val="single"/>
        </w:rPr>
        <w:t xml:space="preserve"> 1(a).1; The procedure followed by the Committee was not sufficiently transparent </w:t>
      </w:r>
    </w:p>
    <w:p w14:paraId="24144CB8" w14:textId="77777777" w:rsidR="0013555D" w:rsidRPr="0013555D" w:rsidRDefault="0013555D" w:rsidP="0013555D">
      <w:pPr>
        <w:spacing w:before="240" w:after="240"/>
        <w:jc w:val="both"/>
        <w:rPr>
          <w:rFonts w:ascii="Arial" w:eastAsia="Times New Roman" w:hAnsi="Arial" w:cs="Arial"/>
        </w:rPr>
      </w:pPr>
      <w:r w:rsidRPr="0013555D">
        <w:rPr>
          <w:rFonts w:ascii="Arial" w:eastAsia="Times New Roman" w:hAnsi="Arial" w:cs="Arial"/>
        </w:rPr>
        <w:t xml:space="preserve">I am minded </w:t>
      </w:r>
      <w:proofErr w:type="gramStart"/>
      <w:r w:rsidRPr="0013555D">
        <w:rPr>
          <w:rFonts w:ascii="Arial" w:eastAsia="Times New Roman" w:hAnsi="Arial" w:cs="Arial"/>
        </w:rPr>
        <w:t>to refer</w:t>
      </w:r>
      <w:proofErr w:type="gramEnd"/>
      <w:r w:rsidRPr="0013555D">
        <w:rPr>
          <w:rFonts w:ascii="Arial" w:eastAsia="Times New Roman" w:hAnsi="Arial" w:cs="Arial"/>
        </w:rPr>
        <w:t xml:space="preserve"> this appeal point to the Appeal Panel.  I agree that it is arguable that the Committee was insufficiently clear about: </w:t>
      </w:r>
    </w:p>
    <w:p w14:paraId="39CFE9E3" w14:textId="77777777" w:rsidR="0013555D" w:rsidRPr="0013555D" w:rsidRDefault="0013555D" w:rsidP="0013555D">
      <w:pPr>
        <w:numPr>
          <w:ilvl w:val="0"/>
          <w:numId w:val="8"/>
        </w:numPr>
        <w:spacing w:before="240" w:after="240" w:line="288" w:lineRule="auto"/>
        <w:contextualSpacing/>
        <w:jc w:val="both"/>
        <w:rPr>
          <w:rFonts w:ascii="Arial" w:eastAsia="Times New Roman" w:hAnsi="Arial" w:cs="Arial"/>
        </w:rPr>
      </w:pPr>
      <w:r w:rsidRPr="0013555D">
        <w:rPr>
          <w:rFonts w:ascii="Arial" w:eastAsia="Times New Roman" w:hAnsi="Arial" w:cs="Arial"/>
        </w:rPr>
        <w:t xml:space="preserve">the criteria on which it accepted or rejected </w:t>
      </w:r>
      <w:proofErr w:type="gramStart"/>
      <w:r w:rsidRPr="0013555D">
        <w:rPr>
          <w:rFonts w:ascii="Arial" w:eastAsia="Times New Roman" w:hAnsi="Arial" w:cs="Arial"/>
        </w:rPr>
        <w:t>evidence;</w:t>
      </w:r>
      <w:proofErr w:type="gramEnd"/>
    </w:p>
    <w:p w14:paraId="784C8865" w14:textId="77777777" w:rsidR="0013555D" w:rsidRDefault="0013555D" w:rsidP="0013555D">
      <w:pPr>
        <w:numPr>
          <w:ilvl w:val="0"/>
          <w:numId w:val="8"/>
        </w:numPr>
        <w:spacing w:before="240" w:after="240" w:line="288" w:lineRule="auto"/>
        <w:contextualSpacing/>
        <w:jc w:val="both"/>
        <w:rPr>
          <w:rFonts w:ascii="Arial" w:eastAsia="Times New Roman" w:hAnsi="Arial" w:cs="Arial"/>
        </w:rPr>
      </w:pPr>
      <w:r w:rsidRPr="0013555D">
        <w:rPr>
          <w:rFonts w:ascii="Arial" w:eastAsia="Times New Roman" w:hAnsi="Arial" w:cs="Arial"/>
        </w:rPr>
        <w:t>its approach to evaluating different types of evidence under consideration.</w:t>
      </w:r>
    </w:p>
    <w:p w14:paraId="5DC30229" w14:textId="77777777" w:rsidR="0013555D" w:rsidRPr="0013555D" w:rsidRDefault="0013555D" w:rsidP="0013555D">
      <w:pPr>
        <w:spacing w:before="240" w:after="240" w:line="288" w:lineRule="auto"/>
        <w:ind w:left="720"/>
        <w:contextualSpacing/>
        <w:jc w:val="both"/>
        <w:rPr>
          <w:rFonts w:ascii="Arial" w:eastAsia="Times New Roman" w:hAnsi="Arial" w:cs="Arial"/>
        </w:rPr>
      </w:pPr>
    </w:p>
    <w:p w14:paraId="2B199037" w14:textId="77777777" w:rsidR="0013555D" w:rsidRPr="0013555D" w:rsidRDefault="0013555D" w:rsidP="0013555D">
      <w:pPr>
        <w:spacing w:before="240" w:after="240"/>
        <w:jc w:val="both"/>
        <w:rPr>
          <w:rFonts w:ascii="Arial" w:eastAsia="Times New Roman" w:hAnsi="Arial" w:cs="Arial"/>
          <w:b/>
          <w:u w:val="single"/>
        </w:rPr>
      </w:pPr>
      <w:r w:rsidRPr="0013555D">
        <w:rPr>
          <w:rFonts w:ascii="Arial" w:eastAsia="Times New Roman" w:hAnsi="Arial" w:cs="Arial"/>
          <w:b/>
          <w:u w:val="single"/>
        </w:rPr>
        <w:t xml:space="preserve">Appeal </w:t>
      </w:r>
      <w:proofErr w:type="gramStart"/>
      <w:r w:rsidRPr="0013555D">
        <w:rPr>
          <w:rFonts w:ascii="Arial" w:eastAsia="Times New Roman" w:hAnsi="Arial" w:cs="Arial"/>
          <w:b/>
          <w:u w:val="single"/>
        </w:rPr>
        <w:t>point</w:t>
      </w:r>
      <w:proofErr w:type="gramEnd"/>
      <w:r w:rsidRPr="0013555D">
        <w:rPr>
          <w:rFonts w:ascii="Arial" w:eastAsia="Times New Roman" w:hAnsi="Arial" w:cs="Arial"/>
          <w:b/>
          <w:u w:val="single"/>
        </w:rPr>
        <w:t xml:space="preserve"> 1(a).2;</w:t>
      </w:r>
      <w:r w:rsidRPr="0013555D">
        <w:rPr>
          <w:rFonts w:ascii="Arial" w:eastAsia="Times New Roman" w:hAnsi="Arial"/>
        </w:rPr>
        <w:t xml:space="preserve"> </w:t>
      </w:r>
      <w:r w:rsidRPr="0013555D">
        <w:rPr>
          <w:rFonts w:ascii="Arial" w:eastAsia="Times New Roman" w:hAnsi="Arial" w:cs="Arial"/>
          <w:b/>
          <w:u w:val="single"/>
        </w:rPr>
        <w:t>The requirement of ‘conscientious consideration’ was not met</w:t>
      </w:r>
    </w:p>
    <w:p w14:paraId="0EBE5BD6" w14:textId="77777777" w:rsidR="0013555D" w:rsidRPr="0013555D" w:rsidRDefault="0013555D" w:rsidP="0013555D">
      <w:pPr>
        <w:spacing w:before="240" w:after="240"/>
        <w:jc w:val="both"/>
        <w:rPr>
          <w:rFonts w:ascii="Arial" w:eastAsia="Times New Roman" w:hAnsi="Arial" w:cs="Arial"/>
        </w:rPr>
      </w:pPr>
      <w:r w:rsidRPr="0013555D">
        <w:rPr>
          <w:rFonts w:ascii="Arial" w:eastAsia="Times New Roman" w:hAnsi="Arial" w:cs="Arial"/>
        </w:rPr>
        <w:t xml:space="preserve">I am not minded </w:t>
      </w:r>
      <w:proofErr w:type="gramStart"/>
      <w:r w:rsidRPr="0013555D">
        <w:rPr>
          <w:rFonts w:ascii="Arial" w:eastAsia="Times New Roman" w:hAnsi="Arial" w:cs="Arial"/>
        </w:rPr>
        <w:t>to refer</w:t>
      </w:r>
      <w:proofErr w:type="gramEnd"/>
      <w:r w:rsidRPr="0013555D">
        <w:rPr>
          <w:rFonts w:ascii="Arial" w:eastAsia="Times New Roman" w:hAnsi="Arial" w:cs="Arial"/>
        </w:rPr>
        <w:t xml:space="preserve"> this appeal point to the Appeal Panel.  I do not consider that the point is arguable and note that CLINUVEL has not provided any justification for the assertion that the Committee would never have been prepared to change course in the light of the evidence presented to it, save that the Committee was not prepared to accept certain evidence that was presented to it.  </w:t>
      </w:r>
    </w:p>
    <w:p w14:paraId="37D5C9A7" w14:textId="77777777" w:rsidR="0013555D" w:rsidRPr="0013555D" w:rsidRDefault="0013555D" w:rsidP="0013555D">
      <w:pPr>
        <w:spacing w:before="240" w:after="240"/>
        <w:jc w:val="both"/>
        <w:rPr>
          <w:rFonts w:ascii="Arial" w:eastAsia="Times New Roman" w:hAnsi="Arial" w:cs="Arial"/>
          <w:b/>
          <w:u w:val="single"/>
        </w:rPr>
      </w:pPr>
      <w:r w:rsidRPr="0013555D">
        <w:rPr>
          <w:rFonts w:ascii="Arial" w:eastAsia="Times New Roman" w:hAnsi="Arial" w:cs="Arial"/>
          <w:b/>
          <w:u w:val="single"/>
        </w:rPr>
        <w:t xml:space="preserve">Appeal </w:t>
      </w:r>
      <w:proofErr w:type="gramStart"/>
      <w:r w:rsidRPr="0013555D">
        <w:rPr>
          <w:rFonts w:ascii="Arial" w:eastAsia="Times New Roman" w:hAnsi="Arial" w:cs="Arial"/>
          <w:b/>
          <w:u w:val="single"/>
        </w:rPr>
        <w:t>point</w:t>
      </w:r>
      <w:proofErr w:type="gramEnd"/>
      <w:r w:rsidRPr="0013555D">
        <w:rPr>
          <w:rFonts w:ascii="Arial" w:eastAsia="Times New Roman" w:hAnsi="Arial" w:cs="Arial"/>
          <w:b/>
          <w:u w:val="single"/>
        </w:rPr>
        <w:t xml:space="preserve"> 1(a).3;</w:t>
      </w:r>
      <w:r w:rsidRPr="0013555D">
        <w:rPr>
          <w:rFonts w:ascii="Arial" w:eastAsia="Times New Roman" w:hAnsi="Arial"/>
        </w:rPr>
        <w:t xml:space="preserve"> </w:t>
      </w:r>
      <w:r w:rsidRPr="0013555D">
        <w:rPr>
          <w:rFonts w:ascii="Arial" w:eastAsia="Times New Roman" w:hAnsi="Arial" w:cs="Arial"/>
          <w:b/>
          <w:u w:val="single"/>
        </w:rPr>
        <w:t>NICE acted unfairly by reason of delay</w:t>
      </w:r>
    </w:p>
    <w:p w14:paraId="1FA5EC41" w14:textId="77777777" w:rsidR="0013555D" w:rsidRPr="0013555D" w:rsidRDefault="0013555D" w:rsidP="0013555D">
      <w:pPr>
        <w:spacing w:line="288" w:lineRule="auto"/>
        <w:jc w:val="both"/>
        <w:rPr>
          <w:rFonts w:ascii="Arial" w:eastAsia="Times New Roman" w:hAnsi="Arial" w:cs="Arial"/>
        </w:rPr>
      </w:pPr>
      <w:r w:rsidRPr="0013555D">
        <w:rPr>
          <w:rFonts w:ascii="Arial" w:eastAsia="Times New Roman" w:hAnsi="Arial" w:cs="Arial"/>
        </w:rPr>
        <w:t xml:space="preserve">I am minded </w:t>
      </w:r>
      <w:proofErr w:type="gramStart"/>
      <w:r w:rsidRPr="0013555D">
        <w:rPr>
          <w:rFonts w:ascii="Arial" w:eastAsia="Times New Roman" w:hAnsi="Arial" w:cs="Arial"/>
        </w:rPr>
        <w:t>to refer</w:t>
      </w:r>
      <w:proofErr w:type="gramEnd"/>
      <w:r w:rsidRPr="0013555D">
        <w:rPr>
          <w:rFonts w:ascii="Arial" w:eastAsia="Times New Roman" w:hAnsi="Arial" w:cs="Arial"/>
        </w:rPr>
        <w:t xml:space="preserve"> this appeal point to the Appeal Panel.  I anticipate that in considering this appeal point, the Panel will wish to hear from CLINUVEL on any impact of the ‘pause and further delays’ on the outcome of the appraisal.</w:t>
      </w:r>
    </w:p>
    <w:p w14:paraId="3B653242" w14:textId="77777777" w:rsidR="0013555D" w:rsidRPr="0013555D" w:rsidRDefault="0013555D" w:rsidP="0013555D">
      <w:pPr>
        <w:spacing w:before="240" w:after="240"/>
        <w:jc w:val="both"/>
        <w:rPr>
          <w:rFonts w:ascii="Arial" w:eastAsia="Times New Roman" w:hAnsi="Arial" w:cs="Arial"/>
          <w:b/>
          <w:i/>
        </w:rPr>
      </w:pPr>
      <w:r w:rsidRPr="0013555D">
        <w:rPr>
          <w:rFonts w:ascii="Arial" w:eastAsia="Times New Roman" w:hAnsi="Arial" w:cs="Arial"/>
          <w:b/>
          <w:i/>
        </w:rPr>
        <w:t xml:space="preserve">GROUND 1b: in making the assessment that preceded the recommendation, NICE has exceeded its </w:t>
      </w:r>
      <w:proofErr w:type="gramStart"/>
      <w:r w:rsidRPr="0013555D">
        <w:rPr>
          <w:rFonts w:ascii="Arial" w:eastAsia="Times New Roman" w:hAnsi="Arial" w:cs="Arial"/>
          <w:b/>
          <w:i/>
        </w:rPr>
        <w:t>powers</w:t>
      </w:r>
      <w:proofErr w:type="gramEnd"/>
    </w:p>
    <w:p w14:paraId="3445F41B" w14:textId="77777777" w:rsidR="0013555D" w:rsidRPr="0013555D" w:rsidRDefault="0013555D" w:rsidP="0013555D">
      <w:pPr>
        <w:spacing w:before="240" w:after="240"/>
        <w:jc w:val="both"/>
        <w:rPr>
          <w:rFonts w:ascii="Arial" w:eastAsia="Times New Roman" w:hAnsi="Arial" w:cs="Arial"/>
          <w:b/>
          <w:u w:val="single"/>
        </w:rPr>
      </w:pPr>
      <w:r w:rsidRPr="0013555D">
        <w:rPr>
          <w:rFonts w:ascii="Arial" w:eastAsia="Times New Roman" w:hAnsi="Arial" w:cs="Arial"/>
          <w:b/>
          <w:u w:val="single"/>
        </w:rPr>
        <w:t xml:space="preserve">Appeal </w:t>
      </w:r>
      <w:proofErr w:type="gramStart"/>
      <w:r w:rsidRPr="0013555D">
        <w:rPr>
          <w:rFonts w:ascii="Arial" w:eastAsia="Times New Roman" w:hAnsi="Arial" w:cs="Arial"/>
          <w:b/>
          <w:u w:val="single"/>
        </w:rPr>
        <w:t>point</w:t>
      </w:r>
      <w:proofErr w:type="gramEnd"/>
      <w:r w:rsidRPr="0013555D">
        <w:rPr>
          <w:rFonts w:ascii="Arial" w:eastAsia="Times New Roman" w:hAnsi="Arial" w:cs="Arial"/>
          <w:b/>
          <w:u w:val="single"/>
        </w:rPr>
        <w:t xml:space="preserve"> 1(b). NICE breached its duties under the Equality Act 2010</w:t>
      </w:r>
    </w:p>
    <w:p w14:paraId="7AB27963" w14:textId="77777777" w:rsidR="0013555D" w:rsidRPr="0013555D" w:rsidRDefault="0013555D" w:rsidP="0013555D">
      <w:pPr>
        <w:spacing w:before="240" w:after="240"/>
        <w:jc w:val="both"/>
        <w:rPr>
          <w:rFonts w:ascii="Arial" w:eastAsia="Times New Roman" w:hAnsi="Arial" w:cs="Arial"/>
        </w:rPr>
      </w:pPr>
      <w:r w:rsidRPr="0013555D">
        <w:rPr>
          <w:rFonts w:ascii="Arial" w:eastAsia="Times New Roman" w:hAnsi="Arial" w:cs="Arial"/>
        </w:rPr>
        <w:t xml:space="preserve">I am minded </w:t>
      </w:r>
      <w:proofErr w:type="gramStart"/>
      <w:r w:rsidRPr="0013555D">
        <w:rPr>
          <w:rFonts w:ascii="Arial" w:eastAsia="Times New Roman" w:hAnsi="Arial" w:cs="Arial"/>
        </w:rPr>
        <w:t>to refer</w:t>
      </w:r>
      <w:proofErr w:type="gramEnd"/>
      <w:r w:rsidRPr="0013555D">
        <w:rPr>
          <w:rFonts w:ascii="Arial" w:eastAsia="Times New Roman" w:hAnsi="Arial" w:cs="Arial"/>
        </w:rPr>
        <w:t xml:space="preserve"> this appeal point to the Appeal Panel, so far as it relates to the duty to make reasonable adjustments.   </w:t>
      </w:r>
    </w:p>
    <w:p w14:paraId="2BE7B30B" w14:textId="77777777" w:rsidR="0013555D" w:rsidRPr="0013555D" w:rsidRDefault="0013555D" w:rsidP="0013555D">
      <w:pPr>
        <w:spacing w:before="240" w:after="240"/>
        <w:jc w:val="both"/>
        <w:rPr>
          <w:rFonts w:ascii="Arial" w:eastAsia="Times New Roman" w:hAnsi="Arial" w:cs="Arial"/>
        </w:rPr>
      </w:pPr>
      <w:r w:rsidRPr="0013555D">
        <w:rPr>
          <w:rFonts w:ascii="Arial" w:eastAsia="Times New Roman" w:hAnsi="Arial" w:cs="Arial"/>
        </w:rPr>
        <w:t>In reaching this view I note that as a body exercising a public function, the relevant obligation on NICE is:</w:t>
      </w:r>
    </w:p>
    <w:p w14:paraId="72CC6C02" w14:textId="77777777" w:rsidR="0013555D" w:rsidRPr="0013555D" w:rsidRDefault="0013555D" w:rsidP="0013555D">
      <w:pPr>
        <w:spacing w:before="240" w:after="240"/>
        <w:ind w:left="720"/>
        <w:jc w:val="both"/>
        <w:rPr>
          <w:rFonts w:ascii="Arial" w:eastAsia="Times New Roman" w:hAnsi="Arial" w:cs="Arial"/>
          <w:i/>
          <w:iCs/>
        </w:rPr>
      </w:pPr>
      <w:r w:rsidRPr="0013555D">
        <w:rPr>
          <w:rFonts w:ascii="Arial" w:eastAsia="Times New Roman" w:hAnsi="Arial"/>
          <w:i/>
          <w:iCs/>
        </w:rPr>
        <w:t xml:space="preserve">Where a provision, criterion or practice puts disabled people at a substantial disadvantage compared with those who are not disabled, to take reasonable steps to avoid that </w:t>
      </w:r>
      <w:proofErr w:type="gramStart"/>
      <w:r w:rsidRPr="0013555D">
        <w:rPr>
          <w:rFonts w:ascii="Arial" w:eastAsia="Times New Roman" w:hAnsi="Arial"/>
          <w:i/>
          <w:iCs/>
        </w:rPr>
        <w:t>disadvantage</w:t>
      </w:r>
      <w:proofErr w:type="gramEnd"/>
      <w:r w:rsidRPr="0013555D">
        <w:rPr>
          <w:rFonts w:ascii="Arial" w:eastAsia="Times New Roman" w:hAnsi="Arial" w:cs="Arial"/>
          <w:i/>
          <w:iCs/>
        </w:rPr>
        <w:t xml:space="preserve"> </w:t>
      </w:r>
    </w:p>
    <w:p w14:paraId="27587FB7" w14:textId="77777777" w:rsidR="0013555D" w:rsidRPr="0013555D" w:rsidRDefault="0013555D" w:rsidP="0013555D">
      <w:pPr>
        <w:spacing w:before="240" w:after="240"/>
        <w:jc w:val="both"/>
        <w:rPr>
          <w:rFonts w:ascii="Arial" w:eastAsia="Times New Roman" w:hAnsi="Arial" w:cs="Arial"/>
        </w:rPr>
      </w:pPr>
      <w:r w:rsidRPr="0013555D">
        <w:rPr>
          <w:rFonts w:ascii="Arial" w:eastAsia="Times New Roman" w:hAnsi="Arial" w:cs="Arial"/>
        </w:rPr>
        <w:t>CLINUVEL argues that NICE has failed to meet that duty.  CLINUVEL makes extensive submissions in support of this argument, which it seems to me can be summarised as follows:</w:t>
      </w:r>
    </w:p>
    <w:p w14:paraId="0928540B" w14:textId="77777777" w:rsidR="0013555D" w:rsidRPr="0013555D" w:rsidRDefault="0013555D" w:rsidP="0013555D">
      <w:pPr>
        <w:numPr>
          <w:ilvl w:val="0"/>
          <w:numId w:val="10"/>
        </w:numPr>
        <w:spacing w:before="240" w:after="240" w:line="288" w:lineRule="auto"/>
        <w:contextualSpacing/>
        <w:jc w:val="both"/>
        <w:rPr>
          <w:rFonts w:ascii="Arial" w:eastAsia="Times New Roman" w:hAnsi="Arial" w:cs="Arial"/>
        </w:rPr>
      </w:pPr>
      <w:r w:rsidRPr="0013555D">
        <w:rPr>
          <w:rFonts w:ascii="Arial" w:eastAsia="Times New Roman" w:hAnsi="Arial" w:cs="Arial"/>
        </w:rPr>
        <w:t xml:space="preserve">The Committee did recognise that: </w:t>
      </w:r>
    </w:p>
    <w:p w14:paraId="6B2CE530" w14:textId="77777777" w:rsidR="0013555D" w:rsidRPr="0013555D" w:rsidRDefault="0013555D" w:rsidP="0013555D">
      <w:pPr>
        <w:spacing w:before="240" w:after="240"/>
        <w:ind w:left="720"/>
        <w:contextualSpacing/>
        <w:jc w:val="both"/>
        <w:rPr>
          <w:rFonts w:ascii="Arial" w:eastAsia="Times New Roman" w:hAnsi="Arial" w:cs="Arial"/>
        </w:rPr>
      </w:pPr>
    </w:p>
    <w:p w14:paraId="34614F4F" w14:textId="77777777" w:rsidR="0013555D" w:rsidRPr="0013555D" w:rsidRDefault="0013555D" w:rsidP="0013555D">
      <w:pPr>
        <w:numPr>
          <w:ilvl w:val="1"/>
          <w:numId w:val="10"/>
        </w:numPr>
        <w:spacing w:before="240" w:after="240" w:line="288" w:lineRule="auto"/>
        <w:contextualSpacing/>
        <w:jc w:val="both"/>
        <w:rPr>
          <w:rFonts w:ascii="Arial" w:eastAsia="Times New Roman" w:hAnsi="Arial" w:cs="Arial"/>
        </w:rPr>
      </w:pPr>
      <w:r w:rsidRPr="0013555D">
        <w:rPr>
          <w:rFonts w:ascii="Arial" w:eastAsia="Times New Roman" w:hAnsi="Arial" w:cs="Arial"/>
        </w:rPr>
        <w:t xml:space="preserve">people with EPP are </w:t>
      </w:r>
      <w:proofErr w:type="gramStart"/>
      <w:r w:rsidRPr="0013555D">
        <w:rPr>
          <w:rFonts w:ascii="Arial" w:eastAsia="Times New Roman" w:hAnsi="Arial" w:cs="Arial"/>
        </w:rPr>
        <w:t>disabled;</w:t>
      </w:r>
      <w:proofErr w:type="gramEnd"/>
    </w:p>
    <w:p w14:paraId="142C60B2" w14:textId="77777777" w:rsidR="0013555D" w:rsidRPr="0013555D" w:rsidRDefault="0013555D" w:rsidP="0013555D">
      <w:pPr>
        <w:numPr>
          <w:ilvl w:val="1"/>
          <w:numId w:val="10"/>
        </w:numPr>
        <w:spacing w:before="240" w:after="240" w:line="288" w:lineRule="auto"/>
        <w:contextualSpacing/>
        <w:jc w:val="both"/>
        <w:rPr>
          <w:rFonts w:ascii="Arial" w:eastAsia="Times New Roman" w:hAnsi="Arial" w:cs="Arial"/>
        </w:rPr>
      </w:pPr>
      <w:r w:rsidRPr="0013555D">
        <w:rPr>
          <w:rFonts w:ascii="Arial" w:eastAsia="Times New Roman" w:hAnsi="Arial" w:cs="Arial"/>
        </w:rPr>
        <w:lastRenderedPageBreak/>
        <w:t xml:space="preserve">the normal operation of the HST Process Guide would put people with EPP at a substantial disadvantage, in particular because of the specific challenge in measuring the effect of the condition and its treatment on quality of life (see </w:t>
      </w:r>
      <w:proofErr w:type="gramStart"/>
      <w:r w:rsidRPr="0013555D">
        <w:rPr>
          <w:rFonts w:ascii="Arial" w:eastAsia="Times New Roman" w:hAnsi="Arial" w:cs="Arial"/>
        </w:rPr>
        <w:t>e.g.</w:t>
      </w:r>
      <w:proofErr w:type="gramEnd"/>
      <w:r w:rsidRPr="0013555D">
        <w:rPr>
          <w:rFonts w:ascii="Arial" w:eastAsia="Times New Roman" w:hAnsi="Arial" w:cs="Arial"/>
        </w:rPr>
        <w:t xml:space="preserve"> paragraphs 4.8, 4.17-4.20 and 4.57-4.59 of the FED).  The Committee identified </w:t>
      </w:r>
      <w:proofErr w:type="gramStart"/>
      <w:r w:rsidRPr="0013555D">
        <w:rPr>
          <w:rFonts w:ascii="Arial" w:eastAsia="Times New Roman" w:hAnsi="Arial" w:cs="Arial"/>
        </w:rPr>
        <w:t xml:space="preserve">particular </w:t>
      </w:r>
      <w:r w:rsidRPr="0013555D">
        <w:rPr>
          <w:rFonts w:ascii="Arial" w:eastAsia="Times New Roman" w:hAnsi="Arial"/>
        </w:rPr>
        <w:t>features</w:t>
      </w:r>
      <w:proofErr w:type="gramEnd"/>
      <w:r w:rsidRPr="0013555D">
        <w:rPr>
          <w:rFonts w:ascii="Arial" w:eastAsia="Times New Roman" w:hAnsi="Arial"/>
        </w:rPr>
        <w:t xml:space="preserve"> of EPP that put people with EPP at a disadvantage</w:t>
      </w:r>
      <w:r w:rsidRPr="0013555D" w:rsidDel="002E4160">
        <w:rPr>
          <w:rFonts w:ascii="Arial" w:eastAsia="Times New Roman" w:hAnsi="Arial" w:cs="Arial"/>
        </w:rPr>
        <w:t xml:space="preserve"> </w:t>
      </w:r>
      <w:r w:rsidRPr="0013555D">
        <w:rPr>
          <w:rFonts w:ascii="Arial" w:eastAsia="Times New Roman" w:hAnsi="Arial" w:cs="Arial"/>
        </w:rPr>
        <w:t>including the ‘important lack of robust scientific instruments to measure such effects’ and ‘conditioned light avoidance behaviours’ and</w:t>
      </w:r>
    </w:p>
    <w:p w14:paraId="05863BB9" w14:textId="77777777" w:rsidR="0013555D" w:rsidRPr="0013555D" w:rsidRDefault="0013555D" w:rsidP="0013555D">
      <w:pPr>
        <w:numPr>
          <w:ilvl w:val="1"/>
          <w:numId w:val="10"/>
        </w:numPr>
        <w:spacing w:before="240" w:after="240" w:line="288" w:lineRule="auto"/>
        <w:contextualSpacing/>
        <w:jc w:val="both"/>
        <w:rPr>
          <w:rFonts w:ascii="Arial" w:eastAsia="Times New Roman" w:hAnsi="Arial" w:cs="Arial"/>
        </w:rPr>
      </w:pPr>
      <w:proofErr w:type="gramStart"/>
      <w:r w:rsidRPr="0013555D">
        <w:rPr>
          <w:rFonts w:ascii="Arial" w:eastAsia="Times New Roman" w:hAnsi="Arial" w:cs="Arial"/>
        </w:rPr>
        <w:t>accordingly</w:t>
      </w:r>
      <w:proofErr w:type="gramEnd"/>
      <w:r w:rsidRPr="0013555D">
        <w:rPr>
          <w:rFonts w:ascii="Arial" w:eastAsia="Times New Roman" w:hAnsi="Arial" w:cs="Arial"/>
        </w:rPr>
        <w:t xml:space="preserve"> the duty to take reasonable steps to avoid that disadvantage applied.</w:t>
      </w:r>
    </w:p>
    <w:p w14:paraId="09ADDE62" w14:textId="77777777" w:rsidR="0013555D" w:rsidRPr="0013555D" w:rsidRDefault="0013555D" w:rsidP="0013555D">
      <w:pPr>
        <w:spacing w:before="240" w:after="240"/>
        <w:ind w:left="1440"/>
        <w:contextualSpacing/>
        <w:jc w:val="both"/>
        <w:rPr>
          <w:rFonts w:ascii="Arial" w:eastAsia="Times New Roman" w:hAnsi="Arial" w:cs="Arial"/>
        </w:rPr>
      </w:pPr>
      <w:r w:rsidRPr="0013555D">
        <w:rPr>
          <w:rFonts w:ascii="Arial" w:eastAsia="Times New Roman" w:hAnsi="Arial" w:cs="Arial"/>
        </w:rPr>
        <w:t xml:space="preserve"> </w:t>
      </w:r>
    </w:p>
    <w:p w14:paraId="6E391596" w14:textId="77777777" w:rsidR="0013555D" w:rsidRPr="0013555D" w:rsidRDefault="0013555D" w:rsidP="0013555D">
      <w:pPr>
        <w:numPr>
          <w:ilvl w:val="0"/>
          <w:numId w:val="10"/>
        </w:numPr>
        <w:spacing w:before="240" w:after="240" w:line="288" w:lineRule="auto"/>
        <w:contextualSpacing/>
        <w:jc w:val="both"/>
        <w:rPr>
          <w:rFonts w:ascii="Arial" w:eastAsia="Times New Roman" w:hAnsi="Arial" w:cs="Arial"/>
        </w:rPr>
      </w:pPr>
      <w:r w:rsidRPr="0013555D">
        <w:rPr>
          <w:rFonts w:ascii="Arial" w:eastAsia="Times New Roman" w:hAnsi="Arial" w:cs="Arial"/>
        </w:rPr>
        <w:t xml:space="preserve">In CLINUVEL’s view, however, the Committee did not interrogate the nature of the disadvantage suffered by people with EPP sufficiently rigorously.  CLINUVEL provides a list of 13 disadvantages that it says should have been </w:t>
      </w:r>
      <w:proofErr w:type="gramStart"/>
      <w:r w:rsidRPr="0013555D">
        <w:rPr>
          <w:rFonts w:ascii="Arial" w:eastAsia="Times New Roman" w:hAnsi="Arial" w:cs="Arial"/>
        </w:rPr>
        <w:t>taken into account</w:t>
      </w:r>
      <w:proofErr w:type="gramEnd"/>
      <w:r w:rsidRPr="0013555D">
        <w:rPr>
          <w:rFonts w:ascii="Arial" w:eastAsia="Times New Roman" w:hAnsi="Arial" w:cs="Arial"/>
          <w:vertAlign w:val="superscript"/>
        </w:rPr>
        <w:footnoteReference w:id="1"/>
      </w:r>
      <w:r w:rsidRPr="0013555D">
        <w:rPr>
          <w:rFonts w:ascii="Arial" w:eastAsia="Times New Roman" w:hAnsi="Arial" w:cs="Arial"/>
        </w:rPr>
        <w:t xml:space="preserve">.  It seems to me that the Appeal Panel will wish to consider whether these are substantial disadvantages arising </w:t>
      </w:r>
      <w:proofErr w:type="gramStart"/>
      <w:r w:rsidRPr="0013555D">
        <w:rPr>
          <w:rFonts w:ascii="Arial" w:eastAsia="Times New Roman" w:hAnsi="Arial" w:cs="Arial"/>
        </w:rPr>
        <w:t>as a result of</w:t>
      </w:r>
      <w:proofErr w:type="gramEnd"/>
      <w:r w:rsidRPr="0013555D">
        <w:rPr>
          <w:rFonts w:ascii="Arial" w:eastAsia="Times New Roman" w:hAnsi="Arial" w:cs="Arial"/>
        </w:rPr>
        <w:t xml:space="preserve"> the normal operation of the HST Process Guide.  This will enable the Appeal Panel to consider </w:t>
      </w:r>
      <w:proofErr w:type="gramStart"/>
      <w:r w:rsidRPr="0013555D">
        <w:rPr>
          <w:rFonts w:ascii="Arial" w:eastAsia="Times New Roman" w:hAnsi="Arial" w:cs="Arial"/>
        </w:rPr>
        <w:t>whether or not</w:t>
      </w:r>
      <w:proofErr w:type="gramEnd"/>
      <w:r w:rsidRPr="0013555D">
        <w:rPr>
          <w:rFonts w:ascii="Arial" w:eastAsia="Times New Roman" w:hAnsi="Arial" w:cs="Arial"/>
        </w:rPr>
        <w:t xml:space="preserve"> reasonable steps were taken to avoid the identified disadvantage(s).</w:t>
      </w:r>
    </w:p>
    <w:p w14:paraId="1EFE2058" w14:textId="77777777" w:rsidR="0013555D" w:rsidRPr="0013555D" w:rsidRDefault="0013555D" w:rsidP="0013555D">
      <w:pPr>
        <w:spacing w:before="240" w:after="240"/>
        <w:ind w:left="720"/>
        <w:contextualSpacing/>
        <w:jc w:val="both"/>
        <w:rPr>
          <w:rFonts w:ascii="Arial" w:eastAsia="Times New Roman" w:hAnsi="Arial" w:cs="Arial"/>
        </w:rPr>
      </w:pPr>
    </w:p>
    <w:p w14:paraId="162B8565" w14:textId="77777777" w:rsidR="0013555D" w:rsidRPr="0013555D" w:rsidRDefault="0013555D" w:rsidP="0013555D">
      <w:pPr>
        <w:numPr>
          <w:ilvl w:val="0"/>
          <w:numId w:val="10"/>
        </w:numPr>
        <w:spacing w:before="240" w:after="240" w:line="288" w:lineRule="auto"/>
        <w:contextualSpacing/>
        <w:jc w:val="both"/>
        <w:rPr>
          <w:rFonts w:ascii="Arial" w:eastAsia="Times New Roman" w:hAnsi="Arial" w:cs="Arial"/>
        </w:rPr>
      </w:pPr>
      <w:r w:rsidRPr="0013555D">
        <w:rPr>
          <w:rFonts w:ascii="Arial" w:eastAsia="Times New Roman" w:hAnsi="Arial" w:cs="Arial"/>
        </w:rPr>
        <w:t xml:space="preserve">In CLINUVEL’s view, the sole adjustment made by the Committee was to derive ICERs from QoL evidence submitted by the IPPN.  CLINUVEL acknowledges that in doing so, the Committee used that QoL evidence to capture benefits of </w:t>
      </w:r>
      <w:proofErr w:type="spellStart"/>
      <w:r w:rsidRPr="0013555D">
        <w:rPr>
          <w:rFonts w:ascii="Arial" w:eastAsia="Times New Roman" w:hAnsi="Arial" w:cs="Arial"/>
        </w:rPr>
        <w:t>afamelanotide</w:t>
      </w:r>
      <w:proofErr w:type="spellEnd"/>
      <w:r w:rsidRPr="0013555D">
        <w:rPr>
          <w:rFonts w:ascii="Arial" w:eastAsia="Times New Roman" w:hAnsi="Arial" w:cs="Arial"/>
        </w:rPr>
        <w:t xml:space="preserve"> that would ordinarily go uncaptured.  However, CLINUVEL criticises the Committee for not considering whether other reasonable adjustments were required, and </w:t>
      </w:r>
      <w:proofErr w:type="gramStart"/>
      <w:r w:rsidRPr="0013555D">
        <w:rPr>
          <w:rFonts w:ascii="Arial" w:eastAsia="Times New Roman" w:hAnsi="Arial" w:cs="Arial"/>
        </w:rPr>
        <w:t>in particular whether</w:t>
      </w:r>
      <w:proofErr w:type="gramEnd"/>
      <w:r w:rsidRPr="0013555D">
        <w:rPr>
          <w:rFonts w:ascii="Arial" w:eastAsia="Times New Roman" w:hAnsi="Arial" w:cs="Arial"/>
        </w:rPr>
        <w:t xml:space="preserve"> disadvantages faced by people with EPP required “a more holistic approach to the appraisal of </w:t>
      </w:r>
      <w:proofErr w:type="spellStart"/>
      <w:r w:rsidRPr="0013555D">
        <w:rPr>
          <w:rFonts w:ascii="Arial" w:eastAsia="Times New Roman" w:hAnsi="Arial" w:cs="Arial"/>
        </w:rPr>
        <w:t>afamelanotide</w:t>
      </w:r>
      <w:proofErr w:type="spellEnd"/>
      <w:r w:rsidRPr="0013555D">
        <w:rPr>
          <w:rFonts w:ascii="Arial" w:eastAsia="Times New Roman" w:hAnsi="Arial" w:cs="Arial"/>
        </w:rPr>
        <w:t>”.  I anticipate that the Appeal Panel will wish to consider what adjustment(s) were made by the Committee to its approach.</w:t>
      </w:r>
    </w:p>
    <w:p w14:paraId="1EA93ABA" w14:textId="77777777" w:rsidR="0013555D" w:rsidRPr="0013555D" w:rsidRDefault="0013555D" w:rsidP="0013555D">
      <w:pPr>
        <w:spacing w:after="0" w:line="288" w:lineRule="auto"/>
        <w:ind w:left="720"/>
        <w:contextualSpacing/>
        <w:rPr>
          <w:rFonts w:ascii="Arial" w:eastAsia="Times New Roman" w:hAnsi="Arial" w:cs="Arial"/>
        </w:rPr>
      </w:pPr>
    </w:p>
    <w:p w14:paraId="5D3EAC8A" w14:textId="77777777" w:rsidR="0013555D" w:rsidRPr="0013555D" w:rsidRDefault="0013555D" w:rsidP="0013555D">
      <w:pPr>
        <w:numPr>
          <w:ilvl w:val="0"/>
          <w:numId w:val="10"/>
        </w:numPr>
        <w:spacing w:before="240" w:after="240" w:line="288" w:lineRule="auto"/>
        <w:contextualSpacing/>
        <w:jc w:val="both"/>
        <w:rPr>
          <w:rFonts w:ascii="Arial" w:eastAsia="Times New Roman" w:hAnsi="Arial" w:cs="Arial"/>
        </w:rPr>
      </w:pPr>
      <w:r w:rsidRPr="0013555D">
        <w:rPr>
          <w:rFonts w:ascii="Arial" w:eastAsia="Times New Roman" w:hAnsi="Arial" w:cs="Arial"/>
        </w:rPr>
        <w:t xml:space="preserve">By contrast with the ‘holistic approach’ it favoured, CLINUVEL argues that ICERs were determinative (notwithstanding the Committee’s statement to the contrary in section </w:t>
      </w:r>
      <w:r w:rsidRPr="0013555D">
        <w:rPr>
          <w:rFonts w:ascii="Arial" w:eastAsia="Times New Roman" w:hAnsi="Arial" w:cs="Arial"/>
        </w:rPr>
        <w:lastRenderedPageBreak/>
        <w:t xml:space="preserve">4.42) and that the </w:t>
      </w:r>
      <w:r w:rsidRPr="0013555D">
        <w:rPr>
          <w:rFonts w:ascii="Arial" w:eastAsia="Times New Roman" w:hAnsi="Arial"/>
        </w:rPr>
        <w:t>Committee placed too much weight upon (or alternatively misunderstood) the extent to which the NICE Principles and/or HST Process Guide ‘mandate a central role for ICERs in the assessment of value for money’.</w:t>
      </w:r>
    </w:p>
    <w:p w14:paraId="486E0219" w14:textId="77777777" w:rsidR="0013555D" w:rsidRPr="0013555D" w:rsidRDefault="0013555D" w:rsidP="0013555D">
      <w:pPr>
        <w:spacing w:after="0" w:line="288" w:lineRule="auto"/>
        <w:ind w:left="720"/>
        <w:contextualSpacing/>
        <w:rPr>
          <w:rFonts w:ascii="Arial" w:eastAsia="Times New Roman" w:hAnsi="Arial" w:cs="Arial"/>
        </w:rPr>
      </w:pPr>
    </w:p>
    <w:p w14:paraId="3F535C5D" w14:textId="77777777" w:rsidR="0013555D" w:rsidRPr="0013555D" w:rsidRDefault="0013555D" w:rsidP="0013555D">
      <w:pPr>
        <w:numPr>
          <w:ilvl w:val="0"/>
          <w:numId w:val="10"/>
        </w:numPr>
        <w:spacing w:before="240" w:after="240" w:line="288" w:lineRule="auto"/>
        <w:contextualSpacing/>
        <w:jc w:val="both"/>
        <w:rPr>
          <w:rFonts w:ascii="Arial" w:eastAsia="Times New Roman" w:hAnsi="Arial" w:cs="Arial"/>
        </w:rPr>
      </w:pPr>
      <w:r w:rsidRPr="0013555D">
        <w:rPr>
          <w:rFonts w:ascii="Arial" w:eastAsia="Times New Roman" w:hAnsi="Arial" w:cs="Arial"/>
        </w:rPr>
        <w:t xml:space="preserve">CLINUVEL argues that in the absence of ‘a more holistic approach to the appraisal of </w:t>
      </w:r>
      <w:proofErr w:type="spellStart"/>
      <w:r w:rsidRPr="0013555D">
        <w:rPr>
          <w:rFonts w:ascii="Arial" w:eastAsia="Times New Roman" w:hAnsi="Arial" w:cs="Arial"/>
        </w:rPr>
        <w:t>afamelanotide</w:t>
      </w:r>
      <w:proofErr w:type="spellEnd"/>
      <w:r w:rsidRPr="0013555D">
        <w:rPr>
          <w:rFonts w:ascii="Arial" w:eastAsia="Times New Roman" w:hAnsi="Arial" w:cs="Arial"/>
        </w:rPr>
        <w:t>’, the only reasonable adjustment in this case would have been to accept a plausible ICER above £100,000 per QALY gained, for either routine use or managed access.</w:t>
      </w:r>
    </w:p>
    <w:p w14:paraId="7C0B291C" w14:textId="77777777" w:rsidR="0013555D" w:rsidRPr="0013555D" w:rsidRDefault="0013555D" w:rsidP="0013555D">
      <w:pPr>
        <w:spacing w:after="0" w:line="288" w:lineRule="auto"/>
        <w:ind w:left="720"/>
        <w:contextualSpacing/>
        <w:rPr>
          <w:rFonts w:ascii="Arial" w:eastAsia="Times New Roman" w:hAnsi="Arial" w:cs="Arial"/>
        </w:rPr>
      </w:pPr>
    </w:p>
    <w:p w14:paraId="53350265" w14:textId="77777777" w:rsidR="0013555D" w:rsidRPr="0013555D" w:rsidRDefault="0013555D" w:rsidP="0013555D">
      <w:pPr>
        <w:numPr>
          <w:ilvl w:val="0"/>
          <w:numId w:val="10"/>
        </w:numPr>
        <w:spacing w:before="240" w:after="240" w:line="288" w:lineRule="auto"/>
        <w:contextualSpacing/>
        <w:jc w:val="both"/>
        <w:rPr>
          <w:rFonts w:ascii="Arial" w:eastAsia="Times New Roman" w:hAnsi="Arial" w:cs="Arial"/>
        </w:rPr>
      </w:pPr>
      <w:r w:rsidRPr="0013555D">
        <w:rPr>
          <w:rFonts w:ascii="Arial" w:eastAsia="Times New Roman" w:hAnsi="Arial" w:cs="Arial"/>
        </w:rPr>
        <w:t>In support of this position, CLINUVEL cites what it characterises as the Committee’s unreasonable rejection or failure to give ‘material weight’ to unstructured qualitative data, including treatment adherence data, and quantitative data from post-authorisation and observational studies.  Having done so, CLINUVEL submits that the only reasonable adjustment available to the Committee would have been to accept a higher plausible ICER.</w:t>
      </w:r>
    </w:p>
    <w:p w14:paraId="33A9B3D6" w14:textId="77777777" w:rsidR="0013555D" w:rsidRPr="0013555D" w:rsidRDefault="0013555D" w:rsidP="0013555D">
      <w:pPr>
        <w:spacing w:after="0" w:line="288" w:lineRule="auto"/>
        <w:ind w:left="720"/>
        <w:contextualSpacing/>
        <w:rPr>
          <w:rFonts w:ascii="Arial" w:eastAsia="Times New Roman" w:hAnsi="Arial" w:cs="Arial"/>
        </w:rPr>
      </w:pPr>
    </w:p>
    <w:p w14:paraId="1064D5BD" w14:textId="77777777" w:rsidR="0013555D" w:rsidRPr="0013555D" w:rsidRDefault="0013555D" w:rsidP="0013555D">
      <w:pPr>
        <w:numPr>
          <w:ilvl w:val="0"/>
          <w:numId w:val="10"/>
        </w:numPr>
        <w:spacing w:before="240" w:after="240" w:line="288" w:lineRule="auto"/>
        <w:contextualSpacing/>
        <w:jc w:val="both"/>
        <w:rPr>
          <w:rFonts w:ascii="Arial" w:eastAsia="Times New Roman" w:hAnsi="Arial" w:cs="Arial"/>
        </w:rPr>
      </w:pPr>
      <w:r w:rsidRPr="0013555D">
        <w:rPr>
          <w:rFonts w:ascii="Arial" w:eastAsia="Times New Roman" w:hAnsi="Arial"/>
        </w:rPr>
        <w:t xml:space="preserve">In light of the above, I anticipate that the Appeal Panel will wish to consider whether the statutory test is met: </w:t>
      </w:r>
      <w:proofErr w:type="gramStart"/>
      <w:r w:rsidRPr="0013555D">
        <w:rPr>
          <w:rFonts w:ascii="Arial" w:eastAsia="Times New Roman" w:hAnsi="Arial"/>
        </w:rPr>
        <w:t>i.e.</w:t>
      </w:r>
      <w:proofErr w:type="gramEnd"/>
      <w:r w:rsidRPr="0013555D">
        <w:rPr>
          <w:rFonts w:ascii="Arial" w:eastAsia="Times New Roman" w:hAnsi="Arial"/>
        </w:rPr>
        <w:t xml:space="preserve"> whether the Committee has taken reasonable steps to avoid the disadvantage(s) at which people with EPP are placed as a result of the normal operation of the HST Process. </w:t>
      </w:r>
    </w:p>
    <w:p w14:paraId="58B88631" w14:textId="77777777" w:rsidR="0013555D" w:rsidRPr="0013555D" w:rsidRDefault="0013555D" w:rsidP="0013555D">
      <w:pPr>
        <w:spacing w:before="240" w:after="240" w:line="288" w:lineRule="auto"/>
        <w:contextualSpacing/>
        <w:jc w:val="both"/>
        <w:rPr>
          <w:rFonts w:ascii="Arial" w:eastAsia="Times New Roman" w:hAnsi="Arial" w:cs="Arial"/>
        </w:rPr>
      </w:pPr>
    </w:p>
    <w:p w14:paraId="34C1984E" w14:textId="4DE3F002" w:rsidR="0013555D" w:rsidRPr="0013555D" w:rsidRDefault="0013555D" w:rsidP="00182043">
      <w:pPr>
        <w:spacing w:before="240" w:after="240"/>
        <w:jc w:val="both"/>
        <w:rPr>
          <w:rFonts w:ascii="Arial" w:eastAsia="Times New Roman" w:hAnsi="Arial" w:cs="Arial"/>
        </w:rPr>
      </w:pPr>
      <w:r w:rsidRPr="0013555D">
        <w:rPr>
          <w:rFonts w:ascii="Arial" w:eastAsia="Times New Roman" w:hAnsi="Arial" w:cs="Arial"/>
        </w:rPr>
        <w:t xml:space="preserve">I note that CLINUVEL makes a related argument that the Committee did not </w:t>
      </w:r>
      <w:r w:rsidRPr="0013555D">
        <w:rPr>
          <w:rFonts w:ascii="Arial" w:eastAsia="Times New Roman" w:hAnsi="Arial"/>
        </w:rPr>
        <w:t xml:space="preserve">expressly address the need to promote equality of opportunity and its implications for adjustments to the Committee’s approach.  I am not minded </w:t>
      </w:r>
      <w:proofErr w:type="gramStart"/>
      <w:r w:rsidRPr="0013555D">
        <w:rPr>
          <w:rFonts w:ascii="Arial" w:eastAsia="Times New Roman" w:hAnsi="Arial"/>
        </w:rPr>
        <w:t>to refer</w:t>
      </w:r>
      <w:proofErr w:type="gramEnd"/>
      <w:r w:rsidRPr="0013555D">
        <w:rPr>
          <w:rFonts w:ascii="Arial" w:eastAsia="Times New Roman" w:hAnsi="Arial"/>
        </w:rPr>
        <w:t xml:space="preserve"> this point to the Appeal Panel.  I cannot see what, if anything, it adds to the substance of the argument summarised above.</w:t>
      </w:r>
    </w:p>
    <w:p w14:paraId="2D70D464" w14:textId="77777777" w:rsidR="00C55153" w:rsidRPr="00C55153" w:rsidRDefault="00C55153" w:rsidP="00C55153">
      <w:pPr>
        <w:spacing w:before="240" w:after="240"/>
        <w:jc w:val="both"/>
        <w:rPr>
          <w:rFonts w:ascii="Arial" w:eastAsia="Times New Roman" w:hAnsi="Arial" w:cs="Arial"/>
          <w:b/>
          <w:i/>
        </w:rPr>
      </w:pPr>
      <w:r w:rsidRPr="00C55153">
        <w:rPr>
          <w:rFonts w:ascii="Arial" w:eastAsia="Times New Roman" w:hAnsi="Arial" w:cs="Arial"/>
          <w:b/>
          <w:i/>
        </w:rPr>
        <w:t xml:space="preserve">Ground 2: the recommendation is unreasonable in the light of the evidence submitted to </w:t>
      </w:r>
      <w:proofErr w:type="gramStart"/>
      <w:r w:rsidRPr="00C55153">
        <w:rPr>
          <w:rFonts w:ascii="Arial" w:eastAsia="Times New Roman" w:hAnsi="Arial" w:cs="Arial"/>
          <w:b/>
          <w:i/>
        </w:rPr>
        <w:t>NICE</w:t>
      </w:r>
      <w:proofErr w:type="gramEnd"/>
    </w:p>
    <w:p w14:paraId="649009C7" w14:textId="77777777" w:rsidR="0013555D" w:rsidRPr="0013555D" w:rsidRDefault="0013555D" w:rsidP="0013555D">
      <w:pPr>
        <w:spacing w:before="240" w:after="240"/>
        <w:jc w:val="both"/>
        <w:rPr>
          <w:rFonts w:ascii="Arial" w:eastAsia="Times New Roman" w:hAnsi="Arial" w:cs="Arial"/>
          <w:b/>
          <w:u w:val="single"/>
          <w:lang w:eastAsia="en-GB"/>
        </w:rPr>
      </w:pPr>
      <w:r w:rsidRPr="0013555D">
        <w:rPr>
          <w:rFonts w:ascii="Arial" w:eastAsia="Times New Roman" w:hAnsi="Arial" w:cs="Arial"/>
          <w:b/>
          <w:u w:val="single"/>
          <w:lang w:eastAsia="en-GB"/>
        </w:rPr>
        <w:t xml:space="preserve">Appeal </w:t>
      </w:r>
      <w:proofErr w:type="gramStart"/>
      <w:r w:rsidRPr="0013555D">
        <w:rPr>
          <w:rFonts w:ascii="Arial" w:eastAsia="Times New Roman" w:hAnsi="Arial" w:cs="Arial"/>
          <w:b/>
          <w:u w:val="single"/>
          <w:lang w:eastAsia="en-GB"/>
        </w:rPr>
        <w:t>point</w:t>
      </w:r>
      <w:proofErr w:type="gramEnd"/>
      <w:r w:rsidRPr="0013555D">
        <w:rPr>
          <w:rFonts w:ascii="Arial" w:eastAsia="Times New Roman" w:hAnsi="Arial" w:cs="Arial"/>
          <w:b/>
          <w:u w:val="single"/>
          <w:lang w:eastAsia="en-GB"/>
        </w:rPr>
        <w:t xml:space="preserve"> 2.1: The Committee’s decision-making did not follow the relevant NICE Principles</w:t>
      </w:r>
    </w:p>
    <w:p w14:paraId="04D4025F" w14:textId="77777777" w:rsidR="0013555D" w:rsidRPr="0013555D" w:rsidRDefault="0013555D" w:rsidP="0013555D">
      <w:pPr>
        <w:spacing w:before="120" w:after="240"/>
        <w:jc w:val="both"/>
        <w:rPr>
          <w:rFonts w:ascii="Arial" w:eastAsia="Times New Roman" w:hAnsi="Arial" w:cs="Arial"/>
          <w:bCs/>
          <w:lang w:eastAsia="en-GB"/>
        </w:rPr>
      </w:pPr>
      <w:r w:rsidRPr="0013555D">
        <w:rPr>
          <w:rFonts w:ascii="Arial" w:eastAsia="Times New Roman" w:hAnsi="Arial" w:cs="Arial"/>
          <w:bCs/>
          <w:lang w:eastAsia="en-GB"/>
        </w:rPr>
        <w:t xml:space="preserve">CLINUVEL makes three discrete arguments within this appeal point.  I am minded </w:t>
      </w:r>
      <w:proofErr w:type="gramStart"/>
      <w:r w:rsidRPr="0013555D">
        <w:rPr>
          <w:rFonts w:ascii="Arial" w:eastAsia="Times New Roman" w:hAnsi="Arial" w:cs="Arial"/>
          <w:bCs/>
          <w:lang w:eastAsia="en-GB"/>
        </w:rPr>
        <w:t>to refer</w:t>
      </w:r>
      <w:proofErr w:type="gramEnd"/>
      <w:r w:rsidRPr="0013555D">
        <w:rPr>
          <w:rFonts w:ascii="Arial" w:eastAsia="Times New Roman" w:hAnsi="Arial" w:cs="Arial"/>
          <w:bCs/>
          <w:lang w:eastAsia="en-GB"/>
        </w:rPr>
        <w:t xml:space="preserve"> the point made in paragraph 9.7 of CLINUVEL’s letter, namely that it is arguable that the Committee focused unreasonably narrowly upon ICERS to the exclusion of other relevant factors.  </w:t>
      </w:r>
    </w:p>
    <w:p w14:paraId="546B9947" w14:textId="77777777" w:rsidR="0013555D" w:rsidRPr="0013555D" w:rsidRDefault="0013555D" w:rsidP="0013555D">
      <w:pPr>
        <w:spacing w:before="120" w:after="240"/>
        <w:jc w:val="both"/>
        <w:rPr>
          <w:rFonts w:ascii="Arial" w:eastAsia="Times New Roman" w:hAnsi="Arial" w:cs="Arial"/>
          <w:bCs/>
          <w:lang w:eastAsia="en-GB"/>
        </w:rPr>
      </w:pPr>
      <w:r w:rsidRPr="0013555D">
        <w:rPr>
          <w:rFonts w:ascii="Arial" w:eastAsia="Times New Roman" w:hAnsi="Arial" w:cs="Arial"/>
          <w:bCs/>
          <w:lang w:eastAsia="en-GB"/>
        </w:rPr>
        <w:t xml:space="preserve">I am not minded </w:t>
      </w:r>
      <w:proofErr w:type="gramStart"/>
      <w:r w:rsidRPr="0013555D">
        <w:rPr>
          <w:rFonts w:ascii="Arial" w:eastAsia="Times New Roman" w:hAnsi="Arial" w:cs="Arial"/>
          <w:bCs/>
          <w:lang w:eastAsia="en-GB"/>
        </w:rPr>
        <w:t>to refer</w:t>
      </w:r>
      <w:proofErr w:type="gramEnd"/>
      <w:r w:rsidRPr="0013555D">
        <w:rPr>
          <w:rFonts w:ascii="Arial" w:eastAsia="Times New Roman" w:hAnsi="Arial" w:cs="Arial"/>
          <w:bCs/>
          <w:lang w:eastAsia="en-GB"/>
        </w:rPr>
        <w:t xml:space="preserve"> the points made in paragraphs 9.8 and 9.9.  These are respectively that the Committee paid insufficient attention to the need for best value for taxpayers, and that the Committee did not expressly consider ‘overall population need’.  Neither seems to me to add anything substantive to the point argued in paragraph 9.7, and CLINUVEL has not provided evidence to support either, independently of the point argued in paragraph 9.7.</w:t>
      </w:r>
    </w:p>
    <w:p w14:paraId="3EE41D6C" w14:textId="77777777" w:rsidR="0013555D" w:rsidRPr="0013555D" w:rsidRDefault="0013555D" w:rsidP="0013555D">
      <w:pPr>
        <w:spacing w:before="120" w:after="240"/>
        <w:jc w:val="both"/>
        <w:rPr>
          <w:rFonts w:ascii="Arial" w:eastAsia="Times New Roman" w:hAnsi="Arial" w:cs="Arial"/>
          <w:b/>
          <w:u w:val="single"/>
          <w:lang w:eastAsia="en-GB"/>
        </w:rPr>
      </w:pPr>
      <w:r w:rsidRPr="0013555D">
        <w:rPr>
          <w:rFonts w:ascii="Arial" w:eastAsia="Times New Roman" w:hAnsi="Arial" w:cs="Arial"/>
          <w:b/>
          <w:u w:val="single"/>
          <w:lang w:eastAsia="en-GB"/>
        </w:rPr>
        <w:t xml:space="preserve">Appeal </w:t>
      </w:r>
      <w:proofErr w:type="gramStart"/>
      <w:r w:rsidRPr="0013555D">
        <w:rPr>
          <w:rFonts w:ascii="Arial" w:eastAsia="Times New Roman" w:hAnsi="Arial" w:cs="Arial"/>
          <w:b/>
          <w:u w:val="single"/>
          <w:lang w:eastAsia="en-GB"/>
        </w:rPr>
        <w:t>point</w:t>
      </w:r>
      <w:proofErr w:type="gramEnd"/>
      <w:r w:rsidRPr="0013555D">
        <w:rPr>
          <w:rFonts w:ascii="Arial" w:eastAsia="Times New Roman" w:hAnsi="Arial" w:cs="Arial"/>
          <w:b/>
          <w:u w:val="single"/>
          <w:lang w:eastAsia="en-GB"/>
        </w:rPr>
        <w:t xml:space="preserve"> 2.2; It was unreasonable for the Committee to conclude that </w:t>
      </w:r>
      <w:proofErr w:type="spellStart"/>
      <w:r w:rsidRPr="0013555D">
        <w:rPr>
          <w:rFonts w:ascii="Arial" w:eastAsia="Times New Roman" w:hAnsi="Arial" w:cs="Arial"/>
          <w:b/>
          <w:u w:val="single"/>
          <w:lang w:eastAsia="en-GB"/>
        </w:rPr>
        <w:t>afamelanotide</w:t>
      </w:r>
      <w:proofErr w:type="spellEnd"/>
      <w:r w:rsidRPr="0013555D">
        <w:rPr>
          <w:rFonts w:ascii="Arial" w:eastAsia="Times New Roman" w:hAnsi="Arial" w:cs="Arial"/>
          <w:b/>
          <w:u w:val="single"/>
          <w:lang w:eastAsia="en-GB"/>
        </w:rPr>
        <w:t xml:space="preserve"> could not be recommended for funding on the basis of the ICERs falling outside the normal range in the HST Process Guide</w:t>
      </w:r>
    </w:p>
    <w:p w14:paraId="50498FE6" w14:textId="77777777" w:rsidR="0013555D" w:rsidRPr="0013555D" w:rsidRDefault="0013555D" w:rsidP="0013555D">
      <w:pPr>
        <w:spacing w:line="288" w:lineRule="auto"/>
        <w:jc w:val="both"/>
        <w:rPr>
          <w:rFonts w:ascii="Arial" w:eastAsia="Times New Roman" w:hAnsi="Arial" w:cs="Arial"/>
        </w:rPr>
      </w:pPr>
      <w:r w:rsidRPr="0013555D">
        <w:rPr>
          <w:rFonts w:ascii="Arial" w:eastAsia="Times New Roman" w:hAnsi="Arial" w:cs="Arial"/>
        </w:rPr>
        <w:lastRenderedPageBreak/>
        <w:t xml:space="preserve">I am minded </w:t>
      </w:r>
      <w:proofErr w:type="gramStart"/>
      <w:r w:rsidRPr="0013555D">
        <w:rPr>
          <w:rFonts w:ascii="Arial" w:eastAsia="Times New Roman" w:hAnsi="Arial" w:cs="Arial"/>
        </w:rPr>
        <w:t>to refer</w:t>
      </w:r>
      <w:proofErr w:type="gramEnd"/>
      <w:r w:rsidRPr="0013555D">
        <w:rPr>
          <w:rFonts w:ascii="Arial" w:eastAsia="Times New Roman" w:hAnsi="Arial" w:cs="Arial"/>
        </w:rPr>
        <w:t xml:space="preserve"> this appeal point to the Appeal Panel.  I anticipate that the Appeal Panel will wish to consider first, whether the Committee’s decision not to recommend was made on the basis that the ICERs fell outside the normal range (i.e. by considering the extent of the weight the Committee put onto the ICER in its decision-making), second, if so, the Committee’s reasons for basing its decision on that factor, and third, whether those reasons fall within the reasonable range.    </w:t>
      </w:r>
    </w:p>
    <w:p w14:paraId="31225853" w14:textId="77777777" w:rsidR="0013555D" w:rsidRPr="0013555D" w:rsidRDefault="0013555D" w:rsidP="0013555D">
      <w:pPr>
        <w:spacing w:before="120" w:after="240"/>
        <w:jc w:val="both"/>
        <w:rPr>
          <w:rFonts w:ascii="Arial" w:eastAsia="Times New Roman" w:hAnsi="Arial" w:cs="Arial"/>
          <w:b/>
          <w:u w:val="single"/>
          <w:lang w:eastAsia="en-GB"/>
        </w:rPr>
      </w:pPr>
      <w:r w:rsidRPr="0013555D">
        <w:rPr>
          <w:rFonts w:ascii="Arial" w:eastAsia="Times New Roman" w:hAnsi="Arial" w:cs="Arial"/>
          <w:b/>
          <w:u w:val="single"/>
          <w:lang w:eastAsia="en-GB"/>
        </w:rPr>
        <w:t xml:space="preserve">Appeal </w:t>
      </w:r>
      <w:proofErr w:type="gramStart"/>
      <w:r w:rsidRPr="0013555D">
        <w:rPr>
          <w:rFonts w:ascii="Arial" w:eastAsia="Times New Roman" w:hAnsi="Arial" w:cs="Arial"/>
          <w:b/>
          <w:u w:val="single"/>
          <w:lang w:eastAsia="en-GB"/>
        </w:rPr>
        <w:t>point</w:t>
      </w:r>
      <w:proofErr w:type="gramEnd"/>
      <w:r w:rsidRPr="0013555D">
        <w:rPr>
          <w:rFonts w:ascii="Arial" w:eastAsia="Times New Roman" w:hAnsi="Arial" w:cs="Arial"/>
          <w:b/>
          <w:u w:val="single"/>
          <w:lang w:eastAsia="en-GB"/>
        </w:rPr>
        <w:t xml:space="preserve"> 2.3; The reasons in the FED for refusing to recommend an MAA were illogical</w:t>
      </w:r>
    </w:p>
    <w:p w14:paraId="0DA345F7" w14:textId="77777777" w:rsidR="0013555D" w:rsidRPr="0013555D" w:rsidRDefault="0013555D" w:rsidP="0013555D">
      <w:pPr>
        <w:spacing w:line="288" w:lineRule="auto"/>
        <w:jc w:val="both"/>
        <w:rPr>
          <w:rFonts w:ascii="Arial" w:eastAsia="Times New Roman" w:hAnsi="Arial" w:cs="Arial"/>
        </w:rPr>
      </w:pPr>
      <w:r w:rsidRPr="0013555D">
        <w:rPr>
          <w:rFonts w:ascii="Arial" w:eastAsia="Times New Roman" w:hAnsi="Arial" w:cs="Arial"/>
        </w:rPr>
        <w:t xml:space="preserve">I am minded </w:t>
      </w:r>
      <w:proofErr w:type="gramStart"/>
      <w:r w:rsidRPr="0013555D">
        <w:rPr>
          <w:rFonts w:ascii="Arial" w:eastAsia="Times New Roman" w:hAnsi="Arial" w:cs="Arial"/>
        </w:rPr>
        <w:t>to refer</w:t>
      </w:r>
      <w:proofErr w:type="gramEnd"/>
      <w:r w:rsidRPr="0013555D">
        <w:rPr>
          <w:rFonts w:ascii="Arial" w:eastAsia="Times New Roman" w:hAnsi="Arial" w:cs="Arial"/>
        </w:rPr>
        <w:t xml:space="preserve"> this appeal point to the Appeal Panel.  I anticipate that the Appeal Panel will wish to examine the Committee’s reasons for refusing to recommend an MAA, and whether or not those reasons were unreasonable – </w:t>
      </w:r>
      <w:proofErr w:type="gramStart"/>
      <w:r w:rsidRPr="0013555D">
        <w:rPr>
          <w:rFonts w:ascii="Arial" w:eastAsia="Times New Roman" w:hAnsi="Arial" w:cs="Arial"/>
        </w:rPr>
        <w:t>i.e.</w:t>
      </w:r>
      <w:proofErr w:type="gramEnd"/>
      <w:r w:rsidRPr="0013555D">
        <w:rPr>
          <w:rFonts w:ascii="Arial" w:eastAsia="Times New Roman" w:hAnsi="Arial" w:cs="Arial"/>
        </w:rPr>
        <w:t xml:space="preserve"> so unreasonable that no reasonable Committee acting reasonably could have reached them.   </w:t>
      </w:r>
    </w:p>
    <w:p w14:paraId="4BBFD817" w14:textId="77777777" w:rsidR="0013555D" w:rsidRPr="0013555D" w:rsidRDefault="0013555D" w:rsidP="0013555D">
      <w:pPr>
        <w:spacing w:before="120" w:after="240"/>
        <w:jc w:val="both"/>
        <w:rPr>
          <w:rFonts w:ascii="Arial" w:eastAsia="Times New Roman" w:hAnsi="Arial" w:cs="Arial"/>
          <w:b/>
          <w:u w:val="single"/>
          <w:lang w:eastAsia="en-GB"/>
        </w:rPr>
      </w:pPr>
      <w:r w:rsidRPr="0013555D">
        <w:rPr>
          <w:rFonts w:ascii="Arial" w:eastAsia="Times New Roman" w:hAnsi="Arial" w:cs="Arial"/>
          <w:b/>
          <w:u w:val="single"/>
          <w:lang w:eastAsia="en-GB"/>
        </w:rPr>
        <w:t xml:space="preserve">Appeal </w:t>
      </w:r>
      <w:proofErr w:type="gramStart"/>
      <w:r w:rsidRPr="0013555D">
        <w:rPr>
          <w:rFonts w:ascii="Arial" w:eastAsia="Times New Roman" w:hAnsi="Arial" w:cs="Arial"/>
          <w:b/>
          <w:u w:val="single"/>
          <w:lang w:eastAsia="en-GB"/>
        </w:rPr>
        <w:t>point</w:t>
      </w:r>
      <w:proofErr w:type="gramEnd"/>
      <w:r w:rsidRPr="0013555D">
        <w:rPr>
          <w:rFonts w:ascii="Arial" w:eastAsia="Times New Roman" w:hAnsi="Arial" w:cs="Arial"/>
          <w:b/>
          <w:u w:val="single"/>
          <w:lang w:eastAsia="en-GB"/>
        </w:rPr>
        <w:t xml:space="preserve"> 2.4; The emphasis placed by the Committee and NICE on the importance and usefulness of a vignette study to inform the QALY was irrational</w:t>
      </w:r>
    </w:p>
    <w:p w14:paraId="19D1CF83" w14:textId="77777777" w:rsidR="0013555D" w:rsidRPr="0013555D" w:rsidRDefault="0013555D" w:rsidP="0013555D">
      <w:pPr>
        <w:spacing w:line="288" w:lineRule="auto"/>
        <w:jc w:val="both"/>
        <w:rPr>
          <w:rFonts w:ascii="Arial" w:eastAsia="Times New Roman" w:hAnsi="Arial" w:cs="Arial"/>
        </w:rPr>
      </w:pPr>
      <w:r w:rsidRPr="0013555D">
        <w:rPr>
          <w:rFonts w:ascii="Arial" w:eastAsia="Times New Roman" w:hAnsi="Arial" w:cs="Arial"/>
        </w:rPr>
        <w:t xml:space="preserve">I am minded </w:t>
      </w:r>
      <w:proofErr w:type="gramStart"/>
      <w:r w:rsidRPr="0013555D">
        <w:rPr>
          <w:rFonts w:ascii="Arial" w:eastAsia="Times New Roman" w:hAnsi="Arial" w:cs="Arial"/>
        </w:rPr>
        <w:t>to refer</w:t>
      </w:r>
      <w:proofErr w:type="gramEnd"/>
      <w:r w:rsidRPr="0013555D">
        <w:rPr>
          <w:rFonts w:ascii="Arial" w:eastAsia="Times New Roman" w:hAnsi="Arial" w:cs="Arial"/>
        </w:rPr>
        <w:t xml:space="preserve"> this appeal point to the Appeal Panel.   I agree that it is arguably unreasonable for the Committee to place the relative importance that it did on the benefits of a vignette study.</w:t>
      </w:r>
    </w:p>
    <w:p w14:paraId="2112904F" w14:textId="77777777" w:rsidR="0013555D" w:rsidRPr="0013555D" w:rsidRDefault="0013555D" w:rsidP="0013555D">
      <w:pPr>
        <w:spacing w:before="240" w:after="240"/>
        <w:jc w:val="both"/>
        <w:rPr>
          <w:rFonts w:ascii="Arial" w:eastAsia="Times New Roman" w:hAnsi="Arial" w:cs="Arial"/>
        </w:rPr>
      </w:pPr>
      <w:r w:rsidRPr="0013555D">
        <w:rPr>
          <w:rFonts w:ascii="Arial" w:eastAsia="Times New Roman" w:hAnsi="Arial" w:cs="Arial"/>
          <w:b/>
          <w:u w:val="single"/>
        </w:rPr>
        <w:t xml:space="preserve">Appeal </w:t>
      </w:r>
      <w:proofErr w:type="gramStart"/>
      <w:r w:rsidRPr="0013555D">
        <w:rPr>
          <w:rFonts w:ascii="Arial" w:eastAsia="Times New Roman" w:hAnsi="Arial" w:cs="Arial"/>
          <w:b/>
          <w:u w:val="single"/>
        </w:rPr>
        <w:t>point</w:t>
      </w:r>
      <w:proofErr w:type="gramEnd"/>
      <w:r w:rsidRPr="0013555D">
        <w:rPr>
          <w:rFonts w:ascii="Arial" w:eastAsia="Times New Roman" w:hAnsi="Arial" w:cs="Arial"/>
          <w:b/>
          <w:u w:val="single"/>
        </w:rPr>
        <w:t xml:space="preserve"> 2.5;</w:t>
      </w:r>
      <w:r w:rsidRPr="0013555D">
        <w:rPr>
          <w:rFonts w:ascii="Arial" w:eastAsia="Times New Roman" w:hAnsi="Arial"/>
          <w:u w:val="single"/>
        </w:rPr>
        <w:t xml:space="preserve"> </w:t>
      </w:r>
      <w:r w:rsidRPr="0013555D">
        <w:rPr>
          <w:rFonts w:ascii="Arial" w:eastAsia="Times New Roman" w:hAnsi="Arial" w:cs="Arial"/>
          <w:b/>
          <w:u w:val="single"/>
        </w:rPr>
        <w:t>The failure to place any (or any adequate) weight on treatment adherence data was irrational</w:t>
      </w:r>
    </w:p>
    <w:p w14:paraId="6036F79F" w14:textId="77777777" w:rsidR="0013555D" w:rsidRPr="0013555D" w:rsidRDefault="0013555D" w:rsidP="0013555D">
      <w:pPr>
        <w:spacing w:line="288" w:lineRule="auto"/>
        <w:jc w:val="both"/>
        <w:rPr>
          <w:rFonts w:ascii="Arial" w:eastAsia="Times New Roman" w:hAnsi="Arial" w:cs="Arial"/>
        </w:rPr>
      </w:pPr>
      <w:r w:rsidRPr="0013555D">
        <w:rPr>
          <w:rFonts w:ascii="Arial" w:eastAsia="Times New Roman" w:hAnsi="Arial" w:cs="Arial"/>
        </w:rPr>
        <w:t xml:space="preserve">I am not minded </w:t>
      </w:r>
      <w:proofErr w:type="gramStart"/>
      <w:r w:rsidRPr="0013555D">
        <w:rPr>
          <w:rFonts w:ascii="Arial" w:eastAsia="Times New Roman" w:hAnsi="Arial" w:cs="Arial"/>
        </w:rPr>
        <w:t>to refer</w:t>
      </w:r>
      <w:proofErr w:type="gramEnd"/>
      <w:r w:rsidRPr="0013555D">
        <w:rPr>
          <w:rFonts w:ascii="Arial" w:eastAsia="Times New Roman" w:hAnsi="Arial" w:cs="Arial"/>
        </w:rPr>
        <w:t xml:space="preserve"> this appeal point to the Appeal Panel.   I note that the Committee did take account of the fact that the adherence rate was high, whilst properly also acknowledging that adherence rates are not a direct marker of effectiveness and do not quantify the size of the treatment benefit.  I cannot presently see how it could arguably be said that this was an irrational approach for it to take.  </w:t>
      </w:r>
    </w:p>
    <w:p w14:paraId="37C66F32" w14:textId="77777777" w:rsidR="0013555D" w:rsidRPr="0013555D" w:rsidRDefault="0013555D" w:rsidP="0013555D">
      <w:pPr>
        <w:spacing w:before="120" w:after="240"/>
        <w:jc w:val="both"/>
        <w:rPr>
          <w:rFonts w:ascii="Arial" w:eastAsia="Times New Roman" w:hAnsi="Arial" w:cs="Arial"/>
          <w:b/>
          <w:u w:val="single"/>
          <w:lang w:eastAsia="en-GB"/>
        </w:rPr>
      </w:pPr>
      <w:r w:rsidRPr="0013555D">
        <w:rPr>
          <w:rFonts w:ascii="Arial" w:eastAsia="Times New Roman" w:hAnsi="Arial" w:cs="Arial"/>
          <w:b/>
          <w:u w:val="single"/>
          <w:lang w:eastAsia="en-GB"/>
        </w:rPr>
        <w:t xml:space="preserve">Appeal </w:t>
      </w:r>
      <w:proofErr w:type="gramStart"/>
      <w:r w:rsidRPr="0013555D">
        <w:rPr>
          <w:rFonts w:ascii="Arial" w:eastAsia="Times New Roman" w:hAnsi="Arial" w:cs="Arial"/>
          <w:b/>
          <w:u w:val="single"/>
          <w:lang w:eastAsia="en-GB"/>
        </w:rPr>
        <w:t>point</w:t>
      </w:r>
      <w:proofErr w:type="gramEnd"/>
      <w:r w:rsidRPr="0013555D">
        <w:rPr>
          <w:rFonts w:ascii="Arial" w:eastAsia="Times New Roman" w:hAnsi="Arial" w:cs="Arial"/>
          <w:b/>
          <w:u w:val="single"/>
          <w:lang w:eastAsia="en-GB"/>
        </w:rPr>
        <w:t xml:space="preserve"> 2.6;</w:t>
      </w:r>
      <w:r w:rsidRPr="0013555D">
        <w:rPr>
          <w:rFonts w:ascii="Arial" w:eastAsia="Times New Roman" w:hAnsi="Arial"/>
          <w:u w:val="single"/>
          <w:lang w:eastAsia="en-GB"/>
        </w:rPr>
        <w:t xml:space="preserve"> </w:t>
      </w:r>
      <w:r w:rsidRPr="0013555D">
        <w:rPr>
          <w:rFonts w:ascii="Arial" w:eastAsia="Times New Roman" w:hAnsi="Arial" w:cs="Arial"/>
          <w:b/>
          <w:u w:val="single"/>
          <w:lang w:eastAsia="en-GB"/>
        </w:rPr>
        <w:t>The failure to place any (or any adequate) weight on data from post-authorisation and observational studies was irrational</w:t>
      </w:r>
    </w:p>
    <w:p w14:paraId="52A4A23C" w14:textId="77777777" w:rsidR="0013555D" w:rsidRPr="0013555D" w:rsidRDefault="0013555D" w:rsidP="0013555D">
      <w:pPr>
        <w:spacing w:line="288" w:lineRule="auto"/>
        <w:jc w:val="both"/>
        <w:rPr>
          <w:rFonts w:ascii="Arial" w:eastAsia="Times New Roman" w:hAnsi="Arial" w:cs="Arial"/>
        </w:rPr>
      </w:pPr>
      <w:r w:rsidRPr="0013555D">
        <w:rPr>
          <w:rFonts w:ascii="Arial" w:eastAsia="Times New Roman" w:hAnsi="Arial" w:cs="Arial"/>
        </w:rPr>
        <w:t xml:space="preserve">I am not minded </w:t>
      </w:r>
      <w:proofErr w:type="gramStart"/>
      <w:r w:rsidRPr="0013555D">
        <w:rPr>
          <w:rFonts w:ascii="Arial" w:eastAsia="Times New Roman" w:hAnsi="Arial" w:cs="Arial"/>
        </w:rPr>
        <w:t>to refer</w:t>
      </w:r>
      <w:proofErr w:type="gramEnd"/>
      <w:r w:rsidRPr="0013555D">
        <w:rPr>
          <w:rFonts w:ascii="Arial" w:eastAsia="Times New Roman" w:hAnsi="Arial" w:cs="Arial"/>
        </w:rPr>
        <w:t xml:space="preserve"> this appeal point to the Appeal Panel as a freestanding appeal point.  I note that appeal point 2.4 argues that it was irrational for the Committee to place the weight that it did on the importance of a vignette study, at the expense of other kinds of unstructured evidence.  I do not presently see that this proposed appeal point adds anything of substance to the consideration required to resolve appeal point 2.4.  </w:t>
      </w:r>
    </w:p>
    <w:p w14:paraId="10F0C62B" w14:textId="77777777" w:rsidR="0013555D" w:rsidRPr="0013555D" w:rsidRDefault="0013555D" w:rsidP="0013555D">
      <w:pPr>
        <w:spacing w:before="120" w:after="240"/>
        <w:jc w:val="both"/>
        <w:rPr>
          <w:rFonts w:ascii="Arial" w:eastAsia="Times New Roman" w:hAnsi="Arial" w:cs="Arial"/>
          <w:b/>
          <w:u w:val="single"/>
          <w:lang w:eastAsia="en-GB"/>
        </w:rPr>
      </w:pPr>
      <w:r w:rsidRPr="0013555D">
        <w:rPr>
          <w:rFonts w:ascii="Arial" w:eastAsia="Times New Roman" w:hAnsi="Arial" w:cs="Arial"/>
          <w:b/>
          <w:u w:val="single"/>
          <w:lang w:eastAsia="en-GB"/>
        </w:rPr>
        <w:t xml:space="preserve">Appeal </w:t>
      </w:r>
      <w:proofErr w:type="gramStart"/>
      <w:r w:rsidRPr="0013555D">
        <w:rPr>
          <w:rFonts w:ascii="Arial" w:eastAsia="Times New Roman" w:hAnsi="Arial" w:cs="Arial"/>
          <w:b/>
          <w:u w:val="single"/>
          <w:lang w:eastAsia="en-GB"/>
        </w:rPr>
        <w:t>point</w:t>
      </w:r>
      <w:proofErr w:type="gramEnd"/>
      <w:r w:rsidRPr="0013555D">
        <w:rPr>
          <w:rFonts w:ascii="Arial" w:eastAsia="Times New Roman" w:hAnsi="Arial" w:cs="Arial"/>
          <w:b/>
          <w:u w:val="single"/>
          <w:lang w:eastAsia="en-GB"/>
        </w:rPr>
        <w:t xml:space="preserve"> 2.7; The decision to disregard the EPP-QoL tool reflected a factual error</w:t>
      </w:r>
    </w:p>
    <w:p w14:paraId="597B76F9" w14:textId="0D09F6D2" w:rsidR="007211B7" w:rsidRPr="0013555D" w:rsidRDefault="0013555D" w:rsidP="0013555D">
      <w:pPr>
        <w:spacing w:line="288" w:lineRule="auto"/>
        <w:jc w:val="both"/>
        <w:rPr>
          <w:rFonts w:ascii="Arial" w:eastAsia="Times New Roman" w:hAnsi="Arial" w:cs="Arial"/>
        </w:rPr>
      </w:pPr>
      <w:r w:rsidRPr="0013555D">
        <w:rPr>
          <w:rFonts w:ascii="Arial" w:eastAsia="Times New Roman" w:hAnsi="Arial" w:cs="Arial"/>
        </w:rPr>
        <w:t xml:space="preserve">I am not minded </w:t>
      </w:r>
      <w:proofErr w:type="gramStart"/>
      <w:r w:rsidRPr="0013555D">
        <w:rPr>
          <w:rFonts w:ascii="Arial" w:eastAsia="Times New Roman" w:hAnsi="Arial" w:cs="Arial"/>
        </w:rPr>
        <w:t>to refer</w:t>
      </w:r>
      <w:proofErr w:type="gramEnd"/>
      <w:r w:rsidRPr="0013555D">
        <w:rPr>
          <w:rFonts w:ascii="Arial" w:eastAsia="Times New Roman" w:hAnsi="Arial" w:cs="Arial"/>
        </w:rPr>
        <w:t xml:space="preserve"> this appeal point to the Appeal Panel.  The argument made appears to be that the statement that the EPP-QoL “was developed by the company” is erroneous, because in fact it was developed by the company “alongside and in conjunction with independent EPP experts”.  I cannot see any arguable basis for unreasonableness arising from this clarification.  CLINUVEL is entitled to seek a factual correction to the FED, should it wish to do so.</w:t>
      </w:r>
    </w:p>
    <w:p w14:paraId="2DACF7C4" w14:textId="0826F46C" w:rsidR="00182043" w:rsidRPr="00182043" w:rsidRDefault="00182043" w:rsidP="00182043">
      <w:pPr>
        <w:pStyle w:val="Paragraph"/>
        <w:numPr>
          <w:ilvl w:val="0"/>
          <w:numId w:val="0"/>
        </w:numPr>
        <w:spacing w:before="120"/>
        <w:jc w:val="both"/>
        <w:rPr>
          <w:rFonts w:cs="Arial"/>
          <w:sz w:val="22"/>
          <w:szCs w:val="22"/>
          <w:u w:val="single"/>
          <w:lang w:eastAsia="en-US"/>
        </w:rPr>
      </w:pPr>
      <w:r w:rsidRPr="00182043">
        <w:rPr>
          <w:rFonts w:cs="Arial"/>
          <w:sz w:val="22"/>
          <w:szCs w:val="22"/>
          <w:u w:val="single"/>
          <w:lang w:eastAsia="en-US"/>
        </w:rPr>
        <w:lastRenderedPageBreak/>
        <w:t xml:space="preserve">Conclusion </w:t>
      </w:r>
    </w:p>
    <w:p w14:paraId="5FA9D58B" w14:textId="77777777" w:rsidR="00182043" w:rsidRPr="00182043" w:rsidRDefault="00182043" w:rsidP="00182043">
      <w:pPr>
        <w:pStyle w:val="Paragraph"/>
        <w:numPr>
          <w:ilvl w:val="0"/>
          <w:numId w:val="0"/>
        </w:numPr>
        <w:spacing w:before="120"/>
        <w:jc w:val="both"/>
        <w:rPr>
          <w:rFonts w:cs="Arial"/>
          <w:sz w:val="22"/>
          <w:szCs w:val="22"/>
          <w:lang w:eastAsia="en-US"/>
        </w:rPr>
      </w:pPr>
      <w:r w:rsidRPr="00182043">
        <w:rPr>
          <w:rFonts w:cs="Arial"/>
          <w:sz w:val="22"/>
          <w:szCs w:val="22"/>
          <w:lang w:eastAsia="en-US"/>
        </w:rPr>
        <w:t xml:space="preserve">The above sets out above my initial views on </w:t>
      </w:r>
      <w:proofErr w:type="gramStart"/>
      <w:r w:rsidRPr="00182043">
        <w:rPr>
          <w:rFonts w:cs="Arial"/>
          <w:sz w:val="22"/>
          <w:szCs w:val="22"/>
          <w:lang w:eastAsia="en-US"/>
        </w:rPr>
        <w:t>all of</w:t>
      </w:r>
      <w:proofErr w:type="gramEnd"/>
      <w:r w:rsidRPr="00182043">
        <w:rPr>
          <w:rFonts w:cs="Arial"/>
          <w:sz w:val="22"/>
          <w:szCs w:val="22"/>
          <w:lang w:eastAsia="en-US"/>
        </w:rPr>
        <w:t xml:space="preserve"> your appeal points.</w:t>
      </w:r>
    </w:p>
    <w:p w14:paraId="1172304F" w14:textId="01C597FF" w:rsidR="00182043" w:rsidRPr="00182043" w:rsidRDefault="00182043" w:rsidP="00182043">
      <w:pPr>
        <w:pStyle w:val="Paragraph"/>
        <w:numPr>
          <w:ilvl w:val="0"/>
          <w:numId w:val="0"/>
        </w:numPr>
        <w:spacing w:before="120"/>
        <w:jc w:val="both"/>
        <w:rPr>
          <w:rFonts w:cs="Arial"/>
          <w:sz w:val="22"/>
          <w:szCs w:val="22"/>
          <w:lang w:eastAsia="en-US"/>
        </w:rPr>
      </w:pPr>
      <w:r w:rsidRPr="00182043">
        <w:rPr>
          <w:rFonts w:cs="Arial"/>
          <w:sz w:val="22"/>
          <w:szCs w:val="22"/>
          <w:lang w:eastAsia="en-US"/>
        </w:rPr>
        <w:t xml:space="preserve">In respect of your points which I am not minded </w:t>
      </w:r>
      <w:proofErr w:type="gramStart"/>
      <w:r w:rsidRPr="00182043">
        <w:rPr>
          <w:rFonts w:cs="Arial"/>
          <w:sz w:val="22"/>
          <w:szCs w:val="22"/>
          <w:lang w:eastAsia="en-US"/>
        </w:rPr>
        <w:t>to refer</w:t>
      </w:r>
      <w:proofErr w:type="gramEnd"/>
      <w:r w:rsidRPr="00182043">
        <w:rPr>
          <w:rFonts w:cs="Arial"/>
          <w:sz w:val="22"/>
          <w:szCs w:val="22"/>
          <w:lang w:eastAsia="en-US"/>
        </w:rPr>
        <w:t xml:space="preserve"> on you are entitled to submit further clarification and/or evidence to me </w:t>
      </w:r>
      <w:r w:rsidR="00C146C7" w:rsidRPr="00B6409C">
        <w:rPr>
          <w:rFonts w:cs="Arial"/>
          <w:b/>
          <w:bCs/>
          <w:sz w:val="22"/>
          <w:szCs w:val="22"/>
          <w:lang w:eastAsia="en-US"/>
        </w:rPr>
        <w:t xml:space="preserve">no later than </w:t>
      </w:r>
      <w:r w:rsidR="00507A44">
        <w:rPr>
          <w:rFonts w:cs="Arial"/>
          <w:b/>
          <w:bCs/>
          <w:sz w:val="22"/>
          <w:szCs w:val="22"/>
          <w:lang w:eastAsia="en-US"/>
        </w:rPr>
        <w:t>5pm on 18 April</w:t>
      </w:r>
      <w:r w:rsidR="00652D8F">
        <w:rPr>
          <w:rFonts w:cs="Arial"/>
          <w:b/>
          <w:bCs/>
          <w:sz w:val="22"/>
          <w:szCs w:val="22"/>
          <w:lang w:eastAsia="en-US"/>
        </w:rPr>
        <w:t xml:space="preserve"> 2023</w:t>
      </w:r>
      <w:r w:rsidR="00C146C7" w:rsidRPr="00B6409C">
        <w:rPr>
          <w:rFonts w:cs="Arial"/>
          <w:sz w:val="22"/>
          <w:szCs w:val="22"/>
          <w:lang w:eastAsia="en-US"/>
        </w:rPr>
        <w:t xml:space="preserve"> </w:t>
      </w:r>
      <w:r w:rsidRPr="00B6409C">
        <w:rPr>
          <w:rFonts w:cs="Arial"/>
          <w:sz w:val="22"/>
          <w:szCs w:val="22"/>
          <w:lang w:eastAsia="en-US"/>
        </w:rPr>
        <w:t>and I will then give a final decision on the points to put before an appeal panel.  For the points I am already content to refer on, an oral appeal will be held which</w:t>
      </w:r>
      <w:r w:rsidRPr="00C75716">
        <w:rPr>
          <w:rFonts w:cs="Arial"/>
          <w:sz w:val="22"/>
          <w:szCs w:val="22"/>
          <w:lang w:eastAsia="en-US"/>
        </w:rPr>
        <w:t xml:space="preserve"> </w:t>
      </w:r>
      <w:r w:rsidR="0013555D">
        <w:rPr>
          <w:rFonts w:cs="Arial"/>
          <w:sz w:val="22"/>
          <w:szCs w:val="22"/>
          <w:lang w:eastAsia="en-US"/>
        </w:rPr>
        <w:t>will</w:t>
      </w:r>
      <w:r w:rsidRPr="00C75716">
        <w:rPr>
          <w:rFonts w:cs="Arial"/>
          <w:sz w:val="22"/>
          <w:szCs w:val="22"/>
          <w:lang w:eastAsia="en-US"/>
        </w:rPr>
        <w:t xml:space="preserve"> be held remotely.</w:t>
      </w:r>
    </w:p>
    <w:p w14:paraId="64B3EF02" w14:textId="16AB115C" w:rsidR="00182043" w:rsidRPr="00C146C7" w:rsidRDefault="00182043" w:rsidP="00182043">
      <w:pPr>
        <w:pStyle w:val="Paragraph"/>
        <w:numPr>
          <w:ilvl w:val="0"/>
          <w:numId w:val="0"/>
        </w:numPr>
        <w:spacing w:before="120"/>
        <w:jc w:val="both"/>
        <w:rPr>
          <w:rFonts w:cs="Arial"/>
          <w:b/>
          <w:bCs/>
          <w:sz w:val="22"/>
          <w:szCs w:val="22"/>
        </w:rPr>
      </w:pPr>
      <w:r w:rsidRPr="00182043">
        <w:rPr>
          <w:rFonts w:cs="Arial"/>
          <w:sz w:val="22"/>
          <w:szCs w:val="22"/>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w:t>
      </w:r>
      <w:r w:rsidR="00340525">
        <w:rPr>
          <w:rFonts w:cs="Arial"/>
          <w:sz w:val="22"/>
          <w:szCs w:val="22"/>
          <w:lang w:eastAsia="en-US"/>
        </w:rPr>
        <w:t xml:space="preserve"> </w:t>
      </w:r>
      <w:r w:rsidRPr="00182043">
        <w:rPr>
          <w:rFonts w:cs="Arial"/>
          <w:sz w:val="22"/>
          <w:szCs w:val="22"/>
          <w:lang w:eastAsia="en-US"/>
        </w:rPr>
        <w:t xml:space="preserve">If the appeal letter and/or responses to scrutiny contain confidential </w:t>
      </w:r>
      <w:r w:rsidR="007211B7" w:rsidRPr="00182043">
        <w:rPr>
          <w:rFonts w:cs="Arial"/>
          <w:sz w:val="22"/>
          <w:szCs w:val="22"/>
          <w:lang w:eastAsia="en-US"/>
        </w:rPr>
        <w:t>information,</w:t>
      </w:r>
      <w:r w:rsidRPr="00182043">
        <w:rPr>
          <w:rFonts w:cs="Arial"/>
          <w:sz w:val="22"/>
          <w:szCs w:val="22"/>
        </w:rPr>
        <w:t xml:space="preserve"> please ensure you have provided a version with this information redacted </w:t>
      </w:r>
      <w:r w:rsidRPr="00B6409C">
        <w:rPr>
          <w:rFonts w:cs="Arial"/>
          <w:sz w:val="22"/>
          <w:szCs w:val="22"/>
        </w:rPr>
        <w:t xml:space="preserve">by </w:t>
      </w:r>
      <w:r w:rsidR="00D05AEA">
        <w:rPr>
          <w:rFonts w:cs="Arial"/>
          <w:b/>
          <w:bCs/>
          <w:sz w:val="22"/>
          <w:szCs w:val="22"/>
        </w:rPr>
        <w:t xml:space="preserve">24 </w:t>
      </w:r>
      <w:r w:rsidR="00112E36">
        <w:rPr>
          <w:rFonts w:cs="Arial"/>
          <w:b/>
          <w:bCs/>
          <w:sz w:val="22"/>
          <w:szCs w:val="22"/>
        </w:rPr>
        <w:t>April</w:t>
      </w:r>
      <w:r w:rsidR="00D05AEA">
        <w:rPr>
          <w:rFonts w:cs="Arial"/>
          <w:b/>
          <w:bCs/>
          <w:sz w:val="22"/>
          <w:szCs w:val="22"/>
        </w:rPr>
        <w:t xml:space="preserve"> 2023</w:t>
      </w:r>
      <w:r w:rsidR="00C75716" w:rsidRPr="00B6409C">
        <w:rPr>
          <w:rFonts w:cs="Arial"/>
          <w:b/>
          <w:bCs/>
          <w:sz w:val="22"/>
          <w:szCs w:val="22"/>
        </w:rPr>
        <w:t>.</w:t>
      </w:r>
    </w:p>
    <w:p w14:paraId="65E51549" w14:textId="724E82D1" w:rsidR="00182043" w:rsidRPr="00182043" w:rsidRDefault="00182043" w:rsidP="00182043">
      <w:pPr>
        <w:pStyle w:val="Paragraph"/>
        <w:numPr>
          <w:ilvl w:val="0"/>
          <w:numId w:val="0"/>
        </w:numPr>
        <w:spacing w:before="120"/>
        <w:jc w:val="both"/>
        <w:rPr>
          <w:rFonts w:cs="Arial"/>
          <w:sz w:val="22"/>
          <w:szCs w:val="22"/>
        </w:rPr>
      </w:pPr>
      <w:r w:rsidRPr="00182043">
        <w:rPr>
          <w:rFonts w:cs="Arial"/>
          <w:sz w:val="22"/>
          <w:szCs w:val="22"/>
        </w:rPr>
        <w:t xml:space="preserve">Ordinarily appeals are conducted </w:t>
      </w:r>
      <w:proofErr w:type="gramStart"/>
      <w:r w:rsidRPr="00182043">
        <w:rPr>
          <w:rFonts w:cs="Arial"/>
          <w:sz w:val="22"/>
          <w:szCs w:val="22"/>
        </w:rPr>
        <w:t>on the basis of</w:t>
      </w:r>
      <w:proofErr w:type="gramEnd"/>
      <w:r w:rsidRPr="00182043">
        <w:rPr>
          <w:rFonts w:cs="Arial"/>
          <w:sz w:val="22"/>
          <w:szCs w:val="22"/>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112E36">
        <w:rPr>
          <w:rFonts w:cs="Arial"/>
          <w:b/>
          <w:bCs/>
          <w:sz w:val="22"/>
          <w:szCs w:val="22"/>
        </w:rPr>
        <w:t>19 April</w:t>
      </w:r>
      <w:r w:rsidR="00652D8F">
        <w:rPr>
          <w:rFonts w:cs="Arial"/>
          <w:b/>
          <w:bCs/>
          <w:sz w:val="22"/>
          <w:szCs w:val="22"/>
        </w:rPr>
        <w:t xml:space="preserve"> 2023</w:t>
      </w:r>
      <w:r w:rsidRPr="00182043">
        <w:rPr>
          <w:rFonts w:cs="Arial"/>
          <w:sz w:val="22"/>
          <w:szCs w:val="22"/>
        </w:rPr>
        <w:t>.  Please note that the appeal panel cannot accept papers that are tabled late or ad hoc, as this affects the preparation of the panel and other parties for the appeal.</w:t>
      </w:r>
    </w:p>
    <w:p w14:paraId="206E9180" w14:textId="31D944C3" w:rsidR="00182043" w:rsidRDefault="00182043" w:rsidP="00182043">
      <w:pPr>
        <w:jc w:val="both"/>
        <w:rPr>
          <w:rFonts w:ascii="Arial" w:hAnsi="Arial" w:cs="Arial"/>
        </w:rPr>
      </w:pPr>
      <w:r w:rsidRPr="00182043">
        <w:rPr>
          <w:rFonts w:ascii="Arial" w:hAnsi="Arial" w:cs="Arial"/>
        </w:rPr>
        <w:t>Yours sincerely</w:t>
      </w:r>
    </w:p>
    <w:p w14:paraId="772FCA33" w14:textId="1D028D39" w:rsidR="00C146C7" w:rsidRPr="00182043" w:rsidRDefault="00C146C7" w:rsidP="00182043">
      <w:pPr>
        <w:jc w:val="both"/>
        <w:rPr>
          <w:rFonts w:ascii="Arial" w:hAnsi="Arial" w:cs="Arial"/>
        </w:rPr>
      </w:pPr>
    </w:p>
    <w:p w14:paraId="4CD09844" w14:textId="77777777" w:rsidR="00182043" w:rsidRPr="00182043" w:rsidRDefault="00182043" w:rsidP="00182043">
      <w:pPr>
        <w:spacing w:line="360" w:lineRule="auto"/>
        <w:jc w:val="both"/>
        <w:rPr>
          <w:rFonts w:ascii="Arial" w:hAnsi="Arial" w:cs="Arial"/>
        </w:rPr>
      </w:pPr>
      <w:r w:rsidRPr="00182043">
        <w:rPr>
          <w:rFonts w:ascii="Arial" w:hAnsi="Arial" w:cs="Arial"/>
        </w:rPr>
        <w:t>Dr Mark Chakravarty</w:t>
      </w:r>
    </w:p>
    <w:p w14:paraId="796E4E74" w14:textId="77777777" w:rsidR="00182043" w:rsidRPr="00182043" w:rsidRDefault="00182043" w:rsidP="00182043">
      <w:pPr>
        <w:spacing w:line="360" w:lineRule="auto"/>
        <w:jc w:val="both"/>
        <w:rPr>
          <w:rFonts w:ascii="Arial" w:hAnsi="Arial" w:cs="Arial"/>
        </w:rPr>
      </w:pPr>
      <w:r w:rsidRPr="00182043">
        <w:rPr>
          <w:rFonts w:ascii="Arial" w:hAnsi="Arial" w:cs="Arial"/>
        </w:rPr>
        <w:t>Lead Non-Executive Director for Appeals &amp; Vice Chairman</w:t>
      </w:r>
    </w:p>
    <w:p w14:paraId="17C4AB9C" w14:textId="77777777" w:rsidR="00182043" w:rsidRPr="00182043" w:rsidRDefault="00182043" w:rsidP="00182043">
      <w:pPr>
        <w:spacing w:line="360" w:lineRule="auto"/>
        <w:jc w:val="both"/>
        <w:rPr>
          <w:rFonts w:ascii="Arial" w:hAnsi="Arial" w:cs="Arial"/>
        </w:rPr>
      </w:pPr>
      <w:r w:rsidRPr="00182043">
        <w:rPr>
          <w:rFonts w:ascii="Arial" w:hAnsi="Arial" w:cs="Arial"/>
        </w:rPr>
        <w:t>National Institute for Health and Care Excellence</w:t>
      </w:r>
    </w:p>
    <w:p w14:paraId="18A30C3F" w14:textId="6EF82FB3" w:rsidR="00FE3296" w:rsidRDefault="00FE3296" w:rsidP="00182043">
      <w:pPr>
        <w:rPr>
          <w:rFonts w:ascii="Arial" w:hAnsi="Arial" w:cs="Arial"/>
          <w:sz w:val="24"/>
          <w:szCs w:val="24"/>
        </w:rPr>
      </w:pPr>
    </w:p>
    <w:p w14:paraId="18945A07" w14:textId="70B68FDF" w:rsidR="003A3E2E" w:rsidRDefault="003A3E2E" w:rsidP="004215D9">
      <w:pPr>
        <w:rPr>
          <w:rFonts w:ascii="Arial" w:hAnsi="Arial" w:cs="Arial"/>
          <w:sz w:val="24"/>
          <w:szCs w:val="24"/>
        </w:rPr>
      </w:pPr>
    </w:p>
    <w:p w14:paraId="26BA590C" w14:textId="0206268E" w:rsidR="003A3E2E" w:rsidRDefault="003A3E2E" w:rsidP="004215D9">
      <w:pPr>
        <w:rPr>
          <w:rFonts w:ascii="Arial" w:hAnsi="Arial" w:cs="Arial"/>
          <w:sz w:val="24"/>
          <w:szCs w:val="24"/>
        </w:rPr>
      </w:pPr>
    </w:p>
    <w:p w14:paraId="2E0AD09E" w14:textId="6FF1F9CA" w:rsidR="000B36E1" w:rsidRDefault="000B36E1" w:rsidP="004215D9">
      <w:pPr>
        <w:rPr>
          <w:rFonts w:ascii="Arial" w:hAnsi="Arial" w:cs="Arial"/>
          <w:sz w:val="24"/>
          <w:szCs w:val="24"/>
        </w:rPr>
      </w:pPr>
    </w:p>
    <w:sectPr w:rsidR="000B36E1"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3F45C" w14:textId="77777777" w:rsidR="00DD427C" w:rsidRDefault="00DD427C" w:rsidP="000B352B">
      <w:pPr>
        <w:spacing w:after="0" w:line="240" w:lineRule="auto"/>
      </w:pPr>
      <w:r>
        <w:separator/>
      </w:r>
    </w:p>
  </w:endnote>
  <w:endnote w:type="continuationSeparator" w:id="0">
    <w:p w14:paraId="31CCEB5A" w14:textId="77777777" w:rsidR="00DD427C" w:rsidRDefault="00DD427C"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3776ABA7" w:rsidR="000B36E1" w:rsidRDefault="00C40D8A">
    <w:pPr>
      <w:pStyle w:val="Footer"/>
    </w:pPr>
    <w:r>
      <w:rPr>
        <w:noProof/>
        <w:lang w:eastAsia="en-GB"/>
      </w:rPr>
      <w:drawing>
        <wp:anchor distT="0" distB="0" distL="114300" distR="114300" simplePos="0" relativeHeight="251663359" behindDoc="0" locked="0" layoutInCell="1" allowOverlap="1" wp14:anchorId="4DC90DD5" wp14:editId="3E6B5A5E">
          <wp:simplePos x="0" y="0"/>
          <wp:positionH relativeFrom="margin">
            <wp:align>center</wp:align>
          </wp:positionH>
          <wp:positionV relativeFrom="paragraph">
            <wp:posOffset>-91440</wp:posOffset>
          </wp:positionV>
          <wp:extent cx="7003627" cy="50292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3627"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5350" w14:textId="77777777" w:rsidR="00DD427C" w:rsidRDefault="00DD427C" w:rsidP="000B352B">
      <w:pPr>
        <w:spacing w:after="0" w:line="240" w:lineRule="auto"/>
      </w:pPr>
      <w:r>
        <w:separator/>
      </w:r>
    </w:p>
  </w:footnote>
  <w:footnote w:type="continuationSeparator" w:id="0">
    <w:p w14:paraId="7CFCA87A" w14:textId="77777777" w:rsidR="00DD427C" w:rsidRDefault="00DD427C" w:rsidP="000B352B">
      <w:pPr>
        <w:spacing w:after="0" w:line="240" w:lineRule="auto"/>
      </w:pPr>
      <w:r>
        <w:continuationSeparator/>
      </w:r>
    </w:p>
  </w:footnote>
  <w:footnote w:id="1">
    <w:p w14:paraId="4A74C4F5" w14:textId="77777777" w:rsidR="0013555D" w:rsidRPr="00F1068C" w:rsidRDefault="0013555D" w:rsidP="0013555D">
      <w:pPr>
        <w:spacing w:after="0" w:line="240" w:lineRule="auto"/>
        <w:jc w:val="both"/>
        <w:rPr>
          <w:rFonts w:cs="Arial"/>
          <w:color w:val="0D0D0D" w:themeColor="text1" w:themeTint="F2"/>
        </w:rPr>
      </w:pPr>
      <w:r>
        <w:rPr>
          <w:rStyle w:val="FootnoteReference"/>
        </w:rPr>
        <w:footnoteRef/>
      </w:r>
    </w:p>
    <w:p w14:paraId="7CB4C271" w14:textId="77777777" w:rsidR="0013555D" w:rsidRPr="00F1068C" w:rsidRDefault="0013555D" w:rsidP="0013555D">
      <w:pPr>
        <w:pStyle w:val="ListParagraph"/>
        <w:numPr>
          <w:ilvl w:val="0"/>
          <w:numId w:val="9"/>
        </w:numPr>
        <w:spacing w:line="240" w:lineRule="auto"/>
        <w:jc w:val="both"/>
        <w:rPr>
          <w:rFonts w:cs="Arial"/>
          <w:i/>
          <w:iCs/>
          <w:color w:val="0D0D0D" w:themeColor="text1" w:themeTint="F2"/>
        </w:rPr>
      </w:pPr>
      <w:r w:rsidRPr="00F1068C">
        <w:rPr>
          <w:rFonts w:cs="Arial"/>
          <w:i/>
          <w:iCs/>
        </w:rPr>
        <w:t xml:space="preserve">the extent to which clinical trial data may underestimate the impact of the </w:t>
      </w:r>
      <w:proofErr w:type="gramStart"/>
      <w:r w:rsidRPr="00F1068C">
        <w:rPr>
          <w:rFonts w:cs="Arial"/>
          <w:i/>
          <w:iCs/>
        </w:rPr>
        <w:t>disorder;</w:t>
      </w:r>
      <w:proofErr w:type="gramEnd"/>
      <w:r w:rsidRPr="00F1068C">
        <w:rPr>
          <w:rFonts w:cs="Arial"/>
          <w:i/>
          <w:iCs/>
        </w:rPr>
        <w:t xml:space="preserve"> </w:t>
      </w:r>
    </w:p>
    <w:p w14:paraId="3D946848" w14:textId="77777777" w:rsidR="0013555D" w:rsidRPr="00F1068C" w:rsidRDefault="0013555D" w:rsidP="0013555D">
      <w:pPr>
        <w:pStyle w:val="ListParagraph"/>
        <w:numPr>
          <w:ilvl w:val="0"/>
          <w:numId w:val="9"/>
        </w:numPr>
        <w:spacing w:line="240" w:lineRule="auto"/>
        <w:jc w:val="both"/>
        <w:rPr>
          <w:rFonts w:cs="Arial"/>
          <w:i/>
          <w:iCs/>
          <w:color w:val="0D0D0D" w:themeColor="text1" w:themeTint="F2"/>
        </w:rPr>
      </w:pPr>
      <w:r w:rsidRPr="00F1068C">
        <w:rPr>
          <w:rFonts w:cs="Arial"/>
          <w:i/>
          <w:iCs/>
        </w:rPr>
        <w:t xml:space="preserve">the lifelong conditioned behaviour of EPP patients to avoid light exposure and </w:t>
      </w:r>
      <w:proofErr w:type="gramStart"/>
      <w:r w:rsidRPr="00F1068C">
        <w:rPr>
          <w:rFonts w:cs="Arial"/>
          <w:i/>
          <w:iCs/>
        </w:rPr>
        <w:t>phototoxicity;</w:t>
      </w:r>
      <w:proofErr w:type="gramEnd"/>
      <w:r w:rsidRPr="00F1068C">
        <w:rPr>
          <w:rFonts w:cs="Arial"/>
          <w:i/>
          <w:iCs/>
        </w:rPr>
        <w:t xml:space="preserve"> </w:t>
      </w:r>
    </w:p>
    <w:p w14:paraId="0171561F" w14:textId="77777777" w:rsidR="0013555D" w:rsidRPr="00F1068C" w:rsidRDefault="0013555D" w:rsidP="0013555D">
      <w:pPr>
        <w:pStyle w:val="ListParagraph"/>
        <w:numPr>
          <w:ilvl w:val="0"/>
          <w:numId w:val="9"/>
        </w:numPr>
        <w:spacing w:before="240" w:after="240" w:line="276" w:lineRule="auto"/>
        <w:jc w:val="both"/>
        <w:rPr>
          <w:rFonts w:cs="Arial"/>
          <w:i/>
          <w:iCs/>
          <w:color w:val="0D0D0D" w:themeColor="text1" w:themeTint="F2"/>
        </w:rPr>
      </w:pPr>
      <w:r w:rsidRPr="00F1068C">
        <w:rPr>
          <w:rFonts w:cs="Arial"/>
          <w:i/>
          <w:iCs/>
        </w:rPr>
        <w:t xml:space="preserve">the impact of prodromal </w:t>
      </w:r>
      <w:proofErr w:type="gramStart"/>
      <w:r w:rsidRPr="00F1068C">
        <w:rPr>
          <w:rFonts w:cs="Arial"/>
          <w:i/>
          <w:iCs/>
        </w:rPr>
        <w:t>symptoms;</w:t>
      </w:r>
      <w:proofErr w:type="gramEnd"/>
      <w:r w:rsidRPr="00F1068C">
        <w:rPr>
          <w:rFonts w:cs="Arial"/>
          <w:i/>
          <w:iCs/>
        </w:rPr>
        <w:t xml:space="preserve"> </w:t>
      </w:r>
    </w:p>
    <w:p w14:paraId="74018D12" w14:textId="77777777" w:rsidR="0013555D" w:rsidRPr="00F1068C" w:rsidRDefault="0013555D" w:rsidP="0013555D">
      <w:pPr>
        <w:pStyle w:val="ListParagraph"/>
        <w:numPr>
          <w:ilvl w:val="0"/>
          <w:numId w:val="9"/>
        </w:numPr>
        <w:spacing w:before="240" w:after="240" w:line="276" w:lineRule="auto"/>
        <w:jc w:val="both"/>
        <w:rPr>
          <w:rFonts w:cs="Arial"/>
          <w:i/>
          <w:iCs/>
          <w:color w:val="0D0D0D" w:themeColor="text1" w:themeTint="F2"/>
        </w:rPr>
      </w:pPr>
      <w:r w:rsidRPr="00F1068C">
        <w:rPr>
          <w:rFonts w:cs="Arial"/>
          <w:i/>
          <w:iCs/>
        </w:rPr>
        <w:t xml:space="preserve">the impact of cumulative </w:t>
      </w:r>
      <w:proofErr w:type="gramStart"/>
      <w:r w:rsidRPr="00F1068C">
        <w:rPr>
          <w:rFonts w:cs="Arial"/>
          <w:i/>
          <w:iCs/>
        </w:rPr>
        <w:t>exposure;</w:t>
      </w:r>
      <w:proofErr w:type="gramEnd"/>
      <w:r w:rsidRPr="00F1068C">
        <w:rPr>
          <w:rFonts w:cs="Arial"/>
          <w:i/>
          <w:iCs/>
        </w:rPr>
        <w:t xml:space="preserve"> </w:t>
      </w:r>
    </w:p>
    <w:p w14:paraId="7A8DD303" w14:textId="77777777" w:rsidR="0013555D" w:rsidRPr="00F1068C" w:rsidRDefault="0013555D" w:rsidP="0013555D">
      <w:pPr>
        <w:pStyle w:val="ListParagraph"/>
        <w:numPr>
          <w:ilvl w:val="0"/>
          <w:numId w:val="9"/>
        </w:numPr>
        <w:spacing w:before="240" w:after="240" w:line="276" w:lineRule="auto"/>
        <w:jc w:val="both"/>
        <w:rPr>
          <w:rFonts w:cs="Arial"/>
          <w:i/>
          <w:iCs/>
        </w:rPr>
      </w:pPr>
      <w:r w:rsidRPr="00F1068C">
        <w:rPr>
          <w:rFonts w:cs="Arial"/>
          <w:i/>
          <w:iCs/>
        </w:rPr>
        <w:t xml:space="preserve">EPP patients’ anxiety towards light </w:t>
      </w:r>
      <w:proofErr w:type="gramStart"/>
      <w:r w:rsidRPr="00F1068C">
        <w:rPr>
          <w:rFonts w:cs="Arial"/>
          <w:i/>
          <w:iCs/>
        </w:rPr>
        <w:t>exposure;</w:t>
      </w:r>
      <w:proofErr w:type="gramEnd"/>
      <w:r w:rsidRPr="00F1068C">
        <w:rPr>
          <w:rFonts w:cs="Arial"/>
          <w:i/>
          <w:iCs/>
        </w:rPr>
        <w:t xml:space="preserve"> </w:t>
      </w:r>
    </w:p>
    <w:p w14:paraId="2DE51FFD" w14:textId="77777777" w:rsidR="0013555D" w:rsidRPr="00F1068C" w:rsidRDefault="0013555D" w:rsidP="0013555D">
      <w:pPr>
        <w:pStyle w:val="ListParagraph"/>
        <w:numPr>
          <w:ilvl w:val="0"/>
          <w:numId w:val="9"/>
        </w:numPr>
        <w:spacing w:before="240" w:after="240" w:line="276" w:lineRule="auto"/>
        <w:jc w:val="both"/>
        <w:rPr>
          <w:rFonts w:cs="Arial"/>
          <w:i/>
          <w:iCs/>
        </w:rPr>
      </w:pPr>
      <w:r w:rsidRPr="00F1068C">
        <w:rPr>
          <w:rFonts w:cs="Arial"/>
          <w:i/>
          <w:iCs/>
        </w:rPr>
        <w:t xml:space="preserve">the impact of the disorder on employment, study or family </w:t>
      </w:r>
      <w:proofErr w:type="gramStart"/>
      <w:r w:rsidRPr="00F1068C">
        <w:rPr>
          <w:rFonts w:cs="Arial"/>
          <w:i/>
          <w:iCs/>
        </w:rPr>
        <w:t>life;</w:t>
      </w:r>
      <w:proofErr w:type="gramEnd"/>
      <w:r w:rsidRPr="00F1068C">
        <w:rPr>
          <w:rFonts w:cs="Arial"/>
          <w:i/>
          <w:iCs/>
        </w:rPr>
        <w:t xml:space="preserve"> </w:t>
      </w:r>
    </w:p>
    <w:p w14:paraId="4A08F72A" w14:textId="77777777" w:rsidR="0013555D" w:rsidRPr="00F1068C" w:rsidRDefault="0013555D" w:rsidP="0013555D">
      <w:pPr>
        <w:pStyle w:val="ListParagraph"/>
        <w:numPr>
          <w:ilvl w:val="0"/>
          <w:numId w:val="9"/>
        </w:numPr>
        <w:spacing w:before="240" w:after="240" w:line="276" w:lineRule="auto"/>
        <w:jc w:val="both"/>
        <w:rPr>
          <w:rFonts w:cs="Arial"/>
          <w:i/>
          <w:iCs/>
        </w:rPr>
      </w:pPr>
      <w:r w:rsidRPr="00F1068C">
        <w:rPr>
          <w:rFonts w:cs="Arial"/>
          <w:i/>
          <w:iCs/>
        </w:rPr>
        <w:t xml:space="preserve">the impact of the disorder on interpretation of clinical and/or observational trial </w:t>
      </w:r>
      <w:proofErr w:type="gramStart"/>
      <w:r w:rsidRPr="00F1068C">
        <w:rPr>
          <w:rFonts w:cs="Arial"/>
          <w:i/>
          <w:iCs/>
        </w:rPr>
        <w:t>results;</w:t>
      </w:r>
      <w:proofErr w:type="gramEnd"/>
      <w:r w:rsidRPr="00F1068C">
        <w:rPr>
          <w:rFonts w:cs="Arial"/>
          <w:i/>
          <w:iCs/>
        </w:rPr>
        <w:t xml:space="preserve"> </w:t>
      </w:r>
    </w:p>
    <w:p w14:paraId="54FEE052" w14:textId="77777777" w:rsidR="0013555D" w:rsidRPr="00F1068C" w:rsidRDefault="0013555D" w:rsidP="0013555D">
      <w:pPr>
        <w:pStyle w:val="ListParagraph"/>
        <w:numPr>
          <w:ilvl w:val="0"/>
          <w:numId w:val="9"/>
        </w:numPr>
        <w:spacing w:before="240" w:after="240" w:line="276" w:lineRule="auto"/>
        <w:jc w:val="both"/>
        <w:rPr>
          <w:rFonts w:cs="Arial"/>
          <w:i/>
          <w:iCs/>
        </w:rPr>
      </w:pPr>
      <w:r w:rsidRPr="00F1068C">
        <w:rPr>
          <w:rFonts w:cs="Arial"/>
          <w:i/>
          <w:iCs/>
        </w:rPr>
        <w:t xml:space="preserve">the rarity of the condition, even by the standard of HST </w:t>
      </w:r>
      <w:proofErr w:type="gramStart"/>
      <w:r w:rsidRPr="00F1068C">
        <w:rPr>
          <w:rFonts w:cs="Arial"/>
          <w:i/>
          <w:iCs/>
        </w:rPr>
        <w:t>appraisals;</w:t>
      </w:r>
      <w:proofErr w:type="gramEnd"/>
      <w:r w:rsidRPr="00F1068C">
        <w:rPr>
          <w:rFonts w:cs="Arial"/>
          <w:i/>
          <w:iCs/>
        </w:rPr>
        <w:t xml:space="preserve"> </w:t>
      </w:r>
    </w:p>
    <w:p w14:paraId="50F0905D" w14:textId="77777777" w:rsidR="0013555D" w:rsidRPr="00F1068C" w:rsidRDefault="0013555D" w:rsidP="0013555D">
      <w:pPr>
        <w:pStyle w:val="ListParagraph"/>
        <w:numPr>
          <w:ilvl w:val="0"/>
          <w:numId w:val="9"/>
        </w:numPr>
        <w:spacing w:before="240" w:after="240" w:line="276" w:lineRule="auto"/>
        <w:jc w:val="both"/>
        <w:rPr>
          <w:rFonts w:cs="Arial"/>
          <w:i/>
          <w:iCs/>
        </w:rPr>
      </w:pPr>
      <w:r w:rsidRPr="00F1068C">
        <w:rPr>
          <w:rFonts w:cs="Arial"/>
          <w:i/>
          <w:iCs/>
        </w:rPr>
        <w:t xml:space="preserve">the impact of EPP patients’ diagnostic </w:t>
      </w:r>
      <w:proofErr w:type="gramStart"/>
      <w:r w:rsidRPr="00F1068C">
        <w:rPr>
          <w:rFonts w:cs="Arial"/>
          <w:i/>
          <w:iCs/>
        </w:rPr>
        <w:t>odyssey;</w:t>
      </w:r>
      <w:proofErr w:type="gramEnd"/>
      <w:r w:rsidRPr="00F1068C">
        <w:rPr>
          <w:rFonts w:cs="Arial"/>
          <w:i/>
          <w:iCs/>
        </w:rPr>
        <w:t xml:space="preserve"> </w:t>
      </w:r>
    </w:p>
    <w:p w14:paraId="37DF332D" w14:textId="77777777" w:rsidR="0013555D" w:rsidRPr="00F1068C" w:rsidRDefault="0013555D" w:rsidP="0013555D">
      <w:pPr>
        <w:pStyle w:val="ListParagraph"/>
        <w:numPr>
          <w:ilvl w:val="0"/>
          <w:numId w:val="9"/>
        </w:numPr>
        <w:spacing w:before="240" w:after="240" w:line="276" w:lineRule="auto"/>
        <w:jc w:val="both"/>
        <w:rPr>
          <w:rFonts w:cs="Arial"/>
          <w:i/>
          <w:iCs/>
        </w:rPr>
      </w:pPr>
      <w:r w:rsidRPr="00F1068C">
        <w:rPr>
          <w:rFonts w:cs="Arial"/>
          <w:i/>
          <w:iCs/>
        </w:rPr>
        <w:t xml:space="preserve">the challenges of conducting clinical trials and developing clinical assessment tools for a previously unaddressed </w:t>
      </w:r>
      <w:proofErr w:type="gramStart"/>
      <w:r w:rsidRPr="00F1068C">
        <w:rPr>
          <w:rFonts w:cs="Arial"/>
          <w:i/>
          <w:iCs/>
        </w:rPr>
        <w:t>disorder;</w:t>
      </w:r>
      <w:proofErr w:type="gramEnd"/>
      <w:r w:rsidRPr="00F1068C">
        <w:rPr>
          <w:rFonts w:cs="Arial"/>
          <w:i/>
          <w:iCs/>
        </w:rPr>
        <w:t xml:space="preserve"> </w:t>
      </w:r>
    </w:p>
    <w:p w14:paraId="08BB14B3" w14:textId="77777777" w:rsidR="0013555D" w:rsidRPr="00F1068C" w:rsidRDefault="0013555D" w:rsidP="0013555D">
      <w:pPr>
        <w:pStyle w:val="ListParagraph"/>
        <w:numPr>
          <w:ilvl w:val="0"/>
          <w:numId w:val="9"/>
        </w:numPr>
        <w:spacing w:before="240" w:after="240" w:line="276" w:lineRule="auto"/>
        <w:jc w:val="both"/>
        <w:rPr>
          <w:rFonts w:cs="Arial"/>
          <w:i/>
          <w:iCs/>
        </w:rPr>
      </w:pPr>
      <w:r w:rsidRPr="00F1068C">
        <w:rPr>
          <w:rFonts w:cs="Arial"/>
          <w:i/>
          <w:iCs/>
        </w:rPr>
        <w:t xml:space="preserve">the proposed use of a preventative therapy in the disorder, rather than one which focused on symptomatic </w:t>
      </w:r>
      <w:proofErr w:type="gramStart"/>
      <w:r w:rsidRPr="00F1068C">
        <w:rPr>
          <w:rFonts w:cs="Arial"/>
          <w:i/>
          <w:iCs/>
        </w:rPr>
        <w:t>relief;</w:t>
      </w:r>
      <w:proofErr w:type="gramEnd"/>
      <w:r w:rsidRPr="00F1068C">
        <w:rPr>
          <w:rFonts w:cs="Arial"/>
          <w:i/>
          <w:iCs/>
        </w:rPr>
        <w:t xml:space="preserve"> </w:t>
      </w:r>
    </w:p>
    <w:p w14:paraId="0C15D838" w14:textId="77777777" w:rsidR="0013555D" w:rsidRPr="00F1068C" w:rsidRDefault="0013555D" w:rsidP="0013555D">
      <w:pPr>
        <w:pStyle w:val="ListParagraph"/>
        <w:numPr>
          <w:ilvl w:val="0"/>
          <w:numId w:val="9"/>
        </w:numPr>
        <w:spacing w:before="240" w:after="240" w:line="276" w:lineRule="auto"/>
        <w:jc w:val="both"/>
        <w:rPr>
          <w:rFonts w:cs="Arial"/>
          <w:i/>
          <w:iCs/>
        </w:rPr>
      </w:pPr>
      <w:r w:rsidRPr="00F1068C">
        <w:rPr>
          <w:rFonts w:cs="Arial"/>
          <w:i/>
          <w:iCs/>
        </w:rPr>
        <w:t xml:space="preserve">the lack of alternative </w:t>
      </w:r>
      <w:proofErr w:type="gramStart"/>
      <w:r w:rsidRPr="00F1068C">
        <w:rPr>
          <w:rFonts w:cs="Arial"/>
          <w:i/>
          <w:iCs/>
        </w:rPr>
        <w:t>therapy;</w:t>
      </w:r>
      <w:proofErr w:type="gramEnd"/>
      <w:r w:rsidRPr="00F1068C">
        <w:rPr>
          <w:rFonts w:cs="Arial"/>
          <w:i/>
          <w:iCs/>
        </w:rPr>
        <w:t xml:space="preserve"> </w:t>
      </w:r>
    </w:p>
    <w:p w14:paraId="3D1490DE" w14:textId="77777777" w:rsidR="0013555D" w:rsidRPr="00F1068C" w:rsidRDefault="0013555D" w:rsidP="0013555D">
      <w:pPr>
        <w:pStyle w:val="ListParagraph"/>
        <w:numPr>
          <w:ilvl w:val="0"/>
          <w:numId w:val="9"/>
        </w:numPr>
        <w:spacing w:before="240" w:after="240" w:line="276" w:lineRule="auto"/>
        <w:jc w:val="both"/>
        <w:rPr>
          <w:rFonts w:cs="Arial"/>
        </w:rPr>
      </w:pPr>
      <w:r w:rsidRPr="00F1068C">
        <w:rPr>
          <w:rFonts w:cs="Arial"/>
          <w:i/>
          <w:iCs/>
        </w:rPr>
        <w:t>the unique nature of the findings of the EMA in its review and approval of SCENESSE® under exceptional circumstances.</w:t>
      </w:r>
      <w:r w:rsidRPr="00F1068C">
        <w:rPr>
          <w:rFonts w:cs="Arial"/>
        </w:rPr>
        <w:t xml:space="preserve"> </w:t>
      </w:r>
    </w:p>
    <w:p w14:paraId="59067B26" w14:textId="77777777" w:rsidR="0013555D" w:rsidRDefault="0013555D" w:rsidP="001355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71354521" w:rsidR="000B36E1" w:rsidRPr="0096252B" w:rsidRDefault="007164A3" w:rsidP="000B36E1">
    <w:pPr>
      <w:pStyle w:val="Header"/>
      <w:tabs>
        <w:tab w:val="clear" w:pos="9026"/>
        <w:tab w:val="right" w:pos="10065"/>
      </w:tabs>
      <w:ind w:right="-1039"/>
      <w:jc w:val="right"/>
      <w:rPr>
        <w:rFonts w:ascii="Arial" w:hAnsi="Arial" w:cs="Arial"/>
        <w:color w:val="0E0E0E"/>
        <w:sz w:val="20"/>
        <w:szCs w:val="20"/>
      </w:rPr>
    </w:pPr>
    <w:r>
      <w:rPr>
        <w:noProof/>
        <w:color w:val="0E0E0E"/>
        <w:lang w:eastAsia="en-GB"/>
      </w:rPr>
      <w:drawing>
        <wp:anchor distT="0" distB="0" distL="114300" distR="114300" simplePos="0" relativeHeight="251666432" behindDoc="0" locked="0" layoutInCell="1" allowOverlap="1" wp14:anchorId="204F59F7" wp14:editId="59F95048">
          <wp:simplePos x="0" y="0"/>
          <wp:positionH relativeFrom="column">
            <wp:posOffset>-518160</wp:posOffset>
          </wp:positionH>
          <wp:positionV relativeFrom="paragraph">
            <wp:posOffset>7620</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r w:rsidR="000B36E1">
      <w:tab/>
    </w:r>
    <w:r w:rsidR="000B36E1" w:rsidRPr="0096252B">
      <w:rPr>
        <w:rFonts w:ascii="Arial" w:hAnsi="Arial" w:cs="Arial"/>
        <w:noProof/>
        <w:color w:val="0E0E0E"/>
        <w:sz w:val="20"/>
        <w:szCs w:val="20"/>
        <w:lang w:eastAsia="en-GB"/>
      </w:rPr>
      <w:softHyphen/>
    </w:r>
    <w:r w:rsidR="0003729F" w:rsidRPr="0096252B">
      <w:rPr>
        <w:rFonts w:ascii="Arial" w:hAnsi="Arial" w:cs="Arial"/>
        <w:color w:val="0E0E0E"/>
        <w:sz w:val="20"/>
        <w:szCs w:val="20"/>
      </w:rPr>
      <w:t>2</w:t>
    </w:r>
    <w:r w:rsidR="0003729F" w:rsidRPr="0096252B">
      <w:rPr>
        <w:rFonts w:ascii="Arial" w:hAnsi="Arial" w:cs="Arial"/>
        <w:color w:val="0E0E0E"/>
        <w:sz w:val="20"/>
        <w:szCs w:val="20"/>
        <w:vertAlign w:val="superscript"/>
      </w:rPr>
      <w:t>nd</w:t>
    </w:r>
    <w:r w:rsidR="0003729F" w:rsidRPr="0096252B">
      <w:rPr>
        <w:rFonts w:ascii="Arial" w:hAnsi="Arial" w:cs="Arial"/>
        <w:color w:val="0E0E0E"/>
        <w:sz w:val="20"/>
        <w:szCs w:val="20"/>
      </w:rPr>
      <w:t xml:space="preserve"> Floor</w:t>
    </w:r>
  </w:p>
  <w:p w14:paraId="3809122A" w14:textId="119E090B" w:rsidR="0003729F" w:rsidRPr="0096252B" w:rsidRDefault="0003729F"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2 Redm</w:t>
    </w:r>
    <w:r w:rsidR="00E67BD1" w:rsidRPr="0096252B">
      <w:rPr>
        <w:rFonts w:ascii="Arial" w:hAnsi="Arial" w:cs="Arial"/>
        <w:color w:val="0E0E0E"/>
        <w:sz w:val="20"/>
        <w:szCs w:val="20"/>
      </w:rPr>
      <w:t>an</w:t>
    </w:r>
    <w:r w:rsidRPr="0096252B">
      <w:rPr>
        <w:rFonts w:ascii="Arial" w:hAnsi="Arial" w:cs="Arial"/>
        <w:color w:val="0E0E0E"/>
        <w:sz w:val="20"/>
        <w:szCs w:val="20"/>
      </w:rPr>
      <w:t xml:space="preserve"> Place</w:t>
    </w:r>
  </w:p>
  <w:p w14:paraId="49A56729"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softHyphen/>
      <w:t>London</w:t>
    </w:r>
  </w:p>
  <w:p w14:paraId="69737D36" w14:textId="720B211D" w:rsidR="000B36E1" w:rsidRPr="0096252B" w:rsidRDefault="0003729F"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E20 1JQ</w:t>
    </w:r>
  </w:p>
  <w:p w14:paraId="0E978159"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United Kingdom</w:t>
    </w:r>
  </w:p>
  <w:p w14:paraId="6549E90E"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96252B" w:rsidRDefault="003A3E2E" w:rsidP="003A3E2E">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16785"/>
    <w:multiLevelType w:val="hybridMultilevel"/>
    <w:tmpl w:val="66AC4B80"/>
    <w:lvl w:ilvl="0" w:tplc="BF721D16">
      <w:start w:val="1"/>
      <w:numFmt w:val="decimal"/>
      <w:lvlText w:val="%1."/>
      <w:lvlJc w:val="left"/>
      <w:pPr>
        <w:ind w:left="720" w:hanging="360"/>
      </w:pPr>
      <w:rPr>
        <w:rFonts w:hint="default"/>
        <w:i/>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EC47E3"/>
    <w:multiLevelType w:val="hybridMultilevel"/>
    <w:tmpl w:val="ACC6A3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B46749"/>
    <w:multiLevelType w:val="hybridMultilevel"/>
    <w:tmpl w:val="C8F0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252C39"/>
    <w:multiLevelType w:val="hybridMultilevel"/>
    <w:tmpl w:val="93C6B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379814">
    <w:abstractNumId w:val="1"/>
  </w:num>
  <w:num w:numId="2" w16cid:durableId="1755396163">
    <w:abstractNumId w:val="7"/>
  </w:num>
  <w:num w:numId="3" w16cid:durableId="617566032">
    <w:abstractNumId w:val="8"/>
  </w:num>
  <w:num w:numId="4" w16cid:durableId="1985115790">
    <w:abstractNumId w:val="2"/>
  </w:num>
  <w:num w:numId="5" w16cid:durableId="2083064228">
    <w:abstractNumId w:val="3"/>
  </w:num>
  <w:num w:numId="6" w16cid:durableId="2017612262">
    <w:abstractNumId w:val="9"/>
  </w:num>
  <w:num w:numId="7" w16cid:durableId="1052802504">
    <w:abstractNumId w:val="5"/>
  </w:num>
  <w:num w:numId="8" w16cid:durableId="165873549">
    <w:abstractNumId w:val="6"/>
  </w:num>
  <w:num w:numId="9" w16cid:durableId="1791362293">
    <w:abstractNumId w:val="0"/>
  </w:num>
  <w:num w:numId="10" w16cid:durableId="1621913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76563"/>
    <w:rsid w:val="00085181"/>
    <w:rsid w:val="000B352B"/>
    <w:rsid w:val="000B36E1"/>
    <w:rsid w:val="000E6B73"/>
    <w:rsid w:val="00112E36"/>
    <w:rsid w:val="0013555D"/>
    <w:rsid w:val="00176AA4"/>
    <w:rsid w:val="00182043"/>
    <w:rsid w:val="001D5BD2"/>
    <w:rsid w:val="001E203D"/>
    <w:rsid w:val="0022689E"/>
    <w:rsid w:val="00320722"/>
    <w:rsid w:val="00321B75"/>
    <w:rsid w:val="00340525"/>
    <w:rsid w:val="003A0ABD"/>
    <w:rsid w:val="003A3E2E"/>
    <w:rsid w:val="003A79BD"/>
    <w:rsid w:val="003B4EB8"/>
    <w:rsid w:val="003D614E"/>
    <w:rsid w:val="004215D9"/>
    <w:rsid w:val="00453774"/>
    <w:rsid w:val="00493D2F"/>
    <w:rsid w:val="004C2D22"/>
    <w:rsid w:val="004E4493"/>
    <w:rsid w:val="004F29D7"/>
    <w:rsid w:val="00507A44"/>
    <w:rsid w:val="005B078B"/>
    <w:rsid w:val="005B32CE"/>
    <w:rsid w:val="005E0434"/>
    <w:rsid w:val="00652D8F"/>
    <w:rsid w:val="0069376C"/>
    <w:rsid w:val="006C3E03"/>
    <w:rsid w:val="006D0C62"/>
    <w:rsid w:val="006F031D"/>
    <w:rsid w:val="007164A3"/>
    <w:rsid w:val="007211B7"/>
    <w:rsid w:val="00732227"/>
    <w:rsid w:val="00771961"/>
    <w:rsid w:val="008A21C5"/>
    <w:rsid w:val="0096252B"/>
    <w:rsid w:val="009E2F15"/>
    <w:rsid w:val="00A60AB5"/>
    <w:rsid w:val="00AC5993"/>
    <w:rsid w:val="00AE303D"/>
    <w:rsid w:val="00B32B71"/>
    <w:rsid w:val="00B6409C"/>
    <w:rsid w:val="00C146C7"/>
    <w:rsid w:val="00C40D8A"/>
    <w:rsid w:val="00C55153"/>
    <w:rsid w:val="00C75716"/>
    <w:rsid w:val="00C96687"/>
    <w:rsid w:val="00D05AEA"/>
    <w:rsid w:val="00DC412C"/>
    <w:rsid w:val="00DD427C"/>
    <w:rsid w:val="00E03263"/>
    <w:rsid w:val="00E622D7"/>
    <w:rsid w:val="00E67BD1"/>
    <w:rsid w:val="00EA3919"/>
    <w:rsid w:val="00EE6553"/>
    <w:rsid w:val="00F1265E"/>
    <w:rsid w:val="00F233EA"/>
    <w:rsid w:val="00F3123B"/>
    <w:rsid w:val="00F75E40"/>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styleId="BodyText">
    <w:name w:val="Body Text"/>
    <w:basedOn w:val="Normal"/>
    <w:link w:val="BodyTextChar"/>
    <w:rsid w:val="0018204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182043"/>
    <w:rPr>
      <w:rFonts w:ascii="Arial" w:eastAsia="Times New Roman" w:hAnsi="Arial"/>
      <w:color w:val="333333"/>
      <w:lang w:eastAsia="en-US"/>
    </w:rPr>
  </w:style>
  <w:style w:type="character" w:styleId="Hyperlink">
    <w:name w:val="Hyperlink"/>
    <w:basedOn w:val="DefaultParagraphFont"/>
    <w:uiPriority w:val="99"/>
    <w:rsid w:val="00182043"/>
    <w:rPr>
      <w:color w:val="0000FF"/>
      <w:u w:val="single"/>
    </w:rPr>
  </w:style>
  <w:style w:type="paragraph" w:styleId="ListParagraph">
    <w:name w:val="List Paragraph"/>
    <w:basedOn w:val="Normal"/>
    <w:uiPriority w:val="1"/>
    <w:qFormat/>
    <w:rsid w:val="00182043"/>
    <w:pPr>
      <w:spacing w:after="0" w:line="288" w:lineRule="auto"/>
      <w:ind w:left="720"/>
      <w:contextualSpacing/>
    </w:pPr>
    <w:rPr>
      <w:rFonts w:ascii="Arial" w:eastAsia="Times New Roman" w:hAnsi="Arial"/>
      <w:sz w:val="20"/>
      <w:szCs w:val="20"/>
    </w:rPr>
  </w:style>
  <w:style w:type="paragraph" w:customStyle="1" w:styleId="Paragraph">
    <w:name w:val="Paragraph"/>
    <w:basedOn w:val="Normal"/>
    <w:uiPriority w:val="4"/>
    <w:qFormat/>
    <w:rsid w:val="00182043"/>
    <w:pPr>
      <w:numPr>
        <w:numId w:val="2"/>
      </w:numPr>
      <w:spacing w:before="240" w:after="240"/>
    </w:pPr>
    <w:rPr>
      <w:rFonts w:ascii="Arial" w:eastAsia="Times New Roman" w:hAnsi="Arial"/>
      <w:sz w:val="24"/>
      <w:szCs w:val="24"/>
      <w:lang w:eastAsia="en-GB"/>
    </w:rPr>
  </w:style>
  <w:style w:type="character" w:styleId="UnresolvedMention">
    <w:name w:val="Unresolved Mention"/>
    <w:basedOn w:val="DefaultParagraphFont"/>
    <w:uiPriority w:val="99"/>
    <w:semiHidden/>
    <w:unhideWhenUsed/>
    <w:rsid w:val="00182043"/>
    <w:rPr>
      <w:color w:val="605E5C"/>
      <w:shd w:val="clear" w:color="auto" w:fill="E1DFDD"/>
    </w:rPr>
  </w:style>
  <w:style w:type="paragraph" w:styleId="FootnoteText">
    <w:name w:val="footnote text"/>
    <w:basedOn w:val="Normal"/>
    <w:link w:val="FootnoteTextChar"/>
    <w:semiHidden/>
    <w:unhideWhenUsed/>
    <w:rsid w:val="0013555D"/>
    <w:pPr>
      <w:spacing w:after="0" w:line="240" w:lineRule="auto"/>
    </w:pPr>
    <w:rPr>
      <w:rFonts w:ascii="Arial" w:eastAsia="Times New Roman" w:hAnsi="Arial"/>
      <w:color w:val="333333"/>
      <w:sz w:val="20"/>
      <w:szCs w:val="20"/>
    </w:rPr>
  </w:style>
  <w:style w:type="character" w:customStyle="1" w:styleId="FootnoteTextChar">
    <w:name w:val="Footnote Text Char"/>
    <w:basedOn w:val="DefaultParagraphFont"/>
    <w:link w:val="FootnoteText"/>
    <w:semiHidden/>
    <w:rsid w:val="0013555D"/>
    <w:rPr>
      <w:rFonts w:ascii="Arial" w:eastAsia="Times New Roman" w:hAnsi="Arial"/>
      <w:color w:val="333333"/>
      <w:lang w:eastAsia="en-US"/>
    </w:rPr>
  </w:style>
  <w:style w:type="character" w:styleId="FootnoteReference">
    <w:name w:val="footnote reference"/>
    <w:basedOn w:val="DefaultParagraphFont"/>
    <w:uiPriority w:val="99"/>
    <w:semiHidden/>
    <w:unhideWhenUsed/>
    <w:rsid w:val="0013555D"/>
    <w:rPr>
      <w:vertAlign w:val="superscript"/>
    </w:rPr>
  </w:style>
  <w:style w:type="character" w:styleId="FollowedHyperlink">
    <w:name w:val="FollowedHyperlink"/>
    <w:basedOn w:val="DefaultParagraphFont"/>
    <w:uiPriority w:val="99"/>
    <w:semiHidden/>
    <w:unhideWhenUsed/>
    <w:rsid w:val="001E20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24</TotalTime>
  <Pages>6</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Emma Gordon</cp:lastModifiedBy>
  <cp:revision>6</cp:revision>
  <cp:lastPrinted>2017-02-13T09:51:00Z</cp:lastPrinted>
  <dcterms:created xsi:type="dcterms:W3CDTF">2023-03-30T13:33:00Z</dcterms:created>
  <dcterms:modified xsi:type="dcterms:W3CDTF">2023-05-02T14:37:00Z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2023-03-30T13:33:14Z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24455958-1e63-44af-8c97-d0f655bbfc75</vt:lpwstr>
  </property>
  <property fmtid="{D5CDD505-2E9C-101B-9397-08002B2CF9AE}" pid="8" name="MSIP_Label_c69d85d5-6d9e-4305-a294-1f636ec0f2d6_ContentBits">
    <vt:lpwstr>0</vt:lpwstr>
  </property>
</Properties>
</file>