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D048" w14:textId="627A0222" w:rsidR="00443081" w:rsidRDefault="00BC454B" w:rsidP="00181A4A">
      <w:pPr>
        <w:pStyle w:val="Title"/>
      </w:pPr>
      <w:r w:rsidRPr="00BC454B">
        <w:t>Oleogel-S10 for treating</w:t>
      </w:r>
      <w:r w:rsidR="00B20109">
        <w:t xml:space="preserve"> skin wounds associated with</w:t>
      </w:r>
      <w:r w:rsidRPr="00BC454B">
        <w:t xml:space="preserve"> epidermolysis bullosa</w:t>
      </w:r>
      <w:r>
        <w:t xml:space="preserve"> ID1505</w:t>
      </w:r>
    </w:p>
    <w:p w14:paraId="672DCA97" w14:textId="77777777" w:rsidR="00634D46" w:rsidRDefault="00634D46" w:rsidP="00634D46">
      <w:pPr>
        <w:pStyle w:val="Heading3"/>
      </w:pPr>
      <w:r w:rsidRPr="00E74106">
        <w:t>Introduction</w:t>
      </w:r>
    </w:p>
    <w:p w14:paraId="45306853" w14:textId="6B854DDE" w:rsidR="00634D46" w:rsidRDefault="00634D46" w:rsidP="00634D46">
      <w:pPr>
        <w:rPr>
          <w:rFonts w:ascii="Arial" w:hAnsi="Arial" w:cs="Arial"/>
        </w:rPr>
      </w:pPr>
      <w:r w:rsidRPr="00E74106">
        <w:rPr>
          <w:rFonts w:ascii="Arial" w:hAnsi="Arial" w:cs="Arial"/>
        </w:rPr>
        <w:t>The NICE HST criteria checklist is to highlight where a technology meets/partially meets or does not meet the criteria for routing to the HST programme. Its purpose is to show the details of why a technology may not be appropriate for HST evaluation, but also where it has been identified as suitable.</w:t>
      </w:r>
      <w:r>
        <w:rPr>
          <w:rFonts w:ascii="Arial" w:hAnsi="Arial" w:cs="Arial"/>
        </w:rPr>
        <w:t xml:space="preserve"> </w:t>
      </w:r>
    </w:p>
    <w:p w14:paraId="7409384E" w14:textId="77777777" w:rsidR="00634D46" w:rsidRDefault="00634D46" w:rsidP="00634D46">
      <w:pPr>
        <w:rPr>
          <w:rFonts w:ascii="Arial" w:hAnsi="Arial" w:cs="Arial"/>
          <w:b/>
          <w:bCs/>
        </w:rPr>
      </w:pPr>
    </w:p>
    <w:p w14:paraId="6D1F07E0" w14:textId="77777777" w:rsidR="00634D46" w:rsidRPr="00715265" w:rsidRDefault="00634D46" w:rsidP="00634D46">
      <w:pPr>
        <w:pStyle w:val="Heading3"/>
      </w:pPr>
      <w:r>
        <w:t xml:space="preserve">Key – Please use the colour key to advise if the technology meets the criteria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046"/>
      </w:tblGrid>
      <w:tr w:rsidR="00634D46" w:rsidRPr="001A4EC4" w14:paraId="3CF59A0F" w14:textId="77777777" w:rsidTr="00962491">
        <w:trPr>
          <w:trHeight w:val="280"/>
        </w:trPr>
        <w:tc>
          <w:tcPr>
            <w:tcW w:w="975" w:type="dxa"/>
            <w:shd w:val="clear" w:color="auto" w:fill="92D050"/>
          </w:tcPr>
          <w:p w14:paraId="5A7E0067" w14:textId="77777777" w:rsidR="00634D46" w:rsidRPr="001A4EC4" w:rsidRDefault="00634D46" w:rsidP="00962491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 xml:space="preserve">Met </w:t>
            </w:r>
          </w:p>
        </w:tc>
        <w:tc>
          <w:tcPr>
            <w:tcW w:w="8097" w:type="dxa"/>
            <w:shd w:val="clear" w:color="auto" w:fill="auto"/>
          </w:tcPr>
          <w:p w14:paraId="2EE25C24" w14:textId="77777777" w:rsidR="00634D46" w:rsidRPr="001A4EC4" w:rsidRDefault="00634D46" w:rsidP="00962491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>There is clear and strong evidence that the criterion is met.</w:t>
            </w:r>
          </w:p>
        </w:tc>
      </w:tr>
      <w:tr w:rsidR="00634D46" w:rsidRPr="001A4EC4" w14:paraId="721FAC91" w14:textId="77777777" w:rsidTr="00962491">
        <w:trPr>
          <w:trHeight w:val="280"/>
        </w:trPr>
        <w:tc>
          <w:tcPr>
            <w:tcW w:w="975" w:type="dxa"/>
            <w:shd w:val="clear" w:color="auto" w:fill="FFC000"/>
          </w:tcPr>
          <w:p w14:paraId="35240824" w14:textId="77777777" w:rsidR="00634D46" w:rsidRPr="001A4EC4" w:rsidRDefault="00634D46" w:rsidP="00962491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>Unclear</w:t>
            </w:r>
          </w:p>
        </w:tc>
        <w:tc>
          <w:tcPr>
            <w:tcW w:w="8097" w:type="dxa"/>
            <w:shd w:val="clear" w:color="auto" w:fill="auto"/>
          </w:tcPr>
          <w:p w14:paraId="42592CFD" w14:textId="77777777" w:rsidR="00634D46" w:rsidRPr="001A4EC4" w:rsidRDefault="00634D46" w:rsidP="00962491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>There is some evidence, or the evidence available is unclear that the criterion is met.</w:t>
            </w:r>
          </w:p>
        </w:tc>
      </w:tr>
      <w:tr w:rsidR="00634D46" w:rsidRPr="001A4EC4" w14:paraId="1D8F8630" w14:textId="77777777" w:rsidTr="00962491">
        <w:trPr>
          <w:trHeight w:val="343"/>
        </w:trPr>
        <w:tc>
          <w:tcPr>
            <w:tcW w:w="975" w:type="dxa"/>
            <w:shd w:val="clear" w:color="auto" w:fill="FF0000"/>
          </w:tcPr>
          <w:p w14:paraId="442C1B88" w14:textId="77777777" w:rsidR="00634D46" w:rsidRPr="001A4EC4" w:rsidRDefault="00634D46" w:rsidP="00962491">
            <w:pPr>
              <w:spacing w:after="240" w:line="276" w:lineRule="auto"/>
              <w:jc w:val="both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>Not met</w:t>
            </w:r>
          </w:p>
        </w:tc>
        <w:tc>
          <w:tcPr>
            <w:tcW w:w="8097" w:type="dxa"/>
            <w:shd w:val="clear" w:color="auto" w:fill="auto"/>
          </w:tcPr>
          <w:p w14:paraId="6B28F6C3" w14:textId="77777777" w:rsidR="00634D46" w:rsidRPr="001A4EC4" w:rsidRDefault="00634D46" w:rsidP="00962491">
            <w:pPr>
              <w:spacing w:after="240" w:line="276" w:lineRule="auto"/>
              <w:rPr>
                <w:rFonts w:ascii="Arial" w:eastAsia="Times New Roman" w:hAnsi="Arial"/>
                <w:lang w:eastAsia="en-GB"/>
              </w:rPr>
            </w:pPr>
            <w:r w:rsidRPr="001A4EC4">
              <w:rPr>
                <w:rFonts w:ascii="Arial" w:eastAsia="Times New Roman" w:hAnsi="Arial"/>
                <w:lang w:eastAsia="en-GB"/>
              </w:rPr>
              <w:t xml:space="preserve">There is no evidence or limited evidence that the criterion is met.  </w:t>
            </w:r>
          </w:p>
        </w:tc>
      </w:tr>
    </w:tbl>
    <w:p w14:paraId="0A986CA0" w14:textId="16887B7B" w:rsidR="00857CBD" w:rsidRDefault="00857CBD" w:rsidP="00F90BB8">
      <w:pPr>
        <w:rPr>
          <w:rFonts w:ascii="Arial" w:hAnsi="Arial" w:cs="Arial"/>
          <w:b/>
          <w:bCs/>
        </w:rPr>
      </w:pPr>
    </w:p>
    <w:p w14:paraId="0CF5DEBA" w14:textId="4A2AEDC4" w:rsidR="00B57C66" w:rsidRPr="00857CBD" w:rsidRDefault="00B57C66" w:rsidP="00F90BB8">
      <w:pPr>
        <w:rPr>
          <w:rFonts w:ascii="Arial" w:hAnsi="Arial" w:cs="Arial"/>
          <w:b/>
          <w:bCs/>
        </w:rPr>
      </w:pPr>
      <w:r w:rsidRPr="00C9475C">
        <w:rPr>
          <w:rFonts w:ascii="Arial" w:hAnsi="Arial" w:cs="Arial"/>
          <w:b/>
          <w:bCs/>
        </w:rPr>
        <w:t xml:space="preserve">MA wording: </w:t>
      </w:r>
      <w:r w:rsidR="0048623E" w:rsidRPr="0048623E">
        <w:rPr>
          <w:rFonts w:ascii="Arial" w:hAnsi="Arial" w:cs="Arial"/>
          <w:b/>
          <w:bCs/>
          <w:highlight w:val="black"/>
          <w:u w:val="single"/>
        </w:rPr>
        <w:t>****************************************************************************************</w:t>
      </w:r>
    </w:p>
    <w:tbl>
      <w:tblPr>
        <w:tblpPr w:leftFromText="180" w:rightFromText="180" w:vertAnchor="text" w:horzAnchor="margin" w:tblpY="27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964"/>
        <w:gridCol w:w="2212"/>
      </w:tblGrid>
      <w:tr w:rsidR="00F90BB8" w14:paraId="5A8E072E" w14:textId="77777777" w:rsidTr="0DB3BBAF">
        <w:trPr>
          <w:trHeight w:val="266"/>
        </w:trPr>
        <w:tc>
          <w:tcPr>
            <w:tcW w:w="1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FDA7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Criterion</w:t>
            </w:r>
          </w:p>
        </w:tc>
        <w:tc>
          <w:tcPr>
            <w:tcW w:w="39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AA4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7A12" w14:paraId="06F94CE8" w14:textId="77777777" w:rsidTr="0048623E">
        <w:trPr>
          <w:trHeight w:val="752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52FE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target patient group for the technology in its licensed indication is so small that treatment will usually be concentrated in very few centres in the NHS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83F5" w14:textId="13615A57" w:rsidR="00936BA4" w:rsidRPr="00F17A6B" w:rsidRDefault="00BC454B" w:rsidP="00BC454B">
            <w:pPr>
              <w:rPr>
                <w:rFonts w:ascii="Arial" w:hAnsi="Arial" w:cs="Arial"/>
              </w:rPr>
            </w:pPr>
            <w:r w:rsidRPr="00F17A6B">
              <w:rPr>
                <w:rFonts w:ascii="Arial" w:hAnsi="Arial" w:cs="Arial"/>
              </w:rPr>
              <w:t xml:space="preserve">The entire population </w:t>
            </w:r>
            <w:r w:rsidR="00B34225" w:rsidRPr="00F17A6B">
              <w:rPr>
                <w:rFonts w:ascii="Arial" w:hAnsi="Arial" w:cs="Arial"/>
              </w:rPr>
              <w:t xml:space="preserve">of </w:t>
            </w:r>
            <w:r w:rsidR="00936BA4" w:rsidRPr="00F17A6B">
              <w:rPr>
                <w:rFonts w:ascii="Arial" w:hAnsi="Arial" w:cs="Arial"/>
              </w:rPr>
              <w:t>people with epidermolysis bullosa (</w:t>
            </w:r>
            <w:r w:rsidR="00B34225" w:rsidRPr="00F17A6B">
              <w:rPr>
                <w:rFonts w:ascii="Arial" w:hAnsi="Arial" w:cs="Arial"/>
              </w:rPr>
              <w:t>EB</w:t>
            </w:r>
            <w:r w:rsidR="00936BA4" w:rsidRPr="00F17A6B">
              <w:rPr>
                <w:rFonts w:ascii="Arial" w:hAnsi="Arial" w:cs="Arial"/>
              </w:rPr>
              <w:t>)</w:t>
            </w:r>
            <w:r w:rsidR="00B34225" w:rsidRPr="00F17A6B">
              <w:rPr>
                <w:rFonts w:ascii="Arial" w:hAnsi="Arial" w:cs="Arial"/>
              </w:rPr>
              <w:t xml:space="preserve"> </w:t>
            </w:r>
            <w:r w:rsidRPr="00F17A6B">
              <w:rPr>
                <w:rFonts w:ascii="Arial" w:hAnsi="Arial" w:cs="Arial"/>
              </w:rPr>
              <w:t>is estimated to be around 5000</w:t>
            </w:r>
            <w:r w:rsidR="00B34225" w:rsidRPr="00F17A6B">
              <w:rPr>
                <w:rFonts w:ascii="Arial" w:hAnsi="Arial" w:cs="Arial"/>
              </w:rPr>
              <w:t xml:space="preserve"> (see scope for references)</w:t>
            </w:r>
            <w:r w:rsidRPr="00F17A6B">
              <w:rPr>
                <w:rFonts w:ascii="Arial" w:hAnsi="Arial" w:cs="Arial"/>
              </w:rPr>
              <w:t xml:space="preserve">. </w:t>
            </w:r>
            <w:r w:rsidR="00416D5E">
              <w:rPr>
                <w:rFonts w:ascii="Arial" w:hAnsi="Arial" w:cs="Arial"/>
              </w:rPr>
              <w:t xml:space="preserve"> </w:t>
            </w:r>
            <w:r w:rsidR="00416D5E" w:rsidRPr="00AC0B8D">
              <w:rPr>
                <w:rFonts w:ascii="Arial" w:hAnsi="Arial" w:cs="Arial"/>
              </w:rPr>
              <w:t>There are currently 4 HST centres providing treatment for EB (2 for adults and 2 for children).</w:t>
            </w:r>
          </w:p>
          <w:p w14:paraId="102C2FA0" w14:textId="61E9931E" w:rsidR="00B41758" w:rsidRPr="00F17A6B" w:rsidRDefault="00936BA4" w:rsidP="00936BA4">
            <w:pPr>
              <w:rPr>
                <w:rFonts w:ascii="Arial" w:hAnsi="Arial" w:cs="Arial"/>
              </w:rPr>
            </w:pPr>
            <w:r w:rsidRPr="00F17A6B">
              <w:rPr>
                <w:rFonts w:ascii="Arial" w:hAnsi="Arial" w:cs="Arial"/>
              </w:rPr>
              <w:t>T</w:t>
            </w:r>
            <w:r w:rsidR="00BC454B" w:rsidRPr="00F17A6B">
              <w:rPr>
                <w:rFonts w:ascii="Arial" w:hAnsi="Arial" w:cs="Arial"/>
              </w:rPr>
              <w:t xml:space="preserve">he </w:t>
            </w:r>
            <w:r w:rsidRPr="00F17A6B">
              <w:rPr>
                <w:rFonts w:ascii="Arial" w:hAnsi="Arial" w:cs="Arial"/>
              </w:rPr>
              <w:t>c</w:t>
            </w:r>
            <w:r w:rsidR="00BC454B" w:rsidRPr="00F17A6B">
              <w:rPr>
                <w:rFonts w:ascii="Arial" w:hAnsi="Arial" w:cs="Arial"/>
              </w:rPr>
              <w:t xml:space="preserve">linical trial </w:t>
            </w:r>
            <w:r w:rsidRPr="00F17A6B">
              <w:rPr>
                <w:rFonts w:ascii="Arial" w:hAnsi="Arial" w:cs="Arial"/>
              </w:rPr>
              <w:t xml:space="preserve">only included rarer </w:t>
            </w:r>
            <w:r w:rsidR="00BC454B" w:rsidRPr="00F17A6B">
              <w:rPr>
                <w:rFonts w:ascii="Arial" w:hAnsi="Arial" w:cs="Arial"/>
              </w:rPr>
              <w:t>disease subgroup</w:t>
            </w:r>
            <w:r w:rsidRPr="00F17A6B">
              <w:rPr>
                <w:rFonts w:ascii="Arial" w:hAnsi="Arial" w:cs="Arial"/>
              </w:rPr>
              <w:t>s: dystrophic epidermolysis bullosa (DEB),</w:t>
            </w:r>
            <w:r w:rsidR="00382C79">
              <w:rPr>
                <w:rFonts w:ascii="Arial" w:hAnsi="Arial" w:cs="Arial"/>
              </w:rPr>
              <w:t xml:space="preserve"> </w:t>
            </w:r>
            <w:r w:rsidRPr="00F17A6B">
              <w:rPr>
                <w:rFonts w:ascii="Arial" w:hAnsi="Arial" w:cs="Arial"/>
              </w:rPr>
              <w:t>junctional epidermolysis bullosa (JEB) and Kindler syndrome (KS). Together these subgroups m</w:t>
            </w:r>
            <w:r w:rsidR="00BC454B" w:rsidRPr="00F17A6B">
              <w:rPr>
                <w:rFonts w:ascii="Arial" w:hAnsi="Arial" w:cs="Arial"/>
              </w:rPr>
              <w:t xml:space="preserve">ake up around </w:t>
            </w:r>
            <w:r w:rsidRPr="00F17A6B">
              <w:rPr>
                <w:rFonts w:ascii="Arial" w:hAnsi="Arial" w:cs="Arial"/>
              </w:rPr>
              <w:t>3</w:t>
            </w:r>
            <w:r w:rsidR="00BC454B" w:rsidRPr="00F17A6B">
              <w:rPr>
                <w:rFonts w:ascii="Arial" w:hAnsi="Arial" w:cs="Arial"/>
              </w:rPr>
              <w:t xml:space="preserve">0% </w:t>
            </w:r>
            <w:r w:rsidRPr="00F17A6B">
              <w:rPr>
                <w:rFonts w:ascii="Arial" w:hAnsi="Arial" w:cs="Arial"/>
              </w:rPr>
              <w:t>of EB cases</w:t>
            </w:r>
            <w:r w:rsidR="00BC454B" w:rsidRPr="00F17A6B">
              <w:rPr>
                <w:rFonts w:ascii="Arial" w:hAnsi="Arial" w:cs="Arial"/>
              </w:rPr>
              <w:t>.</w:t>
            </w:r>
          </w:p>
          <w:p w14:paraId="42924BA9" w14:textId="016D62F2" w:rsidR="00091CC0" w:rsidRPr="00F17A6B" w:rsidRDefault="00091CC0" w:rsidP="00BC454B">
            <w:pPr>
              <w:rPr>
                <w:rFonts w:ascii="Arial" w:hAnsi="Arial" w:cs="Arial"/>
              </w:rPr>
            </w:pPr>
          </w:p>
          <w:p w14:paraId="18117D7F" w14:textId="75E02126" w:rsidR="00091CC0" w:rsidRPr="00F17A6B" w:rsidRDefault="006B15C9" w:rsidP="00BC454B">
            <w:pPr>
              <w:rPr>
                <w:rFonts w:ascii="Arial" w:hAnsi="Arial" w:cs="Arial"/>
                <w:u w:val="single"/>
              </w:rPr>
            </w:pPr>
            <w:r w:rsidRPr="00F17A6B">
              <w:rPr>
                <w:rFonts w:ascii="Arial" w:hAnsi="Arial" w:cs="Arial"/>
                <w:u w:val="single"/>
              </w:rPr>
              <w:t>W</w:t>
            </w:r>
            <w:r w:rsidR="00091CC0" w:rsidRPr="00F17A6B">
              <w:rPr>
                <w:rFonts w:ascii="Arial" w:hAnsi="Arial" w:cs="Arial"/>
                <w:u w:val="single"/>
              </w:rPr>
              <w:t>orkshop</w:t>
            </w:r>
            <w:r w:rsidR="00FC3004" w:rsidRPr="00F17A6B">
              <w:rPr>
                <w:rFonts w:ascii="Arial" w:hAnsi="Arial" w:cs="Arial"/>
                <w:u w:val="single"/>
              </w:rPr>
              <w:t xml:space="preserve">, </w:t>
            </w:r>
            <w:r w:rsidR="00091CC0" w:rsidRPr="00F17A6B">
              <w:rPr>
                <w:rFonts w:ascii="Arial" w:hAnsi="Arial" w:cs="Arial"/>
                <w:u w:val="single"/>
              </w:rPr>
              <w:t>consultation</w:t>
            </w:r>
            <w:r w:rsidRPr="00F17A6B">
              <w:rPr>
                <w:rFonts w:ascii="Arial" w:hAnsi="Arial" w:cs="Arial"/>
                <w:u w:val="single"/>
              </w:rPr>
              <w:t xml:space="preserve"> comments</w:t>
            </w:r>
            <w:r w:rsidR="00FC3004" w:rsidRPr="00F17A6B">
              <w:rPr>
                <w:rFonts w:ascii="Arial" w:hAnsi="Arial" w:cs="Arial"/>
                <w:u w:val="single"/>
              </w:rPr>
              <w:t xml:space="preserve"> and follow up clinical queries</w:t>
            </w:r>
            <w:r w:rsidR="00751166" w:rsidRPr="00F17A6B">
              <w:rPr>
                <w:rFonts w:ascii="Arial" w:hAnsi="Arial" w:cs="Arial"/>
                <w:u w:val="single"/>
              </w:rPr>
              <w:t>:</w:t>
            </w:r>
          </w:p>
          <w:p w14:paraId="4D5126F5" w14:textId="513674AF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>Using EB registry data, the company estimate the prevalence of relevant subgroups of EB in England to be 569</w:t>
            </w:r>
            <w:r w:rsidR="00936BA4" w:rsidRPr="00F17A6B">
              <w:rPr>
                <w:rFonts w:ascii="Arial" w:hAnsi="Arial" w:cs="Arial"/>
                <w:kern w:val="28"/>
              </w:rPr>
              <w:t xml:space="preserve"> (DEB)</w:t>
            </w:r>
            <w:r w:rsidRPr="00F17A6B">
              <w:rPr>
                <w:rFonts w:ascii="Arial" w:hAnsi="Arial" w:cs="Arial"/>
                <w:kern w:val="28"/>
              </w:rPr>
              <w:t>, 61</w:t>
            </w:r>
            <w:r w:rsidR="00936BA4" w:rsidRPr="00F17A6B">
              <w:rPr>
                <w:rFonts w:ascii="Arial" w:hAnsi="Arial" w:cs="Arial"/>
                <w:kern w:val="28"/>
              </w:rPr>
              <w:t xml:space="preserve"> (JEB)</w:t>
            </w:r>
            <w:r w:rsidRPr="00F17A6B">
              <w:rPr>
                <w:rFonts w:ascii="Arial" w:hAnsi="Arial" w:cs="Arial"/>
                <w:kern w:val="28"/>
              </w:rPr>
              <w:t xml:space="preserve"> and 18</w:t>
            </w:r>
            <w:r w:rsidR="00936BA4" w:rsidRPr="00F17A6B">
              <w:rPr>
                <w:rFonts w:ascii="Arial" w:hAnsi="Arial" w:cs="Arial"/>
                <w:kern w:val="28"/>
              </w:rPr>
              <w:t xml:space="preserve"> (KS)</w:t>
            </w:r>
            <w:r w:rsidRPr="00F17A6B">
              <w:rPr>
                <w:rFonts w:ascii="Arial" w:hAnsi="Arial" w:cs="Arial"/>
                <w:kern w:val="28"/>
              </w:rPr>
              <w:t xml:space="preserve"> respectively, leading to a total population of 648.</w:t>
            </w:r>
          </w:p>
          <w:p w14:paraId="23FDE025" w14:textId="77777777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</w:p>
          <w:p w14:paraId="5FD31666" w14:textId="39E0990E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 xml:space="preserve">From the prevalent population (648) the company estimate </w:t>
            </w:r>
            <w:r w:rsidR="00936BA4" w:rsidRPr="00F17A6B">
              <w:rPr>
                <w:rFonts w:ascii="Arial" w:hAnsi="Arial" w:cs="Arial"/>
                <w:kern w:val="28"/>
              </w:rPr>
              <w:t xml:space="preserve">100-150 </w:t>
            </w:r>
            <w:r w:rsidRPr="00F17A6B">
              <w:rPr>
                <w:rFonts w:ascii="Arial" w:hAnsi="Arial" w:cs="Arial"/>
                <w:kern w:val="28"/>
              </w:rPr>
              <w:t xml:space="preserve">would be “treatable patients” with JEB, </w:t>
            </w:r>
            <w:proofErr w:type="gramStart"/>
            <w:r w:rsidRPr="00F17A6B">
              <w:rPr>
                <w:rFonts w:ascii="Arial" w:hAnsi="Arial" w:cs="Arial"/>
                <w:kern w:val="28"/>
              </w:rPr>
              <w:t>DEB</w:t>
            </w:r>
            <w:proofErr w:type="gramEnd"/>
            <w:r w:rsidRPr="00F17A6B">
              <w:rPr>
                <w:rFonts w:ascii="Arial" w:hAnsi="Arial" w:cs="Arial"/>
                <w:kern w:val="28"/>
              </w:rPr>
              <w:t xml:space="preserve"> and Kindler in England. </w:t>
            </w:r>
          </w:p>
          <w:p w14:paraId="021DB685" w14:textId="77777777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</w:p>
          <w:p w14:paraId="3D506B95" w14:textId="31273BFC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>This number assumes people would only be eligible for treatment in line with the inclusion criteria in the pivotal trial. Which required a target wound over 3 weeks old and of reasonable size, between 10cm</w:t>
            </w:r>
            <w:r w:rsidRPr="00F17A6B">
              <w:rPr>
                <w:rFonts w:ascii="Arial" w:hAnsi="Arial" w:cs="Arial"/>
                <w:kern w:val="28"/>
                <w:vertAlign w:val="superscript"/>
              </w:rPr>
              <w:t>2</w:t>
            </w:r>
            <w:r w:rsidRPr="00F17A6B">
              <w:rPr>
                <w:rFonts w:ascii="Arial" w:hAnsi="Arial" w:cs="Arial"/>
                <w:kern w:val="28"/>
              </w:rPr>
              <w:t xml:space="preserve"> and 50cm</w:t>
            </w:r>
            <w:r w:rsidRPr="00F17A6B">
              <w:rPr>
                <w:rFonts w:ascii="Arial" w:hAnsi="Arial" w:cs="Arial"/>
                <w:kern w:val="28"/>
                <w:vertAlign w:val="superscript"/>
              </w:rPr>
              <w:t>2</w:t>
            </w:r>
            <w:r w:rsidRPr="00F17A6B">
              <w:rPr>
                <w:rFonts w:ascii="Arial" w:hAnsi="Arial" w:cs="Arial"/>
                <w:kern w:val="28"/>
              </w:rPr>
              <w:t xml:space="preserve">. </w:t>
            </w:r>
          </w:p>
          <w:p w14:paraId="72D87A5B" w14:textId="77777777" w:rsidR="003C673A" w:rsidRPr="00F17A6B" w:rsidRDefault="003C673A" w:rsidP="003C673A">
            <w:pPr>
              <w:rPr>
                <w:rFonts w:ascii="Arial" w:hAnsi="Arial" w:cs="Arial"/>
                <w:kern w:val="28"/>
              </w:rPr>
            </w:pPr>
          </w:p>
          <w:p w14:paraId="716408BD" w14:textId="5F2687B2" w:rsidR="003C673A" w:rsidRDefault="00936BA4" w:rsidP="003C673A">
            <w:pPr>
              <w:rPr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>Clinical</w:t>
            </w:r>
            <w:r w:rsidR="003C673A" w:rsidRPr="00F17A6B">
              <w:rPr>
                <w:rFonts w:ascii="Arial" w:hAnsi="Arial" w:cs="Arial"/>
                <w:kern w:val="28"/>
              </w:rPr>
              <w:t xml:space="preserve"> experts stated that </w:t>
            </w:r>
            <w:r w:rsidR="00FC3004" w:rsidRPr="00F17A6B">
              <w:rPr>
                <w:rFonts w:ascii="Arial" w:hAnsi="Arial" w:cs="Arial"/>
                <w:kern w:val="28"/>
              </w:rPr>
              <w:t>there is huge variability between patients. F</w:t>
            </w:r>
            <w:r w:rsidR="003C673A" w:rsidRPr="00F17A6B">
              <w:rPr>
                <w:rFonts w:ascii="Arial" w:hAnsi="Arial" w:cs="Arial"/>
                <w:kern w:val="28"/>
              </w:rPr>
              <w:t xml:space="preserve">or some subgroups </w:t>
            </w:r>
            <w:r w:rsidR="00FC3004" w:rsidRPr="00F17A6B">
              <w:rPr>
                <w:rFonts w:ascii="Arial" w:hAnsi="Arial" w:cs="Arial"/>
                <w:kern w:val="28"/>
              </w:rPr>
              <w:t>up to 75% of</w:t>
            </w:r>
            <w:r w:rsidR="003C673A" w:rsidRPr="00F17A6B">
              <w:rPr>
                <w:rFonts w:ascii="Arial" w:hAnsi="Arial" w:cs="Arial"/>
                <w:kern w:val="28"/>
              </w:rPr>
              <w:t xml:space="preserve"> the population </w:t>
            </w:r>
            <w:r w:rsidR="00FC3004" w:rsidRPr="00F17A6B">
              <w:rPr>
                <w:rFonts w:ascii="Arial" w:hAnsi="Arial" w:cs="Arial"/>
                <w:kern w:val="28"/>
              </w:rPr>
              <w:t>m</w:t>
            </w:r>
            <w:r w:rsidR="003C673A" w:rsidRPr="00F17A6B">
              <w:rPr>
                <w:rFonts w:ascii="Arial" w:hAnsi="Arial" w:cs="Arial"/>
                <w:kern w:val="28"/>
              </w:rPr>
              <w:t xml:space="preserve">ay be </w:t>
            </w:r>
            <w:r w:rsidR="003C673A" w:rsidRPr="00F17A6B">
              <w:rPr>
                <w:rFonts w:ascii="Arial" w:hAnsi="Arial" w:cs="Arial"/>
                <w:kern w:val="28"/>
              </w:rPr>
              <w:lastRenderedPageBreak/>
              <w:t xml:space="preserve">candidates for treatment at some point </w:t>
            </w:r>
            <w:r w:rsidR="00FC3004" w:rsidRPr="00F17A6B">
              <w:rPr>
                <w:rFonts w:ascii="Arial" w:hAnsi="Arial" w:cs="Arial"/>
                <w:kern w:val="28"/>
              </w:rPr>
              <w:t>during their lifetime</w:t>
            </w:r>
            <w:r w:rsidR="003C673A" w:rsidRPr="00F17A6B">
              <w:rPr>
                <w:rFonts w:ascii="Arial" w:hAnsi="Arial" w:cs="Arial"/>
                <w:kern w:val="28"/>
              </w:rPr>
              <w:t>. The</w:t>
            </w:r>
            <w:r w:rsidR="00FC3004" w:rsidRPr="00F17A6B">
              <w:rPr>
                <w:rFonts w:ascii="Arial" w:hAnsi="Arial" w:cs="Arial"/>
                <w:kern w:val="28"/>
              </w:rPr>
              <w:t>y noted that</w:t>
            </w:r>
            <w:r w:rsidR="003C673A" w:rsidRPr="00F17A6B">
              <w:rPr>
                <w:rFonts w:ascii="Arial" w:hAnsi="Arial" w:cs="Arial"/>
                <w:kern w:val="28"/>
              </w:rPr>
              <w:t xml:space="preserve"> symptoms and manifestations of EB can come in peaks and troughs. </w:t>
            </w:r>
          </w:p>
          <w:p w14:paraId="64308F54" w14:textId="35F77749" w:rsidR="00E2334C" w:rsidRDefault="00E2334C" w:rsidP="003C673A">
            <w:pPr>
              <w:rPr>
                <w:rFonts w:ascii="Arial" w:hAnsi="Arial" w:cs="Arial"/>
                <w:kern w:val="28"/>
              </w:rPr>
            </w:pPr>
          </w:p>
          <w:p w14:paraId="71A80954" w14:textId="572111E1" w:rsidR="00E2334C" w:rsidRDefault="00E2334C" w:rsidP="003C673A">
            <w:pPr>
              <w:rPr>
                <w:rFonts w:ascii="Arial" w:hAnsi="Arial" w:cs="Arial"/>
                <w:kern w:val="28"/>
              </w:rPr>
            </w:pPr>
            <w:r w:rsidRPr="00AC0B8D">
              <w:rPr>
                <w:rFonts w:ascii="Arial" w:hAnsi="Arial" w:cs="Arial"/>
                <w:kern w:val="28"/>
              </w:rPr>
              <w:t>While there are currently 4 HST centres providing treatment for EB</w:t>
            </w:r>
            <w:r w:rsidRPr="00AC40B1">
              <w:rPr>
                <w:rFonts w:ascii="Arial" w:hAnsi="Arial" w:cs="Arial"/>
                <w:kern w:val="28"/>
              </w:rPr>
              <w:t xml:space="preserve">, treatment with Oleogel-S10 will </w:t>
            </w:r>
            <w:r w:rsidR="00283492" w:rsidRPr="00AC40B1">
              <w:rPr>
                <w:rFonts w:ascii="Arial" w:hAnsi="Arial" w:cs="Arial"/>
                <w:kern w:val="28"/>
              </w:rPr>
              <w:t>primarily</w:t>
            </w:r>
            <w:r w:rsidRPr="00AC40B1">
              <w:rPr>
                <w:rFonts w:ascii="Arial" w:hAnsi="Arial" w:cs="Arial"/>
                <w:kern w:val="28"/>
              </w:rPr>
              <w:t xml:space="preserve"> be administered at home by patients, </w:t>
            </w:r>
            <w:proofErr w:type="gramStart"/>
            <w:r w:rsidRPr="00AC40B1">
              <w:rPr>
                <w:rFonts w:ascii="Arial" w:hAnsi="Arial" w:cs="Arial"/>
                <w:kern w:val="28"/>
              </w:rPr>
              <w:t>carers</w:t>
            </w:r>
            <w:proofErr w:type="gramEnd"/>
            <w:r w:rsidRPr="00AC40B1">
              <w:rPr>
                <w:rFonts w:ascii="Arial" w:hAnsi="Arial" w:cs="Arial"/>
                <w:kern w:val="28"/>
              </w:rPr>
              <w:t xml:space="preserve"> or parents</w:t>
            </w:r>
            <w:r w:rsidR="00CE668A">
              <w:rPr>
                <w:rFonts w:ascii="Arial" w:hAnsi="Arial" w:cs="Arial"/>
                <w:kern w:val="28"/>
              </w:rPr>
              <w:t>.</w:t>
            </w:r>
          </w:p>
          <w:p w14:paraId="2AB7C3D3" w14:textId="77777777" w:rsidR="001036BE" w:rsidRDefault="001036BE" w:rsidP="003C673A">
            <w:pPr>
              <w:rPr>
                <w:rFonts w:ascii="Arial" w:hAnsi="Arial" w:cs="Arial"/>
                <w:kern w:val="28"/>
              </w:rPr>
            </w:pPr>
          </w:p>
          <w:p w14:paraId="60611E64" w14:textId="77777777" w:rsidR="001036BE" w:rsidRPr="00CE668A" w:rsidRDefault="001036BE" w:rsidP="001036BE">
            <w:pPr>
              <w:rPr>
                <w:rFonts w:ascii="Arial" w:hAnsi="Arial" w:cs="Arial"/>
                <w:kern w:val="28"/>
                <w:u w:val="single"/>
              </w:rPr>
            </w:pPr>
            <w:r w:rsidRPr="00CE668A">
              <w:rPr>
                <w:rFonts w:ascii="Arial" w:hAnsi="Arial" w:cs="Arial"/>
                <w:kern w:val="28"/>
                <w:u w:val="single"/>
              </w:rPr>
              <w:t>Re-branding</w:t>
            </w:r>
          </w:p>
          <w:p w14:paraId="08D7BAAC" w14:textId="77777777" w:rsidR="001036BE" w:rsidRPr="00CE668A" w:rsidRDefault="001036BE" w:rsidP="001036BE">
            <w:pPr>
              <w:rPr>
                <w:rFonts w:ascii="Arial" w:hAnsi="Arial" w:cs="Arial"/>
                <w:kern w:val="28"/>
              </w:rPr>
            </w:pPr>
            <w:r w:rsidRPr="00CE668A">
              <w:rPr>
                <w:rFonts w:ascii="Arial" w:hAnsi="Arial" w:cs="Arial"/>
              </w:rPr>
              <w:t>Oleogel-S10 was approved in the European Union in January 2016 for the treatment of partial thickness wounds in adults, this could include burns, skin graft</w:t>
            </w:r>
            <w:r>
              <w:rPr>
                <w:rFonts w:ascii="Arial" w:hAnsi="Arial" w:cs="Arial"/>
              </w:rPr>
              <w:t>s, meaning the size of the eligible population would far</w:t>
            </w:r>
            <w:r>
              <w:t xml:space="preserve"> </w:t>
            </w:r>
            <w:r w:rsidRPr="00CE668A">
              <w:rPr>
                <w:rFonts w:ascii="Arial" w:hAnsi="Arial" w:cs="Arial"/>
              </w:rPr>
              <w:t>exceed the size recommended for HST</w:t>
            </w:r>
            <w:r>
              <w:rPr>
                <w:rFonts w:ascii="Arial" w:hAnsi="Arial" w:cs="Arial"/>
              </w:rPr>
              <w:t xml:space="preserve">. </w:t>
            </w:r>
            <w:r w:rsidRPr="00CE668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2016</w:t>
            </w:r>
            <w:r w:rsidRPr="00CE668A">
              <w:rPr>
                <w:rFonts w:ascii="Arial" w:hAnsi="Arial" w:cs="Arial"/>
              </w:rPr>
              <w:t xml:space="preserve"> license was issued under the trade/brand name </w:t>
            </w:r>
            <w:hyperlink r:id="rId7">
              <w:proofErr w:type="spellStart"/>
              <w:r w:rsidRPr="00CE668A">
                <w:rPr>
                  <w:rStyle w:val="Hyperlink"/>
                  <w:rFonts w:ascii="Arial" w:hAnsi="Arial" w:cs="Arial"/>
                </w:rPr>
                <w:t>epivalsan</w:t>
              </w:r>
              <w:proofErr w:type="spellEnd"/>
            </w:hyperlink>
            <w:r w:rsidRPr="00CE668A">
              <w:rPr>
                <w:rStyle w:val="Hyperlink"/>
                <w:rFonts w:ascii="Arial" w:hAnsi="Arial" w:cs="Arial"/>
              </w:rPr>
              <w:t xml:space="preserve">. </w:t>
            </w:r>
            <w:r>
              <w:rPr>
                <w:rStyle w:val="Hyperlink"/>
                <w:rFonts w:ascii="Arial" w:hAnsi="Arial" w:cs="Arial"/>
              </w:rPr>
              <w:br/>
            </w:r>
            <w:r>
              <w:rPr>
                <w:rStyle w:val="Hyperlink"/>
              </w:rPr>
              <w:br/>
            </w:r>
            <w:r w:rsidRPr="00CE668A">
              <w:rPr>
                <w:rFonts w:ascii="Arial" w:hAnsi="Arial" w:cs="Arial"/>
              </w:rPr>
              <w:t xml:space="preserve">The panel heard that the product </w:t>
            </w:r>
            <w:proofErr w:type="spellStart"/>
            <w:r w:rsidRPr="00CE668A">
              <w:rPr>
                <w:rFonts w:ascii="Arial" w:hAnsi="Arial" w:cs="Arial"/>
              </w:rPr>
              <w:t>Episalvan</w:t>
            </w:r>
            <w:proofErr w:type="spellEnd"/>
            <w:r w:rsidRPr="00CE668A">
              <w:rPr>
                <w:rFonts w:ascii="Arial" w:hAnsi="Arial" w:cs="Arial"/>
              </w:rPr>
              <w:t xml:space="preserve"> was not available in England and </w:t>
            </w:r>
            <w:proofErr w:type="spellStart"/>
            <w:r w:rsidRPr="00CE668A">
              <w:rPr>
                <w:rFonts w:ascii="Arial" w:hAnsi="Arial" w:cs="Arial"/>
              </w:rPr>
              <w:t>Amryt</w:t>
            </w:r>
            <w:proofErr w:type="spellEnd"/>
            <w:r w:rsidRPr="00CE668A">
              <w:rPr>
                <w:rFonts w:ascii="Arial" w:hAnsi="Arial" w:cs="Arial"/>
              </w:rPr>
              <w:t xml:space="preserve"> had confirmed the broad license for </w:t>
            </w:r>
            <w:proofErr w:type="spellStart"/>
            <w:r w:rsidRPr="00CE668A">
              <w:rPr>
                <w:rFonts w:ascii="Arial" w:hAnsi="Arial" w:cs="Arial"/>
              </w:rPr>
              <w:t>Episalvan</w:t>
            </w:r>
            <w:proofErr w:type="spellEnd"/>
            <w:r w:rsidRPr="00CE668A">
              <w:rPr>
                <w:rFonts w:ascii="Arial" w:hAnsi="Arial" w:cs="Arial"/>
              </w:rPr>
              <w:t xml:space="preserve"> would be withdrawn if a MA was granted for the re-branded product with a smaller eligible population.</w:t>
            </w:r>
          </w:p>
          <w:p w14:paraId="0F5F7B0F" w14:textId="6105D869" w:rsidR="00FC3004" w:rsidRPr="00F17A6B" w:rsidRDefault="00FC3004" w:rsidP="003C673A">
            <w:pPr>
              <w:rPr>
                <w:rFonts w:ascii="Arial" w:hAnsi="Arial" w:cs="Arial"/>
                <w:kern w:val="28"/>
              </w:rPr>
            </w:pPr>
          </w:p>
          <w:p w14:paraId="41FA5F79" w14:textId="77777777" w:rsidR="00E06CCB" w:rsidRDefault="00504ADB" w:rsidP="00FC3004">
            <w:pPr>
              <w:rPr>
                <w:rFonts w:ascii="Arial" w:hAnsi="Arial" w:cs="Arial"/>
                <w:b/>
                <w:bCs/>
              </w:rPr>
            </w:pPr>
            <w:r w:rsidRPr="00F17A6B">
              <w:rPr>
                <w:rFonts w:ascii="Arial" w:hAnsi="Arial" w:cs="Arial"/>
                <w:b/>
                <w:bCs/>
                <w:kern w:val="28"/>
              </w:rPr>
              <w:t xml:space="preserve">Conclusion: </w:t>
            </w:r>
            <w:r w:rsidRPr="00F17A6B">
              <w:rPr>
                <w:rFonts w:ascii="Arial" w:hAnsi="Arial" w:cs="Arial"/>
                <w:b/>
                <w:bCs/>
                <w:kern w:val="28"/>
              </w:rPr>
              <w:br/>
            </w:r>
            <w:r w:rsidR="00FC3004" w:rsidRPr="00F17A6B">
              <w:rPr>
                <w:rFonts w:ascii="Arial" w:hAnsi="Arial" w:cs="Arial"/>
                <w:b/>
                <w:bCs/>
              </w:rPr>
              <w:t xml:space="preserve">Target population size is uncertain but fewer than 500 people expected to need treatment over a lifetime. </w:t>
            </w:r>
          </w:p>
          <w:p w14:paraId="0E9AA79A" w14:textId="615E5A88" w:rsidR="001036BE" w:rsidRPr="00153DBF" w:rsidRDefault="001036BE" w:rsidP="00153DB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E1C83CE" w14:textId="04A63057" w:rsidR="00F90BB8" w:rsidRPr="00814DA2" w:rsidRDefault="0048623E" w:rsidP="00F81750">
            <w:pPr>
              <w:spacing w:line="259" w:lineRule="auto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Met</w:t>
            </w:r>
          </w:p>
        </w:tc>
      </w:tr>
      <w:tr w:rsidR="00F90BB8" w14:paraId="067C18A1" w14:textId="77777777" w:rsidTr="0DB3BBAF">
        <w:trPr>
          <w:trHeight w:val="924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164E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target patient group is distinct for clinical reasons</w:t>
            </w:r>
          </w:p>
          <w:p w14:paraId="424C86C0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4A7A" w14:textId="77777777" w:rsidR="00751166" w:rsidRPr="00F17A6B" w:rsidRDefault="00BC454B" w:rsidP="00751166">
            <w:pPr>
              <w:ind w:left="34"/>
              <w:rPr>
                <w:rFonts w:ascii="Arial" w:hAnsi="Arial" w:cs="Arial"/>
                <w:b/>
                <w:bCs/>
              </w:rPr>
            </w:pPr>
            <w:r w:rsidRPr="00F17A6B">
              <w:rPr>
                <w:rFonts w:ascii="Arial" w:hAnsi="Arial" w:cs="Arial"/>
              </w:rPr>
              <w:t>Yes, epidermolysis bullosa is clinically distinct with established subgroups.</w:t>
            </w:r>
            <w:r w:rsidR="00751166" w:rsidRPr="00F17A6B">
              <w:rPr>
                <w:rFonts w:ascii="Arial" w:hAnsi="Arial" w:cs="Arial"/>
              </w:rPr>
              <w:br/>
            </w:r>
          </w:p>
          <w:p w14:paraId="673E205C" w14:textId="77777777" w:rsidR="00FC3004" w:rsidRPr="00F17A6B" w:rsidRDefault="00FC3004" w:rsidP="00FC3004">
            <w:pPr>
              <w:rPr>
                <w:rFonts w:ascii="Arial" w:hAnsi="Arial" w:cs="Arial"/>
                <w:u w:val="single"/>
              </w:rPr>
            </w:pPr>
            <w:r w:rsidRPr="00F17A6B">
              <w:rPr>
                <w:rFonts w:ascii="Arial" w:hAnsi="Arial" w:cs="Arial"/>
                <w:u w:val="single"/>
              </w:rPr>
              <w:t>Workshop, consultation comments and follow up clinical queries:</w:t>
            </w:r>
          </w:p>
          <w:p w14:paraId="42483AA0" w14:textId="666A82D9" w:rsidR="00FC3004" w:rsidRDefault="00751166" w:rsidP="006B15C9">
            <w:pPr>
              <w:rPr>
                <w:rFonts w:ascii="Arial" w:hAnsi="Arial" w:cs="Arial"/>
                <w:kern w:val="28"/>
              </w:rPr>
            </w:pPr>
            <w:r w:rsidRPr="00F17A6B">
              <w:rPr>
                <w:rFonts w:ascii="Arial" w:hAnsi="Arial" w:cs="Arial"/>
                <w:kern w:val="28"/>
              </w:rPr>
              <w:t>People would only be eligible for treatment in line with the inclusion criteria in the pivotal trial. People would have a target wound over 3 weeks old and of reasonable size, between 10cm</w:t>
            </w:r>
            <w:r w:rsidRPr="00F17A6B">
              <w:rPr>
                <w:rFonts w:ascii="Arial" w:hAnsi="Arial" w:cs="Arial"/>
                <w:kern w:val="28"/>
                <w:vertAlign w:val="superscript"/>
              </w:rPr>
              <w:t>2</w:t>
            </w:r>
            <w:r w:rsidRPr="00F17A6B">
              <w:rPr>
                <w:rFonts w:ascii="Arial" w:hAnsi="Arial" w:cs="Arial"/>
                <w:kern w:val="28"/>
              </w:rPr>
              <w:t xml:space="preserve"> and 50cm</w:t>
            </w:r>
            <w:r w:rsidRPr="00F17A6B">
              <w:rPr>
                <w:rFonts w:ascii="Arial" w:hAnsi="Arial" w:cs="Arial"/>
                <w:kern w:val="28"/>
                <w:vertAlign w:val="superscript"/>
              </w:rPr>
              <w:t>2</w:t>
            </w:r>
            <w:r w:rsidRPr="00F17A6B">
              <w:rPr>
                <w:rFonts w:ascii="Arial" w:hAnsi="Arial" w:cs="Arial"/>
                <w:kern w:val="28"/>
              </w:rPr>
              <w:t>.</w:t>
            </w:r>
          </w:p>
          <w:p w14:paraId="1F2AB72B" w14:textId="44C1BB85" w:rsidR="00CE668A" w:rsidRDefault="00CE668A" w:rsidP="006B15C9">
            <w:pPr>
              <w:rPr>
                <w:rFonts w:ascii="Arial" w:hAnsi="Arial" w:cs="Arial"/>
                <w:kern w:val="28"/>
              </w:rPr>
            </w:pPr>
          </w:p>
          <w:p w14:paraId="0CDA5A7B" w14:textId="1BEC8F98" w:rsidR="00E06CCB" w:rsidRPr="00001146" w:rsidRDefault="00504ADB" w:rsidP="00CE668A">
            <w:pPr>
              <w:rPr>
                <w:rFonts w:ascii="Arial" w:hAnsi="Arial" w:cs="Arial"/>
                <w:b/>
                <w:bCs/>
                <w:kern w:val="28"/>
              </w:rPr>
            </w:pPr>
            <w:r w:rsidRPr="00F17A6B">
              <w:rPr>
                <w:rFonts w:ascii="Arial" w:hAnsi="Arial" w:cs="Arial"/>
                <w:b/>
                <w:bCs/>
                <w:kern w:val="28"/>
              </w:rPr>
              <w:t xml:space="preserve">Conclusion: </w:t>
            </w:r>
            <w:r w:rsidRPr="00F17A6B">
              <w:rPr>
                <w:rFonts w:ascii="Arial" w:hAnsi="Arial" w:cs="Arial"/>
                <w:b/>
                <w:bCs/>
                <w:kern w:val="28"/>
              </w:rPr>
              <w:br/>
            </w:r>
            <w:r w:rsidR="006B15C9" w:rsidRPr="00F17A6B">
              <w:rPr>
                <w:rFonts w:ascii="Arial" w:hAnsi="Arial" w:cs="Arial"/>
                <w:b/>
                <w:bCs/>
                <w:kern w:val="28"/>
              </w:rPr>
              <w:t>T</w:t>
            </w:r>
            <w:r w:rsidR="00CE668A">
              <w:rPr>
                <w:rFonts w:ascii="Arial" w:hAnsi="Arial" w:cs="Arial"/>
                <w:b/>
                <w:bCs/>
                <w:kern w:val="28"/>
              </w:rPr>
              <w:t>he severe EB populations</w:t>
            </w:r>
            <w:r w:rsidR="006B15C9" w:rsidRPr="00F17A6B">
              <w:rPr>
                <w:rFonts w:ascii="Arial" w:hAnsi="Arial" w:cs="Arial"/>
                <w:b/>
                <w:bCs/>
                <w:kern w:val="28"/>
              </w:rPr>
              <w:t xml:space="preserve"> is clinically distinct</w:t>
            </w:r>
            <w:r w:rsidR="00FC3004" w:rsidRPr="00F17A6B">
              <w:rPr>
                <w:rFonts w:ascii="Arial" w:hAnsi="Arial" w:cs="Arial"/>
                <w:b/>
                <w:bCs/>
                <w:kern w:val="28"/>
              </w:rPr>
              <w:t>,</w:t>
            </w:r>
            <w:r w:rsidR="006B15C9" w:rsidRPr="00F17A6B">
              <w:rPr>
                <w:rFonts w:ascii="Arial" w:hAnsi="Arial" w:cs="Arial"/>
                <w:b/>
                <w:bCs/>
                <w:kern w:val="28"/>
              </w:rPr>
              <w:t xml:space="preserve"> but eligibility may be transient as the symptoms and manifestations of EB change for individuals over a lifetime. </w:t>
            </w:r>
            <w:r w:rsidR="00CE668A" w:rsidRPr="00CE668A">
              <w:rPr>
                <w:rFonts w:ascii="Arial" w:hAnsi="Arial" w:cs="Arial"/>
                <w:b/>
                <w:bCs/>
                <w:kern w:val="28"/>
              </w:rPr>
              <w:br/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FCDD549" w14:textId="4FC9DFFF" w:rsidR="00F90BB8" w:rsidRPr="00814DA2" w:rsidRDefault="00FC3004" w:rsidP="006B15C9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C3004">
              <w:rPr>
                <w:rFonts w:ascii="Arial" w:hAnsi="Arial" w:cs="Arial"/>
                <w:b/>
                <w:bCs/>
              </w:rPr>
              <w:t>Met</w:t>
            </w:r>
          </w:p>
        </w:tc>
      </w:tr>
      <w:tr w:rsidR="00F90BB8" w14:paraId="2ED25291" w14:textId="77777777" w:rsidTr="0DB3BBAF">
        <w:trPr>
          <w:trHeight w:val="502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9A6C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condition is chronic and severely disabling</w:t>
            </w:r>
          </w:p>
          <w:p w14:paraId="0E361B72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F136" w14:textId="77777777" w:rsidR="00504ADB" w:rsidRPr="00F17A6B" w:rsidRDefault="00BC454B" w:rsidP="00F90BB8">
            <w:pPr>
              <w:ind w:left="34"/>
              <w:rPr>
                <w:rFonts w:ascii="Arial" w:hAnsi="Arial" w:cs="Arial"/>
              </w:rPr>
            </w:pPr>
            <w:r w:rsidRPr="00F17A6B">
              <w:rPr>
                <w:rFonts w:ascii="Arial" w:hAnsi="Arial" w:cs="Arial"/>
              </w:rPr>
              <w:t xml:space="preserve">Yes, the subgroups included in the trial </w:t>
            </w:r>
            <w:r w:rsidR="00D466FE" w:rsidRPr="00F17A6B">
              <w:rPr>
                <w:rFonts w:ascii="Arial" w:hAnsi="Arial" w:cs="Arial"/>
              </w:rPr>
              <w:t>are the mo</w:t>
            </w:r>
            <w:r w:rsidR="00341BFB" w:rsidRPr="00F17A6B">
              <w:rPr>
                <w:rFonts w:ascii="Arial" w:hAnsi="Arial" w:cs="Arial"/>
              </w:rPr>
              <w:t>re</w:t>
            </w:r>
            <w:r w:rsidR="00D466FE" w:rsidRPr="00F17A6B">
              <w:rPr>
                <w:rFonts w:ascii="Arial" w:hAnsi="Arial" w:cs="Arial"/>
              </w:rPr>
              <w:t xml:space="preserve"> severe forms of EB. </w:t>
            </w:r>
          </w:p>
          <w:p w14:paraId="792A9C8D" w14:textId="77777777" w:rsidR="00504ADB" w:rsidRPr="00F17A6B" w:rsidRDefault="00504ADB" w:rsidP="00F90BB8">
            <w:pPr>
              <w:ind w:left="34"/>
              <w:rPr>
                <w:rFonts w:ascii="Arial" w:hAnsi="Arial" w:cs="Arial"/>
              </w:rPr>
            </w:pPr>
          </w:p>
          <w:p w14:paraId="5C76C7CC" w14:textId="670A7306" w:rsidR="00F90BB8" w:rsidRPr="00F17A6B" w:rsidRDefault="00504ADB" w:rsidP="00F90BB8">
            <w:pPr>
              <w:ind w:left="34"/>
              <w:rPr>
                <w:rFonts w:ascii="Arial" w:hAnsi="Arial" w:cs="Arial"/>
                <w:b/>
                <w:bCs/>
              </w:rPr>
            </w:pPr>
            <w:r w:rsidRPr="00F17A6B">
              <w:rPr>
                <w:rFonts w:ascii="Arial" w:hAnsi="Arial" w:cs="Arial"/>
                <w:b/>
                <w:bCs/>
              </w:rPr>
              <w:t xml:space="preserve">Conclusion: </w:t>
            </w:r>
            <w:r w:rsidRPr="00F17A6B">
              <w:rPr>
                <w:rFonts w:ascii="Arial" w:hAnsi="Arial" w:cs="Arial"/>
                <w:b/>
                <w:bCs/>
              </w:rPr>
              <w:br/>
              <w:t>DEB, JEB and KS</w:t>
            </w:r>
            <w:r w:rsidR="00D466FE" w:rsidRPr="00F17A6B">
              <w:rPr>
                <w:rFonts w:ascii="Arial" w:hAnsi="Arial" w:cs="Arial"/>
                <w:b/>
                <w:bCs/>
              </w:rPr>
              <w:t xml:space="preserve"> subgroups </w:t>
            </w:r>
            <w:r w:rsidRPr="00F17A6B">
              <w:rPr>
                <w:rFonts w:ascii="Arial" w:hAnsi="Arial" w:cs="Arial"/>
                <w:b/>
                <w:bCs/>
              </w:rPr>
              <w:t xml:space="preserve">are </w:t>
            </w:r>
            <w:r w:rsidR="00D466FE" w:rsidRPr="00F17A6B">
              <w:rPr>
                <w:rFonts w:ascii="Arial" w:hAnsi="Arial" w:cs="Arial"/>
                <w:b/>
                <w:bCs/>
              </w:rPr>
              <w:t>chronic and severely disabling.</w:t>
            </w:r>
            <w:r w:rsidR="00FF2551" w:rsidRPr="00F17A6B">
              <w:rPr>
                <w:rFonts w:ascii="Arial" w:hAnsi="Arial" w:cs="Arial"/>
                <w:b/>
                <w:bCs/>
              </w:rPr>
              <w:t xml:space="preserve"> The most severe </w:t>
            </w:r>
            <w:r w:rsidR="00FF2551" w:rsidRPr="00F17A6B">
              <w:rPr>
                <w:rFonts w:ascii="Arial" w:hAnsi="Arial" w:cs="Arial"/>
                <w:b/>
                <w:bCs/>
              </w:rPr>
              <w:lastRenderedPageBreak/>
              <w:t>form of EB can severely limit life expectancy.</w:t>
            </w:r>
          </w:p>
          <w:p w14:paraId="4CC7A1B4" w14:textId="5DB0A354" w:rsidR="00D466FE" w:rsidRPr="00F17A6B" w:rsidRDefault="00D466FE" w:rsidP="00FC3004">
            <w:pPr>
              <w:ind w:left="34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193668F" w14:textId="2B13EF47" w:rsidR="00F90BB8" w:rsidRPr="00814DA2" w:rsidRDefault="00814DA2" w:rsidP="00814DA2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814DA2">
              <w:rPr>
                <w:rFonts w:ascii="Arial" w:hAnsi="Arial" w:cs="Arial"/>
                <w:b/>
                <w:bCs/>
              </w:rPr>
              <w:lastRenderedPageBreak/>
              <w:t>Met</w:t>
            </w:r>
          </w:p>
        </w:tc>
      </w:tr>
      <w:tr w:rsidR="00F90BB8" w14:paraId="6BCC71BE" w14:textId="77777777" w:rsidTr="0DB3BBAF">
        <w:trPr>
          <w:trHeight w:val="605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5D9D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technology is expected to be used exclusively in the context of a highly specialised service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F4E4" w14:textId="10F2E36E" w:rsidR="00912F4B" w:rsidRPr="00F17A6B" w:rsidRDefault="00504ADB" w:rsidP="00504ADB">
            <w:pPr>
              <w:rPr>
                <w:rFonts w:ascii="Arial" w:hAnsi="Arial" w:cs="Arial"/>
                <w:u w:val="single"/>
              </w:rPr>
            </w:pPr>
            <w:r w:rsidRPr="00F17A6B">
              <w:rPr>
                <w:rFonts w:ascii="Arial" w:hAnsi="Arial" w:cs="Arial"/>
                <w:u w:val="single"/>
              </w:rPr>
              <w:t>Workshop, consultation comments and follow up clinical queries:</w:t>
            </w:r>
            <w:r w:rsidR="00912F4B" w:rsidRPr="00F17A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5E98E00" w14:textId="1BE7198D" w:rsidR="00504ADB" w:rsidRPr="00F17A6B" w:rsidRDefault="00912F4B" w:rsidP="002802FE">
            <w:pPr>
              <w:ind w:left="34"/>
              <w:rPr>
                <w:rFonts w:ascii="Arial" w:hAnsi="Arial" w:cs="Arial"/>
              </w:rPr>
            </w:pPr>
            <w:r w:rsidRPr="1938CC70">
              <w:rPr>
                <w:rFonts w:ascii="Arial" w:hAnsi="Arial" w:cs="Arial"/>
              </w:rPr>
              <w:t>EB is commissioned through a highly specialised service</w:t>
            </w:r>
            <w:r w:rsidR="00CE668A">
              <w:rPr>
                <w:rFonts w:ascii="Arial" w:hAnsi="Arial" w:cs="Arial"/>
              </w:rPr>
              <w:t>.</w:t>
            </w:r>
          </w:p>
          <w:p w14:paraId="40333FBB" w14:textId="77777777" w:rsidR="00E06CCB" w:rsidRPr="00F17A6B" w:rsidRDefault="00E06CCB" w:rsidP="00F90BB8">
            <w:pPr>
              <w:ind w:left="34"/>
              <w:rPr>
                <w:rFonts w:ascii="Arial" w:hAnsi="Arial" w:cs="Arial"/>
              </w:rPr>
            </w:pPr>
          </w:p>
          <w:p w14:paraId="577FEAFB" w14:textId="46396BC3" w:rsidR="00FC3004" w:rsidRPr="00F17A6B" w:rsidRDefault="5742FDAA" w:rsidP="00F90BB8">
            <w:pPr>
              <w:ind w:left="34"/>
              <w:rPr>
                <w:rFonts w:ascii="Arial" w:hAnsi="Arial" w:cs="Arial"/>
                <w:b/>
                <w:bCs/>
              </w:rPr>
            </w:pPr>
            <w:r w:rsidRPr="3B6CB1B8">
              <w:rPr>
                <w:rFonts w:ascii="Arial" w:hAnsi="Arial" w:cs="Arial"/>
              </w:rPr>
              <w:t>Clinical experts stated that administration would be done by patients, carers, or parents</w:t>
            </w:r>
            <w:r w:rsidR="037B7F08" w:rsidRPr="3B6CB1B8">
              <w:rPr>
                <w:rFonts w:ascii="Arial" w:hAnsi="Arial" w:cs="Arial"/>
              </w:rPr>
              <w:t xml:space="preserve"> at </w:t>
            </w:r>
            <w:proofErr w:type="gramStart"/>
            <w:r w:rsidR="037B7F08" w:rsidRPr="3B6CB1B8">
              <w:rPr>
                <w:rFonts w:ascii="Arial" w:hAnsi="Arial" w:cs="Arial"/>
              </w:rPr>
              <w:t>home</w:t>
            </w:r>
            <w:proofErr w:type="gramEnd"/>
            <w:r w:rsidR="00CE668A">
              <w:rPr>
                <w:rFonts w:ascii="Arial" w:hAnsi="Arial" w:cs="Arial"/>
              </w:rPr>
              <w:t xml:space="preserve"> but </w:t>
            </w:r>
            <w:r w:rsidR="00CE668A">
              <w:rPr>
                <w:rFonts w:cs="Arial"/>
              </w:rPr>
              <w:t>t</w:t>
            </w:r>
            <w:r w:rsidR="00CE668A" w:rsidRPr="00CE668A">
              <w:rPr>
                <w:rFonts w:ascii="Arial" w:hAnsi="Arial" w:cs="Arial"/>
              </w:rPr>
              <w:t>reatment is started or recommended by highly specialised services. Continuous use</w:t>
            </w:r>
            <w:r w:rsidR="00CE668A">
              <w:rPr>
                <w:rFonts w:ascii="Arial" w:hAnsi="Arial" w:cs="Arial"/>
              </w:rPr>
              <w:t xml:space="preserve"> would be</w:t>
            </w:r>
            <w:r w:rsidR="00CE668A" w:rsidRPr="00CE668A">
              <w:rPr>
                <w:rFonts w:ascii="Arial" w:hAnsi="Arial" w:cs="Arial"/>
              </w:rPr>
              <w:t xml:space="preserve"> overseen and prescribed by HSS</w:t>
            </w:r>
            <w:r w:rsidR="00CE668A">
              <w:rPr>
                <w:rFonts w:ascii="Arial" w:hAnsi="Arial" w:cs="Arial"/>
              </w:rPr>
              <w:t xml:space="preserve"> not local dermatologists or GPs.</w:t>
            </w:r>
          </w:p>
          <w:p w14:paraId="320A1AB1" w14:textId="77777777" w:rsidR="00FC3004" w:rsidRPr="00F17A6B" w:rsidRDefault="00FC3004" w:rsidP="00F90BB8">
            <w:pPr>
              <w:ind w:left="34"/>
              <w:rPr>
                <w:rFonts w:ascii="Arial" w:hAnsi="Arial" w:cs="Arial"/>
                <w:b/>
                <w:bCs/>
              </w:rPr>
            </w:pPr>
          </w:p>
          <w:p w14:paraId="1608E7B4" w14:textId="321BB75F" w:rsidR="00E06CCB" w:rsidRDefault="00504ADB" w:rsidP="011B4F72">
            <w:pPr>
              <w:ind w:left="34"/>
              <w:rPr>
                <w:rFonts w:ascii="Arial" w:hAnsi="Arial" w:cs="Arial"/>
                <w:b/>
                <w:bCs/>
              </w:rPr>
            </w:pPr>
            <w:r w:rsidRPr="1938CC70">
              <w:rPr>
                <w:rFonts w:ascii="Arial" w:hAnsi="Arial" w:cs="Arial"/>
                <w:b/>
                <w:bCs/>
              </w:rPr>
              <w:t xml:space="preserve">Conclusion: </w:t>
            </w:r>
            <w:r>
              <w:br/>
            </w:r>
            <w:r w:rsidRPr="1938CC70">
              <w:rPr>
                <w:rFonts w:ascii="Arial" w:hAnsi="Arial" w:cs="Arial"/>
                <w:b/>
                <w:bCs/>
              </w:rPr>
              <w:t>T</w:t>
            </w:r>
            <w:r w:rsidR="00141D74" w:rsidRPr="1938CC70">
              <w:rPr>
                <w:rFonts w:ascii="Arial" w:hAnsi="Arial" w:cs="Arial"/>
                <w:b/>
                <w:bCs/>
              </w:rPr>
              <w:t xml:space="preserve">reatment </w:t>
            </w:r>
            <w:r w:rsidR="00293EAC" w:rsidRPr="1938CC70">
              <w:rPr>
                <w:rFonts w:ascii="Arial" w:hAnsi="Arial" w:cs="Arial"/>
                <w:b/>
                <w:bCs/>
              </w:rPr>
              <w:t xml:space="preserve">is </w:t>
            </w:r>
            <w:r w:rsidR="00141D74" w:rsidRPr="1938CC70">
              <w:rPr>
                <w:rFonts w:ascii="Arial" w:hAnsi="Arial" w:cs="Arial"/>
                <w:b/>
                <w:bCs/>
              </w:rPr>
              <w:t xml:space="preserve">started </w:t>
            </w:r>
            <w:r w:rsidR="00121FB9" w:rsidRPr="1938CC70">
              <w:rPr>
                <w:rFonts w:ascii="Arial" w:hAnsi="Arial" w:cs="Arial"/>
                <w:b/>
                <w:bCs/>
              </w:rPr>
              <w:t>or recommended by</w:t>
            </w:r>
            <w:r w:rsidR="00141D74" w:rsidRPr="1938CC70">
              <w:rPr>
                <w:rFonts w:ascii="Arial" w:hAnsi="Arial" w:cs="Arial"/>
                <w:b/>
                <w:bCs/>
              </w:rPr>
              <w:t xml:space="preserve"> highly specialised </w:t>
            </w:r>
            <w:r w:rsidR="00121FB9" w:rsidRPr="1938CC70">
              <w:rPr>
                <w:rFonts w:ascii="Arial" w:hAnsi="Arial" w:cs="Arial"/>
                <w:b/>
                <w:bCs/>
              </w:rPr>
              <w:t xml:space="preserve">services </w:t>
            </w:r>
            <w:r w:rsidR="00CE668A">
              <w:rPr>
                <w:rFonts w:ascii="Arial" w:hAnsi="Arial" w:cs="Arial"/>
                <w:b/>
                <w:bCs/>
              </w:rPr>
              <w:t>and would not</w:t>
            </w:r>
            <w:r w:rsidR="10713A9C" w:rsidRPr="1938CC70">
              <w:rPr>
                <w:rFonts w:ascii="Arial" w:hAnsi="Arial" w:cs="Arial"/>
                <w:b/>
                <w:bCs/>
              </w:rPr>
              <w:t xml:space="preserve"> </w:t>
            </w:r>
            <w:r w:rsidR="67390B58" w:rsidRPr="1938CC70">
              <w:rPr>
                <w:rFonts w:ascii="Arial" w:hAnsi="Arial" w:cs="Arial"/>
                <w:b/>
                <w:bCs/>
              </w:rPr>
              <w:t>su</w:t>
            </w:r>
            <w:r w:rsidR="09206AAD" w:rsidRPr="1938CC70">
              <w:rPr>
                <w:rFonts w:ascii="Arial" w:hAnsi="Arial" w:cs="Arial"/>
                <w:b/>
                <w:bCs/>
              </w:rPr>
              <w:t xml:space="preserve">bsequently </w:t>
            </w:r>
            <w:r w:rsidR="30409600" w:rsidRPr="1938CC70">
              <w:rPr>
                <w:rFonts w:ascii="Arial" w:hAnsi="Arial" w:cs="Arial"/>
                <w:b/>
                <w:bCs/>
              </w:rPr>
              <w:t>i</w:t>
            </w:r>
            <w:r w:rsidR="4D5AB8FD" w:rsidRPr="1938CC70">
              <w:rPr>
                <w:rFonts w:ascii="Arial" w:hAnsi="Arial" w:cs="Arial"/>
                <w:b/>
                <w:bCs/>
              </w:rPr>
              <w:t xml:space="preserve">t </w:t>
            </w:r>
            <w:r w:rsidR="5655F746" w:rsidRPr="1938CC70">
              <w:rPr>
                <w:rFonts w:ascii="Arial" w:hAnsi="Arial" w:cs="Arial"/>
                <w:b/>
                <w:bCs/>
              </w:rPr>
              <w:t>may</w:t>
            </w:r>
            <w:r w:rsidRPr="1938CC70">
              <w:rPr>
                <w:rFonts w:ascii="Arial" w:hAnsi="Arial" w:cs="Arial"/>
                <w:b/>
                <w:bCs/>
              </w:rPr>
              <w:t xml:space="preserve"> be </w:t>
            </w:r>
            <w:r w:rsidR="00141D74" w:rsidRPr="1938CC70">
              <w:rPr>
                <w:rFonts w:ascii="Arial" w:hAnsi="Arial" w:cs="Arial"/>
                <w:b/>
                <w:bCs/>
              </w:rPr>
              <w:t>prescribed locally</w:t>
            </w:r>
            <w:r w:rsidR="002B4AE6" w:rsidRPr="1938CC70">
              <w:rPr>
                <w:rFonts w:ascii="Arial" w:hAnsi="Arial" w:cs="Arial"/>
                <w:b/>
                <w:bCs/>
              </w:rPr>
              <w:t xml:space="preserve"> via secondary </w:t>
            </w:r>
            <w:r w:rsidR="00CE668A">
              <w:rPr>
                <w:rFonts w:ascii="Arial" w:hAnsi="Arial" w:cs="Arial"/>
                <w:b/>
                <w:bCs/>
              </w:rPr>
              <w:t xml:space="preserve">or primary </w:t>
            </w:r>
            <w:r w:rsidR="002B4AE6" w:rsidRPr="1938CC70">
              <w:rPr>
                <w:rFonts w:ascii="Arial" w:hAnsi="Arial" w:cs="Arial"/>
                <w:b/>
                <w:bCs/>
              </w:rPr>
              <w:t>care settings</w:t>
            </w:r>
            <w:r w:rsidR="02564E52" w:rsidRPr="1938CC70">
              <w:rPr>
                <w:rFonts w:ascii="Arial" w:hAnsi="Arial" w:cs="Arial"/>
                <w:b/>
                <w:bCs/>
              </w:rPr>
              <w:t>.</w:t>
            </w:r>
            <w:r w:rsidR="58C47FB0" w:rsidRPr="1938CC70">
              <w:rPr>
                <w:rFonts w:ascii="Arial" w:hAnsi="Arial" w:cs="Arial"/>
                <w:b/>
                <w:bCs/>
              </w:rPr>
              <w:t xml:space="preserve"> </w:t>
            </w:r>
            <w:r w:rsidR="00141D74" w:rsidRPr="1938CC7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032412D" w14:textId="4ECFD41B" w:rsidR="00E06CCB" w:rsidRPr="00F17A6B" w:rsidRDefault="00E06CCB" w:rsidP="00CE668A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2FB3FD4" w14:textId="0595D112" w:rsidR="00F90BB8" w:rsidRPr="00814DA2" w:rsidRDefault="00CE668A" w:rsidP="00814DA2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Met</w:t>
            </w:r>
          </w:p>
        </w:tc>
      </w:tr>
      <w:tr w:rsidR="00F90BB8" w14:paraId="789AF90C" w14:textId="77777777" w:rsidTr="00001146">
        <w:trPr>
          <w:trHeight w:val="502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7C0A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technology is likely to have a very high acquisition cost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4269" w14:textId="72A2CAC6" w:rsidR="00F90BB8" w:rsidRPr="006B15C9" w:rsidRDefault="00001146" w:rsidP="00F90BB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unknown but likely to be high.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D0B6127" w14:textId="0EE0BDE5" w:rsidR="00F90BB8" w:rsidRPr="00814DA2" w:rsidRDefault="00001146" w:rsidP="00814D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814DA2" w:rsidRPr="0DB3BBAF">
              <w:rPr>
                <w:rFonts w:ascii="Arial" w:hAnsi="Arial" w:cs="Arial"/>
                <w:b/>
                <w:bCs/>
              </w:rPr>
              <w:t>et</w:t>
            </w:r>
          </w:p>
        </w:tc>
      </w:tr>
      <w:tr w:rsidR="00F90BB8" w14:paraId="5D51318F" w14:textId="77777777" w:rsidTr="0DB3BBAF">
        <w:trPr>
          <w:trHeight w:val="502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2B88" w14:textId="6469FDE4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 xml:space="preserve">The technology has the potential for </w:t>
            </w:r>
            <w:r w:rsidR="006B15C9" w:rsidRPr="006B15C9">
              <w:rPr>
                <w:rFonts w:ascii="Arial" w:hAnsi="Arial" w:cs="Arial"/>
                <w:b/>
                <w:bCs/>
              </w:rPr>
              <w:t>lifelong</w:t>
            </w:r>
            <w:r w:rsidRPr="006B15C9">
              <w:rPr>
                <w:rFonts w:ascii="Arial" w:hAnsi="Arial" w:cs="Arial"/>
                <w:b/>
                <w:bCs/>
              </w:rPr>
              <w:t xml:space="preserve"> use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73C9" w14:textId="70BD92B1" w:rsidR="00F90BB8" w:rsidRDefault="00504ADB" w:rsidP="00F90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F2551" w:rsidRPr="006B15C9">
              <w:rPr>
                <w:rFonts w:ascii="Arial" w:hAnsi="Arial" w:cs="Arial"/>
              </w:rPr>
              <w:t xml:space="preserve">ymptoms associated </w:t>
            </w:r>
            <w:r>
              <w:rPr>
                <w:rFonts w:ascii="Arial" w:hAnsi="Arial" w:cs="Arial"/>
              </w:rPr>
              <w:t xml:space="preserve">with JEB, DEB and KS continue from childhood </w:t>
            </w:r>
            <w:r w:rsidR="00FF2551" w:rsidRPr="006B15C9">
              <w:rPr>
                <w:rFonts w:ascii="Arial" w:hAnsi="Arial" w:cs="Arial"/>
              </w:rPr>
              <w:t>into adulthood</w:t>
            </w:r>
            <w:r>
              <w:rPr>
                <w:rFonts w:ascii="Arial" w:hAnsi="Arial" w:cs="Arial"/>
              </w:rPr>
              <w:t xml:space="preserve">. There </w:t>
            </w:r>
            <w:r w:rsidR="00265143" w:rsidRPr="006B15C9">
              <w:rPr>
                <w:rFonts w:ascii="Arial" w:hAnsi="Arial" w:cs="Arial"/>
              </w:rPr>
              <w:t>is no cure</w:t>
            </w:r>
            <w:r>
              <w:rPr>
                <w:rFonts w:ascii="Arial" w:hAnsi="Arial" w:cs="Arial"/>
              </w:rPr>
              <w:t xml:space="preserve"> for EB or treatment of the underlying condition</w:t>
            </w:r>
            <w:r w:rsidR="00265143" w:rsidRPr="006B15C9">
              <w:rPr>
                <w:rFonts w:ascii="Arial" w:hAnsi="Arial" w:cs="Arial"/>
              </w:rPr>
              <w:t>.</w:t>
            </w:r>
          </w:p>
          <w:p w14:paraId="33B17C6C" w14:textId="3AFF1945" w:rsidR="00504ADB" w:rsidRDefault="00504ADB" w:rsidP="00F90BB8">
            <w:pPr>
              <w:rPr>
                <w:rFonts w:ascii="Arial" w:hAnsi="Arial" w:cs="Arial"/>
              </w:rPr>
            </w:pPr>
          </w:p>
          <w:p w14:paraId="67794454" w14:textId="3A70DF38" w:rsidR="00504ADB" w:rsidRDefault="00504ADB" w:rsidP="00F90BB8">
            <w:pPr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</w:rPr>
              <w:t>Clinical experts noted that people</w:t>
            </w:r>
            <w:r w:rsidRPr="00504ADB">
              <w:rPr>
                <w:rFonts w:ascii="Arial" w:hAnsi="Arial" w:cs="Arial"/>
              </w:rPr>
              <w:t xml:space="preserve"> with more severe EB,</w:t>
            </w:r>
            <w:r>
              <w:rPr>
                <w:rFonts w:ascii="Arial" w:hAnsi="Arial" w:cs="Arial"/>
              </w:rPr>
              <w:t xml:space="preserve"> can</w:t>
            </w:r>
            <w:r w:rsidRPr="00504ADB">
              <w:rPr>
                <w:rFonts w:ascii="Arial" w:hAnsi="Arial" w:cs="Arial"/>
              </w:rPr>
              <w:t xml:space="preserve"> have multiple, </w:t>
            </w:r>
            <w:proofErr w:type="gramStart"/>
            <w:r w:rsidRPr="00504ADB">
              <w:rPr>
                <w:rFonts w:ascii="Arial" w:hAnsi="Arial" w:cs="Arial"/>
              </w:rPr>
              <w:t>recurrent</w:t>
            </w:r>
            <w:proofErr w:type="gramEnd"/>
            <w:r w:rsidRPr="00504ADB">
              <w:rPr>
                <w:rFonts w:ascii="Arial" w:hAnsi="Arial" w:cs="Arial"/>
              </w:rPr>
              <w:t xml:space="preserve"> and chronic wounds which are difficult to heal. </w:t>
            </w:r>
            <w:r>
              <w:rPr>
                <w:rFonts w:ascii="Arial" w:hAnsi="Arial" w:cs="Arial"/>
              </w:rPr>
              <w:t>These people may require</w:t>
            </w:r>
            <w:r w:rsidRPr="00504A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treatment </w:t>
            </w:r>
            <w:r w:rsidRPr="00504ADB">
              <w:rPr>
                <w:rFonts w:ascii="Arial" w:hAnsi="Arial" w:cs="Arial"/>
              </w:rPr>
              <w:t>multiple times</w:t>
            </w:r>
            <w:r>
              <w:rPr>
                <w:rFonts w:ascii="Arial" w:hAnsi="Arial" w:cs="Arial"/>
              </w:rPr>
              <w:t>,</w:t>
            </w:r>
            <w:r w:rsidRPr="00504ADB">
              <w:rPr>
                <w:rFonts w:ascii="Arial" w:hAnsi="Arial" w:cs="Arial"/>
              </w:rPr>
              <w:t xml:space="preserve"> perhaps</w:t>
            </w:r>
            <w:r>
              <w:rPr>
                <w:rFonts w:ascii="Arial" w:hAnsi="Arial" w:cs="Arial"/>
              </w:rPr>
              <w:t xml:space="preserve"> </w:t>
            </w:r>
            <w:r w:rsidRPr="00504ADB">
              <w:rPr>
                <w:rFonts w:ascii="Arial" w:hAnsi="Arial" w:cs="Arial"/>
              </w:rPr>
              <w:t>at different sites</w:t>
            </w:r>
            <w:r>
              <w:rPr>
                <w:rFonts w:ascii="Arial" w:hAnsi="Arial" w:cs="Arial"/>
              </w:rPr>
              <w:t>. The experts also noted that</w:t>
            </w:r>
            <w:r w:rsidRPr="006B15C9">
              <w:rPr>
                <w:rFonts w:ascii="Arial" w:hAnsi="Arial" w:cs="Arial"/>
                <w:kern w:val="28"/>
              </w:rPr>
              <w:t xml:space="preserve"> symptoms and manifestations of EB can come in peaks and troughs</w:t>
            </w:r>
            <w:r>
              <w:rPr>
                <w:rFonts w:ascii="Arial" w:hAnsi="Arial" w:cs="Arial"/>
                <w:kern w:val="28"/>
              </w:rPr>
              <w:t>.</w:t>
            </w:r>
          </w:p>
          <w:p w14:paraId="173031C0" w14:textId="2EF15463" w:rsidR="00416D5E" w:rsidRDefault="00416D5E" w:rsidP="00F90BB8">
            <w:pPr>
              <w:rPr>
                <w:rFonts w:ascii="Arial" w:hAnsi="Arial" w:cs="Arial"/>
                <w:kern w:val="28"/>
              </w:rPr>
            </w:pPr>
          </w:p>
          <w:p w14:paraId="7EC47C7B" w14:textId="13AAD945" w:rsidR="00141D74" w:rsidRDefault="00416D5E" w:rsidP="00F90BB8">
            <w:pPr>
              <w:rPr>
                <w:rFonts w:ascii="Arial" w:hAnsi="Arial" w:cs="Arial"/>
              </w:rPr>
            </w:pPr>
            <w:r w:rsidRPr="00AC0B8D">
              <w:rPr>
                <w:rFonts w:ascii="Arial" w:hAnsi="Arial" w:cs="Arial"/>
                <w:kern w:val="28"/>
              </w:rPr>
              <w:t xml:space="preserve">Oleogel-S10 is an acute treatment for EB </w:t>
            </w:r>
            <w:r w:rsidR="00A11EFE" w:rsidRPr="00AC40B1">
              <w:rPr>
                <w:rFonts w:ascii="Arial" w:hAnsi="Arial" w:cs="Arial"/>
                <w:kern w:val="28"/>
              </w:rPr>
              <w:t>wounds and</w:t>
            </w:r>
            <w:r w:rsidRPr="00AC40B1">
              <w:rPr>
                <w:rFonts w:ascii="Arial" w:hAnsi="Arial" w:cs="Arial"/>
                <w:kern w:val="28"/>
              </w:rPr>
              <w:t xml:space="preserve"> does not treat the underlying condition. Treatment does not </w:t>
            </w:r>
            <w:r w:rsidR="00B80171">
              <w:rPr>
                <w:rFonts w:ascii="Arial" w:hAnsi="Arial" w:cs="Arial"/>
                <w:kern w:val="28"/>
              </w:rPr>
              <w:t xml:space="preserve">stop </w:t>
            </w:r>
            <w:r w:rsidRPr="00AC40B1">
              <w:rPr>
                <w:rFonts w:ascii="Arial" w:hAnsi="Arial" w:cs="Arial"/>
                <w:kern w:val="28"/>
              </w:rPr>
              <w:t>further wounds occurring.</w:t>
            </w:r>
            <w:r>
              <w:rPr>
                <w:rFonts w:ascii="Arial" w:hAnsi="Arial" w:cs="Arial"/>
                <w:kern w:val="28"/>
              </w:rPr>
              <w:t xml:space="preserve"> </w:t>
            </w:r>
          </w:p>
          <w:p w14:paraId="597A9372" w14:textId="77777777" w:rsidR="00121FB9" w:rsidRDefault="00121FB9" w:rsidP="00F90BB8">
            <w:pPr>
              <w:rPr>
                <w:rFonts w:ascii="Arial" w:hAnsi="Arial" w:cs="Arial"/>
              </w:rPr>
            </w:pPr>
          </w:p>
          <w:p w14:paraId="49DFCB0C" w14:textId="77777777" w:rsidR="002C355F" w:rsidRDefault="00504ADB" w:rsidP="00504ADB">
            <w:pPr>
              <w:rPr>
                <w:rFonts w:ascii="Arial" w:hAnsi="Arial" w:cs="Arial"/>
                <w:b/>
                <w:bCs/>
              </w:rPr>
            </w:pPr>
            <w:r w:rsidRPr="00504ADB">
              <w:rPr>
                <w:rFonts w:ascii="Arial" w:hAnsi="Arial" w:cs="Arial"/>
                <w:b/>
                <w:bCs/>
              </w:rPr>
              <w:t xml:space="preserve">Conclusion: </w:t>
            </w:r>
            <w:r w:rsidRPr="00504ADB">
              <w:rPr>
                <w:rFonts w:ascii="Arial" w:hAnsi="Arial" w:cs="Arial"/>
                <w:b/>
                <w:bCs/>
              </w:rPr>
              <w:br/>
            </w:r>
            <w:bookmarkStart w:id="0" w:name="_Hlk57647056"/>
            <w:r w:rsidRPr="00504ADB">
              <w:rPr>
                <w:rFonts w:ascii="Arial" w:hAnsi="Arial" w:cs="Arial"/>
                <w:b/>
                <w:bCs/>
              </w:rPr>
              <w:t>P</w:t>
            </w:r>
            <w:r w:rsidRPr="00504ADB">
              <w:rPr>
                <w:rFonts w:ascii="Arial" w:hAnsi="Arial" w:cs="Arial"/>
                <w:b/>
                <w:bCs/>
                <w:kern w:val="28"/>
              </w:rPr>
              <w:t xml:space="preserve">eople may not require treatment continuously but the need for treatment </w:t>
            </w:r>
            <w:r w:rsidR="00816B3A">
              <w:rPr>
                <w:rFonts w:ascii="Arial" w:hAnsi="Arial" w:cs="Arial"/>
                <w:b/>
                <w:bCs/>
                <w:kern w:val="28"/>
              </w:rPr>
              <w:t>may</w:t>
            </w:r>
            <w:r w:rsidRPr="00504ADB">
              <w:rPr>
                <w:rFonts w:ascii="Arial" w:hAnsi="Arial" w:cs="Arial"/>
                <w:b/>
                <w:bCs/>
                <w:kern w:val="28"/>
              </w:rPr>
              <w:t xml:space="preserve"> </w:t>
            </w:r>
            <w:r w:rsidR="00121FB9">
              <w:rPr>
                <w:rFonts w:ascii="Arial" w:hAnsi="Arial" w:cs="Arial"/>
                <w:b/>
                <w:bCs/>
                <w:kern w:val="28"/>
              </w:rPr>
              <w:t>be</w:t>
            </w:r>
            <w:r w:rsidRPr="00504ADB">
              <w:rPr>
                <w:rFonts w:ascii="Arial" w:hAnsi="Arial" w:cs="Arial"/>
                <w:b/>
                <w:bCs/>
                <w:kern w:val="28"/>
              </w:rPr>
              <w:t xml:space="preserve"> life</w:t>
            </w:r>
            <w:r w:rsidR="00121FB9">
              <w:rPr>
                <w:rFonts w:ascii="Arial" w:hAnsi="Arial" w:cs="Arial"/>
                <w:b/>
                <w:bCs/>
                <w:kern w:val="28"/>
              </w:rPr>
              <w:t>long</w:t>
            </w:r>
            <w:r w:rsidRPr="00504ADB">
              <w:rPr>
                <w:rFonts w:ascii="Arial" w:hAnsi="Arial" w:cs="Arial"/>
                <w:b/>
                <w:bCs/>
                <w:kern w:val="28"/>
              </w:rPr>
              <w:t>.</w:t>
            </w:r>
            <w:r w:rsidR="00121FB9">
              <w:rPr>
                <w:rFonts w:ascii="Arial" w:hAnsi="Arial" w:cs="Arial"/>
                <w:b/>
                <w:bCs/>
                <w:kern w:val="28"/>
              </w:rPr>
              <w:t xml:space="preserve"> </w:t>
            </w:r>
            <w:r w:rsidRPr="00504ADB">
              <w:rPr>
                <w:rFonts w:ascii="Arial" w:hAnsi="Arial" w:cs="Arial"/>
                <w:b/>
                <w:bCs/>
                <w:kern w:val="28"/>
              </w:rPr>
              <w:t xml:space="preserve"> It is unclear what </w:t>
            </w:r>
            <w:r w:rsidR="00B22D72" w:rsidRPr="00504ADB">
              <w:rPr>
                <w:rFonts w:ascii="Arial" w:hAnsi="Arial" w:cs="Arial"/>
                <w:b/>
                <w:bCs/>
              </w:rPr>
              <w:t xml:space="preserve">proportion </w:t>
            </w:r>
            <w:r w:rsidRPr="00504ADB">
              <w:rPr>
                <w:rFonts w:ascii="Arial" w:hAnsi="Arial" w:cs="Arial"/>
                <w:b/>
                <w:bCs/>
              </w:rPr>
              <w:t xml:space="preserve">of people with EB </w:t>
            </w:r>
            <w:r w:rsidR="00B22D72" w:rsidRPr="00504ADB">
              <w:rPr>
                <w:rFonts w:ascii="Arial" w:hAnsi="Arial" w:cs="Arial"/>
                <w:b/>
                <w:bCs/>
              </w:rPr>
              <w:t>would use this treatment over a lifetime</w:t>
            </w:r>
            <w:r w:rsidR="00293EAC">
              <w:rPr>
                <w:rFonts w:ascii="Arial" w:hAnsi="Arial" w:cs="Arial"/>
                <w:b/>
                <w:bCs/>
              </w:rPr>
              <w:t>, but it has the potential for lifelong use</w:t>
            </w:r>
            <w:r w:rsidR="00416D5E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43B97A6C" w14:textId="3BDA89A8" w:rsidR="00121FB9" w:rsidRPr="00504ADB" w:rsidRDefault="00416D5E" w:rsidP="00504ADB">
            <w:pPr>
              <w:rPr>
                <w:rFonts w:ascii="Arial" w:hAnsi="Arial" w:cs="Arial"/>
                <w:b/>
                <w:bCs/>
              </w:rPr>
            </w:pPr>
            <w:r w:rsidRPr="00AC0B8D">
              <w:rPr>
                <w:rFonts w:ascii="Arial" w:hAnsi="Arial" w:cs="Arial"/>
                <w:b/>
                <w:bCs/>
              </w:rPr>
              <w:t xml:space="preserve">It is also noted that </w:t>
            </w:r>
            <w:r w:rsidR="000F2446" w:rsidRPr="00AC0B8D">
              <w:rPr>
                <w:rFonts w:ascii="Arial" w:hAnsi="Arial" w:cs="Arial"/>
                <w:b/>
                <w:bCs/>
              </w:rPr>
              <w:t xml:space="preserve">Oleogel-S10 </w:t>
            </w:r>
            <w:r w:rsidRPr="00AC40B1">
              <w:rPr>
                <w:rFonts w:ascii="Arial" w:hAnsi="Arial" w:cs="Arial"/>
                <w:b/>
                <w:bCs/>
              </w:rPr>
              <w:t>does not treat the underlying condition</w:t>
            </w:r>
            <w:r w:rsidR="000F2446" w:rsidRPr="00AC40B1">
              <w:rPr>
                <w:rFonts w:ascii="Arial" w:hAnsi="Arial" w:cs="Arial"/>
                <w:b/>
                <w:bCs/>
              </w:rPr>
              <w:t xml:space="preserve"> of EB</w:t>
            </w:r>
            <w:r w:rsidRPr="00AC40B1">
              <w:rPr>
                <w:rFonts w:ascii="Arial" w:hAnsi="Arial" w:cs="Arial"/>
                <w:b/>
                <w:bCs/>
              </w:rPr>
              <w:t>.</w:t>
            </w:r>
          </w:p>
          <w:bookmarkEnd w:id="0"/>
          <w:p w14:paraId="00FFE916" w14:textId="39A18C05" w:rsidR="00AC3DBE" w:rsidRPr="006B15C9" w:rsidRDefault="00AC3DBE" w:rsidP="00F90BB8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49D9B06" w14:textId="7DC7C06D" w:rsidR="00F90BB8" w:rsidRPr="00814DA2" w:rsidRDefault="00121FB9" w:rsidP="00814D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Met</w:t>
            </w:r>
            <w:r w:rsidR="00141D7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90BB8" w14:paraId="3338A91D" w14:textId="77777777" w:rsidTr="0DB3BBAF">
        <w:trPr>
          <w:trHeight w:val="502"/>
        </w:trPr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3469" w14:textId="77777777" w:rsidR="00F90BB8" w:rsidRPr="006B15C9" w:rsidRDefault="00F90BB8" w:rsidP="00F90BB8">
            <w:pPr>
              <w:rPr>
                <w:rFonts w:ascii="Arial" w:hAnsi="Arial" w:cs="Arial"/>
                <w:b/>
                <w:bCs/>
              </w:rPr>
            </w:pPr>
            <w:r w:rsidRPr="006B15C9">
              <w:rPr>
                <w:rFonts w:ascii="Arial" w:hAnsi="Arial" w:cs="Arial"/>
                <w:b/>
                <w:bCs/>
              </w:rPr>
              <w:t>The need for national commissioning of the technology is significant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4824" w14:textId="533FC2CC" w:rsidR="00F17A6B" w:rsidRDefault="00F17A6B" w:rsidP="00F90BB8"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416D5E">
              <w:rPr>
                <w:rFonts w:ascii="Arial" w:hAnsi="Arial" w:cs="Arial"/>
              </w:rPr>
              <w:t xml:space="preserve">. </w:t>
            </w:r>
            <w:r w:rsidR="00416D5E" w:rsidRPr="00AC0B8D">
              <w:rPr>
                <w:rFonts w:ascii="Arial" w:hAnsi="Arial" w:cs="Arial"/>
              </w:rPr>
              <w:t>There is an unmet need for treatments for EB</w:t>
            </w:r>
            <w:r w:rsidRPr="00AC40B1">
              <w:rPr>
                <w:rFonts w:ascii="Arial" w:hAnsi="Arial" w:cs="Arial"/>
              </w:rPr>
              <w:t>.</w:t>
            </w:r>
            <w:r w:rsidRPr="00F17A6B">
              <w:rPr>
                <w:rFonts w:ascii="Arial" w:hAnsi="Arial" w:cs="Arial"/>
                <w:b/>
                <w:bCs/>
              </w:rPr>
              <w:t xml:space="preserve"> </w:t>
            </w:r>
            <w:r w:rsidRPr="00F17A6B">
              <w:rPr>
                <w:rFonts w:ascii="Arial" w:hAnsi="Arial" w:cs="Arial"/>
              </w:rPr>
              <w:t>EB is commissioned as a highly specialised service</w:t>
            </w:r>
            <w:r w:rsidR="00B22CE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  <w:p w14:paraId="56D2647A" w14:textId="43F70AAE" w:rsidR="00F90BB8" w:rsidRPr="00F17A6B" w:rsidRDefault="00F17A6B" w:rsidP="00F17A6B">
            <w:pPr>
              <w:ind w:left="34"/>
              <w:rPr>
                <w:rFonts w:ascii="Arial" w:hAnsi="Arial" w:cs="Arial"/>
                <w:b/>
                <w:bCs/>
              </w:rPr>
            </w:pPr>
            <w:r w:rsidRPr="330EF9B8">
              <w:rPr>
                <w:rFonts w:ascii="Arial" w:hAnsi="Arial" w:cs="Arial"/>
                <w:b/>
                <w:bCs/>
              </w:rPr>
              <w:t>Conclusion:</w:t>
            </w:r>
            <w:r>
              <w:br/>
            </w:r>
            <w:r w:rsidR="006B15C9" w:rsidRPr="330EF9B8">
              <w:rPr>
                <w:rFonts w:ascii="Arial" w:hAnsi="Arial" w:cs="Arial"/>
                <w:b/>
                <w:bCs/>
              </w:rPr>
              <w:t>L</w:t>
            </w:r>
            <w:r w:rsidR="00FE05AC" w:rsidRPr="330EF9B8">
              <w:rPr>
                <w:rFonts w:ascii="Arial" w:hAnsi="Arial" w:cs="Arial"/>
                <w:b/>
                <w:bCs/>
              </w:rPr>
              <w:t>imited treatment options and no licensed treatments currently</w:t>
            </w:r>
            <w:r w:rsidR="006B15C9" w:rsidRPr="330EF9B8">
              <w:rPr>
                <w:rFonts w:ascii="Arial" w:hAnsi="Arial" w:cs="Arial"/>
                <w:b/>
                <w:bCs/>
              </w:rPr>
              <w:t xml:space="preserve"> exist</w:t>
            </w:r>
            <w:r w:rsidR="00FE05AC" w:rsidRPr="330EF9B8">
              <w:rPr>
                <w:rFonts w:ascii="Arial" w:hAnsi="Arial" w:cs="Arial"/>
                <w:b/>
                <w:bCs/>
              </w:rPr>
              <w:t xml:space="preserve"> for EB </w:t>
            </w:r>
            <w:r w:rsidR="002932B7" w:rsidRPr="330EF9B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0658F55" w14:textId="0106F7F8" w:rsidR="00F90BB8" w:rsidRPr="00814DA2" w:rsidRDefault="00814DA2" w:rsidP="00814DA2">
            <w:pPr>
              <w:rPr>
                <w:rFonts w:ascii="Arial" w:hAnsi="Arial" w:cs="Arial"/>
                <w:b/>
                <w:bCs/>
              </w:rPr>
            </w:pPr>
            <w:r w:rsidRPr="00814DA2">
              <w:rPr>
                <w:rFonts w:ascii="Arial" w:hAnsi="Arial" w:cs="Arial"/>
                <w:b/>
                <w:bCs/>
              </w:rPr>
              <w:t>Met</w:t>
            </w:r>
          </w:p>
        </w:tc>
      </w:tr>
    </w:tbl>
    <w:p w14:paraId="206CD688" w14:textId="77777777" w:rsidR="000567FF" w:rsidRPr="000567FF" w:rsidRDefault="000567FF" w:rsidP="000567FF">
      <w:pPr>
        <w:pStyle w:val="Paragraphnonumbers"/>
      </w:pPr>
    </w:p>
    <w:sectPr w:rsidR="000567FF" w:rsidRPr="000567FF" w:rsidSect="007702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1CE0" w14:textId="77777777" w:rsidR="00751166" w:rsidRDefault="00751166" w:rsidP="00446BEE">
      <w:r>
        <w:separator/>
      </w:r>
    </w:p>
  </w:endnote>
  <w:endnote w:type="continuationSeparator" w:id="0">
    <w:p w14:paraId="35862D2B" w14:textId="77777777" w:rsidR="00751166" w:rsidRDefault="0075116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A32C9A" w14:paraId="043891A6" w14:textId="77777777" w:rsidTr="00F81750">
      <w:tc>
        <w:tcPr>
          <w:tcW w:w="3005" w:type="dxa"/>
        </w:tcPr>
        <w:p w14:paraId="4DEF98B1" w14:textId="5F94C32C" w:rsidR="68A32C9A" w:rsidRDefault="68A32C9A" w:rsidP="00AC40B1">
          <w:pPr>
            <w:pStyle w:val="Header"/>
            <w:ind w:left="-115"/>
          </w:pPr>
        </w:p>
      </w:tc>
      <w:tc>
        <w:tcPr>
          <w:tcW w:w="3005" w:type="dxa"/>
        </w:tcPr>
        <w:p w14:paraId="764FC3ED" w14:textId="508A45FD" w:rsidR="68A32C9A" w:rsidRDefault="68A32C9A" w:rsidP="00AC40B1">
          <w:pPr>
            <w:pStyle w:val="Header"/>
            <w:jc w:val="center"/>
          </w:pPr>
        </w:p>
      </w:tc>
      <w:tc>
        <w:tcPr>
          <w:tcW w:w="3005" w:type="dxa"/>
        </w:tcPr>
        <w:p w14:paraId="61C9CCBB" w14:textId="2621AF57" w:rsidR="68A32C9A" w:rsidRDefault="68A32C9A" w:rsidP="00AC40B1">
          <w:pPr>
            <w:pStyle w:val="Header"/>
            <w:ind w:right="-115"/>
            <w:jc w:val="right"/>
          </w:pPr>
        </w:p>
      </w:tc>
    </w:tr>
  </w:tbl>
  <w:p w14:paraId="15B9C826" w14:textId="571464C7" w:rsidR="68A32C9A" w:rsidRDefault="68A32C9A" w:rsidP="00AC4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7BEF" w14:textId="77777777" w:rsidR="00751166" w:rsidRDefault="00751166" w:rsidP="00446BEE">
      <w:r>
        <w:separator/>
      </w:r>
    </w:p>
  </w:footnote>
  <w:footnote w:type="continuationSeparator" w:id="0">
    <w:p w14:paraId="61D0BE6E" w14:textId="77777777" w:rsidR="00751166" w:rsidRDefault="0075116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CCD" w14:textId="3077D6F6" w:rsidR="00751166" w:rsidRDefault="00634D46">
    <w:pPr>
      <w:pStyle w:val="Header"/>
    </w:pPr>
    <w:r w:rsidRPr="00FD24ED">
      <w:rPr>
        <w:noProof/>
        <w:lang w:eastAsia="en-GB"/>
      </w:rPr>
      <w:drawing>
        <wp:inline distT="0" distB="0" distL="0" distR="0" wp14:anchorId="4936A7F5" wp14:editId="3DE2D0B4">
          <wp:extent cx="2486025" cy="2476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4D46">
      <w:t xml:space="preserve"> </w:t>
    </w:r>
    <w:r>
      <w:t xml:space="preserve">                                              </w:t>
    </w:r>
    <w:r>
      <w:t>HST Checklist ID1505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CF50E61E"/>
    <w:lvl w:ilvl="0" w:tplc="86A6EE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B8A880E">
      <w:numFmt w:val="decimal"/>
      <w:lvlText w:val=""/>
      <w:lvlJc w:val="left"/>
    </w:lvl>
    <w:lvl w:ilvl="2" w:tplc="E506DD4C">
      <w:numFmt w:val="decimal"/>
      <w:lvlText w:val=""/>
      <w:lvlJc w:val="left"/>
    </w:lvl>
    <w:lvl w:ilvl="3" w:tplc="49049300">
      <w:numFmt w:val="decimal"/>
      <w:lvlText w:val=""/>
      <w:lvlJc w:val="left"/>
    </w:lvl>
    <w:lvl w:ilvl="4" w:tplc="00CE60D6">
      <w:numFmt w:val="decimal"/>
      <w:lvlText w:val=""/>
      <w:lvlJc w:val="left"/>
    </w:lvl>
    <w:lvl w:ilvl="5" w:tplc="6B3690AA">
      <w:numFmt w:val="decimal"/>
      <w:lvlText w:val=""/>
      <w:lvlJc w:val="left"/>
    </w:lvl>
    <w:lvl w:ilvl="6" w:tplc="4F7E2420">
      <w:numFmt w:val="decimal"/>
      <w:lvlText w:val=""/>
      <w:lvlJc w:val="left"/>
    </w:lvl>
    <w:lvl w:ilvl="7" w:tplc="21FE5BA6">
      <w:numFmt w:val="decimal"/>
      <w:lvlText w:val=""/>
      <w:lvlJc w:val="left"/>
    </w:lvl>
    <w:lvl w:ilvl="8" w:tplc="55ACF92A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4786549A"/>
    <w:lvl w:ilvl="0" w:tplc="601C9C9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5EB484AC">
      <w:numFmt w:val="decimal"/>
      <w:lvlText w:val=""/>
      <w:lvlJc w:val="left"/>
    </w:lvl>
    <w:lvl w:ilvl="2" w:tplc="6322A55E">
      <w:numFmt w:val="decimal"/>
      <w:lvlText w:val=""/>
      <w:lvlJc w:val="left"/>
    </w:lvl>
    <w:lvl w:ilvl="3" w:tplc="8CCAA66C">
      <w:numFmt w:val="decimal"/>
      <w:lvlText w:val=""/>
      <w:lvlJc w:val="left"/>
    </w:lvl>
    <w:lvl w:ilvl="4" w:tplc="1B307570">
      <w:numFmt w:val="decimal"/>
      <w:lvlText w:val=""/>
      <w:lvlJc w:val="left"/>
    </w:lvl>
    <w:lvl w:ilvl="5" w:tplc="D952BD40">
      <w:numFmt w:val="decimal"/>
      <w:lvlText w:val=""/>
      <w:lvlJc w:val="left"/>
    </w:lvl>
    <w:lvl w:ilvl="6" w:tplc="FB5C9060">
      <w:numFmt w:val="decimal"/>
      <w:lvlText w:val=""/>
      <w:lvlJc w:val="left"/>
    </w:lvl>
    <w:lvl w:ilvl="7" w:tplc="4FE0BA52">
      <w:numFmt w:val="decimal"/>
      <w:lvlText w:val=""/>
      <w:lvlJc w:val="left"/>
    </w:lvl>
    <w:lvl w:ilvl="8" w:tplc="8C0AEA70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1C6E25A4"/>
    <w:lvl w:ilvl="0" w:tplc="97F667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2CA265A">
      <w:numFmt w:val="decimal"/>
      <w:lvlText w:val=""/>
      <w:lvlJc w:val="left"/>
    </w:lvl>
    <w:lvl w:ilvl="2" w:tplc="C8808328">
      <w:numFmt w:val="decimal"/>
      <w:lvlText w:val=""/>
      <w:lvlJc w:val="left"/>
    </w:lvl>
    <w:lvl w:ilvl="3" w:tplc="35F20724">
      <w:numFmt w:val="decimal"/>
      <w:lvlText w:val=""/>
      <w:lvlJc w:val="left"/>
    </w:lvl>
    <w:lvl w:ilvl="4" w:tplc="6D9A4F0A">
      <w:numFmt w:val="decimal"/>
      <w:lvlText w:val=""/>
      <w:lvlJc w:val="left"/>
    </w:lvl>
    <w:lvl w:ilvl="5" w:tplc="C9567EBA">
      <w:numFmt w:val="decimal"/>
      <w:lvlText w:val=""/>
      <w:lvlJc w:val="left"/>
    </w:lvl>
    <w:lvl w:ilvl="6" w:tplc="461E521C">
      <w:numFmt w:val="decimal"/>
      <w:lvlText w:val=""/>
      <w:lvlJc w:val="left"/>
    </w:lvl>
    <w:lvl w:ilvl="7" w:tplc="5802B54C">
      <w:numFmt w:val="decimal"/>
      <w:lvlText w:val=""/>
      <w:lvlJc w:val="left"/>
    </w:lvl>
    <w:lvl w:ilvl="8" w:tplc="B0424A7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8D69BEC"/>
    <w:lvl w:ilvl="0" w:tplc="FE5EECB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F3E08946">
      <w:numFmt w:val="decimal"/>
      <w:lvlText w:val=""/>
      <w:lvlJc w:val="left"/>
    </w:lvl>
    <w:lvl w:ilvl="2" w:tplc="CD828AC4">
      <w:numFmt w:val="decimal"/>
      <w:lvlText w:val=""/>
      <w:lvlJc w:val="left"/>
    </w:lvl>
    <w:lvl w:ilvl="3" w:tplc="07443EBE">
      <w:numFmt w:val="decimal"/>
      <w:lvlText w:val=""/>
      <w:lvlJc w:val="left"/>
    </w:lvl>
    <w:lvl w:ilvl="4" w:tplc="4DAC48BA">
      <w:numFmt w:val="decimal"/>
      <w:lvlText w:val=""/>
      <w:lvlJc w:val="left"/>
    </w:lvl>
    <w:lvl w:ilvl="5" w:tplc="5D867212">
      <w:numFmt w:val="decimal"/>
      <w:lvlText w:val=""/>
      <w:lvlJc w:val="left"/>
    </w:lvl>
    <w:lvl w:ilvl="6" w:tplc="A7B416DA">
      <w:numFmt w:val="decimal"/>
      <w:lvlText w:val=""/>
      <w:lvlJc w:val="left"/>
    </w:lvl>
    <w:lvl w:ilvl="7" w:tplc="21E25A16">
      <w:numFmt w:val="decimal"/>
      <w:lvlText w:val=""/>
      <w:lvlJc w:val="left"/>
    </w:lvl>
    <w:lvl w:ilvl="8" w:tplc="98FC8A7A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FFD6444C"/>
    <w:lvl w:ilvl="0" w:tplc="F15AB7C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4662042">
      <w:numFmt w:val="decimal"/>
      <w:lvlText w:val=""/>
      <w:lvlJc w:val="left"/>
    </w:lvl>
    <w:lvl w:ilvl="2" w:tplc="FB105270">
      <w:numFmt w:val="decimal"/>
      <w:lvlText w:val=""/>
      <w:lvlJc w:val="left"/>
    </w:lvl>
    <w:lvl w:ilvl="3" w:tplc="EE001098">
      <w:numFmt w:val="decimal"/>
      <w:lvlText w:val=""/>
      <w:lvlJc w:val="left"/>
    </w:lvl>
    <w:lvl w:ilvl="4" w:tplc="152A53CC">
      <w:numFmt w:val="decimal"/>
      <w:lvlText w:val=""/>
      <w:lvlJc w:val="left"/>
    </w:lvl>
    <w:lvl w:ilvl="5" w:tplc="4EEE8238">
      <w:numFmt w:val="decimal"/>
      <w:lvlText w:val=""/>
      <w:lvlJc w:val="left"/>
    </w:lvl>
    <w:lvl w:ilvl="6" w:tplc="0F3CB09E">
      <w:numFmt w:val="decimal"/>
      <w:lvlText w:val=""/>
      <w:lvlJc w:val="left"/>
    </w:lvl>
    <w:lvl w:ilvl="7" w:tplc="0F4C203C">
      <w:numFmt w:val="decimal"/>
      <w:lvlText w:val=""/>
      <w:lvlJc w:val="left"/>
    </w:lvl>
    <w:lvl w:ilvl="8" w:tplc="06309CC4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F8A0C94E"/>
    <w:lvl w:ilvl="0" w:tplc="CB32F90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83C224B6">
      <w:numFmt w:val="decimal"/>
      <w:lvlText w:val=""/>
      <w:lvlJc w:val="left"/>
    </w:lvl>
    <w:lvl w:ilvl="2" w:tplc="E6F047A2">
      <w:numFmt w:val="decimal"/>
      <w:lvlText w:val=""/>
      <w:lvlJc w:val="left"/>
    </w:lvl>
    <w:lvl w:ilvl="3" w:tplc="972C0CE8">
      <w:numFmt w:val="decimal"/>
      <w:lvlText w:val=""/>
      <w:lvlJc w:val="left"/>
    </w:lvl>
    <w:lvl w:ilvl="4" w:tplc="7EA4DF76">
      <w:numFmt w:val="decimal"/>
      <w:lvlText w:val=""/>
      <w:lvlJc w:val="left"/>
    </w:lvl>
    <w:lvl w:ilvl="5" w:tplc="48F423D4">
      <w:numFmt w:val="decimal"/>
      <w:lvlText w:val=""/>
      <w:lvlJc w:val="left"/>
    </w:lvl>
    <w:lvl w:ilvl="6" w:tplc="BEA07E96">
      <w:numFmt w:val="decimal"/>
      <w:lvlText w:val=""/>
      <w:lvlJc w:val="left"/>
    </w:lvl>
    <w:lvl w:ilvl="7" w:tplc="C67E5DDA">
      <w:numFmt w:val="decimal"/>
      <w:lvlText w:val=""/>
      <w:lvlJc w:val="left"/>
    </w:lvl>
    <w:lvl w:ilvl="8" w:tplc="F75C3CA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4A225072"/>
    <w:lvl w:ilvl="0" w:tplc="CD2CA77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247AE140">
      <w:numFmt w:val="decimal"/>
      <w:lvlText w:val=""/>
      <w:lvlJc w:val="left"/>
    </w:lvl>
    <w:lvl w:ilvl="2" w:tplc="15222E9A">
      <w:numFmt w:val="decimal"/>
      <w:lvlText w:val=""/>
      <w:lvlJc w:val="left"/>
    </w:lvl>
    <w:lvl w:ilvl="3" w:tplc="1BCCE556">
      <w:numFmt w:val="decimal"/>
      <w:lvlText w:val=""/>
      <w:lvlJc w:val="left"/>
    </w:lvl>
    <w:lvl w:ilvl="4" w:tplc="96ACC2E4">
      <w:numFmt w:val="decimal"/>
      <w:lvlText w:val=""/>
      <w:lvlJc w:val="left"/>
    </w:lvl>
    <w:lvl w:ilvl="5" w:tplc="588ED1C0">
      <w:numFmt w:val="decimal"/>
      <w:lvlText w:val=""/>
      <w:lvlJc w:val="left"/>
    </w:lvl>
    <w:lvl w:ilvl="6" w:tplc="685C09EE">
      <w:numFmt w:val="decimal"/>
      <w:lvlText w:val=""/>
      <w:lvlJc w:val="left"/>
    </w:lvl>
    <w:lvl w:ilvl="7" w:tplc="74264FC8">
      <w:numFmt w:val="decimal"/>
      <w:lvlText w:val=""/>
      <w:lvlJc w:val="left"/>
    </w:lvl>
    <w:lvl w:ilvl="8" w:tplc="28A6B70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5CDCE19C"/>
    <w:lvl w:ilvl="0" w:tplc="E20C6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BAFDA6">
      <w:numFmt w:val="decimal"/>
      <w:lvlText w:val=""/>
      <w:lvlJc w:val="left"/>
    </w:lvl>
    <w:lvl w:ilvl="2" w:tplc="565EBE4C">
      <w:numFmt w:val="decimal"/>
      <w:lvlText w:val=""/>
      <w:lvlJc w:val="left"/>
    </w:lvl>
    <w:lvl w:ilvl="3" w:tplc="1D665164">
      <w:numFmt w:val="decimal"/>
      <w:lvlText w:val=""/>
      <w:lvlJc w:val="left"/>
    </w:lvl>
    <w:lvl w:ilvl="4" w:tplc="C7E8C97E">
      <w:numFmt w:val="decimal"/>
      <w:lvlText w:val=""/>
      <w:lvlJc w:val="left"/>
    </w:lvl>
    <w:lvl w:ilvl="5" w:tplc="8710EB70">
      <w:numFmt w:val="decimal"/>
      <w:lvlText w:val=""/>
      <w:lvlJc w:val="left"/>
    </w:lvl>
    <w:lvl w:ilvl="6" w:tplc="BB3A1400">
      <w:numFmt w:val="decimal"/>
      <w:lvlText w:val=""/>
      <w:lvlJc w:val="left"/>
    </w:lvl>
    <w:lvl w:ilvl="7" w:tplc="C27C8E9C">
      <w:numFmt w:val="decimal"/>
      <w:lvlText w:val=""/>
      <w:lvlJc w:val="left"/>
    </w:lvl>
    <w:lvl w:ilvl="8" w:tplc="657000AA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612ABF8"/>
    <w:lvl w:ilvl="0" w:tplc="CFDE1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1E47BE">
      <w:numFmt w:val="decimal"/>
      <w:lvlText w:val=""/>
      <w:lvlJc w:val="left"/>
    </w:lvl>
    <w:lvl w:ilvl="2" w:tplc="BF745EE2">
      <w:numFmt w:val="decimal"/>
      <w:lvlText w:val=""/>
      <w:lvlJc w:val="left"/>
    </w:lvl>
    <w:lvl w:ilvl="3" w:tplc="6B38A2F0">
      <w:numFmt w:val="decimal"/>
      <w:lvlText w:val=""/>
      <w:lvlJc w:val="left"/>
    </w:lvl>
    <w:lvl w:ilvl="4" w:tplc="69DA4090">
      <w:numFmt w:val="decimal"/>
      <w:lvlText w:val=""/>
      <w:lvlJc w:val="left"/>
    </w:lvl>
    <w:lvl w:ilvl="5" w:tplc="28BC03EC">
      <w:numFmt w:val="decimal"/>
      <w:lvlText w:val=""/>
      <w:lvlJc w:val="left"/>
    </w:lvl>
    <w:lvl w:ilvl="6" w:tplc="CD6A0EE8">
      <w:numFmt w:val="decimal"/>
      <w:lvlText w:val=""/>
      <w:lvlJc w:val="left"/>
    </w:lvl>
    <w:lvl w:ilvl="7" w:tplc="268C50C0">
      <w:numFmt w:val="decimal"/>
      <w:lvlText w:val=""/>
      <w:lvlJc w:val="left"/>
    </w:lvl>
    <w:lvl w:ilvl="8" w:tplc="6BAE8922">
      <w:numFmt w:val="decimal"/>
      <w:lvlText w:val=""/>
      <w:lvlJc w:val="left"/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56C4"/>
    <w:multiLevelType w:val="hybridMultilevel"/>
    <w:tmpl w:val="C32C0502"/>
    <w:lvl w:ilvl="0" w:tplc="9CDE6F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6877">
    <w:abstractNumId w:val="13"/>
  </w:num>
  <w:num w:numId="2" w16cid:durableId="1710181035">
    <w:abstractNumId w:val="14"/>
  </w:num>
  <w:num w:numId="3" w16cid:durableId="1325402038">
    <w:abstractNumId w:val="14"/>
    <w:lvlOverride w:ilvl="0">
      <w:startOverride w:val="1"/>
    </w:lvlOverride>
  </w:num>
  <w:num w:numId="4" w16cid:durableId="1277445425">
    <w:abstractNumId w:val="14"/>
    <w:lvlOverride w:ilvl="0">
      <w:startOverride w:val="1"/>
    </w:lvlOverride>
  </w:num>
  <w:num w:numId="5" w16cid:durableId="526992225">
    <w:abstractNumId w:val="14"/>
    <w:lvlOverride w:ilvl="0">
      <w:startOverride w:val="1"/>
    </w:lvlOverride>
  </w:num>
  <w:num w:numId="6" w16cid:durableId="1942175772">
    <w:abstractNumId w:val="14"/>
    <w:lvlOverride w:ilvl="0">
      <w:startOverride w:val="1"/>
    </w:lvlOverride>
  </w:num>
  <w:num w:numId="7" w16cid:durableId="563874610">
    <w:abstractNumId w:val="14"/>
    <w:lvlOverride w:ilvl="0">
      <w:startOverride w:val="1"/>
    </w:lvlOverride>
  </w:num>
  <w:num w:numId="8" w16cid:durableId="502816816">
    <w:abstractNumId w:val="9"/>
  </w:num>
  <w:num w:numId="9" w16cid:durableId="1404646528">
    <w:abstractNumId w:val="7"/>
  </w:num>
  <w:num w:numId="10" w16cid:durableId="1500461691">
    <w:abstractNumId w:val="6"/>
  </w:num>
  <w:num w:numId="11" w16cid:durableId="1959677138">
    <w:abstractNumId w:val="5"/>
  </w:num>
  <w:num w:numId="12" w16cid:durableId="126625718">
    <w:abstractNumId w:val="4"/>
  </w:num>
  <w:num w:numId="13" w16cid:durableId="1488398416">
    <w:abstractNumId w:val="8"/>
  </w:num>
  <w:num w:numId="14" w16cid:durableId="728847723">
    <w:abstractNumId w:val="3"/>
  </w:num>
  <w:num w:numId="15" w16cid:durableId="345787650">
    <w:abstractNumId w:val="2"/>
  </w:num>
  <w:num w:numId="16" w16cid:durableId="1070468331">
    <w:abstractNumId w:val="1"/>
  </w:num>
  <w:num w:numId="17" w16cid:durableId="474758615">
    <w:abstractNumId w:val="0"/>
  </w:num>
  <w:num w:numId="18" w16cid:durableId="1251084799">
    <w:abstractNumId w:val="11"/>
  </w:num>
  <w:num w:numId="19" w16cid:durableId="154147161">
    <w:abstractNumId w:val="11"/>
    <w:lvlOverride w:ilvl="0">
      <w:startOverride w:val="1"/>
    </w:lvlOverride>
  </w:num>
  <w:num w:numId="20" w16cid:durableId="847527943">
    <w:abstractNumId w:val="10"/>
  </w:num>
  <w:num w:numId="21" w16cid:durableId="442458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FF"/>
    <w:rsid w:val="00001146"/>
    <w:rsid w:val="000029FF"/>
    <w:rsid w:val="000053F8"/>
    <w:rsid w:val="00024D0A"/>
    <w:rsid w:val="000472DC"/>
    <w:rsid w:val="000567FF"/>
    <w:rsid w:val="00057A73"/>
    <w:rsid w:val="00070065"/>
    <w:rsid w:val="00091CC0"/>
    <w:rsid w:val="000A4FEE"/>
    <w:rsid w:val="000B5939"/>
    <w:rsid w:val="000F2446"/>
    <w:rsid w:val="000F2CB2"/>
    <w:rsid w:val="001036BE"/>
    <w:rsid w:val="00111CCE"/>
    <w:rsid w:val="001134E7"/>
    <w:rsid w:val="00121FB9"/>
    <w:rsid w:val="00127D24"/>
    <w:rsid w:val="00134B33"/>
    <w:rsid w:val="00141D74"/>
    <w:rsid w:val="00153DBF"/>
    <w:rsid w:val="0017149E"/>
    <w:rsid w:val="0017169E"/>
    <w:rsid w:val="00181A4A"/>
    <w:rsid w:val="001B0EE9"/>
    <w:rsid w:val="001B65B3"/>
    <w:rsid w:val="001C00ED"/>
    <w:rsid w:val="00201C5E"/>
    <w:rsid w:val="002029A6"/>
    <w:rsid w:val="002408EA"/>
    <w:rsid w:val="00265143"/>
    <w:rsid w:val="00265515"/>
    <w:rsid w:val="002802FE"/>
    <w:rsid w:val="002819D7"/>
    <w:rsid w:val="00283492"/>
    <w:rsid w:val="002932B7"/>
    <w:rsid w:val="00293EAC"/>
    <w:rsid w:val="002B4AE6"/>
    <w:rsid w:val="002C1A7E"/>
    <w:rsid w:val="002C355F"/>
    <w:rsid w:val="002C5E6A"/>
    <w:rsid w:val="002D180D"/>
    <w:rsid w:val="002D3376"/>
    <w:rsid w:val="00311ED0"/>
    <w:rsid w:val="003133C1"/>
    <w:rsid w:val="00320BAE"/>
    <w:rsid w:val="00341BFB"/>
    <w:rsid w:val="00351E19"/>
    <w:rsid w:val="003648C5"/>
    <w:rsid w:val="00364D9A"/>
    <w:rsid w:val="003722FA"/>
    <w:rsid w:val="00382C79"/>
    <w:rsid w:val="00392571"/>
    <w:rsid w:val="003C673A"/>
    <w:rsid w:val="003C6AD6"/>
    <w:rsid w:val="003C7AAF"/>
    <w:rsid w:val="004075B6"/>
    <w:rsid w:val="00416D5E"/>
    <w:rsid w:val="00420952"/>
    <w:rsid w:val="004246EE"/>
    <w:rsid w:val="00433EFF"/>
    <w:rsid w:val="00443081"/>
    <w:rsid w:val="00446BEE"/>
    <w:rsid w:val="004838C1"/>
    <w:rsid w:val="0048623E"/>
    <w:rsid w:val="0049148A"/>
    <w:rsid w:val="00492E8D"/>
    <w:rsid w:val="004B48C4"/>
    <w:rsid w:val="004C27C5"/>
    <w:rsid w:val="004D73CC"/>
    <w:rsid w:val="004E20CB"/>
    <w:rsid w:val="005025A1"/>
    <w:rsid w:val="00504ADB"/>
    <w:rsid w:val="00535385"/>
    <w:rsid w:val="00581253"/>
    <w:rsid w:val="005D7193"/>
    <w:rsid w:val="005E76E2"/>
    <w:rsid w:val="005F184A"/>
    <w:rsid w:val="00634D46"/>
    <w:rsid w:val="00671BCF"/>
    <w:rsid w:val="00681067"/>
    <w:rsid w:val="0068219A"/>
    <w:rsid w:val="0069148D"/>
    <w:rsid w:val="006921E1"/>
    <w:rsid w:val="006A7A12"/>
    <w:rsid w:val="006B15C9"/>
    <w:rsid w:val="006C55DA"/>
    <w:rsid w:val="006E46C1"/>
    <w:rsid w:val="006F4B25"/>
    <w:rsid w:val="006F6496"/>
    <w:rsid w:val="00736348"/>
    <w:rsid w:val="00751166"/>
    <w:rsid w:val="00760908"/>
    <w:rsid w:val="007702A6"/>
    <w:rsid w:val="007861ED"/>
    <w:rsid w:val="007976E9"/>
    <w:rsid w:val="007A5F4C"/>
    <w:rsid w:val="007D749F"/>
    <w:rsid w:val="007E72DD"/>
    <w:rsid w:val="007F238D"/>
    <w:rsid w:val="00814DA2"/>
    <w:rsid w:val="00816B3A"/>
    <w:rsid w:val="008235FF"/>
    <w:rsid w:val="008446F0"/>
    <w:rsid w:val="00857CBD"/>
    <w:rsid w:val="00861B92"/>
    <w:rsid w:val="008814FB"/>
    <w:rsid w:val="008A1307"/>
    <w:rsid w:val="008B642A"/>
    <w:rsid w:val="008E464E"/>
    <w:rsid w:val="008E560D"/>
    <w:rsid w:val="008F5E30"/>
    <w:rsid w:val="00901D47"/>
    <w:rsid w:val="00912F4B"/>
    <w:rsid w:val="00914D7F"/>
    <w:rsid w:val="00932F52"/>
    <w:rsid w:val="00936BA4"/>
    <w:rsid w:val="00992C31"/>
    <w:rsid w:val="009930B5"/>
    <w:rsid w:val="009C7FBE"/>
    <w:rsid w:val="009E680B"/>
    <w:rsid w:val="00A02EC9"/>
    <w:rsid w:val="00A11EFE"/>
    <w:rsid w:val="00A15A1F"/>
    <w:rsid w:val="00A3325A"/>
    <w:rsid w:val="00A43013"/>
    <w:rsid w:val="00A51B29"/>
    <w:rsid w:val="00A90768"/>
    <w:rsid w:val="00AA0377"/>
    <w:rsid w:val="00AC0B8D"/>
    <w:rsid w:val="00AC3DBE"/>
    <w:rsid w:val="00AC40B1"/>
    <w:rsid w:val="00AE67F5"/>
    <w:rsid w:val="00AF108A"/>
    <w:rsid w:val="00B02E55"/>
    <w:rsid w:val="00B036C1"/>
    <w:rsid w:val="00B20109"/>
    <w:rsid w:val="00B22CE5"/>
    <w:rsid w:val="00B22D72"/>
    <w:rsid w:val="00B30D81"/>
    <w:rsid w:val="00B34225"/>
    <w:rsid w:val="00B34FC7"/>
    <w:rsid w:val="00B41758"/>
    <w:rsid w:val="00B46ABD"/>
    <w:rsid w:val="00B5431F"/>
    <w:rsid w:val="00B57C66"/>
    <w:rsid w:val="00B777E9"/>
    <w:rsid w:val="00B80171"/>
    <w:rsid w:val="00BB1004"/>
    <w:rsid w:val="00BC454B"/>
    <w:rsid w:val="00BF7FE0"/>
    <w:rsid w:val="00C2199B"/>
    <w:rsid w:val="00C81104"/>
    <w:rsid w:val="00C96411"/>
    <w:rsid w:val="00CB2E4E"/>
    <w:rsid w:val="00CB5671"/>
    <w:rsid w:val="00CE57BB"/>
    <w:rsid w:val="00CE668A"/>
    <w:rsid w:val="00CF58B7"/>
    <w:rsid w:val="00D2155A"/>
    <w:rsid w:val="00D351C1"/>
    <w:rsid w:val="00D35EFB"/>
    <w:rsid w:val="00D466FE"/>
    <w:rsid w:val="00D504B3"/>
    <w:rsid w:val="00D86BF0"/>
    <w:rsid w:val="00D93F96"/>
    <w:rsid w:val="00D95124"/>
    <w:rsid w:val="00DA6537"/>
    <w:rsid w:val="00E0428B"/>
    <w:rsid w:val="00E06CCB"/>
    <w:rsid w:val="00E2334C"/>
    <w:rsid w:val="00E31676"/>
    <w:rsid w:val="00E51920"/>
    <w:rsid w:val="00E64120"/>
    <w:rsid w:val="00E660A1"/>
    <w:rsid w:val="00E7170D"/>
    <w:rsid w:val="00E72062"/>
    <w:rsid w:val="00E74C0D"/>
    <w:rsid w:val="00EA3CCF"/>
    <w:rsid w:val="00EE0BB8"/>
    <w:rsid w:val="00F055F1"/>
    <w:rsid w:val="00F06035"/>
    <w:rsid w:val="00F17A6B"/>
    <w:rsid w:val="00F3723D"/>
    <w:rsid w:val="00F610AF"/>
    <w:rsid w:val="00F666E5"/>
    <w:rsid w:val="00F81750"/>
    <w:rsid w:val="00F90BB8"/>
    <w:rsid w:val="00FA2C5A"/>
    <w:rsid w:val="00FB5EBA"/>
    <w:rsid w:val="00FC2D11"/>
    <w:rsid w:val="00FC3004"/>
    <w:rsid w:val="00FC6230"/>
    <w:rsid w:val="00FE05AC"/>
    <w:rsid w:val="00FF2551"/>
    <w:rsid w:val="00FF61E7"/>
    <w:rsid w:val="011B4F72"/>
    <w:rsid w:val="01BDBF19"/>
    <w:rsid w:val="02564E52"/>
    <w:rsid w:val="027B1759"/>
    <w:rsid w:val="037B7F08"/>
    <w:rsid w:val="0647A816"/>
    <w:rsid w:val="09206AAD"/>
    <w:rsid w:val="0B0EEFF6"/>
    <w:rsid w:val="0C36D773"/>
    <w:rsid w:val="0DB3BBAF"/>
    <w:rsid w:val="0EB0324E"/>
    <w:rsid w:val="0EF8C8FB"/>
    <w:rsid w:val="10713A9C"/>
    <w:rsid w:val="108874C6"/>
    <w:rsid w:val="16848300"/>
    <w:rsid w:val="171AC8E6"/>
    <w:rsid w:val="178C4E18"/>
    <w:rsid w:val="1844B661"/>
    <w:rsid w:val="18766ED2"/>
    <w:rsid w:val="1938CC70"/>
    <w:rsid w:val="1DFC2AE3"/>
    <w:rsid w:val="1F98EC3A"/>
    <w:rsid w:val="23B91370"/>
    <w:rsid w:val="28852BD4"/>
    <w:rsid w:val="2A1A0BC9"/>
    <w:rsid w:val="2B1F8AD7"/>
    <w:rsid w:val="2D54B49F"/>
    <w:rsid w:val="30409600"/>
    <w:rsid w:val="31AA9A98"/>
    <w:rsid w:val="32A28905"/>
    <w:rsid w:val="330EF9B8"/>
    <w:rsid w:val="3367EEFB"/>
    <w:rsid w:val="35126362"/>
    <w:rsid w:val="35ABB45B"/>
    <w:rsid w:val="363A5582"/>
    <w:rsid w:val="36E5BF68"/>
    <w:rsid w:val="3AA8FDC2"/>
    <w:rsid w:val="3B6CB1B8"/>
    <w:rsid w:val="3CB941BA"/>
    <w:rsid w:val="3E4B9665"/>
    <w:rsid w:val="3E71F267"/>
    <w:rsid w:val="407FC78D"/>
    <w:rsid w:val="42B46299"/>
    <w:rsid w:val="43854139"/>
    <w:rsid w:val="45A31061"/>
    <w:rsid w:val="4699046A"/>
    <w:rsid w:val="49F541CF"/>
    <w:rsid w:val="4CB63D27"/>
    <w:rsid w:val="4D272AE1"/>
    <w:rsid w:val="4D5AB8FD"/>
    <w:rsid w:val="4E89789A"/>
    <w:rsid w:val="51E86D00"/>
    <w:rsid w:val="529108CF"/>
    <w:rsid w:val="532C5D25"/>
    <w:rsid w:val="5655F746"/>
    <w:rsid w:val="5742FDAA"/>
    <w:rsid w:val="58C47FB0"/>
    <w:rsid w:val="5BF3A7EB"/>
    <w:rsid w:val="5D8DB38E"/>
    <w:rsid w:val="5E333553"/>
    <w:rsid w:val="6238C9C5"/>
    <w:rsid w:val="638D60C4"/>
    <w:rsid w:val="66620860"/>
    <w:rsid w:val="67390B58"/>
    <w:rsid w:val="68A32C9A"/>
    <w:rsid w:val="6B357983"/>
    <w:rsid w:val="6C646CA4"/>
    <w:rsid w:val="6D2F3D04"/>
    <w:rsid w:val="70CEE5CE"/>
    <w:rsid w:val="7136CA02"/>
    <w:rsid w:val="718AB4D6"/>
    <w:rsid w:val="71EE6E09"/>
    <w:rsid w:val="72B2A91B"/>
    <w:rsid w:val="74699E0A"/>
    <w:rsid w:val="74B1D1F7"/>
    <w:rsid w:val="790128F2"/>
    <w:rsid w:val="7D89EB76"/>
    <w:rsid w:val="7EEAD378"/>
    <w:rsid w:val="7F63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AAB8F90"/>
  <w15:chartTrackingRefBased/>
  <w15:docId w15:val="{A5582521-54B3-48F0-B154-3394C7F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7FF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567F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7FF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7FF"/>
    <w:rPr>
      <w:rFonts w:ascii="Calibri" w:eastAsiaTheme="minorHAns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6A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AB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ABD"/>
    <w:rPr>
      <w:rFonts w:ascii="Calibri" w:eastAsiaTheme="minorHAnsi" w:hAnsi="Calibr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E31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92C31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semiHidden/>
    <w:qFormat/>
    <w:rsid w:val="0015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3893">
          <w:marLeft w:val="20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92">
          <w:marLeft w:val="20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744">
          <w:marLeft w:val="20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episalv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936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Dent</dc:creator>
  <cp:keywords/>
  <dc:description/>
  <cp:lastModifiedBy>Emily Richards</cp:lastModifiedBy>
  <cp:revision>4</cp:revision>
  <dcterms:created xsi:type="dcterms:W3CDTF">2022-05-18T16:04:00Z</dcterms:created>
  <dcterms:modified xsi:type="dcterms:W3CDTF">2022-05-18T16:19:00Z</dcterms:modified>
</cp:coreProperties>
</file>