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40430" w:rsidR="00593F3D" w:rsidP="00593F3D" w:rsidRDefault="00593F3D" w14:paraId="1B1C7D24" w14:noSpellErr="1" w14:textId="3418B0BE">
      <w:pPr>
        <w:rPr>
          <w:rStyle w:val="Hyperlink"/>
          <w:rFonts w:ascii="Arial" w:hAnsi="Arial" w:cs="Arial"/>
          <w:color w:val="auto"/>
          <w:sz w:val="20"/>
          <w:szCs w:val="20"/>
          <w:u w:val="none"/>
        </w:rPr>
      </w:pPr>
      <w:r w:rsidRPr="3FFAF9C3" w:rsidR="00593F3D">
        <w:rPr>
          <w:rFonts w:ascii="Arial" w:hAnsi="Arial" w:cs="Arial"/>
          <w:sz w:val="20"/>
          <w:szCs w:val="20"/>
        </w:rPr>
        <w:t xml:space="preserve">Sent by e-mail only: </w:t>
      </w:r>
      <w:r w:rsidRPr="3FFAF9C3" w:rsidR="5694797B">
        <w:rPr>
          <w:rFonts w:ascii="Arial" w:hAnsi="Arial" w:cs="Arial"/>
          <w:sz w:val="20"/>
          <w:szCs w:val="20"/>
          <w:highlight w:val="black"/>
        </w:rPr>
        <w:t>XXXXXXXXXXXXXXXXXXXX</w:t>
      </w:r>
    </w:p>
    <w:p w:rsidRPr="00C40430" w:rsidR="00BB16DB" w:rsidP="00BB16DB" w:rsidRDefault="00BB16DB" w14:paraId="25880837" w14:noSpellErr="1" w14:textId="19C43E94">
      <w:pPr>
        <w:spacing w:after="0" w:line="240" w:lineRule="auto"/>
        <w:jc w:val="both"/>
        <w:rPr>
          <w:rFonts w:ascii="Arial" w:hAnsi="Arial" w:cs="Arial"/>
          <w:sz w:val="20"/>
          <w:szCs w:val="20"/>
        </w:rPr>
      </w:pPr>
      <w:r w:rsidRPr="3FFAF9C3" w:rsidR="00BB16DB">
        <w:rPr>
          <w:rFonts w:ascii="Arial" w:hAnsi="Arial" w:cs="Arial"/>
          <w:sz w:val="20"/>
          <w:szCs w:val="20"/>
        </w:rPr>
        <w:t xml:space="preserve">FAO </w:t>
      </w:r>
      <w:r w:rsidRPr="3FFAF9C3" w:rsidR="6F1B5226">
        <w:rPr>
          <w:rFonts w:ascii="Arial" w:hAnsi="Arial" w:cs="Arial"/>
          <w:sz w:val="20"/>
          <w:szCs w:val="20"/>
          <w:highlight w:val="black"/>
        </w:rPr>
        <w:t>XXXXXXXXXXXXXXXX</w:t>
      </w:r>
    </w:p>
    <w:p w:rsidRPr="00C40430" w:rsidR="00F61ED1" w:rsidP="00BB16DB" w:rsidRDefault="00F61ED1" w14:paraId="718AB47A" w14:textId="044045C1">
      <w:pPr>
        <w:spacing w:after="0" w:line="240" w:lineRule="auto"/>
        <w:jc w:val="both"/>
        <w:rPr>
          <w:rFonts w:ascii="Arial" w:hAnsi="Arial" w:cs="Arial"/>
          <w:sz w:val="20"/>
          <w:szCs w:val="20"/>
        </w:rPr>
      </w:pPr>
      <w:r w:rsidRPr="00C40430">
        <w:rPr>
          <w:rFonts w:ascii="Arial" w:hAnsi="Arial" w:cs="Arial"/>
          <w:sz w:val="20"/>
          <w:szCs w:val="20"/>
        </w:rPr>
        <w:t>BioMarin</w:t>
      </w:r>
    </w:p>
    <w:p w:rsidRPr="00C40430" w:rsidR="00F61ED1" w:rsidP="00BB16DB" w:rsidRDefault="00F61ED1" w14:paraId="6A4C2DA6" w14:textId="7F034C40">
      <w:pPr>
        <w:spacing w:after="0" w:line="240" w:lineRule="auto"/>
        <w:jc w:val="both"/>
        <w:rPr>
          <w:rFonts w:ascii="Arial" w:hAnsi="Arial" w:cs="Arial"/>
          <w:sz w:val="20"/>
          <w:szCs w:val="20"/>
        </w:rPr>
      </w:pPr>
      <w:r w:rsidRPr="00C40430">
        <w:rPr>
          <w:rFonts w:ascii="Arial" w:hAnsi="Arial" w:cs="Arial"/>
          <w:sz w:val="20"/>
          <w:szCs w:val="20"/>
        </w:rPr>
        <w:t xml:space="preserve">10 Bloomsbury Way </w:t>
      </w:r>
    </w:p>
    <w:p w:rsidRPr="00C40430" w:rsidR="00F61ED1" w:rsidP="00BB16DB" w:rsidRDefault="00F61ED1" w14:paraId="27AF4F10" w14:textId="2C41A076">
      <w:pPr>
        <w:spacing w:after="0" w:line="240" w:lineRule="auto"/>
        <w:jc w:val="both"/>
        <w:rPr>
          <w:rFonts w:ascii="Arial" w:hAnsi="Arial" w:cs="Arial"/>
          <w:sz w:val="20"/>
          <w:szCs w:val="20"/>
        </w:rPr>
      </w:pPr>
      <w:r w:rsidRPr="00C40430">
        <w:rPr>
          <w:rFonts w:ascii="Arial" w:hAnsi="Arial" w:cs="Arial"/>
          <w:sz w:val="20"/>
          <w:szCs w:val="20"/>
        </w:rPr>
        <w:t>London</w:t>
      </w:r>
    </w:p>
    <w:p w:rsidRPr="00C40430" w:rsidR="00F61ED1" w:rsidP="00BB16DB" w:rsidRDefault="00F61ED1" w14:paraId="0BC921F7" w14:textId="5B343C41">
      <w:pPr>
        <w:spacing w:after="0" w:line="240" w:lineRule="auto"/>
        <w:jc w:val="both"/>
        <w:rPr>
          <w:rFonts w:ascii="Arial" w:hAnsi="Arial" w:cs="Arial"/>
          <w:sz w:val="20"/>
          <w:szCs w:val="20"/>
        </w:rPr>
      </w:pPr>
      <w:r w:rsidRPr="00C40430">
        <w:rPr>
          <w:rFonts w:ascii="Arial" w:hAnsi="Arial" w:cs="Arial"/>
          <w:sz w:val="20"/>
          <w:szCs w:val="20"/>
        </w:rPr>
        <w:t>WC1A 2SL</w:t>
      </w:r>
    </w:p>
    <w:p w:rsidRPr="00C40430" w:rsidR="00BB16DB" w:rsidP="00BB16DB" w:rsidRDefault="00BB16DB" w14:paraId="6FE7B91D" w14:textId="24B0F651">
      <w:pPr>
        <w:rPr>
          <w:rFonts w:ascii="Arial" w:hAnsi="Arial" w:cs="Arial"/>
          <w:sz w:val="20"/>
          <w:szCs w:val="20"/>
        </w:rPr>
      </w:pPr>
    </w:p>
    <w:p w:rsidRPr="00C40430" w:rsidR="00F24B1D" w:rsidRDefault="00F24B1D" w14:paraId="799D8680" w14:textId="77777777">
      <w:pPr>
        <w:rPr>
          <w:rFonts w:ascii="Arial" w:hAnsi="Arial" w:cs="Arial"/>
          <w:sz w:val="20"/>
          <w:szCs w:val="20"/>
        </w:rPr>
      </w:pPr>
    </w:p>
    <w:p w:rsidRPr="00C40430" w:rsidR="00F24B1D" w:rsidRDefault="00F24B1D" w14:paraId="1F256B99" w14:textId="77777777">
      <w:pPr>
        <w:rPr>
          <w:rFonts w:ascii="Arial" w:hAnsi="Arial" w:cs="Arial"/>
          <w:sz w:val="20"/>
          <w:szCs w:val="20"/>
        </w:rPr>
      </w:pPr>
    </w:p>
    <w:p w:rsidRPr="00C40430" w:rsidR="00B737D4" w:rsidP="00B737D4" w:rsidRDefault="00E7358C" w14:paraId="04E6623B" w14:textId="33FA610B">
      <w:pPr>
        <w:rPr>
          <w:rFonts w:ascii="Arial" w:hAnsi="Arial" w:cs="Arial"/>
          <w:sz w:val="20"/>
          <w:szCs w:val="20"/>
        </w:rPr>
      </w:pPr>
      <w:r>
        <w:rPr>
          <w:rFonts w:ascii="Arial" w:hAnsi="Arial" w:cs="Arial"/>
          <w:sz w:val="20"/>
          <w:szCs w:val="20"/>
        </w:rPr>
        <w:t>26 September 2025</w:t>
      </w:r>
    </w:p>
    <w:p w:rsidRPr="00C40430" w:rsidR="00B737D4" w:rsidP="00B737D4" w:rsidRDefault="00B737D4" w14:paraId="15532A62" w14:textId="77777777">
      <w:pPr>
        <w:rPr>
          <w:rStyle w:val="Hyperlink"/>
          <w:rFonts w:ascii="Arial" w:hAnsi="Arial" w:cs="Arial"/>
          <w:color w:val="auto"/>
          <w:sz w:val="20"/>
          <w:szCs w:val="20"/>
        </w:rPr>
      </w:pPr>
    </w:p>
    <w:p w:rsidRPr="00C40430" w:rsidR="00F24B1D" w:rsidP="3FFAF9C3" w:rsidRDefault="00F24B1D" w14:paraId="47BE397A" w14:noSpellErr="1" w14:textId="7AA0E7CB">
      <w:pPr>
        <w:ind w:left="426" w:right="468" w:hanging="426"/>
        <w:jc w:val="both"/>
        <w:rPr>
          <w:rFonts w:ascii="Arial" w:hAnsi="Arial" w:cs="Arial"/>
          <w:noProof/>
          <w:spacing w:val="-3"/>
          <w:sz w:val="20"/>
          <w:szCs w:val="20"/>
          <w:lang w:eastAsia="en-GB"/>
        </w:rPr>
      </w:pPr>
      <w:bookmarkStart w:name="deartext" w:id="0"/>
      <w:r w:rsidRPr="3FFAF9C3" w:rsidR="00F24B1D">
        <w:rPr>
          <w:rFonts w:ascii="Arial" w:hAnsi="Arial" w:cs="Arial"/>
          <w:sz w:val="20"/>
          <w:szCs w:val="20"/>
        </w:rPr>
        <w:t>Dear</w:t>
      </w:r>
      <w:bookmarkEnd w:id="0"/>
      <w:r w:rsidRPr="3FFAF9C3" w:rsidR="00F24B1D">
        <w:rPr>
          <w:rFonts w:ascii="Arial" w:hAnsi="Arial" w:cs="Arial"/>
          <w:sz w:val="20"/>
          <w:szCs w:val="20"/>
        </w:rPr>
        <w:t xml:space="preserve"> </w:t>
      </w:r>
      <w:r w:rsidRPr="3FFAF9C3" w:rsidR="144661F0">
        <w:rPr>
          <w:rFonts w:ascii="Arial" w:hAnsi="Arial" w:cs="Arial"/>
          <w:sz w:val="20"/>
          <w:szCs w:val="20"/>
          <w:highlight w:val="black"/>
        </w:rPr>
        <w:t>XXXXXXXXXX</w:t>
      </w:r>
      <w:bookmarkStart w:name="Sal" w:id="1"/>
      <w:bookmarkEnd w:id="1"/>
    </w:p>
    <w:p w:rsidRPr="00C40430" w:rsidR="00F24B1D" w:rsidP="00F24B1D" w:rsidRDefault="00F24B1D" w14:paraId="67AFD44F" w14:textId="79CD2D86">
      <w:pPr>
        <w:ind w:left="426" w:right="468" w:hanging="426"/>
        <w:jc w:val="both"/>
        <w:rPr>
          <w:rFonts w:ascii="Arial" w:hAnsi="Arial" w:cs="Arial"/>
          <w:b/>
          <w:sz w:val="20"/>
          <w:szCs w:val="20"/>
        </w:rPr>
      </w:pPr>
      <w:r w:rsidRPr="00C40430">
        <w:rPr>
          <w:rFonts w:ascii="Arial" w:hAnsi="Arial" w:cs="Arial"/>
          <w:noProof/>
          <w:sz w:val="20"/>
          <w:szCs w:val="20"/>
          <w:lang w:eastAsia="en-GB"/>
        </w:rPr>
        <mc:AlternateContent>
          <mc:Choice Requires="wps">
            <w:drawing>
              <wp:anchor distT="4294967294" distB="4294967294" distL="114300" distR="114300" simplePos="0" relativeHeight="251659264" behindDoc="0" locked="0" layoutInCell="1" allowOverlap="1" wp14:anchorId="0D351047" wp14:editId="64D85384">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265808">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BLpbv8oBAACBAwAADgAA&#10;AAAAAAAAAAAAAAAuAgAAZHJzL2Uyb0RvYy54bWxQSwECLQAUAAYACAAAACEA2X1V2eAAAAALAQAA&#10;DwAAAAAAAAAAAAAAAAAkBAAAZHJzL2Rvd25yZXYueG1sUEsFBgAAAAAEAAQA8wAAADEFAAAAAA==&#10;" w14:anchorId="432FF0ED">
                <o:lock v:ext="edit" shapetype="f"/>
              </v:line>
            </w:pict>
          </mc:Fallback>
        </mc:AlternateContent>
      </w:r>
      <w:r w:rsidRPr="00C40430">
        <w:rPr>
          <w:rFonts w:ascii="Arial" w:hAnsi="Arial" w:cs="Arial"/>
          <w:b/>
          <w:spacing w:val="-3"/>
          <w:sz w:val="20"/>
          <w:szCs w:val="20"/>
        </w:rPr>
        <w:t xml:space="preserve">Re: </w:t>
      </w:r>
      <w:r w:rsidRPr="00C40430">
        <w:rPr>
          <w:rFonts w:ascii="Arial" w:hAnsi="Arial" w:cs="Arial"/>
          <w:b/>
          <w:sz w:val="20"/>
          <w:szCs w:val="20"/>
        </w:rPr>
        <w:t xml:space="preserve">Final </w:t>
      </w:r>
      <w:r w:rsidRPr="00C40430" w:rsidR="00F61ED1">
        <w:rPr>
          <w:rFonts w:ascii="Arial" w:hAnsi="Arial" w:cs="Arial"/>
          <w:b/>
          <w:sz w:val="20"/>
          <w:szCs w:val="20"/>
        </w:rPr>
        <w:t xml:space="preserve">Draft Guidance - </w:t>
      </w:r>
      <w:proofErr w:type="spellStart"/>
      <w:r w:rsidRPr="00C40430" w:rsidR="00F61ED1">
        <w:rPr>
          <w:rFonts w:ascii="Arial" w:hAnsi="Arial" w:cs="Arial"/>
          <w:b/>
          <w:sz w:val="20"/>
          <w:szCs w:val="20"/>
        </w:rPr>
        <w:t>Cerliponase</w:t>
      </w:r>
      <w:proofErr w:type="spellEnd"/>
      <w:r w:rsidRPr="00C40430" w:rsidR="00F61ED1">
        <w:rPr>
          <w:rFonts w:ascii="Arial" w:hAnsi="Arial" w:cs="Arial"/>
          <w:b/>
          <w:sz w:val="20"/>
          <w:szCs w:val="20"/>
        </w:rPr>
        <w:t xml:space="preserve"> alfa for treating neuronal ceroid lipofuscinosis type 2 (MA review of HST12) [ID6145]</w:t>
      </w:r>
    </w:p>
    <w:p w:rsidRPr="00C40430" w:rsidR="00DB178D" w:rsidP="00DB178D" w:rsidRDefault="00DB178D" w14:paraId="645F333C" w14:textId="22421722">
      <w:pPr>
        <w:spacing w:before="240" w:after="240"/>
        <w:jc w:val="both"/>
        <w:rPr>
          <w:rFonts w:ascii="Arial" w:hAnsi="Arial" w:eastAsia="Times New Roman" w:cs="Arial"/>
          <w:sz w:val="20"/>
          <w:szCs w:val="20"/>
        </w:rPr>
      </w:pPr>
      <w:r w:rsidRPr="00C40430">
        <w:rPr>
          <w:rFonts w:ascii="Arial" w:hAnsi="Arial" w:eastAsia="Times New Roman" w:cs="Arial"/>
          <w:sz w:val="20"/>
          <w:szCs w:val="20"/>
        </w:rPr>
        <w:t xml:space="preserve">Thank you for your letter of </w:t>
      </w:r>
      <w:r w:rsidRPr="00C40430" w:rsidR="00F61ED1">
        <w:rPr>
          <w:rFonts w:ascii="Arial" w:hAnsi="Arial" w:eastAsia="Times New Roman" w:cs="Arial"/>
          <w:sz w:val="20"/>
          <w:szCs w:val="20"/>
        </w:rPr>
        <w:t>19 September 2025</w:t>
      </w:r>
      <w:r w:rsidRPr="00C40430">
        <w:rPr>
          <w:rFonts w:ascii="Arial" w:hAnsi="Arial" w:eastAsia="Times New Roman" w:cs="Arial"/>
          <w:sz w:val="20"/>
          <w:szCs w:val="20"/>
        </w:rPr>
        <w:t xml:space="preserve"> responding to my initial scrutiny views.  This is my final decision on initial scrutiny.</w:t>
      </w:r>
    </w:p>
    <w:p w:rsidRPr="00C40430" w:rsidR="00DB178D" w:rsidP="00DB178D" w:rsidRDefault="00DB178D" w14:paraId="55B1D5E2" w14:textId="28FD5E0E">
      <w:pPr>
        <w:spacing w:before="240" w:after="240"/>
        <w:jc w:val="both"/>
        <w:rPr>
          <w:rFonts w:ascii="Arial" w:hAnsi="Arial" w:eastAsia="Times New Roman" w:cs="Arial"/>
          <w:sz w:val="20"/>
          <w:szCs w:val="20"/>
        </w:rPr>
      </w:pPr>
      <w:r w:rsidRPr="00C40430">
        <w:rPr>
          <w:rFonts w:ascii="Arial" w:hAnsi="Arial" w:eastAsia="Times New Roman" w:cs="Arial"/>
          <w:sz w:val="20"/>
          <w:szCs w:val="20"/>
        </w:rPr>
        <w:t xml:space="preserve">I </w:t>
      </w:r>
      <w:r w:rsidRPr="00C40430" w:rsidR="00BB16DB">
        <w:rPr>
          <w:rFonts w:ascii="Arial" w:hAnsi="Arial" w:eastAsia="Times New Roman" w:cs="Arial"/>
          <w:sz w:val="20"/>
          <w:szCs w:val="20"/>
        </w:rPr>
        <w:t>assess each of your points in turn.</w:t>
      </w:r>
    </w:p>
    <w:p w:rsidRPr="00C40430" w:rsidR="00F61ED1" w:rsidP="00F61ED1" w:rsidRDefault="00F61ED1" w14:paraId="0D28B773" w14:textId="77777777">
      <w:pPr>
        <w:spacing w:before="240" w:after="240"/>
        <w:jc w:val="both"/>
        <w:rPr>
          <w:rFonts w:ascii="Arial" w:hAnsi="Arial" w:eastAsia="Times New Roman" w:cs="Arial"/>
          <w:b/>
          <w:i/>
          <w:sz w:val="20"/>
          <w:szCs w:val="20"/>
        </w:rPr>
      </w:pPr>
      <w:r w:rsidRPr="00C40430">
        <w:rPr>
          <w:rFonts w:ascii="Arial" w:hAnsi="Arial" w:eastAsia="Times New Roman" w:cs="Arial"/>
          <w:b/>
          <w:i/>
          <w:sz w:val="20"/>
          <w:szCs w:val="20"/>
        </w:rPr>
        <w:t>Ground 1(a): In making the assessment that preceded the recommendation, NICE has failed to act fairly</w:t>
      </w:r>
    </w:p>
    <w:p w:rsidRPr="00C40430" w:rsidR="00F61ED1" w:rsidP="00F61ED1" w:rsidRDefault="00F61ED1" w14:paraId="69E32A56" w14:textId="77777777">
      <w:pPr>
        <w:spacing w:before="240" w:after="240"/>
        <w:jc w:val="both"/>
        <w:rPr>
          <w:rFonts w:ascii="Arial" w:hAnsi="Arial" w:eastAsia="Times New Roman" w:cs="Arial"/>
          <w:b/>
          <w:sz w:val="20"/>
          <w:szCs w:val="20"/>
          <w:u w:val="single"/>
        </w:rPr>
      </w:pPr>
      <w:r w:rsidRPr="00C40430">
        <w:rPr>
          <w:rFonts w:ascii="Arial" w:hAnsi="Arial" w:eastAsia="Times New Roman" w:cs="Arial"/>
          <w:b/>
          <w:sz w:val="20"/>
          <w:szCs w:val="20"/>
          <w:u w:val="single"/>
        </w:rPr>
        <w:t xml:space="preserve">Appeal </w:t>
      </w:r>
      <w:proofErr w:type="gramStart"/>
      <w:r w:rsidRPr="00C40430">
        <w:rPr>
          <w:rFonts w:ascii="Arial" w:hAnsi="Arial" w:eastAsia="Times New Roman" w:cs="Arial"/>
          <w:b/>
          <w:sz w:val="20"/>
          <w:szCs w:val="20"/>
          <w:u w:val="single"/>
        </w:rPr>
        <w:t>point</w:t>
      </w:r>
      <w:proofErr w:type="gramEnd"/>
      <w:r w:rsidRPr="00C40430">
        <w:rPr>
          <w:rFonts w:ascii="Arial" w:hAnsi="Arial" w:eastAsia="Times New Roman" w:cs="Arial"/>
          <w:b/>
          <w:sz w:val="20"/>
          <w:szCs w:val="20"/>
          <w:u w:val="single"/>
        </w:rPr>
        <w:t xml:space="preserve"> 1(a).1: The Committee process did not ensure adequate capture of the clinical and lived-experience perspectives necessary to understand this rare disease in real-world practice</w:t>
      </w:r>
    </w:p>
    <w:p w:rsidRPr="00C40430" w:rsidR="00F61ED1" w:rsidP="00F61ED1" w:rsidRDefault="00F61ED1" w14:paraId="4DDD9658" w14:textId="2974C764">
      <w:pPr>
        <w:spacing w:before="240" w:after="240"/>
        <w:jc w:val="both"/>
        <w:rPr>
          <w:rFonts w:ascii="Arial" w:hAnsi="Arial" w:eastAsia="Times New Roman" w:cs="Arial"/>
          <w:bCs/>
          <w:sz w:val="20"/>
          <w:szCs w:val="20"/>
        </w:rPr>
      </w:pPr>
      <w:r w:rsidRPr="00C40430">
        <w:rPr>
          <w:rFonts w:ascii="Arial" w:hAnsi="Arial" w:eastAsia="Times New Roman" w:cs="Arial"/>
          <w:bCs/>
          <w:sz w:val="20"/>
          <w:szCs w:val="20"/>
        </w:rPr>
        <w:t xml:space="preserve">I </w:t>
      </w:r>
      <w:r w:rsidRPr="00C40430" w:rsidR="000F35CA">
        <w:rPr>
          <w:rFonts w:ascii="Arial" w:hAnsi="Arial" w:eastAsia="Times New Roman" w:cs="Arial"/>
          <w:bCs/>
          <w:sz w:val="20"/>
          <w:szCs w:val="20"/>
        </w:rPr>
        <w:t>will</w:t>
      </w:r>
      <w:r w:rsidRPr="00C40430">
        <w:rPr>
          <w:rFonts w:ascii="Arial" w:hAnsi="Arial" w:eastAsia="Times New Roman" w:cs="Arial"/>
          <w:bCs/>
          <w:sz w:val="20"/>
          <w:szCs w:val="20"/>
        </w:rPr>
        <w:t xml:space="preserve"> refer this appeal point to the Appeal Panel. </w:t>
      </w:r>
    </w:p>
    <w:p w:rsidRPr="00C40430" w:rsidR="00F61ED1" w:rsidP="00F61ED1" w:rsidRDefault="00F61ED1" w14:paraId="5A8439E9" w14:textId="77777777">
      <w:pPr>
        <w:spacing w:before="240" w:after="240"/>
        <w:jc w:val="both"/>
        <w:rPr>
          <w:rFonts w:ascii="Arial" w:hAnsi="Arial" w:eastAsia="Times New Roman" w:cs="Arial"/>
          <w:b/>
          <w:sz w:val="20"/>
          <w:szCs w:val="20"/>
          <w:u w:val="single"/>
        </w:rPr>
      </w:pPr>
      <w:r w:rsidRPr="00C40430">
        <w:rPr>
          <w:rFonts w:ascii="Arial" w:hAnsi="Arial" w:eastAsia="Times New Roman" w:cs="Arial"/>
          <w:b/>
          <w:sz w:val="20"/>
          <w:szCs w:val="20"/>
          <w:u w:val="single"/>
        </w:rPr>
        <w:t xml:space="preserve">Appeal </w:t>
      </w:r>
      <w:proofErr w:type="gramStart"/>
      <w:r w:rsidRPr="00C40430">
        <w:rPr>
          <w:rFonts w:ascii="Arial" w:hAnsi="Arial" w:eastAsia="Times New Roman" w:cs="Arial"/>
          <w:b/>
          <w:sz w:val="20"/>
          <w:szCs w:val="20"/>
          <w:u w:val="single"/>
        </w:rPr>
        <w:t>point</w:t>
      </w:r>
      <w:proofErr w:type="gramEnd"/>
      <w:r w:rsidRPr="00C40430">
        <w:rPr>
          <w:rFonts w:ascii="Arial" w:hAnsi="Arial" w:eastAsia="Times New Roman" w:cs="Arial"/>
          <w:b/>
          <w:sz w:val="20"/>
          <w:szCs w:val="20"/>
          <w:u w:val="single"/>
        </w:rPr>
        <w:t xml:space="preserve"> 1(a).2: The Committee process included an extended and insufficiently transparent delay in issuing draft guidance  </w:t>
      </w:r>
    </w:p>
    <w:p w:rsidRPr="00C40430" w:rsidR="00F61ED1" w:rsidP="00F61ED1" w:rsidRDefault="00F61ED1" w14:paraId="77594EBA" w14:textId="2373C51F">
      <w:pPr>
        <w:spacing w:before="240" w:after="240"/>
        <w:jc w:val="both"/>
        <w:rPr>
          <w:rFonts w:ascii="Arial" w:hAnsi="Arial" w:eastAsia="Times New Roman" w:cs="Arial"/>
          <w:bCs/>
          <w:sz w:val="20"/>
          <w:szCs w:val="20"/>
        </w:rPr>
      </w:pPr>
      <w:r w:rsidRPr="00C40430">
        <w:rPr>
          <w:rFonts w:ascii="Arial" w:hAnsi="Arial" w:eastAsia="Times New Roman" w:cs="Arial"/>
          <w:bCs/>
          <w:sz w:val="20"/>
          <w:szCs w:val="20"/>
        </w:rPr>
        <w:t xml:space="preserve">In my initial scrutiny letter, I explained that I did not consider </w:t>
      </w:r>
      <w:r w:rsidRPr="00C40430" w:rsidR="000F02F8">
        <w:rPr>
          <w:rFonts w:ascii="Arial" w:hAnsi="Arial" w:eastAsia="Times New Roman" w:cs="Arial"/>
          <w:bCs/>
          <w:sz w:val="20"/>
          <w:szCs w:val="20"/>
        </w:rPr>
        <w:t xml:space="preserve">the intervals between issuing draft guidance in this </w:t>
      </w:r>
      <w:r w:rsidR="00C40430">
        <w:rPr>
          <w:rFonts w:ascii="Arial" w:hAnsi="Arial" w:eastAsia="Times New Roman" w:cs="Arial"/>
          <w:bCs/>
          <w:sz w:val="20"/>
          <w:szCs w:val="20"/>
        </w:rPr>
        <w:t>evaluation</w:t>
      </w:r>
      <w:r w:rsidRPr="00C40430" w:rsidR="000F02F8">
        <w:rPr>
          <w:rFonts w:ascii="Arial" w:hAnsi="Arial" w:eastAsia="Times New Roman" w:cs="Arial"/>
          <w:bCs/>
          <w:sz w:val="20"/>
          <w:szCs w:val="20"/>
        </w:rPr>
        <w:t xml:space="preserve"> to give rise to any inherent procedural unfairness. In your response to my letter, you </w:t>
      </w:r>
      <w:r w:rsidR="00C40430">
        <w:rPr>
          <w:rFonts w:ascii="Arial" w:hAnsi="Arial" w:eastAsia="Times New Roman" w:cs="Arial"/>
          <w:bCs/>
          <w:sz w:val="20"/>
          <w:szCs w:val="20"/>
        </w:rPr>
        <w:t>contended</w:t>
      </w:r>
      <w:r w:rsidRPr="00C40430" w:rsidR="000F02F8">
        <w:rPr>
          <w:rFonts w:ascii="Arial" w:hAnsi="Arial" w:eastAsia="Times New Roman" w:cs="Arial"/>
          <w:bCs/>
          <w:sz w:val="20"/>
          <w:szCs w:val="20"/>
        </w:rPr>
        <w:t xml:space="preserve"> that "</w:t>
      </w:r>
      <w:r w:rsidRPr="00C40430" w:rsidR="000F02F8">
        <w:rPr>
          <w:rFonts w:ascii="Arial" w:hAnsi="Arial" w:eastAsia="Times New Roman" w:cs="Arial"/>
          <w:bCs/>
          <w:i/>
          <w:iCs/>
          <w:sz w:val="20"/>
          <w:szCs w:val="20"/>
        </w:rPr>
        <w:t>the extended delay lacked transparency and created uncertainty for stakeholders"</w:t>
      </w:r>
      <w:r w:rsidRPr="00C40430" w:rsidR="000F02F8">
        <w:rPr>
          <w:rFonts w:ascii="Arial" w:hAnsi="Arial" w:eastAsia="Times New Roman" w:cs="Arial"/>
          <w:bCs/>
          <w:sz w:val="20"/>
          <w:szCs w:val="20"/>
        </w:rPr>
        <w:t xml:space="preserve">. As noted in my initial scrutiny letter, the </w:t>
      </w:r>
      <w:proofErr w:type="gramStart"/>
      <w:r w:rsidRPr="00C40430" w:rsidR="000F02F8">
        <w:rPr>
          <w:rFonts w:ascii="Arial" w:hAnsi="Arial" w:eastAsia="Times New Roman" w:cs="Arial"/>
          <w:bCs/>
          <w:sz w:val="20"/>
          <w:szCs w:val="20"/>
        </w:rPr>
        <w:t>time period</w:t>
      </w:r>
      <w:proofErr w:type="gramEnd"/>
      <w:r w:rsidRPr="00C40430" w:rsidR="000F02F8">
        <w:rPr>
          <w:rFonts w:ascii="Arial" w:hAnsi="Arial" w:eastAsia="Times New Roman" w:cs="Arial"/>
          <w:bCs/>
          <w:sz w:val="20"/>
          <w:szCs w:val="20"/>
        </w:rPr>
        <w:t xml:space="preserve"> for the publication of draft guidance varies between each appraisal for numerous reasons. </w:t>
      </w:r>
    </w:p>
    <w:p w:rsidRPr="00C40430" w:rsidR="000F02F8" w:rsidP="00F61ED1" w:rsidRDefault="000F02F8" w14:paraId="5BEEA2AB" w14:textId="133CB0D5">
      <w:pPr>
        <w:spacing w:before="240" w:after="240"/>
        <w:jc w:val="both"/>
        <w:rPr>
          <w:rFonts w:ascii="Arial" w:hAnsi="Arial" w:eastAsia="Times New Roman" w:cs="Arial"/>
          <w:bCs/>
          <w:sz w:val="20"/>
          <w:szCs w:val="20"/>
        </w:rPr>
      </w:pPr>
      <w:r w:rsidRPr="00C40430">
        <w:rPr>
          <w:rFonts w:ascii="Arial" w:hAnsi="Arial" w:eastAsia="Times New Roman" w:cs="Arial"/>
          <w:bCs/>
          <w:sz w:val="20"/>
          <w:szCs w:val="20"/>
        </w:rPr>
        <w:t xml:space="preserve">I remain of the view that the intervals between issuing draft guidance in this appraisal were not so far outside the ordinary course of an STA that it was procedurally unfair. As a result, I </w:t>
      </w:r>
      <w:r w:rsidRPr="00C40430" w:rsidR="000F35CA">
        <w:rPr>
          <w:rFonts w:ascii="Arial" w:hAnsi="Arial" w:eastAsia="Times New Roman" w:cs="Arial"/>
          <w:bCs/>
          <w:sz w:val="20"/>
          <w:szCs w:val="20"/>
        </w:rPr>
        <w:t>will not</w:t>
      </w:r>
      <w:r w:rsidRPr="00C40430">
        <w:rPr>
          <w:rFonts w:ascii="Arial" w:hAnsi="Arial" w:eastAsia="Times New Roman" w:cs="Arial"/>
          <w:bCs/>
          <w:sz w:val="20"/>
          <w:szCs w:val="20"/>
        </w:rPr>
        <w:t xml:space="preserve"> refer this appeal point to the Appeal Panel. </w:t>
      </w:r>
    </w:p>
    <w:p w:rsidRPr="00C40430" w:rsidR="00955CDB" w:rsidP="00F61ED1" w:rsidRDefault="00F61ED1" w14:paraId="6BCBF784" w14:textId="10E307ED">
      <w:pPr>
        <w:spacing w:before="240" w:after="240"/>
        <w:jc w:val="both"/>
        <w:rPr>
          <w:rFonts w:ascii="Arial" w:hAnsi="Arial" w:eastAsia="Times New Roman" w:cs="Arial"/>
          <w:b/>
          <w:sz w:val="20"/>
          <w:szCs w:val="20"/>
          <w:u w:val="single"/>
        </w:rPr>
      </w:pPr>
      <w:r w:rsidRPr="00C40430">
        <w:rPr>
          <w:rFonts w:ascii="Arial" w:hAnsi="Arial" w:eastAsia="Times New Roman" w:cs="Arial"/>
          <w:b/>
          <w:sz w:val="20"/>
          <w:szCs w:val="20"/>
          <w:u w:val="single"/>
        </w:rPr>
        <w:t xml:space="preserve">Appeal </w:t>
      </w:r>
      <w:proofErr w:type="gramStart"/>
      <w:r w:rsidRPr="00C40430">
        <w:rPr>
          <w:rFonts w:ascii="Arial" w:hAnsi="Arial" w:eastAsia="Times New Roman" w:cs="Arial"/>
          <w:b/>
          <w:sz w:val="20"/>
          <w:szCs w:val="20"/>
          <w:u w:val="single"/>
        </w:rPr>
        <w:t>point</w:t>
      </w:r>
      <w:proofErr w:type="gramEnd"/>
      <w:r w:rsidRPr="00C40430">
        <w:rPr>
          <w:rFonts w:ascii="Arial" w:hAnsi="Arial" w:eastAsia="Times New Roman" w:cs="Arial"/>
          <w:b/>
          <w:sz w:val="20"/>
          <w:szCs w:val="20"/>
          <w:u w:val="single"/>
        </w:rPr>
        <w:t xml:space="preserve"> 1(a).3: Failure to consider that lack of treatment access may jeopardise the implementation of newborn screening for CLN2 </w:t>
      </w:r>
    </w:p>
    <w:p w:rsidRPr="00C40430" w:rsidR="00904536" w:rsidP="00F61ED1" w:rsidRDefault="000F35CA" w14:paraId="57551DD4" w14:textId="53C3975D">
      <w:pPr>
        <w:spacing w:before="240" w:after="240"/>
        <w:jc w:val="both"/>
        <w:rPr>
          <w:rFonts w:ascii="Arial" w:hAnsi="Arial" w:eastAsia="Times New Roman" w:cs="Arial"/>
          <w:bCs/>
          <w:sz w:val="20"/>
          <w:szCs w:val="20"/>
        </w:rPr>
      </w:pPr>
      <w:r w:rsidRPr="00C40430">
        <w:rPr>
          <w:rFonts w:ascii="Arial" w:hAnsi="Arial" w:eastAsia="Times New Roman" w:cs="Arial"/>
          <w:bCs/>
          <w:sz w:val="20"/>
          <w:szCs w:val="20"/>
        </w:rPr>
        <w:t xml:space="preserve">Having carefully considered your additional submissions, I remain of the view that this does </w:t>
      </w:r>
      <w:r w:rsidRPr="00C40430" w:rsidR="00F963CD">
        <w:rPr>
          <w:rFonts w:ascii="Arial" w:hAnsi="Arial" w:eastAsia="Times New Roman" w:cs="Arial"/>
          <w:bCs/>
          <w:sz w:val="20"/>
          <w:szCs w:val="20"/>
        </w:rPr>
        <w:t xml:space="preserve">not </w:t>
      </w:r>
      <w:r w:rsidRPr="00C40430">
        <w:rPr>
          <w:rFonts w:ascii="Arial" w:hAnsi="Arial" w:eastAsia="Times New Roman" w:cs="Arial"/>
          <w:bCs/>
          <w:sz w:val="20"/>
          <w:szCs w:val="20"/>
        </w:rPr>
        <w:t xml:space="preserve">raise an arguable appeal point and so confirm that I will </w:t>
      </w:r>
      <w:r w:rsidRPr="00C40430" w:rsidR="00904536">
        <w:rPr>
          <w:rFonts w:ascii="Arial" w:hAnsi="Arial" w:eastAsia="Times New Roman" w:cs="Arial"/>
          <w:bCs/>
          <w:sz w:val="20"/>
          <w:szCs w:val="20"/>
        </w:rPr>
        <w:t>not refer this appeal point to the Appeal Panel. That is beca</w:t>
      </w:r>
      <w:r w:rsidRPr="00C40430" w:rsidR="000B5EEA">
        <w:rPr>
          <w:rFonts w:ascii="Arial" w:hAnsi="Arial" w:eastAsia="Times New Roman" w:cs="Arial"/>
          <w:bCs/>
          <w:sz w:val="20"/>
          <w:szCs w:val="20"/>
        </w:rPr>
        <w:t xml:space="preserve">use, as I noted in my initial scrutiny letter, the Committee </w:t>
      </w:r>
      <w:r w:rsidRPr="00C40430" w:rsidR="00F963CD">
        <w:rPr>
          <w:rFonts w:ascii="Arial" w:hAnsi="Arial" w:eastAsia="Times New Roman" w:cs="Arial"/>
          <w:bCs/>
          <w:sz w:val="20"/>
          <w:szCs w:val="20"/>
        </w:rPr>
        <w:t>cannot be expected to attribute quantitative weight to developments which may affect the technology in the future; notwithstanding that the Committee did recognise and take account of that potential development in its decision making.  I do not consider that that analysis is affected by the additional details provided in your letter of response. Y</w:t>
      </w:r>
      <w:r w:rsidRPr="00C40430" w:rsidR="000B5EEA">
        <w:rPr>
          <w:rFonts w:ascii="Arial" w:hAnsi="Arial" w:eastAsia="Times New Roman" w:cs="Arial"/>
          <w:bCs/>
          <w:sz w:val="20"/>
          <w:szCs w:val="20"/>
        </w:rPr>
        <w:t>ou note that newborn screening is "</w:t>
      </w:r>
      <w:r w:rsidRPr="00C40430" w:rsidR="000B5EEA">
        <w:rPr>
          <w:rFonts w:ascii="Arial" w:hAnsi="Arial" w:eastAsia="Times New Roman" w:cs="Arial"/>
          <w:bCs/>
          <w:i/>
          <w:iCs/>
          <w:sz w:val="20"/>
          <w:szCs w:val="20"/>
        </w:rPr>
        <w:t xml:space="preserve">a near-term reality not a hypothetical". </w:t>
      </w:r>
      <w:r w:rsidRPr="00C40430" w:rsidR="000B5EEA">
        <w:rPr>
          <w:rFonts w:ascii="Arial" w:hAnsi="Arial" w:eastAsia="Times New Roman" w:cs="Arial"/>
          <w:bCs/>
          <w:sz w:val="20"/>
          <w:szCs w:val="20"/>
        </w:rPr>
        <w:t xml:space="preserve">That being the case, it remains true that it was not evidence available to the Committee at the time of appraising </w:t>
      </w:r>
      <w:proofErr w:type="spellStart"/>
      <w:r w:rsidRPr="00C40430" w:rsidR="000B5EEA">
        <w:rPr>
          <w:rFonts w:ascii="Arial" w:hAnsi="Arial" w:eastAsia="Times New Roman" w:cs="Arial"/>
          <w:bCs/>
          <w:sz w:val="20"/>
          <w:szCs w:val="20"/>
        </w:rPr>
        <w:t>cerliponase</w:t>
      </w:r>
      <w:proofErr w:type="spellEnd"/>
      <w:r w:rsidRPr="00C40430" w:rsidR="000B5EEA">
        <w:rPr>
          <w:rFonts w:ascii="Arial" w:hAnsi="Arial" w:eastAsia="Times New Roman" w:cs="Arial"/>
          <w:bCs/>
          <w:sz w:val="20"/>
          <w:szCs w:val="20"/>
        </w:rPr>
        <w:t xml:space="preserve"> alfa for treating CLN2, and so I do not consider it to be procedurally unfair for the Committee to have accounted for that future possibility qualitatively rather than quantitatively. </w:t>
      </w:r>
    </w:p>
    <w:p w:rsidRPr="00C40430" w:rsidR="00955CDB" w:rsidP="00F61ED1" w:rsidRDefault="00955CDB" w14:paraId="3AAE2904" w14:textId="77777777">
      <w:pPr>
        <w:spacing w:before="240" w:after="240"/>
        <w:jc w:val="both"/>
        <w:rPr>
          <w:rFonts w:ascii="Arial" w:hAnsi="Arial" w:eastAsia="Times New Roman" w:cs="Arial"/>
          <w:bCs/>
          <w:sz w:val="20"/>
          <w:szCs w:val="20"/>
        </w:rPr>
      </w:pPr>
      <w:r w:rsidRPr="00C40430">
        <w:rPr>
          <w:rFonts w:ascii="Arial" w:hAnsi="Arial" w:eastAsia="Times New Roman" w:cs="Arial"/>
          <w:bCs/>
          <w:sz w:val="20"/>
          <w:szCs w:val="20"/>
        </w:rPr>
        <w:t>Separately, you have noted in your response to my initial scrutiny letter that in relation to NICE's surveillance review process "</w:t>
      </w:r>
      <w:r w:rsidRPr="00C40430">
        <w:rPr>
          <w:rFonts w:ascii="Arial" w:hAnsi="Arial" w:eastAsia="Times New Roman" w:cs="Arial"/>
          <w:bCs/>
          <w:i/>
          <w:iCs/>
          <w:sz w:val="20"/>
          <w:szCs w:val="20"/>
        </w:rPr>
        <w:t xml:space="preserve">our understanding is that the availability of evidence supporting the early detection via newborn screening would not itself trigger that process". </w:t>
      </w:r>
      <w:r w:rsidRPr="00C40430">
        <w:rPr>
          <w:rFonts w:ascii="Arial" w:hAnsi="Arial" w:eastAsia="Times New Roman" w:cs="Arial"/>
          <w:bCs/>
          <w:sz w:val="20"/>
          <w:szCs w:val="20"/>
        </w:rPr>
        <w:t xml:space="preserve">You may be assisted by section 8.2.1 of the Manual, which provides that "changes in the care pathway" is one of the sources that NICE will </w:t>
      </w:r>
      <w:proofErr w:type="gramStart"/>
      <w:r w:rsidRPr="00C40430">
        <w:rPr>
          <w:rFonts w:ascii="Arial" w:hAnsi="Arial" w:eastAsia="Times New Roman" w:cs="Arial"/>
          <w:bCs/>
          <w:sz w:val="20"/>
          <w:szCs w:val="20"/>
        </w:rPr>
        <w:t>take into account</w:t>
      </w:r>
      <w:proofErr w:type="gramEnd"/>
      <w:r w:rsidRPr="00C40430">
        <w:rPr>
          <w:rFonts w:ascii="Arial" w:hAnsi="Arial" w:eastAsia="Times New Roman" w:cs="Arial"/>
          <w:bCs/>
          <w:sz w:val="20"/>
          <w:szCs w:val="20"/>
        </w:rPr>
        <w:t xml:space="preserve"> in deciding when a guidance topic should be reviewed. </w:t>
      </w:r>
    </w:p>
    <w:p w:rsidRPr="00C40430" w:rsidR="00955CDB" w:rsidP="00F61ED1" w:rsidRDefault="00955CDB" w14:paraId="55A8C03F" w14:textId="73FBC23E">
      <w:pPr>
        <w:spacing w:before="240" w:after="240"/>
        <w:jc w:val="both"/>
        <w:rPr>
          <w:rFonts w:ascii="Arial" w:hAnsi="Arial" w:eastAsia="Times New Roman" w:cs="Arial"/>
          <w:bCs/>
          <w:sz w:val="20"/>
          <w:szCs w:val="20"/>
        </w:rPr>
      </w:pPr>
      <w:r w:rsidRPr="00C40430">
        <w:rPr>
          <w:rFonts w:ascii="Arial" w:hAnsi="Arial" w:eastAsia="Times New Roman" w:cs="Arial"/>
          <w:bCs/>
          <w:sz w:val="20"/>
          <w:szCs w:val="20"/>
        </w:rPr>
        <w:t xml:space="preserve">I would consider the introduction of a screening programme capable of having a direct impact on clinical outcomes, cost-effectiveness and equity of access to be a relevant factor that NICE would </w:t>
      </w:r>
      <w:proofErr w:type="gramStart"/>
      <w:r w:rsidRPr="00C40430">
        <w:rPr>
          <w:rFonts w:ascii="Arial" w:hAnsi="Arial" w:eastAsia="Times New Roman" w:cs="Arial"/>
          <w:bCs/>
          <w:sz w:val="20"/>
          <w:szCs w:val="20"/>
        </w:rPr>
        <w:t>take into account</w:t>
      </w:r>
      <w:proofErr w:type="gramEnd"/>
      <w:r w:rsidRPr="00C40430">
        <w:rPr>
          <w:rFonts w:ascii="Arial" w:hAnsi="Arial" w:eastAsia="Times New Roman" w:cs="Arial"/>
          <w:bCs/>
          <w:sz w:val="20"/>
          <w:szCs w:val="20"/>
        </w:rPr>
        <w:t xml:space="preserve"> in deciding when a guidance topic should be reviewed. </w:t>
      </w:r>
    </w:p>
    <w:p w:rsidRPr="00C40430" w:rsidR="00F61ED1" w:rsidP="00F61ED1" w:rsidRDefault="00F61ED1" w14:paraId="154A74A0" w14:textId="77777777">
      <w:pPr>
        <w:spacing w:before="240" w:after="240"/>
        <w:jc w:val="both"/>
        <w:rPr>
          <w:rFonts w:ascii="Arial" w:hAnsi="Arial" w:eastAsia="Times New Roman" w:cs="Arial"/>
          <w:b/>
          <w:sz w:val="20"/>
          <w:szCs w:val="20"/>
          <w:u w:val="single"/>
        </w:rPr>
      </w:pPr>
      <w:r w:rsidRPr="00C40430">
        <w:rPr>
          <w:rFonts w:ascii="Arial" w:hAnsi="Arial" w:eastAsia="Times New Roman" w:cs="Arial"/>
          <w:b/>
          <w:sz w:val="20"/>
          <w:szCs w:val="20"/>
          <w:u w:val="single"/>
        </w:rPr>
        <w:t xml:space="preserve">Appeal </w:t>
      </w:r>
      <w:proofErr w:type="gramStart"/>
      <w:r w:rsidRPr="00C40430">
        <w:rPr>
          <w:rFonts w:ascii="Arial" w:hAnsi="Arial" w:eastAsia="Times New Roman" w:cs="Arial"/>
          <w:b/>
          <w:sz w:val="20"/>
          <w:szCs w:val="20"/>
          <w:u w:val="single"/>
        </w:rPr>
        <w:t>point</w:t>
      </w:r>
      <w:proofErr w:type="gramEnd"/>
      <w:r w:rsidRPr="00C40430">
        <w:rPr>
          <w:rFonts w:ascii="Arial" w:hAnsi="Arial" w:eastAsia="Times New Roman" w:cs="Arial"/>
          <w:b/>
          <w:sz w:val="20"/>
          <w:szCs w:val="20"/>
          <w:u w:val="single"/>
        </w:rPr>
        <w:t xml:space="preserve"> 1(a).4: The Committee failed to properly discharge its Equality Act duty </w:t>
      </w:r>
    </w:p>
    <w:p w:rsidRPr="00C40430" w:rsidR="00F963CD" w:rsidP="00F963CD" w:rsidRDefault="00F963CD" w14:paraId="0CD50441" w14:textId="77777777">
      <w:pPr>
        <w:spacing w:before="240" w:after="240"/>
        <w:jc w:val="both"/>
        <w:rPr>
          <w:rFonts w:ascii="Arial" w:hAnsi="Arial" w:eastAsia="Times New Roman" w:cs="Arial"/>
          <w:bCs/>
          <w:sz w:val="20"/>
          <w:szCs w:val="20"/>
        </w:rPr>
      </w:pPr>
      <w:r w:rsidRPr="00C40430">
        <w:rPr>
          <w:rFonts w:ascii="Arial" w:hAnsi="Arial" w:eastAsia="Times New Roman" w:cs="Arial"/>
          <w:bCs/>
          <w:sz w:val="20"/>
          <w:szCs w:val="20"/>
        </w:rPr>
        <w:t>I will refer this appeal point to the Appeal Panel in relation to unlawful indirect discrimination.</w:t>
      </w:r>
    </w:p>
    <w:p w:rsidRPr="00C40430" w:rsidR="00C40430" w:rsidP="00F963CD" w:rsidRDefault="00F963CD" w14:paraId="6B5B724D" w14:textId="4423C461">
      <w:pPr>
        <w:spacing w:before="240" w:after="240"/>
        <w:jc w:val="both"/>
        <w:rPr>
          <w:rFonts w:ascii="Arial" w:hAnsi="Arial" w:eastAsia="Times New Roman" w:cs="Arial"/>
          <w:bCs/>
          <w:sz w:val="20"/>
          <w:szCs w:val="20"/>
        </w:rPr>
      </w:pPr>
      <w:r w:rsidRPr="00C40430">
        <w:rPr>
          <w:rFonts w:ascii="Arial" w:hAnsi="Arial" w:eastAsia="Times New Roman" w:cs="Arial"/>
          <w:bCs/>
          <w:sz w:val="20"/>
          <w:szCs w:val="20"/>
        </w:rPr>
        <w:t xml:space="preserve">In reaching this conclusion I note that the Committee recognised and explicitly considered the submissions they received that not recommending </w:t>
      </w:r>
      <w:proofErr w:type="spellStart"/>
      <w:r w:rsidR="00804CAE">
        <w:rPr>
          <w:rFonts w:ascii="Arial" w:hAnsi="Arial" w:eastAsia="Times New Roman" w:cs="Arial"/>
          <w:bCs/>
          <w:sz w:val="20"/>
          <w:szCs w:val="20"/>
        </w:rPr>
        <w:t>c</w:t>
      </w:r>
      <w:r w:rsidRPr="00C40430">
        <w:rPr>
          <w:rFonts w:ascii="Arial" w:hAnsi="Arial" w:eastAsia="Times New Roman" w:cs="Arial"/>
          <w:bCs/>
          <w:sz w:val="20"/>
          <w:szCs w:val="20"/>
        </w:rPr>
        <w:t>erliponase</w:t>
      </w:r>
      <w:proofErr w:type="spellEnd"/>
      <w:r w:rsidRPr="00C40430">
        <w:rPr>
          <w:rFonts w:ascii="Arial" w:hAnsi="Arial" w:eastAsia="Times New Roman" w:cs="Arial"/>
          <w:bCs/>
          <w:sz w:val="20"/>
          <w:szCs w:val="20"/>
        </w:rPr>
        <w:t xml:space="preserve"> alfa for children diagnosed after the end of the MAA extension would disproportionately impact younger children.  As set out in my initial scrutiny letter, indirect discrimination can be objectively justified as a proportionate means of meeting a legitimate aim.  The legitimate aim of a NICE evaluation is that of only recommending technologies which </w:t>
      </w:r>
      <w:proofErr w:type="gramStart"/>
      <w:r w:rsidRPr="00C40430">
        <w:rPr>
          <w:rFonts w:ascii="Arial" w:hAnsi="Arial" w:eastAsia="Times New Roman" w:cs="Arial"/>
          <w:bCs/>
          <w:sz w:val="20"/>
          <w:szCs w:val="20"/>
        </w:rPr>
        <w:t>are considered to be</w:t>
      </w:r>
      <w:proofErr w:type="gramEnd"/>
      <w:r w:rsidRPr="00C40430">
        <w:rPr>
          <w:rFonts w:ascii="Arial" w:hAnsi="Arial" w:eastAsia="Times New Roman" w:cs="Arial"/>
          <w:bCs/>
          <w:sz w:val="20"/>
          <w:szCs w:val="20"/>
        </w:rPr>
        <w:t xml:space="preserve"> both clinically and cost effective.  It is difficult to envisage circumstances in which it would be disproportionate to make a negative recommendation in respect </w:t>
      </w:r>
      <w:proofErr w:type="gramStart"/>
      <w:r w:rsidRPr="00C40430">
        <w:rPr>
          <w:rFonts w:ascii="Arial" w:hAnsi="Arial" w:eastAsia="Times New Roman" w:cs="Arial"/>
          <w:bCs/>
          <w:sz w:val="20"/>
          <w:szCs w:val="20"/>
        </w:rPr>
        <w:t>of  a</w:t>
      </w:r>
      <w:proofErr w:type="gramEnd"/>
      <w:r w:rsidRPr="00C40430">
        <w:rPr>
          <w:rFonts w:ascii="Arial" w:hAnsi="Arial" w:eastAsia="Times New Roman" w:cs="Arial"/>
          <w:bCs/>
          <w:sz w:val="20"/>
          <w:szCs w:val="20"/>
        </w:rPr>
        <w:t xml:space="preserve"> technology that is not cost-effective.  Nevertheless, I refer this point as it is not clear from the wording of paragraph 3.21 of the FDG that the Committee considered this issue.  I note in this regard that the obligation on NICE is to avoid unlawful indirect discrimination in substance, and there is no freestanding obligation to explain how it has met the duty.</w:t>
      </w:r>
    </w:p>
    <w:p w:rsidRPr="00C40430" w:rsidR="00C40430" w:rsidP="00F963CD" w:rsidRDefault="00C40430" w14:paraId="605DA93B" w14:textId="2D7965CE">
      <w:pPr>
        <w:spacing w:before="240" w:after="240"/>
        <w:jc w:val="both"/>
        <w:rPr>
          <w:rFonts w:ascii="Arial" w:hAnsi="Arial" w:eastAsia="Times New Roman" w:cs="Arial"/>
          <w:bCs/>
          <w:sz w:val="20"/>
          <w:szCs w:val="20"/>
        </w:rPr>
      </w:pPr>
      <w:r w:rsidRPr="00C40430">
        <w:rPr>
          <w:rFonts w:ascii="Arial" w:hAnsi="Arial" w:eastAsia="Times New Roman" w:cs="Arial"/>
          <w:bCs/>
          <w:sz w:val="20"/>
          <w:szCs w:val="20"/>
        </w:rPr>
        <w:t xml:space="preserve">I would therefore re-word the appeal </w:t>
      </w:r>
      <w:proofErr w:type="gramStart"/>
      <w:r w:rsidRPr="00C40430">
        <w:rPr>
          <w:rFonts w:ascii="Arial" w:hAnsi="Arial" w:eastAsia="Times New Roman" w:cs="Arial"/>
          <w:bCs/>
          <w:sz w:val="20"/>
          <w:szCs w:val="20"/>
        </w:rPr>
        <w:t>point</w:t>
      </w:r>
      <w:proofErr w:type="gramEnd"/>
      <w:r w:rsidRPr="00C40430">
        <w:rPr>
          <w:rFonts w:ascii="Arial" w:hAnsi="Arial" w:eastAsia="Times New Roman" w:cs="Arial"/>
          <w:bCs/>
          <w:sz w:val="20"/>
          <w:szCs w:val="20"/>
        </w:rPr>
        <w:t xml:space="preserve"> as:</w:t>
      </w:r>
    </w:p>
    <w:p w:rsidRPr="00C40430" w:rsidR="00C40430" w:rsidP="00C40430" w:rsidRDefault="00C40430" w14:paraId="256AECD5" w14:textId="694FD4B1">
      <w:pPr>
        <w:pStyle w:val="ListParagraph"/>
        <w:numPr>
          <w:ilvl w:val="0"/>
          <w:numId w:val="10"/>
        </w:numPr>
        <w:spacing w:before="240" w:after="240"/>
        <w:jc w:val="both"/>
        <w:rPr>
          <w:rFonts w:cs="Arial"/>
          <w:bCs/>
        </w:rPr>
      </w:pPr>
      <w:r w:rsidRPr="00C40430">
        <w:rPr>
          <w:rFonts w:cs="Arial"/>
          <w:bCs/>
        </w:rPr>
        <w:t>1(b)1: The Committee failed to meet its duty under section 29 of the Equality Act 2010.</w:t>
      </w:r>
    </w:p>
    <w:p w:rsidR="00804CAE" w:rsidP="00F963CD" w:rsidRDefault="00804CAE" w14:paraId="14CD59AE" w14:textId="77777777">
      <w:pPr>
        <w:spacing w:before="240" w:after="240"/>
        <w:jc w:val="both"/>
        <w:rPr>
          <w:rFonts w:ascii="Arial" w:hAnsi="Arial" w:eastAsia="Times New Roman" w:cs="Arial"/>
          <w:bCs/>
          <w:sz w:val="20"/>
          <w:szCs w:val="20"/>
        </w:rPr>
      </w:pPr>
      <w:r>
        <w:rPr>
          <w:rFonts w:ascii="Arial" w:hAnsi="Arial" w:eastAsia="Times New Roman" w:cs="Arial"/>
          <w:bCs/>
          <w:sz w:val="20"/>
          <w:szCs w:val="20"/>
        </w:rPr>
        <w:t xml:space="preserve">I will not refer the appeal point in relation to compliance with the PSED, which is, in my view, demonstrated by paragraph 3.21 of the FDG and the three equality impact assessments published amongst the project documents.  </w:t>
      </w:r>
    </w:p>
    <w:p w:rsidRPr="00C40430" w:rsidR="00F963CD" w:rsidP="00F963CD" w:rsidRDefault="00F963CD" w14:paraId="20CFE3A2" w14:textId="5A128D8E">
      <w:pPr>
        <w:spacing w:before="240" w:after="240"/>
        <w:jc w:val="both"/>
        <w:rPr>
          <w:rFonts w:ascii="Arial" w:hAnsi="Arial" w:eastAsia="Times New Roman" w:cs="Arial"/>
          <w:bCs/>
          <w:sz w:val="20"/>
          <w:szCs w:val="20"/>
        </w:rPr>
      </w:pPr>
      <w:r w:rsidRPr="00C40430">
        <w:rPr>
          <w:rFonts w:ascii="Arial" w:hAnsi="Arial" w:eastAsia="Times New Roman" w:cs="Arial"/>
          <w:bCs/>
          <w:sz w:val="20"/>
          <w:szCs w:val="20"/>
        </w:rPr>
        <w:t>I note the new point in your letter that "</w:t>
      </w:r>
      <w:r w:rsidRPr="00C40430">
        <w:rPr>
          <w:rFonts w:ascii="Arial" w:hAnsi="Arial" w:eastAsia="Times New Roman" w:cs="Arial"/>
          <w:bCs/>
          <w:i/>
          <w:iCs/>
          <w:sz w:val="20"/>
          <w:szCs w:val="20"/>
        </w:rPr>
        <w:t>there would be discrimination between children who live in England and children living in Scotland</w:t>
      </w:r>
      <w:r w:rsidRPr="00C40430">
        <w:rPr>
          <w:rFonts w:ascii="Arial" w:hAnsi="Arial" w:eastAsia="Times New Roman" w:cs="Arial"/>
          <w:bCs/>
          <w:sz w:val="20"/>
          <w:szCs w:val="20"/>
        </w:rPr>
        <w:t xml:space="preserve">".  As this </w:t>
      </w:r>
      <w:proofErr w:type="gramStart"/>
      <w:r w:rsidRPr="00C40430">
        <w:rPr>
          <w:rFonts w:ascii="Arial" w:hAnsi="Arial" w:eastAsia="Times New Roman" w:cs="Arial"/>
          <w:bCs/>
          <w:sz w:val="20"/>
          <w:szCs w:val="20"/>
        </w:rPr>
        <w:t>is does not</w:t>
      </w:r>
      <w:proofErr w:type="gramEnd"/>
      <w:r w:rsidRPr="00C40430">
        <w:rPr>
          <w:rFonts w:ascii="Arial" w:hAnsi="Arial" w:eastAsia="Times New Roman" w:cs="Arial"/>
          <w:bCs/>
          <w:sz w:val="20"/>
          <w:szCs w:val="20"/>
        </w:rPr>
        <w:t xml:space="preserve"> engage a protected characteristic, I will not refer this new point to the Appeal Panel.</w:t>
      </w:r>
    </w:p>
    <w:p w:rsidRPr="00C40430" w:rsidR="00F61ED1" w:rsidP="00F61ED1" w:rsidRDefault="00F61ED1" w14:paraId="31B66DA3" w14:textId="77777777">
      <w:pPr>
        <w:spacing w:before="240" w:after="240"/>
        <w:jc w:val="both"/>
        <w:rPr>
          <w:rFonts w:ascii="Arial" w:hAnsi="Arial" w:eastAsia="Times New Roman" w:cs="Arial"/>
          <w:b/>
          <w:sz w:val="20"/>
          <w:szCs w:val="20"/>
          <w:u w:val="single"/>
        </w:rPr>
      </w:pPr>
      <w:r w:rsidRPr="00C40430">
        <w:rPr>
          <w:rFonts w:ascii="Arial" w:hAnsi="Arial" w:eastAsia="Times New Roman" w:cs="Arial"/>
          <w:b/>
          <w:sz w:val="20"/>
          <w:szCs w:val="20"/>
          <w:u w:val="single"/>
        </w:rPr>
        <w:t xml:space="preserve">Appeal </w:t>
      </w:r>
      <w:proofErr w:type="gramStart"/>
      <w:r w:rsidRPr="00C40430">
        <w:rPr>
          <w:rFonts w:ascii="Arial" w:hAnsi="Arial" w:eastAsia="Times New Roman" w:cs="Arial"/>
          <w:b/>
          <w:sz w:val="20"/>
          <w:szCs w:val="20"/>
          <w:u w:val="single"/>
        </w:rPr>
        <w:t>point</w:t>
      </w:r>
      <w:proofErr w:type="gramEnd"/>
      <w:r w:rsidRPr="00C40430">
        <w:rPr>
          <w:rFonts w:ascii="Arial" w:hAnsi="Arial" w:eastAsia="Times New Roman" w:cs="Arial"/>
          <w:b/>
          <w:sz w:val="20"/>
          <w:szCs w:val="20"/>
          <w:u w:val="single"/>
        </w:rPr>
        <w:t xml:space="preserve"> 1(a).5: The Committee process included inappropriate commentary based on misleading and incorrect assumptions from a committee member beyond the evidence and appraisal criteria. </w:t>
      </w:r>
    </w:p>
    <w:p w:rsidRPr="00C40430" w:rsidR="00C40430" w:rsidP="00F61ED1" w:rsidRDefault="00C40430" w14:paraId="20F04FC8" w14:textId="06DF8690">
      <w:pPr>
        <w:spacing w:before="240" w:after="240"/>
        <w:jc w:val="both"/>
        <w:rPr>
          <w:rFonts w:ascii="Arial" w:hAnsi="Arial" w:eastAsia="Times New Roman" w:cs="Arial"/>
          <w:bCs/>
          <w:sz w:val="20"/>
          <w:szCs w:val="20"/>
        </w:rPr>
      </w:pPr>
      <w:r w:rsidRPr="00C40430">
        <w:rPr>
          <w:rFonts w:ascii="Arial" w:hAnsi="Arial" w:eastAsia="Times New Roman" w:cs="Arial"/>
          <w:bCs/>
          <w:sz w:val="20"/>
          <w:szCs w:val="20"/>
        </w:rPr>
        <w:t xml:space="preserve">Having carefully considered the additional argument in your letter, I remain of the view that, whilst unfortunate, this does not raise an arguable appeal point.  I do not consider it arguable that </w:t>
      </w:r>
      <w:r w:rsidR="00804CAE">
        <w:rPr>
          <w:rFonts w:ascii="Arial" w:hAnsi="Arial" w:eastAsia="Times New Roman" w:cs="Arial"/>
          <w:bCs/>
          <w:sz w:val="20"/>
          <w:szCs w:val="20"/>
        </w:rPr>
        <w:t>the</w:t>
      </w:r>
      <w:r w:rsidRPr="00C40430">
        <w:rPr>
          <w:rFonts w:ascii="Arial" w:hAnsi="Arial" w:eastAsia="Times New Roman" w:cs="Arial"/>
          <w:bCs/>
          <w:sz w:val="20"/>
          <w:szCs w:val="20"/>
        </w:rPr>
        <w:t xml:space="preserve"> comment</w:t>
      </w:r>
      <w:r w:rsidR="00804CAE">
        <w:rPr>
          <w:rFonts w:ascii="Arial" w:hAnsi="Arial" w:eastAsia="Times New Roman" w:cs="Arial"/>
          <w:bCs/>
          <w:sz w:val="20"/>
          <w:szCs w:val="20"/>
        </w:rPr>
        <w:t>s</w:t>
      </w:r>
      <w:r w:rsidRPr="00C40430">
        <w:rPr>
          <w:rFonts w:ascii="Arial" w:hAnsi="Arial" w:eastAsia="Times New Roman" w:cs="Arial"/>
          <w:bCs/>
          <w:sz w:val="20"/>
          <w:szCs w:val="20"/>
        </w:rPr>
        <w:t xml:space="preserve"> could</w:t>
      </w:r>
      <w:r w:rsidR="00804CAE">
        <w:rPr>
          <w:rFonts w:ascii="Arial" w:hAnsi="Arial" w:eastAsia="Times New Roman" w:cs="Arial"/>
          <w:bCs/>
          <w:sz w:val="20"/>
          <w:szCs w:val="20"/>
        </w:rPr>
        <w:t xml:space="preserve"> have</w:t>
      </w:r>
      <w:r w:rsidRPr="00C40430">
        <w:rPr>
          <w:rFonts w:ascii="Arial" w:hAnsi="Arial" w:eastAsia="Times New Roman" w:cs="Arial"/>
          <w:bCs/>
          <w:sz w:val="20"/>
          <w:szCs w:val="20"/>
        </w:rPr>
        <w:t xml:space="preserve"> influence</w:t>
      </w:r>
      <w:r w:rsidR="00804CAE">
        <w:rPr>
          <w:rFonts w:ascii="Arial" w:hAnsi="Arial" w:eastAsia="Times New Roman" w:cs="Arial"/>
          <w:bCs/>
          <w:sz w:val="20"/>
          <w:szCs w:val="20"/>
        </w:rPr>
        <w:t>d</w:t>
      </w:r>
      <w:r w:rsidRPr="00C40430">
        <w:rPr>
          <w:rFonts w:ascii="Arial" w:hAnsi="Arial" w:eastAsia="Times New Roman" w:cs="Arial"/>
          <w:bCs/>
          <w:sz w:val="20"/>
          <w:szCs w:val="20"/>
        </w:rPr>
        <w:t xml:space="preserve"> the outcome of the evaluation. As confirmed in my initial scrutiny letter, your comments have been passed onto the relevant team at NICE, but I will not refer this appeal point to the Appeal Panel.</w:t>
      </w:r>
    </w:p>
    <w:p w:rsidRPr="00C40430" w:rsidR="00DB178D" w:rsidP="00DB178D" w:rsidRDefault="00DB178D" w14:paraId="4710A553" w14:textId="308FE8CA">
      <w:pPr>
        <w:pStyle w:val="Paragraph"/>
        <w:numPr>
          <w:ilvl w:val="0"/>
          <w:numId w:val="0"/>
        </w:numPr>
        <w:spacing w:before="120"/>
        <w:jc w:val="both"/>
        <w:rPr>
          <w:rFonts w:cs="Arial"/>
          <w:b/>
          <w:i/>
          <w:sz w:val="20"/>
          <w:szCs w:val="20"/>
        </w:rPr>
      </w:pPr>
      <w:r w:rsidRPr="00C40430">
        <w:rPr>
          <w:rFonts w:cs="Arial"/>
          <w:b/>
          <w:i/>
          <w:sz w:val="20"/>
          <w:szCs w:val="20"/>
        </w:rPr>
        <w:t>Ground 2:</w:t>
      </w:r>
      <w:r w:rsidRPr="00C40430">
        <w:rPr>
          <w:rFonts w:cs="Arial"/>
          <w:i/>
          <w:sz w:val="20"/>
          <w:szCs w:val="20"/>
        </w:rPr>
        <w:t xml:space="preserve"> </w:t>
      </w:r>
      <w:r w:rsidRPr="00C40430">
        <w:rPr>
          <w:rFonts w:cs="Arial"/>
          <w:b/>
          <w:i/>
          <w:sz w:val="20"/>
          <w:szCs w:val="20"/>
        </w:rPr>
        <w:t>the recommendation is unreasonable in the light of the evidence submitted to NICE</w:t>
      </w:r>
    </w:p>
    <w:p w:rsidRPr="00C40430" w:rsidR="00F61ED1" w:rsidP="00F61ED1" w:rsidRDefault="00F61ED1" w14:paraId="16471D43" w14:textId="77777777">
      <w:pPr>
        <w:spacing w:before="120" w:after="240"/>
        <w:rPr>
          <w:rFonts w:ascii="Arial" w:hAnsi="Arial" w:cs="Arial"/>
          <w:b/>
          <w:bCs/>
          <w:sz w:val="20"/>
          <w:szCs w:val="20"/>
          <w:u w:val="single"/>
        </w:rPr>
      </w:pPr>
      <w:r w:rsidRPr="00C40430">
        <w:rPr>
          <w:rFonts w:ascii="Arial" w:hAnsi="Arial" w:cs="Arial"/>
          <w:b/>
          <w:sz w:val="20"/>
          <w:szCs w:val="20"/>
          <w:u w:val="single"/>
        </w:rPr>
        <w:t xml:space="preserve">Appeal </w:t>
      </w:r>
      <w:proofErr w:type="gramStart"/>
      <w:r w:rsidRPr="00C40430">
        <w:rPr>
          <w:rFonts w:ascii="Arial" w:hAnsi="Arial" w:cs="Arial"/>
          <w:b/>
          <w:sz w:val="20"/>
          <w:szCs w:val="20"/>
          <w:u w:val="single"/>
        </w:rPr>
        <w:t>point</w:t>
      </w:r>
      <w:proofErr w:type="gramEnd"/>
      <w:r w:rsidRPr="00C40430">
        <w:rPr>
          <w:rFonts w:ascii="Arial" w:hAnsi="Arial" w:cs="Arial"/>
          <w:b/>
          <w:sz w:val="20"/>
          <w:szCs w:val="20"/>
          <w:u w:val="single"/>
        </w:rPr>
        <w:t xml:space="preserve"> 2.1: </w:t>
      </w:r>
      <w:r w:rsidRPr="00C40430">
        <w:rPr>
          <w:rFonts w:ascii="Arial" w:hAnsi="Arial" w:cs="Arial"/>
          <w:b/>
          <w:bCs/>
          <w:sz w:val="20"/>
          <w:szCs w:val="20"/>
          <w:u w:val="single"/>
        </w:rPr>
        <w:t>The HST process does not adequately account for the severity of the condition.</w:t>
      </w:r>
    </w:p>
    <w:p w:rsidRPr="00C40430" w:rsidR="00F61ED1" w:rsidP="00F61ED1" w:rsidRDefault="00C3323C" w14:paraId="493B6323" w14:textId="295796F3">
      <w:pPr>
        <w:spacing w:before="120" w:after="240"/>
        <w:rPr>
          <w:rFonts w:ascii="Arial" w:hAnsi="Arial" w:cs="Arial"/>
          <w:bCs/>
          <w:sz w:val="20"/>
          <w:szCs w:val="20"/>
        </w:rPr>
      </w:pPr>
      <w:r w:rsidRPr="00C40430">
        <w:rPr>
          <w:rFonts w:ascii="Arial" w:hAnsi="Arial" w:cs="Arial"/>
          <w:bCs/>
          <w:sz w:val="20"/>
          <w:szCs w:val="20"/>
        </w:rPr>
        <w:t xml:space="preserve">I understand the Company's position to be that that increased QALY weighting of 0.2 attributed to </w:t>
      </w:r>
      <w:proofErr w:type="spellStart"/>
      <w:r w:rsidRPr="00C40430">
        <w:rPr>
          <w:rFonts w:ascii="Arial" w:hAnsi="Arial" w:cs="Arial"/>
          <w:bCs/>
          <w:sz w:val="20"/>
          <w:szCs w:val="20"/>
        </w:rPr>
        <w:t>cerliponase</w:t>
      </w:r>
      <w:proofErr w:type="spellEnd"/>
      <w:r w:rsidRPr="00C40430">
        <w:rPr>
          <w:rFonts w:ascii="Arial" w:hAnsi="Arial" w:cs="Arial"/>
          <w:bCs/>
          <w:sz w:val="20"/>
          <w:szCs w:val="20"/>
        </w:rPr>
        <w:t xml:space="preserve"> alfa </w:t>
      </w:r>
      <w:proofErr w:type="gramStart"/>
      <w:r w:rsidRPr="00C40430">
        <w:rPr>
          <w:rFonts w:ascii="Arial" w:hAnsi="Arial" w:cs="Arial"/>
          <w:bCs/>
          <w:sz w:val="20"/>
          <w:szCs w:val="20"/>
        </w:rPr>
        <w:t>as a result of</w:t>
      </w:r>
      <w:proofErr w:type="gramEnd"/>
      <w:r w:rsidRPr="00C40430">
        <w:rPr>
          <w:rFonts w:ascii="Arial" w:hAnsi="Arial" w:cs="Arial"/>
          <w:bCs/>
          <w:sz w:val="20"/>
          <w:szCs w:val="20"/>
        </w:rPr>
        <w:t xml:space="preserve"> the rarity of CLN2 was insufficient and did not adequately account for its severity. As I noted in my initial scrutiny letter, an appeal can only relate to final draft guidance (for a technology appraisal or highly specialised technologies evaluation) or the way that the evaluation was done. An appeal cannot be brought against the provisions of the Manual.</w:t>
      </w:r>
    </w:p>
    <w:p w:rsidRPr="00C40430" w:rsidR="00C3323C" w:rsidP="00F61ED1" w:rsidRDefault="00C3323C" w14:paraId="599F5FCD" w14:textId="46FCFE45">
      <w:pPr>
        <w:spacing w:before="120" w:after="240"/>
        <w:rPr>
          <w:rFonts w:ascii="Arial" w:hAnsi="Arial" w:cs="Arial"/>
          <w:bCs/>
          <w:sz w:val="20"/>
          <w:szCs w:val="20"/>
        </w:rPr>
      </w:pPr>
      <w:r w:rsidRPr="00C40430">
        <w:rPr>
          <w:rFonts w:ascii="Arial" w:hAnsi="Arial" w:cs="Arial"/>
          <w:bCs/>
          <w:sz w:val="20"/>
          <w:szCs w:val="20"/>
        </w:rPr>
        <w:t>Having regard to the provision in the Manual that "</w:t>
      </w:r>
      <w:r w:rsidRPr="00C40430">
        <w:rPr>
          <w:rFonts w:ascii="Arial" w:hAnsi="Arial" w:cs="Arial"/>
          <w:bCs/>
          <w:i/>
          <w:iCs/>
          <w:sz w:val="20"/>
          <w:szCs w:val="20"/>
        </w:rPr>
        <w:t>the Committee may be able to make recommendations accepting a higher degree of uncertainty"</w:t>
      </w:r>
      <w:r w:rsidRPr="00C40430" w:rsidR="00F7654D">
        <w:rPr>
          <w:rFonts w:ascii="Arial" w:hAnsi="Arial" w:cs="Arial"/>
          <w:bCs/>
          <w:i/>
          <w:iCs/>
          <w:sz w:val="20"/>
          <w:szCs w:val="20"/>
        </w:rPr>
        <w:t xml:space="preserve">, </w:t>
      </w:r>
      <w:r w:rsidRPr="00C40430" w:rsidR="00F7654D">
        <w:rPr>
          <w:rFonts w:ascii="Arial" w:hAnsi="Arial" w:cs="Arial"/>
          <w:bCs/>
          <w:sz w:val="20"/>
          <w:szCs w:val="20"/>
        </w:rPr>
        <w:t>I consider that the Committee exercised this discretion by increasing the QALY weighting by 0.2 in addition to the maximum possible weighting of 3 available in HSTs.</w:t>
      </w:r>
    </w:p>
    <w:p w:rsidRPr="00C40430" w:rsidR="00F7654D" w:rsidP="00F61ED1" w:rsidRDefault="00F7654D" w14:paraId="4B71D670" w14:textId="2DA0255E">
      <w:pPr>
        <w:spacing w:before="120" w:after="240"/>
        <w:rPr>
          <w:rFonts w:ascii="Arial" w:hAnsi="Arial" w:cs="Arial"/>
          <w:bCs/>
          <w:sz w:val="20"/>
          <w:szCs w:val="20"/>
        </w:rPr>
      </w:pPr>
      <w:r w:rsidRPr="00C40430">
        <w:rPr>
          <w:rFonts w:ascii="Arial" w:hAnsi="Arial" w:cs="Arial"/>
          <w:bCs/>
          <w:sz w:val="20"/>
          <w:szCs w:val="20"/>
        </w:rPr>
        <w:t>In reaching this decision, I have been guided by the definition of unreasonable in the Appeals Guide, that "</w:t>
      </w:r>
      <w:r w:rsidRPr="00C40430">
        <w:rPr>
          <w:rFonts w:ascii="Arial" w:hAnsi="Arial" w:cs="Arial"/>
          <w:bCs/>
          <w:i/>
          <w:iCs/>
          <w:sz w:val="20"/>
          <w:szCs w:val="20"/>
        </w:rPr>
        <w:t xml:space="preserve">the guidance is obviously and unarguably wrong, illogical, or "does not add up". </w:t>
      </w:r>
      <w:r w:rsidRPr="00C40430">
        <w:rPr>
          <w:rFonts w:ascii="Arial" w:hAnsi="Arial" w:cs="Arial"/>
          <w:bCs/>
          <w:sz w:val="20"/>
          <w:szCs w:val="20"/>
        </w:rPr>
        <w:t xml:space="preserve">I do not consider it arguable that the Committee's decision making is unreasonable. On the contrary, I consider that the Committee has, in recognition of the fact that </w:t>
      </w:r>
      <w:proofErr w:type="spellStart"/>
      <w:r w:rsidRPr="00C40430">
        <w:rPr>
          <w:rFonts w:ascii="Arial" w:hAnsi="Arial" w:cs="Arial"/>
          <w:bCs/>
          <w:sz w:val="20"/>
          <w:szCs w:val="20"/>
        </w:rPr>
        <w:t>cerliponase</w:t>
      </w:r>
      <w:proofErr w:type="spellEnd"/>
      <w:r w:rsidRPr="00C40430">
        <w:rPr>
          <w:rFonts w:ascii="Arial" w:hAnsi="Arial" w:cs="Arial"/>
          <w:bCs/>
          <w:sz w:val="20"/>
          <w:szCs w:val="20"/>
        </w:rPr>
        <w:t xml:space="preserve"> alfa is an innovative technology for an ultra-rare paediatric disease, exercised its discretion to apply the maximum QALY weighting of 3 (and a further QALY weighting of 0.2) to account for the uncertainty.</w:t>
      </w:r>
    </w:p>
    <w:p w:rsidRPr="00C40430" w:rsidR="00F7654D" w:rsidP="00F61ED1" w:rsidRDefault="00F7654D" w14:paraId="7D532B4D" w14:textId="796531D2">
      <w:pPr>
        <w:spacing w:before="120" w:after="240"/>
        <w:rPr>
          <w:rFonts w:ascii="Arial" w:hAnsi="Arial" w:cs="Arial"/>
          <w:bCs/>
          <w:sz w:val="20"/>
          <w:szCs w:val="20"/>
        </w:rPr>
      </w:pPr>
      <w:r w:rsidRPr="00C40430">
        <w:rPr>
          <w:rFonts w:ascii="Arial" w:hAnsi="Arial" w:cs="Arial"/>
          <w:bCs/>
          <w:sz w:val="20"/>
          <w:szCs w:val="20"/>
        </w:rPr>
        <w:t xml:space="preserve">I consider this to be a reasonable approach within the confines of the </w:t>
      </w:r>
      <w:proofErr w:type="gramStart"/>
      <w:r w:rsidRPr="00C40430">
        <w:rPr>
          <w:rFonts w:ascii="Arial" w:hAnsi="Arial" w:cs="Arial"/>
          <w:bCs/>
          <w:sz w:val="20"/>
          <w:szCs w:val="20"/>
        </w:rPr>
        <w:t>Manual, and</w:t>
      </w:r>
      <w:proofErr w:type="gramEnd"/>
      <w:r w:rsidRPr="00C40430">
        <w:rPr>
          <w:rFonts w:ascii="Arial" w:hAnsi="Arial" w:cs="Arial"/>
          <w:bCs/>
          <w:sz w:val="20"/>
          <w:szCs w:val="20"/>
        </w:rPr>
        <w:t xml:space="preserve"> will therefore not refer this appeal point to the Appeal Panel. </w:t>
      </w:r>
    </w:p>
    <w:p w:rsidRPr="00C40430" w:rsidR="00F61ED1" w:rsidP="00F61ED1" w:rsidRDefault="00F7654D" w14:paraId="673A7A7A" w14:textId="20FBB56F">
      <w:pPr>
        <w:spacing w:before="120" w:after="240"/>
        <w:rPr>
          <w:rFonts w:ascii="Arial" w:hAnsi="Arial" w:cs="Arial"/>
          <w:b/>
          <w:bCs/>
          <w:sz w:val="20"/>
          <w:szCs w:val="20"/>
          <w:u w:val="single"/>
        </w:rPr>
      </w:pPr>
      <w:r w:rsidRPr="00C40430">
        <w:rPr>
          <w:rFonts w:ascii="Arial" w:hAnsi="Arial" w:cs="Arial"/>
          <w:bCs/>
          <w:sz w:val="20"/>
          <w:szCs w:val="20"/>
        </w:rPr>
        <w:t xml:space="preserve"> </w:t>
      </w:r>
      <w:r w:rsidRPr="00C40430" w:rsidR="00F61ED1">
        <w:rPr>
          <w:rFonts w:ascii="Arial" w:hAnsi="Arial" w:cs="Arial"/>
          <w:b/>
          <w:sz w:val="20"/>
          <w:szCs w:val="20"/>
          <w:u w:val="single"/>
        </w:rPr>
        <w:t xml:space="preserve">Appeal </w:t>
      </w:r>
      <w:proofErr w:type="gramStart"/>
      <w:r w:rsidRPr="00C40430" w:rsidR="00F61ED1">
        <w:rPr>
          <w:rFonts w:ascii="Arial" w:hAnsi="Arial" w:cs="Arial"/>
          <w:b/>
          <w:sz w:val="20"/>
          <w:szCs w:val="20"/>
          <w:u w:val="single"/>
        </w:rPr>
        <w:t>point</w:t>
      </w:r>
      <w:proofErr w:type="gramEnd"/>
      <w:r w:rsidRPr="00C40430" w:rsidR="00F61ED1">
        <w:rPr>
          <w:rFonts w:ascii="Arial" w:hAnsi="Arial" w:cs="Arial"/>
          <w:b/>
          <w:sz w:val="20"/>
          <w:szCs w:val="20"/>
          <w:u w:val="single"/>
        </w:rPr>
        <w:t xml:space="preserve"> 2.2: </w:t>
      </w:r>
      <w:r w:rsidRPr="00C40430" w:rsidR="00F61ED1">
        <w:rPr>
          <w:rFonts w:ascii="Arial" w:hAnsi="Arial" w:cs="Arial"/>
          <w:b/>
          <w:bCs/>
          <w:sz w:val="20"/>
          <w:szCs w:val="20"/>
          <w:u w:val="single"/>
        </w:rPr>
        <w:t xml:space="preserve">There was an inadequate justification for rejecting the most clinically relevant transition probability dataset. </w:t>
      </w:r>
    </w:p>
    <w:p w:rsidRPr="00C40430" w:rsidR="00F61ED1" w:rsidP="00F61ED1" w:rsidRDefault="00F7654D" w14:paraId="53C61A39" w14:textId="71F40B5C">
      <w:pPr>
        <w:spacing w:before="120" w:after="240"/>
        <w:rPr>
          <w:rFonts w:ascii="Arial" w:hAnsi="Arial" w:cs="Arial"/>
          <w:bCs/>
          <w:sz w:val="20"/>
          <w:szCs w:val="20"/>
        </w:rPr>
      </w:pPr>
      <w:r w:rsidRPr="00C40430">
        <w:rPr>
          <w:rFonts w:ascii="Arial" w:hAnsi="Arial" w:cs="Arial"/>
          <w:bCs/>
          <w:sz w:val="20"/>
          <w:szCs w:val="20"/>
        </w:rPr>
        <w:t xml:space="preserve">I </w:t>
      </w:r>
      <w:r w:rsidRPr="00C40430" w:rsidR="00C40430">
        <w:rPr>
          <w:rFonts w:ascii="Arial" w:hAnsi="Arial" w:cs="Arial"/>
          <w:bCs/>
          <w:sz w:val="20"/>
          <w:szCs w:val="20"/>
        </w:rPr>
        <w:t>will</w:t>
      </w:r>
      <w:r w:rsidRPr="00C40430">
        <w:rPr>
          <w:rFonts w:ascii="Arial" w:hAnsi="Arial" w:cs="Arial"/>
          <w:bCs/>
          <w:sz w:val="20"/>
          <w:szCs w:val="20"/>
        </w:rPr>
        <w:t xml:space="preserve"> refer this appeal point to the Appeal Panel. </w:t>
      </w:r>
    </w:p>
    <w:p w:rsidRPr="00C40430" w:rsidR="005A7A7D" w:rsidP="005A7A7D" w:rsidRDefault="005A7A7D" w14:paraId="2AADAF28" w14:textId="77777777">
      <w:pPr>
        <w:spacing w:before="120" w:after="240"/>
        <w:jc w:val="both"/>
        <w:rPr>
          <w:rFonts w:ascii="Arial" w:hAnsi="Arial" w:eastAsia="Times New Roman" w:cs="Arial"/>
          <w:sz w:val="20"/>
          <w:szCs w:val="20"/>
          <w:u w:val="single"/>
        </w:rPr>
      </w:pPr>
      <w:r w:rsidRPr="00C40430">
        <w:rPr>
          <w:rFonts w:ascii="Arial" w:hAnsi="Arial" w:eastAsia="Times New Roman" w:cs="Arial"/>
          <w:sz w:val="20"/>
          <w:szCs w:val="20"/>
          <w:u w:val="single"/>
        </w:rPr>
        <w:t>Conclusion</w:t>
      </w:r>
    </w:p>
    <w:p w:rsidRPr="00C40430" w:rsidR="005A7A7D" w:rsidP="005A7A7D" w:rsidRDefault="005A7A7D" w14:paraId="64256DC4" w14:textId="77777777">
      <w:pPr>
        <w:spacing w:before="120" w:after="240"/>
        <w:jc w:val="both"/>
        <w:rPr>
          <w:rFonts w:ascii="Arial" w:hAnsi="Arial" w:eastAsia="Times New Roman" w:cs="Arial"/>
          <w:sz w:val="20"/>
          <w:szCs w:val="20"/>
        </w:rPr>
      </w:pPr>
      <w:proofErr w:type="gramStart"/>
      <w:r w:rsidRPr="00C40430">
        <w:rPr>
          <w:rFonts w:ascii="Arial" w:hAnsi="Arial" w:eastAsia="Times New Roman" w:cs="Arial"/>
          <w:sz w:val="20"/>
          <w:szCs w:val="20"/>
        </w:rPr>
        <w:t>Therefore</w:t>
      </w:r>
      <w:proofErr w:type="gramEnd"/>
      <w:r w:rsidRPr="00C40430">
        <w:rPr>
          <w:rFonts w:ascii="Arial" w:hAnsi="Arial" w:eastAsia="Times New Roman" w:cs="Arial"/>
          <w:sz w:val="20"/>
          <w:szCs w:val="20"/>
        </w:rPr>
        <w:t xml:space="preserve"> the valid appeal points are:</w:t>
      </w:r>
    </w:p>
    <w:p w:rsidRPr="00C40430" w:rsidR="00D416EA" w:rsidP="00D416EA" w:rsidRDefault="00D416EA" w14:paraId="04150499" w14:textId="50C56C63">
      <w:pPr>
        <w:spacing w:before="240" w:after="240"/>
        <w:jc w:val="both"/>
        <w:rPr>
          <w:rFonts w:ascii="Arial" w:hAnsi="Arial" w:eastAsia="Times New Roman" w:cs="Arial"/>
          <w:bCs/>
          <w:sz w:val="20"/>
          <w:szCs w:val="20"/>
        </w:rPr>
      </w:pPr>
      <w:r w:rsidRPr="00C40430">
        <w:rPr>
          <w:rFonts w:ascii="Arial" w:hAnsi="Arial" w:eastAsia="Times New Roman" w:cs="Arial"/>
          <w:b/>
          <w:sz w:val="20"/>
          <w:szCs w:val="20"/>
        </w:rPr>
        <w:t xml:space="preserve">Appeal </w:t>
      </w:r>
      <w:proofErr w:type="gramStart"/>
      <w:r w:rsidRPr="00C40430">
        <w:rPr>
          <w:rFonts w:ascii="Arial" w:hAnsi="Arial" w:eastAsia="Times New Roman" w:cs="Arial"/>
          <w:b/>
          <w:sz w:val="20"/>
          <w:szCs w:val="20"/>
        </w:rPr>
        <w:t>point</w:t>
      </w:r>
      <w:proofErr w:type="gramEnd"/>
      <w:r w:rsidRPr="00C40430">
        <w:rPr>
          <w:rFonts w:ascii="Arial" w:hAnsi="Arial" w:eastAsia="Times New Roman" w:cs="Arial"/>
          <w:b/>
          <w:sz w:val="20"/>
          <w:szCs w:val="20"/>
        </w:rPr>
        <w:t xml:space="preserve"> 1(a).1</w:t>
      </w:r>
      <w:r w:rsidRPr="00C40430">
        <w:rPr>
          <w:rFonts w:ascii="Arial" w:hAnsi="Arial" w:eastAsia="Times New Roman" w:cs="Arial"/>
          <w:bCs/>
          <w:sz w:val="20"/>
          <w:szCs w:val="20"/>
        </w:rPr>
        <w:t>: The Committee process did not ensure adequate capture of the clinical and lived-experience perspectives necessary to understand this rare disease in real-world practice; and</w:t>
      </w:r>
    </w:p>
    <w:p w:rsidRPr="00C40430" w:rsidR="00C40430" w:rsidP="00C40430" w:rsidRDefault="00C40430" w14:paraId="7542F848" w14:textId="2713134C">
      <w:pPr>
        <w:spacing w:before="240" w:after="240"/>
        <w:jc w:val="both"/>
        <w:rPr>
          <w:rFonts w:ascii="Arial" w:hAnsi="Arial" w:eastAsia="Times New Roman" w:cs="Arial"/>
          <w:bCs/>
          <w:sz w:val="20"/>
          <w:szCs w:val="20"/>
        </w:rPr>
      </w:pPr>
      <w:r w:rsidRPr="00C40430">
        <w:rPr>
          <w:rFonts w:ascii="Arial" w:hAnsi="Arial" w:cs="Arial"/>
          <w:b/>
          <w:sz w:val="20"/>
          <w:szCs w:val="20"/>
        </w:rPr>
        <w:t xml:space="preserve">Appeal </w:t>
      </w:r>
      <w:proofErr w:type="gramStart"/>
      <w:r w:rsidRPr="00C40430">
        <w:rPr>
          <w:rFonts w:ascii="Arial" w:hAnsi="Arial" w:cs="Arial"/>
          <w:b/>
          <w:sz w:val="20"/>
          <w:szCs w:val="20"/>
        </w:rPr>
        <w:t>point</w:t>
      </w:r>
      <w:proofErr w:type="gramEnd"/>
      <w:r w:rsidRPr="00C40430">
        <w:rPr>
          <w:rFonts w:ascii="Arial" w:hAnsi="Arial" w:cs="Arial"/>
          <w:b/>
          <w:sz w:val="20"/>
          <w:szCs w:val="20"/>
        </w:rPr>
        <w:t xml:space="preserve"> 1(b)1</w:t>
      </w:r>
      <w:r w:rsidRPr="00C40430">
        <w:rPr>
          <w:rFonts w:ascii="Arial" w:hAnsi="Arial" w:cs="Arial"/>
          <w:bCs/>
          <w:sz w:val="20"/>
          <w:szCs w:val="20"/>
        </w:rPr>
        <w:t>: The Committee failed to meet its duty under section 29 of the Equality Act 2010.</w:t>
      </w:r>
    </w:p>
    <w:p w:rsidRPr="00C40430" w:rsidR="00D416EA" w:rsidP="00D416EA" w:rsidRDefault="00D416EA" w14:paraId="140697F9" w14:textId="46188364">
      <w:pPr>
        <w:spacing w:before="120" w:after="240"/>
        <w:rPr>
          <w:rFonts w:ascii="Arial" w:hAnsi="Arial" w:cs="Arial"/>
          <w:bCs/>
          <w:sz w:val="20"/>
          <w:szCs w:val="20"/>
        </w:rPr>
      </w:pPr>
      <w:r w:rsidRPr="00C40430">
        <w:rPr>
          <w:rFonts w:ascii="Arial" w:hAnsi="Arial" w:cs="Arial"/>
          <w:b/>
          <w:sz w:val="20"/>
          <w:szCs w:val="20"/>
        </w:rPr>
        <w:t xml:space="preserve">Appeal </w:t>
      </w:r>
      <w:proofErr w:type="gramStart"/>
      <w:r w:rsidRPr="00C40430">
        <w:rPr>
          <w:rFonts w:ascii="Arial" w:hAnsi="Arial" w:cs="Arial"/>
          <w:b/>
          <w:sz w:val="20"/>
          <w:szCs w:val="20"/>
        </w:rPr>
        <w:t>point</w:t>
      </w:r>
      <w:proofErr w:type="gramEnd"/>
      <w:r w:rsidRPr="00C40430">
        <w:rPr>
          <w:rFonts w:ascii="Arial" w:hAnsi="Arial" w:cs="Arial"/>
          <w:b/>
          <w:sz w:val="20"/>
          <w:szCs w:val="20"/>
        </w:rPr>
        <w:t xml:space="preserve"> 2.2:</w:t>
      </w:r>
      <w:r w:rsidRPr="00C40430">
        <w:rPr>
          <w:rFonts w:ascii="Arial" w:hAnsi="Arial" w:cs="Arial"/>
          <w:bCs/>
          <w:sz w:val="20"/>
          <w:szCs w:val="20"/>
        </w:rPr>
        <w:t xml:space="preserve"> There was an inadequate justification for rejecting the most clinically relevant transition probability dataset. </w:t>
      </w:r>
    </w:p>
    <w:p w:rsidRPr="00C40430" w:rsidR="005A7A7D" w:rsidP="005A7A7D" w:rsidRDefault="005A7A7D" w14:paraId="6599EABC" w14:textId="2769A562">
      <w:pPr>
        <w:spacing w:before="120" w:after="240"/>
        <w:jc w:val="both"/>
        <w:rPr>
          <w:rFonts w:ascii="Arial" w:hAnsi="Arial" w:eastAsia="Times New Roman" w:cs="Arial"/>
          <w:sz w:val="20"/>
          <w:szCs w:val="20"/>
        </w:rPr>
      </w:pPr>
      <w:r w:rsidRPr="00C40430">
        <w:rPr>
          <w:rFonts w:ascii="Arial" w:hAnsi="Arial" w:eastAsia="Times New Roman" w:cs="Arial"/>
          <w:sz w:val="20"/>
          <w:szCs w:val="20"/>
        </w:rPr>
        <w:t xml:space="preserve">NICE shares the valid appeal grounds of each appellant with the other appellants to assist with preparation for the hearing.  </w:t>
      </w:r>
    </w:p>
    <w:p w:rsidRPr="00C40430" w:rsidR="005A7A7D" w:rsidP="005A7A7D" w:rsidRDefault="005A7A7D" w14:paraId="5CCF2CB3" w14:textId="77777777">
      <w:pPr>
        <w:spacing w:before="120" w:after="240"/>
        <w:jc w:val="both"/>
        <w:rPr>
          <w:rFonts w:ascii="Arial" w:hAnsi="Arial" w:eastAsia="Times New Roman" w:cs="Arial"/>
          <w:sz w:val="20"/>
          <w:szCs w:val="20"/>
        </w:rPr>
      </w:pPr>
      <w:r w:rsidRPr="00C40430">
        <w:rPr>
          <w:rFonts w:ascii="Arial" w:hAnsi="Arial" w:eastAsia="Times New Roman" w:cs="Arial"/>
          <w:sz w:val="20"/>
          <w:szCs w:val="20"/>
        </w:rPr>
        <w:t xml:space="preserve">NICE will be in contact with you regarding the administration of the appeal, which will be held orally. </w:t>
      </w:r>
    </w:p>
    <w:p w:rsidRPr="00C40430" w:rsidR="00355A99" w:rsidP="005A7A7D" w:rsidRDefault="00355A99" w14:paraId="27A1A8F0" w14:textId="77777777">
      <w:pPr>
        <w:spacing w:before="120" w:after="240"/>
        <w:jc w:val="both"/>
        <w:rPr>
          <w:rFonts w:ascii="Arial" w:hAnsi="Arial" w:eastAsia="Times New Roman" w:cs="Arial"/>
          <w:sz w:val="20"/>
          <w:szCs w:val="20"/>
        </w:rPr>
      </w:pPr>
    </w:p>
    <w:p w:rsidRPr="00C40430" w:rsidR="005A7A7D" w:rsidP="005A7A7D" w:rsidRDefault="005A7A7D" w14:paraId="04BAA200" w14:textId="77777777">
      <w:pPr>
        <w:spacing w:before="120" w:after="240"/>
        <w:jc w:val="both"/>
        <w:rPr>
          <w:rFonts w:ascii="Arial" w:hAnsi="Arial" w:eastAsia="Times New Roman" w:cs="Arial"/>
          <w:sz w:val="20"/>
          <w:szCs w:val="20"/>
        </w:rPr>
      </w:pPr>
      <w:r w:rsidRPr="00C40430">
        <w:rPr>
          <w:rFonts w:ascii="Arial" w:hAnsi="Arial" w:eastAsia="Times New Roman" w:cs="Arial"/>
          <w:sz w:val="20"/>
          <w:szCs w:val="20"/>
        </w:rPr>
        <w:t>Yours sincerely</w:t>
      </w:r>
    </w:p>
    <w:p w:rsidRPr="00C40430" w:rsidR="00D416EA" w:rsidP="3FFAF9C3" w:rsidRDefault="00E7358C" w14:paraId="4EBB9D79" w14:noSpellErr="1" w14:textId="6844A16E">
      <w:pPr>
        <w:spacing w:before="120" w:after="240"/>
        <w:jc w:val="both"/>
        <w:rPr>
          <w:highlight w:val="black"/>
        </w:rPr>
      </w:pPr>
      <w:r w:rsidRPr="3FFAF9C3" w:rsidR="251E8B71">
        <w:rPr>
          <w:highlight w:val="black"/>
        </w:rPr>
        <w:t>XXXXXXXXXXXXXXXXXXXXX</w:t>
      </w:r>
    </w:p>
    <w:p w:rsidRPr="00C40430" w:rsidR="00D416EA" w:rsidP="005A7A7D" w:rsidRDefault="00D416EA" w14:paraId="0949F0BA" w14:textId="77777777">
      <w:pPr>
        <w:spacing w:before="120" w:after="240"/>
        <w:jc w:val="both"/>
        <w:rPr>
          <w:rFonts w:ascii="Arial" w:hAnsi="Arial" w:eastAsia="Times New Roman" w:cs="Arial"/>
          <w:sz w:val="20"/>
          <w:szCs w:val="20"/>
        </w:rPr>
      </w:pPr>
    </w:p>
    <w:p w:rsidRPr="00C40430" w:rsidR="00D416EA" w:rsidP="005A7A7D" w:rsidRDefault="00D416EA" w14:paraId="30C611EA" w14:textId="77777777">
      <w:pPr>
        <w:spacing w:before="120" w:after="240"/>
        <w:jc w:val="both"/>
        <w:rPr>
          <w:rFonts w:ascii="Arial" w:hAnsi="Arial" w:eastAsia="Times New Roman" w:cs="Arial"/>
          <w:sz w:val="20"/>
          <w:szCs w:val="20"/>
        </w:rPr>
      </w:pPr>
      <w:r w:rsidRPr="00C40430">
        <w:rPr>
          <w:rFonts w:ascii="Arial" w:hAnsi="Arial" w:eastAsia="Times New Roman" w:cs="Arial"/>
          <w:sz w:val="20"/>
          <w:szCs w:val="20"/>
        </w:rPr>
        <w:t xml:space="preserve">Mark Chakravarty </w:t>
      </w:r>
    </w:p>
    <w:p w:rsidRPr="00C40430" w:rsidR="005A7A7D" w:rsidP="005A7A7D" w:rsidRDefault="00D416EA" w14:paraId="321A9458" w14:textId="65FE6C39">
      <w:pPr>
        <w:spacing w:before="120" w:after="240"/>
        <w:jc w:val="both"/>
        <w:rPr>
          <w:rFonts w:ascii="Arial" w:hAnsi="Arial" w:eastAsia="Times New Roman" w:cs="Arial"/>
          <w:sz w:val="20"/>
          <w:szCs w:val="20"/>
        </w:rPr>
      </w:pPr>
      <w:r w:rsidRPr="00C40430">
        <w:rPr>
          <w:rFonts w:ascii="Arial" w:hAnsi="Arial" w:eastAsia="Times New Roman" w:cs="Arial"/>
          <w:sz w:val="20"/>
          <w:szCs w:val="20"/>
        </w:rPr>
        <w:t>Lead NED for Appeals</w:t>
      </w:r>
    </w:p>
    <w:p w:rsidRPr="00C40430" w:rsidR="005A7A7D" w:rsidP="005A7A7D" w:rsidRDefault="005A7A7D" w14:paraId="40B9BBC0" w14:textId="77777777">
      <w:pPr>
        <w:spacing w:before="120" w:after="240"/>
        <w:jc w:val="both"/>
        <w:rPr>
          <w:rFonts w:ascii="Arial" w:hAnsi="Arial" w:eastAsia="Times New Roman" w:cs="Arial"/>
          <w:sz w:val="20"/>
          <w:szCs w:val="20"/>
        </w:rPr>
      </w:pPr>
      <w:r w:rsidRPr="00C40430">
        <w:rPr>
          <w:rFonts w:ascii="Arial" w:hAnsi="Arial" w:eastAsia="Times New Roman" w:cs="Arial"/>
          <w:sz w:val="20"/>
          <w:szCs w:val="20"/>
        </w:rPr>
        <w:t>National Institute for Health and Care Excellence</w:t>
      </w:r>
    </w:p>
    <w:p w:rsidRPr="00C40430" w:rsidR="000B36E1" w:rsidP="002B6A0D" w:rsidRDefault="000B36E1" w14:paraId="03E7BAFA" w14:textId="4811D299">
      <w:pPr>
        <w:spacing w:line="360" w:lineRule="auto"/>
        <w:rPr>
          <w:rFonts w:ascii="Arial" w:hAnsi="Arial" w:cs="Arial"/>
          <w:sz w:val="20"/>
          <w:szCs w:val="20"/>
        </w:rPr>
      </w:pPr>
    </w:p>
    <w:sectPr w:rsidRPr="00C40430" w:rsidR="000B36E1" w:rsidSect="000B36E1">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02A" w:rsidP="000B352B" w:rsidRDefault="00F1202A" w14:paraId="468AA8ED" w14:textId="77777777">
      <w:pPr>
        <w:spacing w:after="0" w:line="240" w:lineRule="auto"/>
      </w:pPr>
      <w:r>
        <w:separator/>
      </w:r>
    </w:p>
  </w:endnote>
  <w:endnote w:type="continuationSeparator" w:id="0">
    <w:p w:rsidR="00F1202A" w:rsidP="000B352B" w:rsidRDefault="00F1202A" w14:paraId="406591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DB" w:rsidRDefault="00BB16DB" w14:paraId="118258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6E1" w:rsidP="000B36E1" w:rsidRDefault="000B36E1" w14:paraId="5D4D323D" w14:textId="1CEBF2EA">
    <w:pPr>
      <w:pStyle w:val="Footer"/>
      <w:tabs>
        <w:tab w:val="clear" w:pos="4513"/>
        <w:tab w:val="clear" w:pos="9026"/>
        <w:tab w:val="left" w:pos="1758"/>
      </w:tabs>
      <w:rPr>
        <w:noProof/>
      </w:rPr>
    </w:pPr>
    <w:r>
      <w:tab/>
    </w:r>
    <w:r>
      <w:t xml:space="preserve">                                                                                                                                 Page | </w:t>
    </w:r>
    <w:r>
      <w:fldChar w:fldCharType="begin"/>
    </w:r>
    <w:r>
      <w:instrText xml:space="preserve"> PAGE   \* MERGEFORMAT </w:instrText>
    </w:r>
    <w:r>
      <w:fldChar w:fldCharType="separate"/>
    </w:r>
    <w:r w:rsidR="002B6A0D">
      <w:rPr>
        <w:noProof/>
      </w:rPr>
      <w:t>2</w:t>
    </w:r>
    <w:r>
      <w:rPr>
        <w:noProof/>
      </w:rPr>
      <w:fldChar w:fldCharType="end"/>
    </w:r>
  </w:p>
  <w:p w:rsidR="000B36E1" w:rsidP="000B36E1" w:rsidRDefault="000B36E1" w14:paraId="4B5AA96B" w14:textId="77777777">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36E1" w:rsidRDefault="000B36E1" w14:paraId="7283D9E9" w14:textId="65FFA284">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02A" w:rsidP="000B352B" w:rsidRDefault="00F1202A" w14:paraId="1FBE934D" w14:textId="77777777">
      <w:pPr>
        <w:spacing w:after="0" w:line="240" w:lineRule="auto"/>
      </w:pPr>
      <w:r>
        <w:separator/>
      </w:r>
    </w:p>
  </w:footnote>
  <w:footnote w:type="continuationSeparator" w:id="0">
    <w:p w:rsidR="00F1202A" w:rsidP="000B352B" w:rsidRDefault="00F1202A" w14:paraId="58FA37C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DB" w:rsidRDefault="00BB16DB" w14:paraId="6ADB81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E0434" w:rsidR="009E2F15" w:rsidP="003A79BD" w:rsidRDefault="009E2F15" w14:paraId="18A30C4B" w14:textId="45456900">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36E1" w:rsidP="000B36E1" w:rsidRDefault="000B36E1" w14:paraId="7E317012" w14:textId="503FBB8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Pr="0003729F" w:rsid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rsidRPr="005E0434" w:rsidR="0003729F" w:rsidP="000B36E1" w:rsidRDefault="0003729F" w14:paraId="3809122A" w14:textId="119E090B">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rsidRPr="005E0434" w:rsidR="000B36E1" w:rsidP="000B36E1" w:rsidRDefault="000B36E1" w14:paraId="49A5672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rsidRPr="005E0434" w:rsidR="000B36E1" w:rsidP="000B36E1" w:rsidRDefault="0003729F" w14:paraId="69737D36" w14:textId="720B211D">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rsidRPr="005E0434" w:rsidR="000B36E1" w:rsidP="000B36E1" w:rsidRDefault="000B36E1" w14:paraId="0E97815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rsidRPr="005E0434" w:rsidR="000B36E1" w:rsidP="000B36E1" w:rsidRDefault="000B36E1" w14:paraId="6549E90E" w14:textId="77777777">
    <w:pPr>
      <w:pStyle w:val="Header"/>
      <w:tabs>
        <w:tab w:val="clear" w:pos="9026"/>
        <w:tab w:val="right" w:pos="10065"/>
      </w:tabs>
      <w:ind w:right="-1039"/>
      <w:jc w:val="right"/>
      <w:rPr>
        <w:rFonts w:ascii="Arial" w:hAnsi="Arial" w:cs="Arial"/>
        <w:color w:val="0E0E0E"/>
        <w:sz w:val="20"/>
        <w:szCs w:val="20"/>
      </w:rPr>
    </w:pPr>
  </w:p>
  <w:p w:rsidRPr="003A3E2E" w:rsidR="000B36E1" w:rsidP="003A3E2E" w:rsidRDefault="003A3E2E" w14:paraId="17F30120" w14:textId="7A0D7C0A">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rsidR="000B36E1" w:rsidP="000B36E1" w:rsidRDefault="000B36E1" w14:paraId="5D75BB6C" w14:textId="09F7B04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85B88"/>
    <w:multiLevelType w:val="hybridMultilevel"/>
    <w:tmpl w:val="48FE9808"/>
    <w:lvl w:ilvl="0" w:tplc="9C9C8BDE">
      <w:start w:val="11"/>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8"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081330">
    <w:abstractNumId w:val="2"/>
  </w:num>
  <w:num w:numId="2" w16cid:durableId="1239897750">
    <w:abstractNumId w:val="6"/>
  </w:num>
  <w:num w:numId="3" w16cid:durableId="724110161">
    <w:abstractNumId w:val="3"/>
  </w:num>
  <w:num w:numId="4" w16cid:durableId="99180155">
    <w:abstractNumId w:val="7"/>
  </w:num>
  <w:num w:numId="5" w16cid:durableId="1481845086">
    <w:abstractNumId w:val="0"/>
  </w:num>
  <w:num w:numId="6" w16cid:durableId="423919277">
    <w:abstractNumId w:val="4"/>
  </w:num>
  <w:num w:numId="7" w16cid:durableId="20083576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5"/>
  </w:num>
  <w:num w:numId="9" w16cid:durableId="1504122631">
    <w:abstractNumId w:val="8"/>
  </w:num>
  <w:num w:numId="10" w16cid:durableId="45437484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7"/>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641E7"/>
    <w:rsid w:val="00085181"/>
    <w:rsid w:val="000B104A"/>
    <w:rsid w:val="000B352B"/>
    <w:rsid w:val="000B36E1"/>
    <w:rsid w:val="000B5EEA"/>
    <w:rsid w:val="000F02F8"/>
    <w:rsid w:val="000F35CA"/>
    <w:rsid w:val="00144F73"/>
    <w:rsid w:val="0014732A"/>
    <w:rsid w:val="001477BE"/>
    <w:rsid w:val="00176AA4"/>
    <w:rsid w:val="001D5BD2"/>
    <w:rsid w:val="001E0317"/>
    <w:rsid w:val="001F3962"/>
    <w:rsid w:val="0022689E"/>
    <w:rsid w:val="002B6A0D"/>
    <w:rsid w:val="00320722"/>
    <w:rsid w:val="00321B75"/>
    <w:rsid w:val="00355A99"/>
    <w:rsid w:val="00371B99"/>
    <w:rsid w:val="003936B7"/>
    <w:rsid w:val="003A3E2E"/>
    <w:rsid w:val="003A79BD"/>
    <w:rsid w:val="003B2535"/>
    <w:rsid w:val="003D614E"/>
    <w:rsid w:val="0040409D"/>
    <w:rsid w:val="004215D9"/>
    <w:rsid w:val="00427E93"/>
    <w:rsid w:val="0043022B"/>
    <w:rsid w:val="00453738"/>
    <w:rsid w:val="00453774"/>
    <w:rsid w:val="00480405"/>
    <w:rsid w:val="00490CDB"/>
    <w:rsid w:val="00493D2F"/>
    <w:rsid w:val="004C2D22"/>
    <w:rsid w:val="004E4493"/>
    <w:rsid w:val="004F29D7"/>
    <w:rsid w:val="004F39B0"/>
    <w:rsid w:val="00545445"/>
    <w:rsid w:val="00593F3D"/>
    <w:rsid w:val="005A42E5"/>
    <w:rsid w:val="005A7A7D"/>
    <w:rsid w:val="005B078B"/>
    <w:rsid w:val="005C388B"/>
    <w:rsid w:val="005C7480"/>
    <w:rsid w:val="005D686E"/>
    <w:rsid w:val="005E0434"/>
    <w:rsid w:val="005E2A58"/>
    <w:rsid w:val="00641CEB"/>
    <w:rsid w:val="006628FF"/>
    <w:rsid w:val="00671EF3"/>
    <w:rsid w:val="0069376C"/>
    <w:rsid w:val="006D0C62"/>
    <w:rsid w:val="006F031D"/>
    <w:rsid w:val="0072577F"/>
    <w:rsid w:val="00732227"/>
    <w:rsid w:val="00762CA6"/>
    <w:rsid w:val="0079326E"/>
    <w:rsid w:val="007B2AA3"/>
    <w:rsid w:val="007B36FA"/>
    <w:rsid w:val="007C64C6"/>
    <w:rsid w:val="007D4914"/>
    <w:rsid w:val="00804CAE"/>
    <w:rsid w:val="00835A5F"/>
    <w:rsid w:val="00866617"/>
    <w:rsid w:val="008C081A"/>
    <w:rsid w:val="008E4AE4"/>
    <w:rsid w:val="00904536"/>
    <w:rsid w:val="00955CDB"/>
    <w:rsid w:val="00961369"/>
    <w:rsid w:val="009A01FD"/>
    <w:rsid w:val="009C14D1"/>
    <w:rsid w:val="009E2F15"/>
    <w:rsid w:val="009E5151"/>
    <w:rsid w:val="009F0476"/>
    <w:rsid w:val="00A0226C"/>
    <w:rsid w:val="00A070F5"/>
    <w:rsid w:val="00A84AF4"/>
    <w:rsid w:val="00AD3112"/>
    <w:rsid w:val="00AD7658"/>
    <w:rsid w:val="00AE303D"/>
    <w:rsid w:val="00AE670F"/>
    <w:rsid w:val="00B24360"/>
    <w:rsid w:val="00B32B71"/>
    <w:rsid w:val="00B737D4"/>
    <w:rsid w:val="00BB16DB"/>
    <w:rsid w:val="00BC7BE7"/>
    <w:rsid w:val="00C3323C"/>
    <w:rsid w:val="00C34F29"/>
    <w:rsid w:val="00C40430"/>
    <w:rsid w:val="00C85906"/>
    <w:rsid w:val="00C96687"/>
    <w:rsid w:val="00CA5BA2"/>
    <w:rsid w:val="00CB4563"/>
    <w:rsid w:val="00CE085C"/>
    <w:rsid w:val="00D22D3F"/>
    <w:rsid w:val="00D37DEC"/>
    <w:rsid w:val="00D416EA"/>
    <w:rsid w:val="00D43C5C"/>
    <w:rsid w:val="00D755E3"/>
    <w:rsid w:val="00D770E0"/>
    <w:rsid w:val="00DA172F"/>
    <w:rsid w:val="00DB178D"/>
    <w:rsid w:val="00DD43C2"/>
    <w:rsid w:val="00E03263"/>
    <w:rsid w:val="00E467E2"/>
    <w:rsid w:val="00E60FCF"/>
    <w:rsid w:val="00E622D7"/>
    <w:rsid w:val="00E67BD1"/>
    <w:rsid w:val="00E70202"/>
    <w:rsid w:val="00E70F23"/>
    <w:rsid w:val="00E7358C"/>
    <w:rsid w:val="00E7772A"/>
    <w:rsid w:val="00EA3919"/>
    <w:rsid w:val="00EE6553"/>
    <w:rsid w:val="00F04994"/>
    <w:rsid w:val="00F1202A"/>
    <w:rsid w:val="00F1265E"/>
    <w:rsid w:val="00F233EA"/>
    <w:rsid w:val="00F24B1D"/>
    <w:rsid w:val="00F47A04"/>
    <w:rsid w:val="00F61ED1"/>
    <w:rsid w:val="00F70A40"/>
    <w:rsid w:val="00F7654D"/>
    <w:rsid w:val="00F963CD"/>
    <w:rsid w:val="00FB225B"/>
    <w:rsid w:val="00FC0EF1"/>
    <w:rsid w:val="00FE2D4B"/>
    <w:rsid w:val="00FE3296"/>
    <w:rsid w:val="144661F0"/>
    <w:rsid w:val="251E8B71"/>
    <w:rsid w:val="3FFAF9C3"/>
    <w:rsid w:val="48D452F2"/>
    <w:rsid w:val="5694797B"/>
    <w:rsid w:val="6F1B5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68DC"/>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B352B"/>
    <w:rPr>
      <w:rFonts w:ascii="Tahoma" w:hAnsi="Tahoma" w:cs="Tahoma"/>
      <w:sz w:val="16"/>
      <w:szCs w:val="16"/>
    </w:rPr>
  </w:style>
  <w:style w:type="paragraph" w:styleId="Paragraph" w:customStyle="1">
    <w:name w:val="Paragraph"/>
    <w:basedOn w:val="Normal"/>
    <w:uiPriority w:val="4"/>
    <w:qFormat/>
    <w:rsid w:val="009A01FD"/>
    <w:pPr>
      <w:numPr>
        <w:numId w:val="2"/>
      </w:numPr>
      <w:spacing w:before="240" w:after="240"/>
    </w:pPr>
    <w:rPr>
      <w:rFonts w:ascii="Arial" w:hAnsi="Arial" w:eastAsia="Times New Roman"/>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1" w:customStyle="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hAnsi="Arial" w:eastAsia="Times New Roman"/>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semiHidden/>
    <w:unhideWhenUsed/>
    <w:rsid w:val="00E467E2"/>
    <w:pPr>
      <w:spacing w:line="240" w:lineRule="auto"/>
    </w:pPr>
    <w:rPr>
      <w:sz w:val="20"/>
      <w:szCs w:val="20"/>
    </w:rPr>
  </w:style>
  <w:style w:type="character" w:styleId="CommentTextChar" w:customStyle="1">
    <w:name w:val="Comment Text Char"/>
    <w:basedOn w:val="DefaultParagraphFont"/>
    <w:link w:val="CommentText"/>
    <w:uiPriority w:val="99"/>
    <w:semiHidden/>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styleId="CommentSubjectChar" w:customStyle="1">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hAnsi="Arial" w:eastAsia="Times New Roman"/>
      <w:color w:val="333333"/>
      <w:sz w:val="20"/>
      <w:szCs w:val="20"/>
    </w:rPr>
  </w:style>
  <w:style w:type="character" w:styleId="BodyTextChar" w:customStyle="1">
    <w:name w:val="Body Text Char"/>
    <w:basedOn w:val="DefaultParagraphFont"/>
    <w:link w:val="BodyText"/>
    <w:rsid w:val="00671EF3"/>
    <w:rPr>
      <w:rFonts w:ascii="Arial" w:hAnsi="Arial" w:eastAsia="Times New Roman"/>
      <w:color w:val="33333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EA43C9-AFD0-42EE-8F29-063FDF870484}">
  <ds:schemaRefs>
    <ds:schemaRef ds:uri="http://schemas.microsoft.com/sharepoint/v3/contenttype/forms"/>
  </ds:schemaRefs>
</ds:datastoreItem>
</file>

<file path=customXml/itemProps2.xml><?xml version="1.0" encoding="utf-8"?>
<ds:datastoreItem xmlns:ds="http://schemas.openxmlformats.org/officeDocument/2006/customXml" ds:itemID="{17569E5C-05D4-4F01-8534-F2584E703F57}"/>
</file>

<file path=customXml/itemProps3.xml><?xml version="1.0" encoding="utf-8"?>
<ds:datastoreItem xmlns:ds="http://schemas.openxmlformats.org/officeDocument/2006/customXml" ds:itemID="{9D4C8385-292E-47C4-95A2-DD88639269DF}">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 Davies</cp:lastModifiedBy>
  <cp:revision>4</cp:revision>
  <cp:lastPrinted>1900-01-01T00:00:00Z</cp:lastPrinted>
  <dcterms:created xsi:type="dcterms:W3CDTF">2025-09-26T13:45:00Z</dcterms:created>
  <dcterms:modified xsi:type="dcterms:W3CDTF">2025-11-12T14:11:12Z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2025-09-26T13:45:57Z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5a62b08b-cafc-415b-9556-b03d53a3c642</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0x0101003300E5E64B980D458C754FFE05DEE26D</vt:lpwstr>
  </property>
  <property fmtid="{D5CDD505-2E9C-101B-9397-08002B2CF9AE}" pid="11" name="MediaServiceImageTags">
    <vt:lpwstr/>
  </property>
</Properties>
</file>