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022B" w:rsidR="0004302C" w:rsidP="3697A6CC" w:rsidRDefault="0004302C" w14:paraId="5F36C1A4" w14:textId="03A66F38">
      <w:pPr>
        <w:pStyle w:val="Normal"/>
        <w:suppressLineNumbers w:val="0"/>
        <w:bidi w:val="0"/>
        <w:spacing w:before="0" w:beforeAutospacing="off" w:after="200" w:afterAutospacing="off" w:line="288" w:lineRule="auto"/>
        <w:ind w:left="0" w:right="0"/>
        <w:jc w:val="left"/>
        <w:rPr>
          <w:rFonts w:cs="Arial"/>
        </w:rPr>
      </w:pPr>
      <w:r w:rsidRPr="58D5B36B" w:rsidR="0004302C">
        <w:rPr>
          <w:rFonts w:cs="Arial"/>
        </w:rPr>
        <w:t>Sent by e-mail only:</w:t>
      </w:r>
      <w:r w:rsidRPr="58D5B36B" w:rsidR="0004302C">
        <w:rPr>
          <w:rFonts w:cs="Arial"/>
          <w:color w:val="auto"/>
        </w:rPr>
        <w:t xml:space="preserve"> </w:t>
      </w:r>
      <w:r w:rsidRPr="58D5B36B" w:rsidR="2286BBBD">
        <w:rPr>
          <w:rFonts w:cs="Arial"/>
          <w:color w:val="auto"/>
          <w:highlight w:val="black"/>
        </w:rPr>
        <w:t>XXXXXXXXXXXXXXXXXXXXX</w:t>
      </w:r>
    </w:p>
    <w:p w:rsidR="00280C27" w:rsidP="00DE4811" w:rsidRDefault="0004302C" w14:paraId="5F5307D0" w14:textId="14F980C8">
      <w:pPr>
        <w:spacing w:after="0" w:line="240" w:lineRule="auto"/>
        <w:jc w:val="both"/>
        <w:rPr>
          <w:rFonts w:cs="Arial"/>
        </w:rPr>
      </w:pPr>
      <w:r w:rsidRPr="16F90D45" w:rsidR="0004302C">
        <w:rPr>
          <w:rFonts w:cs="Arial"/>
        </w:rPr>
        <w:t xml:space="preserve">FAO </w:t>
      </w:r>
      <w:r w:rsidRPr="16F90D45" w:rsidR="17F5ED8D">
        <w:rPr>
          <w:rFonts w:cs="Arial"/>
          <w:color w:val="auto"/>
          <w:highlight w:val="black"/>
        </w:rPr>
        <w:t>XXXXXXXXXXXXXXXX</w:t>
      </w:r>
      <w:r w:rsidRPr="16F90D45" w:rsidR="00DE4811">
        <w:rPr>
          <w:rFonts w:cs="Arial"/>
        </w:rPr>
        <w:t xml:space="preserve"> </w:t>
      </w:r>
    </w:p>
    <w:p w:rsidR="00DE4811" w:rsidP="00DE4811" w:rsidRDefault="00DE4811" w14:paraId="72583041" w14:textId="4A00EE0A">
      <w:pPr>
        <w:spacing w:after="0" w:line="240" w:lineRule="auto"/>
        <w:jc w:val="both"/>
        <w:rPr>
          <w:rFonts w:cs="Arial"/>
        </w:rPr>
      </w:pPr>
      <w:r>
        <w:rPr>
          <w:rFonts w:cs="Arial"/>
        </w:rPr>
        <w:t>Batten Disease Family Association CIO</w:t>
      </w:r>
    </w:p>
    <w:p w:rsidR="00DE4811" w:rsidP="00DE4811" w:rsidRDefault="00DE4811" w14:paraId="6CCF9898" w14:textId="4D29D4A4">
      <w:pPr>
        <w:spacing w:after="0" w:line="240" w:lineRule="auto"/>
        <w:jc w:val="both"/>
        <w:rPr>
          <w:rFonts w:cs="Arial"/>
        </w:rPr>
      </w:pPr>
      <w:r>
        <w:rPr>
          <w:rFonts w:cs="Arial"/>
        </w:rPr>
        <w:t>PO Box 379</w:t>
      </w:r>
    </w:p>
    <w:p w:rsidR="00DE4811" w:rsidP="00DE4811" w:rsidRDefault="00DE4811" w14:paraId="27170060" w14:textId="6DBA0788">
      <w:pPr>
        <w:spacing w:after="0" w:line="240" w:lineRule="auto"/>
        <w:jc w:val="both"/>
        <w:rPr>
          <w:rFonts w:cs="Arial"/>
        </w:rPr>
      </w:pPr>
      <w:r>
        <w:rPr>
          <w:rFonts w:cs="Arial"/>
        </w:rPr>
        <w:t>Shipley</w:t>
      </w:r>
    </w:p>
    <w:p w:rsidR="00DE4811" w:rsidP="00DE4811" w:rsidRDefault="00DE4811" w14:paraId="20669FB2" w14:textId="2F90ED16">
      <w:pPr>
        <w:spacing w:after="0" w:line="240" w:lineRule="auto"/>
        <w:jc w:val="both"/>
        <w:rPr>
          <w:rFonts w:cs="Arial"/>
        </w:rPr>
      </w:pPr>
      <w:r w:rsidRPr="01EF0BC1" w:rsidR="00DE4811">
        <w:rPr>
          <w:rFonts w:cs="Arial"/>
        </w:rPr>
        <w:t>BD18 379</w:t>
      </w:r>
    </w:p>
    <w:p w:rsidR="01EF0BC1" w:rsidP="01EF0BC1" w:rsidRDefault="01EF0BC1" w14:paraId="1C0908B0" w14:textId="6345DA77">
      <w:pPr>
        <w:rPr>
          <w:rFonts w:cs="Arial"/>
        </w:rPr>
      </w:pPr>
    </w:p>
    <w:p w:rsidRPr="0043022B" w:rsidR="0004302C" w:rsidP="0004302C" w:rsidRDefault="0004302C" w14:paraId="51088EB9" w14:textId="1E07932C">
      <w:pPr>
        <w:rPr>
          <w:rFonts w:cs="Arial"/>
        </w:rPr>
      </w:pPr>
      <w:r w:rsidRPr="01EF0BC1" w:rsidR="475928F9">
        <w:rPr>
          <w:rFonts w:cs="Arial"/>
        </w:rPr>
        <w:t xml:space="preserve">5 </w:t>
      </w:r>
      <w:r w:rsidRPr="01EF0BC1" w:rsidR="00280C27">
        <w:rPr>
          <w:rFonts w:cs="Arial"/>
        </w:rPr>
        <w:t>September</w:t>
      </w:r>
      <w:r w:rsidRPr="01EF0BC1" w:rsidR="006C5A0C">
        <w:rPr>
          <w:rFonts w:cs="Arial"/>
        </w:rPr>
        <w:t xml:space="preserve"> 2025</w:t>
      </w:r>
    </w:p>
    <w:p w:rsidRPr="0043022B" w:rsidR="0004302C" w:rsidP="3697A6CC" w:rsidRDefault="0004302C" w14:paraId="6392A75B" w14:textId="00423D5E">
      <w:pPr>
        <w:ind w:left="426" w:right="468" w:hanging="426"/>
        <w:jc w:val="both"/>
        <w:rPr>
          <w:rFonts w:cs="Arial"/>
          <w:noProof/>
          <w:spacing w:val="-3"/>
          <w:lang w:eastAsia="en-GB"/>
        </w:rPr>
      </w:pPr>
      <w:bookmarkStart w:name="deartext" w:id="0"/>
      <w:r w:rsidRPr="58D5B36B" w:rsidR="0004302C">
        <w:rPr>
          <w:rFonts w:cs="Arial"/>
        </w:rPr>
        <w:t>Dear</w:t>
      </w:r>
      <w:bookmarkEnd w:id="0"/>
      <w:r w:rsidRPr="58D5B36B" w:rsidR="0004302C">
        <w:rPr>
          <w:rFonts w:cs="Arial"/>
        </w:rPr>
        <w:t xml:space="preserve"> </w:t>
      </w:r>
      <w:r w:rsidRPr="58D5B36B" w:rsidR="434E6A5B">
        <w:rPr>
          <w:rFonts w:cs="Arial"/>
          <w:color w:val="auto"/>
          <w:highlight w:val="black"/>
        </w:rPr>
        <w:t>XXXXXXXXXXXXXX</w:t>
      </w:r>
      <w:bookmarkStart w:name="Sal" w:id="1"/>
      <w:bookmarkEnd w:id="1"/>
    </w:p>
    <w:p w:rsidRPr="0043022B" w:rsidR="0004302C" w:rsidP="0004302C" w:rsidRDefault="0004302C" w14:paraId="0C2B27E7" w14:textId="21861E03">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03E2DAFD">
                <o:lock v:ext="edit" shapetype="f"/>
              </v:line>
            </w:pict>
          </mc:Fallback>
        </mc:AlternateContent>
      </w:r>
      <w:r w:rsidRPr="0043022B">
        <w:rPr>
          <w:rFonts w:cs="Arial"/>
          <w:b/>
          <w:spacing w:val="-3"/>
        </w:rPr>
        <w:t xml:space="preserve">Re: </w:t>
      </w:r>
      <w:r w:rsidRPr="0043022B">
        <w:rPr>
          <w:rFonts w:cs="Arial"/>
          <w:b/>
        </w:rPr>
        <w:t xml:space="preserve">Final </w:t>
      </w:r>
      <w:r w:rsidR="006C5A0C">
        <w:rPr>
          <w:rFonts w:cs="Arial"/>
          <w:b/>
        </w:rPr>
        <w:t xml:space="preserve">Draft Guidance – </w:t>
      </w:r>
      <w:proofErr w:type="spellStart"/>
      <w:r w:rsidR="00280C27">
        <w:rPr>
          <w:rFonts w:cs="Arial"/>
          <w:b/>
        </w:rPr>
        <w:t>Cerliponase</w:t>
      </w:r>
      <w:proofErr w:type="spellEnd"/>
      <w:r w:rsidR="00280C27">
        <w:rPr>
          <w:rFonts w:cs="Arial"/>
          <w:b/>
        </w:rPr>
        <w:t xml:space="preserve"> alfa for treating neuronal ceroid lipofuscinosis type 2 (MA review of HST12) [ID6145]</w:t>
      </w:r>
    </w:p>
    <w:p w:rsidRPr="00C31456" w:rsidR="00003026" w:rsidP="00413F89" w:rsidRDefault="000223BD" w14:paraId="7414DC3E" w14:textId="1AFC80B7">
      <w:pPr>
        <w:jc w:val="both"/>
        <w:rPr>
          <w:rFonts w:cs="Arial"/>
          <w:color w:val="auto"/>
        </w:rPr>
      </w:pPr>
      <w:r w:rsidRPr="00C31456">
        <w:rPr>
          <w:rFonts w:cs="Arial"/>
          <w:color w:val="auto"/>
        </w:rPr>
        <w:t xml:space="preserve">Thank you for your letter of </w:t>
      </w:r>
      <w:r w:rsidR="00280C27">
        <w:rPr>
          <w:rFonts w:cs="Arial"/>
          <w:color w:val="auto"/>
        </w:rPr>
        <w:t>2</w:t>
      </w:r>
      <w:r w:rsidR="00DE4811">
        <w:rPr>
          <w:rFonts w:cs="Arial"/>
          <w:color w:val="auto"/>
        </w:rPr>
        <w:t>9</w:t>
      </w:r>
      <w:r w:rsidR="00280C27">
        <w:rPr>
          <w:rFonts w:cs="Arial"/>
          <w:color w:val="auto"/>
        </w:rPr>
        <w:t xml:space="preserve"> July</w:t>
      </w:r>
      <w:r w:rsidRPr="00C31456" w:rsidR="006C5A0C">
        <w:rPr>
          <w:rFonts w:cs="Arial"/>
          <w:color w:val="auto"/>
        </w:rPr>
        <w:t xml:space="preserve"> 2025</w:t>
      </w:r>
      <w:r w:rsidRPr="00C31456">
        <w:rPr>
          <w:rFonts w:cs="Arial"/>
          <w:color w:val="auto"/>
        </w:rPr>
        <w:t xml:space="preserve">, lodging </w:t>
      </w:r>
      <w:r w:rsidRPr="00C31456" w:rsidR="00F4296D">
        <w:rPr>
          <w:rFonts w:cs="Arial"/>
          <w:color w:val="auto"/>
        </w:rPr>
        <w:t>an</w:t>
      </w:r>
      <w:r w:rsidRPr="00C31456">
        <w:rPr>
          <w:rFonts w:cs="Arial"/>
          <w:color w:val="auto"/>
        </w:rPr>
        <w:t xml:space="preserve"> appeal against the above Final </w:t>
      </w:r>
      <w:r w:rsidRPr="00C31456" w:rsidR="006C5A0C">
        <w:rPr>
          <w:rFonts w:cs="Arial"/>
          <w:color w:val="auto"/>
        </w:rPr>
        <w:t>Draft Guidance</w:t>
      </w:r>
      <w:r w:rsidRPr="00C31456">
        <w:rPr>
          <w:rFonts w:cs="Arial"/>
          <w:color w:val="auto"/>
        </w:rPr>
        <w:t xml:space="preserve"> (</w:t>
      </w:r>
      <w:r w:rsidRPr="00C31456" w:rsidR="006C5A0C">
        <w:rPr>
          <w:rFonts w:cs="Arial"/>
          <w:color w:val="auto"/>
        </w:rPr>
        <w:t>"</w:t>
      </w:r>
      <w:r w:rsidRPr="00C31456" w:rsidR="006C5A0C">
        <w:rPr>
          <w:rFonts w:cs="Arial"/>
          <w:b/>
          <w:bCs/>
          <w:color w:val="auto"/>
        </w:rPr>
        <w:t>FDG</w:t>
      </w:r>
      <w:r w:rsidRPr="00C31456" w:rsidR="006C5A0C">
        <w:rPr>
          <w:rFonts w:cs="Arial"/>
          <w:color w:val="auto"/>
        </w:rPr>
        <w:t>"</w:t>
      </w:r>
      <w:r w:rsidRPr="00C31456">
        <w:rPr>
          <w:rFonts w:cs="Arial"/>
          <w:color w:val="auto"/>
        </w:rPr>
        <w:t xml:space="preserve">). </w:t>
      </w:r>
      <w:r w:rsidRPr="00C31456" w:rsidR="00262058">
        <w:rPr>
          <w:rFonts w:cs="Arial"/>
          <w:color w:val="auto"/>
        </w:rPr>
        <w:t xml:space="preserve"> </w:t>
      </w:r>
    </w:p>
    <w:p w:rsidRPr="00C31456" w:rsidR="00C70019" w:rsidP="00413F89" w:rsidRDefault="00C70019" w14:paraId="5F523C58" w14:textId="77777777">
      <w:pPr>
        <w:jc w:val="both"/>
        <w:rPr>
          <w:rFonts w:cs="Arial"/>
          <w:color w:val="auto"/>
        </w:rPr>
      </w:pPr>
      <w:r w:rsidRPr="00C31456">
        <w:rPr>
          <w:rFonts w:cs="Arial"/>
          <w:color w:val="auto"/>
          <w:u w:val="single"/>
        </w:rPr>
        <w:t>Introduction</w:t>
      </w:r>
      <w:r w:rsidRPr="00C31456">
        <w:rPr>
          <w:rFonts w:cs="Arial"/>
          <w:color w:val="auto"/>
        </w:rPr>
        <w:t xml:space="preserve"> </w:t>
      </w:r>
    </w:p>
    <w:p w:rsidRPr="00C31456" w:rsidR="00C70019" w:rsidP="00413F89" w:rsidRDefault="00C70019" w14:paraId="70E1E5B1" w14:textId="2DBAE3FD">
      <w:pPr>
        <w:jc w:val="both"/>
        <w:rPr>
          <w:rFonts w:cs="Arial"/>
          <w:color w:val="auto"/>
        </w:rPr>
      </w:pPr>
      <w:r w:rsidRPr="00C31456">
        <w:rPr>
          <w:rFonts w:cs="Arial"/>
          <w:color w:val="auto"/>
        </w:rPr>
        <w:t xml:space="preserve">The Institute's appeal procedures provide for an initial scrutiny of points that an appellant wishes to raise, to </w:t>
      </w:r>
      <w:r w:rsidRPr="00C31456" w:rsidR="006B6C22">
        <w:rPr>
          <w:rFonts w:cs="Arial"/>
          <w:color w:val="auto"/>
        </w:rPr>
        <w:t>provide an initial view on whether</w:t>
      </w:r>
      <w:r w:rsidRPr="00C31456">
        <w:rPr>
          <w:rFonts w:cs="Arial"/>
          <w:color w:val="auto"/>
        </w:rPr>
        <w:t xml:space="preserve"> they are within the permitted grounds of appeal ("valid")</w:t>
      </w:r>
      <w:r w:rsidRPr="00C31456" w:rsidR="006B6C22">
        <w:rPr>
          <w:rFonts w:cs="Arial"/>
          <w:color w:val="auto"/>
        </w:rPr>
        <w:t xml:space="preserve"> and are at least arguable</w:t>
      </w:r>
      <w:r w:rsidRPr="00C31456">
        <w:rPr>
          <w:rFonts w:cs="Arial"/>
          <w:color w:val="auto"/>
        </w:rPr>
        <w:t xml:space="preserve">. The permitted grounds of appeal are: </w:t>
      </w:r>
    </w:p>
    <w:p w:rsidRPr="00C31456"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 xml:space="preserve">1(a) NICE has failed to act fairly, or </w:t>
      </w:r>
    </w:p>
    <w:p w:rsidRPr="00C31456"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1(b) NICE has exceeded powers;</w:t>
      </w:r>
    </w:p>
    <w:p w:rsidRPr="00C31456"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(2) the recommendation is unreasonable in the light of the evidence submitted to NICE</w:t>
      </w:r>
      <w:r w:rsidRPr="00C31456" w:rsidR="006347AD">
        <w:rPr>
          <w:rFonts w:cs="Arial"/>
          <w:color w:val="auto"/>
        </w:rPr>
        <w:t>.</w:t>
      </w:r>
    </w:p>
    <w:p w:rsidRPr="00C31456" w:rsidR="00C70019" w:rsidP="00413F89" w:rsidRDefault="00C70019" w14:paraId="08D953B5" w14:textId="25297E74">
      <w:pPr>
        <w:jc w:val="both"/>
        <w:rPr>
          <w:rFonts w:cs="Arial"/>
          <w:color w:val="auto"/>
        </w:rPr>
      </w:pPr>
      <w:r w:rsidRPr="00C31456">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C31456" w:rsidR="00F41597">
        <w:rPr>
          <w:rFonts w:cs="Arial"/>
          <w:color w:val="auto"/>
        </w:rPr>
        <w:t>, are arguable, and</w:t>
      </w:r>
      <w:r w:rsidRPr="00C31456">
        <w:rPr>
          <w:rFonts w:cs="Arial"/>
          <w:color w:val="auto"/>
        </w:rPr>
        <w:t xml:space="preserve"> fall within any one of the grounds will your appeal be referred to the Appeal Panel. </w:t>
      </w:r>
    </w:p>
    <w:p w:rsidRPr="00C31456" w:rsidR="00A4155C" w:rsidP="00413F89" w:rsidRDefault="00A4155C" w14:paraId="797C6F4A" w14:textId="059EAF25">
      <w:pPr>
        <w:jc w:val="both"/>
        <w:rPr>
          <w:rFonts w:cs="Arial"/>
          <w:color w:val="auto"/>
        </w:rPr>
      </w:pPr>
      <w:r w:rsidRPr="00C31456">
        <w:rPr>
          <w:rFonts w:cs="Arial"/>
          <w:color w:val="auto"/>
        </w:rPr>
        <w:t xml:space="preserve">You have the opportunity to comment on this letter in order to elaborate on or clarify any of the points raised before I make my final decision as to whether each appeal point should be referred to the Appeal Panel. Your response to this letter must not contain new points of appeal. Responses must deal only with requested clarifications, arguments or comments about my initial views. Your response to this letter will usually be the last opportunity to elaborate or provide clarification to the appeal, unless you are specifically invited to submit material at a later date. Any uninvited material submitted after your response to this letter will be rejected. </w:t>
      </w:r>
    </w:p>
    <w:p w:rsidRPr="00C31456" w:rsidR="00C70019" w:rsidP="00413F89" w:rsidRDefault="00C70019" w14:paraId="3294E8F2" w14:textId="77777777">
      <w:pPr>
        <w:jc w:val="both"/>
        <w:rPr>
          <w:rFonts w:cs="Arial"/>
          <w:color w:val="auto"/>
          <w:u w:val="single"/>
        </w:rPr>
      </w:pPr>
      <w:r w:rsidRPr="00C31456">
        <w:rPr>
          <w:rFonts w:cs="Arial"/>
          <w:color w:val="auto"/>
          <w:u w:val="single"/>
        </w:rPr>
        <w:t>Initial View</w:t>
      </w:r>
    </w:p>
    <w:p w:rsidRPr="00C31456" w:rsidR="00262058" w:rsidP="00413F89" w:rsidRDefault="00BB43EC" w14:paraId="15B951E6" w14:textId="4A8D7BE4">
      <w:pPr>
        <w:jc w:val="both"/>
        <w:rPr>
          <w:rFonts w:cs="Arial"/>
          <w:color w:val="auto"/>
        </w:rPr>
      </w:pPr>
      <w:r w:rsidRPr="00C31456">
        <w:rPr>
          <w:rFonts w:cs="Arial"/>
          <w:color w:val="auto"/>
        </w:rPr>
        <w:t>I</w:t>
      </w:r>
      <w:r w:rsidRPr="00C31456" w:rsidR="00C70019">
        <w:rPr>
          <w:rFonts w:cs="Arial"/>
          <w:color w:val="auto"/>
        </w:rPr>
        <w:t xml:space="preserve"> assess each of your </w:t>
      </w:r>
      <w:r w:rsidRPr="00C31456" w:rsidR="00B36320">
        <w:rPr>
          <w:rFonts w:cs="Arial"/>
          <w:color w:val="auto"/>
        </w:rPr>
        <w:t xml:space="preserve">points </w:t>
      </w:r>
      <w:r w:rsidRPr="00C31456" w:rsidR="00C70019">
        <w:rPr>
          <w:rFonts w:cs="Arial"/>
          <w:color w:val="auto"/>
        </w:rPr>
        <w:t xml:space="preserve">in turn.  </w:t>
      </w:r>
    </w:p>
    <w:p w:rsidRPr="00C31456" w:rsidR="00E87F1E" w:rsidP="00E87F1E" w:rsidRDefault="00E87F1E" w14:paraId="7ADCDE98" w14:textId="77777777">
      <w:pPr>
        <w:spacing w:before="120" w:after="0" w:line="240" w:lineRule="auto"/>
        <w:rPr>
          <w:rFonts w:cs="Arial"/>
          <w:b/>
          <w:i/>
          <w:lang w:eastAsia="en-GB"/>
        </w:rPr>
      </w:pPr>
      <w:r w:rsidRPr="00C31456">
        <w:rPr>
          <w:rFonts w:cs="Arial"/>
          <w:b/>
          <w:i/>
          <w:lang w:eastAsia="en-GB"/>
        </w:rPr>
        <w:t>Ground 1(a): In making the assessment that preceded the recommendation, NICE has failed to act fairly</w:t>
      </w:r>
    </w:p>
    <w:p w:rsidRPr="00C31456" w:rsidR="00280C27" w:rsidP="007A7F07" w:rsidRDefault="00B62869" w14:paraId="02DDDF5C" w14:textId="476F8AC9">
      <w:pPr>
        <w:spacing w:before="240" w:after="240" w:line="276" w:lineRule="auto"/>
        <w:jc w:val="both"/>
        <w:rPr>
          <w:rFonts w:cs="Arial"/>
          <w:b/>
          <w:color w:val="auto"/>
          <w:u w:val="single"/>
        </w:rPr>
      </w:pPr>
      <w:r w:rsidRPr="00C31456">
        <w:rPr>
          <w:rFonts w:cs="Arial"/>
          <w:b/>
          <w:color w:val="auto"/>
          <w:u w:val="single"/>
        </w:rPr>
        <w:t>Appeal point 1(a).1</w:t>
      </w:r>
      <w:r w:rsidRPr="00C31456" w:rsidR="007A7F07">
        <w:rPr>
          <w:rFonts w:cs="Arial"/>
          <w:b/>
          <w:color w:val="auto"/>
          <w:u w:val="single"/>
        </w:rPr>
        <w:t xml:space="preserve">: </w:t>
      </w:r>
      <w:r w:rsidR="00DE4811">
        <w:rPr>
          <w:rFonts w:cs="Arial"/>
          <w:b/>
          <w:color w:val="auto"/>
          <w:u w:val="single"/>
        </w:rPr>
        <w:t>Failure to consider the nature of the condition for an ultra-rare paediatric condition and innovative treatment</w:t>
      </w:r>
    </w:p>
    <w:p w:rsidR="00210BE7" w:rsidP="00D70C64" w:rsidRDefault="00210BE7" w14:paraId="75CCA27B" w14:textId="412AA738">
      <w:pPr>
        <w:pStyle w:val="BodyText"/>
        <w:jc w:val="both"/>
        <w:rPr>
          <w:rFonts w:cs="Arial"/>
          <w:color w:val="auto"/>
        </w:rPr>
      </w:pPr>
      <w:r>
        <w:rPr>
          <w:rFonts w:cs="Arial"/>
          <w:color w:val="auto"/>
        </w:rPr>
        <w:t xml:space="preserve">I understand your appeal point to be that the Committee </w:t>
      </w:r>
      <w:r w:rsidR="00E82346">
        <w:rPr>
          <w:rFonts w:cs="Arial"/>
          <w:color w:val="auto"/>
        </w:rPr>
        <w:t xml:space="preserve">unfairly </w:t>
      </w:r>
      <w:r>
        <w:rPr>
          <w:rFonts w:cs="Arial"/>
          <w:color w:val="auto"/>
        </w:rPr>
        <w:t>failed to give adequate consideration to how the nature of the condition affects the ability to generate high-quality evidence</w:t>
      </w:r>
      <w:r w:rsidR="00E82346">
        <w:rPr>
          <w:rFonts w:cs="Arial"/>
          <w:color w:val="auto"/>
        </w:rPr>
        <w:t>, and that this</w:t>
      </w:r>
      <w:r>
        <w:rPr>
          <w:rFonts w:cs="Arial"/>
          <w:color w:val="auto"/>
        </w:rPr>
        <w:t xml:space="preserve"> led to a failure to apply greater flexibility afforded to it under the relevant provisions of the Manual. In particular, you refer to the small paediatric population.</w:t>
      </w:r>
    </w:p>
    <w:p w:rsidR="000851F6" w:rsidP="00D70C64" w:rsidRDefault="00D70C64" w14:paraId="3B29822B" w14:textId="6E029F26">
      <w:pPr>
        <w:pStyle w:val="BodyText"/>
        <w:jc w:val="both"/>
        <w:rPr>
          <w:rFonts w:cs="Arial"/>
          <w:color w:val="auto"/>
        </w:rPr>
      </w:pPr>
      <w:r>
        <w:rPr>
          <w:rFonts w:cs="Arial"/>
          <w:color w:val="auto"/>
        </w:rPr>
        <w:t>The Manual provides at section</w:t>
      </w:r>
      <w:r w:rsidR="000851F6">
        <w:rPr>
          <w:rFonts w:cs="Arial"/>
          <w:color w:val="auto"/>
        </w:rPr>
        <w:t xml:space="preserve"> 6.2.23-6.2.25 that for highly specialised technologies, the committee will consider the size of incremental QALY gain, and apply additional weight to QALY benefits according to the size of those benefit. Incremental QALY gains of 10 or less will be weighted 1, 11 to 29 will be weighted </w:t>
      </w:r>
      <w:r w:rsidR="00EB0AA9">
        <w:rPr>
          <w:rFonts w:cs="Arial"/>
          <w:color w:val="auto"/>
        </w:rPr>
        <w:t>between 1 and 3 (using equal increments)</w:t>
      </w:r>
      <w:r w:rsidR="000851F6">
        <w:rPr>
          <w:rFonts w:cs="Arial"/>
          <w:color w:val="auto"/>
        </w:rPr>
        <w:t>, and 30 or more weighted 3.</w:t>
      </w:r>
    </w:p>
    <w:p w:rsidR="000851F6" w:rsidP="00D70C64" w:rsidRDefault="000851F6" w14:paraId="4D13B5AD" w14:textId="4AA4CECE">
      <w:pPr>
        <w:pStyle w:val="BodyText"/>
        <w:jc w:val="both"/>
        <w:rPr>
          <w:rFonts w:cs="Arial"/>
          <w:color w:val="auto"/>
        </w:rPr>
      </w:pPr>
      <w:r>
        <w:rPr>
          <w:rFonts w:cs="Arial"/>
          <w:color w:val="auto"/>
        </w:rPr>
        <w:t xml:space="preserve">The Committee concluded in paragraph 3.19 of the FDG that the full QALY weight associated with its preferred assumptions (which I understand to be the maximum: 3) should be applied because it is likely that </w:t>
      </w:r>
      <w:proofErr w:type="spellStart"/>
      <w:r>
        <w:rPr>
          <w:rFonts w:cs="Arial"/>
          <w:color w:val="auto"/>
        </w:rPr>
        <w:t>cerliponase</w:t>
      </w:r>
      <w:proofErr w:type="spellEnd"/>
      <w:r>
        <w:rPr>
          <w:rFonts w:cs="Arial"/>
          <w:color w:val="auto"/>
        </w:rPr>
        <w:t xml:space="preserve"> alfa offers significant QALY gains.  </w:t>
      </w:r>
    </w:p>
    <w:p w:rsidR="00D70C64" w:rsidP="00D70C64" w:rsidRDefault="000851F6" w14:paraId="5B948A55" w14:textId="1D69E54C">
      <w:pPr>
        <w:pStyle w:val="BodyText"/>
        <w:jc w:val="both"/>
        <w:rPr>
          <w:rFonts w:cs="Arial"/>
          <w:color w:val="auto"/>
        </w:rPr>
      </w:pPr>
      <w:r>
        <w:rPr>
          <w:rFonts w:cs="Arial"/>
          <w:color w:val="auto"/>
        </w:rPr>
        <w:t>Section</w:t>
      </w:r>
      <w:r w:rsidR="00D70C64">
        <w:rPr>
          <w:rFonts w:cs="Arial"/>
          <w:color w:val="auto"/>
        </w:rPr>
        <w:t xml:space="preserve"> 6.2.34 </w:t>
      </w:r>
      <w:r>
        <w:rPr>
          <w:rFonts w:cs="Arial"/>
          <w:color w:val="auto"/>
        </w:rPr>
        <w:t xml:space="preserve">of the Manual provides </w:t>
      </w:r>
      <w:r w:rsidR="00D70C64">
        <w:rPr>
          <w:rFonts w:cs="Arial"/>
          <w:color w:val="auto"/>
        </w:rPr>
        <w:t>that:</w:t>
      </w:r>
    </w:p>
    <w:p w:rsidR="00D70C64" w:rsidP="00D70C64" w:rsidRDefault="00D70C64" w14:paraId="6C8BC215" w14:textId="1EF9A456">
      <w:pPr>
        <w:pStyle w:val="BodyText"/>
        <w:ind w:left="120"/>
        <w:jc w:val="both"/>
        <w:rPr>
          <w:rFonts w:cs="Arial"/>
          <w:i/>
          <w:iCs/>
          <w:color w:val="auto"/>
        </w:rPr>
      </w:pPr>
      <w:r>
        <w:rPr>
          <w:rFonts w:cs="Arial"/>
          <w:i/>
          <w:iCs/>
          <w:color w:val="auto"/>
        </w:rPr>
        <w:t xml:space="preserve">there </w:t>
      </w:r>
      <w:r w:rsidRPr="00A51DC7">
        <w:rPr>
          <w:rFonts w:cs="Arial"/>
          <w:i/>
          <w:iCs/>
          <w:color w:val="auto"/>
        </w:rPr>
        <w:t>are certain technologies or populations for which evidence generation is particularly difficult because they are:</w:t>
      </w:r>
    </w:p>
    <w:p w:rsidR="00D70C64" w:rsidP="00D70C64" w:rsidRDefault="00D70C64" w14:paraId="48A1A35A" w14:textId="77777777">
      <w:pPr>
        <w:pStyle w:val="BodyText"/>
        <w:numPr>
          <w:ilvl w:val="0"/>
          <w:numId w:val="38"/>
        </w:numPr>
        <w:ind w:left="540"/>
        <w:jc w:val="both"/>
        <w:rPr>
          <w:rFonts w:cs="Arial"/>
          <w:i/>
          <w:iCs/>
          <w:color w:val="auto"/>
        </w:rPr>
      </w:pPr>
      <w:r w:rsidRPr="00A51DC7">
        <w:rPr>
          <w:rFonts w:cs="Arial"/>
          <w:i/>
          <w:iCs/>
          <w:color w:val="auto"/>
        </w:rPr>
        <w:t>rare diseases</w:t>
      </w:r>
    </w:p>
    <w:p w:rsidR="00D70C64" w:rsidP="00D70C64" w:rsidRDefault="00D70C64" w14:paraId="7C049A1E" w14:textId="77777777">
      <w:pPr>
        <w:pStyle w:val="BodyText"/>
        <w:numPr>
          <w:ilvl w:val="0"/>
          <w:numId w:val="38"/>
        </w:numPr>
        <w:ind w:left="540"/>
        <w:jc w:val="both"/>
        <w:rPr>
          <w:rFonts w:cs="Arial"/>
          <w:i/>
          <w:iCs/>
          <w:color w:val="auto"/>
        </w:rPr>
      </w:pPr>
      <w:r w:rsidRPr="00A51DC7">
        <w:rPr>
          <w:rFonts w:cs="Arial"/>
          <w:i/>
          <w:iCs/>
          <w:color w:val="auto"/>
        </w:rPr>
        <w:t xml:space="preserve">for use in a population that is predominantly children (under 18 years old) </w:t>
      </w:r>
    </w:p>
    <w:p w:rsidR="00D70C64" w:rsidP="00D70C64" w:rsidRDefault="00D70C64" w14:paraId="57997CB7" w14:textId="77777777">
      <w:pPr>
        <w:pStyle w:val="BodyText"/>
        <w:numPr>
          <w:ilvl w:val="0"/>
          <w:numId w:val="38"/>
        </w:numPr>
        <w:ind w:left="540"/>
        <w:jc w:val="both"/>
        <w:rPr>
          <w:rFonts w:cs="Arial"/>
          <w:i/>
          <w:iCs/>
          <w:color w:val="auto"/>
        </w:rPr>
      </w:pPr>
      <w:r w:rsidRPr="00A51DC7">
        <w:rPr>
          <w:rFonts w:cs="Arial"/>
          <w:i/>
          <w:iCs/>
          <w:color w:val="auto"/>
        </w:rPr>
        <w:t xml:space="preserve">innovative and complex technologies. </w:t>
      </w:r>
    </w:p>
    <w:p w:rsidRPr="00A51DC7" w:rsidR="00D70C64" w:rsidP="00D70C64" w:rsidRDefault="00D70C64" w14:paraId="36525039" w14:textId="6A2230A3">
      <w:pPr>
        <w:pStyle w:val="BodyText"/>
        <w:ind w:left="120"/>
        <w:jc w:val="both"/>
        <w:rPr>
          <w:rFonts w:cs="Arial"/>
          <w:i/>
          <w:iCs/>
          <w:color w:val="auto"/>
        </w:rPr>
      </w:pPr>
      <w:r w:rsidRPr="00A51DC7">
        <w:rPr>
          <w:rFonts w:cs="Arial"/>
          <w:i/>
          <w:iCs/>
          <w:color w:val="auto"/>
        </w:rPr>
        <w:t>In these specific circumstances, the committee may be able to make recommendations accepting a higher degree of uncertainty. The committee will consider how the nature of the condition or technology(s) affects the ability to generate high-quality evidence before applying greater flexibility</w:t>
      </w:r>
      <w:r w:rsidR="000851F6">
        <w:rPr>
          <w:rFonts w:cs="Arial"/>
          <w:i/>
          <w:iCs/>
          <w:color w:val="auto"/>
        </w:rPr>
        <w:t>.</w:t>
      </w:r>
    </w:p>
    <w:p w:rsidR="0057509F" w:rsidP="009D48AD" w:rsidRDefault="009D48AD" w14:paraId="6877B185" w14:textId="716C3E21">
      <w:pPr>
        <w:pStyle w:val="BodyText"/>
        <w:jc w:val="both"/>
        <w:rPr>
          <w:rFonts w:cs="Arial"/>
          <w:color w:val="auto"/>
        </w:rPr>
      </w:pPr>
      <w:r>
        <w:rPr>
          <w:rFonts w:cs="Arial"/>
          <w:color w:val="auto"/>
        </w:rPr>
        <w:t>The FDG recognises</w:t>
      </w:r>
      <w:r w:rsidR="00E82346">
        <w:rPr>
          <w:rFonts w:cs="Arial"/>
          <w:color w:val="auto"/>
        </w:rPr>
        <w:t xml:space="preserve">, </w:t>
      </w:r>
      <w:r w:rsidR="000851F6">
        <w:rPr>
          <w:rFonts w:cs="Arial"/>
          <w:color w:val="auto"/>
        </w:rPr>
        <w:t xml:space="preserve">also </w:t>
      </w:r>
      <w:r w:rsidR="00E82346">
        <w:rPr>
          <w:rFonts w:cs="Arial"/>
          <w:color w:val="auto"/>
        </w:rPr>
        <w:t>in paragraph 3.19,</w:t>
      </w:r>
      <w:r>
        <w:rPr>
          <w:rFonts w:cs="Arial"/>
          <w:color w:val="auto"/>
        </w:rPr>
        <w:t xml:space="preserve"> that all three of the above apply to </w:t>
      </w:r>
      <w:proofErr w:type="spellStart"/>
      <w:r>
        <w:rPr>
          <w:rFonts w:cs="Arial"/>
          <w:color w:val="auto"/>
        </w:rPr>
        <w:t>cerliponase</w:t>
      </w:r>
      <w:proofErr w:type="spellEnd"/>
      <w:r>
        <w:rPr>
          <w:rFonts w:cs="Arial"/>
          <w:color w:val="auto"/>
        </w:rPr>
        <w:t xml:space="preserve"> alfa, </w:t>
      </w:r>
      <w:r w:rsidR="00E82346">
        <w:rPr>
          <w:rFonts w:cs="Arial"/>
          <w:color w:val="auto"/>
        </w:rPr>
        <w:t xml:space="preserve">and that it was appropriate to accept a higher degree of uncertainty.  The Committee further acknowledged that </w:t>
      </w:r>
      <w:r w:rsidR="0057509F">
        <w:rPr>
          <w:rFonts w:cs="Arial"/>
          <w:color w:val="auto"/>
        </w:rPr>
        <w:t>the circumstances of the evaluation contributed to the uncertainty, and that whilst much of this had been mitigated by the inclusion of certain assumptions, to account for any outstanding uncertainty, the Committee conclu</w:t>
      </w:r>
      <w:r w:rsidR="00583096">
        <w:rPr>
          <w:rFonts w:cs="Arial"/>
          <w:color w:val="auto"/>
        </w:rPr>
        <w:t>d</w:t>
      </w:r>
      <w:r w:rsidR="0057509F">
        <w:rPr>
          <w:rFonts w:cs="Arial"/>
          <w:color w:val="auto"/>
        </w:rPr>
        <w:t>ed that the QALY weighting should be increased by an additional 0.2.</w:t>
      </w:r>
    </w:p>
    <w:p w:rsidRPr="006620DC" w:rsidR="00D70C64" w:rsidP="00D70C64" w:rsidRDefault="0057509F" w14:paraId="0B562187" w14:textId="22D70AF1">
      <w:pPr>
        <w:pStyle w:val="BodyText"/>
        <w:jc w:val="both"/>
        <w:rPr>
          <w:rFonts w:cs="Arial"/>
          <w:color w:val="auto"/>
        </w:rPr>
      </w:pPr>
      <w:r>
        <w:rPr>
          <w:rFonts w:cs="Arial"/>
          <w:color w:val="auto"/>
        </w:rPr>
        <w:t xml:space="preserve">In the light of this clear evidence of the Committee's consideration and application of QALY weighting, I am not currently persuaded that this appeal point is arguable. </w:t>
      </w:r>
    </w:p>
    <w:p w:rsidRPr="00ED57C9" w:rsidR="006C5A0C" w:rsidP="006C5A0C" w:rsidRDefault="006C5A0C" w14:paraId="0F99F163" w14:textId="6C8DA02D">
      <w:pPr>
        <w:spacing w:before="240" w:after="240" w:line="276" w:lineRule="auto"/>
        <w:jc w:val="both"/>
        <w:rPr>
          <w:rFonts w:cs="Arial"/>
          <w:b/>
          <w:color w:val="auto"/>
          <w:u w:val="single"/>
        </w:rPr>
      </w:pPr>
      <w:r w:rsidRPr="00C31456">
        <w:rPr>
          <w:rFonts w:cs="Arial"/>
          <w:b/>
          <w:color w:val="auto"/>
          <w:u w:val="single"/>
        </w:rPr>
        <w:t xml:space="preserve">Appeal point 1(a).2: </w:t>
      </w:r>
      <w:r w:rsidR="00DE4811">
        <w:rPr>
          <w:rFonts w:cs="Arial"/>
          <w:b/>
          <w:color w:val="auto"/>
          <w:u w:val="single"/>
        </w:rPr>
        <w:t xml:space="preserve">Failure to act fairly in hearing evidence from patient experts at the fourth evaluation meeting </w:t>
      </w:r>
      <w:r w:rsidRPr="00ED57C9">
        <w:rPr>
          <w:rFonts w:cs="Arial"/>
          <w:b/>
          <w:color w:val="auto"/>
          <w:u w:val="single"/>
        </w:rPr>
        <w:t xml:space="preserve"> </w:t>
      </w:r>
    </w:p>
    <w:p w:rsidRPr="00B9765B" w:rsidR="00C64813" w:rsidP="00C64813" w:rsidRDefault="00C64813" w14:paraId="75B4C4F1" w14:textId="77777777">
      <w:pPr>
        <w:pStyle w:val="BodyText"/>
        <w:jc w:val="both"/>
        <w:rPr>
          <w:rFonts w:cs="Arial"/>
          <w:color w:val="auto"/>
        </w:rPr>
      </w:pPr>
      <w:r w:rsidRPr="00B9765B">
        <w:rPr>
          <w:rFonts w:cs="Arial"/>
          <w:color w:val="auto"/>
        </w:rPr>
        <w:t xml:space="preserve">I am not currently minded to refer this appeal point to the Appeal Panel. </w:t>
      </w:r>
    </w:p>
    <w:p w:rsidR="00C64813" w:rsidP="00C64813" w:rsidRDefault="00C64813" w14:paraId="32F4555A" w14:textId="30652FC1">
      <w:pPr>
        <w:pStyle w:val="BodyText"/>
        <w:jc w:val="both"/>
        <w:rPr>
          <w:rFonts w:cs="Arial"/>
          <w:color w:val="auto"/>
        </w:rPr>
      </w:pPr>
      <w:r w:rsidRPr="00B9765B">
        <w:rPr>
          <w:rFonts w:cs="Arial"/>
          <w:color w:val="auto"/>
        </w:rPr>
        <w:t xml:space="preserve">I note that </w:t>
      </w:r>
      <w:proofErr w:type="spellStart"/>
      <w:r w:rsidRPr="00B9765B">
        <w:rPr>
          <w:rFonts w:cs="Arial"/>
          <w:color w:val="auto"/>
        </w:rPr>
        <w:t>cerliponase</w:t>
      </w:r>
      <w:proofErr w:type="spellEnd"/>
      <w:r w:rsidRPr="00B9765B">
        <w:rPr>
          <w:rFonts w:cs="Arial"/>
          <w:color w:val="auto"/>
        </w:rPr>
        <w:t xml:space="preserve"> alfa has been considered at four committee meetings during this appraisal process</w:t>
      </w:r>
      <w:r>
        <w:rPr>
          <w:rFonts w:cs="Arial"/>
          <w:color w:val="auto"/>
        </w:rPr>
        <w:t xml:space="preserve">. Although I recognise that in rare diseases such as CLN2, there is a need to give particular weight to clinical expert input, I also recognise that in scheduling committee meetings NICE is tasked with balancing the availability of numerous experts, clinicians, committee members and patient representative. </w:t>
      </w:r>
    </w:p>
    <w:p w:rsidR="00C64813" w:rsidP="00C64813" w:rsidRDefault="00C64813" w14:paraId="627B24A7" w14:textId="7D866DC1">
      <w:pPr>
        <w:pStyle w:val="BodyText"/>
        <w:jc w:val="both"/>
        <w:rPr>
          <w:rFonts w:cs="Arial"/>
          <w:color w:val="auto"/>
        </w:rPr>
      </w:pPr>
      <w:r>
        <w:rPr>
          <w:rFonts w:cs="Arial"/>
          <w:color w:val="auto"/>
        </w:rPr>
        <w:t>I understand that the fourth committee meeting was scheduled to start at 12pm, but did not start until 3pm – and that consequently Dr Ram was unavailable for the fourth meeting</w:t>
      </w:r>
      <w:r w:rsidR="00210BE7">
        <w:rPr>
          <w:rFonts w:cs="Arial"/>
          <w:color w:val="auto"/>
        </w:rPr>
        <w:t>, having been available at the scheduled start time</w:t>
      </w:r>
      <w:r>
        <w:rPr>
          <w:rFonts w:cs="Arial"/>
          <w:color w:val="auto"/>
        </w:rPr>
        <w:t xml:space="preserve">. </w:t>
      </w:r>
    </w:p>
    <w:p w:rsidR="00C64813" w:rsidP="00C64813" w:rsidRDefault="00C64813" w14:paraId="2939F509" w14:textId="43CB8FDF">
      <w:pPr>
        <w:pStyle w:val="BodyText"/>
        <w:jc w:val="both"/>
        <w:rPr>
          <w:rFonts w:cs="Arial"/>
          <w:color w:val="auto"/>
        </w:rPr>
      </w:pPr>
      <w:r>
        <w:rPr>
          <w:rFonts w:cs="Arial"/>
          <w:color w:val="auto"/>
        </w:rPr>
        <w:t>Given the extensive opportunity for clinical expert input in previous committee meetings, I do not consider it inherently procedurally unfair for the fourth committee meeting to have started later than the scheduled start time. However,</w:t>
      </w:r>
      <w:r w:rsidR="00210BE7">
        <w:rPr>
          <w:rFonts w:cs="Arial"/>
          <w:color w:val="auto"/>
        </w:rPr>
        <w:t xml:space="preserve"> if </w:t>
      </w:r>
      <w:r w:rsidR="000851F6">
        <w:rPr>
          <w:rFonts w:cs="Arial"/>
          <w:color w:val="auto"/>
        </w:rPr>
        <w:t>BDFA</w:t>
      </w:r>
      <w:r w:rsidR="00210BE7">
        <w:rPr>
          <w:rFonts w:cs="Arial"/>
          <w:color w:val="auto"/>
        </w:rPr>
        <w:t xml:space="preserve"> is minded to pursue this appeal point,</w:t>
      </w:r>
      <w:r>
        <w:rPr>
          <w:rFonts w:cs="Arial"/>
          <w:color w:val="auto"/>
        </w:rPr>
        <w:t xml:space="preserve"> I would invite </w:t>
      </w:r>
      <w:r w:rsidR="00210BE7">
        <w:rPr>
          <w:rFonts w:cs="Arial"/>
          <w:color w:val="auto"/>
        </w:rPr>
        <w:t>you</w:t>
      </w:r>
      <w:r>
        <w:rPr>
          <w:rFonts w:cs="Arial"/>
          <w:color w:val="auto"/>
        </w:rPr>
        <w:t xml:space="preserve"> to explain </w:t>
      </w:r>
      <w:r w:rsidR="00210BE7">
        <w:rPr>
          <w:rFonts w:cs="Arial"/>
          <w:color w:val="auto"/>
        </w:rPr>
        <w:t xml:space="preserve">in response to this letter </w:t>
      </w:r>
      <w:r>
        <w:rPr>
          <w:rFonts w:cs="Arial"/>
          <w:color w:val="auto"/>
        </w:rPr>
        <w:t>whether</w:t>
      </w:r>
      <w:r w:rsidR="00210BE7">
        <w:rPr>
          <w:rFonts w:cs="Arial"/>
          <w:color w:val="auto"/>
        </w:rPr>
        <w:t xml:space="preserve"> you</w:t>
      </w:r>
      <w:r>
        <w:rPr>
          <w:rFonts w:cs="Arial"/>
          <w:color w:val="auto"/>
        </w:rPr>
        <w:t xml:space="preserve"> consider there to have been material omissions in the evidence and expertise available to the committee as a result of </w:t>
      </w:r>
      <w:r w:rsidR="00210BE7">
        <w:rPr>
          <w:rFonts w:cs="Arial"/>
          <w:color w:val="auto"/>
        </w:rPr>
        <w:t xml:space="preserve">Dr Ram's absence and if so, what these were and whether </w:t>
      </w:r>
      <w:r w:rsidR="000851F6">
        <w:rPr>
          <w:rFonts w:cs="Arial"/>
          <w:color w:val="auto"/>
        </w:rPr>
        <w:t>BDFA</w:t>
      </w:r>
      <w:r w:rsidR="00210BE7">
        <w:rPr>
          <w:rFonts w:cs="Arial"/>
          <w:color w:val="auto"/>
        </w:rPr>
        <w:t xml:space="preserve"> took any steps following ACM4 to seek to remedy the omissions</w:t>
      </w:r>
      <w:r>
        <w:rPr>
          <w:rFonts w:cs="Arial"/>
          <w:color w:val="auto"/>
        </w:rPr>
        <w:t xml:space="preserve">. </w:t>
      </w:r>
    </w:p>
    <w:p w:rsidR="00DE4811" w:rsidP="006C5A0C" w:rsidRDefault="00DE4811" w14:paraId="5F0CF00A" w14:textId="77777777">
      <w:pPr>
        <w:spacing w:before="240" w:after="240" w:line="276" w:lineRule="auto"/>
        <w:jc w:val="both"/>
        <w:rPr>
          <w:rFonts w:cs="Arial"/>
          <w:b/>
          <w:i/>
          <w:iCs/>
          <w:color w:val="auto"/>
        </w:rPr>
      </w:pPr>
      <w:r>
        <w:rPr>
          <w:rFonts w:cs="Arial"/>
          <w:b/>
          <w:i/>
          <w:iCs/>
          <w:color w:val="auto"/>
        </w:rPr>
        <w:t xml:space="preserve">Ground 1(b) : NICE has exceeded its powers </w:t>
      </w:r>
    </w:p>
    <w:p w:rsidR="0092660F" w:rsidP="006C5A0C" w:rsidRDefault="00DE4811" w14:paraId="5C804357" w14:textId="40AD9331">
      <w:pPr>
        <w:spacing w:before="240" w:after="240" w:line="276" w:lineRule="auto"/>
        <w:jc w:val="both"/>
        <w:rPr>
          <w:rFonts w:cs="Arial"/>
          <w:bCs/>
          <w:color w:val="auto"/>
        </w:rPr>
      </w:pPr>
      <w:r>
        <w:rPr>
          <w:rFonts w:cs="Arial"/>
          <w:b/>
          <w:color w:val="auto"/>
          <w:u w:val="single"/>
        </w:rPr>
        <w:t>Appeal Point 1(b)1 – Incompatibility with the Equality Act 2010</w:t>
      </w:r>
      <w:r w:rsidR="0092660F">
        <w:rPr>
          <w:rFonts w:cs="Arial"/>
          <w:bCs/>
          <w:color w:val="auto"/>
        </w:rPr>
        <w:t xml:space="preserve"> </w:t>
      </w:r>
    </w:p>
    <w:p w:rsidR="00C64813" w:rsidP="00C64813" w:rsidRDefault="00C64813" w14:paraId="791E054F" w14:textId="7DD0F1AE">
      <w:pPr>
        <w:spacing w:before="240" w:after="240" w:line="276" w:lineRule="auto"/>
        <w:jc w:val="both"/>
        <w:rPr>
          <w:rFonts w:cs="Arial"/>
          <w:bCs/>
          <w:color w:val="auto"/>
        </w:rPr>
      </w:pPr>
      <w:r>
        <w:rPr>
          <w:rFonts w:cs="Arial"/>
          <w:bCs/>
          <w:color w:val="auto"/>
        </w:rPr>
        <w:t xml:space="preserve">I understand your appeal point to be that the decision not to recommend </w:t>
      </w:r>
      <w:proofErr w:type="spellStart"/>
      <w:r>
        <w:rPr>
          <w:rFonts w:cs="Arial"/>
          <w:bCs/>
          <w:color w:val="auto"/>
        </w:rPr>
        <w:t>cerliponase</w:t>
      </w:r>
      <w:proofErr w:type="spellEnd"/>
      <w:r>
        <w:rPr>
          <w:rFonts w:cs="Arial"/>
          <w:bCs/>
          <w:color w:val="auto"/>
        </w:rPr>
        <w:t xml:space="preserve"> alfa will have a greater effect on </w:t>
      </w:r>
      <w:r w:rsidR="00210BE7">
        <w:rPr>
          <w:rFonts w:cs="Arial"/>
          <w:bCs/>
          <w:color w:val="auto"/>
        </w:rPr>
        <w:t>people with CLN2 who do not currently receive the technology under the Managed Access Agreement than those who do currently receive the technology under the Managed Access Agreement and will continue to do so. You say that those in the first group are typically younger than those in the second,, and that those</w:t>
      </w:r>
      <w:r>
        <w:rPr>
          <w:rFonts w:cs="Arial"/>
          <w:bCs/>
          <w:color w:val="auto"/>
        </w:rPr>
        <w:t xml:space="preserve"> younger children (i.e. sharing the protected characteristic of age) are at a particular disadvantage because of the negative recommendation. </w:t>
      </w:r>
    </w:p>
    <w:p w:rsidR="00C64813" w:rsidP="00C64813" w:rsidRDefault="00C64813" w14:paraId="0FBE8ECE" w14:textId="781F6885">
      <w:pPr>
        <w:spacing w:before="240" w:after="240" w:line="276" w:lineRule="auto"/>
        <w:jc w:val="both"/>
        <w:rPr>
          <w:rFonts w:cs="Arial"/>
          <w:bCs/>
          <w:i/>
          <w:iCs/>
          <w:color w:val="auto"/>
        </w:rPr>
      </w:pPr>
      <w:r>
        <w:rPr>
          <w:rFonts w:cs="Arial"/>
          <w:bCs/>
          <w:color w:val="auto"/>
        </w:rPr>
        <w:t xml:space="preserve">In any decision not to recommend a treatment for routine use in NHS, there </w:t>
      </w:r>
      <w:r w:rsidR="00210BE7">
        <w:rPr>
          <w:rFonts w:cs="Arial"/>
          <w:bCs/>
          <w:color w:val="auto"/>
        </w:rPr>
        <w:t>may</w:t>
      </w:r>
      <w:r>
        <w:rPr>
          <w:rFonts w:cs="Arial"/>
          <w:bCs/>
          <w:color w:val="auto"/>
        </w:rPr>
        <w:t xml:space="preserve"> be </w:t>
      </w:r>
      <w:r w:rsidR="00210BE7">
        <w:rPr>
          <w:rFonts w:cs="Arial"/>
          <w:bCs/>
          <w:color w:val="auto"/>
        </w:rPr>
        <w:t>certain</w:t>
      </w:r>
      <w:r>
        <w:rPr>
          <w:rFonts w:cs="Arial"/>
          <w:bCs/>
          <w:color w:val="auto"/>
        </w:rPr>
        <w:t xml:space="preserve"> patients who remain on or eligible for the treatment – whether through a managed access agreement, compassionate use or enrolment in a clinical trial. The FDG is clear at paragraph 1.2 that "</w:t>
      </w:r>
      <w:r>
        <w:rPr>
          <w:rFonts w:cs="Arial"/>
          <w:bCs/>
          <w:i/>
          <w:iCs/>
          <w:color w:val="auto"/>
        </w:rPr>
        <w:t xml:space="preserve">People already having </w:t>
      </w:r>
      <w:proofErr w:type="spellStart"/>
      <w:r>
        <w:rPr>
          <w:rFonts w:cs="Arial"/>
          <w:bCs/>
          <w:i/>
          <w:iCs/>
          <w:color w:val="auto"/>
        </w:rPr>
        <w:t>cerliponase</w:t>
      </w:r>
      <w:proofErr w:type="spellEnd"/>
      <w:r>
        <w:rPr>
          <w:rFonts w:cs="Arial"/>
          <w:bCs/>
          <w:i/>
          <w:iCs/>
          <w:color w:val="auto"/>
        </w:rPr>
        <w:t xml:space="preserve"> alfa for treating CLN2, or who start </w:t>
      </w:r>
      <w:proofErr w:type="spellStart"/>
      <w:r>
        <w:rPr>
          <w:rFonts w:cs="Arial"/>
          <w:bCs/>
          <w:i/>
          <w:iCs/>
          <w:color w:val="auto"/>
        </w:rPr>
        <w:t>cerliponase</w:t>
      </w:r>
      <w:proofErr w:type="spellEnd"/>
      <w:r>
        <w:rPr>
          <w:rFonts w:cs="Arial"/>
          <w:bCs/>
          <w:i/>
          <w:iCs/>
          <w:color w:val="auto"/>
        </w:rPr>
        <w:t xml:space="preserve"> alfa before the end of the managed access period can continue with treatment until they and their NHS healthcare professional consider it appropriate to stop". </w:t>
      </w:r>
    </w:p>
    <w:p w:rsidR="00C64813" w:rsidP="00C64813" w:rsidRDefault="00C64813" w14:paraId="1C7925EB" w14:textId="77777777">
      <w:pPr>
        <w:spacing w:before="240" w:after="240" w:line="276" w:lineRule="auto"/>
        <w:jc w:val="both"/>
        <w:rPr>
          <w:rFonts w:cs="Arial"/>
          <w:bCs/>
          <w:color w:val="auto"/>
        </w:rPr>
      </w:pPr>
      <w:r>
        <w:rPr>
          <w:rFonts w:cs="Arial"/>
          <w:bCs/>
          <w:color w:val="auto"/>
        </w:rPr>
        <w:t xml:space="preserve">It is implicit by the nature of NICE guidance that those who were eligible for the treatment before the FDG is published (and may have been eligible for the treatment under the aforementioned schemes) will be older than those who later become eligible for treatment which was not recommended by NICE as it was not considered cost-effective. </w:t>
      </w:r>
    </w:p>
    <w:p w:rsidR="00210BE7" w:rsidP="00210BE7" w:rsidRDefault="00210BE7" w14:paraId="593CCCE8" w14:textId="77777777">
      <w:pPr>
        <w:spacing w:before="240" w:after="240" w:line="276" w:lineRule="auto"/>
        <w:jc w:val="both"/>
        <w:rPr>
          <w:rFonts w:cs="Arial"/>
          <w:bCs/>
          <w:color w:val="auto"/>
        </w:rPr>
      </w:pPr>
      <w:r>
        <w:rPr>
          <w:rFonts w:cs="Arial"/>
          <w:bCs/>
          <w:color w:val="auto"/>
        </w:rPr>
        <w:t>Further, i</w:t>
      </w:r>
      <w:r w:rsidRPr="00275F60">
        <w:rPr>
          <w:rFonts w:cs="Arial"/>
          <w:bCs/>
          <w:color w:val="auto"/>
        </w:rPr>
        <w:t xml:space="preserve">n almost all NICE evaluations, a negative recommendation will impact some patients sharing a protected characteristic more than other patients not sharing that protected characteristic.  </w:t>
      </w:r>
      <w:r>
        <w:rPr>
          <w:rFonts w:cs="Arial"/>
          <w:bCs/>
          <w:color w:val="auto"/>
        </w:rPr>
        <w:t xml:space="preserve">For the purposes of this initial scrutiny letter, I am content to proceed on the basis that the impact you have identified may arguably amount to indirect discrimination.  However, as you will be aware, </w:t>
      </w:r>
      <w:r w:rsidRPr="00275F60">
        <w:rPr>
          <w:rFonts w:cs="Arial"/>
          <w:bCs/>
          <w:color w:val="auto"/>
        </w:rPr>
        <w:t xml:space="preserve">indirect discrimination can be objectively justified as a proportionate means of meeting a legitimate aim.  The legitimate aim of a NICE evaluation is that of only recommending technologies which are considered to be both clinically and cost effective.  </w:t>
      </w:r>
    </w:p>
    <w:p w:rsidR="00210BE7" w:rsidP="00210BE7" w:rsidRDefault="00210BE7" w14:paraId="0C8DD805" w14:textId="77777777">
      <w:pPr>
        <w:spacing w:before="240" w:after="240" w:line="276" w:lineRule="auto"/>
        <w:jc w:val="both"/>
        <w:rPr>
          <w:rFonts w:cs="Arial"/>
          <w:bCs/>
          <w:color w:val="auto"/>
        </w:rPr>
      </w:pPr>
      <w:r>
        <w:rPr>
          <w:rFonts w:cs="Arial"/>
          <w:bCs/>
          <w:color w:val="auto"/>
        </w:rPr>
        <w:t xml:space="preserve">I do not consider it arguable that there could be any indirect discrimination in this case that is not objectively justified. Any indirect discrimination that may be caused to younger people as a result of the negative recommendation of </w:t>
      </w:r>
      <w:proofErr w:type="spellStart"/>
      <w:r>
        <w:rPr>
          <w:rFonts w:cs="Arial"/>
          <w:bCs/>
          <w:color w:val="auto"/>
        </w:rPr>
        <w:t>cerliponase</w:t>
      </w:r>
      <w:proofErr w:type="spellEnd"/>
      <w:r>
        <w:rPr>
          <w:rFonts w:cs="Arial"/>
          <w:bCs/>
          <w:color w:val="auto"/>
        </w:rPr>
        <w:t xml:space="preserve"> alfa would be a proportionate means of achieving NICE's legitimate aim of focusing healthcare resource on interventions that have been proven to be cost effective.</w:t>
      </w:r>
    </w:p>
    <w:p w:rsidR="00210BE7" w:rsidP="00210BE7" w:rsidRDefault="00210BE7" w14:paraId="38A4F555" w14:textId="77777777">
      <w:pPr>
        <w:spacing w:before="240" w:after="240" w:line="276" w:lineRule="auto"/>
        <w:jc w:val="both"/>
        <w:rPr>
          <w:rFonts w:cs="Arial"/>
          <w:bCs/>
          <w:color w:val="auto"/>
        </w:rPr>
      </w:pPr>
      <w:r>
        <w:rPr>
          <w:rFonts w:cs="Arial"/>
          <w:bCs/>
          <w:color w:val="auto"/>
        </w:rPr>
        <w:t>In accordance with its public sector equality duty, it is clear to me from the Committee Papers that the Committee considered potential equality impacts of the recommendation in reaching its decision, and concluded that there were no equality impacts that would give rise to a decision modifier.</w:t>
      </w:r>
    </w:p>
    <w:p w:rsidRPr="005227FC" w:rsidR="00210BE7" w:rsidP="00210BE7" w:rsidRDefault="00210BE7" w14:paraId="2B649C97" w14:textId="77777777">
      <w:pPr>
        <w:spacing w:before="240" w:after="240" w:line="276" w:lineRule="auto"/>
        <w:jc w:val="both"/>
        <w:rPr>
          <w:rFonts w:cs="Arial"/>
          <w:bCs/>
          <w:color w:val="auto"/>
        </w:rPr>
      </w:pPr>
      <w:r>
        <w:rPr>
          <w:rFonts w:cs="Arial"/>
          <w:bCs/>
          <w:color w:val="auto"/>
        </w:rPr>
        <w:t xml:space="preserve">Consequently, I do not consider this to be a valid appeal point and am not currently minded to refer this to the Appeal Panel. </w:t>
      </w:r>
    </w:p>
    <w:p w:rsidRPr="00C31456" w:rsidR="00C64813" w:rsidP="00B62869" w:rsidRDefault="007A7F07" w14:paraId="61AF6FC2" w14:textId="0BA9222F">
      <w:pPr>
        <w:spacing w:before="240" w:after="240" w:line="276" w:lineRule="auto"/>
        <w:jc w:val="both"/>
        <w:rPr>
          <w:rFonts w:cs="Arial"/>
          <w:b/>
          <w:i/>
          <w:color w:val="auto"/>
        </w:rPr>
      </w:pPr>
      <w:r w:rsidRPr="00C31456">
        <w:rPr>
          <w:rFonts w:cs="Arial"/>
          <w:b/>
          <w:i/>
          <w:color w:val="auto"/>
        </w:rPr>
        <w:t>G</w:t>
      </w:r>
      <w:r w:rsidRPr="00C31456" w:rsidR="00491045">
        <w:rPr>
          <w:rFonts w:cs="Arial"/>
          <w:b/>
          <w:i/>
          <w:color w:val="auto"/>
        </w:rPr>
        <w:t xml:space="preserve">round 2: </w:t>
      </w:r>
      <w:r w:rsidRPr="00C31456" w:rsidR="00B62869">
        <w:rPr>
          <w:rFonts w:cs="Arial"/>
          <w:b/>
          <w:i/>
          <w:color w:val="auto"/>
        </w:rPr>
        <w:t>the recommendation is unreasonable in the light of the evidence submitted to NIC</w:t>
      </w:r>
      <w:r w:rsidR="009D48AD">
        <w:rPr>
          <w:rFonts w:cs="Arial"/>
          <w:b/>
          <w:i/>
          <w:color w:val="auto"/>
        </w:rPr>
        <w:t>E</w:t>
      </w:r>
    </w:p>
    <w:p w:rsidRPr="004B3824" w:rsidR="00491045" w:rsidP="007A7F07" w:rsidRDefault="00B62869" w14:paraId="41564A14" w14:textId="2F512C10">
      <w:pPr>
        <w:pStyle w:val="Paragraph"/>
        <w:numPr>
          <w:ilvl w:val="0"/>
          <w:numId w:val="0"/>
        </w:numPr>
        <w:jc w:val="both"/>
        <w:rPr>
          <w:rFonts w:cs="Arial"/>
          <w:b/>
          <w:sz w:val="20"/>
          <w:szCs w:val="20"/>
          <w:u w:val="single"/>
        </w:rPr>
      </w:pPr>
      <w:r w:rsidRPr="004B3824">
        <w:rPr>
          <w:rFonts w:cs="Arial"/>
          <w:b/>
          <w:sz w:val="20"/>
          <w:szCs w:val="20"/>
          <w:u w:val="single"/>
        </w:rPr>
        <w:t xml:space="preserve">Appeal point 2.1: </w:t>
      </w:r>
      <w:r w:rsidRPr="004B3824" w:rsidR="00DE4811">
        <w:rPr>
          <w:rFonts w:cs="Arial"/>
          <w:b/>
          <w:bCs/>
          <w:sz w:val="20"/>
          <w:szCs w:val="20"/>
          <w:u w:val="single"/>
        </w:rPr>
        <w:t xml:space="preserve">Unreasonable interpretation of clinical effectiveness </w:t>
      </w:r>
    </w:p>
    <w:p w:rsidRPr="004B3824" w:rsidR="00723F27" w:rsidP="00491045" w:rsidRDefault="00723F27" w14:paraId="39D011DE" w14:textId="1BE6A7C9">
      <w:pPr>
        <w:pStyle w:val="BodyText"/>
        <w:jc w:val="both"/>
        <w:rPr>
          <w:rFonts w:cs="Arial"/>
          <w:color w:val="auto"/>
        </w:rPr>
      </w:pPr>
      <w:r w:rsidRPr="004B3824">
        <w:rPr>
          <w:rFonts w:cs="Arial"/>
          <w:color w:val="auto"/>
        </w:rPr>
        <w:t xml:space="preserve">I understand </w:t>
      </w:r>
      <w:r w:rsidRPr="004B3824" w:rsidR="00C64813">
        <w:rPr>
          <w:rFonts w:cs="Arial"/>
          <w:color w:val="auto"/>
        </w:rPr>
        <w:t xml:space="preserve">the core of this appeal point to be that Committee </w:t>
      </w:r>
      <w:r w:rsidR="000851F6">
        <w:rPr>
          <w:rFonts w:cs="Arial"/>
          <w:color w:val="auto"/>
        </w:rPr>
        <w:t xml:space="preserve">unreasonably </w:t>
      </w:r>
      <w:r w:rsidRPr="004B3824" w:rsidR="00C64813">
        <w:rPr>
          <w:rFonts w:cs="Arial"/>
          <w:color w:val="auto"/>
        </w:rPr>
        <w:t>did not afford sufficient flexibility to accommodate</w:t>
      </w:r>
      <w:r w:rsidRPr="004B3824" w:rsidR="004B3824">
        <w:rPr>
          <w:rFonts w:cs="Arial"/>
          <w:color w:val="auto"/>
        </w:rPr>
        <w:t xml:space="preserve"> uncertainty. You illustrate this by reference to three reasons: </w:t>
      </w:r>
      <w:r w:rsidRPr="004B3824" w:rsidR="00C64813">
        <w:rPr>
          <w:rFonts w:cs="Arial"/>
          <w:color w:val="auto"/>
        </w:rPr>
        <w:t xml:space="preserve"> </w:t>
      </w:r>
      <w:r w:rsidRPr="004B3824">
        <w:rPr>
          <w:rFonts w:cs="Arial"/>
          <w:color w:val="auto"/>
        </w:rPr>
        <w:t xml:space="preserve"> </w:t>
      </w:r>
    </w:p>
    <w:p w:rsidRPr="004B3824" w:rsidR="004B3824" w:rsidP="004B3824" w:rsidRDefault="004B3824" w14:paraId="6CDBD361" w14:textId="1FD97BD4">
      <w:pPr>
        <w:pStyle w:val="BodyText"/>
        <w:numPr>
          <w:ilvl w:val="0"/>
          <w:numId w:val="39"/>
        </w:numPr>
        <w:jc w:val="both"/>
        <w:rPr>
          <w:rFonts w:cs="Arial"/>
          <w:color w:val="auto"/>
        </w:rPr>
      </w:pPr>
      <w:r w:rsidRPr="004B3824">
        <w:rPr>
          <w:rFonts w:cs="Arial"/>
          <w:color w:val="auto"/>
        </w:rPr>
        <w:t>It imposed evidential demands that are structurally unachievable in a condition with 3-6 new cases per year, even when the entire patient population is followed under an agreed protocol</w:t>
      </w:r>
      <w:r w:rsidR="000851F6">
        <w:rPr>
          <w:rFonts w:cs="Arial"/>
          <w:color w:val="auto"/>
        </w:rPr>
        <w:t>.</w:t>
      </w:r>
    </w:p>
    <w:p w:rsidRPr="004B3824" w:rsidR="004B3824" w:rsidP="004B3824" w:rsidRDefault="004B3824" w14:paraId="7F34C745" w14:textId="7ABF818A">
      <w:pPr>
        <w:pStyle w:val="BodyText"/>
        <w:numPr>
          <w:ilvl w:val="0"/>
          <w:numId w:val="39"/>
        </w:numPr>
        <w:jc w:val="both"/>
        <w:rPr>
          <w:rFonts w:cs="Arial"/>
          <w:color w:val="auto"/>
        </w:rPr>
      </w:pPr>
      <w:r w:rsidRPr="004B3824">
        <w:rPr>
          <w:rFonts w:cs="Arial"/>
          <w:color w:val="auto"/>
        </w:rPr>
        <w:t>It failed to explain what further evidence would have been accepted as sufficient, despite acknowledging the unique constraints of ultra-rare paediatric diseases</w:t>
      </w:r>
      <w:r w:rsidR="000851F6">
        <w:rPr>
          <w:rFonts w:cs="Arial"/>
          <w:color w:val="auto"/>
        </w:rPr>
        <w:t>.</w:t>
      </w:r>
    </w:p>
    <w:p w:rsidRPr="004B3824" w:rsidR="004B3824" w:rsidP="004B3824" w:rsidRDefault="004B3824" w14:paraId="6AEAA0DB" w14:textId="416AE1C9">
      <w:pPr>
        <w:pStyle w:val="BodyText"/>
        <w:numPr>
          <w:ilvl w:val="0"/>
          <w:numId w:val="39"/>
        </w:numPr>
        <w:jc w:val="both"/>
        <w:rPr>
          <w:rFonts w:cs="Arial"/>
          <w:color w:val="auto"/>
        </w:rPr>
      </w:pPr>
      <w:r w:rsidRPr="004B3824">
        <w:rPr>
          <w:rFonts w:cs="Arial"/>
          <w:color w:val="auto"/>
        </w:rPr>
        <w:t xml:space="preserve">It failed to apply the flexibility required by PMG36 6.2.34 which directs the committee </w:t>
      </w:r>
      <w:r w:rsidR="009D48AD">
        <w:rPr>
          <w:rFonts w:cs="Arial"/>
          <w:color w:val="auto"/>
        </w:rPr>
        <w:t>t</w:t>
      </w:r>
      <w:r w:rsidRPr="004B3824">
        <w:rPr>
          <w:rFonts w:cs="Arial"/>
          <w:color w:val="auto"/>
        </w:rPr>
        <w:t xml:space="preserve">o accept greater uncertainty in ultra-rare, paediatric and innovative treatments. </w:t>
      </w:r>
    </w:p>
    <w:p w:rsidRPr="004B3824" w:rsidR="004B3824" w:rsidP="004B3824" w:rsidRDefault="004B3824" w14:paraId="688A4F20" w14:textId="7BA3837D">
      <w:pPr>
        <w:pStyle w:val="BodyText"/>
        <w:jc w:val="both"/>
        <w:rPr>
          <w:rFonts w:cs="Arial"/>
          <w:color w:val="auto"/>
        </w:rPr>
      </w:pPr>
      <w:r w:rsidRPr="004B3824">
        <w:rPr>
          <w:rFonts w:cs="Arial"/>
          <w:color w:val="auto"/>
        </w:rPr>
        <w:t xml:space="preserve">I do not consider the above to constitute arguable unreasonableness. That is because the HST only applies to rare conditions, with small patient populations. It is implicit in the design of the HST process that more flexibility is needed than in technology appraisals to accommodate for the inherent uncertainty associated with those patient populations. </w:t>
      </w:r>
    </w:p>
    <w:p w:rsidRPr="004B3824" w:rsidR="004B3824" w:rsidP="004B3824" w:rsidRDefault="004B3824" w14:paraId="31F694AF" w14:textId="3845511E">
      <w:pPr>
        <w:pStyle w:val="BodyText"/>
        <w:jc w:val="both"/>
        <w:rPr>
          <w:rFonts w:cs="Arial"/>
          <w:color w:val="auto"/>
        </w:rPr>
      </w:pPr>
      <w:r w:rsidRPr="004B3824">
        <w:rPr>
          <w:rFonts w:cs="Arial"/>
          <w:color w:val="auto"/>
        </w:rPr>
        <w:t xml:space="preserve">I agree that the Manual at 6.2.34 allows for greater uncertainty to be taken into account in ultra-rare, paediatric and innovative treatments, which the Committee has done here by an additional QALY weighting of 0.2. </w:t>
      </w:r>
    </w:p>
    <w:p w:rsidRPr="004B3824" w:rsidR="004B3824" w:rsidP="004B3824" w:rsidRDefault="00DE0A6D" w14:paraId="4B0DD45F" w14:textId="69057EB3">
      <w:pPr>
        <w:pStyle w:val="BodyText"/>
        <w:jc w:val="both"/>
        <w:rPr>
          <w:rFonts w:cs="Arial"/>
          <w:color w:val="auto"/>
        </w:rPr>
      </w:pPr>
      <w:r>
        <w:rPr>
          <w:rFonts w:cs="Arial"/>
          <w:color w:val="auto"/>
        </w:rPr>
        <w:t>I also understand t</w:t>
      </w:r>
      <w:r w:rsidRPr="004B3824" w:rsidR="004B3824">
        <w:rPr>
          <w:rFonts w:cs="Arial"/>
          <w:color w:val="auto"/>
        </w:rPr>
        <w:t xml:space="preserve">he Committee </w:t>
      </w:r>
      <w:r>
        <w:rPr>
          <w:rFonts w:cs="Arial"/>
          <w:color w:val="auto"/>
        </w:rPr>
        <w:t xml:space="preserve">to have </w:t>
      </w:r>
      <w:r w:rsidRPr="004B3824" w:rsidR="004B3824">
        <w:rPr>
          <w:rFonts w:cs="Arial"/>
          <w:color w:val="auto"/>
        </w:rPr>
        <w:t xml:space="preserve">applied the maximum QALY weighting available to HST's of 3. </w:t>
      </w:r>
    </w:p>
    <w:p w:rsidRPr="004B3824" w:rsidR="004B3824" w:rsidP="004B3824" w:rsidRDefault="004B3824" w14:paraId="2112F719" w14:textId="0890491A">
      <w:pPr>
        <w:pStyle w:val="BodyText"/>
        <w:jc w:val="both"/>
        <w:rPr>
          <w:rFonts w:cs="Arial"/>
          <w:color w:val="auto"/>
        </w:rPr>
      </w:pPr>
      <w:r w:rsidRPr="01EF0BC1" w:rsidR="004B3824">
        <w:rPr>
          <w:rFonts w:cs="Arial"/>
          <w:color w:val="auto"/>
        </w:rPr>
        <w:t>In light of</w:t>
      </w:r>
      <w:r w:rsidRPr="01EF0BC1" w:rsidR="004B3824">
        <w:rPr>
          <w:rFonts w:cs="Arial"/>
          <w:color w:val="auto"/>
        </w:rPr>
        <w:t xml:space="preserve"> all the above, I consider that the Committee has applied </w:t>
      </w:r>
      <w:r w:rsidRPr="01EF0BC1" w:rsidR="00FF09D5">
        <w:rPr>
          <w:rFonts w:cs="Arial"/>
          <w:color w:val="auto"/>
        </w:rPr>
        <w:t>considerably</w:t>
      </w:r>
      <w:r w:rsidRPr="01EF0BC1" w:rsidR="004B3824">
        <w:rPr>
          <w:rFonts w:cs="Arial"/>
          <w:color w:val="auto"/>
        </w:rPr>
        <w:t xml:space="preserve"> </w:t>
      </w:r>
      <w:r w:rsidRPr="01EF0BC1" w:rsidR="004B3824">
        <w:rPr>
          <w:rFonts w:cs="Arial"/>
          <w:color w:val="auto"/>
        </w:rPr>
        <w:t xml:space="preserve">flexibility, </w:t>
      </w:r>
      <w:r w:rsidRPr="01EF0BC1" w:rsidR="00FF09D5">
        <w:rPr>
          <w:rFonts w:cs="Arial"/>
          <w:color w:val="auto"/>
        </w:rPr>
        <w:t>and</w:t>
      </w:r>
      <w:r w:rsidRPr="01EF0BC1" w:rsidR="00FF09D5">
        <w:rPr>
          <w:rFonts w:cs="Arial"/>
          <w:color w:val="auto"/>
        </w:rPr>
        <w:t xml:space="preserve"> explained its reasons for </w:t>
      </w:r>
      <w:r w:rsidRPr="01EF0BC1" w:rsidR="00FF09D5">
        <w:rPr>
          <w:rFonts w:cs="Arial"/>
          <w:color w:val="auto"/>
        </w:rPr>
        <w:t>do</w:t>
      </w:r>
      <w:r w:rsidRPr="01EF0BC1" w:rsidR="0EFAD7FE">
        <w:rPr>
          <w:rFonts w:cs="Arial"/>
          <w:color w:val="auto"/>
        </w:rPr>
        <w:t>i</w:t>
      </w:r>
      <w:r w:rsidRPr="01EF0BC1" w:rsidR="00FF09D5">
        <w:rPr>
          <w:rFonts w:cs="Arial"/>
          <w:color w:val="auto"/>
        </w:rPr>
        <w:t>ng</w:t>
      </w:r>
      <w:r w:rsidRPr="01EF0BC1" w:rsidR="00FF09D5">
        <w:rPr>
          <w:rFonts w:cs="Arial"/>
          <w:color w:val="auto"/>
        </w:rPr>
        <w:t xml:space="preserve"> so cogently.  I cannot see that the approach taken was arguably </w:t>
      </w:r>
      <w:r w:rsidRPr="01EF0BC1" w:rsidR="1A9D45A4">
        <w:rPr>
          <w:rFonts w:cs="Arial"/>
          <w:color w:val="auto"/>
        </w:rPr>
        <w:t>unreasonable</w:t>
      </w:r>
      <w:r w:rsidRPr="01EF0BC1" w:rsidR="004B3824">
        <w:rPr>
          <w:rFonts w:cs="Arial"/>
          <w:color w:val="auto"/>
        </w:rPr>
        <w:t xml:space="preserve">. </w:t>
      </w:r>
    </w:p>
    <w:p w:rsidRPr="006620DC" w:rsidR="006C5A0C" w:rsidP="006C5A0C" w:rsidRDefault="006C5A0C" w14:paraId="4140D6BB" w14:textId="15F07A08">
      <w:pPr>
        <w:pStyle w:val="Paragraph"/>
        <w:numPr>
          <w:ilvl w:val="0"/>
          <w:numId w:val="0"/>
        </w:numPr>
        <w:jc w:val="both"/>
        <w:rPr>
          <w:rFonts w:cs="Arial"/>
          <w:sz w:val="20"/>
          <w:szCs w:val="20"/>
        </w:rPr>
      </w:pPr>
      <w:r w:rsidRPr="00F301FF">
        <w:rPr>
          <w:rFonts w:cs="Arial"/>
          <w:b/>
          <w:sz w:val="20"/>
          <w:szCs w:val="20"/>
          <w:u w:val="single"/>
        </w:rPr>
        <w:t xml:space="preserve">Appeal point 2.2: </w:t>
      </w:r>
      <w:r w:rsidR="00DE4811">
        <w:rPr>
          <w:rFonts w:cs="Arial"/>
          <w:b/>
          <w:bCs/>
          <w:sz w:val="20"/>
          <w:szCs w:val="20"/>
          <w:u w:val="single"/>
        </w:rPr>
        <w:t xml:space="preserve">Failure to consider relevant material / reliance on unrepresentative data </w:t>
      </w:r>
      <w:r w:rsidR="00280C27">
        <w:rPr>
          <w:rFonts w:cs="Arial"/>
          <w:b/>
          <w:bCs/>
          <w:sz w:val="20"/>
          <w:szCs w:val="20"/>
          <w:u w:val="single"/>
        </w:rPr>
        <w:t xml:space="preserve"> </w:t>
      </w:r>
    </w:p>
    <w:p w:rsidRPr="00A45421" w:rsidR="004B3824" w:rsidP="006C5A0C" w:rsidRDefault="004B3824" w14:paraId="289C466F" w14:textId="22F79313">
      <w:pPr>
        <w:pStyle w:val="Paragraph"/>
        <w:numPr>
          <w:ilvl w:val="0"/>
          <w:numId w:val="0"/>
        </w:numPr>
        <w:jc w:val="both"/>
        <w:rPr>
          <w:rFonts w:cs="Arial"/>
          <w:sz w:val="20"/>
          <w:szCs w:val="20"/>
        </w:rPr>
      </w:pPr>
      <w:r w:rsidRPr="00A45421">
        <w:rPr>
          <w:rFonts w:cs="Arial"/>
          <w:sz w:val="20"/>
          <w:szCs w:val="20"/>
        </w:rPr>
        <w:t xml:space="preserve">First, I note that your appeal letter indicates that the conclusion on pooled data is "procedurally flawed and unreasonable". As this appeal point has been advanced under Ground 2, I will only consider at initial scrutiny the reasonableness grounds associated with this appeal point. </w:t>
      </w:r>
    </w:p>
    <w:p w:rsidRPr="00A45421" w:rsidR="004B3824" w:rsidP="006C5A0C" w:rsidRDefault="00A45421" w14:paraId="7E941785" w14:textId="0B0A49B4">
      <w:pPr>
        <w:pStyle w:val="Paragraph"/>
        <w:numPr>
          <w:ilvl w:val="0"/>
          <w:numId w:val="0"/>
        </w:numPr>
        <w:jc w:val="both"/>
        <w:rPr>
          <w:rFonts w:cs="Arial"/>
          <w:sz w:val="20"/>
          <w:szCs w:val="20"/>
        </w:rPr>
      </w:pPr>
      <w:r w:rsidRPr="00A45421">
        <w:rPr>
          <w:rFonts w:cs="Arial"/>
          <w:sz w:val="20"/>
          <w:szCs w:val="20"/>
        </w:rPr>
        <w:t xml:space="preserve">I do not consider it arguable that the committee failed </w:t>
      </w:r>
      <w:r w:rsidR="00FF09D5">
        <w:rPr>
          <w:rFonts w:cs="Arial"/>
          <w:sz w:val="20"/>
          <w:szCs w:val="20"/>
        </w:rPr>
        <w:t xml:space="preserve">reasonably </w:t>
      </w:r>
      <w:r w:rsidRPr="00A45421">
        <w:rPr>
          <w:rFonts w:cs="Arial"/>
          <w:sz w:val="20"/>
          <w:szCs w:val="20"/>
        </w:rPr>
        <w:t xml:space="preserve">to take into account the relevant considerations which you list in your appeal letter. That is because: </w:t>
      </w:r>
    </w:p>
    <w:p w:rsidRPr="00A45421" w:rsidR="00A45421" w:rsidP="00A45421" w:rsidRDefault="00A45421" w14:paraId="289BFA1A" w14:textId="4A6B181C">
      <w:pPr>
        <w:pStyle w:val="Paragraph"/>
        <w:numPr>
          <w:ilvl w:val="0"/>
          <w:numId w:val="40"/>
        </w:numPr>
        <w:jc w:val="both"/>
        <w:rPr>
          <w:rFonts w:cs="Arial"/>
          <w:sz w:val="20"/>
          <w:szCs w:val="20"/>
        </w:rPr>
      </w:pPr>
      <w:r w:rsidRPr="00A45421">
        <w:rPr>
          <w:rFonts w:cs="Arial"/>
          <w:sz w:val="20"/>
          <w:szCs w:val="20"/>
        </w:rPr>
        <w:t xml:space="preserve">Failure to use a representative incident cohort </w:t>
      </w:r>
    </w:p>
    <w:p w:rsidRPr="00A45421" w:rsidR="00A45421" w:rsidP="00A45421" w:rsidRDefault="00A45421" w14:paraId="60C2E284" w14:textId="078D8555">
      <w:pPr>
        <w:pStyle w:val="Paragraph"/>
        <w:numPr>
          <w:ilvl w:val="1"/>
          <w:numId w:val="40"/>
        </w:numPr>
        <w:jc w:val="both"/>
        <w:rPr>
          <w:rFonts w:cs="Arial"/>
          <w:sz w:val="20"/>
          <w:szCs w:val="20"/>
        </w:rPr>
      </w:pPr>
      <w:r w:rsidRPr="00A45421">
        <w:rPr>
          <w:rFonts w:cs="Arial"/>
          <w:sz w:val="20"/>
          <w:szCs w:val="20"/>
        </w:rPr>
        <w:t xml:space="preserve">The Committee can only rely on the data and evidence before it, and the data in question here was the cohort in the MAA. </w:t>
      </w:r>
    </w:p>
    <w:p w:rsidRPr="00A45421" w:rsidR="00A45421" w:rsidP="00A45421" w:rsidRDefault="00A45421" w14:paraId="5F495197" w14:textId="3571D188">
      <w:pPr>
        <w:pStyle w:val="Paragraph"/>
        <w:numPr>
          <w:ilvl w:val="1"/>
          <w:numId w:val="40"/>
        </w:numPr>
        <w:jc w:val="both"/>
        <w:rPr>
          <w:rFonts w:cs="Arial"/>
          <w:sz w:val="20"/>
          <w:szCs w:val="20"/>
        </w:rPr>
      </w:pPr>
      <w:r w:rsidRPr="00A45421">
        <w:rPr>
          <w:rFonts w:cs="Arial"/>
          <w:sz w:val="20"/>
          <w:szCs w:val="20"/>
        </w:rPr>
        <w:t xml:space="preserve">The Company can seek a review of the available evidence under NICE's Guidance Surveillance programme should new evidence which changes the recommendation comes to light in future. </w:t>
      </w:r>
    </w:p>
    <w:p w:rsidRPr="00A45421" w:rsidR="00A45421" w:rsidP="00A45421" w:rsidRDefault="00A45421" w14:paraId="505E5886" w14:textId="05931E58">
      <w:pPr>
        <w:pStyle w:val="Paragraph"/>
        <w:numPr>
          <w:ilvl w:val="0"/>
          <w:numId w:val="40"/>
        </w:numPr>
        <w:jc w:val="both"/>
        <w:rPr>
          <w:rFonts w:cs="Arial"/>
          <w:sz w:val="20"/>
          <w:szCs w:val="20"/>
        </w:rPr>
      </w:pPr>
      <w:r w:rsidRPr="00A45421">
        <w:rPr>
          <w:rFonts w:cs="Arial"/>
          <w:sz w:val="20"/>
          <w:szCs w:val="20"/>
        </w:rPr>
        <w:t>Agreement on appropriate baseline distribution</w:t>
      </w:r>
    </w:p>
    <w:p w:rsidRPr="00A45421" w:rsidR="00A45421" w:rsidP="00A45421" w:rsidRDefault="00A45421" w14:paraId="4C69E081" w14:textId="2EEDCE80">
      <w:pPr>
        <w:pStyle w:val="Paragraph"/>
        <w:numPr>
          <w:ilvl w:val="1"/>
          <w:numId w:val="40"/>
        </w:numPr>
        <w:jc w:val="both"/>
        <w:rPr>
          <w:rFonts w:cs="Arial"/>
          <w:sz w:val="20"/>
          <w:szCs w:val="20"/>
        </w:rPr>
      </w:pPr>
      <w:r w:rsidRPr="00A45421">
        <w:rPr>
          <w:rFonts w:cs="Arial"/>
          <w:sz w:val="20"/>
          <w:szCs w:val="20"/>
        </w:rPr>
        <w:t>The Committee has explained at length at paragraph 3.10 why it preferred to use pooled data in its decision making.</w:t>
      </w:r>
    </w:p>
    <w:p w:rsidRPr="00A45421" w:rsidR="00A45421" w:rsidP="00A45421" w:rsidRDefault="00A45421" w14:paraId="7A950C01" w14:textId="34B741C5">
      <w:pPr>
        <w:pStyle w:val="Paragraph"/>
        <w:numPr>
          <w:ilvl w:val="0"/>
          <w:numId w:val="40"/>
        </w:numPr>
        <w:jc w:val="both"/>
        <w:rPr>
          <w:rFonts w:cs="Arial"/>
          <w:sz w:val="20"/>
          <w:szCs w:val="20"/>
        </w:rPr>
      </w:pPr>
      <w:r w:rsidRPr="00A45421">
        <w:rPr>
          <w:rFonts w:cs="Arial"/>
          <w:sz w:val="20"/>
          <w:szCs w:val="20"/>
        </w:rPr>
        <w:t>Distortion from Covid-19</w:t>
      </w:r>
    </w:p>
    <w:p w:rsidRPr="00A45421" w:rsidR="00A45421" w:rsidP="00A45421" w:rsidRDefault="00A45421" w14:paraId="4E7D8072" w14:textId="27009B05">
      <w:pPr>
        <w:pStyle w:val="Paragraph"/>
        <w:numPr>
          <w:ilvl w:val="1"/>
          <w:numId w:val="40"/>
        </w:numPr>
        <w:jc w:val="both"/>
        <w:rPr>
          <w:rFonts w:cs="Arial"/>
          <w:sz w:val="20"/>
          <w:szCs w:val="20"/>
        </w:rPr>
      </w:pPr>
      <w:r w:rsidRPr="00A45421">
        <w:rPr>
          <w:rFonts w:cs="Arial"/>
          <w:sz w:val="20"/>
          <w:szCs w:val="20"/>
        </w:rPr>
        <w:t>The possible impacts of Covid-19 on the MAA data set is recognised in the FDG at paragraph 3.7</w:t>
      </w:r>
    </w:p>
    <w:p w:rsidRPr="00A45421" w:rsidR="00A45421" w:rsidP="006C5A0C" w:rsidRDefault="00A45421" w14:paraId="249270E3" w14:textId="039E8D67">
      <w:pPr>
        <w:pStyle w:val="Paragraph"/>
        <w:numPr>
          <w:ilvl w:val="0"/>
          <w:numId w:val="0"/>
        </w:numPr>
        <w:jc w:val="both"/>
        <w:rPr>
          <w:rFonts w:cs="Arial"/>
          <w:sz w:val="20"/>
          <w:szCs w:val="20"/>
        </w:rPr>
      </w:pPr>
      <w:r w:rsidRPr="00A45421">
        <w:rPr>
          <w:rFonts w:cs="Arial"/>
          <w:sz w:val="20"/>
          <w:szCs w:val="20"/>
        </w:rPr>
        <w:t xml:space="preserve">It is clear that the Committee has taken account </w:t>
      </w:r>
      <w:r w:rsidR="00FF09D5">
        <w:rPr>
          <w:rFonts w:cs="Arial"/>
          <w:sz w:val="20"/>
          <w:szCs w:val="20"/>
        </w:rPr>
        <w:t xml:space="preserve">of </w:t>
      </w:r>
      <w:r w:rsidRPr="00A45421">
        <w:rPr>
          <w:rFonts w:cs="Arial"/>
          <w:sz w:val="20"/>
          <w:szCs w:val="20"/>
        </w:rPr>
        <w:t xml:space="preserve">these relevant factors in reaching its decision, and I am consequently not minded to refer this appeal point to the Appeal Panel. </w:t>
      </w:r>
    </w:p>
    <w:p w:rsidR="00DE4811" w:rsidP="00DE4811" w:rsidRDefault="00DE4811" w14:paraId="20C1A2F3" w14:textId="77777777">
      <w:pPr>
        <w:pStyle w:val="Paragraph"/>
        <w:numPr>
          <w:ilvl w:val="0"/>
          <w:numId w:val="0"/>
        </w:numPr>
        <w:jc w:val="both"/>
        <w:rPr>
          <w:rFonts w:cs="Arial"/>
          <w:b/>
          <w:bCs/>
          <w:sz w:val="20"/>
          <w:szCs w:val="20"/>
          <w:u w:val="single"/>
        </w:rPr>
      </w:pPr>
      <w:r w:rsidRPr="00F301FF">
        <w:rPr>
          <w:rFonts w:cs="Arial"/>
          <w:b/>
          <w:sz w:val="20"/>
          <w:szCs w:val="20"/>
          <w:u w:val="single"/>
        </w:rPr>
        <w:t>Appeal point 2.</w:t>
      </w:r>
      <w:r>
        <w:rPr>
          <w:rFonts w:cs="Arial"/>
          <w:b/>
          <w:sz w:val="20"/>
          <w:szCs w:val="20"/>
          <w:u w:val="single"/>
        </w:rPr>
        <w:t>3</w:t>
      </w:r>
      <w:r w:rsidRPr="00F301FF">
        <w:rPr>
          <w:rFonts w:cs="Arial"/>
          <w:b/>
          <w:sz w:val="20"/>
          <w:szCs w:val="20"/>
          <w:u w:val="single"/>
        </w:rPr>
        <w:t xml:space="preserve">: </w:t>
      </w:r>
      <w:r>
        <w:rPr>
          <w:rFonts w:cs="Arial"/>
          <w:b/>
          <w:bCs/>
          <w:sz w:val="20"/>
          <w:szCs w:val="20"/>
          <w:u w:val="single"/>
        </w:rPr>
        <w:t>Exclusion of relevant quality-of-life and caregiver benefits</w:t>
      </w:r>
    </w:p>
    <w:p w:rsidR="00FF09D5" w:rsidP="00FF09D5" w:rsidRDefault="00FF09D5" w14:paraId="3EB70309" w14:textId="1983BF1C">
      <w:pPr>
        <w:pStyle w:val="BodyText"/>
        <w:jc w:val="both"/>
        <w:rPr>
          <w:rFonts w:cs="Arial"/>
          <w:color w:val="auto"/>
        </w:rPr>
      </w:pPr>
      <w:r>
        <w:rPr>
          <w:rFonts w:cs="Arial"/>
          <w:color w:val="auto"/>
        </w:rPr>
        <w:t>I understand this appeal point to be that the Committee has calculated the appropriate QALY weighting on the basis of patient QALYs only, and has not also considered carer QALYs.  I am not minded to refer this appeal point to the Appeal Panel, on the basis of my understanding that the Committee has applied the maximum QALY weight permissible under the HST process guide, and accordingly, additional consideration of carer QALYs could not have made any difference.</w:t>
      </w:r>
    </w:p>
    <w:p w:rsidR="00DE4811" w:rsidP="00DE4811" w:rsidRDefault="00A45421" w14:paraId="2D80D07E" w14:textId="3A5B5587">
      <w:pPr>
        <w:pStyle w:val="Paragraph"/>
        <w:numPr>
          <w:ilvl w:val="0"/>
          <w:numId w:val="0"/>
        </w:numPr>
        <w:jc w:val="both"/>
        <w:rPr>
          <w:rFonts w:cs="Arial"/>
          <w:sz w:val="20"/>
          <w:szCs w:val="20"/>
        </w:rPr>
      </w:pPr>
      <w:r>
        <w:rPr>
          <w:rFonts w:cs="Arial"/>
          <w:sz w:val="20"/>
          <w:szCs w:val="20"/>
        </w:rPr>
        <w:t xml:space="preserve">As noted </w:t>
      </w:r>
      <w:r w:rsidR="00FF09D5">
        <w:rPr>
          <w:rFonts w:cs="Arial"/>
          <w:sz w:val="20"/>
          <w:szCs w:val="20"/>
        </w:rPr>
        <w:t>above</w:t>
      </w:r>
      <w:r>
        <w:rPr>
          <w:rFonts w:cs="Arial"/>
          <w:sz w:val="20"/>
          <w:szCs w:val="20"/>
        </w:rPr>
        <w:t>, the Committee applied the maximum QALY weighting available (i.e. 3). It is also the case that the Committee accepted the "</w:t>
      </w:r>
      <w:r w:rsidRPr="00A45421">
        <w:rPr>
          <w:rFonts w:cs="Arial"/>
          <w:i/>
          <w:iCs/>
          <w:sz w:val="20"/>
          <w:szCs w:val="20"/>
        </w:rPr>
        <w:t>company's approach to incorporating caregiver and sibling disutility into the model. So it thought that the QALY gains of carers and siblings were accounted for elsewhere in the cost-effectiveness model</w:t>
      </w:r>
      <w:r>
        <w:rPr>
          <w:rFonts w:cs="Arial"/>
          <w:i/>
          <w:iCs/>
          <w:sz w:val="20"/>
          <w:szCs w:val="20"/>
        </w:rPr>
        <w:t xml:space="preserve">". </w:t>
      </w:r>
    </w:p>
    <w:p w:rsidR="00A45421" w:rsidP="00DE4811" w:rsidRDefault="00A45421" w14:paraId="415374A6" w14:textId="512CC485">
      <w:pPr>
        <w:pStyle w:val="Paragraph"/>
        <w:numPr>
          <w:ilvl w:val="0"/>
          <w:numId w:val="0"/>
        </w:numPr>
        <w:jc w:val="both"/>
        <w:rPr>
          <w:rFonts w:cs="Arial"/>
          <w:sz w:val="20"/>
          <w:szCs w:val="20"/>
        </w:rPr>
      </w:pPr>
      <w:r>
        <w:rPr>
          <w:rFonts w:cs="Arial"/>
          <w:sz w:val="20"/>
          <w:szCs w:val="20"/>
        </w:rPr>
        <w:t xml:space="preserve">Given that the Committee applied the maximum QALY weighting available in this appraisal, and accounted for QALY gains of carers and siblings elsewhere in the cost-effectiveness model, I do not consider it plausible that the Committee unreasonably excluded relevant QALY caregiver benefits. </w:t>
      </w:r>
    </w:p>
    <w:p w:rsidRPr="00A45421" w:rsidR="00A45421" w:rsidP="00DE4811" w:rsidRDefault="00A45421" w14:paraId="02D25709" w14:textId="6D7C35E7">
      <w:pPr>
        <w:pStyle w:val="Paragraph"/>
        <w:numPr>
          <w:ilvl w:val="0"/>
          <w:numId w:val="0"/>
        </w:numPr>
        <w:jc w:val="both"/>
        <w:rPr>
          <w:rFonts w:cs="Arial"/>
          <w:sz w:val="20"/>
          <w:szCs w:val="20"/>
        </w:rPr>
      </w:pPr>
      <w:r>
        <w:rPr>
          <w:rFonts w:cs="Arial"/>
          <w:sz w:val="20"/>
          <w:szCs w:val="20"/>
        </w:rPr>
        <w:t xml:space="preserve">Consequently, I am not minded to refer this appeal point to the Appeal Panel. </w:t>
      </w:r>
    </w:p>
    <w:p w:rsidRPr="00C31456" w:rsidR="007E4EDC" w:rsidP="00623213" w:rsidRDefault="007E4EDC" w14:paraId="4AE6A487" w14:textId="6BDD7B15">
      <w:pPr>
        <w:pStyle w:val="Paragraph"/>
        <w:numPr>
          <w:ilvl w:val="0"/>
          <w:numId w:val="0"/>
        </w:numPr>
        <w:jc w:val="both"/>
        <w:rPr>
          <w:rFonts w:cs="Arial"/>
          <w:sz w:val="20"/>
          <w:szCs w:val="20"/>
          <w:u w:val="single"/>
          <w:lang w:eastAsia="en-US"/>
        </w:rPr>
      </w:pPr>
      <w:r w:rsidRPr="00C31456">
        <w:rPr>
          <w:rFonts w:cs="Arial"/>
          <w:sz w:val="20"/>
          <w:szCs w:val="20"/>
          <w:u w:val="single"/>
          <w:lang w:eastAsia="en-US"/>
        </w:rPr>
        <w:t xml:space="preserve">Conclusion </w:t>
      </w:r>
    </w:p>
    <w:p w:rsidRPr="00C31456" w:rsidR="00613CE8" w:rsidP="00613CE8" w:rsidRDefault="00613CE8" w14:paraId="259A7A09" w14:textId="014B2135">
      <w:pPr>
        <w:pStyle w:val="Paragraph"/>
        <w:numPr>
          <w:ilvl w:val="0"/>
          <w:numId w:val="0"/>
        </w:numPr>
        <w:spacing w:before="120"/>
        <w:jc w:val="both"/>
        <w:rPr>
          <w:rFonts w:cs="Arial"/>
          <w:sz w:val="20"/>
          <w:szCs w:val="20"/>
          <w:lang w:eastAsia="en-US"/>
        </w:rPr>
      </w:pPr>
      <w:r w:rsidRPr="00C31456">
        <w:rPr>
          <w:rFonts w:cs="Arial"/>
          <w:sz w:val="20"/>
          <w:szCs w:val="20"/>
          <w:lang w:eastAsia="en-US"/>
        </w:rPr>
        <w:t>The above sets out my initial views on all of your appeal points.</w:t>
      </w:r>
    </w:p>
    <w:p w:rsidRPr="00C31456" w:rsidR="00613CE8" w:rsidP="00613CE8" w:rsidRDefault="00613CE8" w14:paraId="324863C4" w14:textId="47C22628">
      <w:pPr>
        <w:pStyle w:val="Paragraph"/>
        <w:numPr>
          <w:ilvl w:val="0"/>
          <w:numId w:val="0"/>
        </w:numPr>
        <w:spacing w:before="120"/>
        <w:jc w:val="both"/>
        <w:rPr>
          <w:rFonts w:cs="Arial"/>
          <w:sz w:val="20"/>
          <w:szCs w:val="20"/>
          <w:lang w:eastAsia="en-US"/>
        </w:rPr>
      </w:pPr>
      <w:r w:rsidRPr="01EF0BC1" w:rsidR="00613CE8">
        <w:rPr>
          <w:rFonts w:cs="Arial"/>
          <w:sz w:val="20"/>
          <w:szCs w:val="20"/>
          <w:lang w:eastAsia="en-US"/>
        </w:rPr>
        <w:t xml:space="preserve">In respect of your points which I am not minded </w:t>
      </w:r>
      <w:r w:rsidRPr="01EF0BC1" w:rsidR="00613CE8">
        <w:rPr>
          <w:rFonts w:cs="Arial"/>
          <w:sz w:val="20"/>
          <w:szCs w:val="20"/>
          <w:lang w:eastAsia="en-US"/>
        </w:rPr>
        <w:t>to refer</w:t>
      </w:r>
      <w:r w:rsidRPr="01EF0BC1" w:rsidR="00613CE8">
        <w:rPr>
          <w:rFonts w:cs="Arial"/>
          <w:sz w:val="20"/>
          <w:szCs w:val="20"/>
          <w:lang w:eastAsia="en-US"/>
        </w:rPr>
        <w:t xml:space="preserve"> on you are entitled to </w:t>
      </w:r>
      <w:r w:rsidRPr="01EF0BC1" w:rsidR="00613CE8">
        <w:rPr>
          <w:rFonts w:cs="Arial"/>
          <w:sz w:val="20"/>
          <w:szCs w:val="20"/>
          <w:lang w:eastAsia="en-US"/>
        </w:rPr>
        <w:t>submit</w:t>
      </w:r>
      <w:r w:rsidRPr="01EF0BC1" w:rsidR="00613CE8">
        <w:rPr>
          <w:rFonts w:cs="Arial"/>
          <w:sz w:val="20"/>
          <w:szCs w:val="20"/>
          <w:lang w:eastAsia="en-US"/>
        </w:rPr>
        <w:t xml:space="preserve"> further clarification and/or evidence to me within the next 10 working days, and I will then give a final decision on the points to put before an appeal panel</w:t>
      </w:r>
      <w:r w:rsidRPr="01EF0BC1" w:rsidR="00613CE8">
        <w:rPr>
          <w:rFonts w:cs="Arial"/>
          <w:sz w:val="20"/>
          <w:szCs w:val="20"/>
          <w:lang w:eastAsia="en-US"/>
        </w:rPr>
        <w:t xml:space="preserve">.  </w:t>
      </w:r>
      <w:r w:rsidRPr="01EF0BC1" w:rsidR="00613CE8">
        <w:rPr>
          <w:rFonts w:cs="Arial"/>
          <w:sz w:val="20"/>
          <w:szCs w:val="20"/>
          <w:lang w:eastAsia="en-US"/>
        </w:rPr>
        <w:t xml:space="preserve">Responses must deal only with requested clarifications, or arguments or comments about the lead non-executive director for appeals' </w:t>
      </w:r>
      <w:r w:rsidRPr="01EF0BC1" w:rsidR="00613CE8">
        <w:rPr>
          <w:rFonts w:cs="Arial"/>
          <w:sz w:val="20"/>
          <w:szCs w:val="20"/>
          <w:lang w:eastAsia="en-US"/>
        </w:rPr>
        <w:t>initial</w:t>
      </w:r>
      <w:r w:rsidRPr="01EF0BC1" w:rsidR="00613CE8">
        <w:rPr>
          <w:rFonts w:cs="Arial"/>
          <w:sz w:val="20"/>
          <w:szCs w:val="20"/>
          <w:lang w:eastAsia="en-US"/>
        </w:rPr>
        <w:t xml:space="preserve"> view that an appeal point is not valid. </w:t>
      </w:r>
    </w:p>
    <w:p w:rsidRPr="00C31456" w:rsidR="00613CE8" w:rsidP="00613CE8" w:rsidRDefault="00613CE8" w14:paraId="1E282E65" w14:textId="32F06210">
      <w:pPr>
        <w:pStyle w:val="Paragraph"/>
        <w:numPr>
          <w:ilvl w:val="0"/>
          <w:numId w:val="0"/>
        </w:numPr>
        <w:spacing w:before="120"/>
        <w:jc w:val="both"/>
        <w:rPr>
          <w:rFonts w:cs="Arial"/>
          <w:sz w:val="20"/>
          <w:szCs w:val="20"/>
        </w:rPr>
      </w:pPr>
      <w:r w:rsidRPr="01EF0BC1" w:rsidR="00613CE8">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w:t>
      </w:r>
      <w:r w:rsidRPr="01EF0BC1" w:rsidR="00613CE8">
        <w:rPr>
          <w:rFonts w:cs="Arial"/>
          <w:sz w:val="20"/>
          <w:szCs w:val="20"/>
          <w:lang w:eastAsia="en-US"/>
        </w:rPr>
        <w:t>contain</w:t>
      </w:r>
      <w:r w:rsidRPr="01EF0BC1" w:rsidR="00613CE8">
        <w:rPr>
          <w:rFonts w:cs="Arial"/>
          <w:sz w:val="20"/>
          <w:szCs w:val="20"/>
          <w:lang w:eastAsia="en-US"/>
        </w:rPr>
        <w:t xml:space="preserve"> confidential </w:t>
      </w:r>
      <w:r w:rsidRPr="01EF0BC1" w:rsidR="00613CE8">
        <w:rPr>
          <w:rFonts w:cs="Arial"/>
          <w:sz w:val="20"/>
          <w:szCs w:val="20"/>
          <w:lang w:eastAsia="en-US"/>
        </w:rPr>
        <w:t>information</w:t>
      </w:r>
      <w:r w:rsidRPr="01EF0BC1" w:rsidR="00613CE8">
        <w:rPr>
          <w:rFonts w:cs="Arial"/>
          <w:sz w:val="20"/>
          <w:szCs w:val="20"/>
        </w:rPr>
        <w:t xml:space="preserve"> please ensure you have provided a version with this information redacted by</w:t>
      </w:r>
      <w:r w:rsidRPr="01EF0BC1" w:rsidR="3CBE18FB">
        <w:rPr>
          <w:rFonts w:cs="Arial"/>
          <w:sz w:val="20"/>
          <w:szCs w:val="20"/>
        </w:rPr>
        <w:t xml:space="preserve"> 26 September </w:t>
      </w:r>
      <w:r w:rsidRPr="01EF0BC1" w:rsidR="3CBE18FB">
        <w:rPr>
          <w:rFonts w:cs="Arial"/>
          <w:sz w:val="20"/>
          <w:szCs w:val="20"/>
        </w:rPr>
        <w:t>2025.</w:t>
      </w:r>
    </w:p>
    <w:p w:rsidRPr="00C31456" w:rsidR="00613CE8" w:rsidP="00613CE8" w:rsidRDefault="00613CE8" w14:paraId="0688AA84" w14:textId="4CD33C03">
      <w:pPr>
        <w:pStyle w:val="Paragraph"/>
        <w:numPr>
          <w:ilvl w:val="0"/>
          <w:numId w:val="0"/>
        </w:numPr>
        <w:spacing w:before="120"/>
        <w:jc w:val="both"/>
        <w:rPr>
          <w:rFonts w:cs="Arial"/>
          <w:sz w:val="20"/>
          <w:szCs w:val="20"/>
        </w:rPr>
      </w:pPr>
      <w:r w:rsidRPr="01EF0BC1" w:rsidR="00613CE8">
        <w:rPr>
          <w:rFonts w:cs="Arial"/>
          <w:sz w:val="20"/>
          <w:szCs w:val="20"/>
        </w:rPr>
        <w:t xml:space="preserve">Ordinarily appeals are conducted </w:t>
      </w:r>
      <w:r w:rsidRPr="01EF0BC1" w:rsidR="00613CE8">
        <w:rPr>
          <w:rFonts w:cs="Arial"/>
          <w:sz w:val="20"/>
          <w:szCs w:val="20"/>
        </w:rPr>
        <w:t>on the basis of</w:t>
      </w:r>
      <w:r w:rsidRPr="01EF0BC1" w:rsidR="00613CE8">
        <w:rPr>
          <w:rFonts w:cs="Arial"/>
          <w:sz w:val="20"/>
          <w:szCs w:val="20"/>
        </w:rPr>
        <w:t xml:space="preserve"> the appellants’ written appeal letters, and the material generated during the appraisal process</w:t>
      </w:r>
      <w:r w:rsidRPr="01EF0BC1" w:rsidR="00613CE8">
        <w:rPr>
          <w:rFonts w:cs="Arial"/>
          <w:sz w:val="20"/>
          <w:szCs w:val="20"/>
        </w:rPr>
        <w:t xml:space="preserve">.  </w:t>
      </w:r>
      <w:r w:rsidRPr="01EF0BC1" w:rsidR="00613CE8">
        <w:rPr>
          <w:rFonts w:cs="Arial"/>
          <w:sz w:val="20"/>
          <w:szCs w:val="20"/>
        </w:rPr>
        <w:t xml:space="preserve">Use of </w:t>
      </w:r>
      <w:r w:rsidRPr="01EF0BC1" w:rsidR="00613CE8">
        <w:rPr>
          <w:rFonts w:cs="Arial"/>
          <w:sz w:val="20"/>
          <w:szCs w:val="20"/>
        </w:rPr>
        <w:t>additional</w:t>
      </w:r>
      <w:r w:rsidRPr="01EF0BC1" w:rsidR="00613CE8">
        <w:rPr>
          <w:rFonts w:cs="Arial"/>
          <w:sz w:val="20"/>
          <w:szCs w:val="20"/>
        </w:rPr>
        <w:t xml:space="preserve"> written material is discouraged, and the panel cannot receive any new evidence</w:t>
      </w:r>
      <w:r w:rsidRPr="01EF0BC1" w:rsidR="00613CE8">
        <w:rPr>
          <w:rFonts w:cs="Arial"/>
          <w:sz w:val="20"/>
          <w:szCs w:val="20"/>
        </w:rPr>
        <w:t xml:space="preserve">.  </w:t>
      </w:r>
      <w:r w:rsidRPr="01EF0BC1" w:rsidR="00613CE8">
        <w:rPr>
          <w:rFonts w:cs="Arial"/>
          <w:sz w:val="20"/>
          <w:szCs w:val="20"/>
        </w:rPr>
        <w:t xml:space="preserve">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Pr="01EF0BC1" w:rsidR="40688ACB">
        <w:rPr>
          <w:rFonts w:cs="Arial"/>
          <w:sz w:val="20"/>
          <w:szCs w:val="20"/>
        </w:rPr>
        <w:t>4 November 2025</w:t>
      </w:r>
      <w:r w:rsidRPr="01EF0BC1" w:rsidR="00613CE8">
        <w:rPr>
          <w:rFonts w:cs="Arial"/>
          <w:sz w:val="20"/>
          <w:szCs w:val="20"/>
        </w:rPr>
        <w:t>.  Please note that the appeal panel cannot accept papers that are tabled late or ad hoc, as this affects the preparation of the panel and other parties for the appeal.</w:t>
      </w:r>
    </w:p>
    <w:p w:rsidRPr="00C31456" w:rsidR="00613CE8" w:rsidP="00613CE8" w:rsidRDefault="00613CE8" w14:paraId="44024AEB" w14:textId="77777777">
      <w:pPr>
        <w:jc w:val="both"/>
        <w:rPr>
          <w:rFonts w:cs="Arial"/>
          <w:color w:val="auto"/>
        </w:rPr>
      </w:pPr>
      <w:r w:rsidRPr="01EF0BC1" w:rsidR="00613CE8">
        <w:rPr>
          <w:rFonts w:cs="Arial"/>
          <w:color w:val="auto"/>
        </w:rPr>
        <w:t>Yours sincerely</w:t>
      </w:r>
    </w:p>
    <w:p w:rsidRPr="00C31456" w:rsidR="00613CE8" w:rsidP="16F90D45" w:rsidRDefault="00613CE8" w14:paraId="2700DF5B" w14:textId="4A0F66E3">
      <w:pPr>
        <w:jc w:val="both"/>
        <w:rPr>
          <w:color w:val="auto"/>
          <w:highlight w:val="black"/>
        </w:rPr>
      </w:pPr>
      <w:r w:rsidRPr="16F90D45" w:rsidR="2CDE4244">
        <w:rPr>
          <w:color w:val="auto"/>
          <w:highlight w:val="black"/>
        </w:rPr>
        <w:t>XXXXXXXXXXXXXXXXXXX</w:t>
      </w:r>
    </w:p>
    <w:p w:rsidRPr="00C31456" w:rsidR="00613CE8" w:rsidP="00613CE8" w:rsidRDefault="00875A45" w14:paraId="6785728F" w14:textId="0C7BC7A8">
      <w:pPr>
        <w:spacing w:line="360" w:lineRule="auto"/>
        <w:jc w:val="both"/>
        <w:rPr>
          <w:rFonts w:cs="Arial"/>
          <w:color w:val="auto"/>
        </w:rPr>
      </w:pPr>
      <w:r>
        <w:rPr>
          <w:rFonts w:cs="Arial"/>
          <w:color w:val="auto"/>
        </w:rPr>
        <w:t>Dr Mark Chakravarty</w:t>
      </w:r>
    </w:p>
    <w:p w:rsidRPr="00C31456" w:rsidR="00613CE8" w:rsidP="00613CE8" w:rsidRDefault="00875A45" w14:paraId="0588C340" w14:textId="700832FE">
      <w:pPr>
        <w:spacing w:line="360" w:lineRule="auto"/>
        <w:jc w:val="both"/>
        <w:rPr>
          <w:rFonts w:cs="Arial"/>
          <w:color w:val="auto"/>
        </w:rPr>
      </w:pPr>
      <w:r>
        <w:rPr>
          <w:rFonts w:cs="Arial"/>
          <w:color w:val="auto"/>
        </w:rPr>
        <w:t>Lead Non-Executive Director for Appeals</w:t>
      </w:r>
    </w:p>
    <w:p w:rsidRPr="00DD7697" w:rsidR="002B21D4" w:rsidP="01EF0BC1" w:rsidRDefault="002B21D4" w14:paraId="0C61E456" w14:textId="3305BA51">
      <w:pPr>
        <w:numPr>
          <w:ilvl w:val="0"/>
          <w:numId w:val="0"/>
        </w:numPr>
        <w:spacing w:before="120" w:line="360" w:lineRule="auto"/>
        <w:jc w:val="both"/>
        <w:rPr>
          <w:rFonts w:cs="Arial"/>
          <w:color w:val="auto"/>
        </w:rPr>
      </w:pPr>
      <w:r w:rsidRPr="01EF0BC1" w:rsidR="00613CE8">
        <w:rPr>
          <w:rFonts w:cs="Arial"/>
          <w:color w:val="auto"/>
        </w:rPr>
        <w:t>National Institute for Health and Care Excellence</w:t>
      </w:r>
    </w:p>
    <w:sectPr w:rsidRPr="00DD7697" w:rsidR="002B21D4" w:rsidSect="00264D87">
      <w:headerReference w:type="even" r:id="rId10"/>
      <w:headerReference w:type="default" r:id="rId11"/>
      <w:footerReference w:type="even" r:id="rId12"/>
      <w:footerReference w:type="default" r:id="rId13"/>
      <w:headerReference w:type="first" r:id="rId14"/>
      <w:footerReference w:type="first" r:id="rId15"/>
      <w:pgSz w:w="11907" w:h="16840" w:orient="portrait" w:code="9"/>
      <w:pgMar w:top="1848" w:right="1418" w:bottom="1418" w:left="1418"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3969" w:rsidRDefault="00E73969" w14:paraId="546BAA9B" w14:textId="77777777">
      <w:r>
        <w:separator/>
      </w:r>
    </w:p>
  </w:endnote>
  <w:endnote w:type="continuationSeparator" w:id="0">
    <w:p w:rsidR="00E73969" w:rsidRDefault="00E73969" w14:paraId="6E49F4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BA7" w:rsidRDefault="003B4BA7" w14:paraId="4799EE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3969" w:rsidRDefault="00E73969" w14:paraId="31F0C752" w14:textId="77777777">
      <w:r>
        <w:separator/>
      </w:r>
    </w:p>
  </w:footnote>
  <w:footnote w:type="continuationSeparator" w:id="0">
    <w:p w:rsidR="00E73969" w:rsidRDefault="00E73969" w14:paraId="21363F3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BA7" w:rsidRDefault="003B4BA7" w14:paraId="7E7F47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BA7" w:rsidRDefault="003B4BA7" w14:paraId="40DAA0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00B83B0C"/>
    <w:multiLevelType w:val="hybridMultilevel"/>
    <w:tmpl w:val="252EA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807313"/>
    <w:multiLevelType w:val="hybridMultilevel"/>
    <w:tmpl w:val="99BAE5FA"/>
    <w:lvl w:ilvl="0" w:tplc="247C0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2974431"/>
    <w:multiLevelType w:val="hybridMultilevel"/>
    <w:tmpl w:val="BE86AE90"/>
    <w:lvl w:ilvl="0" w:tplc="7D0EE0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E11A92"/>
    <w:multiLevelType w:val="hybridMultilevel"/>
    <w:tmpl w:val="639E369C"/>
    <w:lvl w:ilvl="0" w:tplc="E0F21E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8E0B7F"/>
    <w:multiLevelType w:val="hybridMultilevel"/>
    <w:tmpl w:val="6158F42E"/>
    <w:lvl w:ilvl="0" w:tplc="A2925542">
      <w:start w:val="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7"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21" w15:restartNumberingAfterBreak="0">
    <w:nsid w:val="44B51828"/>
    <w:multiLevelType w:val="hybridMultilevel"/>
    <w:tmpl w:val="16BC8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F10C3"/>
    <w:multiLevelType w:val="hybridMultilevel"/>
    <w:tmpl w:val="30A0EC6A"/>
    <w:lvl w:ilvl="0" w:tplc="E56AB98E">
      <w:numFmt w:val="bullet"/>
      <w:lvlText w:val="•"/>
      <w:lvlJc w:val="left"/>
      <w:pPr>
        <w:ind w:left="420" w:hanging="360"/>
      </w:pPr>
      <w:rPr>
        <w:rFonts w:hint="default" w:ascii="Arial" w:hAnsi="Arial" w:eastAsia="Times New Roman" w:cs="Aria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24"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7"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0"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6"/>
  </w:num>
  <w:num w:numId="3" w16cid:durableId="735858711">
    <w:abstractNumId w:val="25"/>
  </w:num>
  <w:num w:numId="4" w16cid:durableId="791437817">
    <w:abstractNumId w:val="25"/>
  </w:num>
  <w:num w:numId="5" w16cid:durableId="589656231">
    <w:abstractNumId w:val="26"/>
  </w:num>
  <w:num w:numId="6" w16cid:durableId="1033071542">
    <w:abstractNumId w:val="0"/>
  </w:num>
  <w:num w:numId="7" w16cid:durableId="692002320">
    <w:abstractNumId w:val="25"/>
  </w:num>
  <w:num w:numId="8" w16cid:durableId="893390988">
    <w:abstractNumId w:val="25"/>
  </w:num>
  <w:num w:numId="9" w16cid:durableId="1036344506">
    <w:abstractNumId w:val="25"/>
  </w:num>
  <w:num w:numId="10" w16cid:durableId="1081758715">
    <w:abstractNumId w:val="18"/>
  </w:num>
  <w:num w:numId="11" w16cid:durableId="1324700156">
    <w:abstractNumId w:val="4"/>
  </w:num>
  <w:num w:numId="12" w16cid:durableId="297996532">
    <w:abstractNumId w:val="17"/>
  </w:num>
  <w:num w:numId="13" w16cid:durableId="1315715874">
    <w:abstractNumId w:val="19"/>
  </w:num>
  <w:num w:numId="14" w16cid:durableId="1234002226">
    <w:abstractNumId w:val="24"/>
  </w:num>
  <w:num w:numId="15" w16cid:durableId="682052213">
    <w:abstractNumId w:val="14"/>
  </w:num>
  <w:num w:numId="16" w16cid:durableId="1741825062">
    <w:abstractNumId w:val="22"/>
  </w:num>
  <w:num w:numId="17" w16cid:durableId="1644236023">
    <w:abstractNumId w:val="29"/>
  </w:num>
  <w:num w:numId="18" w16cid:durableId="530655038">
    <w:abstractNumId w:val="5"/>
  </w:num>
  <w:num w:numId="19" w16cid:durableId="2126733805">
    <w:abstractNumId w:val="27"/>
  </w:num>
  <w:num w:numId="20" w16cid:durableId="621762274">
    <w:abstractNumId w:val="16"/>
  </w:num>
  <w:num w:numId="21" w16cid:durableId="170607788">
    <w:abstractNumId w:val="7"/>
  </w:num>
  <w:num w:numId="22" w16cid:durableId="460727966">
    <w:abstractNumId w:val="30"/>
  </w:num>
  <w:num w:numId="23" w16cid:durableId="2105420001">
    <w:abstractNumId w:val="1"/>
  </w:num>
  <w:num w:numId="24" w16cid:durableId="2048407580">
    <w:abstractNumId w:val="20"/>
  </w:num>
  <w:num w:numId="25" w16cid:durableId="1798986414">
    <w:abstractNumId w:val="10"/>
  </w:num>
  <w:num w:numId="26" w16cid:durableId="1415205502">
    <w:abstractNumId w:val="28"/>
  </w:num>
  <w:num w:numId="27" w16cid:durableId="368603691">
    <w:abstractNumId w:val="8"/>
  </w:num>
  <w:num w:numId="28" w16cid:durableId="217009139">
    <w:abstractNumId w:val="25"/>
  </w:num>
  <w:num w:numId="29" w16cid:durableId="1991011021">
    <w:abstractNumId w:val="25"/>
  </w:num>
  <w:num w:numId="30" w16cid:durableId="840006877">
    <w:abstractNumId w:val="13"/>
  </w:num>
  <w:num w:numId="31" w16cid:durableId="324751170">
    <w:abstractNumId w:val="25"/>
  </w:num>
  <w:num w:numId="32" w16cid:durableId="1909340188">
    <w:abstractNumId w:val="25"/>
  </w:num>
  <w:num w:numId="33" w16cid:durableId="334496126">
    <w:abstractNumId w:val="31"/>
  </w:num>
  <w:num w:numId="34" w16cid:durableId="936062982">
    <w:abstractNumId w:val="9"/>
  </w:num>
  <w:num w:numId="35" w16cid:durableId="916287850">
    <w:abstractNumId w:val="11"/>
  </w:num>
  <w:num w:numId="36" w16cid:durableId="1904946322">
    <w:abstractNumId w:val="21"/>
  </w:num>
  <w:num w:numId="37" w16cid:durableId="910313988">
    <w:abstractNumId w:val="15"/>
  </w:num>
  <w:num w:numId="38" w16cid:durableId="46757865">
    <w:abstractNumId w:val="23"/>
  </w:num>
  <w:num w:numId="39" w16cid:durableId="1286618439">
    <w:abstractNumId w:val="3"/>
  </w:num>
  <w:num w:numId="40" w16cid:durableId="5813582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2043D"/>
    <w:rsid w:val="000218C9"/>
    <w:rsid w:val="000223BD"/>
    <w:rsid w:val="00024DA5"/>
    <w:rsid w:val="00025D77"/>
    <w:rsid w:val="000329FE"/>
    <w:rsid w:val="0004302C"/>
    <w:rsid w:val="00047083"/>
    <w:rsid w:val="00047383"/>
    <w:rsid w:val="00052894"/>
    <w:rsid w:val="000532DA"/>
    <w:rsid w:val="00056CD2"/>
    <w:rsid w:val="0006785D"/>
    <w:rsid w:val="0007095A"/>
    <w:rsid w:val="000709E5"/>
    <w:rsid w:val="00080FCA"/>
    <w:rsid w:val="00082FAB"/>
    <w:rsid w:val="00083604"/>
    <w:rsid w:val="00084FD0"/>
    <w:rsid w:val="000851F6"/>
    <w:rsid w:val="000853F6"/>
    <w:rsid w:val="00085837"/>
    <w:rsid w:val="00087222"/>
    <w:rsid w:val="000878D5"/>
    <w:rsid w:val="000928C5"/>
    <w:rsid w:val="00096EBF"/>
    <w:rsid w:val="000977EB"/>
    <w:rsid w:val="000A490C"/>
    <w:rsid w:val="000A4DFC"/>
    <w:rsid w:val="000B1D36"/>
    <w:rsid w:val="000B3C21"/>
    <w:rsid w:val="000B5760"/>
    <w:rsid w:val="000B73F9"/>
    <w:rsid w:val="000D1E58"/>
    <w:rsid w:val="000E020F"/>
    <w:rsid w:val="000E16D3"/>
    <w:rsid w:val="000E40C4"/>
    <w:rsid w:val="000F014D"/>
    <w:rsid w:val="000F07E1"/>
    <w:rsid w:val="000F3523"/>
    <w:rsid w:val="000F6BB5"/>
    <w:rsid w:val="00102F59"/>
    <w:rsid w:val="00106505"/>
    <w:rsid w:val="00107347"/>
    <w:rsid w:val="00107520"/>
    <w:rsid w:val="00107C9C"/>
    <w:rsid w:val="00111749"/>
    <w:rsid w:val="00116523"/>
    <w:rsid w:val="00120071"/>
    <w:rsid w:val="00120FFA"/>
    <w:rsid w:val="001232BE"/>
    <w:rsid w:val="00123922"/>
    <w:rsid w:val="00123B83"/>
    <w:rsid w:val="0012453A"/>
    <w:rsid w:val="00131602"/>
    <w:rsid w:val="001319CF"/>
    <w:rsid w:val="00132DDC"/>
    <w:rsid w:val="00136C94"/>
    <w:rsid w:val="00145246"/>
    <w:rsid w:val="00146508"/>
    <w:rsid w:val="001465BD"/>
    <w:rsid w:val="0014692A"/>
    <w:rsid w:val="001470EF"/>
    <w:rsid w:val="00150421"/>
    <w:rsid w:val="00151269"/>
    <w:rsid w:val="00156C49"/>
    <w:rsid w:val="00160A2A"/>
    <w:rsid w:val="00163C9B"/>
    <w:rsid w:val="001653B5"/>
    <w:rsid w:val="00170F86"/>
    <w:rsid w:val="001760DF"/>
    <w:rsid w:val="0017732F"/>
    <w:rsid w:val="00182BDA"/>
    <w:rsid w:val="00184EE2"/>
    <w:rsid w:val="00190698"/>
    <w:rsid w:val="00190763"/>
    <w:rsid w:val="001908C4"/>
    <w:rsid w:val="001945C8"/>
    <w:rsid w:val="00194EE4"/>
    <w:rsid w:val="001969C2"/>
    <w:rsid w:val="001A0143"/>
    <w:rsid w:val="001A18CA"/>
    <w:rsid w:val="001B0102"/>
    <w:rsid w:val="001B23C6"/>
    <w:rsid w:val="001B71EA"/>
    <w:rsid w:val="001C655B"/>
    <w:rsid w:val="001C7C0E"/>
    <w:rsid w:val="001D26C0"/>
    <w:rsid w:val="001D736F"/>
    <w:rsid w:val="001E0293"/>
    <w:rsid w:val="001E2F07"/>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0BE7"/>
    <w:rsid w:val="00211AE9"/>
    <w:rsid w:val="00211FE0"/>
    <w:rsid w:val="002129C1"/>
    <w:rsid w:val="00217D5F"/>
    <w:rsid w:val="00220DE8"/>
    <w:rsid w:val="002216BB"/>
    <w:rsid w:val="00223EBE"/>
    <w:rsid w:val="00232FF4"/>
    <w:rsid w:val="0023747F"/>
    <w:rsid w:val="00237C6C"/>
    <w:rsid w:val="0024377B"/>
    <w:rsid w:val="0025046D"/>
    <w:rsid w:val="00254235"/>
    <w:rsid w:val="00254708"/>
    <w:rsid w:val="00255C8A"/>
    <w:rsid w:val="00256BF4"/>
    <w:rsid w:val="00262058"/>
    <w:rsid w:val="00264D87"/>
    <w:rsid w:val="0026590A"/>
    <w:rsid w:val="00271E0A"/>
    <w:rsid w:val="00274609"/>
    <w:rsid w:val="00275528"/>
    <w:rsid w:val="00280C27"/>
    <w:rsid w:val="00283C5A"/>
    <w:rsid w:val="00283D6E"/>
    <w:rsid w:val="00284917"/>
    <w:rsid w:val="00284CBA"/>
    <w:rsid w:val="0028620E"/>
    <w:rsid w:val="00294EB1"/>
    <w:rsid w:val="00296D55"/>
    <w:rsid w:val="002A065C"/>
    <w:rsid w:val="002A254E"/>
    <w:rsid w:val="002A4E90"/>
    <w:rsid w:val="002B21D4"/>
    <w:rsid w:val="002C14B2"/>
    <w:rsid w:val="002C3E42"/>
    <w:rsid w:val="002C4202"/>
    <w:rsid w:val="002C5356"/>
    <w:rsid w:val="002D2F52"/>
    <w:rsid w:val="002D412A"/>
    <w:rsid w:val="002D4715"/>
    <w:rsid w:val="002E4D13"/>
    <w:rsid w:val="002E6A1E"/>
    <w:rsid w:val="002E7FE1"/>
    <w:rsid w:val="002F25FC"/>
    <w:rsid w:val="002F374D"/>
    <w:rsid w:val="002F6526"/>
    <w:rsid w:val="002F752E"/>
    <w:rsid w:val="003027BC"/>
    <w:rsid w:val="00310279"/>
    <w:rsid w:val="00314589"/>
    <w:rsid w:val="00316D28"/>
    <w:rsid w:val="00317646"/>
    <w:rsid w:val="00321A60"/>
    <w:rsid w:val="00323185"/>
    <w:rsid w:val="00326AFE"/>
    <w:rsid w:val="00326E72"/>
    <w:rsid w:val="003308CE"/>
    <w:rsid w:val="00332149"/>
    <w:rsid w:val="00332C05"/>
    <w:rsid w:val="0033740C"/>
    <w:rsid w:val="00337728"/>
    <w:rsid w:val="00343CE3"/>
    <w:rsid w:val="003450B8"/>
    <w:rsid w:val="00345918"/>
    <w:rsid w:val="00346B9F"/>
    <w:rsid w:val="003478F6"/>
    <w:rsid w:val="00351496"/>
    <w:rsid w:val="003627D7"/>
    <w:rsid w:val="00362E19"/>
    <w:rsid w:val="0036323C"/>
    <w:rsid w:val="0036780F"/>
    <w:rsid w:val="00371C6B"/>
    <w:rsid w:val="00381E46"/>
    <w:rsid w:val="00382D01"/>
    <w:rsid w:val="00382DA9"/>
    <w:rsid w:val="003835C1"/>
    <w:rsid w:val="00383DDC"/>
    <w:rsid w:val="0038454F"/>
    <w:rsid w:val="00393619"/>
    <w:rsid w:val="00395196"/>
    <w:rsid w:val="0039570A"/>
    <w:rsid w:val="00396B85"/>
    <w:rsid w:val="003A74FD"/>
    <w:rsid w:val="003A78CC"/>
    <w:rsid w:val="003A7A38"/>
    <w:rsid w:val="003B056B"/>
    <w:rsid w:val="003B0952"/>
    <w:rsid w:val="003B29ED"/>
    <w:rsid w:val="003B4BA7"/>
    <w:rsid w:val="003B5308"/>
    <w:rsid w:val="003C4D96"/>
    <w:rsid w:val="003C5792"/>
    <w:rsid w:val="003C7489"/>
    <w:rsid w:val="003D1A18"/>
    <w:rsid w:val="003D22B4"/>
    <w:rsid w:val="003D2B50"/>
    <w:rsid w:val="003D3448"/>
    <w:rsid w:val="003E09ED"/>
    <w:rsid w:val="003E2CBA"/>
    <w:rsid w:val="003E5293"/>
    <w:rsid w:val="003E64E4"/>
    <w:rsid w:val="003E67E7"/>
    <w:rsid w:val="003F0380"/>
    <w:rsid w:val="003F77F9"/>
    <w:rsid w:val="0040061D"/>
    <w:rsid w:val="00405ACE"/>
    <w:rsid w:val="00406D54"/>
    <w:rsid w:val="00413F89"/>
    <w:rsid w:val="00414D6F"/>
    <w:rsid w:val="00417F57"/>
    <w:rsid w:val="00424E76"/>
    <w:rsid w:val="004309B6"/>
    <w:rsid w:val="00431B23"/>
    <w:rsid w:val="00434670"/>
    <w:rsid w:val="00436264"/>
    <w:rsid w:val="00444494"/>
    <w:rsid w:val="004445BE"/>
    <w:rsid w:val="00453E92"/>
    <w:rsid w:val="0045574A"/>
    <w:rsid w:val="00456D3B"/>
    <w:rsid w:val="00460278"/>
    <w:rsid w:val="00465F46"/>
    <w:rsid w:val="004768DE"/>
    <w:rsid w:val="00476A37"/>
    <w:rsid w:val="00481D88"/>
    <w:rsid w:val="00491045"/>
    <w:rsid w:val="00491E3A"/>
    <w:rsid w:val="0049446F"/>
    <w:rsid w:val="0049578D"/>
    <w:rsid w:val="004A65E4"/>
    <w:rsid w:val="004A76D5"/>
    <w:rsid w:val="004B3824"/>
    <w:rsid w:val="004B3E6C"/>
    <w:rsid w:val="004C4422"/>
    <w:rsid w:val="004C4AED"/>
    <w:rsid w:val="004C5BA4"/>
    <w:rsid w:val="004D0511"/>
    <w:rsid w:val="004D1394"/>
    <w:rsid w:val="004D24D5"/>
    <w:rsid w:val="004D284F"/>
    <w:rsid w:val="004D2CE5"/>
    <w:rsid w:val="004D3D80"/>
    <w:rsid w:val="004D44D5"/>
    <w:rsid w:val="004D4E54"/>
    <w:rsid w:val="004D5E08"/>
    <w:rsid w:val="004D6F91"/>
    <w:rsid w:val="004D7840"/>
    <w:rsid w:val="004E5E43"/>
    <w:rsid w:val="004F1061"/>
    <w:rsid w:val="004F32AD"/>
    <w:rsid w:val="004F44BE"/>
    <w:rsid w:val="004F531C"/>
    <w:rsid w:val="004F6D3B"/>
    <w:rsid w:val="00500AEB"/>
    <w:rsid w:val="0051022D"/>
    <w:rsid w:val="00510BE0"/>
    <w:rsid w:val="00511807"/>
    <w:rsid w:val="00512A63"/>
    <w:rsid w:val="00513648"/>
    <w:rsid w:val="00515176"/>
    <w:rsid w:val="005203AB"/>
    <w:rsid w:val="005227FC"/>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70E77"/>
    <w:rsid w:val="00571A51"/>
    <w:rsid w:val="00573C72"/>
    <w:rsid w:val="00574C95"/>
    <w:rsid w:val="00574FB3"/>
    <w:rsid w:val="0057509F"/>
    <w:rsid w:val="00581C7E"/>
    <w:rsid w:val="00582449"/>
    <w:rsid w:val="00582FC4"/>
    <w:rsid w:val="00583096"/>
    <w:rsid w:val="00583F62"/>
    <w:rsid w:val="00584E26"/>
    <w:rsid w:val="00587762"/>
    <w:rsid w:val="00597A7F"/>
    <w:rsid w:val="005A0B8C"/>
    <w:rsid w:val="005B066D"/>
    <w:rsid w:val="005B0EA5"/>
    <w:rsid w:val="005B2475"/>
    <w:rsid w:val="005B2FEC"/>
    <w:rsid w:val="005B7585"/>
    <w:rsid w:val="005B775D"/>
    <w:rsid w:val="005C4A8E"/>
    <w:rsid w:val="005D2833"/>
    <w:rsid w:val="005E0186"/>
    <w:rsid w:val="005E20D0"/>
    <w:rsid w:val="005E339C"/>
    <w:rsid w:val="005E70E7"/>
    <w:rsid w:val="005E7923"/>
    <w:rsid w:val="005E7DAF"/>
    <w:rsid w:val="005F6045"/>
    <w:rsid w:val="005F75A8"/>
    <w:rsid w:val="005F7C6F"/>
    <w:rsid w:val="0060170A"/>
    <w:rsid w:val="0060349F"/>
    <w:rsid w:val="006053B6"/>
    <w:rsid w:val="00605766"/>
    <w:rsid w:val="00613CE8"/>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4046"/>
    <w:rsid w:val="006574D6"/>
    <w:rsid w:val="0066130D"/>
    <w:rsid w:val="006620DC"/>
    <w:rsid w:val="00664690"/>
    <w:rsid w:val="00664C74"/>
    <w:rsid w:val="00666041"/>
    <w:rsid w:val="00670BC9"/>
    <w:rsid w:val="00671AC5"/>
    <w:rsid w:val="00671DEA"/>
    <w:rsid w:val="0067289D"/>
    <w:rsid w:val="00683436"/>
    <w:rsid w:val="00683585"/>
    <w:rsid w:val="006845FA"/>
    <w:rsid w:val="006863D5"/>
    <w:rsid w:val="006869AE"/>
    <w:rsid w:val="006941C5"/>
    <w:rsid w:val="00694D09"/>
    <w:rsid w:val="00697B78"/>
    <w:rsid w:val="006A7179"/>
    <w:rsid w:val="006B04FF"/>
    <w:rsid w:val="006B1F0D"/>
    <w:rsid w:val="006B5A98"/>
    <w:rsid w:val="006B66E3"/>
    <w:rsid w:val="006B6C22"/>
    <w:rsid w:val="006C2992"/>
    <w:rsid w:val="006C3215"/>
    <w:rsid w:val="006C4724"/>
    <w:rsid w:val="006C5225"/>
    <w:rsid w:val="006C5A0C"/>
    <w:rsid w:val="006C7DD0"/>
    <w:rsid w:val="006D0BE6"/>
    <w:rsid w:val="006D2130"/>
    <w:rsid w:val="006D2A19"/>
    <w:rsid w:val="006D3EE0"/>
    <w:rsid w:val="006D5A72"/>
    <w:rsid w:val="006D629B"/>
    <w:rsid w:val="006E1BA8"/>
    <w:rsid w:val="006E5424"/>
    <w:rsid w:val="006E5BFE"/>
    <w:rsid w:val="006E73D2"/>
    <w:rsid w:val="006F031B"/>
    <w:rsid w:val="006F0B11"/>
    <w:rsid w:val="006F417A"/>
    <w:rsid w:val="006F4507"/>
    <w:rsid w:val="006F57FC"/>
    <w:rsid w:val="006F64A0"/>
    <w:rsid w:val="007016D8"/>
    <w:rsid w:val="00704DBF"/>
    <w:rsid w:val="007050BA"/>
    <w:rsid w:val="00717A94"/>
    <w:rsid w:val="007232A5"/>
    <w:rsid w:val="00723F27"/>
    <w:rsid w:val="0072474B"/>
    <w:rsid w:val="00725F33"/>
    <w:rsid w:val="00726B3B"/>
    <w:rsid w:val="00726F5A"/>
    <w:rsid w:val="0073017F"/>
    <w:rsid w:val="00730789"/>
    <w:rsid w:val="00732580"/>
    <w:rsid w:val="00732B6F"/>
    <w:rsid w:val="00732C0C"/>
    <w:rsid w:val="007353F9"/>
    <w:rsid w:val="007405AA"/>
    <w:rsid w:val="00743499"/>
    <w:rsid w:val="00750A27"/>
    <w:rsid w:val="00750BB6"/>
    <w:rsid w:val="0075253A"/>
    <w:rsid w:val="00754E19"/>
    <w:rsid w:val="00755AA9"/>
    <w:rsid w:val="00763715"/>
    <w:rsid w:val="007778CF"/>
    <w:rsid w:val="00777DAC"/>
    <w:rsid w:val="00780FBA"/>
    <w:rsid w:val="0078157F"/>
    <w:rsid w:val="007822FB"/>
    <w:rsid w:val="007833CB"/>
    <w:rsid w:val="00784CF9"/>
    <w:rsid w:val="007A0E5C"/>
    <w:rsid w:val="007A18F2"/>
    <w:rsid w:val="007A1D39"/>
    <w:rsid w:val="007A7F07"/>
    <w:rsid w:val="007B275D"/>
    <w:rsid w:val="007B303B"/>
    <w:rsid w:val="007B3B1C"/>
    <w:rsid w:val="007B5AA3"/>
    <w:rsid w:val="007C0D4C"/>
    <w:rsid w:val="007C57A8"/>
    <w:rsid w:val="007D2528"/>
    <w:rsid w:val="007D7791"/>
    <w:rsid w:val="007D7C74"/>
    <w:rsid w:val="007E32CB"/>
    <w:rsid w:val="007E48AD"/>
    <w:rsid w:val="007E4EDC"/>
    <w:rsid w:val="007E507F"/>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5FBA"/>
    <w:rsid w:val="008161FC"/>
    <w:rsid w:val="0082064D"/>
    <w:rsid w:val="008208A7"/>
    <w:rsid w:val="00824CB2"/>
    <w:rsid w:val="008268F9"/>
    <w:rsid w:val="008273FA"/>
    <w:rsid w:val="00832D34"/>
    <w:rsid w:val="008330F5"/>
    <w:rsid w:val="008333D8"/>
    <w:rsid w:val="008349BD"/>
    <w:rsid w:val="00836768"/>
    <w:rsid w:val="00836849"/>
    <w:rsid w:val="00841DE5"/>
    <w:rsid w:val="00842D0D"/>
    <w:rsid w:val="00844BE5"/>
    <w:rsid w:val="0084519D"/>
    <w:rsid w:val="00855278"/>
    <w:rsid w:val="008576D4"/>
    <w:rsid w:val="00861527"/>
    <w:rsid w:val="00862B47"/>
    <w:rsid w:val="00862C1A"/>
    <w:rsid w:val="008630DF"/>
    <w:rsid w:val="0086327D"/>
    <w:rsid w:val="008651F9"/>
    <w:rsid w:val="008672F0"/>
    <w:rsid w:val="00870284"/>
    <w:rsid w:val="0087462B"/>
    <w:rsid w:val="00875A45"/>
    <w:rsid w:val="008763B3"/>
    <w:rsid w:val="008765DE"/>
    <w:rsid w:val="008847CD"/>
    <w:rsid w:val="00891B24"/>
    <w:rsid w:val="008A302A"/>
    <w:rsid w:val="008A3EEE"/>
    <w:rsid w:val="008A51D9"/>
    <w:rsid w:val="008A708E"/>
    <w:rsid w:val="008A77E3"/>
    <w:rsid w:val="008B17F4"/>
    <w:rsid w:val="008B29A5"/>
    <w:rsid w:val="008B3C53"/>
    <w:rsid w:val="008B3D16"/>
    <w:rsid w:val="008C114C"/>
    <w:rsid w:val="008C27DA"/>
    <w:rsid w:val="008C522A"/>
    <w:rsid w:val="008D3115"/>
    <w:rsid w:val="008D6691"/>
    <w:rsid w:val="008D6F63"/>
    <w:rsid w:val="008D799D"/>
    <w:rsid w:val="008E0DF1"/>
    <w:rsid w:val="008E3142"/>
    <w:rsid w:val="008E5DA7"/>
    <w:rsid w:val="008E6AF9"/>
    <w:rsid w:val="008E722E"/>
    <w:rsid w:val="008F2130"/>
    <w:rsid w:val="008F4CCF"/>
    <w:rsid w:val="00900450"/>
    <w:rsid w:val="00903256"/>
    <w:rsid w:val="0090619B"/>
    <w:rsid w:val="00906CBF"/>
    <w:rsid w:val="009110D1"/>
    <w:rsid w:val="00913200"/>
    <w:rsid w:val="00915F8D"/>
    <w:rsid w:val="00917ADE"/>
    <w:rsid w:val="00917DBD"/>
    <w:rsid w:val="009230E2"/>
    <w:rsid w:val="0092660F"/>
    <w:rsid w:val="00930029"/>
    <w:rsid w:val="00930425"/>
    <w:rsid w:val="0093112A"/>
    <w:rsid w:val="009324E9"/>
    <w:rsid w:val="00933199"/>
    <w:rsid w:val="00936354"/>
    <w:rsid w:val="009376A0"/>
    <w:rsid w:val="00940811"/>
    <w:rsid w:val="00942F13"/>
    <w:rsid w:val="0094600E"/>
    <w:rsid w:val="00951D67"/>
    <w:rsid w:val="00952E6D"/>
    <w:rsid w:val="00965082"/>
    <w:rsid w:val="00973C62"/>
    <w:rsid w:val="009742BF"/>
    <w:rsid w:val="00976F99"/>
    <w:rsid w:val="0098532A"/>
    <w:rsid w:val="00986A5A"/>
    <w:rsid w:val="00990C9A"/>
    <w:rsid w:val="00993784"/>
    <w:rsid w:val="00993EDE"/>
    <w:rsid w:val="009949CD"/>
    <w:rsid w:val="009955EE"/>
    <w:rsid w:val="00995ABD"/>
    <w:rsid w:val="00996EAC"/>
    <w:rsid w:val="009971A0"/>
    <w:rsid w:val="009A1A7D"/>
    <w:rsid w:val="009A23B7"/>
    <w:rsid w:val="009A7C87"/>
    <w:rsid w:val="009B2917"/>
    <w:rsid w:val="009B299F"/>
    <w:rsid w:val="009C2A6F"/>
    <w:rsid w:val="009C40F0"/>
    <w:rsid w:val="009D1532"/>
    <w:rsid w:val="009D48AD"/>
    <w:rsid w:val="009D4D95"/>
    <w:rsid w:val="009E1606"/>
    <w:rsid w:val="009E1E8C"/>
    <w:rsid w:val="009E22E6"/>
    <w:rsid w:val="009E28B2"/>
    <w:rsid w:val="009E314A"/>
    <w:rsid w:val="009E63ED"/>
    <w:rsid w:val="009E67A1"/>
    <w:rsid w:val="009E7DFB"/>
    <w:rsid w:val="009F0F43"/>
    <w:rsid w:val="009F646D"/>
    <w:rsid w:val="00A03ABC"/>
    <w:rsid w:val="00A06073"/>
    <w:rsid w:val="00A0770B"/>
    <w:rsid w:val="00A078BF"/>
    <w:rsid w:val="00A11C00"/>
    <w:rsid w:val="00A201EF"/>
    <w:rsid w:val="00A215F6"/>
    <w:rsid w:val="00A23060"/>
    <w:rsid w:val="00A236B3"/>
    <w:rsid w:val="00A25FCD"/>
    <w:rsid w:val="00A34D95"/>
    <w:rsid w:val="00A35519"/>
    <w:rsid w:val="00A361B2"/>
    <w:rsid w:val="00A40E7A"/>
    <w:rsid w:val="00A4155C"/>
    <w:rsid w:val="00A42AAB"/>
    <w:rsid w:val="00A43E73"/>
    <w:rsid w:val="00A44626"/>
    <w:rsid w:val="00A45421"/>
    <w:rsid w:val="00A460E2"/>
    <w:rsid w:val="00A46840"/>
    <w:rsid w:val="00A47EFE"/>
    <w:rsid w:val="00A50D8E"/>
    <w:rsid w:val="00A52E7E"/>
    <w:rsid w:val="00A5794D"/>
    <w:rsid w:val="00A61795"/>
    <w:rsid w:val="00A618B0"/>
    <w:rsid w:val="00A71685"/>
    <w:rsid w:val="00A74DFC"/>
    <w:rsid w:val="00A750E9"/>
    <w:rsid w:val="00A760B9"/>
    <w:rsid w:val="00A80603"/>
    <w:rsid w:val="00A816E8"/>
    <w:rsid w:val="00A87143"/>
    <w:rsid w:val="00A879C0"/>
    <w:rsid w:val="00A87CC1"/>
    <w:rsid w:val="00A95771"/>
    <w:rsid w:val="00A96044"/>
    <w:rsid w:val="00A9793D"/>
    <w:rsid w:val="00AA07E3"/>
    <w:rsid w:val="00AA0FC2"/>
    <w:rsid w:val="00AA12CA"/>
    <w:rsid w:val="00AA2694"/>
    <w:rsid w:val="00AB16DA"/>
    <w:rsid w:val="00AB36CF"/>
    <w:rsid w:val="00AC320B"/>
    <w:rsid w:val="00AC3CAE"/>
    <w:rsid w:val="00AC61E2"/>
    <w:rsid w:val="00AC67D3"/>
    <w:rsid w:val="00AC6A97"/>
    <w:rsid w:val="00AD1760"/>
    <w:rsid w:val="00AD210E"/>
    <w:rsid w:val="00AD7649"/>
    <w:rsid w:val="00AD7ADD"/>
    <w:rsid w:val="00AE090B"/>
    <w:rsid w:val="00AE0C2D"/>
    <w:rsid w:val="00AE3388"/>
    <w:rsid w:val="00AE51B1"/>
    <w:rsid w:val="00AF06AF"/>
    <w:rsid w:val="00AF1A26"/>
    <w:rsid w:val="00AF26DD"/>
    <w:rsid w:val="00AF2C0F"/>
    <w:rsid w:val="00AF35E5"/>
    <w:rsid w:val="00AF4D25"/>
    <w:rsid w:val="00B01601"/>
    <w:rsid w:val="00B0180D"/>
    <w:rsid w:val="00B04E6E"/>
    <w:rsid w:val="00B11119"/>
    <w:rsid w:val="00B15DE3"/>
    <w:rsid w:val="00B2538A"/>
    <w:rsid w:val="00B3017E"/>
    <w:rsid w:val="00B32249"/>
    <w:rsid w:val="00B36320"/>
    <w:rsid w:val="00B37654"/>
    <w:rsid w:val="00B40DA1"/>
    <w:rsid w:val="00B46004"/>
    <w:rsid w:val="00B4629A"/>
    <w:rsid w:val="00B5634D"/>
    <w:rsid w:val="00B574C9"/>
    <w:rsid w:val="00B60AF4"/>
    <w:rsid w:val="00B62757"/>
    <w:rsid w:val="00B62869"/>
    <w:rsid w:val="00B65B79"/>
    <w:rsid w:val="00B67A28"/>
    <w:rsid w:val="00B7076F"/>
    <w:rsid w:val="00B71887"/>
    <w:rsid w:val="00B7333D"/>
    <w:rsid w:val="00B773FA"/>
    <w:rsid w:val="00B817B1"/>
    <w:rsid w:val="00B81EA3"/>
    <w:rsid w:val="00B86BDD"/>
    <w:rsid w:val="00B86C44"/>
    <w:rsid w:val="00B86D18"/>
    <w:rsid w:val="00B90347"/>
    <w:rsid w:val="00B91B1E"/>
    <w:rsid w:val="00B925D2"/>
    <w:rsid w:val="00B94A47"/>
    <w:rsid w:val="00B9765B"/>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B70"/>
    <w:rsid w:val="00BE3D27"/>
    <w:rsid w:val="00BE3F08"/>
    <w:rsid w:val="00BF15F6"/>
    <w:rsid w:val="00BF4FF8"/>
    <w:rsid w:val="00BF5EBB"/>
    <w:rsid w:val="00BF6B5B"/>
    <w:rsid w:val="00BF6BA1"/>
    <w:rsid w:val="00C00668"/>
    <w:rsid w:val="00C020FA"/>
    <w:rsid w:val="00C03935"/>
    <w:rsid w:val="00C11255"/>
    <w:rsid w:val="00C148F7"/>
    <w:rsid w:val="00C15E8F"/>
    <w:rsid w:val="00C2049A"/>
    <w:rsid w:val="00C204DE"/>
    <w:rsid w:val="00C214C1"/>
    <w:rsid w:val="00C26381"/>
    <w:rsid w:val="00C31456"/>
    <w:rsid w:val="00C3160D"/>
    <w:rsid w:val="00C32256"/>
    <w:rsid w:val="00C34C6E"/>
    <w:rsid w:val="00C37918"/>
    <w:rsid w:val="00C45B08"/>
    <w:rsid w:val="00C46B59"/>
    <w:rsid w:val="00C47D95"/>
    <w:rsid w:val="00C5006F"/>
    <w:rsid w:val="00C511EF"/>
    <w:rsid w:val="00C53573"/>
    <w:rsid w:val="00C54ED3"/>
    <w:rsid w:val="00C60B7F"/>
    <w:rsid w:val="00C610C3"/>
    <w:rsid w:val="00C638BF"/>
    <w:rsid w:val="00C63DFD"/>
    <w:rsid w:val="00C64813"/>
    <w:rsid w:val="00C70019"/>
    <w:rsid w:val="00C74328"/>
    <w:rsid w:val="00C743C2"/>
    <w:rsid w:val="00C74693"/>
    <w:rsid w:val="00C74C78"/>
    <w:rsid w:val="00C821E5"/>
    <w:rsid w:val="00C9104F"/>
    <w:rsid w:val="00C92F2A"/>
    <w:rsid w:val="00C9408E"/>
    <w:rsid w:val="00CA270F"/>
    <w:rsid w:val="00CA554E"/>
    <w:rsid w:val="00CB4BB7"/>
    <w:rsid w:val="00CB4C80"/>
    <w:rsid w:val="00CB7FD7"/>
    <w:rsid w:val="00CC1355"/>
    <w:rsid w:val="00CC2B62"/>
    <w:rsid w:val="00CC4BC2"/>
    <w:rsid w:val="00CC5A2C"/>
    <w:rsid w:val="00CD0242"/>
    <w:rsid w:val="00CD1D19"/>
    <w:rsid w:val="00CD2F35"/>
    <w:rsid w:val="00CD6C88"/>
    <w:rsid w:val="00CE450F"/>
    <w:rsid w:val="00CF1FD6"/>
    <w:rsid w:val="00CF2EA0"/>
    <w:rsid w:val="00CF2FAD"/>
    <w:rsid w:val="00CF4345"/>
    <w:rsid w:val="00CF6F1B"/>
    <w:rsid w:val="00D131CC"/>
    <w:rsid w:val="00D13C31"/>
    <w:rsid w:val="00D1448F"/>
    <w:rsid w:val="00D159BE"/>
    <w:rsid w:val="00D22D12"/>
    <w:rsid w:val="00D235CC"/>
    <w:rsid w:val="00D2633B"/>
    <w:rsid w:val="00D325D1"/>
    <w:rsid w:val="00D32D4E"/>
    <w:rsid w:val="00D336E0"/>
    <w:rsid w:val="00D435C7"/>
    <w:rsid w:val="00D50626"/>
    <w:rsid w:val="00D60DCA"/>
    <w:rsid w:val="00D622DA"/>
    <w:rsid w:val="00D70C64"/>
    <w:rsid w:val="00D70D75"/>
    <w:rsid w:val="00D7181B"/>
    <w:rsid w:val="00D72C12"/>
    <w:rsid w:val="00D751F7"/>
    <w:rsid w:val="00D759C6"/>
    <w:rsid w:val="00D800C5"/>
    <w:rsid w:val="00D81B09"/>
    <w:rsid w:val="00D83A27"/>
    <w:rsid w:val="00D84024"/>
    <w:rsid w:val="00D95A0F"/>
    <w:rsid w:val="00DA35E1"/>
    <w:rsid w:val="00DA623F"/>
    <w:rsid w:val="00DC0168"/>
    <w:rsid w:val="00DC03BB"/>
    <w:rsid w:val="00DC12E9"/>
    <w:rsid w:val="00DC3C9A"/>
    <w:rsid w:val="00DC669A"/>
    <w:rsid w:val="00DD5E1F"/>
    <w:rsid w:val="00DD73C1"/>
    <w:rsid w:val="00DD7697"/>
    <w:rsid w:val="00DE0A6D"/>
    <w:rsid w:val="00DE1FEB"/>
    <w:rsid w:val="00DE4223"/>
    <w:rsid w:val="00DE4811"/>
    <w:rsid w:val="00DE52A4"/>
    <w:rsid w:val="00DF654A"/>
    <w:rsid w:val="00DF782D"/>
    <w:rsid w:val="00DF79CC"/>
    <w:rsid w:val="00E06E83"/>
    <w:rsid w:val="00E10345"/>
    <w:rsid w:val="00E10819"/>
    <w:rsid w:val="00E10C0E"/>
    <w:rsid w:val="00E11762"/>
    <w:rsid w:val="00E140BF"/>
    <w:rsid w:val="00E15BA7"/>
    <w:rsid w:val="00E15CAE"/>
    <w:rsid w:val="00E16BC6"/>
    <w:rsid w:val="00E1774B"/>
    <w:rsid w:val="00E20DF8"/>
    <w:rsid w:val="00E27656"/>
    <w:rsid w:val="00E308B8"/>
    <w:rsid w:val="00E34EE2"/>
    <w:rsid w:val="00E4124D"/>
    <w:rsid w:val="00E44353"/>
    <w:rsid w:val="00E45413"/>
    <w:rsid w:val="00E52A48"/>
    <w:rsid w:val="00E613A5"/>
    <w:rsid w:val="00E63295"/>
    <w:rsid w:val="00E64324"/>
    <w:rsid w:val="00E66927"/>
    <w:rsid w:val="00E671C3"/>
    <w:rsid w:val="00E71E47"/>
    <w:rsid w:val="00E73969"/>
    <w:rsid w:val="00E7553E"/>
    <w:rsid w:val="00E76DAD"/>
    <w:rsid w:val="00E76ECF"/>
    <w:rsid w:val="00E80CA5"/>
    <w:rsid w:val="00E82346"/>
    <w:rsid w:val="00E83B14"/>
    <w:rsid w:val="00E855E3"/>
    <w:rsid w:val="00E8776B"/>
    <w:rsid w:val="00E877ED"/>
    <w:rsid w:val="00E87F1E"/>
    <w:rsid w:val="00E91831"/>
    <w:rsid w:val="00E93CB4"/>
    <w:rsid w:val="00EA155E"/>
    <w:rsid w:val="00EA1D7B"/>
    <w:rsid w:val="00EA440D"/>
    <w:rsid w:val="00EA57EF"/>
    <w:rsid w:val="00EA725B"/>
    <w:rsid w:val="00EB0AA9"/>
    <w:rsid w:val="00EB4615"/>
    <w:rsid w:val="00EB7F04"/>
    <w:rsid w:val="00EC1824"/>
    <w:rsid w:val="00EC2D3C"/>
    <w:rsid w:val="00EC73B3"/>
    <w:rsid w:val="00ED0C09"/>
    <w:rsid w:val="00ED57C9"/>
    <w:rsid w:val="00ED66BC"/>
    <w:rsid w:val="00EE03EE"/>
    <w:rsid w:val="00EE42AF"/>
    <w:rsid w:val="00EE5403"/>
    <w:rsid w:val="00EE5D52"/>
    <w:rsid w:val="00EF043B"/>
    <w:rsid w:val="00EF237E"/>
    <w:rsid w:val="00EF23DF"/>
    <w:rsid w:val="00EF2575"/>
    <w:rsid w:val="00F0780D"/>
    <w:rsid w:val="00F16D65"/>
    <w:rsid w:val="00F17B83"/>
    <w:rsid w:val="00F20790"/>
    <w:rsid w:val="00F2351B"/>
    <w:rsid w:val="00F301FF"/>
    <w:rsid w:val="00F32B29"/>
    <w:rsid w:val="00F41597"/>
    <w:rsid w:val="00F4296D"/>
    <w:rsid w:val="00F46396"/>
    <w:rsid w:val="00F47188"/>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68B9"/>
    <w:rsid w:val="00F8796D"/>
    <w:rsid w:val="00F912B1"/>
    <w:rsid w:val="00F91942"/>
    <w:rsid w:val="00F93B0E"/>
    <w:rsid w:val="00F93BEE"/>
    <w:rsid w:val="00F948D4"/>
    <w:rsid w:val="00F94A49"/>
    <w:rsid w:val="00F96B9C"/>
    <w:rsid w:val="00F97147"/>
    <w:rsid w:val="00FA0AF2"/>
    <w:rsid w:val="00FA430A"/>
    <w:rsid w:val="00FA6626"/>
    <w:rsid w:val="00FB033D"/>
    <w:rsid w:val="00FB0DAB"/>
    <w:rsid w:val="00FB3AE9"/>
    <w:rsid w:val="00FB79C9"/>
    <w:rsid w:val="00FC0076"/>
    <w:rsid w:val="00FC1156"/>
    <w:rsid w:val="00FC342C"/>
    <w:rsid w:val="00FD13E3"/>
    <w:rsid w:val="00FD5516"/>
    <w:rsid w:val="00FD6D44"/>
    <w:rsid w:val="00FD72D9"/>
    <w:rsid w:val="00FD7366"/>
    <w:rsid w:val="00FE7C65"/>
    <w:rsid w:val="00FF09D5"/>
    <w:rsid w:val="00FF2267"/>
    <w:rsid w:val="00FF4009"/>
    <w:rsid w:val="00FF49EB"/>
    <w:rsid w:val="01EF0BC1"/>
    <w:rsid w:val="0EC7513F"/>
    <w:rsid w:val="0ECA92FE"/>
    <w:rsid w:val="0EFAD7FE"/>
    <w:rsid w:val="16F90D45"/>
    <w:rsid w:val="17F5ED8D"/>
    <w:rsid w:val="1A9D45A4"/>
    <w:rsid w:val="1EEA38EF"/>
    <w:rsid w:val="2286BBBD"/>
    <w:rsid w:val="29BA4EA2"/>
    <w:rsid w:val="2CDE4244"/>
    <w:rsid w:val="32686C85"/>
    <w:rsid w:val="3697A6CC"/>
    <w:rsid w:val="3CBE18FB"/>
    <w:rsid w:val="3FFB6DCD"/>
    <w:rsid w:val="40688ACB"/>
    <w:rsid w:val="42386AB4"/>
    <w:rsid w:val="434E6A5B"/>
    <w:rsid w:val="475928F9"/>
    <w:rsid w:val="58D5B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575888B0-3490-49DC-BAE8-0FF951D0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link w:val="BodyTextChar"/>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 w:type="character" w:styleId="BodyTextChar" w:customStyle="1">
    <w:name w:val="Body Text Char"/>
    <w:basedOn w:val="DefaultParagraphFont"/>
    <w:link w:val="BodyText"/>
    <w:rsid w:val="00D70C64"/>
    <w:rPr>
      <w:rFonts w:ascii="Arial" w:hAnsi="Arial"/>
      <w:color w:val="33333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1579">
      <w:bodyDiv w:val="1"/>
      <w:marLeft w:val="0"/>
      <w:marRight w:val="0"/>
      <w:marTop w:val="0"/>
      <w:marBottom w:val="0"/>
      <w:divBdr>
        <w:top w:val="none" w:sz="0" w:space="0" w:color="auto"/>
        <w:left w:val="none" w:sz="0" w:space="0" w:color="auto"/>
        <w:bottom w:val="none" w:sz="0" w:space="0" w:color="auto"/>
        <w:right w:val="none" w:sz="0" w:space="0" w:color="auto"/>
      </w:divBdr>
    </w:div>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45313493">
      <w:bodyDiv w:val="1"/>
      <w:marLeft w:val="0"/>
      <w:marRight w:val="0"/>
      <w:marTop w:val="0"/>
      <w:marBottom w:val="0"/>
      <w:divBdr>
        <w:top w:val="none" w:sz="0" w:space="0" w:color="auto"/>
        <w:left w:val="none" w:sz="0" w:space="0" w:color="auto"/>
        <w:bottom w:val="none" w:sz="0" w:space="0" w:color="auto"/>
        <w:right w:val="none" w:sz="0" w:space="0" w:color="auto"/>
      </w:divBdr>
    </w:div>
    <w:div w:id="954750606">
      <w:bodyDiv w:val="1"/>
      <w:marLeft w:val="0"/>
      <w:marRight w:val="0"/>
      <w:marTop w:val="0"/>
      <w:marBottom w:val="0"/>
      <w:divBdr>
        <w:top w:val="none" w:sz="0" w:space="0" w:color="auto"/>
        <w:left w:val="none" w:sz="0" w:space="0" w:color="auto"/>
        <w:bottom w:val="none" w:sz="0" w:space="0" w:color="auto"/>
        <w:right w:val="none" w:sz="0" w:space="0" w:color="auto"/>
      </w:divBdr>
    </w:div>
    <w:div w:id="97499247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406998516">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95adbcf419d9d33608bf0df25d48a56c">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eff57b8a4fa252ff1f4c864930a310bc"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DB2F5-5F5B-4E4F-9EFF-8A4865CFCEBC}"/>
</file>

<file path=customXml/itemProps2.xml><?xml version="1.0" encoding="utf-8"?>
<ds:datastoreItem xmlns:ds="http://schemas.openxmlformats.org/officeDocument/2006/customXml" ds:itemID="{7AE2228D-6F51-4A6A-B078-F47D98D731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880D8A-8C9A-4C6A-8623-5CCD0B93C1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 Davies</cp:lastModifiedBy>
  <cp:revision>5</cp:revision>
  <dcterms:created xsi:type="dcterms:W3CDTF">2025-09-05T15:45:00Z</dcterms:created>
  <dcterms:modified xsi:type="dcterms:W3CDTF">2025-11-18T11:26:04Z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2025-09-05T15:45:49Z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15499692-f42d-462b-8d58-6e188e532459</vt:lpwstr>
  </property>
  <property fmtid="{D5CDD505-2E9C-101B-9397-08002B2CF9AE}" pid="9" name="MSIP_Label_c69d85d5-6d9e-4305-a294-1f636ec0f2d6_ContentBits">
    <vt:lpwstr>0</vt:lpwstr>
  </property>
  <property fmtid="{D5CDD505-2E9C-101B-9397-08002B2CF9AE}" pid="10" name="MSIP_Label_c69d85d5-6d9e-4305-a294-1f636ec0f2d6_Tag">
    <vt:lpwstr>10, 3, 0, 2</vt:lpwstr>
  </property>
  <property fmtid="{D5CDD505-2E9C-101B-9397-08002B2CF9AE}" pid="11" name="MediaServiceImageTags">
    <vt:lpwstr/>
  </property>
</Properties>
</file>