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C741" w14:textId="77777777" w:rsidR="00C9475C" w:rsidRPr="00E27B01" w:rsidRDefault="00C209B6" w:rsidP="00D71447">
      <w:pPr>
        <w:pStyle w:val="Title"/>
        <w:rPr>
          <w:rFonts w:cs="Arial"/>
          <w:sz w:val="22"/>
          <w:szCs w:val="22"/>
        </w:rPr>
      </w:pPr>
      <w:r w:rsidRPr="00E27B01">
        <w:rPr>
          <w:rFonts w:cs="Arial"/>
          <w:sz w:val="22"/>
          <w:szCs w:val="22"/>
        </w:rPr>
        <w:t xml:space="preserve">Highly </w:t>
      </w:r>
      <w:r w:rsidR="00C9475C" w:rsidRPr="00E27B01">
        <w:rPr>
          <w:rFonts w:cs="Arial"/>
          <w:sz w:val="22"/>
          <w:szCs w:val="22"/>
        </w:rPr>
        <w:t>S</w:t>
      </w:r>
      <w:r w:rsidRPr="00E27B01">
        <w:rPr>
          <w:rFonts w:cs="Arial"/>
          <w:sz w:val="22"/>
          <w:szCs w:val="22"/>
        </w:rPr>
        <w:t xml:space="preserve">pecialised </w:t>
      </w:r>
      <w:r w:rsidR="00C9475C" w:rsidRPr="00E27B01">
        <w:rPr>
          <w:rFonts w:cs="Arial"/>
          <w:sz w:val="22"/>
          <w:szCs w:val="22"/>
        </w:rPr>
        <w:t>T</w:t>
      </w:r>
      <w:r w:rsidRPr="00E27B01">
        <w:rPr>
          <w:rFonts w:cs="Arial"/>
          <w:sz w:val="22"/>
          <w:szCs w:val="22"/>
        </w:rPr>
        <w:t>echnologies (HST)</w:t>
      </w:r>
      <w:r w:rsidR="00C9475C" w:rsidRPr="00E27B01">
        <w:rPr>
          <w:rFonts w:cs="Arial"/>
          <w:sz w:val="22"/>
          <w:szCs w:val="22"/>
        </w:rPr>
        <w:t xml:space="preserve"> c</w:t>
      </w:r>
      <w:r w:rsidR="00995EEA" w:rsidRPr="00E27B01">
        <w:rPr>
          <w:rFonts w:cs="Arial"/>
          <w:sz w:val="22"/>
          <w:szCs w:val="22"/>
        </w:rPr>
        <w:t>riteria checklist</w:t>
      </w:r>
    </w:p>
    <w:p w14:paraId="37723C3A" w14:textId="54BE77A8" w:rsidR="0053717B" w:rsidRPr="00E27B01" w:rsidRDefault="00A3468E" w:rsidP="00A3468E">
      <w:pPr>
        <w:pStyle w:val="Title"/>
        <w:tabs>
          <w:tab w:val="center" w:pos="4513"/>
          <w:tab w:val="left" w:pos="7350"/>
        </w:tabs>
        <w:rPr>
          <w:rFonts w:cs="Arial"/>
          <w:sz w:val="22"/>
          <w:szCs w:val="22"/>
        </w:rPr>
      </w:pPr>
      <w:r w:rsidRPr="00E27B01">
        <w:rPr>
          <w:rFonts w:cs="Arial"/>
          <w:sz w:val="22"/>
          <w:szCs w:val="22"/>
        </w:rPr>
        <w:t>Pegzilarginase for</w:t>
      </w:r>
      <w:r w:rsidR="005B7019">
        <w:rPr>
          <w:rFonts w:cs="Arial"/>
          <w:sz w:val="22"/>
          <w:szCs w:val="22"/>
        </w:rPr>
        <w:t xml:space="preserve"> treating</w:t>
      </w:r>
      <w:r w:rsidRPr="00E27B01">
        <w:rPr>
          <w:rFonts w:cs="Arial"/>
          <w:sz w:val="22"/>
          <w:szCs w:val="22"/>
        </w:rPr>
        <w:t xml:space="preserve"> arginase-1 deficiency </w:t>
      </w:r>
      <w:r w:rsidR="00277836" w:rsidRPr="00E27B01">
        <w:rPr>
          <w:rFonts w:cs="Arial"/>
          <w:sz w:val="22"/>
          <w:szCs w:val="22"/>
        </w:rPr>
        <w:t>(</w:t>
      </w:r>
      <w:r w:rsidR="00C9475C" w:rsidRPr="00E27B01">
        <w:rPr>
          <w:rFonts w:cs="Arial"/>
          <w:sz w:val="22"/>
          <w:szCs w:val="22"/>
        </w:rPr>
        <w:t>ID</w:t>
      </w:r>
      <w:r w:rsidRPr="00E27B01">
        <w:rPr>
          <w:rFonts w:cs="Arial"/>
          <w:sz w:val="22"/>
          <w:szCs w:val="22"/>
        </w:rPr>
        <w:t>4029</w:t>
      </w:r>
      <w:r w:rsidR="00277836" w:rsidRPr="00E27B01">
        <w:rPr>
          <w:rFonts w:cs="Arial"/>
          <w:sz w:val="22"/>
          <w:szCs w:val="22"/>
        </w:rPr>
        <w:t>)</w:t>
      </w:r>
    </w:p>
    <w:p w14:paraId="6B025EBD" w14:textId="77777777" w:rsidR="00A3468E" w:rsidRPr="00E27B01" w:rsidRDefault="00A3468E" w:rsidP="00A3468E">
      <w:pPr>
        <w:pStyle w:val="Heading1"/>
        <w:rPr>
          <w:rFonts w:cs="Arial"/>
          <w:sz w:val="22"/>
          <w:szCs w:val="22"/>
        </w:rPr>
      </w:pPr>
    </w:p>
    <w:p w14:paraId="5E9E7FE9" w14:textId="77777777" w:rsidR="00300B31" w:rsidRPr="00E27B01" w:rsidRDefault="00300B31" w:rsidP="00300B31">
      <w:pPr>
        <w:pStyle w:val="Heading3"/>
        <w:rPr>
          <w:rFonts w:cs="Arial"/>
          <w:szCs w:val="22"/>
        </w:rPr>
      </w:pPr>
      <w:r w:rsidRPr="00E27B01">
        <w:rPr>
          <w:rFonts w:cs="Arial"/>
          <w:szCs w:val="22"/>
        </w:rPr>
        <w:t>Introduction</w:t>
      </w:r>
    </w:p>
    <w:p w14:paraId="019E0443" w14:textId="77777777" w:rsidR="00300B31" w:rsidRPr="00E27B01" w:rsidRDefault="00300B31" w:rsidP="00300B31">
      <w:pPr>
        <w:rPr>
          <w:rFonts w:ascii="Arial" w:hAnsi="Arial" w:cs="Arial"/>
        </w:rPr>
      </w:pPr>
      <w:r w:rsidRPr="00E27B01">
        <w:rPr>
          <w:rFonts w:ascii="Arial" w:hAnsi="Arial" w:cs="Arial"/>
        </w:rPr>
        <w:t xml:space="preserve">The NICE HST criteria checklist is to highlight where a technology meets/partially meets or does not meet the criteria for routing to the HST programme. Its purpose is to show the details of why a technology may not be appropriate for HST evaluation, but also where it has been identified as suitable. For more information, please see </w:t>
      </w:r>
      <w:hyperlink r:id="rId8" w:history="1">
        <w:r w:rsidRPr="00E27B01">
          <w:rPr>
            <w:rStyle w:val="Hyperlink"/>
            <w:rFonts w:ascii="Arial" w:hAnsi="Arial" w:cs="Arial"/>
          </w:rPr>
          <w:t>section 7 of NICE health technology evaluation topic selection: the manual</w:t>
        </w:r>
      </w:hyperlink>
    </w:p>
    <w:p w14:paraId="2616200F" w14:textId="77777777" w:rsidR="00300B31" w:rsidRPr="00E27B01" w:rsidRDefault="00300B31" w:rsidP="00300B31">
      <w:pPr>
        <w:rPr>
          <w:rFonts w:ascii="Arial" w:hAnsi="Arial" w:cs="Arial"/>
          <w:b/>
          <w:bCs/>
        </w:rPr>
      </w:pPr>
      <w:r w:rsidRPr="00E27B01">
        <w:rPr>
          <w:rFonts w:ascii="Arial" w:hAnsi="Arial" w:cs="Arial"/>
          <w:b/>
          <w:bCs/>
        </w:rPr>
        <w:t xml:space="preserve"> </w:t>
      </w:r>
    </w:p>
    <w:p w14:paraId="4ACF60E3" w14:textId="77777777" w:rsidR="00300B31" w:rsidRPr="00E27B01" w:rsidRDefault="00300B31" w:rsidP="00300B31">
      <w:pPr>
        <w:pStyle w:val="Heading3"/>
        <w:rPr>
          <w:rFonts w:cs="Arial"/>
          <w:szCs w:val="22"/>
        </w:rPr>
      </w:pPr>
      <w:r w:rsidRPr="00E27B01">
        <w:rPr>
          <w:rFonts w:cs="Arial"/>
          <w:szCs w:val="22"/>
        </w:rPr>
        <w:t xml:space="preserve">Key – Please use the colour key to advise if the technology meets the criteria </w:t>
      </w:r>
    </w:p>
    <w:tbl>
      <w:tblPr>
        <w:tblStyle w:val="TableGrid"/>
        <w:tblW w:w="0" w:type="auto"/>
        <w:tblInd w:w="-5" w:type="dxa"/>
        <w:tblLook w:val="04A0" w:firstRow="1" w:lastRow="0" w:firstColumn="1" w:lastColumn="0" w:noHBand="0" w:noVBand="1"/>
      </w:tblPr>
      <w:tblGrid>
        <w:gridCol w:w="975"/>
        <w:gridCol w:w="8097"/>
      </w:tblGrid>
      <w:tr w:rsidR="00300B31" w:rsidRPr="00E27B01" w14:paraId="646CB929" w14:textId="77777777" w:rsidTr="00956FB9">
        <w:trPr>
          <w:trHeight w:val="280"/>
        </w:trPr>
        <w:tc>
          <w:tcPr>
            <w:tcW w:w="975" w:type="dxa"/>
            <w:shd w:val="clear" w:color="auto" w:fill="92D050"/>
          </w:tcPr>
          <w:p w14:paraId="10C4C055" w14:textId="77777777" w:rsidR="00300B31" w:rsidRPr="00E27B01" w:rsidRDefault="00300B31" w:rsidP="00956FB9">
            <w:pPr>
              <w:spacing w:after="240" w:line="276" w:lineRule="auto"/>
              <w:jc w:val="both"/>
              <w:rPr>
                <w:rFonts w:ascii="Arial" w:eastAsia="Times New Roman" w:hAnsi="Arial" w:cs="Arial"/>
                <w:lang w:eastAsia="en-GB"/>
              </w:rPr>
            </w:pPr>
            <w:r w:rsidRPr="00E27B01">
              <w:rPr>
                <w:rFonts w:ascii="Arial" w:eastAsia="Times New Roman" w:hAnsi="Arial" w:cs="Arial"/>
                <w:lang w:eastAsia="en-GB"/>
              </w:rPr>
              <w:t xml:space="preserve">Met </w:t>
            </w:r>
          </w:p>
        </w:tc>
        <w:tc>
          <w:tcPr>
            <w:tcW w:w="8097" w:type="dxa"/>
          </w:tcPr>
          <w:p w14:paraId="67132484" w14:textId="77777777" w:rsidR="00300B31" w:rsidRPr="00E27B01" w:rsidRDefault="00300B31" w:rsidP="00956FB9">
            <w:pPr>
              <w:spacing w:after="240" w:line="276" w:lineRule="auto"/>
              <w:rPr>
                <w:rFonts w:ascii="Arial" w:eastAsia="Times New Roman" w:hAnsi="Arial" w:cs="Arial"/>
                <w:lang w:eastAsia="en-GB"/>
              </w:rPr>
            </w:pPr>
            <w:r w:rsidRPr="00E27B01">
              <w:rPr>
                <w:rFonts w:ascii="Arial" w:eastAsia="Times New Roman" w:hAnsi="Arial" w:cs="Arial"/>
                <w:lang w:eastAsia="en-GB"/>
              </w:rPr>
              <w:t>There is clear and strong evidence that the criterion is met</w:t>
            </w:r>
          </w:p>
        </w:tc>
      </w:tr>
      <w:tr w:rsidR="00300B31" w:rsidRPr="00E27B01" w14:paraId="2B5F421C" w14:textId="77777777" w:rsidTr="00956FB9">
        <w:trPr>
          <w:trHeight w:val="343"/>
        </w:trPr>
        <w:tc>
          <w:tcPr>
            <w:tcW w:w="975" w:type="dxa"/>
            <w:shd w:val="clear" w:color="auto" w:fill="FF0000"/>
          </w:tcPr>
          <w:p w14:paraId="3A085899" w14:textId="77777777" w:rsidR="00300B31" w:rsidRPr="00E27B01" w:rsidRDefault="00300B31" w:rsidP="00956FB9">
            <w:pPr>
              <w:spacing w:after="240" w:line="276" w:lineRule="auto"/>
              <w:jc w:val="both"/>
              <w:rPr>
                <w:rFonts w:ascii="Arial" w:eastAsia="Times New Roman" w:hAnsi="Arial" w:cs="Arial"/>
                <w:lang w:eastAsia="en-GB"/>
              </w:rPr>
            </w:pPr>
            <w:r w:rsidRPr="00E27B01">
              <w:rPr>
                <w:rFonts w:ascii="Arial" w:eastAsia="Times New Roman" w:hAnsi="Arial" w:cs="Arial"/>
                <w:lang w:eastAsia="en-GB"/>
              </w:rPr>
              <w:t>Not met</w:t>
            </w:r>
          </w:p>
        </w:tc>
        <w:tc>
          <w:tcPr>
            <w:tcW w:w="8097" w:type="dxa"/>
          </w:tcPr>
          <w:p w14:paraId="6D3BC557" w14:textId="77777777" w:rsidR="00300B31" w:rsidRPr="00E27B01" w:rsidRDefault="00300B31" w:rsidP="00956FB9">
            <w:pPr>
              <w:spacing w:after="240" w:line="276" w:lineRule="auto"/>
              <w:rPr>
                <w:rFonts w:ascii="Arial" w:eastAsia="Times New Roman" w:hAnsi="Arial" w:cs="Arial"/>
                <w:lang w:eastAsia="en-GB"/>
              </w:rPr>
            </w:pPr>
            <w:r w:rsidRPr="00E27B01">
              <w:rPr>
                <w:rFonts w:ascii="Arial" w:eastAsia="Times New Roman" w:hAnsi="Arial" w:cs="Arial"/>
                <w:lang w:eastAsia="en-GB"/>
              </w:rPr>
              <w:t xml:space="preserve">There is some, but not enough clear evidence that the criterion is met or </w:t>
            </w:r>
          </w:p>
          <w:p w14:paraId="290E79B1" w14:textId="77777777" w:rsidR="00300B31" w:rsidRPr="00E27B01" w:rsidRDefault="00300B31" w:rsidP="00956FB9">
            <w:pPr>
              <w:spacing w:after="240" w:line="276" w:lineRule="auto"/>
              <w:rPr>
                <w:rFonts w:ascii="Arial" w:eastAsia="Times New Roman" w:hAnsi="Arial" w:cs="Arial"/>
                <w:lang w:eastAsia="en-GB"/>
              </w:rPr>
            </w:pPr>
            <w:r w:rsidRPr="00E27B01">
              <w:rPr>
                <w:rFonts w:ascii="Arial" w:eastAsia="Times New Roman" w:hAnsi="Arial" w:cs="Arial"/>
                <w:lang w:eastAsia="en-GB"/>
              </w:rPr>
              <w:t xml:space="preserve">There is no evidence or limited evidence that the criterion is met.  </w:t>
            </w:r>
          </w:p>
        </w:tc>
      </w:tr>
    </w:tbl>
    <w:p w14:paraId="0077F89A" w14:textId="77777777" w:rsidR="00300B31" w:rsidRPr="00E27B01" w:rsidRDefault="00300B31" w:rsidP="00300B31">
      <w:pPr>
        <w:rPr>
          <w:rFonts w:ascii="Arial" w:hAnsi="Arial" w:cs="Arial"/>
          <w:b/>
          <w:bCs/>
        </w:rPr>
      </w:pPr>
    </w:p>
    <w:p w14:paraId="2EBF902A" w14:textId="4706FF77" w:rsidR="00E27888" w:rsidRPr="00E27888" w:rsidRDefault="00C9475C" w:rsidP="00E27888">
      <w:pPr>
        <w:pStyle w:val="Heading3"/>
        <w:rPr>
          <w:rFonts w:cs="Arial"/>
          <w:b w:val="0"/>
          <w:bCs w:val="0"/>
          <w:szCs w:val="22"/>
          <w:u w:val="single"/>
        </w:rPr>
      </w:pPr>
      <w:r w:rsidRPr="00E27B01">
        <w:rPr>
          <w:rFonts w:cs="Arial"/>
          <w:szCs w:val="22"/>
        </w:rPr>
        <w:t>MA wording:</w:t>
      </w:r>
      <w:r w:rsidR="00081DC4" w:rsidRPr="00E27B01">
        <w:rPr>
          <w:rFonts w:cs="Arial"/>
          <w:szCs w:val="22"/>
        </w:rPr>
        <w:t xml:space="preserve"> </w:t>
      </w:r>
      <w:r w:rsidR="00031AB9" w:rsidRPr="00031AB9">
        <w:rPr>
          <w:b w:val="0"/>
          <w:bCs w:val="0"/>
          <w:highlight w:val="black"/>
          <w:u w:val="single"/>
        </w:rPr>
        <w:t>***************************************************************************************************************</w:t>
      </w:r>
    </w:p>
    <w:p w14:paraId="53CD3E5B" w14:textId="77777777" w:rsidR="000D3405" w:rsidRPr="00E27B01"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E27B01" w14:paraId="7762F306" w14:textId="77777777"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DDFDA8" w14:textId="77777777" w:rsidR="000D3405" w:rsidRPr="00E27B01" w:rsidRDefault="000D3405" w:rsidP="00E74106">
            <w:pPr>
              <w:ind w:firstLine="128"/>
              <w:rPr>
                <w:rFonts w:ascii="Arial" w:hAnsi="Arial" w:cs="Arial"/>
                <w:b/>
                <w:bCs/>
              </w:rPr>
            </w:pPr>
            <w:r w:rsidRPr="00E27B01">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658CC47" w14:textId="77777777" w:rsidR="000D3405" w:rsidRPr="00E27B01" w:rsidRDefault="000D3405" w:rsidP="00E74106">
            <w:pPr>
              <w:ind w:firstLine="175"/>
              <w:rPr>
                <w:rFonts w:ascii="Arial" w:hAnsi="Arial" w:cs="Arial"/>
                <w:b/>
                <w:bCs/>
              </w:rPr>
            </w:pPr>
            <w:r w:rsidRPr="00E27B01">
              <w:rPr>
                <w:rFonts w:ascii="Arial" w:hAnsi="Arial" w:cs="Arial"/>
                <w:b/>
                <w:bCs/>
              </w:rPr>
              <w:t>Criterion</w:t>
            </w:r>
          </w:p>
          <w:p w14:paraId="47A1AD1D" w14:textId="77777777" w:rsidR="000D3405" w:rsidRPr="00E27B01" w:rsidRDefault="000D3405" w:rsidP="00FD35B4">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7B0BFA" w14:textId="77777777" w:rsidR="000D3405" w:rsidRPr="00E27B01" w:rsidRDefault="000D3405" w:rsidP="00E74106">
            <w:pPr>
              <w:ind w:firstLine="261"/>
              <w:rPr>
                <w:rFonts w:ascii="Arial" w:hAnsi="Arial" w:cs="Arial"/>
                <w:b/>
                <w:bCs/>
              </w:rPr>
            </w:pPr>
            <w:r w:rsidRPr="00E27B01">
              <w:rPr>
                <w:rFonts w:ascii="Arial" w:hAnsi="Arial" w:cs="Arial"/>
                <w:b/>
                <w:bCs/>
              </w:rPr>
              <w:t xml:space="preserve">Description of how the technology meets the criteria </w:t>
            </w:r>
          </w:p>
          <w:p w14:paraId="2B873284" w14:textId="77777777" w:rsidR="000D3405" w:rsidRPr="00E27B01" w:rsidRDefault="000D3405" w:rsidP="00FD35B4">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3F9F61A" w14:textId="6578A20B" w:rsidR="000D3405" w:rsidRPr="00E27B01" w:rsidRDefault="00D71447" w:rsidP="000A3837">
            <w:pPr>
              <w:ind w:left="288" w:right="188"/>
              <w:rPr>
                <w:rFonts w:ascii="Arial" w:hAnsi="Arial" w:cs="Arial"/>
              </w:rPr>
            </w:pPr>
            <w:r w:rsidRPr="00E27B01">
              <w:rPr>
                <w:rFonts w:ascii="Arial" w:hAnsi="Arial" w:cs="Arial"/>
                <w:b/>
                <w:bCs/>
              </w:rPr>
              <w:t>Does the technology meet the criteria?</w:t>
            </w:r>
          </w:p>
        </w:tc>
      </w:tr>
      <w:tr w:rsidR="000D3405" w:rsidRPr="00E27B01" w14:paraId="7381EE9B" w14:textId="77777777" w:rsidTr="00300B31">
        <w:trPr>
          <w:trHeight w:val="821"/>
        </w:trPr>
        <w:tc>
          <w:tcPr>
            <w:tcW w:w="403" w:type="pct"/>
            <w:tcBorders>
              <w:top w:val="nil"/>
              <w:left w:val="single" w:sz="8" w:space="0" w:color="auto"/>
              <w:bottom w:val="single" w:sz="8" w:space="0" w:color="auto"/>
              <w:right w:val="single" w:sz="8" w:space="0" w:color="auto"/>
            </w:tcBorders>
          </w:tcPr>
          <w:p w14:paraId="2A121422" w14:textId="77777777" w:rsidR="000D3405" w:rsidRPr="00E27B01"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B2602" w14:textId="77777777" w:rsidR="000D3405" w:rsidRPr="00E27B01" w:rsidRDefault="000D3405" w:rsidP="00FD35B4">
            <w:pPr>
              <w:rPr>
                <w:rFonts w:ascii="Arial" w:hAnsi="Arial" w:cs="Arial"/>
              </w:rPr>
            </w:pPr>
            <w:r w:rsidRPr="00E27B01">
              <w:rPr>
                <w:rFonts w:ascii="Arial" w:hAnsi="Arial" w:cs="Arial"/>
              </w:rPr>
              <w:t xml:space="preserve">The condition is very rare defined by 1:50,000 in England </w:t>
            </w:r>
          </w:p>
          <w:p w14:paraId="650DE368" w14:textId="77777777" w:rsidR="000D3405" w:rsidRPr="00E27B01" w:rsidRDefault="000D3405" w:rsidP="00FD35B4">
            <w:pPr>
              <w:rPr>
                <w:rFonts w:ascii="Arial" w:hAnsi="Arial" w:cs="Arial"/>
              </w:rPr>
            </w:pPr>
          </w:p>
          <w:p w14:paraId="60D9EDF6" w14:textId="77777777" w:rsidR="000D3405" w:rsidRPr="00E27B01" w:rsidRDefault="000D3405" w:rsidP="00FD35B4">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6EAFEAA" w14:textId="77777777" w:rsidR="000D3405" w:rsidRPr="00E27B01" w:rsidRDefault="00C74EF2" w:rsidP="00BA0BF1">
            <w:pPr>
              <w:pStyle w:val="BodyText"/>
              <w:numPr>
                <w:ilvl w:val="0"/>
                <w:numId w:val="35"/>
              </w:numPr>
              <w:rPr>
                <w:rFonts w:cs="Arial"/>
                <w:sz w:val="22"/>
                <w:szCs w:val="22"/>
                <w:lang w:val="en-GB"/>
              </w:rPr>
            </w:pPr>
            <w:r w:rsidRPr="00E27B01">
              <w:rPr>
                <w:rFonts w:cs="Arial"/>
                <w:sz w:val="22"/>
                <w:szCs w:val="22"/>
                <w:lang w:val="en-GB"/>
              </w:rPr>
              <w:t>In July 2016, t</w:t>
            </w:r>
            <w:r w:rsidR="006A16A0" w:rsidRPr="00E27B01">
              <w:rPr>
                <w:rFonts w:cs="Arial"/>
                <w:sz w:val="22"/>
                <w:szCs w:val="22"/>
                <w:lang w:val="en-GB"/>
              </w:rPr>
              <w:t xml:space="preserve">he </w:t>
            </w:r>
            <w:hyperlink r:id="rId9" w:history="1">
              <w:r w:rsidR="006A16A0" w:rsidRPr="00E27B01">
                <w:rPr>
                  <w:rStyle w:val="Hyperlink"/>
                  <w:rFonts w:cs="Arial"/>
                  <w:sz w:val="22"/>
                  <w:szCs w:val="22"/>
                  <w:lang w:val="en-GB"/>
                </w:rPr>
                <w:t>EMA</w:t>
              </w:r>
            </w:hyperlink>
            <w:r w:rsidR="006A16A0" w:rsidRPr="00E27B01">
              <w:rPr>
                <w:rFonts w:cs="Arial"/>
                <w:sz w:val="22"/>
                <w:szCs w:val="22"/>
                <w:lang w:val="en-GB"/>
              </w:rPr>
              <w:t xml:space="preserve"> g</w:t>
            </w:r>
            <w:r w:rsidRPr="00E27B01">
              <w:rPr>
                <w:rFonts w:cs="Arial"/>
                <w:sz w:val="22"/>
                <w:szCs w:val="22"/>
                <w:lang w:val="en-GB"/>
              </w:rPr>
              <w:t>ave</w:t>
            </w:r>
            <w:r w:rsidR="006A16A0" w:rsidRPr="00E27B01">
              <w:rPr>
                <w:rFonts w:cs="Arial"/>
                <w:sz w:val="22"/>
                <w:szCs w:val="22"/>
                <w:lang w:val="en-GB"/>
              </w:rPr>
              <w:t xml:space="preserve"> this indication an orphan designation, </w:t>
            </w:r>
            <w:r w:rsidRPr="00E27B01">
              <w:rPr>
                <w:rFonts w:cs="Arial"/>
                <w:sz w:val="22"/>
                <w:szCs w:val="22"/>
                <w:lang w:val="en-GB"/>
              </w:rPr>
              <w:t xml:space="preserve">estimating the prevalence across the European Union to be about 0.06 in 10,000 people </w:t>
            </w:r>
            <w:r w:rsidR="00E6173A" w:rsidRPr="00E27B01">
              <w:rPr>
                <w:rFonts w:cs="Arial"/>
                <w:sz w:val="22"/>
                <w:szCs w:val="22"/>
                <w:lang w:val="en-GB"/>
              </w:rPr>
              <w:t>(or 0.</w:t>
            </w:r>
            <w:r w:rsidR="00646B7B" w:rsidRPr="00E27B01">
              <w:rPr>
                <w:rFonts w:cs="Arial"/>
                <w:sz w:val="22"/>
                <w:szCs w:val="22"/>
                <w:lang w:val="en-GB"/>
              </w:rPr>
              <w:t>3</w:t>
            </w:r>
            <w:r w:rsidR="00E6173A" w:rsidRPr="00E27B01">
              <w:rPr>
                <w:rFonts w:cs="Arial"/>
                <w:sz w:val="22"/>
                <w:szCs w:val="22"/>
                <w:lang w:val="en-GB"/>
              </w:rPr>
              <w:t xml:space="preserve"> per 50,000)</w:t>
            </w:r>
            <w:r w:rsidR="006A16A0" w:rsidRPr="00E27B01">
              <w:rPr>
                <w:rFonts w:cs="Arial"/>
                <w:sz w:val="22"/>
                <w:szCs w:val="22"/>
                <w:lang w:val="en-GB"/>
              </w:rPr>
              <w:t>.</w:t>
            </w:r>
          </w:p>
          <w:p w14:paraId="42DEA894" w14:textId="3471F221" w:rsidR="00B962E6" w:rsidRPr="00E27B01" w:rsidRDefault="00F04268" w:rsidP="00BA0BF1">
            <w:pPr>
              <w:pStyle w:val="BodyText"/>
              <w:numPr>
                <w:ilvl w:val="0"/>
                <w:numId w:val="35"/>
              </w:numPr>
              <w:rPr>
                <w:rFonts w:cs="Arial"/>
                <w:sz w:val="22"/>
                <w:szCs w:val="22"/>
                <w:lang w:val="en-GB"/>
              </w:rPr>
            </w:pPr>
            <w:hyperlink r:id="rId10" w:history="1">
              <w:proofErr w:type="spellStart"/>
              <w:r w:rsidR="00B962E6" w:rsidRPr="00E27B01">
                <w:rPr>
                  <w:rStyle w:val="Hyperlink"/>
                  <w:rFonts w:cs="Arial"/>
                  <w:sz w:val="22"/>
                  <w:szCs w:val="22"/>
                </w:rPr>
                <w:t>Catsburg</w:t>
              </w:r>
              <w:proofErr w:type="spellEnd"/>
              <w:r w:rsidR="00B962E6" w:rsidRPr="00E27B01">
                <w:rPr>
                  <w:rStyle w:val="Hyperlink"/>
                  <w:rFonts w:cs="Arial"/>
                  <w:sz w:val="22"/>
                  <w:szCs w:val="22"/>
                </w:rPr>
                <w:t xml:space="preserve"> (2022)</w:t>
              </w:r>
            </w:hyperlink>
            <w:r w:rsidR="00B962E6" w:rsidRPr="00E27B01">
              <w:rPr>
                <w:rFonts w:cs="Arial"/>
                <w:sz w:val="22"/>
                <w:szCs w:val="22"/>
              </w:rPr>
              <w:t xml:space="preserve"> suggests </w:t>
            </w:r>
            <w:r w:rsidR="00626159" w:rsidRPr="00E27B01">
              <w:rPr>
                <w:rFonts w:cs="Arial"/>
                <w:sz w:val="22"/>
                <w:szCs w:val="22"/>
                <w:lang w:val="en-GB"/>
              </w:rPr>
              <w:t xml:space="preserve">that </w:t>
            </w:r>
            <w:r w:rsidR="00B962E6" w:rsidRPr="00E27B01">
              <w:rPr>
                <w:rFonts w:cs="Arial"/>
                <w:sz w:val="22"/>
                <w:szCs w:val="22"/>
              </w:rPr>
              <w:t xml:space="preserve">in the UK, </w:t>
            </w:r>
            <w:r w:rsidR="00626159" w:rsidRPr="00E27B01">
              <w:rPr>
                <w:rFonts w:cs="Arial"/>
                <w:sz w:val="22"/>
                <w:szCs w:val="22"/>
                <w:lang w:val="en-GB"/>
              </w:rPr>
              <w:t xml:space="preserve">there is </w:t>
            </w:r>
            <w:r w:rsidR="00B962E6" w:rsidRPr="00E27B01">
              <w:rPr>
                <w:rFonts w:cs="Arial"/>
                <w:sz w:val="22"/>
                <w:szCs w:val="22"/>
              </w:rPr>
              <w:t xml:space="preserve">an </w:t>
            </w:r>
            <w:r w:rsidR="00626159" w:rsidRPr="00E27B01">
              <w:rPr>
                <w:rFonts w:cs="Arial"/>
                <w:sz w:val="22"/>
                <w:szCs w:val="22"/>
                <w:lang w:val="en-GB"/>
              </w:rPr>
              <w:t>arginase-</w:t>
            </w:r>
            <w:r w:rsidR="00B962E6" w:rsidRPr="00E27B01">
              <w:rPr>
                <w:rFonts w:cs="Arial"/>
                <w:sz w:val="22"/>
                <w:szCs w:val="22"/>
              </w:rPr>
              <w:t>1 deficiency population prevalence of 0.58 cases per million</w:t>
            </w:r>
            <w:r w:rsidR="00BF1FA0" w:rsidRPr="00E27B01">
              <w:rPr>
                <w:rFonts w:cs="Arial"/>
                <w:sz w:val="22"/>
                <w:szCs w:val="22"/>
                <w:lang w:val="en-GB"/>
              </w:rPr>
              <w:t>.</w:t>
            </w:r>
          </w:p>
        </w:tc>
        <w:tc>
          <w:tcPr>
            <w:tcW w:w="630" w:type="pct"/>
            <w:tcBorders>
              <w:top w:val="nil"/>
              <w:left w:val="single" w:sz="8" w:space="0" w:color="auto"/>
              <w:bottom w:val="single" w:sz="8" w:space="0" w:color="auto"/>
              <w:right w:val="single" w:sz="8" w:space="0" w:color="auto"/>
            </w:tcBorders>
            <w:shd w:val="clear" w:color="auto" w:fill="92D050"/>
          </w:tcPr>
          <w:p w14:paraId="72F601AA" w14:textId="77777777" w:rsidR="00E74106" w:rsidRPr="00E27B01" w:rsidRDefault="00E74106" w:rsidP="00D71447">
            <w:pPr>
              <w:ind w:left="288" w:right="188"/>
              <w:rPr>
                <w:rFonts w:ascii="Arial" w:hAnsi="Arial" w:cs="Arial"/>
              </w:rPr>
            </w:pPr>
            <w:r w:rsidRPr="00E27B01">
              <w:rPr>
                <w:rFonts w:ascii="Arial" w:hAnsi="Arial" w:cs="Arial"/>
              </w:rPr>
              <w:t>Met</w:t>
            </w:r>
          </w:p>
          <w:p w14:paraId="0C7B5BEB" w14:textId="77777777" w:rsidR="00D71447" w:rsidRPr="00E27B01" w:rsidRDefault="00D71447" w:rsidP="00497518">
            <w:pPr>
              <w:ind w:left="288" w:right="188"/>
              <w:rPr>
                <w:rFonts w:ascii="Arial" w:hAnsi="Arial" w:cs="Arial"/>
                <w:b/>
                <w:bCs/>
              </w:rPr>
            </w:pPr>
          </w:p>
        </w:tc>
      </w:tr>
      <w:tr w:rsidR="00C770A5" w:rsidRPr="00E27B01" w14:paraId="13B75103" w14:textId="77777777" w:rsidTr="00F04268">
        <w:trPr>
          <w:trHeight w:val="821"/>
        </w:trPr>
        <w:tc>
          <w:tcPr>
            <w:tcW w:w="403" w:type="pct"/>
            <w:tcBorders>
              <w:top w:val="nil"/>
              <w:left w:val="single" w:sz="8" w:space="0" w:color="auto"/>
              <w:bottom w:val="single" w:sz="8" w:space="0" w:color="auto"/>
              <w:right w:val="single" w:sz="8" w:space="0" w:color="auto"/>
            </w:tcBorders>
          </w:tcPr>
          <w:p w14:paraId="3BC51BBE" w14:textId="77777777" w:rsidR="00C770A5" w:rsidRPr="00E27B01" w:rsidRDefault="00C770A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BE28D5" w14:textId="34E5FABE" w:rsidR="00C770A5" w:rsidRPr="00E27B01" w:rsidRDefault="00C770A5" w:rsidP="00C770A5">
            <w:pPr>
              <w:rPr>
                <w:rFonts w:ascii="Arial" w:hAnsi="Arial" w:cs="Arial"/>
              </w:rPr>
            </w:pPr>
            <w:r w:rsidRPr="00E27B01">
              <w:rPr>
                <w:rFonts w:ascii="Arial" w:hAnsi="Arial" w:cs="Arial"/>
              </w:rPr>
              <w:t xml:space="preserve">Normally no more than 300 people in England are eligible for the technology in its licensed indication and no more than 500 across all its </w:t>
            </w:r>
            <w:r w:rsidR="00A95A88" w:rsidRPr="00E27B01">
              <w:rPr>
                <w:rFonts w:ascii="Arial" w:hAnsi="Arial" w:cs="Arial"/>
              </w:rPr>
              <w:t>indications.</w:t>
            </w:r>
            <w:r w:rsidRPr="00E27B01">
              <w:rPr>
                <w:rFonts w:ascii="Arial" w:hAnsi="Arial" w:cs="Arial"/>
              </w:rPr>
              <w:t xml:space="preserve"> </w:t>
            </w:r>
          </w:p>
          <w:p w14:paraId="13C62F34" w14:textId="77777777" w:rsidR="00C770A5" w:rsidRPr="00E27B01" w:rsidRDefault="00C770A5" w:rsidP="00FD35B4">
            <w:pPr>
              <w:rPr>
                <w:rFonts w:ascii="Arial" w:hAnsi="Arial" w:cs="Arial"/>
              </w:rPr>
            </w:pPr>
          </w:p>
        </w:tc>
        <w:tc>
          <w:tcPr>
            <w:tcW w:w="2689" w:type="pct"/>
            <w:tcBorders>
              <w:top w:val="nil"/>
              <w:left w:val="single" w:sz="8" w:space="0" w:color="auto"/>
              <w:bottom w:val="single" w:sz="8" w:space="0" w:color="auto"/>
              <w:right w:val="single" w:sz="8" w:space="0" w:color="auto"/>
            </w:tcBorders>
          </w:tcPr>
          <w:p w14:paraId="0C7266BD" w14:textId="6E32BBB0" w:rsidR="00C770A5" w:rsidRPr="00E27B01" w:rsidRDefault="00C770A5" w:rsidP="00BA0BF1">
            <w:pPr>
              <w:pStyle w:val="BodyText"/>
              <w:numPr>
                <w:ilvl w:val="0"/>
                <w:numId w:val="35"/>
              </w:numPr>
              <w:rPr>
                <w:rFonts w:cs="Arial"/>
                <w:sz w:val="22"/>
                <w:szCs w:val="22"/>
                <w:lang w:val="en-GB"/>
              </w:rPr>
            </w:pPr>
            <w:r w:rsidRPr="00E27B01">
              <w:rPr>
                <w:rFonts w:cs="Arial"/>
                <w:sz w:val="22"/>
                <w:szCs w:val="22"/>
              </w:rPr>
              <w:t xml:space="preserve">When applying the EMA rate to the </w:t>
            </w:r>
            <w:hyperlink r:id="rId11" w:history="1">
              <w:r w:rsidRPr="00E27B01">
                <w:rPr>
                  <w:rStyle w:val="Hyperlink"/>
                  <w:rFonts w:cs="Arial"/>
                  <w:sz w:val="22"/>
                  <w:szCs w:val="22"/>
                </w:rPr>
                <w:t>total population (≥5 years) in England</w:t>
              </w:r>
            </w:hyperlink>
            <w:r w:rsidRPr="00E27B01">
              <w:rPr>
                <w:rFonts w:cs="Arial"/>
                <w:sz w:val="22"/>
                <w:szCs w:val="22"/>
              </w:rPr>
              <w:t xml:space="preserve"> of 53.3 million, it is estimated that about </w:t>
            </w:r>
            <w:r w:rsidRPr="00E27B01">
              <w:rPr>
                <w:rFonts w:cs="Arial"/>
                <w:b/>
                <w:bCs/>
                <w:sz w:val="22"/>
                <w:szCs w:val="22"/>
              </w:rPr>
              <w:t>320</w:t>
            </w:r>
            <w:r w:rsidRPr="00E27B01">
              <w:rPr>
                <w:rFonts w:cs="Arial"/>
                <w:sz w:val="22"/>
                <w:szCs w:val="22"/>
              </w:rPr>
              <w:t xml:space="preserve"> people could be eligible to receive pegzilarginase.</w:t>
            </w:r>
          </w:p>
          <w:p w14:paraId="7AEDF6B6" w14:textId="77777777" w:rsidR="00E27B01" w:rsidRPr="00E27B01" w:rsidRDefault="00E27B01" w:rsidP="00E27B01">
            <w:pPr>
              <w:pStyle w:val="ListParagraph"/>
              <w:numPr>
                <w:ilvl w:val="0"/>
                <w:numId w:val="35"/>
              </w:numPr>
              <w:rPr>
                <w:rFonts w:ascii="Arial" w:hAnsi="Arial" w:cs="Arial"/>
              </w:rPr>
            </w:pPr>
            <w:r w:rsidRPr="00E27B01">
              <w:rPr>
                <w:rFonts w:ascii="Arial" w:hAnsi="Arial" w:cs="Arial"/>
              </w:rPr>
              <w:t xml:space="preserve">When applying the population prevalence rate from </w:t>
            </w:r>
            <w:proofErr w:type="spellStart"/>
            <w:r w:rsidRPr="00E27B01">
              <w:rPr>
                <w:rFonts w:ascii="Arial" w:hAnsi="Arial" w:cs="Arial"/>
              </w:rPr>
              <w:t>Catsburg</w:t>
            </w:r>
            <w:proofErr w:type="spellEnd"/>
            <w:r w:rsidRPr="00E27B01">
              <w:rPr>
                <w:rFonts w:ascii="Arial" w:hAnsi="Arial" w:cs="Arial"/>
              </w:rPr>
              <w:t xml:space="preserve"> (2022) to the </w:t>
            </w:r>
            <w:hyperlink r:id="rId12" w:history="1">
              <w:r w:rsidRPr="00E27B01">
                <w:rPr>
                  <w:rStyle w:val="Hyperlink"/>
                  <w:rFonts w:ascii="Arial" w:hAnsi="Arial" w:cs="Arial"/>
                </w:rPr>
                <w:t>total population in England</w:t>
              </w:r>
            </w:hyperlink>
            <w:r w:rsidRPr="00E27B01">
              <w:rPr>
                <w:rFonts w:ascii="Arial" w:hAnsi="Arial" w:cs="Arial"/>
              </w:rPr>
              <w:t xml:space="preserve"> of 56.5 million, it is estimated that about </w:t>
            </w:r>
            <w:r w:rsidRPr="00E27B01">
              <w:rPr>
                <w:rFonts w:ascii="Arial" w:hAnsi="Arial" w:cs="Arial"/>
                <w:b/>
                <w:bCs/>
              </w:rPr>
              <w:t>33</w:t>
            </w:r>
            <w:r w:rsidRPr="00E27B01">
              <w:rPr>
                <w:rFonts w:ascii="Arial" w:hAnsi="Arial" w:cs="Arial"/>
              </w:rPr>
              <w:t xml:space="preserve"> people could be eligible to receive pegzilarginase.</w:t>
            </w:r>
          </w:p>
          <w:p w14:paraId="350D95F0" w14:textId="16AC336D" w:rsidR="00C770A5" w:rsidRPr="00ED6A02" w:rsidRDefault="00E27B01" w:rsidP="00ED6A02">
            <w:pPr>
              <w:pStyle w:val="BodyText"/>
              <w:numPr>
                <w:ilvl w:val="0"/>
                <w:numId w:val="35"/>
              </w:numPr>
              <w:rPr>
                <w:rFonts w:cs="Arial"/>
                <w:sz w:val="22"/>
                <w:szCs w:val="22"/>
                <w:lang w:val="en-GB"/>
              </w:rPr>
            </w:pPr>
            <w:r w:rsidRPr="00E27B01">
              <w:rPr>
                <w:rFonts w:cs="Arial"/>
                <w:sz w:val="22"/>
                <w:szCs w:val="22"/>
              </w:rPr>
              <w:t>This is a new active substance and the NICE team is not aware of any other licenced indications in the near future for this technology.</w:t>
            </w:r>
          </w:p>
        </w:tc>
        <w:tc>
          <w:tcPr>
            <w:tcW w:w="630" w:type="pct"/>
            <w:tcBorders>
              <w:top w:val="nil"/>
              <w:left w:val="single" w:sz="8" w:space="0" w:color="auto"/>
              <w:bottom w:val="single" w:sz="8" w:space="0" w:color="auto"/>
              <w:right w:val="single" w:sz="8" w:space="0" w:color="auto"/>
            </w:tcBorders>
            <w:shd w:val="clear" w:color="auto" w:fill="92D050"/>
          </w:tcPr>
          <w:p w14:paraId="653DECEE" w14:textId="3A33C6B4" w:rsidR="00C770A5" w:rsidRPr="00E27B01" w:rsidRDefault="0031798B" w:rsidP="00D71447">
            <w:pPr>
              <w:ind w:left="288" w:right="188"/>
              <w:rPr>
                <w:rFonts w:ascii="Arial" w:hAnsi="Arial" w:cs="Arial"/>
              </w:rPr>
            </w:pPr>
            <w:r w:rsidRPr="00E27B01">
              <w:rPr>
                <w:rFonts w:ascii="Arial" w:hAnsi="Arial" w:cs="Arial"/>
              </w:rPr>
              <w:t>Met</w:t>
            </w:r>
          </w:p>
        </w:tc>
      </w:tr>
      <w:tr w:rsidR="00C770A5" w:rsidRPr="00E27B01" w14:paraId="7B4F7028" w14:textId="77777777" w:rsidTr="00300B31">
        <w:trPr>
          <w:trHeight w:val="821"/>
        </w:trPr>
        <w:tc>
          <w:tcPr>
            <w:tcW w:w="403" w:type="pct"/>
            <w:tcBorders>
              <w:top w:val="nil"/>
              <w:left w:val="single" w:sz="8" w:space="0" w:color="auto"/>
              <w:bottom w:val="single" w:sz="8" w:space="0" w:color="auto"/>
              <w:right w:val="single" w:sz="8" w:space="0" w:color="auto"/>
            </w:tcBorders>
          </w:tcPr>
          <w:p w14:paraId="03A5506E" w14:textId="77777777" w:rsidR="00C770A5" w:rsidRPr="00E27B01" w:rsidRDefault="00C770A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B4235" w14:textId="2B87A5A5" w:rsidR="00C770A5" w:rsidRPr="00E27B01" w:rsidRDefault="00E27B01" w:rsidP="00FD35B4">
            <w:pPr>
              <w:rPr>
                <w:rFonts w:ascii="Arial" w:hAnsi="Arial" w:cs="Arial"/>
              </w:rPr>
            </w:pPr>
            <w:r w:rsidRPr="00E27B01">
              <w:rPr>
                <w:rFonts w:ascii="Arial" w:hAnsi="Arial" w:cs="Arial"/>
              </w:rPr>
              <w:t>The very rare condition for which the technology is indicated significantly shortens life or severely impairs quality of life</w:t>
            </w:r>
          </w:p>
        </w:tc>
        <w:tc>
          <w:tcPr>
            <w:tcW w:w="2689" w:type="pct"/>
            <w:tcBorders>
              <w:top w:val="nil"/>
              <w:left w:val="single" w:sz="8" w:space="0" w:color="auto"/>
              <w:bottom w:val="single" w:sz="8" w:space="0" w:color="auto"/>
              <w:right w:val="single" w:sz="8" w:space="0" w:color="auto"/>
            </w:tcBorders>
          </w:tcPr>
          <w:p w14:paraId="3E198F5A" w14:textId="0861E0DE" w:rsidR="00EB4521" w:rsidRPr="00E27B01" w:rsidRDefault="00EB4521" w:rsidP="00EB4521">
            <w:pPr>
              <w:pStyle w:val="ListParagraph"/>
              <w:numPr>
                <w:ilvl w:val="0"/>
                <w:numId w:val="35"/>
              </w:numPr>
              <w:rPr>
                <w:rFonts w:ascii="Arial" w:hAnsi="Arial" w:cs="Arial"/>
              </w:rPr>
            </w:pPr>
            <w:r w:rsidRPr="00E27B01">
              <w:rPr>
                <w:rFonts w:ascii="Arial" w:hAnsi="Arial" w:cs="Arial"/>
              </w:rPr>
              <w:t>Affected children may experience a lag in growth between 1 and 3 years and develop progressive stiffness and lack of control of voluntary movements of the legs. Cognitive development slows or stops and, children develop severe spasticity, an inability to walk, loss of bowel and bladder control and severe intellectual disability. Almost all affected children have growth deficiency and many also experience seizures.</w:t>
            </w:r>
          </w:p>
          <w:p w14:paraId="759D4EDA" w14:textId="77777777" w:rsidR="00EB4521" w:rsidRPr="00E27B01" w:rsidRDefault="00EB4521" w:rsidP="00EB4521">
            <w:pPr>
              <w:pStyle w:val="ListParagraph"/>
              <w:numPr>
                <w:ilvl w:val="0"/>
                <w:numId w:val="35"/>
              </w:numPr>
              <w:rPr>
                <w:rFonts w:ascii="Arial" w:hAnsi="Arial" w:cs="Arial"/>
              </w:rPr>
            </w:pPr>
            <w:r w:rsidRPr="00E27B01">
              <w:rPr>
                <w:rFonts w:ascii="Arial" w:hAnsi="Arial" w:cs="Arial"/>
              </w:rPr>
              <w:t xml:space="preserve">However, most affected infants are now identified at birth through </w:t>
            </w:r>
            <w:proofErr w:type="spellStart"/>
            <w:r w:rsidRPr="00E27B01">
              <w:rPr>
                <w:rFonts w:ascii="Arial" w:hAnsi="Arial" w:cs="Arial"/>
              </w:rPr>
              <w:t>newborn</w:t>
            </w:r>
            <w:proofErr w:type="spellEnd"/>
            <w:r w:rsidRPr="00E27B01">
              <w:rPr>
                <w:rFonts w:ascii="Arial" w:hAnsi="Arial" w:cs="Arial"/>
              </w:rPr>
              <w:t xml:space="preserve"> screening. Most infants with arginase-1 deficiency do not exhibit any symptoms during the first few months to 1 year of life. Infants with arginase-1 deficiency infrequently experience severe </w:t>
            </w:r>
            <w:proofErr w:type="spellStart"/>
            <w:r w:rsidRPr="00E27B01">
              <w:rPr>
                <w:rFonts w:ascii="Arial" w:hAnsi="Arial" w:cs="Arial"/>
              </w:rPr>
              <w:t>hyperammonemia</w:t>
            </w:r>
            <w:proofErr w:type="spellEnd"/>
            <w:r w:rsidRPr="00E27B01">
              <w:rPr>
                <w:rFonts w:ascii="Arial" w:hAnsi="Arial" w:cs="Arial"/>
              </w:rPr>
              <w:t xml:space="preserve"> or </w:t>
            </w:r>
            <w:proofErr w:type="spellStart"/>
            <w:r w:rsidRPr="00E27B01">
              <w:rPr>
                <w:rFonts w:ascii="Arial" w:hAnsi="Arial" w:cs="Arial"/>
              </w:rPr>
              <w:t>hyperammonemic</w:t>
            </w:r>
            <w:proofErr w:type="spellEnd"/>
            <w:r w:rsidRPr="00E27B01">
              <w:rPr>
                <w:rFonts w:ascii="Arial" w:hAnsi="Arial" w:cs="Arial"/>
              </w:rPr>
              <w:t xml:space="preserve"> coma (characteristic of other urea cycle disorders).</w:t>
            </w:r>
          </w:p>
          <w:p w14:paraId="2EE6F543" w14:textId="14628259" w:rsidR="00EB4521" w:rsidRDefault="00EB4521" w:rsidP="00EB4521">
            <w:pPr>
              <w:pStyle w:val="ListParagraph"/>
              <w:numPr>
                <w:ilvl w:val="0"/>
                <w:numId w:val="35"/>
              </w:numPr>
              <w:rPr>
                <w:rFonts w:ascii="Arial" w:hAnsi="Arial" w:cs="Arial"/>
              </w:rPr>
            </w:pPr>
            <w:r w:rsidRPr="00E27B01">
              <w:rPr>
                <w:rFonts w:ascii="Arial" w:hAnsi="Arial" w:cs="Arial"/>
              </w:rPr>
              <w:t xml:space="preserve">Management includes restricted intake of dietary protein and frequent blood tests to monitor arginine levels. </w:t>
            </w:r>
            <w:proofErr w:type="spellStart"/>
            <w:r w:rsidRPr="00E27B01">
              <w:rPr>
                <w:rFonts w:ascii="Arial" w:hAnsi="Arial" w:cs="Arial"/>
              </w:rPr>
              <w:t>Hyperammonemia</w:t>
            </w:r>
            <w:proofErr w:type="spellEnd"/>
            <w:r w:rsidRPr="00E27B01">
              <w:rPr>
                <w:rFonts w:ascii="Arial" w:hAnsi="Arial" w:cs="Arial"/>
              </w:rPr>
              <w:t xml:space="preserve"> may need dialysis to remove excess ammonia.</w:t>
            </w:r>
          </w:p>
          <w:p w14:paraId="222F4190" w14:textId="77777777" w:rsidR="002F57C3" w:rsidRPr="00E27B01" w:rsidRDefault="002F57C3" w:rsidP="002F57C3">
            <w:pPr>
              <w:pStyle w:val="ListParagraph"/>
              <w:rPr>
                <w:rFonts w:ascii="Arial" w:hAnsi="Arial" w:cs="Arial"/>
              </w:rPr>
            </w:pPr>
          </w:p>
          <w:p w14:paraId="3A27D613" w14:textId="77777777" w:rsidR="00EB4521" w:rsidRPr="00E27B01" w:rsidRDefault="00EB4521" w:rsidP="00EB4521">
            <w:pPr>
              <w:pStyle w:val="BodyText"/>
              <w:rPr>
                <w:rFonts w:cs="Arial"/>
                <w:b/>
                <w:bCs/>
                <w:sz w:val="22"/>
                <w:szCs w:val="22"/>
                <w:u w:val="single"/>
                <w:lang w:val="en-GB"/>
              </w:rPr>
            </w:pPr>
            <w:r w:rsidRPr="00E27B01">
              <w:rPr>
                <w:rFonts w:cs="Arial"/>
                <w:b/>
                <w:bCs/>
                <w:sz w:val="22"/>
                <w:szCs w:val="22"/>
                <w:u w:val="single"/>
              </w:rPr>
              <w:t xml:space="preserve">Post </w:t>
            </w:r>
            <w:r w:rsidRPr="00E27B01">
              <w:rPr>
                <w:rFonts w:cs="Arial"/>
                <w:b/>
                <w:bCs/>
                <w:sz w:val="22"/>
                <w:szCs w:val="22"/>
                <w:u w:val="single"/>
                <w:lang w:val="en-GB"/>
              </w:rPr>
              <w:t>consultation and Scoping workshop:</w:t>
            </w:r>
          </w:p>
          <w:p w14:paraId="62F7D893" w14:textId="0538E6A2" w:rsidR="00135200" w:rsidRPr="00FA12AB" w:rsidRDefault="00EB4521" w:rsidP="00FA12AB">
            <w:pPr>
              <w:pStyle w:val="BodyText"/>
              <w:numPr>
                <w:ilvl w:val="0"/>
                <w:numId w:val="35"/>
              </w:numPr>
              <w:rPr>
                <w:rFonts w:cs="Arial"/>
                <w:sz w:val="22"/>
                <w:szCs w:val="22"/>
                <w:lang w:val="en-GB"/>
              </w:rPr>
            </w:pPr>
            <w:r>
              <w:rPr>
                <w:rFonts w:cs="Arial"/>
                <w:sz w:val="22"/>
                <w:szCs w:val="22"/>
                <w:lang w:val="en-GB"/>
              </w:rPr>
              <w:lastRenderedPageBreak/>
              <w:t>NICE found a source that</w:t>
            </w:r>
            <w:r w:rsidR="002A0DDE">
              <w:rPr>
                <w:rFonts w:cs="Arial"/>
                <w:sz w:val="22"/>
                <w:szCs w:val="22"/>
                <w:lang w:val="en-GB"/>
              </w:rPr>
              <w:t xml:space="preserve"> estimates that </w:t>
            </w:r>
            <w:r>
              <w:rPr>
                <w:rFonts w:cs="Arial"/>
                <w:sz w:val="22"/>
                <w:szCs w:val="22"/>
                <w:lang w:val="en-GB"/>
              </w:rPr>
              <w:t>average life expectancy is 40 years</w:t>
            </w:r>
            <w:r w:rsidR="00ED6A02">
              <w:rPr>
                <w:rStyle w:val="FootnoteReference"/>
                <w:rFonts w:cs="Arial"/>
                <w:sz w:val="22"/>
                <w:szCs w:val="22"/>
                <w:lang w:val="en-GB"/>
              </w:rPr>
              <w:footnoteReference w:id="1"/>
            </w:r>
            <w:r>
              <w:rPr>
                <w:rFonts w:cs="Arial"/>
                <w:sz w:val="22"/>
                <w:szCs w:val="22"/>
                <w:lang w:val="en-GB"/>
              </w:rPr>
              <w:t xml:space="preserve"> and clinical experts confirmed that the </w:t>
            </w:r>
            <w:r w:rsidR="002A0DDE">
              <w:rPr>
                <w:rFonts w:cs="Arial"/>
                <w:sz w:val="22"/>
                <w:szCs w:val="22"/>
                <w:lang w:val="en-GB"/>
              </w:rPr>
              <w:t xml:space="preserve">condition is </w:t>
            </w:r>
            <w:r w:rsidR="002A0DDE" w:rsidRPr="00F532F5">
              <w:rPr>
                <w:rFonts w:cs="Arial"/>
                <w:sz w:val="22"/>
                <w:szCs w:val="22"/>
              </w:rPr>
              <w:t xml:space="preserve">acutely unpredictable and enduring, significantly shortens length of life, is characterised by early </w:t>
            </w:r>
            <w:r w:rsidR="00BC3822" w:rsidRPr="00F532F5">
              <w:rPr>
                <w:rFonts w:cs="Arial"/>
                <w:sz w:val="22"/>
                <w:szCs w:val="22"/>
              </w:rPr>
              <w:t>mortality,</w:t>
            </w:r>
            <w:r w:rsidR="002A0DDE" w:rsidRPr="00F532F5">
              <w:rPr>
                <w:rFonts w:cs="Arial"/>
                <w:sz w:val="22"/>
                <w:szCs w:val="22"/>
              </w:rPr>
              <w:t xml:space="preserve"> and is associated with a substantial reduction to quality of life.</w:t>
            </w:r>
          </w:p>
        </w:tc>
        <w:tc>
          <w:tcPr>
            <w:tcW w:w="630" w:type="pct"/>
            <w:tcBorders>
              <w:top w:val="nil"/>
              <w:left w:val="single" w:sz="8" w:space="0" w:color="auto"/>
              <w:bottom w:val="single" w:sz="8" w:space="0" w:color="auto"/>
              <w:right w:val="single" w:sz="8" w:space="0" w:color="auto"/>
            </w:tcBorders>
            <w:shd w:val="clear" w:color="auto" w:fill="92D050"/>
          </w:tcPr>
          <w:p w14:paraId="593C59D7" w14:textId="1DC08379" w:rsidR="00C770A5" w:rsidRPr="00E27B01" w:rsidRDefault="00EB4521" w:rsidP="00D71447">
            <w:pPr>
              <w:ind w:left="288" w:right="188"/>
              <w:rPr>
                <w:rFonts w:ascii="Arial" w:hAnsi="Arial" w:cs="Arial"/>
              </w:rPr>
            </w:pPr>
            <w:r>
              <w:rPr>
                <w:rFonts w:ascii="Arial" w:hAnsi="Arial" w:cs="Arial"/>
              </w:rPr>
              <w:lastRenderedPageBreak/>
              <w:t xml:space="preserve">Met </w:t>
            </w:r>
          </w:p>
        </w:tc>
      </w:tr>
      <w:tr w:rsidR="00C770A5" w:rsidRPr="00E27B01" w14:paraId="1294343E" w14:textId="77777777" w:rsidTr="00300B31">
        <w:trPr>
          <w:trHeight w:val="821"/>
        </w:trPr>
        <w:tc>
          <w:tcPr>
            <w:tcW w:w="403" w:type="pct"/>
            <w:tcBorders>
              <w:top w:val="nil"/>
              <w:left w:val="single" w:sz="8" w:space="0" w:color="auto"/>
              <w:bottom w:val="single" w:sz="8" w:space="0" w:color="auto"/>
              <w:right w:val="single" w:sz="8" w:space="0" w:color="auto"/>
            </w:tcBorders>
          </w:tcPr>
          <w:p w14:paraId="0C6270BE" w14:textId="77777777" w:rsidR="00C770A5" w:rsidRPr="00E27B01" w:rsidRDefault="00C770A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545B17" w14:textId="77777777" w:rsidR="00A1700D" w:rsidRPr="00E27B01" w:rsidRDefault="00A1700D" w:rsidP="00A1700D">
            <w:pPr>
              <w:rPr>
                <w:rFonts w:ascii="Arial" w:hAnsi="Arial" w:cs="Arial"/>
              </w:rPr>
            </w:pPr>
            <w:r w:rsidRPr="00E27B01">
              <w:rPr>
                <w:rFonts w:ascii="Arial" w:hAnsi="Arial" w:cs="Arial"/>
              </w:rPr>
              <w:t>There are no other satisfactory treatment options, or the technology is likely to offer significant additional benefit over existing treatment options.</w:t>
            </w:r>
          </w:p>
          <w:p w14:paraId="378BE03F" w14:textId="77777777" w:rsidR="00C770A5" w:rsidRPr="00E27B01" w:rsidRDefault="00C770A5" w:rsidP="00FD35B4">
            <w:pPr>
              <w:rPr>
                <w:rFonts w:ascii="Arial" w:hAnsi="Arial" w:cs="Arial"/>
              </w:rPr>
            </w:pPr>
          </w:p>
        </w:tc>
        <w:tc>
          <w:tcPr>
            <w:tcW w:w="2689" w:type="pct"/>
            <w:tcBorders>
              <w:top w:val="nil"/>
              <w:left w:val="single" w:sz="8" w:space="0" w:color="auto"/>
              <w:bottom w:val="single" w:sz="8" w:space="0" w:color="auto"/>
              <w:right w:val="single" w:sz="8" w:space="0" w:color="auto"/>
            </w:tcBorders>
          </w:tcPr>
          <w:p w14:paraId="5E38808D" w14:textId="77777777" w:rsidR="00135200" w:rsidRPr="00E27B01" w:rsidRDefault="00135200" w:rsidP="00135200">
            <w:pPr>
              <w:pStyle w:val="BodyText"/>
              <w:rPr>
                <w:rFonts w:cs="Arial"/>
                <w:b/>
                <w:bCs/>
                <w:sz w:val="22"/>
                <w:szCs w:val="22"/>
                <w:u w:val="single"/>
                <w:lang w:val="en-GB"/>
              </w:rPr>
            </w:pPr>
            <w:r w:rsidRPr="00E27B01">
              <w:rPr>
                <w:rFonts w:cs="Arial"/>
                <w:b/>
                <w:bCs/>
                <w:sz w:val="22"/>
                <w:szCs w:val="22"/>
                <w:u w:val="single"/>
              </w:rPr>
              <w:t xml:space="preserve">Post </w:t>
            </w:r>
            <w:r w:rsidRPr="00E27B01">
              <w:rPr>
                <w:rFonts w:cs="Arial"/>
                <w:b/>
                <w:bCs/>
                <w:sz w:val="22"/>
                <w:szCs w:val="22"/>
                <w:u w:val="single"/>
                <w:lang w:val="en-GB"/>
              </w:rPr>
              <w:t>consultation and Scoping workshop:</w:t>
            </w:r>
          </w:p>
          <w:p w14:paraId="1BA8125C" w14:textId="30F09DDF" w:rsidR="00135200" w:rsidRPr="00135200" w:rsidRDefault="00135200" w:rsidP="00A1700D">
            <w:pPr>
              <w:pStyle w:val="BodyText"/>
              <w:numPr>
                <w:ilvl w:val="0"/>
                <w:numId w:val="35"/>
              </w:numPr>
              <w:rPr>
                <w:rFonts w:cs="Arial"/>
                <w:sz w:val="22"/>
                <w:szCs w:val="22"/>
                <w:lang w:val="en-GB"/>
              </w:rPr>
            </w:pPr>
            <w:r>
              <w:rPr>
                <w:rFonts w:cs="Arial"/>
                <w:sz w:val="22"/>
                <w:szCs w:val="22"/>
                <w:lang w:val="en-GB"/>
              </w:rPr>
              <w:t xml:space="preserve">There are no </w:t>
            </w:r>
            <w:r w:rsidRPr="00E27B01">
              <w:rPr>
                <w:rFonts w:cs="Arial"/>
                <w:sz w:val="22"/>
                <w:szCs w:val="22"/>
              </w:rPr>
              <w:t>licensed treatment option</w:t>
            </w:r>
            <w:r>
              <w:rPr>
                <w:rFonts w:cs="Arial"/>
                <w:sz w:val="22"/>
                <w:szCs w:val="22"/>
                <w:lang w:val="en-GB"/>
              </w:rPr>
              <w:t>s</w:t>
            </w:r>
            <w:r w:rsidRPr="00E27B01">
              <w:rPr>
                <w:rFonts w:cs="Arial"/>
                <w:sz w:val="22"/>
                <w:szCs w:val="22"/>
              </w:rPr>
              <w:t xml:space="preserve"> available for arginase-1 deficiency.</w:t>
            </w:r>
          </w:p>
          <w:p w14:paraId="686CE4A3" w14:textId="77777777" w:rsidR="002B494B" w:rsidRDefault="00135200" w:rsidP="00A1700D">
            <w:pPr>
              <w:pStyle w:val="BodyText"/>
              <w:numPr>
                <w:ilvl w:val="0"/>
                <w:numId w:val="35"/>
              </w:numPr>
              <w:rPr>
                <w:rFonts w:cs="Arial"/>
                <w:sz w:val="22"/>
                <w:szCs w:val="22"/>
                <w:lang w:val="en-GB"/>
              </w:rPr>
            </w:pPr>
            <w:r>
              <w:rPr>
                <w:rFonts w:cs="Arial"/>
                <w:sz w:val="22"/>
                <w:szCs w:val="22"/>
                <w:lang w:val="en-GB"/>
              </w:rPr>
              <w:t xml:space="preserve">The treatment is used in conjunction </w:t>
            </w:r>
            <w:r w:rsidR="00FA12AB">
              <w:rPr>
                <w:rFonts w:cs="Arial"/>
                <w:sz w:val="22"/>
                <w:szCs w:val="22"/>
                <w:lang w:val="en-GB"/>
              </w:rPr>
              <w:t xml:space="preserve">with </w:t>
            </w:r>
            <w:r>
              <w:rPr>
                <w:rFonts w:cs="Arial"/>
                <w:sz w:val="22"/>
                <w:szCs w:val="22"/>
                <w:lang w:val="en-GB"/>
              </w:rPr>
              <w:t>standard care which i</w:t>
            </w:r>
            <w:r w:rsidR="002F57C3">
              <w:rPr>
                <w:rFonts w:cs="Arial"/>
                <w:sz w:val="22"/>
                <w:szCs w:val="22"/>
                <w:lang w:val="en-GB"/>
              </w:rPr>
              <w:t xml:space="preserve">ncludes </w:t>
            </w:r>
            <w:r w:rsidR="002F57C3" w:rsidRPr="00F532F5">
              <w:rPr>
                <w:rFonts w:cs="Arial"/>
                <w:sz w:val="22"/>
                <w:szCs w:val="22"/>
              </w:rPr>
              <w:t>a severe protein restrictive diet and the use of ammonia scavengers to control ammonia in the blood and symptomatic management.</w:t>
            </w:r>
            <w:r w:rsidR="002F57C3">
              <w:rPr>
                <w:rFonts w:cs="Arial"/>
                <w:sz w:val="22"/>
                <w:szCs w:val="22"/>
                <w:lang w:val="en-GB"/>
              </w:rPr>
              <w:t xml:space="preserve"> Taking the treatment will assist in alleviating the consequences of a severe protein restrictive diet particularly for developing children. </w:t>
            </w:r>
          </w:p>
          <w:p w14:paraId="0C26A5B6" w14:textId="348C2518" w:rsidR="00135200" w:rsidRPr="00E27B01" w:rsidRDefault="002B494B" w:rsidP="00A1700D">
            <w:pPr>
              <w:pStyle w:val="BodyText"/>
              <w:numPr>
                <w:ilvl w:val="0"/>
                <w:numId w:val="35"/>
              </w:numPr>
              <w:rPr>
                <w:rFonts w:cs="Arial"/>
                <w:sz w:val="22"/>
                <w:szCs w:val="22"/>
                <w:lang w:val="en-GB"/>
              </w:rPr>
            </w:pPr>
            <w:proofErr w:type="spellStart"/>
            <w:r w:rsidRPr="00A02D57">
              <w:rPr>
                <w:rFonts w:cs="Arial"/>
                <w:sz w:val="22"/>
                <w:szCs w:val="22"/>
              </w:rPr>
              <w:t>Pegzilarginase</w:t>
            </w:r>
            <w:proofErr w:type="spellEnd"/>
            <w:r>
              <w:rPr>
                <w:rFonts w:cs="Arial"/>
                <w:sz w:val="22"/>
                <w:szCs w:val="22"/>
                <w:lang w:val="en-GB"/>
              </w:rPr>
              <w:t xml:space="preserve"> (</w:t>
            </w:r>
            <w:proofErr w:type="spellStart"/>
            <w:r w:rsidRPr="00A02D57">
              <w:rPr>
                <w:rFonts w:cs="Arial"/>
                <w:sz w:val="22"/>
                <w:szCs w:val="22"/>
                <w:lang w:val="en-GB"/>
              </w:rPr>
              <w:t>Loargys</w:t>
            </w:r>
            <w:proofErr w:type="spellEnd"/>
            <w:r>
              <w:rPr>
                <w:rFonts w:cs="Arial"/>
                <w:sz w:val="22"/>
                <w:szCs w:val="22"/>
                <w:lang w:val="en-GB"/>
              </w:rPr>
              <w:t xml:space="preserve">, </w:t>
            </w:r>
            <w:proofErr w:type="spellStart"/>
            <w:r>
              <w:rPr>
                <w:rFonts w:cs="Arial"/>
                <w:sz w:val="22"/>
                <w:szCs w:val="22"/>
                <w:lang w:val="en-GB"/>
              </w:rPr>
              <w:t>Im</w:t>
            </w:r>
            <w:r w:rsidRPr="00A02D57">
              <w:rPr>
                <w:rFonts w:cs="Arial"/>
                <w:sz w:val="22"/>
                <w:szCs w:val="22"/>
                <w:lang w:val="en-GB"/>
              </w:rPr>
              <w:t>medica</w:t>
            </w:r>
            <w:proofErr w:type="spellEnd"/>
            <w:r w:rsidRPr="00A02D57">
              <w:rPr>
                <w:rFonts w:cs="Arial"/>
                <w:sz w:val="22"/>
                <w:szCs w:val="22"/>
                <w:lang w:val="en-GB"/>
              </w:rPr>
              <w:t xml:space="preserve"> Pharma</w:t>
            </w:r>
            <w:r>
              <w:rPr>
                <w:rFonts w:cs="Arial"/>
                <w:sz w:val="22"/>
                <w:szCs w:val="22"/>
                <w:lang w:val="en-GB"/>
              </w:rPr>
              <w:t xml:space="preserve">) is </w:t>
            </w:r>
            <w:r w:rsidRPr="005126D9">
              <w:rPr>
                <w:rFonts w:cs="Arial"/>
                <w:sz w:val="22"/>
                <w:szCs w:val="22"/>
                <w:lang w:val="en-GB"/>
              </w:rPr>
              <w:t>a novel</w:t>
            </w:r>
            <w:r>
              <w:rPr>
                <w:rFonts w:cs="Arial"/>
                <w:sz w:val="22"/>
                <w:szCs w:val="22"/>
                <w:lang w:val="en-GB"/>
              </w:rPr>
              <w:t>,</w:t>
            </w:r>
            <w:r w:rsidRPr="005126D9">
              <w:rPr>
                <w:rFonts w:cs="Arial"/>
                <w:sz w:val="22"/>
                <w:szCs w:val="22"/>
                <w:lang w:val="en-GB"/>
              </w:rPr>
              <w:t xml:space="preserve"> </w:t>
            </w:r>
            <w:r>
              <w:rPr>
                <w:rFonts w:cs="Arial"/>
                <w:sz w:val="22"/>
                <w:szCs w:val="22"/>
                <w:lang w:val="en-GB"/>
              </w:rPr>
              <w:t xml:space="preserve">recombinant </w:t>
            </w:r>
            <w:r w:rsidRPr="005126D9">
              <w:rPr>
                <w:rFonts w:cs="Arial"/>
                <w:sz w:val="22"/>
                <w:szCs w:val="22"/>
                <w:lang w:val="en-GB"/>
              </w:rPr>
              <w:t xml:space="preserve">modified form of the human enzyme </w:t>
            </w:r>
            <w:r>
              <w:rPr>
                <w:rFonts w:cs="Arial"/>
                <w:sz w:val="22"/>
                <w:szCs w:val="22"/>
                <w:lang w:val="en-GB"/>
              </w:rPr>
              <w:t>arginase 1</w:t>
            </w:r>
            <w:r w:rsidRPr="005126D9">
              <w:rPr>
                <w:rFonts w:cs="Arial"/>
                <w:sz w:val="22"/>
                <w:szCs w:val="22"/>
                <w:lang w:val="en-GB"/>
              </w:rPr>
              <w:t xml:space="preserve"> </w:t>
            </w:r>
            <w:r>
              <w:rPr>
                <w:rFonts w:cs="Arial"/>
                <w:sz w:val="22"/>
                <w:szCs w:val="22"/>
                <w:lang w:val="en-GB"/>
              </w:rPr>
              <w:t xml:space="preserve">that </w:t>
            </w:r>
            <w:r w:rsidRPr="0014525F">
              <w:rPr>
                <w:rFonts w:cs="Arial"/>
                <w:sz w:val="22"/>
                <w:szCs w:val="22"/>
                <w:lang w:val="en-GB"/>
              </w:rPr>
              <w:t>metaboli</w:t>
            </w:r>
            <w:r>
              <w:rPr>
                <w:rFonts w:cs="Arial"/>
                <w:sz w:val="22"/>
                <w:szCs w:val="22"/>
                <w:lang w:val="en-GB"/>
              </w:rPr>
              <w:t>s</w:t>
            </w:r>
            <w:r w:rsidRPr="0014525F">
              <w:rPr>
                <w:rFonts w:cs="Arial"/>
                <w:sz w:val="22"/>
                <w:szCs w:val="22"/>
                <w:lang w:val="en-GB"/>
              </w:rPr>
              <w:t xml:space="preserve">es arginine to ornithine and urea, thereby lowering blood arginine levels. </w:t>
            </w:r>
            <w:proofErr w:type="spellStart"/>
            <w:r w:rsidRPr="0014525F">
              <w:rPr>
                <w:rFonts w:cs="Arial"/>
                <w:sz w:val="22"/>
                <w:szCs w:val="22"/>
                <w:lang w:val="en-GB"/>
              </w:rPr>
              <w:t>Pegylation</w:t>
            </w:r>
            <w:proofErr w:type="spellEnd"/>
            <w:r w:rsidRPr="0014525F">
              <w:rPr>
                <w:rFonts w:cs="Arial"/>
                <w:sz w:val="22"/>
                <w:szCs w:val="22"/>
                <w:lang w:val="en-GB"/>
              </w:rPr>
              <w:t xml:space="preserve"> improves blood circulation times and cobalt substitution increases the catalytic activity of </w:t>
            </w:r>
            <w:r>
              <w:rPr>
                <w:rFonts w:cs="Arial"/>
                <w:sz w:val="22"/>
                <w:szCs w:val="22"/>
                <w:lang w:val="en-GB"/>
              </w:rPr>
              <w:t>arginase 1</w:t>
            </w:r>
            <w:r w:rsidR="002F57C3">
              <w:rPr>
                <w:rFonts w:cs="Arial"/>
                <w:sz w:val="22"/>
                <w:szCs w:val="22"/>
                <w:lang w:val="en-GB"/>
              </w:rPr>
              <w:t xml:space="preserve">  </w:t>
            </w:r>
            <w:r w:rsidR="00135200">
              <w:rPr>
                <w:rFonts w:cs="Arial"/>
                <w:sz w:val="22"/>
                <w:szCs w:val="22"/>
                <w:lang w:val="en-GB"/>
              </w:rPr>
              <w:t xml:space="preserve"> </w:t>
            </w:r>
          </w:p>
        </w:tc>
        <w:tc>
          <w:tcPr>
            <w:tcW w:w="630" w:type="pct"/>
            <w:tcBorders>
              <w:top w:val="nil"/>
              <w:left w:val="single" w:sz="8" w:space="0" w:color="auto"/>
              <w:bottom w:val="single" w:sz="8" w:space="0" w:color="auto"/>
              <w:right w:val="single" w:sz="8" w:space="0" w:color="auto"/>
            </w:tcBorders>
            <w:shd w:val="clear" w:color="auto" w:fill="92D050"/>
          </w:tcPr>
          <w:p w14:paraId="41AFDBE8" w14:textId="06118A1E" w:rsidR="00C770A5" w:rsidRPr="00E27B01" w:rsidRDefault="00135200" w:rsidP="00D71447">
            <w:pPr>
              <w:ind w:left="288" w:right="188"/>
              <w:rPr>
                <w:rFonts w:ascii="Arial" w:hAnsi="Arial" w:cs="Arial"/>
              </w:rPr>
            </w:pPr>
            <w:r>
              <w:rPr>
                <w:rFonts w:ascii="Arial" w:hAnsi="Arial" w:cs="Arial"/>
              </w:rPr>
              <w:t xml:space="preserve">Met </w:t>
            </w:r>
          </w:p>
        </w:tc>
      </w:tr>
    </w:tbl>
    <w:p w14:paraId="21EEFD25" w14:textId="77777777" w:rsidR="000D3405" w:rsidRPr="00E27B01" w:rsidRDefault="000D3405" w:rsidP="00F90BB8">
      <w:pPr>
        <w:rPr>
          <w:rFonts w:ascii="Arial" w:hAnsi="Arial" w:cs="Arial"/>
          <w:b/>
          <w:bCs/>
        </w:rPr>
      </w:pPr>
    </w:p>
    <w:p w14:paraId="6E85ED64" w14:textId="77777777" w:rsidR="00715265" w:rsidRPr="00E27B01" w:rsidRDefault="00715265" w:rsidP="00F90BB8">
      <w:pPr>
        <w:rPr>
          <w:rFonts w:ascii="Arial" w:hAnsi="Arial" w:cs="Arial"/>
          <w:b/>
          <w:bCs/>
        </w:rPr>
      </w:pPr>
    </w:p>
    <w:sectPr w:rsidR="00715265" w:rsidRPr="00E27B01" w:rsidSect="000D3405">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0B57" w14:textId="77777777" w:rsidR="004A35F1" w:rsidRDefault="004A35F1" w:rsidP="00446BEE">
      <w:r>
        <w:separator/>
      </w:r>
    </w:p>
  </w:endnote>
  <w:endnote w:type="continuationSeparator" w:id="0">
    <w:p w14:paraId="4ECF616B" w14:textId="77777777" w:rsidR="004A35F1" w:rsidRDefault="004A35F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259F9EF"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61EC4" w14:textId="387AFF91" w:rsidR="00696A5C" w:rsidRDefault="00161016">
    <w:pPr>
      <w:pStyle w:val="Footer"/>
    </w:pPr>
    <w:r>
      <w:t>April</w:t>
    </w:r>
    <w:r w:rsidR="00382666">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1396" w14:textId="77777777" w:rsidR="004A35F1" w:rsidRDefault="004A35F1" w:rsidP="00446BEE">
      <w:r>
        <w:separator/>
      </w:r>
    </w:p>
  </w:footnote>
  <w:footnote w:type="continuationSeparator" w:id="0">
    <w:p w14:paraId="4757FB5E" w14:textId="77777777" w:rsidR="004A35F1" w:rsidRDefault="004A35F1" w:rsidP="00446BEE">
      <w:r>
        <w:continuationSeparator/>
      </w:r>
    </w:p>
  </w:footnote>
  <w:footnote w:id="1">
    <w:p w14:paraId="72F4804F" w14:textId="0BCEDF6B" w:rsidR="00ED6A02" w:rsidRDefault="00ED6A02">
      <w:pPr>
        <w:pStyle w:val="FootnoteText"/>
      </w:pPr>
      <w:r>
        <w:rPr>
          <w:rStyle w:val="FootnoteReference"/>
        </w:rPr>
        <w:footnoteRef/>
      </w:r>
      <w:r>
        <w:t xml:space="preserve"> </w:t>
      </w:r>
      <w:hyperlink r:id="rId1" w:history="1">
        <w:r>
          <w:rPr>
            <w:rStyle w:val="Hyperlink"/>
          </w:rPr>
          <w:t>Arginase 1 Deficiency: using genetic databases as a tool to establish global prevalence - PMC (nih.gov)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6523" w14:textId="77777777" w:rsidR="002C5E6A" w:rsidRDefault="00696A5C" w:rsidP="00200E38">
    <w:pPr>
      <w:pStyle w:val="Header"/>
      <w:ind w:left="-567"/>
      <w:rPr>
        <w:noProof/>
      </w:rPr>
    </w:pPr>
    <w:r>
      <w:rPr>
        <w:noProof/>
        <w:lang w:eastAsia="en-GB"/>
      </w:rPr>
      <w:drawing>
        <wp:inline distT="0" distB="0" distL="0" distR="0" wp14:anchorId="4CA2E790" wp14:editId="209A55EF">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52E35"/>
    <w:multiLevelType w:val="hybridMultilevel"/>
    <w:tmpl w:val="8736C6C8"/>
    <w:lvl w:ilvl="0" w:tplc="09AC8BD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F7F5ABF"/>
    <w:multiLevelType w:val="hybridMultilevel"/>
    <w:tmpl w:val="48B4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351DAC"/>
    <w:multiLevelType w:val="hybridMultilevel"/>
    <w:tmpl w:val="B1B8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63499">
    <w:abstractNumId w:val="25"/>
  </w:num>
  <w:num w:numId="2" w16cid:durableId="340862660">
    <w:abstractNumId w:val="27"/>
  </w:num>
  <w:num w:numId="3" w16cid:durableId="1794791429">
    <w:abstractNumId w:val="27"/>
    <w:lvlOverride w:ilvl="0">
      <w:startOverride w:val="1"/>
    </w:lvlOverride>
  </w:num>
  <w:num w:numId="4" w16cid:durableId="742028493">
    <w:abstractNumId w:val="27"/>
    <w:lvlOverride w:ilvl="0">
      <w:startOverride w:val="1"/>
    </w:lvlOverride>
  </w:num>
  <w:num w:numId="5" w16cid:durableId="1025324375">
    <w:abstractNumId w:val="27"/>
    <w:lvlOverride w:ilvl="0">
      <w:startOverride w:val="1"/>
    </w:lvlOverride>
  </w:num>
  <w:num w:numId="6" w16cid:durableId="784274516">
    <w:abstractNumId w:val="27"/>
    <w:lvlOverride w:ilvl="0">
      <w:startOverride w:val="1"/>
    </w:lvlOverride>
  </w:num>
  <w:num w:numId="7" w16cid:durableId="236281771">
    <w:abstractNumId w:val="27"/>
    <w:lvlOverride w:ilvl="0">
      <w:startOverride w:val="1"/>
    </w:lvlOverride>
  </w:num>
  <w:num w:numId="8" w16cid:durableId="1731421013">
    <w:abstractNumId w:val="9"/>
  </w:num>
  <w:num w:numId="9" w16cid:durableId="246310682">
    <w:abstractNumId w:val="7"/>
  </w:num>
  <w:num w:numId="10" w16cid:durableId="610474333">
    <w:abstractNumId w:val="6"/>
  </w:num>
  <w:num w:numId="11" w16cid:durableId="255528679">
    <w:abstractNumId w:val="5"/>
  </w:num>
  <w:num w:numId="12" w16cid:durableId="205262442">
    <w:abstractNumId w:val="4"/>
  </w:num>
  <w:num w:numId="13" w16cid:durableId="546332093">
    <w:abstractNumId w:val="8"/>
  </w:num>
  <w:num w:numId="14" w16cid:durableId="394354836">
    <w:abstractNumId w:val="3"/>
  </w:num>
  <w:num w:numId="15" w16cid:durableId="148134223">
    <w:abstractNumId w:val="2"/>
  </w:num>
  <w:num w:numId="16" w16cid:durableId="1407876204">
    <w:abstractNumId w:val="1"/>
  </w:num>
  <w:num w:numId="17" w16cid:durableId="679166394">
    <w:abstractNumId w:val="0"/>
  </w:num>
  <w:num w:numId="18" w16cid:durableId="216087912">
    <w:abstractNumId w:val="15"/>
  </w:num>
  <w:num w:numId="19" w16cid:durableId="1335231001">
    <w:abstractNumId w:val="15"/>
    <w:lvlOverride w:ilvl="0">
      <w:startOverride w:val="1"/>
    </w:lvlOverride>
  </w:num>
  <w:num w:numId="20" w16cid:durableId="517625742">
    <w:abstractNumId w:val="11"/>
  </w:num>
  <w:num w:numId="21" w16cid:durableId="1776712566">
    <w:abstractNumId w:val="29"/>
  </w:num>
  <w:num w:numId="22" w16cid:durableId="878206183">
    <w:abstractNumId w:val="24"/>
  </w:num>
  <w:num w:numId="23" w16cid:durableId="1909994583">
    <w:abstractNumId w:val="28"/>
  </w:num>
  <w:num w:numId="24" w16cid:durableId="1549680434">
    <w:abstractNumId w:val="26"/>
  </w:num>
  <w:num w:numId="25" w16cid:durableId="1531722940">
    <w:abstractNumId w:val="22"/>
  </w:num>
  <w:num w:numId="26" w16cid:durableId="1810170219">
    <w:abstractNumId w:val="19"/>
  </w:num>
  <w:num w:numId="27" w16cid:durableId="1357778068">
    <w:abstractNumId w:val="16"/>
  </w:num>
  <w:num w:numId="28" w16cid:durableId="412973414">
    <w:abstractNumId w:val="12"/>
  </w:num>
  <w:num w:numId="29" w16cid:durableId="653603234">
    <w:abstractNumId w:val="20"/>
  </w:num>
  <w:num w:numId="30" w16cid:durableId="1926643309">
    <w:abstractNumId w:val="30"/>
  </w:num>
  <w:num w:numId="31" w16cid:durableId="1096289752">
    <w:abstractNumId w:val="14"/>
  </w:num>
  <w:num w:numId="32" w16cid:durableId="11825788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0874936">
    <w:abstractNumId w:val="10"/>
  </w:num>
  <w:num w:numId="34" w16cid:durableId="1788085076">
    <w:abstractNumId w:val="17"/>
  </w:num>
  <w:num w:numId="35" w16cid:durableId="287470248">
    <w:abstractNumId w:val="23"/>
  </w:num>
  <w:num w:numId="36" w16cid:durableId="1421024305">
    <w:abstractNumId w:val="21"/>
  </w:num>
  <w:num w:numId="37" w16cid:durableId="833692071">
    <w:abstractNumId w:val="18"/>
  </w:num>
  <w:num w:numId="38" w16cid:durableId="500781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C0MDExsTQ1MbUwNTdR0lEKTi0uzszPAykwNK4FAAHym8ItAAAA"/>
  </w:docVars>
  <w:rsids>
    <w:rsidRoot w:val="004A35F1"/>
    <w:rsid w:val="00001640"/>
    <w:rsid w:val="000053F8"/>
    <w:rsid w:val="00006FAF"/>
    <w:rsid w:val="00024D0A"/>
    <w:rsid w:val="00031AB9"/>
    <w:rsid w:val="00032B27"/>
    <w:rsid w:val="000472DC"/>
    <w:rsid w:val="000537E2"/>
    <w:rsid w:val="000567FF"/>
    <w:rsid w:val="00070065"/>
    <w:rsid w:val="00077688"/>
    <w:rsid w:val="00081DC4"/>
    <w:rsid w:val="0008595E"/>
    <w:rsid w:val="000A3742"/>
    <w:rsid w:val="000A3837"/>
    <w:rsid w:val="000A4FEE"/>
    <w:rsid w:val="000B5939"/>
    <w:rsid w:val="000D3405"/>
    <w:rsid w:val="000E39C5"/>
    <w:rsid w:val="000F06BE"/>
    <w:rsid w:val="00111CCE"/>
    <w:rsid w:val="001134E7"/>
    <w:rsid w:val="00135200"/>
    <w:rsid w:val="00140D24"/>
    <w:rsid w:val="00161016"/>
    <w:rsid w:val="0017149E"/>
    <w:rsid w:val="0017169E"/>
    <w:rsid w:val="0017662B"/>
    <w:rsid w:val="00181A4A"/>
    <w:rsid w:val="001A6961"/>
    <w:rsid w:val="001B0EE9"/>
    <w:rsid w:val="001B5E07"/>
    <w:rsid w:val="001B65B3"/>
    <w:rsid w:val="001C5504"/>
    <w:rsid w:val="001F60C7"/>
    <w:rsid w:val="00200E38"/>
    <w:rsid w:val="002022B1"/>
    <w:rsid w:val="002029A6"/>
    <w:rsid w:val="00222057"/>
    <w:rsid w:val="002408EA"/>
    <w:rsid w:val="00243122"/>
    <w:rsid w:val="002735E9"/>
    <w:rsid w:val="00273A98"/>
    <w:rsid w:val="00277836"/>
    <w:rsid w:val="002819D7"/>
    <w:rsid w:val="00291A17"/>
    <w:rsid w:val="002A0DDE"/>
    <w:rsid w:val="002B494B"/>
    <w:rsid w:val="002C1A7E"/>
    <w:rsid w:val="002C2E89"/>
    <w:rsid w:val="002C5E6A"/>
    <w:rsid w:val="002D3376"/>
    <w:rsid w:val="002E7C53"/>
    <w:rsid w:val="002F57C3"/>
    <w:rsid w:val="00300B31"/>
    <w:rsid w:val="00311ED0"/>
    <w:rsid w:val="0031798B"/>
    <w:rsid w:val="00341A6E"/>
    <w:rsid w:val="00353E72"/>
    <w:rsid w:val="00361CD7"/>
    <w:rsid w:val="003648C5"/>
    <w:rsid w:val="003722FA"/>
    <w:rsid w:val="00382666"/>
    <w:rsid w:val="003A0F66"/>
    <w:rsid w:val="003A79C1"/>
    <w:rsid w:val="003C290A"/>
    <w:rsid w:val="003C7409"/>
    <w:rsid w:val="003C7AAF"/>
    <w:rsid w:val="003D67E0"/>
    <w:rsid w:val="003F41C3"/>
    <w:rsid w:val="004075B6"/>
    <w:rsid w:val="0041504E"/>
    <w:rsid w:val="00420952"/>
    <w:rsid w:val="00433EFF"/>
    <w:rsid w:val="00443081"/>
    <w:rsid w:val="00446BEE"/>
    <w:rsid w:val="00460249"/>
    <w:rsid w:val="00467DF4"/>
    <w:rsid w:val="00474E36"/>
    <w:rsid w:val="0047560C"/>
    <w:rsid w:val="00476D0D"/>
    <w:rsid w:val="00482716"/>
    <w:rsid w:val="004944AD"/>
    <w:rsid w:val="00497518"/>
    <w:rsid w:val="004A35F1"/>
    <w:rsid w:val="004D57F6"/>
    <w:rsid w:val="004E20CB"/>
    <w:rsid w:val="004E7707"/>
    <w:rsid w:val="005025A1"/>
    <w:rsid w:val="00531BE2"/>
    <w:rsid w:val="0053717B"/>
    <w:rsid w:val="005409FD"/>
    <w:rsid w:val="005461CB"/>
    <w:rsid w:val="005659A2"/>
    <w:rsid w:val="00565EC3"/>
    <w:rsid w:val="00566E2A"/>
    <w:rsid w:val="0059299A"/>
    <w:rsid w:val="005B7019"/>
    <w:rsid w:val="005D6240"/>
    <w:rsid w:val="005E164B"/>
    <w:rsid w:val="00605791"/>
    <w:rsid w:val="00614B8B"/>
    <w:rsid w:val="00621330"/>
    <w:rsid w:val="00626159"/>
    <w:rsid w:val="0063362A"/>
    <w:rsid w:val="00646B7B"/>
    <w:rsid w:val="006511C0"/>
    <w:rsid w:val="00682279"/>
    <w:rsid w:val="006921E1"/>
    <w:rsid w:val="00696A5C"/>
    <w:rsid w:val="006A16A0"/>
    <w:rsid w:val="006D1255"/>
    <w:rsid w:val="006D6093"/>
    <w:rsid w:val="006F4B25"/>
    <w:rsid w:val="006F6496"/>
    <w:rsid w:val="00707AFC"/>
    <w:rsid w:val="00715265"/>
    <w:rsid w:val="00734E10"/>
    <w:rsid w:val="00736348"/>
    <w:rsid w:val="007532C4"/>
    <w:rsid w:val="00760908"/>
    <w:rsid w:val="00792594"/>
    <w:rsid w:val="007955CD"/>
    <w:rsid w:val="007C69DB"/>
    <w:rsid w:val="007F09A1"/>
    <w:rsid w:val="007F238D"/>
    <w:rsid w:val="00815E3C"/>
    <w:rsid w:val="00835AD7"/>
    <w:rsid w:val="0085409F"/>
    <w:rsid w:val="0085428B"/>
    <w:rsid w:val="0085725C"/>
    <w:rsid w:val="00857CBD"/>
    <w:rsid w:val="00857D70"/>
    <w:rsid w:val="00860835"/>
    <w:rsid w:val="00861B92"/>
    <w:rsid w:val="00872F5C"/>
    <w:rsid w:val="008814FB"/>
    <w:rsid w:val="00895403"/>
    <w:rsid w:val="008F5E30"/>
    <w:rsid w:val="00901E8E"/>
    <w:rsid w:val="00911646"/>
    <w:rsid w:val="00914D7F"/>
    <w:rsid w:val="009156AA"/>
    <w:rsid w:val="00962555"/>
    <w:rsid w:val="00987DBC"/>
    <w:rsid w:val="009930B5"/>
    <w:rsid w:val="00995EEA"/>
    <w:rsid w:val="009A60B4"/>
    <w:rsid w:val="009C702B"/>
    <w:rsid w:val="009E680B"/>
    <w:rsid w:val="00A100DA"/>
    <w:rsid w:val="00A15A1F"/>
    <w:rsid w:val="00A1700D"/>
    <w:rsid w:val="00A3325A"/>
    <w:rsid w:val="00A3468E"/>
    <w:rsid w:val="00A43013"/>
    <w:rsid w:val="00A64A3A"/>
    <w:rsid w:val="00A84F41"/>
    <w:rsid w:val="00A854A6"/>
    <w:rsid w:val="00A903DB"/>
    <w:rsid w:val="00A95A88"/>
    <w:rsid w:val="00A979FC"/>
    <w:rsid w:val="00AA0377"/>
    <w:rsid w:val="00AA3757"/>
    <w:rsid w:val="00AA43E0"/>
    <w:rsid w:val="00AB02BC"/>
    <w:rsid w:val="00AB34E8"/>
    <w:rsid w:val="00AC1838"/>
    <w:rsid w:val="00AC7E55"/>
    <w:rsid w:val="00AE4406"/>
    <w:rsid w:val="00AF108A"/>
    <w:rsid w:val="00AF78A4"/>
    <w:rsid w:val="00B02E55"/>
    <w:rsid w:val="00B036C1"/>
    <w:rsid w:val="00B03A63"/>
    <w:rsid w:val="00B158F1"/>
    <w:rsid w:val="00B43210"/>
    <w:rsid w:val="00B46ABD"/>
    <w:rsid w:val="00B5431F"/>
    <w:rsid w:val="00B54A87"/>
    <w:rsid w:val="00B5754F"/>
    <w:rsid w:val="00B62007"/>
    <w:rsid w:val="00B76072"/>
    <w:rsid w:val="00B87DA4"/>
    <w:rsid w:val="00B962E6"/>
    <w:rsid w:val="00BA0B1F"/>
    <w:rsid w:val="00BA0BF1"/>
    <w:rsid w:val="00BA15B4"/>
    <w:rsid w:val="00BA6E02"/>
    <w:rsid w:val="00BC01F6"/>
    <w:rsid w:val="00BC3822"/>
    <w:rsid w:val="00BC66C6"/>
    <w:rsid w:val="00BC78CF"/>
    <w:rsid w:val="00BD2A6A"/>
    <w:rsid w:val="00BF01A7"/>
    <w:rsid w:val="00BF1FA0"/>
    <w:rsid w:val="00BF629E"/>
    <w:rsid w:val="00BF7FE0"/>
    <w:rsid w:val="00C01430"/>
    <w:rsid w:val="00C17B06"/>
    <w:rsid w:val="00C209B6"/>
    <w:rsid w:val="00C25128"/>
    <w:rsid w:val="00C64BCB"/>
    <w:rsid w:val="00C670DD"/>
    <w:rsid w:val="00C74048"/>
    <w:rsid w:val="00C74EF2"/>
    <w:rsid w:val="00C770A5"/>
    <w:rsid w:val="00C81104"/>
    <w:rsid w:val="00C9475C"/>
    <w:rsid w:val="00C96411"/>
    <w:rsid w:val="00CA055B"/>
    <w:rsid w:val="00CA78AA"/>
    <w:rsid w:val="00CB5671"/>
    <w:rsid w:val="00CC3802"/>
    <w:rsid w:val="00CD3014"/>
    <w:rsid w:val="00CE471F"/>
    <w:rsid w:val="00CF0F7F"/>
    <w:rsid w:val="00CF58B7"/>
    <w:rsid w:val="00CF5F04"/>
    <w:rsid w:val="00D06A51"/>
    <w:rsid w:val="00D0742C"/>
    <w:rsid w:val="00D14C6C"/>
    <w:rsid w:val="00D22C5F"/>
    <w:rsid w:val="00D351C1"/>
    <w:rsid w:val="00D35EFB"/>
    <w:rsid w:val="00D44C15"/>
    <w:rsid w:val="00D4658D"/>
    <w:rsid w:val="00D504B3"/>
    <w:rsid w:val="00D656E4"/>
    <w:rsid w:val="00D66C51"/>
    <w:rsid w:val="00D71447"/>
    <w:rsid w:val="00D7292B"/>
    <w:rsid w:val="00D86AC1"/>
    <w:rsid w:val="00D86BF0"/>
    <w:rsid w:val="00D93F96"/>
    <w:rsid w:val="00D96736"/>
    <w:rsid w:val="00DA11EF"/>
    <w:rsid w:val="00DA6B76"/>
    <w:rsid w:val="00DC3B22"/>
    <w:rsid w:val="00DE4DE9"/>
    <w:rsid w:val="00DF5DB3"/>
    <w:rsid w:val="00E27888"/>
    <w:rsid w:val="00E27B01"/>
    <w:rsid w:val="00E461BD"/>
    <w:rsid w:val="00E475BE"/>
    <w:rsid w:val="00E51920"/>
    <w:rsid w:val="00E6173A"/>
    <w:rsid w:val="00E64120"/>
    <w:rsid w:val="00E660A1"/>
    <w:rsid w:val="00E7193E"/>
    <w:rsid w:val="00E72062"/>
    <w:rsid w:val="00E74106"/>
    <w:rsid w:val="00E76600"/>
    <w:rsid w:val="00EA3CCF"/>
    <w:rsid w:val="00EB4521"/>
    <w:rsid w:val="00EC4730"/>
    <w:rsid w:val="00EC53AC"/>
    <w:rsid w:val="00EC6EAB"/>
    <w:rsid w:val="00ED6A02"/>
    <w:rsid w:val="00EF3DC0"/>
    <w:rsid w:val="00F00624"/>
    <w:rsid w:val="00F04268"/>
    <w:rsid w:val="00F055F1"/>
    <w:rsid w:val="00F610AF"/>
    <w:rsid w:val="00F752F6"/>
    <w:rsid w:val="00F90486"/>
    <w:rsid w:val="00F90BB8"/>
    <w:rsid w:val="00FA12AB"/>
    <w:rsid w:val="00FA2C5A"/>
    <w:rsid w:val="00FC1BF8"/>
    <w:rsid w:val="00FC2D11"/>
    <w:rsid w:val="00FC6230"/>
    <w:rsid w:val="00FD35B4"/>
    <w:rsid w:val="00FE06CE"/>
    <w:rsid w:val="00FE3B3F"/>
    <w:rsid w:val="00FF5BE2"/>
    <w:rsid w:val="00FF5DB8"/>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8E33"/>
  <w15:docId w15:val="{CF28E44D-C852-49AC-9DE7-F51688A9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081DC4"/>
    <w:rPr>
      <w:color w:val="605E5C"/>
      <w:shd w:val="clear" w:color="auto" w:fill="E1DFDD"/>
    </w:rPr>
  </w:style>
  <w:style w:type="character" w:styleId="FollowedHyperlink">
    <w:name w:val="FollowedHyperlink"/>
    <w:basedOn w:val="DefaultParagraphFont"/>
    <w:semiHidden/>
    <w:unhideWhenUsed/>
    <w:rsid w:val="0008595E"/>
    <w:rPr>
      <w:color w:val="800080" w:themeColor="followedHyperlink"/>
      <w:u w:val="single"/>
    </w:rPr>
  </w:style>
  <w:style w:type="paragraph" w:styleId="Revision">
    <w:name w:val="Revision"/>
    <w:hidden/>
    <w:uiPriority w:val="99"/>
    <w:semiHidden/>
    <w:rsid w:val="00AC1838"/>
    <w:rPr>
      <w:rFonts w:ascii="Calibri" w:eastAsiaTheme="minorHAnsi" w:hAnsi="Calibri"/>
      <w:sz w:val="22"/>
      <w:szCs w:val="22"/>
      <w:lang w:eastAsia="en-US"/>
    </w:rPr>
  </w:style>
  <w:style w:type="paragraph" w:styleId="FootnoteText">
    <w:name w:val="footnote text"/>
    <w:basedOn w:val="Normal"/>
    <w:link w:val="FootnoteTextChar"/>
    <w:semiHidden/>
    <w:unhideWhenUsed/>
    <w:rsid w:val="00D06A51"/>
    <w:rPr>
      <w:sz w:val="20"/>
      <w:szCs w:val="20"/>
    </w:rPr>
  </w:style>
  <w:style w:type="character" w:customStyle="1" w:styleId="FootnoteTextChar">
    <w:name w:val="Footnote Text Char"/>
    <w:basedOn w:val="DefaultParagraphFont"/>
    <w:link w:val="FootnoteText"/>
    <w:semiHidden/>
    <w:rsid w:val="00D06A51"/>
    <w:rPr>
      <w:rFonts w:ascii="Calibri" w:eastAsiaTheme="minorHAnsi" w:hAnsi="Calibri"/>
      <w:lang w:eastAsia="en-US"/>
    </w:rPr>
  </w:style>
  <w:style w:type="character" w:styleId="FootnoteReference">
    <w:name w:val="footnote reference"/>
    <w:basedOn w:val="DefaultParagraphFont"/>
    <w:semiHidden/>
    <w:unhideWhenUsed/>
    <w:rsid w:val="00D06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4521">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748304051">
      <w:bodyDiv w:val="1"/>
      <w:marLeft w:val="0"/>
      <w:marRight w:val="0"/>
      <w:marTop w:val="0"/>
      <w:marBottom w:val="0"/>
      <w:divBdr>
        <w:top w:val="none" w:sz="0" w:space="0" w:color="auto"/>
        <w:left w:val="none" w:sz="0" w:space="0" w:color="auto"/>
        <w:bottom w:val="none" w:sz="0" w:space="0" w:color="auto"/>
        <w:right w:val="none" w:sz="0" w:space="0" w:color="auto"/>
      </w:divBdr>
    </w:div>
    <w:div w:id="2041397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7/chapter/highly-specialised-technolog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tista.com/statistics/281208/population-of-the-england-by-age-grou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ista.com/statistics/281208/population-of-the-england-by-age-gro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mc/articles/PMC8889696/" TargetMode="External"/><Relationship Id="rId4" Type="http://schemas.openxmlformats.org/officeDocument/2006/relationships/settings" Target="settings.xml"/><Relationship Id="rId9" Type="http://schemas.openxmlformats.org/officeDocument/2006/relationships/hyperlink" Target="https://www.ema.europa.eu/en/medicines/human/orphan-designations/eu-3-16-170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88896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Scoping\3.%20Tech%20team%20templates%20updated%20March%2022\TEMPLATE%20-%20HST%20criteria%20checklist%20-%20for%20NIC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0923-A148-401E-9A62-392BA1DE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HST criteria checklist - for NICE use</Template>
  <TotalTime>5</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Harsimran Sarpal</dc:creator>
  <cp:keywords/>
  <dc:description/>
  <cp:lastModifiedBy>Stephanie Callaghan</cp:lastModifiedBy>
  <cp:revision>5</cp:revision>
  <cp:lastPrinted>2020-02-04T14:39:00Z</cp:lastPrinted>
  <dcterms:created xsi:type="dcterms:W3CDTF">2023-04-13T10:36:00Z</dcterms:created>
  <dcterms:modified xsi:type="dcterms:W3CDTF">2023-04-24T17:34:00Z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2023-03-23T12:24:13Z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4a5db3c5-d1fe-42be-8a53-5c4de0f70cef</vt:lpwstr>
  </property>
  <property fmtid="{D5CDD505-2E9C-101B-9397-08002B2CF9AE}" pid="8" name="MSIP_Label_c69d85d5-6d9e-4305-a294-1f636ec0f2d6_ContentBits">
    <vt:lpwstr>0</vt:lpwstr>
  </property>
</Properties>
</file>