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5EA6" w14:textId="77777777" w:rsidR="004B180E" w:rsidRDefault="004B180E" w:rsidP="00927850">
      <w:pPr>
        <w:pStyle w:val="Title"/>
        <w:spacing w:before="0"/>
      </w:pPr>
      <w:bookmarkStart w:id="0" w:name="_GoBack"/>
      <w:bookmarkEnd w:id="0"/>
      <w:r>
        <w:t xml:space="preserve">NATIONAL INSTITUTE FOR HEALTH AND </w:t>
      </w:r>
      <w:r w:rsidR="00554A1D">
        <w:rPr>
          <w:lang w:val="en-GB"/>
        </w:rPr>
        <w:t>CARE</w:t>
      </w:r>
      <w:r>
        <w:t xml:space="preserve"> EXCELLENCE</w:t>
      </w:r>
    </w:p>
    <w:p w14:paraId="654CC9D0" w14:textId="77777777" w:rsidR="00B2228D" w:rsidRDefault="00B2228D" w:rsidP="003178AE">
      <w:pPr>
        <w:pStyle w:val="Heading1"/>
        <w:spacing w:before="0" w:after="240"/>
        <w:jc w:val="center"/>
        <w:rPr>
          <w:lang w:val="en-GB"/>
        </w:rPr>
      </w:pPr>
      <w:r>
        <w:rPr>
          <w:lang w:val="en-GB"/>
        </w:rPr>
        <w:t>Centre for Health Technology Evaluation</w:t>
      </w:r>
    </w:p>
    <w:p w14:paraId="149D2279" w14:textId="0DBF1439" w:rsidR="00576A0E" w:rsidRPr="00003C3A" w:rsidRDefault="00B2228D" w:rsidP="00927850">
      <w:pPr>
        <w:pStyle w:val="Title"/>
        <w:spacing w:before="0"/>
        <w:rPr>
          <w:lang w:val="en-GB"/>
        </w:rPr>
      </w:pPr>
      <w:r>
        <w:rPr>
          <w:lang w:val="en-GB"/>
        </w:rPr>
        <w:t>Re</w:t>
      </w:r>
      <w:r w:rsidR="00C82DC7">
        <w:rPr>
          <w:lang w:val="en-GB"/>
        </w:rPr>
        <w:t>view proposal</w:t>
      </w:r>
    </w:p>
    <w:p w14:paraId="1A2B7BF2" w14:textId="3F64CAE0" w:rsidR="004B180E" w:rsidRPr="00457B96" w:rsidRDefault="004B180E" w:rsidP="00927850">
      <w:pPr>
        <w:pStyle w:val="Heading1"/>
        <w:keepNext w:val="0"/>
        <w:spacing w:before="0" w:after="240"/>
      </w:pPr>
      <w:r>
        <w:t xml:space="preserve">Review of </w:t>
      </w:r>
      <w:r w:rsidR="009F4628">
        <w:rPr>
          <w:lang w:val="en-GB"/>
        </w:rPr>
        <w:t>MTG</w:t>
      </w:r>
      <w:r w:rsidR="00777973">
        <w:rPr>
          <w:lang w:val="en-GB"/>
        </w:rPr>
        <w:t>6:</w:t>
      </w:r>
      <w:r w:rsidR="00777973" w:rsidRPr="00777973">
        <w:t xml:space="preserve"> </w:t>
      </w:r>
      <w:r w:rsidR="00777973" w:rsidRPr="00777973">
        <w:rPr>
          <w:lang w:val="en-GB"/>
        </w:rPr>
        <w:t>Ambulight PDT for the treatment of non-melanoma skin cancer</w:t>
      </w:r>
    </w:p>
    <w:p w14:paraId="113EC124" w14:textId="4DEF82D7" w:rsidR="004B180E" w:rsidRPr="001007A0" w:rsidRDefault="004B180E" w:rsidP="005A5DB9">
      <w:pPr>
        <w:autoSpaceDE w:val="0"/>
        <w:autoSpaceDN w:val="0"/>
        <w:adjustRightInd w:val="0"/>
        <w:spacing w:before="240" w:line="276" w:lineRule="auto"/>
        <w:rPr>
          <w:lang w:val="en-US"/>
        </w:rPr>
      </w:pPr>
      <w:r w:rsidRPr="001007A0">
        <w:rPr>
          <w:lang w:val="en-US"/>
        </w:rPr>
        <w:t xml:space="preserve">This guidance was issued in </w:t>
      </w:r>
      <w:r w:rsidR="00777973">
        <w:rPr>
          <w:lang w:val="en-US"/>
        </w:rPr>
        <w:t>July 2011</w:t>
      </w:r>
      <w:r w:rsidR="00B2228D">
        <w:rPr>
          <w:lang w:val="en-US"/>
        </w:rPr>
        <w:t>.</w:t>
      </w:r>
      <w:r w:rsidR="0051017A">
        <w:rPr>
          <w:lang w:val="en-US"/>
        </w:rPr>
        <w:t xml:space="preserve"> </w:t>
      </w:r>
    </w:p>
    <w:p w14:paraId="0C35E98E" w14:textId="092627BD" w:rsidR="00A06649" w:rsidRDefault="00A06649" w:rsidP="005A5DB9">
      <w:pPr>
        <w:autoSpaceDE w:val="0"/>
        <w:autoSpaceDN w:val="0"/>
        <w:adjustRightInd w:val="0"/>
        <w:spacing w:before="240" w:line="276" w:lineRule="auto"/>
        <w:rPr>
          <w:lang w:val="en-US"/>
        </w:rPr>
      </w:pPr>
      <w:r w:rsidRPr="00A06649">
        <w:rPr>
          <w:lang w:val="en-US"/>
        </w:rPr>
        <w:t>NICE proposes an update of published guidance if the evidence base or clinical environment has changed to an extent that is likely to have a material effect on the recommendations in the existing guidance.</w:t>
      </w:r>
      <w:r w:rsidR="000C1F8B">
        <w:rPr>
          <w:lang w:val="en-US"/>
        </w:rPr>
        <w:t xml:space="preserve"> </w:t>
      </w:r>
      <w:r w:rsidR="000C1F8B" w:rsidRPr="00537651">
        <w:rPr>
          <w:lang w:val="en-US"/>
        </w:rPr>
        <w:t xml:space="preserve">Other factors such as the introduction of new technologies relevant to the guidance topic, or newer versions of technologies included in the guidance, will be considered relevant in the review process, but will not in individual cases always be sufficient cause to update existing guidance.  </w:t>
      </w:r>
    </w:p>
    <w:p w14:paraId="0C3C73F2" w14:textId="30A4BBA2" w:rsidR="00BA7D8F" w:rsidRPr="00942AA1" w:rsidRDefault="00BA7D8F" w:rsidP="00927850">
      <w:pPr>
        <w:pStyle w:val="Numberedheading"/>
        <w:keepNext w:val="0"/>
      </w:pPr>
      <w:r w:rsidRPr="00BA7D8F">
        <w:t>Recommendation</w:t>
      </w:r>
      <w:r w:rsidR="00C236F1">
        <w:rPr>
          <w:lang w:val="en-GB"/>
        </w:rPr>
        <w:t>s</w:t>
      </w:r>
      <w:r>
        <w:t xml:space="preserve"> </w:t>
      </w:r>
    </w:p>
    <w:p w14:paraId="1C82D6B7" w14:textId="4B86032D" w:rsidR="00C236F1" w:rsidRDefault="00C82DC7" w:rsidP="00B2228D">
      <w:pPr>
        <w:rPr>
          <w:bCs/>
        </w:rPr>
      </w:pPr>
      <w:r>
        <w:rPr>
          <w:bCs/>
        </w:rPr>
        <w:t xml:space="preserve">Transfer </w:t>
      </w:r>
      <w:r w:rsidR="00356C08">
        <w:rPr>
          <w:bCs/>
        </w:rPr>
        <w:t>the guidance</w:t>
      </w:r>
      <w:r>
        <w:rPr>
          <w:bCs/>
        </w:rPr>
        <w:t xml:space="preserve"> to the static list</w:t>
      </w:r>
      <w:r w:rsidR="009A6023">
        <w:rPr>
          <w:bCs/>
        </w:rPr>
        <w:t>.</w:t>
      </w:r>
    </w:p>
    <w:p w14:paraId="4920D42D" w14:textId="342651D7" w:rsidR="00B2228D" w:rsidRDefault="00C236F1" w:rsidP="00B2228D">
      <w:pPr>
        <w:rPr>
          <w:bCs/>
        </w:rPr>
      </w:pPr>
      <w:r>
        <w:rPr>
          <w:bCs/>
        </w:rPr>
        <w:t xml:space="preserve">Consult on the </w:t>
      </w:r>
      <w:r w:rsidR="00A13068">
        <w:rPr>
          <w:bCs/>
        </w:rPr>
        <w:t>proposal</w:t>
      </w:r>
      <w:r w:rsidR="009A6023">
        <w:rPr>
          <w:bCs/>
        </w:rPr>
        <w:t>.</w:t>
      </w:r>
    </w:p>
    <w:p w14:paraId="2CF1045D" w14:textId="77777777" w:rsidR="00493B39" w:rsidRPr="00FA58FB" w:rsidRDefault="00DA547B" w:rsidP="00927850">
      <w:pPr>
        <w:pStyle w:val="Numberedheading"/>
        <w:keepNext w:val="0"/>
        <w:rPr>
          <w:lang w:val="en-US"/>
        </w:rPr>
      </w:pPr>
      <w:r>
        <w:t xml:space="preserve">Original </w:t>
      </w:r>
      <w:r w:rsidR="00545DDA">
        <w:rPr>
          <w:lang w:val="en-GB"/>
        </w:rPr>
        <w:t>objective of guidance</w:t>
      </w:r>
    </w:p>
    <w:p w14:paraId="35413F59" w14:textId="4C07F6BC" w:rsidR="00475341" w:rsidRDefault="00A07923" w:rsidP="005A5DB9">
      <w:pPr>
        <w:spacing w:before="240" w:line="276" w:lineRule="auto"/>
      </w:pPr>
      <w:r>
        <w:t xml:space="preserve">To assess the </w:t>
      </w:r>
      <w:r w:rsidR="003B3240">
        <w:t>case for adoption</w:t>
      </w:r>
      <w:r>
        <w:t xml:space="preserve"> of </w:t>
      </w:r>
      <w:r w:rsidR="00925990" w:rsidRPr="00925990">
        <w:t>Ambulight PDT for the treatment of non-melanoma skin cancer</w:t>
      </w:r>
      <w:r>
        <w:t>.</w:t>
      </w:r>
    </w:p>
    <w:p w14:paraId="232811D3" w14:textId="77777777" w:rsidR="00DA547B" w:rsidRPr="00A07923" w:rsidRDefault="00DA547B" w:rsidP="00927850">
      <w:pPr>
        <w:pStyle w:val="Numberedheading"/>
        <w:keepNext w:val="0"/>
      </w:pPr>
      <w:r>
        <w:t>Current guidance</w:t>
      </w:r>
    </w:p>
    <w:p w14:paraId="4E586303" w14:textId="76A2C45E" w:rsidR="00925990" w:rsidRPr="006C73AB" w:rsidRDefault="00925990" w:rsidP="00925990">
      <w:pPr>
        <w:spacing w:before="240" w:line="276" w:lineRule="auto"/>
        <w:rPr>
          <w:i/>
          <w:highlight w:val="lightGray"/>
        </w:rPr>
      </w:pPr>
      <w:r w:rsidRPr="006C73AB">
        <w:rPr>
          <w:i/>
        </w:rPr>
        <w:t>1.1 Ambulight PDT offers a means of delivering photodynamic therapy (PDT) for patients with small non-melanoma skin cancers in an ambulatory care setting, including patients' homes, and its use may be associated with less pain than conventional PDT. However, the case for routine use of Ambulight PDT in achieving a more efficient service is not supported by the evidence submitted by the manufacturer. The quantity of clinical evidence on its use is limited and the cost consequences of adoption, when compared with conventional PDT, ranged from a saving (per patient) of £195 to a cost increase of £536. NHS organisations should take this into account, alongside other features of the technology, when considering whether to use Ambulight PDT.</w:t>
      </w:r>
    </w:p>
    <w:p w14:paraId="6F53A463" w14:textId="77777777" w:rsidR="00DC4041" w:rsidRPr="00DC4041" w:rsidRDefault="004B180E" w:rsidP="005A5DB9">
      <w:pPr>
        <w:pStyle w:val="Numberedheading"/>
        <w:keepNext w:val="0"/>
      </w:pPr>
      <w:r>
        <w:t>Rationale</w:t>
      </w:r>
    </w:p>
    <w:p w14:paraId="3610FF29" w14:textId="03DBEF09" w:rsidR="00C410BB" w:rsidRDefault="00A01539" w:rsidP="00C410BB">
      <w:pPr>
        <w:spacing w:before="240" w:line="276" w:lineRule="auto"/>
      </w:pPr>
      <w:r>
        <w:lastRenderedPageBreak/>
        <w:t xml:space="preserve">The recommendation in the guidance did not support the adoption of this technology because there was not sufficient evidence and the cost consequences of adoption were not certain. A review of the guidance in October 2015 proposed to defer the review until the publication of </w:t>
      </w:r>
      <w:r w:rsidR="00C236F1">
        <w:t xml:space="preserve">a new </w:t>
      </w:r>
      <w:r>
        <w:t>study (</w:t>
      </w:r>
      <w:r w:rsidR="00C236F1">
        <w:t xml:space="preserve">Ibbotson et al </w:t>
      </w:r>
      <w:r>
        <w:t>2018).</w:t>
      </w:r>
      <w:r w:rsidR="00C236F1">
        <w:t xml:space="preserve"> </w:t>
      </w:r>
      <w:r w:rsidR="00400A10">
        <w:t xml:space="preserve">This study has now been published in abstract form and does not provide </w:t>
      </w:r>
      <w:r w:rsidR="00356C08">
        <w:t>substantial</w:t>
      </w:r>
      <w:r w:rsidR="00400A10">
        <w:t xml:space="preserve"> new</w:t>
      </w:r>
      <w:r w:rsidR="00356C08">
        <w:t xml:space="preserve"> evidence that </w:t>
      </w:r>
      <w:r w:rsidR="00400A10">
        <w:t>would result in an update to the recommendations.</w:t>
      </w:r>
      <w:r>
        <w:t xml:space="preserve"> The c</w:t>
      </w:r>
      <w:r w:rsidRPr="00356C08">
        <w:t>ompany ha</w:t>
      </w:r>
      <w:r w:rsidR="00C236F1">
        <w:t>s</w:t>
      </w:r>
      <w:r w:rsidRPr="00356C08">
        <w:t xml:space="preserve"> not</w:t>
      </w:r>
      <w:r>
        <w:t xml:space="preserve"> provided any additional information for the guidance review process, </w:t>
      </w:r>
      <w:r w:rsidRPr="00356C08">
        <w:t xml:space="preserve">but </w:t>
      </w:r>
      <w:r>
        <w:t xml:space="preserve">stated that they </w:t>
      </w:r>
      <w:r w:rsidRPr="00356C08">
        <w:t>are planning a new device for launch next year</w:t>
      </w:r>
      <w:r>
        <w:t>.</w:t>
      </w:r>
      <w:r w:rsidR="00E627E3">
        <w:t xml:space="preserve"> </w:t>
      </w:r>
      <w:r w:rsidR="00C82DC7">
        <w:t>No new information which would change the recommendations has been identified from published studies, expert</w:t>
      </w:r>
      <w:r w:rsidR="000C1F8B">
        <w:t xml:space="preserve"> advice or care pathway changes and so it is proposed to place the guidance on the static list. </w:t>
      </w:r>
      <w:r w:rsidR="00F52ED3">
        <w:t xml:space="preserve"> </w:t>
      </w:r>
    </w:p>
    <w:p w14:paraId="17F38521" w14:textId="4519A914" w:rsidR="00FA58FB" w:rsidRPr="0056596D" w:rsidRDefault="00081BF9" w:rsidP="00C410BB">
      <w:pPr>
        <w:pStyle w:val="Numberedheading"/>
      </w:pPr>
      <w:r w:rsidRPr="00602AF6">
        <w:t>New</w:t>
      </w:r>
      <w:r w:rsidRPr="0056596D">
        <w:t xml:space="preserve"> evidence</w:t>
      </w:r>
      <w:r w:rsidR="00B1359B">
        <w:t xml:space="preserve"> </w:t>
      </w:r>
    </w:p>
    <w:p w14:paraId="7447103D" w14:textId="554984B0" w:rsidR="00081BF9" w:rsidRDefault="00081BF9" w:rsidP="005A5DB9">
      <w:pPr>
        <w:spacing w:before="240" w:line="276" w:lineRule="auto"/>
      </w:pPr>
      <w:r>
        <w:t>The search strategy from the original</w:t>
      </w:r>
      <w:r w:rsidR="00DC4041">
        <w:t xml:space="preserve"> </w:t>
      </w:r>
      <w:r>
        <w:t>assessment report was re-run</w:t>
      </w:r>
      <w:r w:rsidR="00A0372E">
        <w:t xml:space="preserve">.  </w:t>
      </w:r>
      <w:r w:rsidR="00DA547B">
        <w:t>References from</w:t>
      </w:r>
      <w:r w:rsidR="00F24CA0">
        <w:t xml:space="preserve"> July 2011</w:t>
      </w:r>
      <w:r w:rsidR="00E2231C">
        <w:t xml:space="preserve"> </w:t>
      </w:r>
      <w:r w:rsidR="00DA547B">
        <w:t>onwards were reviewed. Additional searches of clinical trials registries</w:t>
      </w:r>
      <w:r w:rsidR="00A07923">
        <w:t xml:space="preserve"> were also carried out</w:t>
      </w:r>
      <w:r w:rsidR="006E63D0">
        <w:t xml:space="preserve"> and relevant guidance from NICE and other professional bodies was reviewed to determine whether there have been any changes to the care pathways</w:t>
      </w:r>
      <w:r w:rsidR="00A10F80">
        <w:t>.</w:t>
      </w:r>
      <w:r w:rsidR="00A07923">
        <w:t xml:space="preserve"> </w:t>
      </w:r>
      <w:r w:rsidR="003D10CA">
        <w:t>The c</w:t>
      </w:r>
      <w:r w:rsidR="009858FD">
        <w:t>ompan</w:t>
      </w:r>
      <w:r w:rsidR="003D10CA">
        <w:t>y</w:t>
      </w:r>
      <w:r w:rsidR="00A07923">
        <w:t xml:space="preserve"> w</w:t>
      </w:r>
      <w:r w:rsidR="003D10CA">
        <w:t>as</w:t>
      </w:r>
      <w:r w:rsidR="00A07923">
        <w:t xml:space="preserve"> asked to submit all new literature references relevant to their technology</w:t>
      </w:r>
      <w:r w:rsidR="00A10F80">
        <w:t xml:space="preserve"> along with updated costs and details of any changes to the </w:t>
      </w:r>
      <w:r w:rsidR="006E63D0">
        <w:t xml:space="preserve">technology itself or the </w:t>
      </w:r>
      <w:r w:rsidR="00A10F80">
        <w:t>CE marked indication for use for their technology</w:t>
      </w:r>
      <w:r w:rsidR="00A07923">
        <w:t>.</w:t>
      </w:r>
      <w:r w:rsidR="00DA547B">
        <w:t xml:space="preserve"> </w:t>
      </w:r>
      <w:r>
        <w:t>The results of the literature search are discussed in the ‘</w:t>
      </w:r>
      <w:r w:rsidR="00C05518" w:rsidRPr="00C05518">
        <w:t>Summary of evidence and implications for review</w:t>
      </w:r>
      <w:r>
        <w:t>’ section below.</w:t>
      </w:r>
      <w:r w:rsidR="00C05518">
        <w:t xml:space="preserve"> See Appendix </w:t>
      </w:r>
      <w:r w:rsidR="000D064A">
        <w:t>2</w:t>
      </w:r>
      <w:r w:rsidR="00C05518">
        <w:t xml:space="preserve"> for further details of ongoing and unpublished studies.</w:t>
      </w:r>
      <w:r w:rsidR="000C69F8">
        <w:t xml:space="preserve"> </w:t>
      </w:r>
    </w:p>
    <w:p w14:paraId="6546D86A" w14:textId="77777777" w:rsidR="009858FD" w:rsidRPr="003D10CA" w:rsidRDefault="00C653E4" w:rsidP="00C653E4">
      <w:pPr>
        <w:pStyle w:val="Heading2"/>
        <w:ind w:left="720"/>
        <w:rPr>
          <w:lang w:val="en-GB"/>
        </w:rPr>
      </w:pPr>
      <w:r>
        <w:rPr>
          <w:lang w:val="en-GB"/>
        </w:rPr>
        <w:t>5</w:t>
      </w:r>
      <w:r w:rsidR="00256F0A">
        <w:rPr>
          <w:lang w:val="en-GB"/>
        </w:rPr>
        <w:t xml:space="preserve">.1 </w:t>
      </w:r>
      <w:r w:rsidR="009858FD">
        <w:t>T</w:t>
      </w:r>
      <w:r w:rsidR="00BC3E45">
        <w:t>echnolog</w:t>
      </w:r>
      <w:r w:rsidR="00472574">
        <w:rPr>
          <w:lang w:val="en-GB"/>
        </w:rPr>
        <w:t>y availability and changes</w:t>
      </w:r>
    </w:p>
    <w:p w14:paraId="69E935D8" w14:textId="5333B556" w:rsidR="009858FD" w:rsidRDefault="00F24CA0" w:rsidP="00C653E4">
      <w:pPr>
        <w:spacing w:before="240" w:line="276" w:lineRule="auto"/>
        <w:ind w:left="720"/>
      </w:pPr>
      <w:r w:rsidRPr="00F24CA0">
        <w:t>The technology i</w:t>
      </w:r>
      <w:r>
        <w:t xml:space="preserve">s still available to the NHS.  </w:t>
      </w:r>
      <w:r w:rsidRPr="00F24CA0">
        <w:t xml:space="preserve">There has been a minor modification to the technology since the production of the guidance, in that the controller element can now be re-used whereas previously it was single-use. </w:t>
      </w:r>
      <w:r w:rsidR="000C1F8B" w:rsidRPr="00F24CA0">
        <w:t>The device name has changed from Ambulight PDT to Ambulight Multi PDT</w:t>
      </w:r>
      <w:r w:rsidR="000C1F8B">
        <w:t xml:space="preserve"> and is covered by the same CE mark</w:t>
      </w:r>
      <w:r w:rsidR="000C1F8B" w:rsidRPr="00F24CA0">
        <w:t>.</w:t>
      </w:r>
      <w:r w:rsidR="000C1F8B">
        <w:t xml:space="preserve"> </w:t>
      </w:r>
      <w:r w:rsidR="00C236F1" w:rsidRPr="00C236F1">
        <w:t>The company declined to complete the company information request form</w:t>
      </w:r>
      <w:r w:rsidR="00C236F1">
        <w:t xml:space="preserve"> but indicated </w:t>
      </w:r>
      <w:r w:rsidR="00C236F1" w:rsidRPr="00C236F1">
        <w:t xml:space="preserve">that there </w:t>
      </w:r>
      <w:r w:rsidR="00C236F1">
        <w:t xml:space="preserve">have been no material changes </w:t>
      </w:r>
      <w:r w:rsidR="00C236F1" w:rsidRPr="00C236F1">
        <w:t>to the technology.</w:t>
      </w:r>
      <w:r w:rsidR="00C236F1">
        <w:t xml:space="preserve">  </w:t>
      </w:r>
    </w:p>
    <w:p w14:paraId="32C3896B" w14:textId="77777777" w:rsidR="009858FD" w:rsidRDefault="00C653E4" w:rsidP="00C653E4">
      <w:pPr>
        <w:pStyle w:val="Heading2"/>
        <w:ind w:left="720"/>
      </w:pPr>
      <w:bookmarkStart w:id="1" w:name="Text3"/>
      <w:r>
        <w:rPr>
          <w:lang w:val="en-GB"/>
        </w:rPr>
        <w:t>5</w:t>
      </w:r>
      <w:r w:rsidR="00256F0A">
        <w:rPr>
          <w:lang w:val="en-GB"/>
        </w:rPr>
        <w:t xml:space="preserve">.2 </w:t>
      </w:r>
      <w:r w:rsidR="00B1359B">
        <w:rPr>
          <w:lang w:val="en-GB"/>
        </w:rPr>
        <w:t>C</w:t>
      </w:r>
      <w:r w:rsidR="009858FD">
        <w:rPr>
          <w:lang w:val="en-GB"/>
        </w:rPr>
        <w:t>linical practice</w:t>
      </w:r>
    </w:p>
    <w:p w14:paraId="38DBEFFB" w14:textId="55CEAEA6" w:rsidR="0010433E" w:rsidRDefault="00B901A6" w:rsidP="0010433E">
      <w:pPr>
        <w:spacing w:before="240" w:line="276" w:lineRule="auto"/>
        <w:ind w:left="720"/>
        <w:rPr>
          <w:bCs/>
          <w:highlight w:val="lightGray"/>
        </w:rPr>
      </w:pPr>
      <w:r w:rsidRPr="00B901A6">
        <w:rPr>
          <w:bCs/>
        </w:rPr>
        <w:t xml:space="preserve">The NICE pathway is </w:t>
      </w:r>
      <w:hyperlink r:id="rId7" w:history="1">
        <w:r w:rsidRPr="00B87CEE">
          <w:rPr>
            <w:rStyle w:val="Hyperlink"/>
            <w:bCs/>
          </w:rPr>
          <w:t>https://pathways.nice.org.uk/pathways/skin-cancer</w:t>
        </w:r>
      </w:hyperlink>
      <w:r>
        <w:rPr>
          <w:bCs/>
        </w:rPr>
        <w:t xml:space="preserve">. </w:t>
      </w:r>
      <w:r w:rsidRPr="00B901A6">
        <w:rPr>
          <w:bCs/>
        </w:rPr>
        <w:t xml:space="preserve"> </w:t>
      </w:r>
      <w:r w:rsidR="00F24CA0" w:rsidRPr="00F24CA0">
        <w:rPr>
          <w:bCs/>
        </w:rPr>
        <w:t>There have been no changes to the NICE pathway since the previous guidance review</w:t>
      </w:r>
      <w:r>
        <w:rPr>
          <w:bCs/>
        </w:rPr>
        <w:t>.</w:t>
      </w:r>
      <w:r w:rsidR="002920F8">
        <w:rPr>
          <w:bCs/>
        </w:rPr>
        <w:t xml:space="preserve">  One expert stated ideally Ambulight would be available for use at home </w:t>
      </w:r>
      <w:r w:rsidR="002920F8" w:rsidRPr="002920F8">
        <w:rPr>
          <w:bCs/>
        </w:rPr>
        <w:t xml:space="preserve">for non-routine use in selected patients who </w:t>
      </w:r>
      <w:r w:rsidR="002920F8">
        <w:rPr>
          <w:bCs/>
        </w:rPr>
        <w:t>would benefit from home use.</w:t>
      </w:r>
      <w:r w:rsidR="002920F8" w:rsidRPr="002920F8">
        <w:rPr>
          <w:bCs/>
        </w:rPr>
        <w:t xml:space="preserve"> </w:t>
      </w:r>
    </w:p>
    <w:p w14:paraId="7FF8ADBC" w14:textId="77777777" w:rsidR="009858FD" w:rsidRPr="003D10CA" w:rsidRDefault="00C653E4" w:rsidP="00C653E4">
      <w:pPr>
        <w:pStyle w:val="Heading2"/>
        <w:ind w:left="720"/>
        <w:rPr>
          <w:lang w:val="en-GB"/>
        </w:rPr>
      </w:pPr>
      <w:r>
        <w:rPr>
          <w:lang w:val="en-GB"/>
        </w:rPr>
        <w:t>5</w:t>
      </w:r>
      <w:r w:rsidR="00256F0A">
        <w:rPr>
          <w:lang w:val="en-GB"/>
        </w:rPr>
        <w:t xml:space="preserve">.3 </w:t>
      </w:r>
      <w:r w:rsidR="00B1359B">
        <w:t>N</w:t>
      </w:r>
      <w:r w:rsidR="00C35B50">
        <w:rPr>
          <w:lang w:val="en-GB"/>
        </w:rPr>
        <w:t>ICE facilitated research</w:t>
      </w:r>
    </w:p>
    <w:p w14:paraId="42900FD7" w14:textId="409344A8" w:rsidR="00E60B78" w:rsidRPr="001060C5" w:rsidRDefault="00377A5D" w:rsidP="00C653E4">
      <w:pPr>
        <w:spacing w:before="240" w:line="276" w:lineRule="auto"/>
        <w:ind w:left="720"/>
        <w:rPr>
          <w:color w:val="000000" w:themeColor="text1"/>
        </w:rPr>
      </w:pPr>
      <w:r>
        <w:t>None.</w:t>
      </w:r>
    </w:p>
    <w:p w14:paraId="4BF831E9" w14:textId="77777777" w:rsidR="00C35B50" w:rsidRDefault="00C653E4" w:rsidP="00C653E4">
      <w:pPr>
        <w:pStyle w:val="Heading2"/>
        <w:ind w:left="720"/>
      </w:pPr>
      <w:r>
        <w:rPr>
          <w:lang w:val="en-GB"/>
        </w:rPr>
        <w:lastRenderedPageBreak/>
        <w:t>5</w:t>
      </w:r>
      <w:r w:rsidR="00C35B50">
        <w:rPr>
          <w:lang w:val="en-GB"/>
        </w:rPr>
        <w:t xml:space="preserve">.4 </w:t>
      </w:r>
      <w:r w:rsidR="00C35B50">
        <w:t>New studies</w:t>
      </w:r>
    </w:p>
    <w:p w14:paraId="3987DDA3" w14:textId="202995CF" w:rsidR="00C35B50" w:rsidRDefault="005C6080" w:rsidP="00C653E4">
      <w:pPr>
        <w:spacing w:before="240" w:line="276" w:lineRule="auto"/>
        <w:ind w:left="720"/>
        <w:rPr>
          <w:color w:val="FF0000"/>
        </w:rPr>
      </w:pPr>
      <w:r w:rsidRPr="005C6080">
        <w:t xml:space="preserve">One abstract </w:t>
      </w:r>
      <w:r w:rsidR="00C410BB">
        <w:t xml:space="preserve">on this technology </w:t>
      </w:r>
      <w:r w:rsidRPr="005C6080">
        <w:t xml:space="preserve">has been published since the last guidance review </w:t>
      </w:r>
      <w:r w:rsidR="00C410BB">
        <w:t>in October 2016</w:t>
      </w:r>
      <w:r w:rsidRPr="005C6080">
        <w:t>.  Ibbotson et al. (2018) reported the findings of a RCT (assessor blinded) comparing Ambulight with conventional photodynamic therapy for superficial non</w:t>
      </w:r>
      <w:r w:rsidR="00E627E3">
        <w:t xml:space="preserve">-melanoma skin cancer. </w:t>
      </w:r>
      <w:r w:rsidRPr="005C6080">
        <w:t>The study</w:t>
      </w:r>
      <w:r w:rsidR="00C236F1">
        <w:t>,</w:t>
      </w:r>
      <w:r w:rsidRPr="005C6080">
        <w:t xml:space="preserve"> carried out in Scotland</w:t>
      </w:r>
      <w:r w:rsidR="00C236F1">
        <w:t>,</w:t>
      </w:r>
      <w:r w:rsidRPr="005C6080">
        <w:t xml:space="preserve"> included 50 patients who were randomised to receive Ambulight (n = 32)</w:t>
      </w:r>
      <w:r w:rsidR="00E627E3">
        <w:t xml:space="preserve"> or conventional PDT (n = 18). </w:t>
      </w:r>
      <w:r w:rsidRPr="005C6080">
        <w:t>There were no significant differences in tolerance or effectiveness of treatment with 1-year follow-up and patients were very satisfied with treatment. The authors concluded that the findings confirm that Ambulight is as effective as hospital-based treatment for patients with small lesions of superficial basal cell carcinoma and Bowen disease and is a convenient treatment option for selected patients, allowing care closer to home.</w:t>
      </w:r>
    </w:p>
    <w:p w14:paraId="2C4E7D9F" w14:textId="77777777" w:rsidR="009858FD" w:rsidRDefault="00B1359B" w:rsidP="00256F0A">
      <w:pPr>
        <w:pStyle w:val="Numberedheading"/>
      </w:pPr>
      <w:r>
        <w:t xml:space="preserve">Summary of new </w:t>
      </w:r>
      <w:r w:rsidR="005F1527">
        <w:rPr>
          <w:lang w:val="en-GB"/>
        </w:rPr>
        <w:t>information</w:t>
      </w:r>
      <w:r w:rsidR="005F1527">
        <w:t xml:space="preserve"> </w:t>
      </w:r>
      <w:r>
        <w:t>and implications for review</w:t>
      </w:r>
    </w:p>
    <w:p w14:paraId="0C3D8B11" w14:textId="77777777" w:rsidR="00C236F1" w:rsidRDefault="00032817" w:rsidP="00C410BB">
      <w:pPr>
        <w:spacing w:before="240" w:line="276" w:lineRule="auto"/>
      </w:pPr>
      <w:r w:rsidRPr="00032817">
        <w:t>The</w:t>
      </w:r>
      <w:r w:rsidR="00400A10">
        <w:t xml:space="preserve">re has not been sufficient published clinical evidence to suggest that a review of the recommendations would be required. </w:t>
      </w:r>
    </w:p>
    <w:p w14:paraId="68A63CC3" w14:textId="300CC34C" w:rsidR="00AD08E5" w:rsidRPr="009F10F3" w:rsidRDefault="00AD08E5" w:rsidP="00287F12">
      <w:pPr>
        <w:pStyle w:val="Numberedheading"/>
      </w:pPr>
      <w:r>
        <w:t xml:space="preserve">Implications for other guidance producing programmes </w:t>
      </w:r>
    </w:p>
    <w:p w14:paraId="6E90E743" w14:textId="33DC332F" w:rsidR="009F10F3" w:rsidRDefault="00804DB9" w:rsidP="009F10F3">
      <w:r>
        <w:t xml:space="preserve">No comments were received highlighting any implications for other guidance programmes. </w:t>
      </w:r>
      <w:r w:rsidR="00FF4DBF">
        <w:t>Two expert</w:t>
      </w:r>
      <w:r w:rsidR="00287F12" w:rsidRPr="00287F12">
        <w:t>s responded to the review process and neither use the technology routinely</w:t>
      </w:r>
      <w:r w:rsidR="00FF4DBF">
        <w:t xml:space="preserve">.  </w:t>
      </w:r>
    </w:p>
    <w:bookmarkEnd w:id="1"/>
    <w:p w14:paraId="4C75E9FE" w14:textId="77777777" w:rsidR="00081BF9" w:rsidRPr="00FB06D8" w:rsidRDefault="00081BF9" w:rsidP="00927850">
      <w:pPr>
        <w:pStyle w:val="Numberedheading"/>
        <w:keepNext w:val="0"/>
      </w:pPr>
      <w:r w:rsidRPr="0056596D">
        <w:t>Implementation</w:t>
      </w:r>
      <w:r w:rsidR="00FA0B3F">
        <w:t xml:space="preserve"> </w:t>
      </w:r>
    </w:p>
    <w:p w14:paraId="5BED8092" w14:textId="6F78436D" w:rsidR="00890F81" w:rsidRPr="00890F81" w:rsidRDefault="00574E31" w:rsidP="00890F81">
      <w:pPr>
        <w:spacing w:before="240" w:line="276" w:lineRule="auto"/>
      </w:pPr>
      <w:r>
        <w:t>NICE</w:t>
      </w:r>
      <w:r w:rsidR="00890F81" w:rsidRPr="00890F81">
        <w:t xml:space="preserve"> was unable to identify any uptake data for </w:t>
      </w:r>
      <w:r>
        <w:t xml:space="preserve">Ambulight </w:t>
      </w:r>
      <w:r w:rsidR="00890F81" w:rsidRPr="00890F81">
        <w:t xml:space="preserve">and is not aware of other audit or activity data around photodynamic therapy for patients with small non-melanoma skin cancers in an ambulatory care setting. </w:t>
      </w:r>
      <w:r w:rsidR="002920F8">
        <w:t xml:space="preserve"> One expert used this technology within a research study, however they believe </w:t>
      </w:r>
      <w:r w:rsidR="00E047E4">
        <w:t xml:space="preserve">use of the technology </w:t>
      </w:r>
      <w:r w:rsidR="002920F8">
        <w:t>outside of a research setting</w:t>
      </w:r>
      <w:r w:rsidR="00E047E4">
        <w:t xml:space="preserve"> </w:t>
      </w:r>
      <w:r w:rsidR="00C410BB">
        <w:t>is limited.</w:t>
      </w:r>
      <w:r w:rsidR="002920F8">
        <w:t xml:space="preserve">  </w:t>
      </w:r>
    </w:p>
    <w:p w14:paraId="79214EFA" w14:textId="77777777" w:rsidR="00081BF9" w:rsidRDefault="00081BF9" w:rsidP="00927850">
      <w:pPr>
        <w:pStyle w:val="Numberedheading"/>
        <w:keepNext w:val="0"/>
      </w:pPr>
      <w:r w:rsidRPr="00C80C8C">
        <w:t>Equality issues</w:t>
      </w:r>
      <w:r>
        <w:t xml:space="preserve"> </w:t>
      </w:r>
    </w:p>
    <w:p w14:paraId="0DDFD39F" w14:textId="6FDBA548" w:rsidR="009A2635" w:rsidRPr="005B0959" w:rsidRDefault="00C462C5" w:rsidP="00C410BB">
      <w:pPr>
        <w:pStyle w:val="Numberedheading"/>
        <w:numPr>
          <w:ilvl w:val="0"/>
          <w:numId w:val="0"/>
        </w:numPr>
      </w:pPr>
      <w:r w:rsidRPr="00C462C5">
        <w:rPr>
          <w:rFonts w:cs="Arial"/>
          <w:b w:val="0"/>
          <w:iCs w:val="0"/>
          <w:szCs w:val="24"/>
          <w:lang w:val="en-GB"/>
        </w:rPr>
        <w:t xml:space="preserve">No new equality issues were identified in the original guidance or the guidance review. </w:t>
      </w:r>
    </w:p>
    <w:p w14:paraId="729B3AD5" w14:textId="77777777" w:rsidR="00081BF9" w:rsidRPr="00802F74" w:rsidRDefault="00081BF9" w:rsidP="00927850">
      <w:pPr>
        <w:pStyle w:val="Heading2"/>
        <w:keepNext w:val="0"/>
      </w:pPr>
      <w:r w:rsidRPr="00C87B00">
        <w:t>Contributors to this paper:</w:t>
      </w:r>
      <w:r>
        <w:t xml:space="preserve"> </w:t>
      </w:r>
    </w:p>
    <w:p w14:paraId="482CE874" w14:textId="7E40E695" w:rsidR="00081BF9" w:rsidRDefault="00081BF9" w:rsidP="00927850">
      <w:pPr>
        <w:tabs>
          <w:tab w:val="left" w:pos="2835"/>
        </w:tabs>
      </w:pPr>
      <w:r>
        <w:t xml:space="preserve">Technical </w:t>
      </w:r>
      <w:r w:rsidR="005F1527">
        <w:t>analyst</w:t>
      </w:r>
      <w:r>
        <w:t>:</w:t>
      </w:r>
      <w:r w:rsidR="00FA0B3F">
        <w:tab/>
      </w:r>
      <w:r w:rsidR="00953350">
        <w:tab/>
      </w:r>
      <w:r w:rsidR="00953350">
        <w:tab/>
      </w:r>
      <w:r w:rsidR="009731A1">
        <w:t>Liesl Millar</w:t>
      </w:r>
    </w:p>
    <w:p w14:paraId="7DDE7358" w14:textId="57F66C20" w:rsidR="00081BF9" w:rsidRDefault="00763FBD" w:rsidP="00927850">
      <w:pPr>
        <w:tabs>
          <w:tab w:val="left" w:pos="2835"/>
        </w:tabs>
      </w:pPr>
      <w:r>
        <w:t>Technical a</w:t>
      </w:r>
      <w:r w:rsidR="00081BF9">
        <w:t>dviser:</w:t>
      </w:r>
      <w:r w:rsidR="00FA0B3F">
        <w:tab/>
      </w:r>
      <w:r w:rsidR="00953350">
        <w:tab/>
      </w:r>
      <w:r w:rsidR="00953350">
        <w:tab/>
      </w:r>
      <w:r w:rsidR="00914B96">
        <w:t>Bernice Dillon</w:t>
      </w:r>
    </w:p>
    <w:p w14:paraId="409E4A6D" w14:textId="30B73B1F" w:rsidR="00953350" w:rsidRDefault="00953350" w:rsidP="00927850">
      <w:pPr>
        <w:tabs>
          <w:tab w:val="left" w:pos="2835"/>
        </w:tabs>
      </w:pPr>
      <w:r>
        <w:t>Acting Programme Director:</w:t>
      </w:r>
      <w:r>
        <w:tab/>
      </w:r>
      <w:r w:rsidR="00914B96">
        <w:t xml:space="preserve">Mark Campbell </w:t>
      </w:r>
    </w:p>
    <w:p w14:paraId="59FBE291" w14:textId="494CD1C5" w:rsidR="00081BF9" w:rsidRDefault="00081BF9" w:rsidP="00927850">
      <w:pPr>
        <w:tabs>
          <w:tab w:val="left" w:pos="2835"/>
        </w:tabs>
      </w:pPr>
      <w:r>
        <w:lastRenderedPageBreak/>
        <w:t>Pro</w:t>
      </w:r>
      <w:r w:rsidR="00543833">
        <w:t xml:space="preserve">ject </w:t>
      </w:r>
      <w:r>
        <w:t>Manager:</w:t>
      </w:r>
      <w:r w:rsidR="00FA0B3F">
        <w:tab/>
      </w:r>
      <w:r w:rsidR="00953350">
        <w:tab/>
      </w:r>
      <w:r w:rsidR="00953350">
        <w:tab/>
      </w:r>
      <w:r w:rsidR="00914B96">
        <w:t>Sharon Wright</w:t>
      </w:r>
    </w:p>
    <w:p w14:paraId="2F2FA839" w14:textId="77777777" w:rsidR="00C05518" w:rsidRPr="004F0B20" w:rsidRDefault="000147CF" w:rsidP="00C05518">
      <w:pPr>
        <w:pStyle w:val="Heading1"/>
      </w:pPr>
      <w:r w:rsidRPr="004F0B20">
        <w:br w:type="page"/>
      </w:r>
      <w:r w:rsidR="000D064A">
        <w:rPr>
          <w:rStyle w:val="TitleChar"/>
          <w:b/>
        </w:rPr>
        <w:lastRenderedPageBreak/>
        <w:t>Appendix 1</w:t>
      </w:r>
      <w:r w:rsidR="00C05518" w:rsidRPr="004F0B20">
        <w:rPr>
          <w:rStyle w:val="TitleChar"/>
          <w:b/>
        </w:rPr>
        <w:t xml:space="preserve"> – explanation of options</w:t>
      </w:r>
    </w:p>
    <w:p w14:paraId="52555A7D" w14:textId="55EBE264" w:rsidR="00256F0A" w:rsidRPr="00366BD5" w:rsidRDefault="00537651">
      <w:pPr>
        <w:rPr>
          <w:b/>
        </w:rPr>
      </w:pPr>
      <w:r>
        <w:t xml:space="preserve">If the published </w:t>
      </w:r>
      <w:r w:rsidR="00C35B50">
        <w:t xml:space="preserve">Medical Technologies </w:t>
      </w:r>
      <w:r>
        <w:t xml:space="preserve">Guidance needs updating </w:t>
      </w:r>
      <w:r w:rsidR="00C05518">
        <w:t xml:space="preserve">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256F0A" w:rsidRPr="00B51A60" w14:paraId="70D38124" w14:textId="77777777" w:rsidTr="00587E2B">
        <w:trPr>
          <w:cantSplit/>
        </w:trPr>
        <w:tc>
          <w:tcPr>
            <w:tcW w:w="3510" w:type="dxa"/>
          </w:tcPr>
          <w:p w14:paraId="2F7D47B3" w14:textId="77777777" w:rsidR="00256F0A" w:rsidRPr="00256F0A" w:rsidRDefault="00256F0A" w:rsidP="00145410">
            <w:pPr>
              <w:spacing w:before="120" w:after="120"/>
              <w:rPr>
                <w:b/>
                <w:sz w:val="22"/>
                <w:szCs w:val="22"/>
              </w:rPr>
            </w:pPr>
            <w:r w:rsidRPr="00256F0A">
              <w:rPr>
                <w:b/>
                <w:sz w:val="22"/>
                <w:szCs w:val="22"/>
              </w:rPr>
              <w:t>Options</w:t>
            </w:r>
          </w:p>
        </w:tc>
        <w:tc>
          <w:tcPr>
            <w:tcW w:w="4395" w:type="dxa"/>
          </w:tcPr>
          <w:p w14:paraId="74347325" w14:textId="77777777" w:rsidR="00256F0A" w:rsidRPr="00256F0A" w:rsidRDefault="00256F0A" w:rsidP="00587E2B">
            <w:pPr>
              <w:spacing w:before="120" w:after="120"/>
              <w:rPr>
                <w:b/>
                <w:bCs/>
                <w:sz w:val="22"/>
                <w:szCs w:val="22"/>
              </w:rPr>
            </w:pPr>
            <w:r w:rsidRPr="00256F0A">
              <w:rPr>
                <w:b/>
                <w:bCs/>
                <w:sz w:val="22"/>
                <w:szCs w:val="22"/>
              </w:rPr>
              <w:t>Consequences</w:t>
            </w:r>
          </w:p>
        </w:tc>
        <w:tc>
          <w:tcPr>
            <w:tcW w:w="1304" w:type="dxa"/>
          </w:tcPr>
          <w:p w14:paraId="1B323978" w14:textId="77777777" w:rsidR="00256F0A" w:rsidRPr="00256F0A" w:rsidDel="00B51A60" w:rsidRDefault="00256F0A" w:rsidP="00587E2B">
            <w:pPr>
              <w:spacing w:before="120" w:after="120"/>
              <w:rPr>
                <w:b/>
                <w:bCs/>
                <w:sz w:val="22"/>
                <w:szCs w:val="22"/>
              </w:rPr>
            </w:pPr>
            <w:r w:rsidRPr="00256F0A">
              <w:rPr>
                <w:b/>
                <w:bCs/>
                <w:sz w:val="22"/>
                <w:szCs w:val="22"/>
              </w:rPr>
              <w:t>Selected – ‘Yes/No’</w:t>
            </w:r>
          </w:p>
        </w:tc>
      </w:tr>
      <w:tr w:rsidR="00366BD5" w:rsidRPr="00CA2ABF" w14:paraId="6DC25E37"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D0E2607" w14:textId="77777777" w:rsidR="00366BD5" w:rsidRPr="00366BD5" w:rsidRDefault="00366BD5" w:rsidP="00366BD5">
            <w:pPr>
              <w:spacing w:before="120" w:after="120"/>
              <w:rPr>
                <w:sz w:val="22"/>
                <w:szCs w:val="22"/>
              </w:rPr>
            </w:pPr>
            <w:r w:rsidRPr="00366BD5">
              <w:rPr>
                <w:sz w:val="22"/>
                <w:szCs w:val="22"/>
              </w:rPr>
              <w:t>Amend the guidance and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22D5E6BC" w14:textId="77777777" w:rsidR="00366BD5" w:rsidRPr="00366BD5" w:rsidRDefault="00366BD5" w:rsidP="00366BD5">
            <w:pPr>
              <w:spacing w:before="120" w:after="120"/>
              <w:rPr>
                <w:bCs/>
                <w:sz w:val="22"/>
                <w:szCs w:val="22"/>
              </w:rPr>
            </w:pPr>
            <w:r w:rsidRPr="00366BD5">
              <w:rPr>
                <w:bCs/>
                <w:sz w:val="22"/>
                <w:szCs w:val="22"/>
              </w:rPr>
              <w:t xml:space="preserve">The guidance is amended but the factual changes proposed have no material effect on the recommendations. </w:t>
            </w:r>
          </w:p>
        </w:tc>
        <w:tc>
          <w:tcPr>
            <w:tcW w:w="1304" w:type="dxa"/>
            <w:tcBorders>
              <w:top w:val="single" w:sz="4" w:space="0" w:color="auto"/>
              <w:left w:val="single" w:sz="4" w:space="0" w:color="auto"/>
              <w:bottom w:val="single" w:sz="4" w:space="0" w:color="auto"/>
              <w:right w:val="single" w:sz="4" w:space="0" w:color="auto"/>
            </w:tcBorders>
          </w:tcPr>
          <w:p w14:paraId="03018E72" w14:textId="6757F3AE" w:rsidR="00366BD5" w:rsidRPr="003D1864" w:rsidRDefault="003D1864" w:rsidP="00366BD5">
            <w:pPr>
              <w:spacing w:before="120" w:after="120"/>
              <w:rPr>
                <w:bCs/>
                <w:sz w:val="22"/>
                <w:szCs w:val="22"/>
              </w:rPr>
            </w:pPr>
            <w:r w:rsidRPr="003D1864">
              <w:rPr>
                <w:bCs/>
                <w:sz w:val="22"/>
                <w:szCs w:val="22"/>
              </w:rPr>
              <w:t>No</w:t>
            </w:r>
          </w:p>
        </w:tc>
      </w:tr>
      <w:tr w:rsidR="00366BD5" w:rsidRPr="00CA2ABF" w14:paraId="217AECF4"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54A543AA" w14:textId="77777777" w:rsidR="00366BD5" w:rsidRPr="00366BD5" w:rsidRDefault="00366BD5" w:rsidP="00366BD5">
            <w:pPr>
              <w:spacing w:before="120" w:after="120"/>
              <w:rPr>
                <w:sz w:val="22"/>
                <w:szCs w:val="22"/>
              </w:rPr>
            </w:pPr>
            <w:r w:rsidRPr="00366BD5">
              <w:rPr>
                <w:sz w:val="22"/>
                <w:szCs w:val="22"/>
              </w:rPr>
              <w:t>Amend the guidance and do not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6321BFE0" w14:textId="77777777" w:rsidR="00366BD5" w:rsidRPr="00366BD5" w:rsidRDefault="00366BD5" w:rsidP="00366BD5">
            <w:pPr>
              <w:spacing w:before="120" w:after="120"/>
              <w:rPr>
                <w:bCs/>
                <w:sz w:val="22"/>
                <w:szCs w:val="22"/>
              </w:rPr>
            </w:pPr>
            <w:r w:rsidRPr="00366BD5">
              <w:rPr>
                <w:bCs/>
                <w:sz w:val="22"/>
                <w:szCs w:val="22"/>
              </w:rPr>
              <w:t>The guidance is amended but the factual changes proposed have no material effect on the recommendations.</w:t>
            </w:r>
          </w:p>
        </w:tc>
        <w:tc>
          <w:tcPr>
            <w:tcW w:w="1304" w:type="dxa"/>
            <w:tcBorders>
              <w:top w:val="single" w:sz="4" w:space="0" w:color="auto"/>
              <w:left w:val="single" w:sz="4" w:space="0" w:color="auto"/>
              <w:bottom w:val="single" w:sz="4" w:space="0" w:color="auto"/>
              <w:right w:val="single" w:sz="4" w:space="0" w:color="auto"/>
            </w:tcBorders>
          </w:tcPr>
          <w:p w14:paraId="20CADC87" w14:textId="66EBFD75" w:rsidR="00366BD5" w:rsidRPr="003D1864" w:rsidRDefault="00C236F1" w:rsidP="00366BD5">
            <w:pPr>
              <w:spacing w:before="120" w:after="120"/>
              <w:rPr>
                <w:bCs/>
                <w:sz w:val="22"/>
                <w:szCs w:val="22"/>
              </w:rPr>
            </w:pPr>
            <w:r>
              <w:rPr>
                <w:bCs/>
                <w:sz w:val="22"/>
                <w:szCs w:val="22"/>
              </w:rPr>
              <w:t>No</w:t>
            </w:r>
          </w:p>
        </w:tc>
      </w:tr>
      <w:tr w:rsidR="00366BD5" w:rsidRPr="00CA2ABF" w14:paraId="4D3B2D34"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03E1122E" w14:textId="77777777" w:rsidR="00366BD5" w:rsidRPr="00366BD5" w:rsidRDefault="00366BD5" w:rsidP="00366BD5">
            <w:pPr>
              <w:spacing w:before="120" w:after="120"/>
              <w:rPr>
                <w:sz w:val="22"/>
                <w:szCs w:val="22"/>
              </w:rPr>
            </w:pPr>
            <w:r w:rsidRPr="00366BD5">
              <w:rPr>
                <w:sz w:val="22"/>
                <w:szCs w:val="22"/>
              </w:rPr>
              <w:t>Standard update of the guidance</w:t>
            </w:r>
          </w:p>
        </w:tc>
        <w:tc>
          <w:tcPr>
            <w:tcW w:w="4395" w:type="dxa"/>
            <w:tcBorders>
              <w:top w:val="single" w:sz="4" w:space="0" w:color="auto"/>
              <w:left w:val="single" w:sz="4" w:space="0" w:color="auto"/>
              <w:bottom w:val="single" w:sz="4" w:space="0" w:color="auto"/>
              <w:right w:val="single" w:sz="4" w:space="0" w:color="auto"/>
            </w:tcBorders>
          </w:tcPr>
          <w:p w14:paraId="6C831166" w14:textId="77777777" w:rsidR="00366BD5" w:rsidRPr="00366BD5" w:rsidRDefault="00366BD5" w:rsidP="00366BD5">
            <w:pPr>
              <w:spacing w:before="120" w:after="120"/>
              <w:rPr>
                <w:bCs/>
                <w:sz w:val="22"/>
                <w:szCs w:val="22"/>
              </w:rPr>
            </w:pPr>
            <w:r w:rsidRPr="00366BD5">
              <w:rPr>
                <w:bCs/>
                <w:sz w:val="22"/>
                <w:szCs w:val="22"/>
              </w:rPr>
              <w:t>A standard update of the Medical Technologies Guidance will be planned into NICE’s work programme.</w:t>
            </w:r>
          </w:p>
        </w:tc>
        <w:tc>
          <w:tcPr>
            <w:tcW w:w="1304" w:type="dxa"/>
            <w:tcBorders>
              <w:top w:val="single" w:sz="4" w:space="0" w:color="auto"/>
              <w:left w:val="single" w:sz="4" w:space="0" w:color="auto"/>
              <w:bottom w:val="single" w:sz="4" w:space="0" w:color="auto"/>
              <w:right w:val="single" w:sz="4" w:space="0" w:color="auto"/>
            </w:tcBorders>
          </w:tcPr>
          <w:p w14:paraId="7B3F7A13" w14:textId="1F45C35A" w:rsidR="00366BD5" w:rsidRPr="003D1864" w:rsidRDefault="003D1864" w:rsidP="00366BD5">
            <w:pPr>
              <w:spacing w:before="120" w:after="120"/>
              <w:rPr>
                <w:bCs/>
                <w:sz w:val="22"/>
                <w:szCs w:val="22"/>
              </w:rPr>
            </w:pPr>
            <w:r w:rsidRPr="003D1864">
              <w:rPr>
                <w:bCs/>
                <w:sz w:val="22"/>
                <w:szCs w:val="22"/>
              </w:rPr>
              <w:t>No</w:t>
            </w:r>
          </w:p>
        </w:tc>
      </w:tr>
      <w:tr w:rsidR="00366BD5" w:rsidRPr="00CA2ABF" w14:paraId="31C3FB05"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241F8EE" w14:textId="77777777" w:rsidR="00366BD5" w:rsidRPr="00366BD5" w:rsidRDefault="00366BD5" w:rsidP="00366BD5">
            <w:pPr>
              <w:spacing w:before="120" w:after="120"/>
              <w:rPr>
                <w:sz w:val="22"/>
                <w:szCs w:val="22"/>
              </w:rPr>
            </w:pPr>
            <w:r w:rsidRPr="00366BD5">
              <w:rPr>
                <w:sz w:val="22"/>
                <w:szCs w:val="22"/>
              </w:rPr>
              <w:t>Update of the guidance within another piece of NICE guidance</w:t>
            </w:r>
          </w:p>
        </w:tc>
        <w:tc>
          <w:tcPr>
            <w:tcW w:w="4395" w:type="dxa"/>
            <w:tcBorders>
              <w:top w:val="single" w:sz="4" w:space="0" w:color="auto"/>
              <w:left w:val="single" w:sz="4" w:space="0" w:color="auto"/>
              <w:bottom w:val="single" w:sz="4" w:space="0" w:color="auto"/>
              <w:right w:val="single" w:sz="4" w:space="0" w:color="auto"/>
            </w:tcBorders>
          </w:tcPr>
          <w:p w14:paraId="67F7C8E1" w14:textId="77777777" w:rsidR="00366BD5" w:rsidRPr="00366BD5" w:rsidRDefault="00366BD5" w:rsidP="00366BD5">
            <w:pPr>
              <w:spacing w:before="120" w:after="120"/>
              <w:rPr>
                <w:bCs/>
                <w:sz w:val="22"/>
                <w:szCs w:val="22"/>
              </w:rPr>
            </w:pPr>
            <w:r w:rsidRPr="00366BD5">
              <w:rPr>
                <w:bCs/>
                <w:sz w:val="22"/>
                <w:szCs w:val="22"/>
              </w:rPr>
              <w:t>The guidance is updated according to the processes and timetable of that programme.</w:t>
            </w:r>
          </w:p>
        </w:tc>
        <w:tc>
          <w:tcPr>
            <w:tcW w:w="1304" w:type="dxa"/>
            <w:tcBorders>
              <w:top w:val="single" w:sz="4" w:space="0" w:color="auto"/>
              <w:left w:val="single" w:sz="4" w:space="0" w:color="auto"/>
              <w:bottom w:val="single" w:sz="4" w:space="0" w:color="auto"/>
              <w:right w:val="single" w:sz="4" w:space="0" w:color="auto"/>
            </w:tcBorders>
          </w:tcPr>
          <w:p w14:paraId="27E25AD9" w14:textId="526425D1" w:rsidR="00366BD5" w:rsidRPr="003D1864" w:rsidDel="00B51A60" w:rsidRDefault="003D1864" w:rsidP="00366BD5">
            <w:pPr>
              <w:spacing w:before="120" w:after="120"/>
              <w:rPr>
                <w:bCs/>
                <w:sz w:val="22"/>
                <w:szCs w:val="22"/>
              </w:rPr>
            </w:pPr>
            <w:r w:rsidRPr="003D1864">
              <w:rPr>
                <w:bCs/>
                <w:sz w:val="22"/>
                <w:szCs w:val="22"/>
              </w:rPr>
              <w:t>No</w:t>
            </w:r>
          </w:p>
        </w:tc>
      </w:tr>
    </w:tbl>
    <w:p w14:paraId="4681AD88" w14:textId="77777777" w:rsidR="00366BD5" w:rsidRDefault="00366BD5" w:rsidP="00366BD5"/>
    <w:p w14:paraId="77EB1584" w14:textId="08669D91" w:rsidR="00366BD5" w:rsidRPr="00CA2ABF" w:rsidRDefault="00366BD5" w:rsidP="00366BD5">
      <w:r w:rsidRPr="00E01790">
        <w:t xml:space="preserve">If the published </w:t>
      </w:r>
      <w:r>
        <w:t xml:space="preserve">Medical Technologies </w:t>
      </w:r>
      <w:r w:rsidRPr="00E01790">
        <w:t xml:space="preserve">Guidance </w:t>
      </w:r>
      <w:r>
        <w:t>does not need</w:t>
      </w:r>
      <w:r w:rsidRPr="00E01790">
        <w:t xml:space="preserve"> updating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366BD5" w:rsidRPr="00CA2ABF" w14:paraId="0AB9E64C" w14:textId="77777777" w:rsidTr="00E407B0">
        <w:trPr>
          <w:cantSplit/>
        </w:trPr>
        <w:tc>
          <w:tcPr>
            <w:tcW w:w="3510" w:type="dxa"/>
          </w:tcPr>
          <w:p w14:paraId="10A5645D" w14:textId="77777777" w:rsidR="00366BD5" w:rsidRPr="00CA2ABF" w:rsidRDefault="00366BD5" w:rsidP="00E407B0">
            <w:pPr>
              <w:rPr>
                <w:b/>
              </w:rPr>
            </w:pPr>
            <w:r w:rsidRPr="00CA2ABF">
              <w:rPr>
                <w:b/>
              </w:rPr>
              <w:t>Options</w:t>
            </w:r>
          </w:p>
        </w:tc>
        <w:tc>
          <w:tcPr>
            <w:tcW w:w="4395" w:type="dxa"/>
          </w:tcPr>
          <w:p w14:paraId="3407FD8E" w14:textId="77777777" w:rsidR="00366BD5" w:rsidRPr="00CA2ABF" w:rsidRDefault="00366BD5" w:rsidP="00E407B0">
            <w:pPr>
              <w:rPr>
                <w:b/>
                <w:bCs/>
              </w:rPr>
            </w:pPr>
            <w:r w:rsidRPr="00CA2ABF">
              <w:rPr>
                <w:b/>
                <w:bCs/>
              </w:rPr>
              <w:t>Consequences</w:t>
            </w:r>
          </w:p>
        </w:tc>
        <w:tc>
          <w:tcPr>
            <w:tcW w:w="1304" w:type="dxa"/>
          </w:tcPr>
          <w:p w14:paraId="31970C26" w14:textId="77777777" w:rsidR="00366BD5" w:rsidRPr="00CA2ABF" w:rsidDel="00B51A60" w:rsidRDefault="00366BD5" w:rsidP="00E407B0">
            <w:pPr>
              <w:rPr>
                <w:b/>
                <w:bCs/>
              </w:rPr>
            </w:pPr>
            <w:r w:rsidRPr="00CA2ABF">
              <w:rPr>
                <w:b/>
                <w:bCs/>
              </w:rPr>
              <w:t>Selected – ‘Yes/No’</w:t>
            </w:r>
          </w:p>
        </w:tc>
      </w:tr>
      <w:tr w:rsidR="00366BD5" w:rsidRPr="00CA2ABF" w14:paraId="761EAAC3" w14:textId="77777777" w:rsidTr="00E407B0">
        <w:trPr>
          <w:cantSplit/>
        </w:trPr>
        <w:tc>
          <w:tcPr>
            <w:tcW w:w="3510" w:type="dxa"/>
          </w:tcPr>
          <w:p w14:paraId="18C4B8F2" w14:textId="77777777" w:rsidR="00366BD5" w:rsidRPr="00CA2ABF" w:rsidRDefault="00366BD5" w:rsidP="00E407B0">
            <w:r w:rsidRPr="00CA2ABF">
              <w:t>Transfer the guidance to the ‘static guidance list’</w:t>
            </w:r>
          </w:p>
        </w:tc>
        <w:tc>
          <w:tcPr>
            <w:tcW w:w="4395" w:type="dxa"/>
          </w:tcPr>
          <w:p w14:paraId="4DF7CC64" w14:textId="77777777" w:rsidR="00366BD5" w:rsidRPr="00CA2ABF" w:rsidRDefault="00366BD5" w:rsidP="00E407B0">
            <w:pPr>
              <w:rPr>
                <w:bCs/>
              </w:rPr>
            </w:pPr>
            <w:r w:rsidRPr="00CA2ABF">
              <w:rPr>
                <w:bCs/>
              </w:rPr>
              <w:t xml:space="preserve">The guidance remains valid and is designated as static guidance. Literature searches are carried out every 5 years to check whether any of the Medical Technologies Guidance on the static list should be flagged for review.  </w:t>
            </w:r>
          </w:p>
        </w:tc>
        <w:tc>
          <w:tcPr>
            <w:tcW w:w="1304" w:type="dxa"/>
          </w:tcPr>
          <w:p w14:paraId="3669062D" w14:textId="121DFED7" w:rsidR="00366BD5" w:rsidRPr="00CA2ABF" w:rsidDel="00B51A60" w:rsidRDefault="000C1F8B" w:rsidP="00E407B0">
            <w:pPr>
              <w:rPr>
                <w:bCs/>
              </w:rPr>
            </w:pPr>
            <w:r>
              <w:rPr>
                <w:bCs/>
              </w:rPr>
              <w:t>Yes</w:t>
            </w:r>
          </w:p>
        </w:tc>
      </w:tr>
      <w:tr w:rsidR="00366BD5" w:rsidRPr="00CA2ABF" w14:paraId="553D82FB" w14:textId="77777777" w:rsidTr="00E407B0">
        <w:trPr>
          <w:cantSplit/>
        </w:trPr>
        <w:tc>
          <w:tcPr>
            <w:tcW w:w="3510" w:type="dxa"/>
          </w:tcPr>
          <w:p w14:paraId="1189E072" w14:textId="77777777" w:rsidR="00366BD5" w:rsidRPr="00CA2ABF" w:rsidRDefault="00366BD5" w:rsidP="00E407B0">
            <w:pPr>
              <w:rPr>
                <w:bCs/>
              </w:rPr>
            </w:pPr>
            <w:r w:rsidRPr="00CA2ABF">
              <w:t xml:space="preserve">Defer the decision to review the guidance </w:t>
            </w:r>
          </w:p>
        </w:tc>
        <w:tc>
          <w:tcPr>
            <w:tcW w:w="4395" w:type="dxa"/>
          </w:tcPr>
          <w:p w14:paraId="71743493" w14:textId="77777777" w:rsidR="00366BD5" w:rsidRPr="00CA2ABF" w:rsidRDefault="00366BD5" w:rsidP="00E407B0">
            <w:pPr>
              <w:rPr>
                <w:bCs/>
              </w:rPr>
            </w:pPr>
            <w:r w:rsidRPr="00CA2ABF">
              <w:rPr>
                <w:bCs/>
              </w:rPr>
              <w:t>NICE will reconsider whether a review is necessary at the specified date.</w:t>
            </w:r>
          </w:p>
        </w:tc>
        <w:tc>
          <w:tcPr>
            <w:tcW w:w="1304" w:type="dxa"/>
          </w:tcPr>
          <w:p w14:paraId="1211F054" w14:textId="5083CD79" w:rsidR="00366BD5" w:rsidRPr="00CA2ABF" w:rsidDel="00B51A60" w:rsidRDefault="003D1864" w:rsidP="00E407B0">
            <w:pPr>
              <w:rPr>
                <w:bCs/>
              </w:rPr>
            </w:pPr>
            <w:r>
              <w:rPr>
                <w:bCs/>
              </w:rPr>
              <w:t>No</w:t>
            </w:r>
          </w:p>
        </w:tc>
      </w:tr>
      <w:tr w:rsidR="00366BD5" w:rsidRPr="00CA2ABF" w14:paraId="1DBF0D59" w14:textId="77777777" w:rsidTr="00E407B0">
        <w:trPr>
          <w:cantSplit/>
        </w:trPr>
        <w:tc>
          <w:tcPr>
            <w:tcW w:w="3510" w:type="dxa"/>
          </w:tcPr>
          <w:p w14:paraId="33D6C76D" w14:textId="77777777" w:rsidR="00366BD5" w:rsidRPr="00CA2ABF" w:rsidRDefault="00366BD5" w:rsidP="00E407B0">
            <w:r w:rsidRPr="00CA2ABF">
              <w:t xml:space="preserve">Withdraw the guidance </w:t>
            </w:r>
          </w:p>
        </w:tc>
        <w:tc>
          <w:tcPr>
            <w:tcW w:w="4395" w:type="dxa"/>
          </w:tcPr>
          <w:p w14:paraId="51AD7E2F" w14:textId="77777777" w:rsidR="00366BD5" w:rsidRPr="00CA2ABF" w:rsidRDefault="00366BD5" w:rsidP="00E407B0">
            <w:pPr>
              <w:rPr>
                <w:bCs/>
              </w:rPr>
            </w:pPr>
            <w:r w:rsidRPr="00CA2ABF">
              <w:rPr>
                <w:bCs/>
              </w:rPr>
              <w:t>The Medical Technologies Guidance is no longer valid and is withdrawn.</w:t>
            </w:r>
          </w:p>
        </w:tc>
        <w:tc>
          <w:tcPr>
            <w:tcW w:w="1304" w:type="dxa"/>
          </w:tcPr>
          <w:p w14:paraId="07CEA5E6" w14:textId="23C64A89" w:rsidR="00366BD5" w:rsidRPr="00CA2ABF" w:rsidRDefault="000C1F8B" w:rsidP="00E407B0">
            <w:pPr>
              <w:rPr>
                <w:bCs/>
              </w:rPr>
            </w:pPr>
            <w:r>
              <w:rPr>
                <w:bCs/>
              </w:rPr>
              <w:t>No</w:t>
            </w:r>
          </w:p>
        </w:tc>
      </w:tr>
    </w:tbl>
    <w:p w14:paraId="44F6AA9C" w14:textId="3E5C3E14" w:rsidR="00E1328B" w:rsidRPr="00800DEF" w:rsidRDefault="00E1328B" w:rsidP="00E1328B">
      <w:pPr>
        <w:pStyle w:val="Heading2"/>
      </w:pPr>
      <w:r>
        <w:t>References</w:t>
      </w:r>
    </w:p>
    <w:p w14:paraId="27708412" w14:textId="77777777" w:rsidR="00E779E5" w:rsidRPr="00814B4A" w:rsidRDefault="00E779E5" w:rsidP="00E779E5">
      <w:pPr>
        <w:pStyle w:val="Heading1"/>
        <w:rPr>
          <w:b w:val="0"/>
          <w:bCs w:val="0"/>
          <w:kern w:val="28"/>
          <w:sz w:val="24"/>
          <w:szCs w:val="24"/>
          <w:lang w:val="en-GB"/>
        </w:rPr>
      </w:pPr>
      <w:r w:rsidRPr="00814B4A">
        <w:rPr>
          <w:rStyle w:val="TitleChar"/>
          <w:sz w:val="24"/>
          <w:szCs w:val="24"/>
          <w:lang w:val="en-GB"/>
        </w:rPr>
        <w:t>Ibbotson, S.; Dawe, R.; Moseley, H.; Samuel, I.; Ferguson, J. (2018),</w:t>
      </w:r>
      <w:r w:rsidRPr="00814B4A">
        <w:rPr>
          <w:rStyle w:val="TitleChar"/>
          <w:b/>
          <w:sz w:val="24"/>
          <w:szCs w:val="24"/>
          <w:lang w:val="en-GB"/>
        </w:rPr>
        <w:t xml:space="preserve"> </w:t>
      </w:r>
      <w:r w:rsidRPr="00814B4A">
        <w:rPr>
          <w:b w:val="0"/>
          <w:sz w:val="24"/>
          <w:szCs w:val="24"/>
        </w:rPr>
        <w:t xml:space="preserve">A randomized, controlled trial of portable compared with conventional photodynamic therapy for </w:t>
      </w:r>
      <w:r w:rsidRPr="00814B4A">
        <w:rPr>
          <w:b w:val="0"/>
          <w:sz w:val="24"/>
          <w:szCs w:val="24"/>
        </w:rPr>
        <w:lastRenderedPageBreak/>
        <w:t>superficial nonmelanoma skin cancer</w:t>
      </w:r>
      <w:r w:rsidRPr="00814B4A">
        <w:rPr>
          <w:b w:val="0"/>
          <w:sz w:val="24"/>
          <w:szCs w:val="24"/>
          <w:lang w:val="en-GB"/>
        </w:rPr>
        <w:t xml:space="preserve">, </w:t>
      </w:r>
      <w:r w:rsidRPr="00814B4A">
        <w:rPr>
          <w:b w:val="0"/>
          <w:sz w:val="24"/>
          <w:szCs w:val="24"/>
        </w:rPr>
        <w:t xml:space="preserve">British Journal of Dermatology </w:t>
      </w:r>
      <w:r w:rsidRPr="00814B4A">
        <w:rPr>
          <w:b w:val="0"/>
          <w:sz w:val="24"/>
          <w:szCs w:val="24"/>
          <w:lang w:val="en-GB"/>
        </w:rPr>
        <w:t>vol.</w:t>
      </w:r>
      <w:r w:rsidRPr="00814B4A">
        <w:rPr>
          <w:b w:val="0"/>
          <w:sz w:val="24"/>
          <w:szCs w:val="24"/>
        </w:rPr>
        <w:t xml:space="preserve"> 179 supplement1 </w:t>
      </w:r>
      <w:r w:rsidRPr="00814B4A">
        <w:rPr>
          <w:b w:val="0"/>
          <w:sz w:val="24"/>
          <w:szCs w:val="24"/>
          <w:lang w:val="en-GB"/>
        </w:rPr>
        <w:t>pp</w:t>
      </w:r>
      <w:r w:rsidRPr="00814B4A">
        <w:rPr>
          <w:b w:val="0"/>
          <w:sz w:val="24"/>
          <w:szCs w:val="24"/>
        </w:rPr>
        <w:t xml:space="preserve"> 100</w:t>
      </w:r>
    </w:p>
    <w:p w14:paraId="13CD8C43" w14:textId="350C60E7" w:rsidR="009858FD" w:rsidRPr="00E1328B" w:rsidRDefault="009858FD" w:rsidP="00E1328B">
      <w:pPr>
        <w:pStyle w:val="Paragraph"/>
        <w:numPr>
          <w:ilvl w:val="0"/>
          <w:numId w:val="0"/>
        </w:numPr>
        <w:spacing w:line="240" w:lineRule="auto"/>
        <w:rPr>
          <w:b/>
          <w:color w:val="FF0000"/>
        </w:rPr>
      </w:pPr>
    </w:p>
    <w:sectPr w:rsidR="009858FD" w:rsidRPr="00E1328B" w:rsidSect="00081B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2420" w14:textId="77777777" w:rsidR="00551232" w:rsidRDefault="00551232" w:rsidP="00446BEE">
      <w:r>
        <w:separator/>
      </w:r>
    </w:p>
  </w:endnote>
  <w:endnote w:type="continuationSeparator" w:id="0">
    <w:p w14:paraId="09323426" w14:textId="77777777"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EBB44" w14:textId="03BE0292" w:rsidR="00A74673" w:rsidRDefault="008875A8" w:rsidP="00C80C8C">
    <w:pPr>
      <w:pStyle w:val="Footer"/>
      <w:spacing w:before="240"/>
    </w:pPr>
    <w:r>
      <w:fldChar w:fldCharType="begin"/>
    </w:r>
    <w:r>
      <w:instrText xml:space="preserve"> PAGE </w:instrText>
    </w:r>
    <w:r>
      <w:fldChar w:fldCharType="separate"/>
    </w:r>
    <w:r w:rsidR="00FE0AD4">
      <w:rPr>
        <w:noProof/>
      </w:rPr>
      <w:t>2</w:t>
    </w:r>
    <w:r>
      <w:rPr>
        <w:noProof/>
      </w:rPr>
      <w:fldChar w:fldCharType="end"/>
    </w:r>
    <w:r w:rsidR="00A74673">
      <w:t xml:space="preserve"> of </w:t>
    </w:r>
    <w:r w:rsidR="008C7520">
      <w:rPr>
        <w:noProof/>
      </w:rPr>
      <w:fldChar w:fldCharType="begin"/>
    </w:r>
    <w:r w:rsidR="008C7520">
      <w:rPr>
        <w:noProof/>
      </w:rPr>
      <w:instrText xml:space="preserve"> NUMPAGES  </w:instrText>
    </w:r>
    <w:r w:rsidR="008C7520">
      <w:rPr>
        <w:noProof/>
      </w:rPr>
      <w:fldChar w:fldCharType="separate"/>
    </w:r>
    <w:r w:rsidR="00FE0AD4">
      <w:rPr>
        <w:noProof/>
      </w:rPr>
      <w:t>6</w:t>
    </w:r>
    <w:r w:rsidR="008C75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4B108" w14:textId="77777777" w:rsidR="00551232" w:rsidRDefault="00551232" w:rsidP="00446BEE">
      <w:r>
        <w:separator/>
      </w:r>
    </w:p>
  </w:footnote>
  <w:footnote w:type="continuationSeparator" w:id="0">
    <w:p w14:paraId="5E263B2A" w14:textId="77777777" w:rsidR="00551232" w:rsidRDefault="00551232"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F02C2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8E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DA76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02FA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452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0B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8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8B1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E0F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41FC"/>
    <w:multiLevelType w:val="hybridMultilevel"/>
    <w:tmpl w:val="3A0A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3A7B"/>
    <w:multiLevelType w:val="hybridMultilevel"/>
    <w:tmpl w:val="5072B69E"/>
    <w:lvl w:ilvl="0" w:tplc="606C6D5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2E7"/>
    <w:multiLevelType w:val="hybridMultilevel"/>
    <w:tmpl w:val="92460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9"/>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7"/>
  </w:num>
  <w:num w:numId="21">
    <w:abstractNumId w:val="18"/>
  </w:num>
  <w:num w:numId="22">
    <w:abstractNumId w:val="16"/>
  </w:num>
  <w:num w:numId="23">
    <w:abstractNumId w:val="14"/>
  </w:num>
  <w:num w:numId="24">
    <w:abstractNumId w:val="11"/>
  </w:num>
  <w:num w:numId="25">
    <w:abstractNumId w:val="13"/>
  </w:num>
  <w:num w:numId="26">
    <w:abstractNumId w:val="20"/>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32"/>
    <w:rsid w:val="00003C3A"/>
    <w:rsid w:val="00006C4A"/>
    <w:rsid w:val="00010803"/>
    <w:rsid w:val="000147CF"/>
    <w:rsid w:val="00017666"/>
    <w:rsid w:val="00024D0A"/>
    <w:rsid w:val="00032817"/>
    <w:rsid w:val="0004252C"/>
    <w:rsid w:val="00052499"/>
    <w:rsid w:val="00056F3B"/>
    <w:rsid w:val="00062607"/>
    <w:rsid w:val="00070065"/>
    <w:rsid w:val="00076E01"/>
    <w:rsid w:val="0007747E"/>
    <w:rsid w:val="00077DB2"/>
    <w:rsid w:val="00081BF9"/>
    <w:rsid w:val="00082332"/>
    <w:rsid w:val="00084B77"/>
    <w:rsid w:val="0009291F"/>
    <w:rsid w:val="000B1162"/>
    <w:rsid w:val="000B5939"/>
    <w:rsid w:val="000C1F8B"/>
    <w:rsid w:val="000C4E5D"/>
    <w:rsid w:val="000C69F8"/>
    <w:rsid w:val="000D064A"/>
    <w:rsid w:val="000E3105"/>
    <w:rsid w:val="000E7F5E"/>
    <w:rsid w:val="000F0029"/>
    <w:rsid w:val="000F4794"/>
    <w:rsid w:val="00101733"/>
    <w:rsid w:val="0010433E"/>
    <w:rsid w:val="001060C5"/>
    <w:rsid w:val="001134E7"/>
    <w:rsid w:val="0013004F"/>
    <w:rsid w:val="00134FDA"/>
    <w:rsid w:val="00137E6E"/>
    <w:rsid w:val="00144034"/>
    <w:rsid w:val="00145410"/>
    <w:rsid w:val="00146889"/>
    <w:rsid w:val="00153C13"/>
    <w:rsid w:val="00157C22"/>
    <w:rsid w:val="0017169E"/>
    <w:rsid w:val="00177290"/>
    <w:rsid w:val="001810B8"/>
    <w:rsid w:val="00182B67"/>
    <w:rsid w:val="0018584D"/>
    <w:rsid w:val="001A23E4"/>
    <w:rsid w:val="001A7DDF"/>
    <w:rsid w:val="001B18CF"/>
    <w:rsid w:val="001B65B3"/>
    <w:rsid w:val="001C27D3"/>
    <w:rsid w:val="001E74A9"/>
    <w:rsid w:val="0021083D"/>
    <w:rsid w:val="0021463A"/>
    <w:rsid w:val="00214A5F"/>
    <w:rsid w:val="002331B1"/>
    <w:rsid w:val="002408EA"/>
    <w:rsid w:val="002525B9"/>
    <w:rsid w:val="00256F0A"/>
    <w:rsid w:val="002575B4"/>
    <w:rsid w:val="00270605"/>
    <w:rsid w:val="00270FBC"/>
    <w:rsid w:val="002716A6"/>
    <w:rsid w:val="00285A5B"/>
    <w:rsid w:val="00287F12"/>
    <w:rsid w:val="002920F8"/>
    <w:rsid w:val="00295C21"/>
    <w:rsid w:val="002974CB"/>
    <w:rsid w:val="002A44E9"/>
    <w:rsid w:val="002A6474"/>
    <w:rsid w:val="002B38CE"/>
    <w:rsid w:val="002C1A7E"/>
    <w:rsid w:val="002C4054"/>
    <w:rsid w:val="002D09E7"/>
    <w:rsid w:val="002D1913"/>
    <w:rsid w:val="002D5680"/>
    <w:rsid w:val="002E3F5C"/>
    <w:rsid w:val="002E74A7"/>
    <w:rsid w:val="002F2EEF"/>
    <w:rsid w:val="003029A2"/>
    <w:rsid w:val="00311ED0"/>
    <w:rsid w:val="003178AE"/>
    <w:rsid w:val="00325AFC"/>
    <w:rsid w:val="00356C08"/>
    <w:rsid w:val="00361E32"/>
    <w:rsid w:val="00363768"/>
    <w:rsid w:val="00366BD5"/>
    <w:rsid w:val="00367EAA"/>
    <w:rsid w:val="003722FA"/>
    <w:rsid w:val="00377277"/>
    <w:rsid w:val="00377A5D"/>
    <w:rsid w:val="003953CD"/>
    <w:rsid w:val="003B1C33"/>
    <w:rsid w:val="003B3240"/>
    <w:rsid w:val="003B4F08"/>
    <w:rsid w:val="003C7AAF"/>
    <w:rsid w:val="003D10CA"/>
    <w:rsid w:val="003D1864"/>
    <w:rsid w:val="003D6B66"/>
    <w:rsid w:val="003E12B1"/>
    <w:rsid w:val="003F2EC0"/>
    <w:rsid w:val="003F3095"/>
    <w:rsid w:val="003F6CE1"/>
    <w:rsid w:val="00400A10"/>
    <w:rsid w:val="004075B6"/>
    <w:rsid w:val="00407AF6"/>
    <w:rsid w:val="00411B85"/>
    <w:rsid w:val="00415038"/>
    <w:rsid w:val="00420952"/>
    <w:rsid w:val="00424EEB"/>
    <w:rsid w:val="0042692A"/>
    <w:rsid w:val="00446BEE"/>
    <w:rsid w:val="00457B96"/>
    <w:rsid w:val="004722A0"/>
    <w:rsid w:val="00472574"/>
    <w:rsid w:val="00475341"/>
    <w:rsid w:val="0047609A"/>
    <w:rsid w:val="00480B5F"/>
    <w:rsid w:val="00492372"/>
    <w:rsid w:val="00493B39"/>
    <w:rsid w:val="004A3339"/>
    <w:rsid w:val="004B180E"/>
    <w:rsid w:val="004B6652"/>
    <w:rsid w:val="004C4CA9"/>
    <w:rsid w:val="004D7902"/>
    <w:rsid w:val="004E0DEB"/>
    <w:rsid w:val="004F0B20"/>
    <w:rsid w:val="004F2BF2"/>
    <w:rsid w:val="004F5416"/>
    <w:rsid w:val="005023E5"/>
    <w:rsid w:val="005025A1"/>
    <w:rsid w:val="00502C4B"/>
    <w:rsid w:val="005069EB"/>
    <w:rsid w:val="0051017A"/>
    <w:rsid w:val="00510B85"/>
    <w:rsid w:val="00511B9E"/>
    <w:rsid w:val="00513509"/>
    <w:rsid w:val="005278C1"/>
    <w:rsid w:val="00537651"/>
    <w:rsid w:val="0054017F"/>
    <w:rsid w:val="00540CC9"/>
    <w:rsid w:val="0054337A"/>
    <w:rsid w:val="00543833"/>
    <w:rsid w:val="00544931"/>
    <w:rsid w:val="00544F68"/>
    <w:rsid w:val="00545DDA"/>
    <w:rsid w:val="00551232"/>
    <w:rsid w:val="00554A1D"/>
    <w:rsid w:val="005572A0"/>
    <w:rsid w:val="00563767"/>
    <w:rsid w:val="0056596D"/>
    <w:rsid w:val="00565D19"/>
    <w:rsid w:val="005742F4"/>
    <w:rsid w:val="00574E31"/>
    <w:rsid w:val="00576A0E"/>
    <w:rsid w:val="00587E2B"/>
    <w:rsid w:val="00593444"/>
    <w:rsid w:val="005A1F41"/>
    <w:rsid w:val="005A5DB9"/>
    <w:rsid w:val="005B0959"/>
    <w:rsid w:val="005C6080"/>
    <w:rsid w:val="005D2114"/>
    <w:rsid w:val="005E1359"/>
    <w:rsid w:val="005F1527"/>
    <w:rsid w:val="005F2966"/>
    <w:rsid w:val="005F2DA0"/>
    <w:rsid w:val="005F4FEA"/>
    <w:rsid w:val="00602AF6"/>
    <w:rsid w:val="00606107"/>
    <w:rsid w:val="00621B7F"/>
    <w:rsid w:val="00625EE7"/>
    <w:rsid w:val="00630528"/>
    <w:rsid w:val="0064615D"/>
    <w:rsid w:val="006643A3"/>
    <w:rsid w:val="00671256"/>
    <w:rsid w:val="00674196"/>
    <w:rsid w:val="006809B5"/>
    <w:rsid w:val="00680D4D"/>
    <w:rsid w:val="006921E1"/>
    <w:rsid w:val="00697953"/>
    <w:rsid w:val="006A4C2C"/>
    <w:rsid w:val="006A601E"/>
    <w:rsid w:val="006A7C75"/>
    <w:rsid w:val="006B66D0"/>
    <w:rsid w:val="006C11B4"/>
    <w:rsid w:val="006D033B"/>
    <w:rsid w:val="006D55A6"/>
    <w:rsid w:val="006E63D0"/>
    <w:rsid w:val="006F1DE0"/>
    <w:rsid w:val="00707BD3"/>
    <w:rsid w:val="00711B65"/>
    <w:rsid w:val="007141AB"/>
    <w:rsid w:val="0071763D"/>
    <w:rsid w:val="007312ED"/>
    <w:rsid w:val="00731986"/>
    <w:rsid w:val="00736348"/>
    <w:rsid w:val="007418BF"/>
    <w:rsid w:val="0076215E"/>
    <w:rsid w:val="00763FBD"/>
    <w:rsid w:val="00770B9A"/>
    <w:rsid w:val="00777973"/>
    <w:rsid w:val="00777A7A"/>
    <w:rsid w:val="007846AB"/>
    <w:rsid w:val="00793197"/>
    <w:rsid w:val="007A1A20"/>
    <w:rsid w:val="007A3DE1"/>
    <w:rsid w:val="007C5EFE"/>
    <w:rsid w:val="007E438F"/>
    <w:rsid w:val="007F45F4"/>
    <w:rsid w:val="007F6914"/>
    <w:rsid w:val="00800DEF"/>
    <w:rsid w:val="00802F74"/>
    <w:rsid w:val="00804DB9"/>
    <w:rsid w:val="00814C63"/>
    <w:rsid w:val="00814EED"/>
    <w:rsid w:val="00816CE8"/>
    <w:rsid w:val="00830F75"/>
    <w:rsid w:val="00845357"/>
    <w:rsid w:val="00865790"/>
    <w:rsid w:val="00871FEF"/>
    <w:rsid w:val="00882F1A"/>
    <w:rsid w:val="008875A8"/>
    <w:rsid w:val="00890F81"/>
    <w:rsid w:val="0089115D"/>
    <w:rsid w:val="008918B3"/>
    <w:rsid w:val="008959CF"/>
    <w:rsid w:val="008A1E7A"/>
    <w:rsid w:val="008A5555"/>
    <w:rsid w:val="008A5D39"/>
    <w:rsid w:val="008C4246"/>
    <w:rsid w:val="008C7520"/>
    <w:rsid w:val="008D0226"/>
    <w:rsid w:val="008D325E"/>
    <w:rsid w:val="008E664D"/>
    <w:rsid w:val="008F157E"/>
    <w:rsid w:val="008F32A0"/>
    <w:rsid w:val="008F4E07"/>
    <w:rsid w:val="009138E1"/>
    <w:rsid w:val="00914B96"/>
    <w:rsid w:val="0092401F"/>
    <w:rsid w:val="00925990"/>
    <w:rsid w:val="00925F15"/>
    <w:rsid w:val="00927850"/>
    <w:rsid w:val="00931D34"/>
    <w:rsid w:val="00934166"/>
    <w:rsid w:val="00942AA1"/>
    <w:rsid w:val="00951CE2"/>
    <w:rsid w:val="00953350"/>
    <w:rsid w:val="009603B9"/>
    <w:rsid w:val="00971846"/>
    <w:rsid w:val="009731A1"/>
    <w:rsid w:val="00973679"/>
    <w:rsid w:val="009858FD"/>
    <w:rsid w:val="00995A8D"/>
    <w:rsid w:val="00996881"/>
    <w:rsid w:val="009A2635"/>
    <w:rsid w:val="009A6023"/>
    <w:rsid w:val="009B1828"/>
    <w:rsid w:val="009C4F96"/>
    <w:rsid w:val="009C54DC"/>
    <w:rsid w:val="009D28CF"/>
    <w:rsid w:val="009D3DFE"/>
    <w:rsid w:val="009E2430"/>
    <w:rsid w:val="009E4416"/>
    <w:rsid w:val="009E680B"/>
    <w:rsid w:val="009F10F3"/>
    <w:rsid w:val="009F4628"/>
    <w:rsid w:val="009F5502"/>
    <w:rsid w:val="009F7239"/>
    <w:rsid w:val="00A01539"/>
    <w:rsid w:val="00A0372E"/>
    <w:rsid w:val="00A03EFD"/>
    <w:rsid w:val="00A06649"/>
    <w:rsid w:val="00A07923"/>
    <w:rsid w:val="00A108C4"/>
    <w:rsid w:val="00A10F80"/>
    <w:rsid w:val="00A13068"/>
    <w:rsid w:val="00A15A1F"/>
    <w:rsid w:val="00A25F36"/>
    <w:rsid w:val="00A26695"/>
    <w:rsid w:val="00A27753"/>
    <w:rsid w:val="00A327CE"/>
    <w:rsid w:val="00A3325A"/>
    <w:rsid w:val="00A41399"/>
    <w:rsid w:val="00A46165"/>
    <w:rsid w:val="00A46305"/>
    <w:rsid w:val="00A4675C"/>
    <w:rsid w:val="00A707C3"/>
    <w:rsid w:val="00A7191E"/>
    <w:rsid w:val="00A74673"/>
    <w:rsid w:val="00A753B8"/>
    <w:rsid w:val="00A756BB"/>
    <w:rsid w:val="00A861F5"/>
    <w:rsid w:val="00AA2B6D"/>
    <w:rsid w:val="00AA6635"/>
    <w:rsid w:val="00AB72DC"/>
    <w:rsid w:val="00AC3860"/>
    <w:rsid w:val="00AC6EA8"/>
    <w:rsid w:val="00AD08E5"/>
    <w:rsid w:val="00AE7DC4"/>
    <w:rsid w:val="00AF108A"/>
    <w:rsid w:val="00B02E55"/>
    <w:rsid w:val="00B03E79"/>
    <w:rsid w:val="00B05BFE"/>
    <w:rsid w:val="00B10733"/>
    <w:rsid w:val="00B11C4C"/>
    <w:rsid w:val="00B1359B"/>
    <w:rsid w:val="00B2228D"/>
    <w:rsid w:val="00B253F7"/>
    <w:rsid w:val="00B259D3"/>
    <w:rsid w:val="00B26B7A"/>
    <w:rsid w:val="00B2721B"/>
    <w:rsid w:val="00B2787D"/>
    <w:rsid w:val="00B32138"/>
    <w:rsid w:val="00B32FD8"/>
    <w:rsid w:val="00B33EA3"/>
    <w:rsid w:val="00B51A60"/>
    <w:rsid w:val="00B55E80"/>
    <w:rsid w:val="00B564E5"/>
    <w:rsid w:val="00B67EF6"/>
    <w:rsid w:val="00B7371D"/>
    <w:rsid w:val="00B8205D"/>
    <w:rsid w:val="00B901A6"/>
    <w:rsid w:val="00B9594A"/>
    <w:rsid w:val="00BA7D8F"/>
    <w:rsid w:val="00BB0629"/>
    <w:rsid w:val="00BB0E43"/>
    <w:rsid w:val="00BB19DE"/>
    <w:rsid w:val="00BC3E45"/>
    <w:rsid w:val="00BC6DEF"/>
    <w:rsid w:val="00BD3372"/>
    <w:rsid w:val="00BD4083"/>
    <w:rsid w:val="00BD4F8D"/>
    <w:rsid w:val="00BE5835"/>
    <w:rsid w:val="00BE67CC"/>
    <w:rsid w:val="00BF7FE0"/>
    <w:rsid w:val="00C05518"/>
    <w:rsid w:val="00C21130"/>
    <w:rsid w:val="00C236F1"/>
    <w:rsid w:val="00C2686C"/>
    <w:rsid w:val="00C271CC"/>
    <w:rsid w:val="00C3570F"/>
    <w:rsid w:val="00C35B50"/>
    <w:rsid w:val="00C410BB"/>
    <w:rsid w:val="00C462C5"/>
    <w:rsid w:val="00C4762D"/>
    <w:rsid w:val="00C47DDE"/>
    <w:rsid w:val="00C653E4"/>
    <w:rsid w:val="00C6604E"/>
    <w:rsid w:val="00C76752"/>
    <w:rsid w:val="00C802A6"/>
    <w:rsid w:val="00C80C8C"/>
    <w:rsid w:val="00C82DC7"/>
    <w:rsid w:val="00C87618"/>
    <w:rsid w:val="00C9333C"/>
    <w:rsid w:val="00C97FC6"/>
    <w:rsid w:val="00CA4909"/>
    <w:rsid w:val="00CA556C"/>
    <w:rsid w:val="00CB7F99"/>
    <w:rsid w:val="00CC60E2"/>
    <w:rsid w:val="00CF3EEC"/>
    <w:rsid w:val="00CF58B7"/>
    <w:rsid w:val="00D15F34"/>
    <w:rsid w:val="00D303E7"/>
    <w:rsid w:val="00D351C1"/>
    <w:rsid w:val="00D4147E"/>
    <w:rsid w:val="00D84960"/>
    <w:rsid w:val="00D854C6"/>
    <w:rsid w:val="00D86BF0"/>
    <w:rsid w:val="00D95C78"/>
    <w:rsid w:val="00DA3F0F"/>
    <w:rsid w:val="00DA5082"/>
    <w:rsid w:val="00DA547B"/>
    <w:rsid w:val="00DB42B2"/>
    <w:rsid w:val="00DC4041"/>
    <w:rsid w:val="00DC5317"/>
    <w:rsid w:val="00DD6AC4"/>
    <w:rsid w:val="00DD730C"/>
    <w:rsid w:val="00DE2C8D"/>
    <w:rsid w:val="00E01790"/>
    <w:rsid w:val="00E0426C"/>
    <w:rsid w:val="00E047E4"/>
    <w:rsid w:val="00E1328B"/>
    <w:rsid w:val="00E2231C"/>
    <w:rsid w:val="00E2445B"/>
    <w:rsid w:val="00E336B6"/>
    <w:rsid w:val="00E37010"/>
    <w:rsid w:val="00E446F8"/>
    <w:rsid w:val="00E51920"/>
    <w:rsid w:val="00E53692"/>
    <w:rsid w:val="00E53976"/>
    <w:rsid w:val="00E56D17"/>
    <w:rsid w:val="00E60B78"/>
    <w:rsid w:val="00E627E3"/>
    <w:rsid w:val="00E64120"/>
    <w:rsid w:val="00E779E5"/>
    <w:rsid w:val="00E83D6E"/>
    <w:rsid w:val="00EA20F5"/>
    <w:rsid w:val="00EA53E3"/>
    <w:rsid w:val="00EA58D3"/>
    <w:rsid w:val="00EC496A"/>
    <w:rsid w:val="00EE0652"/>
    <w:rsid w:val="00EF332F"/>
    <w:rsid w:val="00EF5FBC"/>
    <w:rsid w:val="00EF6BCB"/>
    <w:rsid w:val="00F03E83"/>
    <w:rsid w:val="00F055F1"/>
    <w:rsid w:val="00F228CA"/>
    <w:rsid w:val="00F24CA0"/>
    <w:rsid w:val="00F349FB"/>
    <w:rsid w:val="00F36752"/>
    <w:rsid w:val="00F41CC6"/>
    <w:rsid w:val="00F52ED3"/>
    <w:rsid w:val="00F8391D"/>
    <w:rsid w:val="00F858CA"/>
    <w:rsid w:val="00F86483"/>
    <w:rsid w:val="00F957CF"/>
    <w:rsid w:val="00FA0B3F"/>
    <w:rsid w:val="00FA1B95"/>
    <w:rsid w:val="00FA3C45"/>
    <w:rsid w:val="00FA58FB"/>
    <w:rsid w:val="00FB4B66"/>
    <w:rsid w:val="00FB6A22"/>
    <w:rsid w:val="00FC10ED"/>
    <w:rsid w:val="00FC1ACF"/>
    <w:rsid w:val="00FC2D11"/>
    <w:rsid w:val="00FC475A"/>
    <w:rsid w:val="00FC6230"/>
    <w:rsid w:val="00FD0A3E"/>
    <w:rsid w:val="00FD1CFC"/>
    <w:rsid w:val="00FE0AD4"/>
    <w:rsid w:val="00FE51AB"/>
    <w:rsid w:val="00FF4DBF"/>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BC982"/>
  <w15:docId w15:val="{1593CA28-79F7-4CD3-A2A1-2749AC6F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ind w:left="397" w:hanging="397"/>
    </w:pPr>
  </w:style>
  <w:style w:type="character" w:customStyle="1" w:styleId="NumberedheadingChar">
    <w:name w:val="Numbered heading Char"/>
    <w:link w:val="Numberedheading"/>
    <w:rsid w:val="00510B85"/>
    <w:rPr>
      <w:rFonts w:ascii="Arial" w:hAnsi="Arial" w:cs="Arial"/>
      <w:b/>
      <w:bCs/>
      <w:iCs/>
      <w:sz w:val="24"/>
      <w:szCs w:val="28"/>
      <w:lang w:eastAsia="en-US"/>
    </w:rPr>
  </w:style>
  <w:style w:type="paragraph" w:styleId="ListNumber2">
    <w:name w:val="List Number 2"/>
    <w:basedOn w:val="Normal"/>
    <w:semiHidden/>
    <w:rsid w:val="00BC3E45"/>
    <w:pPr>
      <w:numPr>
        <w:numId w:val="14"/>
      </w:numPr>
      <w:contextualSpacing/>
    </w:pPr>
  </w:style>
  <w:style w:type="paragraph" w:customStyle="1" w:styleId="numbered-paragraph">
    <w:name w:val="numbered-paragraph"/>
    <w:basedOn w:val="Normal"/>
    <w:rsid w:val="00E60B78"/>
    <w:pPr>
      <w:spacing w:after="180"/>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thways.nice.org.uk/pathways/skin-can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B29E7F80</Template>
  <TotalTime>0</TotalTime>
  <Pages>6</Pages>
  <Words>1215</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7921</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Dillon</dc:creator>
  <cp:lastModifiedBy>Joanne Heaney</cp:lastModifiedBy>
  <cp:revision>2</cp:revision>
  <cp:lastPrinted>2018-11-05T08:56:00Z</cp:lastPrinted>
  <dcterms:created xsi:type="dcterms:W3CDTF">2019-01-07T08:07:00Z</dcterms:created>
  <dcterms:modified xsi:type="dcterms:W3CDTF">2019-01-07T08:07:00Z</dcterms:modified>
</cp:coreProperties>
</file>