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80E" w:rsidRDefault="004B180E" w:rsidP="002078A6">
      <w:pPr>
        <w:pStyle w:val="Title"/>
        <w:spacing w:before="0" w:line="276" w:lineRule="auto"/>
      </w:pPr>
      <w:bookmarkStart w:id="0" w:name="_GoBack"/>
      <w:bookmarkEnd w:id="0"/>
      <w:r>
        <w:t xml:space="preserve">NATIONAL INSTITUTE FOR HEALTH AND </w:t>
      </w:r>
      <w:r w:rsidR="00554A1D">
        <w:rPr>
          <w:lang w:val="en-GB"/>
        </w:rPr>
        <w:t>CARE</w:t>
      </w:r>
      <w:r>
        <w:t xml:space="preserve"> EXCELLENCE</w:t>
      </w:r>
    </w:p>
    <w:p w:rsidR="00B2228D" w:rsidRDefault="00B2228D" w:rsidP="002078A6">
      <w:pPr>
        <w:pStyle w:val="Heading1"/>
        <w:spacing w:before="0" w:after="240" w:line="276" w:lineRule="auto"/>
        <w:jc w:val="center"/>
        <w:rPr>
          <w:lang w:val="en-GB"/>
        </w:rPr>
      </w:pPr>
      <w:r>
        <w:rPr>
          <w:lang w:val="en-GB"/>
        </w:rPr>
        <w:t>Centre for Health Technology Evaluation</w:t>
      </w:r>
    </w:p>
    <w:p w:rsidR="00AB7312" w:rsidRPr="00AB7312" w:rsidRDefault="00AB7312" w:rsidP="00AB7312">
      <w:pPr>
        <w:pStyle w:val="Heading1"/>
        <w:spacing w:line="276" w:lineRule="auto"/>
        <w:jc w:val="center"/>
        <w:rPr>
          <w:kern w:val="28"/>
          <w:sz w:val="32"/>
        </w:rPr>
      </w:pPr>
      <w:r w:rsidRPr="00AB7312">
        <w:rPr>
          <w:kern w:val="28"/>
          <w:sz w:val="32"/>
        </w:rPr>
        <w:t>MTG Review Proposal Consultation Document</w:t>
      </w:r>
    </w:p>
    <w:p w:rsidR="004B180E" w:rsidRPr="00457B96" w:rsidRDefault="004B180E" w:rsidP="002078A6">
      <w:pPr>
        <w:pStyle w:val="Heading1"/>
        <w:keepNext w:val="0"/>
        <w:spacing w:before="0" w:after="240" w:line="276" w:lineRule="auto"/>
      </w:pPr>
      <w:r>
        <w:t xml:space="preserve">Review of </w:t>
      </w:r>
      <w:r w:rsidR="009F4628">
        <w:rPr>
          <w:lang w:val="en-GB"/>
        </w:rPr>
        <w:t>MTG</w:t>
      </w:r>
      <w:r w:rsidR="00CD4C8F">
        <w:rPr>
          <w:lang w:val="en-GB"/>
        </w:rPr>
        <w:t>19</w:t>
      </w:r>
      <w:r w:rsidR="00B2228D">
        <w:rPr>
          <w:lang w:val="en-GB"/>
        </w:rPr>
        <w:t xml:space="preserve">: </w:t>
      </w:r>
      <w:r w:rsidR="00CD4C8F" w:rsidRPr="00CD4C8F">
        <w:rPr>
          <w:lang w:val="en-GB"/>
        </w:rPr>
        <w:t xml:space="preserve">The </w:t>
      </w:r>
      <w:proofErr w:type="spellStart"/>
      <w:r w:rsidR="00CD4C8F" w:rsidRPr="00CD4C8F">
        <w:rPr>
          <w:lang w:val="en-GB"/>
        </w:rPr>
        <w:t>geko</w:t>
      </w:r>
      <w:proofErr w:type="spellEnd"/>
      <w:r w:rsidR="00CD4C8F" w:rsidRPr="00CD4C8F">
        <w:rPr>
          <w:lang w:val="en-GB"/>
        </w:rPr>
        <w:t xml:space="preserve"> device for reducing the risk of venous thromboembolism</w:t>
      </w:r>
      <w:r w:rsidR="00545DDA" w:rsidRPr="00545DDA">
        <w:rPr>
          <w:highlight w:val="lightGray"/>
          <w:lang w:val="en-GB"/>
        </w:rPr>
        <w:t xml:space="preserve"> </w:t>
      </w:r>
    </w:p>
    <w:p w:rsidR="002F637A" w:rsidRDefault="004B180E" w:rsidP="002078A6">
      <w:pPr>
        <w:autoSpaceDE w:val="0"/>
        <w:autoSpaceDN w:val="0"/>
        <w:adjustRightInd w:val="0"/>
        <w:spacing w:before="240" w:line="276" w:lineRule="auto"/>
        <w:rPr>
          <w:lang w:val="en-US"/>
        </w:rPr>
      </w:pPr>
      <w:r w:rsidRPr="001007A0">
        <w:rPr>
          <w:lang w:val="en-US"/>
        </w:rPr>
        <w:t xml:space="preserve">This guidance was issued in </w:t>
      </w:r>
      <w:r w:rsidR="005345CB">
        <w:rPr>
          <w:lang w:val="en-US"/>
        </w:rPr>
        <w:t>June 2014</w:t>
      </w:r>
      <w:r w:rsidR="00B2228D">
        <w:rPr>
          <w:lang w:val="en-US"/>
        </w:rPr>
        <w:t>.</w:t>
      </w:r>
      <w:r w:rsidR="002F637A" w:rsidRPr="002F637A">
        <w:rPr>
          <w:lang w:val="en-US"/>
        </w:rPr>
        <w:t xml:space="preserve"> </w:t>
      </w:r>
    </w:p>
    <w:p w:rsidR="00663B48" w:rsidRDefault="00663B48" w:rsidP="002078A6">
      <w:pPr>
        <w:autoSpaceDE w:val="0"/>
        <w:autoSpaceDN w:val="0"/>
        <w:adjustRightInd w:val="0"/>
        <w:spacing w:before="240" w:line="276" w:lineRule="auto"/>
        <w:rPr>
          <w:lang w:val="en-US"/>
        </w:rPr>
      </w:pPr>
      <w:r w:rsidRPr="00663B48">
        <w:rPr>
          <w:lang w:val="en-US"/>
        </w:rPr>
        <w:t xml:space="preserve">This topic was scheduled for early review as a result of an overlap with </w:t>
      </w:r>
      <w:r w:rsidR="00450F57">
        <w:rPr>
          <w:lang w:val="en-US"/>
        </w:rPr>
        <w:t xml:space="preserve">the partial update of the </w:t>
      </w:r>
      <w:r>
        <w:rPr>
          <w:lang w:val="en-US"/>
        </w:rPr>
        <w:t>v</w:t>
      </w:r>
      <w:r w:rsidRPr="00663B48">
        <w:rPr>
          <w:lang w:val="en-US"/>
        </w:rPr>
        <w:t>enous thromboembolism: reducing the risk for patients in hospital</w:t>
      </w:r>
      <w:r>
        <w:rPr>
          <w:lang w:val="en-US"/>
        </w:rPr>
        <w:t xml:space="preserve"> </w:t>
      </w:r>
      <w:r w:rsidRPr="00663B48">
        <w:rPr>
          <w:lang w:val="en-US"/>
        </w:rPr>
        <w:t>guideline</w:t>
      </w:r>
      <w:r w:rsidR="00450F57">
        <w:rPr>
          <w:lang w:val="en-US"/>
        </w:rPr>
        <w:t xml:space="preserve"> (CG92),</w:t>
      </w:r>
      <w:r w:rsidRPr="00663B48">
        <w:rPr>
          <w:lang w:val="en-US"/>
        </w:rPr>
        <w:t xml:space="preserve"> published in </w:t>
      </w:r>
      <w:r>
        <w:rPr>
          <w:lang w:val="en-US"/>
        </w:rPr>
        <w:t>June</w:t>
      </w:r>
      <w:r w:rsidRPr="00663B48">
        <w:rPr>
          <w:lang w:val="en-US"/>
        </w:rPr>
        <w:t xml:space="preserve"> 2015.</w:t>
      </w:r>
    </w:p>
    <w:p w:rsidR="006E275C" w:rsidRDefault="007D04DF" w:rsidP="006E275C">
      <w:pPr>
        <w:spacing w:line="276" w:lineRule="auto"/>
        <w:rPr>
          <w:lang w:val="en-US"/>
        </w:rPr>
      </w:pPr>
      <w:r w:rsidRPr="007D04DF">
        <w:rPr>
          <w:lang w:val="en-US"/>
        </w:rPr>
        <w:t>NICE proposes an update of the published guidance if the evidence base or clinical environment has changed to an extent that is likely to have a material effect on the recommendations in the existing guidance.  Other factors such as price changes or newer versions of the technology will be considered relevant in the review process, but will not in individual cases always be sufficient cause to update existing guidance</w:t>
      </w:r>
      <w:r>
        <w:rPr>
          <w:lang w:val="en-US"/>
        </w:rPr>
        <w:t>.</w:t>
      </w:r>
    </w:p>
    <w:p w:rsidR="00BA7D8F" w:rsidRPr="00942AA1" w:rsidRDefault="00BA7D8F" w:rsidP="006E275C">
      <w:pPr>
        <w:pStyle w:val="Numberedheading"/>
      </w:pPr>
      <w:r w:rsidRPr="00BA7D8F">
        <w:t>Recommendation</w:t>
      </w:r>
      <w:r>
        <w:t xml:space="preserve"> </w:t>
      </w:r>
    </w:p>
    <w:p w:rsidR="00353B4D" w:rsidRDefault="001650DD" w:rsidP="002078A6">
      <w:pPr>
        <w:spacing w:line="276" w:lineRule="auto"/>
        <w:rPr>
          <w:bCs/>
        </w:rPr>
      </w:pPr>
      <w:r w:rsidRPr="001650DD">
        <w:rPr>
          <w:bCs/>
        </w:rPr>
        <w:t>Transfer the guidance to the static guidance list</w:t>
      </w:r>
      <w:r>
        <w:rPr>
          <w:bCs/>
        </w:rPr>
        <w:t>.</w:t>
      </w:r>
    </w:p>
    <w:p w:rsidR="001650DD" w:rsidRDefault="00353B4D" w:rsidP="002078A6">
      <w:pPr>
        <w:spacing w:line="276" w:lineRule="auto"/>
        <w:rPr>
          <w:bCs/>
        </w:rPr>
      </w:pPr>
      <w:r>
        <w:rPr>
          <w:bCs/>
        </w:rPr>
        <w:t xml:space="preserve">Place suitable </w:t>
      </w:r>
      <w:r w:rsidR="008D1C57">
        <w:rPr>
          <w:bCs/>
        </w:rPr>
        <w:t xml:space="preserve">explanatory </w:t>
      </w:r>
      <w:r>
        <w:rPr>
          <w:bCs/>
        </w:rPr>
        <w:t xml:space="preserve">text on the </w:t>
      </w:r>
      <w:r w:rsidR="00241953">
        <w:rPr>
          <w:bCs/>
        </w:rPr>
        <w:t xml:space="preserve">guidance </w:t>
      </w:r>
      <w:r>
        <w:rPr>
          <w:bCs/>
        </w:rPr>
        <w:t>landing page</w:t>
      </w:r>
      <w:r w:rsidR="00DC4C82">
        <w:rPr>
          <w:bCs/>
        </w:rPr>
        <w:t xml:space="preserve"> </w:t>
      </w:r>
      <w:r>
        <w:rPr>
          <w:bCs/>
        </w:rPr>
        <w:t xml:space="preserve">signposting users to the updated CG92 for recommendations on </w:t>
      </w:r>
      <w:r w:rsidR="008D1C57">
        <w:rPr>
          <w:bCs/>
        </w:rPr>
        <w:t xml:space="preserve">neuromuscular stimulation devices in </w:t>
      </w:r>
      <w:r>
        <w:t xml:space="preserve">patients admitted for a stroke. </w:t>
      </w:r>
    </w:p>
    <w:p w:rsidR="00493B39" w:rsidRPr="00FA58FB" w:rsidRDefault="00DA547B" w:rsidP="002078A6">
      <w:pPr>
        <w:pStyle w:val="Numberedheading"/>
        <w:keepNext w:val="0"/>
        <w:spacing w:line="276" w:lineRule="auto"/>
        <w:ind w:left="284" w:hanging="284"/>
        <w:rPr>
          <w:lang w:val="en-US"/>
        </w:rPr>
      </w:pPr>
      <w:r>
        <w:t xml:space="preserve">Original </w:t>
      </w:r>
      <w:r w:rsidR="00545DDA">
        <w:rPr>
          <w:lang w:val="en-GB"/>
        </w:rPr>
        <w:t>objective of guidance</w:t>
      </w:r>
    </w:p>
    <w:p w:rsidR="00475341" w:rsidRDefault="00A07923" w:rsidP="002078A6">
      <w:pPr>
        <w:spacing w:before="240" w:line="276" w:lineRule="auto"/>
      </w:pPr>
      <w:proofErr w:type="gramStart"/>
      <w:r>
        <w:t xml:space="preserve">To </w:t>
      </w:r>
      <w:r w:rsidR="002A5881">
        <w:t xml:space="preserve">evaluate </w:t>
      </w:r>
      <w:r>
        <w:t xml:space="preserve">the </w:t>
      </w:r>
      <w:r w:rsidR="002A5881">
        <w:t>case for adoption</w:t>
      </w:r>
      <w:r>
        <w:t xml:space="preserve"> of </w:t>
      </w:r>
      <w:r w:rsidR="00846CBD">
        <w:t xml:space="preserve">the </w:t>
      </w:r>
      <w:proofErr w:type="spellStart"/>
      <w:r w:rsidR="00846CBD" w:rsidRPr="00846CBD">
        <w:t>geko</w:t>
      </w:r>
      <w:proofErr w:type="spellEnd"/>
      <w:r w:rsidR="00846CBD" w:rsidRPr="00846CBD">
        <w:t xml:space="preserve"> device for reducing the risk of venous thromboembolism</w:t>
      </w:r>
      <w:r>
        <w:t>.</w:t>
      </w:r>
      <w:proofErr w:type="gramEnd"/>
    </w:p>
    <w:p w:rsidR="00DA547B" w:rsidRPr="00A07923" w:rsidRDefault="00DA547B" w:rsidP="002078A6">
      <w:pPr>
        <w:pStyle w:val="Numberedheading"/>
        <w:keepNext w:val="0"/>
        <w:spacing w:line="276" w:lineRule="auto"/>
        <w:ind w:left="284" w:hanging="284"/>
      </w:pPr>
      <w:r>
        <w:t>Current guidance</w:t>
      </w:r>
    </w:p>
    <w:p w:rsidR="001650DD" w:rsidRPr="001650DD" w:rsidRDefault="001650DD" w:rsidP="002078A6">
      <w:pPr>
        <w:pStyle w:val="Numberedheading"/>
        <w:numPr>
          <w:ilvl w:val="0"/>
          <w:numId w:val="0"/>
        </w:numPr>
        <w:spacing w:line="276" w:lineRule="auto"/>
        <w:rPr>
          <w:b w:val="0"/>
        </w:rPr>
      </w:pPr>
      <w:r w:rsidRPr="001650DD">
        <w:rPr>
          <w:b w:val="0"/>
        </w:rPr>
        <w:lastRenderedPageBreak/>
        <w:t xml:space="preserve">1.1 The case for adopting the </w:t>
      </w:r>
      <w:proofErr w:type="spellStart"/>
      <w:r w:rsidRPr="001650DD">
        <w:rPr>
          <w:b w:val="0"/>
        </w:rPr>
        <w:t>geko</w:t>
      </w:r>
      <w:proofErr w:type="spellEnd"/>
      <w:r w:rsidRPr="001650DD">
        <w:rPr>
          <w:b w:val="0"/>
        </w:rPr>
        <w:t xml:space="preserve"> device is supported for use in people who have a high risk of venous thromboembolism and for whom other mechanical and pharmacological methods of prophylaxis are impractical or contraindicated. Although clinical evidence is limited, the case is supported because of the plausibility that the </w:t>
      </w:r>
      <w:proofErr w:type="spellStart"/>
      <w:r w:rsidRPr="001650DD">
        <w:rPr>
          <w:b w:val="0"/>
        </w:rPr>
        <w:t>geko</w:t>
      </w:r>
      <w:proofErr w:type="spellEnd"/>
      <w:r w:rsidRPr="001650DD">
        <w:rPr>
          <w:b w:val="0"/>
        </w:rPr>
        <w:t xml:space="preserve"> device may reduce the high risk of venous thromboembolism in patients who cannot use other forms of prophylaxis, and the low risk of the device causing harm.</w:t>
      </w:r>
    </w:p>
    <w:p w:rsidR="00DC4041" w:rsidRPr="001650DD" w:rsidRDefault="001650DD" w:rsidP="002078A6">
      <w:pPr>
        <w:pStyle w:val="Numberedheading"/>
        <w:numPr>
          <w:ilvl w:val="0"/>
          <w:numId w:val="0"/>
        </w:numPr>
        <w:spacing w:line="276" w:lineRule="auto"/>
        <w:rPr>
          <w:b w:val="0"/>
          <w:highlight w:val="lightGray"/>
          <w:lang w:val="en-GB"/>
        </w:rPr>
      </w:pPr>
      <w:r w:rsidRPr="001650DD">
        <w:rPr>
          <w:b w:val="0"/>
        </w:rPr>
        <w:t xml:space="preserve">1.2 In patients at high risk of venous thromboembolism who would otherwise receive no prophylaxis, using the </w:t>
      </w:r>
      <w:proofErr w:type="spellStart"/>
      <w:r w:rsidRPr="001650DD">
        <w:rPr>
          <w:b w:val="0"/>
        </w:rPr>
        <w:t>geko</w:t>
      </w:r>
      <w:proofErr w:type="spellEnd"/>
      <w:r w:rsidRPr="001650DD">
        <w:rPr>
          <w:b w:val="0"/>
        </w:rPr>
        <w:t xml:space="preserve"> device is estimated to be cost saving. The amount saved depends on the level of reduction in relative risk of deep vein thrombosis associated with </w:t>
      </w:r>
      <w:proofErr w:type="spellStart"/>
      <w:r w:rsidRPr="001650DD">
        <w:rPr>
          <w:b w:val="0"/>
        </w:rPr>
        <w:t>geko</w:t>
      </w:r>
      <w:proofErr w:type="spellEnd"/>
      <w:r w:rsidRPr="001650DD">
        <w:rPr>
          <w:b w:val="0"/>
        </w:rPr>
        <w:t xml:space="preserve"> treatment compared with no treatment. There is no direct evidence on the size of this reduction, but when values obtained with other mechanical methods of prophylaxis were used in cost modelling, the estimated cost saving for the </w:t>
      </w:r>
      <w:proofErr w:type="spellStart"/>
      <w:r w:rsidRPr="001650DD">
        <w:rPr>
          <w:b w:val="0"/>
        </w:rPr>
        <w:t>geko</w:t>
      </w:r>
      <w:proofErr w:type="spellEnd"/>
      <w:r w:rsidRPr="001650DD">
        <w:rPr>
          <w:b w:val="0"/>
        </w:rPr>
        <w:t xml:space="preserve"> device in patients at high risk of venous thromboembolism compared with no prophylaxis was £197 per patient.</w:t>
      </w:r>
    </w:p>
    <w:p w:rsidR="00DC4041" w:rsidRPr="00DC4041" w:rsidRDefault="004B180E" w:rsidP="002078A6">
      <w:pPr>
        <w:pStyle w:val="Numberedheading"/>
        <w:spacing w:line="276" w:lineRule="auto"/>
        <w:ind w:left="284" w:hanging="284"/>
      </w:pPr>
      <w:r>
        <w:t>Rationale</w:t>
      </w:r>
    </w:p>
    <w:p w:rsidR="007C7D4E" w:rsidRDefault="00241953" w:rsidP="002078A6">
      <w:pPr>
        <w:spacing w:before="240" w:line="276" w:lineRule="auto"/>
      </w:pPr>
      <w:r>
        <w:t xml:space="preserve">Other than for patients admitted with a stroke, the </w:t>
      </w:r>
      <w:r w:rsidR="007C7D4E">
        <w:t xml:space="preserve">new </w:t>
      </w:r>
      <w:r w:rsidR="00450F57">
        <w:t xml:space="preserve">available </w:t>
      </w:r>
      <w:r w:rsidR="007C7D4E">
        <w:t xml:space="preserve">evidence </w:t>
      </w:r>
      <w:r w:rsidR="00450F57">
        <w:t xml:space="preserve">on </w:t>
      </w:r>
      <w:proofErr w:type="spellStart"/>
      <w:r w:rsidR="00450F57">
        <w:t>geko</w:t>
      </w:r>
      <w:proofErr w:type="spellEnd"/>
      <w:r>
        <w:t xml:space="preserve"> supports the </w:t>
      </w:r>
      <w:r w:rsidR="007C7D4E">
        <w:t>guidance re</w:t>
      </w:r>
      <w:r>
        <w:t>commen</w:t>
      </w:r>
      <w:r w:rsidR="00BD18F4">
        <w:t>d</w:t>
      </w:r>
      <w:r>
        <w:t>ations.</w:t>
      </w:r>
      <w:r w:rsidR="00AB7312">
        <w:t xml:space="preserve"> </w:t>
      </w:r>
      <w:r>
        <w:t>T</w:t>
      </w:r>
      <w:r w:rsidR="00B04317">
        <w:t>here has been no change in the availability</w:t>
      </w:r>
      <w:r w:rsidR="000B16AC">
        <w:t xml:space="preserve">, </w:t>
      </w:r>
      <w:r w:rsidR="00B04317">
        <w:t>cost</w:t>
      </w:r>
      <w:r w:rsidR="000B16AC">
        <w:t xml:space="preserve">, </w:t>
      </w:r>
      <w:proofErr w:type="gramStart"/>
      <w:r w:rsidR="000B16AC">
        <w:t>mode</w:t>
      </w:r>
      <w:proofErr w:type="gramEnd"/>
      <w:r w:rsidR="000B16AC">
        <w:t xml:space="preserve"> of action </w:t>
      </w:r>
      <w:r w:rsidR="00B04317">
        <w:t xml:space="preserve">or </w:t>
      </w:r>
      <w:r w:rsidR="00B20C45">
        <w:t>regulatory status</w:t>
      </w:r>
      <w:r w:rsidR="00B04317">
        <w:t>.</w:t>
      </w:r>
      <w:r w:rsidR="00EF46FB">
        <w:t xml:space="preserve"> </w:t>
      </w:r>
      <w:r w:rsidR="000129FA">
        <w:t>Therefore it is proposed that this guidance should be placed on the ‘static list’</w:t>
      </w:r>
      <w:r w:rsidR="00957A0D">
        <w:t>, with appropriate signposting to the updated CG92 for recommendations on patients admitted with a stroke</w:t>
      </w:r>
      <w:r w:rsidR="008701B2">
        <w:t xml:space="preserve"> (see Appendix 1 for explanation of options)</w:t>
      </w:r>
      <w:r w:rsidR="006D511B">
        <w:t>.</w:t>
      </w:r>
    </w:p>
    <w:p w:rsidR="00FD0A3E" w:rsidRDefault="00361E32" w:rsidP="002078A6">
      <w:pPr>
        <w:pStyle w:val="Numberedheading"/>
        <w:keepNext w:val="0"/>
        <w:spacing w:line="276" w:lineRule="auto"/>
        <w:ind w:left="284" w:hanging="284"/>
      </w:pPr>
      <w:r>
        <w:t>Implications for other guidance producing programmes</w:t>
      </w:r>
      <w:r w:rsidR="00511B9E">
        <w:t xml:space="preserve"> </w:t>
      </w:r>
    </w:p>
    <w:p w:rsidR="0057728F" w:rsidRDefault="00211008" w:rsidP="002078A6">
      <w:pPr>
        <w:spacing w:before="240" w:line="276" w:lineRule="auto"/>
      </w:pPr>
      <w:bookmarkStart w:id="1" w:name="Text25"/>
      <w:r>
        <w:t>No comments on the draft review proposal were received from other NICE guidance programmes (see section 6.2 for a description of the overlap with the updated guideline on venous thromboembolism).</w:t>
      </w:r>
    </w:p>
    <w:bookmarkEnd w:id="1"/>
    <w:p w:rsidR="00FA58FB" w:rsidRPr="0056596D" w:rsidRDefault="00081BF9" w:rsidP="002078A6">
      <w:pPr>
        <w:pStyle w:val="Numberedheading"/>
        <w:keepNext w:val="0"/>
        <w:spacing w:line="276" w:lineRule="auto"/>
        <w:ind w:left="284" w:hanging="284"/>
      </w:pPr>
      <w:r w:rsidRPr="00602AF6">
        <w:t>New</w:t>
      </w:r>
      <w:r w:rsidRPr="0056596D">
        <w:t xml:space="preserve"> evidence</w:t>
      </w:r>
      <w:r w:rsidR="00B1359B">
        <w:rPr>
          <w:lang w:val="en-GB"/>
        </w:rPr>
        <w:t xml:space="preserve"> </w:t>
      </w:r>
    </w:p>
    <w:p w:rsidR="00081BF9" w:rsidRDefault="00081BF9" w:rsidP="002078A6">
      <w:pPr>
        <w:spacing w:before="240" w:line="276" w:lineRule="auto"/>
      </w:pPr>
      <w:r>
        <w:t>The search strategy from the original</w:t>
      </w:r>
      <w:r w:rsidR="00DC4041">
        <w:t xml:space="preserve"> </w:t>
      </w:r>
      <w:r>
        <w:t xml:space="preserve">assessment report was re-run on </w:t>
      </w:r>
      <w:proofErr w:type="spellStart"/>
      <w:r w:rsidR="007C7D4E">
        <w:t>Embase</w:t>
      </w:r>
      <w:proofErr w:type="spellEnd"/>
      <w:r w:rsidR="007C7D4E">
        <w:t xml:space="preserve">, </w:t>
      </w:r>
      <w:r w:rsidR="007C7D4E" w:rsidRPr="007C7D4E">
        <w:t>Ovid MEDLINE</w:t>
      </w:r>
      <w:r w:rsidR="007C7D4E">
        <w:t xml:space="preserve">, </w:t>
      </w:r>
      <w:r w:rsidR="007C7D4E" w:rsidRPr="007C7D4E">
        <w:t>In-Process &amp; Other Non-Indexe</w:t>
      </w:r>
      <w:r w:rsidR="007C7D4E">
        <w:t>d Citations and Ovid MEDLINE</w:t>
      </w:r>
      <w:r w:rsidR="00A10F80">
        <w:t>.</w:t>
      </w:r>
      <w:r>
        <w:t xml:space="preserve"> </w:t>
      </w:r>
      <w:r w:rsidR="00DA547B">
        <w:t xml:space="preserve">References from </w:t>
      </w:r>
      <w:r w:rsidR="007C7D4E">
        <w:rPr>
          <w:lang w:val="en-US"/>
        </w:rPr>
        <w:t>January 2013</w:t>
      </w:r>
      <w:r w:rsidR="00E2231C">
        <w:t xml:space="preserve"> </w:t>
      </w:r>
      <w:r w:rsidR="00DA547B">
        <w:t>onwards were reviewed. Additional searches of clinical trials registries</w:t>
      </w:r>
      <w:r w:rsidR="00A07923">
        <w:t xml:space="preserve"> were also carried out</w:t>
      </w:r>
      <w:r w:rsidR="006E63D0">
        <w:t xml:space="preserve"> and relevant guidance from NICE and other professional bodies was reviewed to determine whether there have been any changes to the care pathways</w:t>
      </w:r>
      <w:r w:rsidR="00A10F80">
        <w:t>.</w:t>
      </w:r>
      <w:r w:rsidR="00A07923">
        <w:t xml:space="preserve"> </w:t>
      </w:r>
      <w:r w:rsidR="003D10CA">
        <w:t>The c</w:t>
      </w:r>
      <w:r w:rsidR="009858FD">
        <w:t>ompan</w:t>
      </w:r>
      <w:r w:rsidR="003D10CA">
        <w:t>y</w:t>
      </w:r>
      <w:r w:rsidR="00A07923">
        <w:t xml:space="preserve"> w</w:t>
      </w:r>
      <w:r w:rsidR="003D10CA">
        <w:t>as</w:t>
      </w:r>
      <w:r w:rsidR="00A07923">
        <w:t xml:space="preserve"> asked to submit </w:t>
      </w:r>
      <w:r w:rsidR="00CD6D79">
        <w:t xml:space="preserve">any </w:t>
      </w:r>
      <w:r w:rsidR="00A07923">
        <w:t>new literature references relevant to their technology</w:t>
      </w:r>
      <w:r w:rsidR="00A10F80">
        <w:t xml:space="preserve"> along with updated costs and details of any changes to the </w:t>
      </w:r>
      <w:r w:rsidR="006E63D0">
        <w:t xml:space="preserve">technology itself or the </w:t>
      </w:r>
      <w:r w:rsidR="00A10F80">
        <w:t>CE marked indication for use for their technology</w:t>
      </w:r>
      <w:r w:rsidR="00A07923">
        <w:t>.</w:t>
      </w:r>
      <w:r w:rsidR="00DA547B">
        <w:t xml:space="preserve"> </w:t>
      </w:r>
      <w:r w:rsidR="00DC4C82">
        <w:t xml:space="preserve">In addition, input was sought from clinical Expert Advisers and used to inform the review proposal. </w:t>
      </w:r>
      <w:r>
        <w:t xml:space="preserve">The results of the literature search are discussed in the </w:t>
      </w:r>
      <w:r>
        <w:lastRenderedPageBreak/>
        <w:t>‘</w:t>
      </w:r>
      <w:r w:rsidR="00C05518" w:rsidRPr="00C05518">
        <w:t>Summary of evidence and implications for review</w:t>
      </w:r>
      <w:r>
        <w:t>’ section below.</w:t>
      </w:r>
      <w:r w:rsidR="00C05518">
        <w:t xml:space="preserve"> See Appendix </w:t>
      </w:r>
      <w:r w:rsidR="000D064A">
        <w:t>2</w:t>
      </w:r>
      <w:r w:rsidR="00C05518">
        <w:t xml:space="preserve"> for further details of ongoing and unpublished studies.</w:t>
      </w:r>
    </w:p>
    <w:p w:rsidR="009858FD" w:rsidRPr="003D10CA" w:rsidRDefault="00256F0A" w:rsidP="002078A6">
      <w:pPr>
        <w:pStyle w:val="Heading2"/>
        <w:spacing w:line="276" w:lineRule="auto"/>
        <w:rPr>
          <w:lang w:val="en-GB"/>
        </w:rPr>
      </w:pPr>
      <w:r>
        <w:rPr>
          <w:lang w:val="en-GB"/>
        </w:rPr>
        <w:t xml:space="preserve">6.1 </w:t>
      </w:r>
      <w:r w:rsidR="009858FD">
        <w:t>T</w:t>
      </w:r>
      <w:r w:rsidR="00BC3E45">
        <w:t>echnolog</w:t>
      </w:r>
      <w:r w:rsidR="00472574">
        <w:rPr>
          <w:lang w:val="en-GB"/>
        </w:rPr>
        <w:t>y availability and changes</w:t>
      </w:r>
    </w:p>
    <w:p w:rsidR="005345CB" w:rsidRDefault="005345CB" w:rsidP="002078A6">
      <w:pPr>
        <w:pStyle w:val="Heading2"/>
        <w:spacing w:line="276" w:lineRule="auto"/>
        <w:rPr>
          <w:rFonts w:cs="Arial"/>
          <w:b w:val="0"/>
          <w:bCs w:val="0"/>
          <w:iCs w:val="0"/>
          <w:szCs w:val="24"/>
          <w:lang w:val="en-GB"/>
        </w:rPr>
      </w:pPr>
      <w:r w:rsidRPr="005345CB">
        <w:rPr>
          <w:rFonts w:cs="Arial"/>
          <w:b w:val="0"/>
          <w:bCs w:val="0"/>
          <w:iCs w:val="0"/>
          <w:szCs w:val="24"/>
          <w:lang w:val="en-GB"/>
        </w:rPr>
        <w:t xml:space="preserve">The </w:t>
      </w:r>
      <w:proofErr w:type="spellStart"/>
      <w:r w:rsidRPr="005345CB">
        <w:rPr>
          <w:rFonts w:cs="Arial"/>
          <w:b w:val="0"/>
          <w:bCs w:val="0"/>
          <w:iCs w:val="0"/>
          <w:szCs w:val="24"/>
          <w:lang w:val="en-GB"/>
        </w:rPr>
        <w:t>geko</w:t>
      </w:r>
      <w:proofErr w:type="spellEnd"/>
      <w:r w:rsidRPr="005345CB">
        <w:rPr>
          <w:rFonts w:cs="Arial"/>
          <w:b w:val="0"/>
          <w:bCs w:val="0"/>
          <w:iCs w:val="0"/>
          <w:szCs w:val="24"/>
          <w:lang w:val="en-GB"/>
        </w:rPr>
        <w:t xml:space="preserve"> device is still available to the NHS and </w:t>
      </w:r>
      <w:r w:rsidR="001D04B3">
        <w:rPr>
          <w:rFonts w:cs="Arial"/>
          <w:b w:val="0"/>
          <w:bCs w:val="0"/>
          <w:iCs w:val="0"/>
          <w:szCs w:val="24"/>
          <w:lang w:val="en-GB"/>
        </w:rPr>
        <w:t xml:space="preserve">during 2016 </w:t>
      </w:r>
      <w:r w:rsidRPr="005345CB">
        <w:rPr>
          <w:rFonts w:cs="Arial"/>
          <w:b w:val="0"/>
          <w:bCs w:val="0"/>
          <w:iCs w:val="0"/>
          <w:szCs w:val="24"/>
          <w:lang w:val="en-GB"/>
        </w:rPr>
        <w:t xml:space="preserve">will be available to NHS </w:t>
      </w:r>
      <w:r w:rsidR="001D04B3">
        <w:rPr>
          <w:rFonts w:cs="Arial"/>
          <w:b w:val="0"/>
          <w:bCs w:val="0"/>
          <w:iCs w:val="0"/>
          <w:szCs w:val="24"/>
          <w:lang w:val="en-GB"/>
        </w:rPr>
        <w:t xml:space="preserve">in </w:t>
      </w:r>
      <w:r w:rsidRPr="005345CB">
        <w:rPr>
          <w:rFonts w:cs="Arial"/>
          <w:b w:val="0"/>
          <w:bCs w:val="0"/>
          <w:iCs w:val="0"/>
          <w:szCs w:val="24"/>
          <w:lang w:val="en-GB"/>
        </w:rPr>
        <w:t xml:space="preserve">England via the NHS </w:t>
      </w:r>
      <w:r w:rsidR="00B20C45">
        <w:rPr>
          <w:rFonts w:cs="Arial"/>
          <w:b w:val="0"/>
          <w:bCs w:val="0"/>
          <w:iCs w:val="0"/>
          <w:szCs w:val="24"/>
          <w:lang w:val="en-GB"/>
        </w:rPr>
        <w:t>S</w:t>
      </w:r>
      <w:r w:rsidRPr="005345CB">
        <w:rPr>
          <w:rFonts w:cs="Arial"/>
          <w:b w:val="0"/>
          <w:bCs w:val="0"/>
          <w:iCs w:val="0"/>
          <w:szCs w:val="24"/>
          <w:lang w:val="en-GB"/>
        </w:rPr>
        <w:t xml:space="preserve">upply </w:t>
      </w:r>
      <w:r w:rsidR="00B20C45">
        <w:rPr>
          <w:rFonts w:cs="Arial"/>
          <w:b w:val="0"/>
          <w:bCs w:val="0"/>
          <w:iCs w:val="0"/>
          <w:szCs w:val="24"/>
          <w:lang w:val="en-GB"/>
        </w:rPr>
        <w:t>C</w:t>
      </w:r>
      <w:r w:rsidRPr="005345CB">
        <w:rPr>
          <w:rFonts w:cs="Arial"/>
          <w:b w:val="0"/>
          <w:bCs w:val="0"/>
          <w:iCs w:val="0"/>
          <w:szCs w:val="24"/>
          <w:lang w:val="en-GB"/>
        </w:rPr>
        <w:t xml:space="preserve">hain.  A second generation </w:t>
      </w:r>
      <w:proofErr w:type="spellStart"/>
      <w:r w:rsidRPr="005345CB">
        <w:rPr>
          <w:rFonts w:cs="Arial"/>
          <w:b w:val="0"/>
          <w:bCs w:val="0"/>
          <w:iCs w:val="0"/>
          <w:szCs w:val="24"/>
          <w:lang w:val="en-GB"/>
        </w:rPr>
        <w:t>geko</w:t>
      </w:r>
      <w:proofErr w:type="spellEnd"/>
      <w:r w:rsidRPr="005345CB">
        <w:rPr>
          <w:rFonts w:cs="Arial"/>
          <w:b w:val="0"/>
          <w:bCs w:val="0"/>
          <w:iCs w:val="0"/>
          <w:szCs w:val="24"/>
          <w:lang w:val="en-GB"/>
        </w:rPr>
        <w:t xml:space="preserve"> device</w:t>
      </w:r>
      <w:r w:rsidR="00211008">
        <w:rPr>
          <w:rFonts w:cs="Arial"/>
          <w:b w:val="0"/>
          <w:bCs w:val="0"/>
          <w:iCs w:val="0"/>
          <w:szCs w:val="24"/>
          <w:lang w:val="en-GB"/>
        </w:rPr>
        <w:t xml:space="preserve"> (</w:t>
      </w:r>
      <w:proofErr w:type="spellStart"/>
      <w:r w:rsidR="00E500D1">
        <w:rPr>
          <w:rFonts w:cs="Arial"/>
          <w:b w:val="0"/>
          <w:bCs w:val="0"/>
          <w:iCs w:val="0"/>
          <w:szCs w:val="24"/>
          <w:lang w:val="en-GB"/>
        </w:rPr>
        <w:t>geko</w:t>
      </w:r>
      <w:proofErr w:type="spellEnd"/>
      <w:r w:rsidR="00E500D1">
        <w:rPr>
          <w:rFonts w:cs="Arial"/>
          <w:b w:val="0"/>
          <w:bCs w:val="0"/>
          <w:iCs w:val="0"/>
          <w:szCs w:val="24"/>
          <w:lang w:val="en-GB"/>
        </w:rPr>
        <w:t xml:space="preserve"> plus</w:t>
      </w:r>
      <w:r w:rsidR="00211008">
        <w:rPr>
          <w:rFonts w:cs="Arial"/>
          <w:b w:val="0"/>
          <w:bCs w:val="0"/>
          <w:iCs w:val="0"/>
          <w:szCs w:val="24"/>
          <w:lang w:val="en-GB"/>
        </w:rPr>
        <w:t>)</w:t>
      </w:r>
      <w:r w:rsidRPr="005345CB">
        <w:rPr>
          <w:rFonts w:cs="Arial"/>
          <w:b w:val="0"/>
          <w:bCs w:val="0"/>
          <w:iCs w:val="0"/>
          <w:szCs w:val="24"/>
          <w:lang w:val="en-GB"/>
        </w:rPr>
        <w:t xml:space="preserve"> which is based on the same technology as the original but has a more efficient </w:t>
      </w:r>
      <w:r w:rsidR="00211008">
        <w:rPr>
          <w:rFonts w:cs="Arial"/>
          <w:b w:val="0"/>
          <w:bCs w:val="0"/>
          <w:iCs w:val="0"/>
          <w:szCs w:val="24"/>
          <w:lang w:val="en-GB"/>
        </w:rPr>
        <w:t>pulse</w:t>
      </w:r>
      <w:r w:rsidRPr="005345CB">
        <w:rPr>
          <w:rFonts w:cs="Arial"/>
          <w:b w:val="0"/>
          <w:bCs w:val="0"/>
          <w:iCs w:val="0"/>
          <w:szCs w:val="24"/>
          <w:lang w:val="en-GB"/>
        </w:rPr>
        <w:t xml:space="preserve"> delivery to the patient</w:t>
      </w:r>
      <w:r w:rsidR="00DB25C4">
        <w:rPr>
          <w:rFonts w:cs="Arial"/>
          <w:b w:val="0"/>
          <w:bCs w:val="0"/>
          <w:iCs w:val="0"/>
          <w:szCs w:val="24"/>
          <w:lang w:val="en-GB"/>
        </w:rPr>
        <w:t xml:space="preserve"> is available</w:t>
      </w:r>
      <w:r w:rsidRPr="005345CB">
        <w:rPr>
          <w:rFonts w:cs="Arial"/>
          <w:b w:val="0"/>
          <w:bCs w:val="0"/>
          <w:iCs w:val="0"/>
          <w:szCs w:val="24"/>
          <w:lang w:val="en-GB"/>
        </w:rPr>
        <w:t xml:space="preserve">.  Other </w:t>
      </w:r>
      <w:r w:rsidR="00211008">
        <w:rPr>
          <w:rFonts w:cs="Arial"/>
          <w:b w:val="0"/>
          <w:bCs w:val="0"/>
          <w:iCs w:val="0"/>
          <w:szCs w:val="24"/>
          <w:lang w:val="en-GB"/>
        </w:rPr>
        <w:t>minor</w:t>
      </w:r>
      <w:r w:rsidRPr="005345CB">
        <w:rPr>
          <w:rFonts w:cs="Arial"/>
          <w:b w:val="0"/>
          <w:bCs w:val="0"/>
          <w:iCs w:val="0"/>
          <w:szCs w:val="24"/>
          <w:lang w:val="en-GB"/>
        </w:rPr>
        <w:t xml:space="preserve"> changes have been made to improve functionality.  The second generation </w:t>
      </w:r>
      <w:proofErr w:type="spellStart"/>
      <w:r w:rsidRPr="005345CB">
        <w:rPr>
          <w:rFonts w:cs="Arial"/>
          <w:b w:val="0"/>
          <w:bCs w:val="0"/>
          <w:iCs w:val="0"/>
          <w:szCs w:val="24"/>
          <w:lang w:val="en-GB"/>
        </w:rPr>
        <w:t>geko</w:t>
      </w:r>
      <w:proofErr w:type="spellEnd"/>
      <w:r w:rsidRPr="005345CB">
        <w:rPr>
          <w:rFonts w:cs="Arial"/>
          <w:b w:val="0"/>
          <w:bCs w:val="0"/>
          <w:iCs w:val="0"/>
          <w:szCs w:val="24"/>
          <w:lang w:val="en-GB"/>
        </w:rPr>
        <w:t xml:space="preserve"> device has the same cost, function</w:t>
      </w:r>
      <w:r w:rsidR="00B20C45">
        <w:rPr>
          <w:rFonts w:cs="Arial"/>
          <w:b w:val="0"/>
          <w:bCs w:val="0"/>
          <w:iCs w:val="0"/>
          <w:szCs w:val="24"/>
          <w:lang w:val="en-GB"/>
        </w:rPr>
        <w:t xml:space="preserve"> and</w:t>
      </w:r>
      <w:r w:rsidRPr="005345CB">
        <w:rPr>
          <w:rFonts w:cs="Arial"/>
          <w:b w:val="0"/>
          <w:bCs w:val="0"/>
          <w:iCs w:val="0"/>
          <w:szCs w:val="24"/>
          <w:lang w:val="en-GB"/>
        </w:rPr>
        <w:t xml:space="preserve"> mode of action and a CE certificate has not been re-issued as it was deemed</w:t>
      </w:r>
      <w:r w:rsidR="00B20C45">
        <w:rPr>
          <w:rFonts w:cs="Arial"/>
          <w:b w:val="0"/>
          <w:bCs w:val="0"/>
          <w:iCs w:val="0"/>
          <w:szCs w:val="24"/>
          <w:lang w:val="en-GB"/>
        </w:rPr>
        <w:t xml:space="preserve"> by </w:t>
      </w:r>
      <w:r w:rsidR="00683F18">
        <w:rPr>
          <w:rFonts w:cs="Arial"/>
          <w:b w:val="0"/>
          <w:bCs w:val="0"/>
          <w:iCs w:val="0"/>
          <w:szCs w:val="24"/>
          <w:lang w:val="en-GB"/>
        </w:rPr>
        <w:t>n</w:t>
      </w:r>
      <w:r w:rsidR="00683F18" w:rsidRPr="00683F18">
        <w:rPr>
          <w:rFonts w:cs="Arial"/>
          <w:b w:val="0"/>
          <w:bCs w:val="0"/>
          <w:iCs w:val="0"/>
          <w:szCs w:val="24"/>
          <w:lang w:val="en-GB"/>
        </w:rPr>
        <w:t xml:space="preserve">otified </w:t>
      </w:r>
      <w:r w:rsidR="00683F18">
        <w:rPr>
          <w:rFonts w:cs="Arial"/>
          <w:b w:val="0"/>
          <w:bCs w:val="0"/>
          <w:iCs w:val="0"/>
          <w:szCs w:val="24"/>
          <w:lang w:val="en-GB"/>
        </w:rPr>
        <w:t>b</w:t>
      </w:r>
      <w:r w:rsidR="00683F18" w:rsidRPr="00683F18">
        <w:rPr>
          <w:rFonts w:cs="Arial"/>
          <w:b w:val="0"/>
          <w:bCs w:val="0"/>
          <w:iCs w:val="0"/>
          <w:szCs w:val="24"/>
          <w:lang w:val="en-GB"/>
        </w:rPr>
        <w:t xml:space="preserve">ody, SGS United Kingdom Ltd </w:t>
      </w:r>
      <w:r w:rsidR="00B20C45">
        <w:rPr>
          <w:rFonts w:cs="Arial"/>
          <w:b w:val="0"/>
          <w:bCs w:val="0"/>
          <w:iCs w:val="0"/>
          <w:szCs w:val="24"/>
          <w:lang w:val="en-GB"/>
        </w:rPr>
        <w:t>that</w:t>
      </w:r>
      <w:r w:rsidRPr="005345CB">
        <w:rPr>
          <w:rFonts w:cs="Arial"/>
          <w:b w:val="0"/>
          <w:bCs w:val="0"/>
          <w:iCs w:val="0"/>
          <w:szCs w:val="24"/>
          <w:lang w:val="en-GB"/>
        </w:rPr>
        <w:t xml:space="preserve"> the scope of the certification remain</w:t>
      </w:r>
      <w:r w:rsidR="00B20C45">
        <w:rPr>
          <w:rFonts w:cs="Arial"/>
          <w:b w:val="0"/>
          <w:bCs w:val="0"/>
          <w:iCs w:val="0"/>
          <w:szCs w:val="24"/>
          <w:lang w:val="en-GB"/>
        </w:rPr>
        <w:t>ed</w:t>
      </w:r>
      <w:r w:rsidRPr="005345CB">
        <w:rPr>
          <w:rFonts w:cs="Arial"/>
          <w:b w:val="0"/>
          <w:bCs w:val="0"/>
          <w:iCs w:val="0"/>
          <w:szCs w:val="24"/>
          <w:lang w:val="en-GB"/>
        </w:rPr>
        <w:t xml:space="preserve"> unchanged.  </w:t>
      </w:r>
    </w:p>
    <w:p w:rsidR="009858FD" w:rsidRDefault="00256F0A" w:rsidP="002078A6">
      <w:pPr>
        <w:pStyle w:val="Heading2"/>
        <w:spacing w:line="276" w:lineRule="auto"/>
      </w:pPr>
      <w:bookmarkStart w:id="2" w:name="Text3"/>
      <w:r>
        <w:rPr>
          <w:lang w:val="en-GB"/>
        </w:rPr>
        <w:t xml:space="preserve">6.2 </w:t>
      </w:r>
      <w:r w:rsidR="00B1359B">
        <w:rPr>
          <w:lang w:val="en-GB"/>
        </w:rPr>
        <w:t>C</w:t>
      </w:r>
      <w:r w:rsidR="009858FD">
        <w:rPr>
          <w:lang w:val="en-GB"/>
        </w:rPr>
        <w:t>linical practice</w:t>
      </w:r>
    </w:p>
    <w:p w:rsidR="00957A0D" w:rsidRDefault="00846CBD" w:rsidP="002078A6">
      <w:pPr>
        <w:pStyle w:val="Numberedheading"/>
        <w:keepNext w:val="0"/>
        <w:numPr>
          <w:ilvl w:val="0"/>
          <w:numId w:val="0"/>
        </w:numPr>
        <w:spacing w:line="276" w:lineRule="auto"/>
        <w:rPr>
          <w:b w:val="0"/>
          <w:lang w:val="en-GB"/>
        </w:rPr>
      </w:pPr>
      <w:r w:rsidRPr="008476CE">
        <w:rPr>
          <w:b w:val="0"/>
          <w:lang w:val="en-GB"/>
        </w:rPr>
        <w:t>The NICE pathway is</w:t>
      </w:r>
      <w:r>
        <w:rPr>
          <w:lang w:val="en-GB"/>
        </w:rPr>
        <w:t xml:space="preserve"> </w:t>
      </w:r>
      <w:hyperlink r:id="rId8" w:history="1">
        <w:r w:rsidRPr="00211D20">
          <w:rPr>
            <w:rStyle w:val="Hyperlink"/>
            <w:b w:val="0"/>
            <w:lang w:val="en-US"/>
          </w:rPr>
          <w:t>venous thromboembolism</w:t>
        </w:r>
      </w:hyperlink>
      <w:r w:rsidRPr="00211D20">
        <w:rPr>
          <w:b w:val="0"/>
          <w:lang w:val="en-US"/>
        </w:rPr>
        <w:t>.</w:t>
      </w:r>
      <w:r>
        <w:rPr>
          <w:lang w:val="en-US"/>
        </w:rPr>
        <w:t xml:space="preserve">  </w:t>
      </w:r>
      <w:r>
        <w:rPr>
          <w:b w:val="0"/>
          <w:lang w:val="en-GB"/>
        </w:rPr>
        <w:t xml:space="preserve">NICE CG92 </w:t>
      </w:r>
      <w:hyperlink r:id="rId9" w:history="1">
        <w:r w:rsidRPr="00103356">
          <w:rPr>
            <w:rStyle w:val="Hyperlink"/>
            <w:b w:val="0"/>
            <w:lang w:val="en-GB"/>
          </w:rPr>
          <w:t>Venous thromboembolism: reducing the risk for patients in hospital</w:t>
        </w:r>
      </w:hyperlink>
      <w:r>
        <w:rPr>
          <w:b w:val="0"/>
          <w:lang w:val="en-GB"/>
        </w:rPr>
        <w:t xml:space="preserve"> has been updated since the publication of MTG19</w:t>
      </w:r>
      <w:r w:rsidR="001D04B3">
        <w:rPr>
          <w:b w:val="0"/>
          <w:lang w:val="en-GB"/>
        </w:rPr>
        <w:t xml:space="preserve"> following the publication of </w:t>
      </w:r>
      <w:r w:rsidR="00930C62">
        <w:rPr>
          <w:b w:val="0"/>
          <w:lang w:val="en-GB"/>
        </w:rPr>
        <w:t xml:space="preserve">new evidence </w:t>
      </w:r>
      <w:r w:rsidR="001D04B3">
        <w:rPr>
          <w:b w:val="0"/>
          <w:lang w:val="en-GB"/>
        </w:rPr>
        <w:t xml:space="preserve">on the use of intermittent pneumatic compression (IPC) as </w:t>
      </w:r>
      <w:proofErr w:type="spellStart"/>
      <w:r w:rsidR="001D04B3">
        <w:rPr>
          <w:b w:val="0"/>
          <w:lang w:val="en-GB"/>
        </w:rPr>
        <w:t>thromboprophylaxis</w:t>
      </w:r>
      <w:proofErr w:type="spellEnd"/>
      <w:r w:rsidR="001D04B3">
        <w:rPr>
          <w:b w:val="0"/>
          <w:lang w:val="en-GB"/>
        </w:rPr>
        <w:t xml:space="preserve"> for patients admitted with a stroke.</w:t>
      </w:r>
      <w:r w:rsidR="00913229">
        <w:rPr>
          <w:b w:val="0"/>
          <w:lang w:val="en-GB"/>
        </w:rPr>
        <w:t xml:space="preserve"> </w:t>
      </w:r>
      <w:r w:rsidR="00930C62">
        <w:rPr>
          <w:b w:val="0"/>
          <w:lang w:val="en-GB"/>
        </w:rPr>
        <w:t xml:space="preserve">As a result of the new evidence, the guideline recommends considering IPC for this indication after a careful explanation to the patient or family member of the risks and benefits (recommendation 1.4.5). The guideline </w:t>
      </w:r>
      <w:r w:rsidR="003B1633">
        <w:rPr>
          <w:b w:val="0"/>
          <w:lang w:val="en-GB"/>
        </w:rPr>
        <w:t xml:space="preserve">did not consider evidence on </w:t>
      </w:r>
      <w:r w:rsidR="004536FB" w:rsidRPr="004536FB">
        <w:rPr>
          <w:b w:val="0"/>
          <w:lang w:val="en-GB"/>
        </w:rPr>
        <w:t>foot impulse or neuromuscular electrical stimulation devices</w:t>
      </w:r>
      <w:r w:rsidR="003B1633">
        <w:rPr>
          <w:b w:val="0"/>
          <w:lang w:val="en-GB"/>
        </w:rPr>
        <w:t xml:space="preserve"> and states that these</w:t>
      </w:r>
      <w:r w:rsidR="004536FB" w:rsidRPr="004536FB">
        <w:rPr>
          <w:b w:val="0"/>
          <w:lang w:val="en-GB"/>
        </w:rPr>
        <w:t xml:space="preserve"> </w:t>
      </w:r>
      <w:r w:rsidR="004536FB">
        <w:rPr>
          <w:b w:val="0"/>
          <w:lang w:val="en-GB"/>
        </w:rPr>
        <w:t xml:space="preserve">should not be offered </w:t>
      </w:r>
      <w:r w:rsidR="004536FB" w:rsidRPr="004536FB">
        <w:rPr>
          <w:b w:val="0"/>
          <w:lang w:val="en-GB"/>
        </w:rPr>
        <w:t>for VTE prophylaxis to patients who are admitted for stroke, except in the context of research</w:t>
      </w:r>
      <w:r w:rsidR="004536FB">
        <w:rPr>
          <w:b w:val="0"/>
          <w:lang w:val="en-GB"/>
        </w:rPr>
        <w:t xml:space="preserve"> (1.4.4).</w:t>
      </w:r>
    </w:p>
    <w:p w:rsidR="000878FF" w:rsidRDefault="00F61FFF" w:rsidP="002C616E">
      <w:pPr>
        <w:pStyle w:val="Numberedheading"/>
        <w:keepNext w:val="0"/>
        <w:numPr>
          <w:ilvl w:val="0"/>
          <w:numId w:val="0"/>
        </w:numPr>
        <w:spacing w:line="276" w:lineRule="auto"/>
        <w:rPr>
          <w:b w:val="0"/>
          <w:lang w:val="en-GB"/>
        </w:rPr>
      </w:pPr>
      <w:r>
        <w:rPr>
          <w:b w:val="0"/>
          <w:lang w:val="en-GB"/>
        </w:rPr>
        <w:t>The update to CG92 considered new evidence and carried out economic modelling of relevance to MTG19</w:t>
      </w:r>
      <w:r w:rsidR="008D1C57" w:rsidRPr="004F097D">
        <w:rPr>
          <w:b w:val="0"/>
          <w:lang w:val="en-GB"/>
        </w:rPr>
        <w:t xml:space="preserve">. </w:t>
      </w:r>
      <w:r w:rsidR="003B1633" w:rsidRPr="004F097D">
        <w:rPr>
          <w:b w:val="0"/>
          <w:lang w:val="en-GB"/>
        </w:rPr>
        <w:t>It showed that the cost and resource consequences of avoiding venous thromboembolism with mechanical prophylaxis in patients admitted with a stroke</w:t>
      </w:r>
      <w:r w:rsidR="009444C7" w:rsidRPr="004F097D">
        <w:rPr>
          <w:b w:val="0"/>
          <w:lang w:val="en-GB"/>
        </w:rPr>
        <w:t xml:space="preserve"> are subject to significant uncertainty. The cost modelling for </w:t>
      </w:r>
      <w:proofErr w:type="spellStart"/>
      <w:r w:rsidR="009444C7" w:rsidRPr="004F097D">
        <w:rPr>
          <w:b w:val="0"/>
          <w:lang w:val="en-GB"/>
        </w:rPr>
        <w:t>geko</w:t>
      </w:r>
      <w:proofErr w:type="spellEnd"/>
      <w:r w:rsidR="009444C7" w:rsidRPr="004F097D">
        <w:rPr>
          <w:b w:val="0"/>
          <w:lang w:val="en-GB"/>
        </w:rPr>
        <w:t xml:space="preserve"> in MTG19 included patients with a stroke in the population and assumed that savings would accrue from avoiding treatment costs associated with VTE. </w:t>
      </w:r>
      <w:r w:rsidR="00996367">
        <w:rPr>
          <w:b w:val="0"/>
          <w:lang w:val="en-GB"/>
        </w:rPr>
        <w:t>The</w:t>
      </w:r>
      <w:r w:rsidR="009444C7" w:rsidRPr="004F097D">
        <w:rPr>
          <w:b w:val="0"/>
          <w:lang w:val="en-GB"/>
        </w:rPr>
        <w:t xml:space="preserve"> cost-consequence analyses </w:t>
      </w:r>
      <w:r w:rsidR="00996367">
        <w:rPr>
          <w:b w:val="0"/>
          <w:lang w:val="en-GB"/>
        </w:rPr>
        <w:t>did not identify separate</w:t>
      </w:r>
      <w:r w:rsidR="009444C7" w:rsidRPr="004F097D">
        <w:rPr>
          <w:b w:val="0"/>
          <w:lang w:val="en-GB"/>
        </w:rPr>
        <w:t xml:space="preserve"> sub-groups of patients</w:t>
      </w:r>
      <w:r w:rsidR="009E4698" w:rsidRPr="004F097D">
        <w:rPr>
          <w:b w:val="0"/>
          <w:lang w:val="en-GB"/>
        </w:rPr>
        <w:t xml:space="preserve"> with stroke, or other groups for whom conventional methods of VTE prophylaxis were impractical or contraindicated. It should be assumed, therefore, that the MTG</w:t>
      </w:r>
      <w:r w:rsidR="00996367">
        <w:rPr>
          <w:b w:val="0"/>
          <w:lang w:val="en-GB"/>
        </w:rPr>
        <w:t>19</w:t>
      </w:r>
      <w:r w:rsidR="009E4698" w:rsidRPr="004F097D">
        <w:rPr>
          <w:b w:val="0"/>
          <w:lang w:val="en-GB"/>
        </w:rPr>
        <w:t xml:space="preserve"> cost modelling is potent</w:t>
      </w:r>
      <w:r w:rsidR="004F097D" w:rsidRPr="004F097D">
        <w:rPr>
          <w:b w:val="0"/>
          <w:lang w:val="en-GB"/>
        </w:rPr>
        <w:t>i</w:t>
      </w:r>
      <w:r w:rsidR="009E4698" w:rsidRPr="004F097D">
        <w:rPr>
          <w:b w:val="0"/>
          <w:lang w:val="en-GB"/>
        </w:rPr>
        <w:t>ally subject to considerable uncertainty for patients with a stroke.</w:t>
      </w:r>
    </w:p>
    <w:p w:rsidR="00211008" w:rsidRPr="00241953" w:rsidRDefault="00211008" w:rsidP="002C616E">
      <w:pPr>
        <w:pStyle w:val="Numberedheading"/>
        <w:keepNext w:val="0"/>
        <w:numPr>
          <w:ilvl w:val="0"/>
          <w:numId w:val="0"/>
        </w:numPr>
        <w:spacing w:line="276" w:lineRule="auto"/>
        <w:rPr>
          <w:b w:val="0"/>
          <w:lang w:val="en-GB"/>
        </w:rPr>
      </w:pPr>
      <w:r w:rsidRPr="00BD18F4">
        <w:rPr>
          <w:b w:val="0"/>
        </w:rPr>
        <w:t xml:space="preserve">MTG19 supports the use of the </w:t>
      </w:r>
      <w:proofErr w:type="spellStart"/>
      <w:r w:rsidRPr="00BD18F4">
        <w:rPr>
          <w:b w:val="0"/>
        </w:rPr>
        <w:t>geko</w:t>
      </w:r>
      <w:proofErr w:type="spellEnd"/>
      <w:r w:rsidRPr="00BD18F4">
        <w:rPr>
          <w:b w:val="0"/>
        </w:rPr>
        <w:t xml:space="preserve"> device in patients in whom other mechanical and pharmacological methods of prophylaxis would be impractical or contraindicated. </w:t>
      </w:r>
    </w:p>
    <w:p w:rsidR="009858FD" w:rsidRPr="003D10CA" w:rsidRDefault="00256F0A" w:rsidP="002078A6">
      <w:pPr>
        <w:pStyle w:val="Heading2"/>
        <w:spacing w:line="276" w:lineRule="auto"/>
        <w:rPr>
          <w:lang w:val="en-GB"/>
        </w:rPr>
      </w:pPr>
      <w:r>
        <w:rPr>
          <w:lang w:val="en-GB"/>
        </w:rPr>
        <w:lastRenderedPageBreak/>
        <w:t xml:space="preserve">6.3 </w:t>
      </w:r>
      <w:r w:rsidR="00B1359B">
        <w:t>N</w:t>
      </w:r>
      <w:r w:rsidR="00C35B50">
        <w:rPr>
          <w:lang w:val="en-GB"/>
        </w:rPr>
        <w:t>ICE facilitated research</w:t>
      </w:r>
    </w:p>
    <w:p w:rsidR="00367EAA" w:rsidRPr="001650DD" w:rsidRDefault="00871B17" w:rsidP="002078A6">
      <w:pPr>
        <w:spacing w:before="240" w:line="276" w:lineRule="auto"/>
      </w:pPr>
      <w:r w:rsidRPr="001650DD">
        <w:t xml:space="preserve">No research has been commissioned by NICE on this technology.  </w:t>
      </w:r>
    </w:p>
    <w:p w:rsidR="00C35B50" w:rsidRDefault="00C35B50" w:rsidP="002078A6">
      <w:pPr>
        <w:pStyle w:val="Heading2"/>
        <w:spacing w:line="276" w:lineRule="auto"/>
      </w:pPr>
      <w:r>
        <w:rPr>
          <w:lang w:val="en-GB"/>
        </w:rPr>
        <w:t xml:space="preserve">6.4 </w:t>
      </w:r>
      <w:r>
        <w:t>New studies</w:t>
      </w:r>
    </w:p>
    <w:p w:rsidR="00650D62" w:rsidRDefault="00607829" w:rsidP="002078A6">
      <w:pPr>
        <w:spacing w:before="240" w:line="276" w:lineRule="auto"/>
      </w:pPr>
      <w:r>
        <w:t>Nine</w:t>
      </w:r>
      <w:r w:rsidR="00291411">
        <w:t xml:space="preserve"> studies published since MTG 19</w:t>
      </w:r>
      <w:r w:rsidR="00E67E56">
        <w:t xml:space="preserve"> involving </w:t>
      </w:r>
      <w:proofErr w:type="spellStart"/>
      <w:r w:rsidR="00E67E56">
        <w:t>geko</w:t>
      </w:r>
      <w:proofErr w:type="spellEnd"/>
      <w:r w:rsidR="00291411">
        <w:t xml:space="preserve"> </w:t>
      </w:r>
      <w:r w:rsidR="00B15234">
        <w:t xml:space="preserve">were identified from literature searches or from the company </w:t>
      </w:r>
      <w:r w:rsidR="002C616E">
        <w:t>o</w:t>
      </w:r>
      <w:r>
        <w:t>f which 8 are out of scope for this review</w:t>
      </w:r>
      <w:r w:rsidR="00216305">
        <w:t xml:space="preserve"> as </w:t>
      </w:r>
      <w:r w:rsidR="00FC717B">
        <w:t>3 had already been included in the original evaluation</w:t>
      </w:r>
      <w:r w:rsidR="00C770E8">
        <w:t xml:space="preserve"> (pre-publication as academic in confidence)</w:t>
      </w:r>
      <w:r w:rsidR="00FC717B">
        <w:t xml:space="preserve"> and </w:t>
      </w:r>
      <w:r w:rsidR="00216305">
        <w:t>the</w:t>
      </w:r>
      <w:r w:rsidR="00FC717B">
        <w:t xml:space="preserve"> remaining</w:t>
      </w:r>
      <w:r w:rsidR="00216305">
        <w:t xml:space="preserve"> covered </w:t>
      </w:r>
      <w:r w:rsidR="0041471A">
        <w:t xml:space="preserve">either </w:t>
      </w:r>
      <w:r w:rsidR="00216305">
        <w:t>a different population</w:t>
      </w:r>
      <w:r w:rsidR="0041471A">
        <w:t xml:space="preserve"> or outcomes</w:t>
      </w:r>
      <w:r>
        <w:t xml:space="preserve">.  </w:t>
      </w:r>
    </w:p>
    <w:p w:rsidR="00607829" w:rsidRDefault="00650D62" w:rsidP="002078A6">
      <w:pPr>
        <w:spacing w:before="240" w:line="276" w:lineRule="auto"/>
      </w:pPr>
      <w:r>
        <w:t xml:space="preserve">The only wholly new evidence comes from a </w:t>
      </w:r>
      <w:r w:rsidR="00913229">
        <w:t xml:space="preserve">study </w:t>
      </w:r>
      <w:r w:rsidR="005345CB" w:rsidRPr="005345CB">
        <w:t xml:space="preserve">published in 2015 </w:t>
      </w:r>
      <w:r>
        <w:t xml:space="preserve">which </w:t>
      </w:r>
      <w:r w:rsidR="005345CB" w:rsidRPr="005345CB">
        <w:t xml:space="preserve">assessed the potential role of </w:t>
      </w:r>
      <w:proofErr w:type="spellStart"/>
      <w:r w:rsidR="005345CB" w:rsidRPr="005345CB">
        <w:t>geko</w:t>
      </w:r>
      <w:proofErr w:type="spellEnd"/>
      <w:r w:rsidR="005345CB" w:rsidRPr="005345CB">
        <w:t xml:space="preserve"> in augmenting the femoral vein venous blood flow following total knee replacement surgery.  30 patients were allocated </w:t>
      </w:r>
      <w:r w:rsidR="00C560CE">
        <w:t xml:space="preserve">randomly </w:t>
      </w:r>
      <w:r w:rsidR="005345CB" w:rsidRPr="005345CB">
        <w:t xml:space="preserve">to receive </w:t>
      </w:r>
      <w:proofErr w:type="gramStart"/>
      <w:r w:rsidR="005345CB" w:rsidRPr="005345CB">
        <w:t>either peroneal</w:t>
      </w:r>
      <w:proofErr w:type="gramEnd"/>
      <w:r w:rsidR="005345CB" w:rsidRPr="005345CB">
        <w:t xml:space="preserve"> nerve electrostimulation plus low molecular weight heparin and below-knee compression stockings (intervention) or low molecular weight heparin and below-knee compression stockings alone (control group).  The results showed that postoperative peak blood flow velocity in the femoral vein was significantly higher in the </w:t>
      </w:r>
      <w:proofErr w:type="spellStart"/>
      <w:r w:rsidR="005345CB" w:rsidRPr="005345CB">
        <w:t>geko</w:t>
      </w:r>
      <w:proofErr w:type="spellEnd"/>
      <w:r w:rsidR="005345CB" w:rsidRPr="005345CB">
        <w:t xml:space="preserve"> group compared to control group. </w:t>
      </w:r>
    </w:p>
    <w:p w:rsidR="00AB7312" w:rsidRDefault="00607829" w:rsidP="004F097D">
      <w:pPr>
        <w:spacing w:line="276" w:lineRule="auto"/>
        <w:rPr>
          <w:highlight w:val="cyan"/>
          <w:u w:val="single"/>
        </w:rPr>
      </w:pPr>
      <w:r>
        <w:t xml:space="preserve">Five studies </w:t>
      </w:r>
      <w:r w:rsidR="00E67E56">
        <w:t xml:space="preserve">using </w:t>
      </w:r>
      <w:proofErr w:type="spellStart"/>
      <w:r w:rsidR="00E67E56">
        <w:t>geko</w:t>
      </w:r>
      <w:proofErr w:type="spellEnd"/>
      <w:r w:rsidR="00E67E56">
        <w:t xml:space="preserve"> </w:t>
      </w:r>
      <w:r>
        <w:t xml:space="preserve">are currently in press or preparing for submission.  </w:t>
      </w:r>
      <w:r w:rsidR="00696BF4">
        <w:t xml:space="preserve">Four </w:t>
      </w:r>
      <w:r>
        <w:t>of these studies are out of scope</w:t>
      </w:r>
      <w:r w:rsidR="00FC717B">
        <w:t>, as they cover a different population</w:t>
      </w:r>
      <w:r w:rsidR="0041471A">
        <w:t xml:space="preserve"> and outcomes</w:t>
      </w:r>
      <w:r>
        <w:t>.</w:t>
      </w:r>
      <w:r w:rsidR="00593F78">
        <w:t xml:space="preserve">  One RCT (see appendix 2 - r</w:t>
      </w:r>
      <w:r w:rsidR="00593F78" w:rsidRPr="00593F78">
        <w:t>egistered and unpublished trials</w:t>
      </w:r>
      <w:r w:rsidR="00593F78">
        <w:t xml:space="preserve">) </w:t>
      </w:r>
      <w:r w:rsidR="00650D62">
        <w:t xml:space="preserve">planned </w:t>
      </w:r>
      <w:r w:rsidR="00593F78">
        <w:t>to be published in 2016, assessed DVT avoidance</w:t>
      </w:r>
      <w:r w:rsidR="00391D49">
        <w:t xml:space="preserve"> in 40 </w:t>
      </w:r>
      <w:r w:rsidR="00391D49" w:rsidRPr="00391D49">
        <w:t xml:space="preserve">primary hip replacement patients performed by a single surgeon at a </w:t>
      </w:r>
      <w:r w:rsidR="00391D49">
        <w:t xml:space="preserve">UK </w:t>
      </w:r>
      <w:r w:rsidR="00391D49" w:rsidRPr="00391D49">
        <w:t>private hospital</w:t>
      </w:r>
      <w:r w:rsidR="00391D49">
        <w:t>,</w:t>
      </w:r>
      <w:r w:rsidR="00593F78">
        <w:t xml:space="preserve"> </w:t>
      </w:r>
      <w:r w:rsidR="00913229">
        <w:t xml:space="preserve">which </w:t>
      </w:r>
      <w:r w:rsidR="00593F78">
        <w:t>compar</w:t>
      </w:r>
      <w:r w:rsidR="00913229">
        <w:t>ed</w:t>
      </w:r>
      <w:r w:rsidR="00593F78">
        <w:t xml:space="preserve"> </w:t>
      </w:r>
      <w:proofErr w:type="spellStart"/>
      <w:r w:rsidR="00593F78">
        <w:t>geko</w:t>
      </w:r>
      <w:proofErr w:type="spellEnd"/>
      <w:r w:rsidR="00593F78">
        <w:t xml:space="preserve"> with t</w:t>
      </w:r>
      <w:r w:rsidR="00593F78" w:rsidRPr="00593F78">
        <w:t xml:space="preserve">hromboembolism </w:t>
      </w:r>
      <w:r w:rsidR="00593F78">
        <w:t>d</w:t>
      </w:r>
      <w:r w:rsidR="00593F78" w:rsidRPr="00593F78">
        <w:t xml:space="preserve">eterrent </w:t>
      </w:r>
      <w:r w:rsidR="00593F78">
        <w:t>s</w:t>
      </w:r>
      <w:r w:rsidR="00593F78" w:rsidRPr="00593F78">
        <w:t>tockings (TEDS)</w:t>
      </w:r>
      <w:r w:rsidR="00593F78">
        <w:t xml:space="preserve">.  </w:t>
      </w:r>
      <w:r w:rsidR="00554E31">
        <w:t>The company ha</w:t>
      </w:r>
      <w:r w:rsidR="00650D62">
        <w:t>s</w:t>
      </w:r>
      <w:r w:rsidR="00554E31">
        <w:t xml:space="preserve"> provided a copy of the manuscript for this study as academic and commercial in confidence.  </w:t>
      </w:r>
    </w:p>
    <w:p w:rsidR="00BC5506" w:rsidRPr="00AB7312" w:rsidRDefault="00AB7312" w:rsidP="004F097D">
      <w:pPr>
        <w:spacing w:line="276" w:lineRule="auto"/>
      </w:pPr>
      <w:r w:rsidRPr="00AB7312">
        <w:t>[Commercial in confidence information removed.]</w:t>
      </w:r>
      <w:r w:rsidR="00CB6796" w:rsidRPr="00AB7312">
        <w:t xml:space="preserve">  </w:t>
      </w:r>
    </w:p>
    <w:p w:rsidR="009858FD" w:rsidRDefault="00B1359B" w:rsidP="00BD18F4">
      <w:pPr>
        <w:pStyle w:val="Numberedheading"/>
      </w:pPr>
      <w:r>
        <w:t>Summary of new evidence and implications for review</w:t>
      </w:r>
    </w:p>
    <w:p w:rsidR="00B1359B" w:rsidRPr="00B1359B" w:rsidRDefault="00241953" w:rsidP="002078A6">
      <w:pPr>
        <w:spacing w:before="240" w:line="276" w:lineRule="auto"/>
      </w:pPr>
      <w:r>
        <w:t xml:space="preserve">The limited new </w:t>
      </w:r>
      <w:r w:rsidR="00055926">
        <w:t xml:space="preserve">evidence </w:t>
      </w:r>
      <w:r>
        <w:t xml:space="preserve">on the </w:t>
      </w:r>
      <w:proofErr w:type="spellStart"/>
      <w:r>
        <w:t>geko</w:t>
      </w:r>
      <w:proofErr w:type="spellEnd"/>
      <w:r>
        <w:t xml:space="preserve"> device </w:t>
      </w:r>
      <w:r w:rsidR="00055926">
        <w:t>supports the original recommendations of MTG 19</w:t>
      </w:r>
      <w:r>
        <w:t xml:space="preserve"> </w:t>
      </w:r>
      <w:proofErr w:type="gramStart"/>
      <w:r>
        <w:t>which .</w:t>
      </w:r>
      <w:proofErr w:type="gramEnd"/>
      <w:r>
        <w:t xml:space="preserve"> </w:t>
      </w:r>
      <w:r w:rsidR="00415D13">
        <w:t xml:space="preserve"> </w:t>
      </w:r>
      <w:r>
        <w:t xml:space="preserve">New evidence on other mechanical devices considered during the update of CG92 means that its recommendations should be followed </w:t>
      </w:r>
      <w:proofErr w:type="gramStart"/>
      <w:r>
        <w:t xml:space="preserve">for </w:t>
      </w:r>
      <w:r w:rsidR="00415D13">
        <w:t xml:space="preserve"> admitted</w:t>
      </w:r>
      <w:proofErr w:type="gramEnd"/>
      <w:r w:rsidR="00415D13">
        <w:t xml:space="preserve"> for a stroke</w:t>
      </w:r>
      <w:r>
        <w:t xml:space="preserve">. The population covered by MTG19 is those at </w:t>
      </w:r>
      <w:r w:rsidRPr="001650DD">
        <w:t xml:space="preserve">high risk of venous thromboembolism and for whom other mechanical and pharmacological methods of prophylaxis are impractical or contraindicated. </w:t>
      </w:r>
      <w:r w:rsidR="00415D13">
        <w:t xml:space="preserve"> </w:t>
      </w:r>
      <w:r w:rsidRPr="00241953">
        <w:t>This includes, but is not limited to, some people who have had a stroke.</w:t>
      </w:r>
      <w:r w:rsidDel="00241953">
        <w:t xml:space="preserve"> </w:t>
      </w:r>
    </w:p>
    <w:bookmarkEnd w:id="2"/>
    <w:p w:rsidR="00081BF9" w:rsidRPr="00FB06D8" w:rsidRDefault="00081BF9" w:rsidP="00BD18F4">
      <w:pPr>
        <w:pStyle w:val="Numberedheading"/>
      </w:pPr>
      <w:r w:rsidRPr="0056596D">
        <w:t>Implementation</w:t>
      </w:r>
      <w:r w:rsidR="00FA0B3F">
        <w:t xml:space="preserve"> </w:t>
      </w:r>
    </w:p>
    <w:p w:rsidR="00C301B2" w:rsidRDefault="00C301B2" w:rsidP="002078A6">
      <w:pPr>
        <w:spacing w:line="276" w:lineRule="auto"/>
        <w:rPr>
          <w:lang w:eastAsia="x-none"/>
        </w:rPr>
      </w:pPr>
      <w:r>
        <w:rPr>
          <w:lang w:eastAsia="x-none"/>
        </w:rPr>
        <w:t>The Company ha</w:t>
      </w:r>
      <w:r w:rsidR="00B20C45">
        <w:rPr>
          <w:lang w:eastAsia="x-none"/>
        </w:rPr>
        <w:t>s</w:t>
      </w:r>
      <w:r w:rsidR="00935714">
        <w:rPr>
          <w:lang w:eastAsia="x-none"/>
        </w:rPr>
        <w:t xml:space="preserve"> stated that </w:t>
      </w:r>
      <w:proofErr w:type="spellStart"/>
      <w:r w:rsidR="00935714">
        <w:rPr>
          <w:lang w:eastAsia="x-none"/>
        </w:rPr>
        <w:t>geko</w:t>
      </w:r>
      <w:proofErr w:type="spellEnd"/>
      <w:r w:rsidR="00935714">
        <w:rPr>
          <w:lang w:eastAsia="x-none"/>
        </w:rPr>
        <w:t xml:space="preserve"> is being used in 6 NHS centres.</w:t>
      </w:r>
      <w:r w:rsidR="008D1C57">
        <w:rPr>
          <w:lang w:eastAsia="x-none"/>
        </w:rPr>
        <w:t xml:space="preserve"> </w:t>
      </w:r>
    </w:p>
    <w:p w:rsidR="00081BF9" w:rsidRDefault="00081BF9" w:rsidP="002078A6">
      <w:pPr>
        <w:pStyle w:val="Numberedheading"/>
        <w:keepNext w:val="0"/>
        <w:spacing w:line="276" w:lineRule="auto"/>
      </w:pPr>
      <w:r w:rsidRPr="00C80C8C">
        <w:t>Equality issues</w:t>
      </w:r>
      <w:r>
        <w:t xml:space="preserve"> </w:t>
      </w:r>
    </w:p>
    <w:p w:rsidR="00990A12" w:rsidRPr="00990A12" w:rsidRDefault="00990A12" w:rsidP="002078A6">
      <w:pPr>
        <w:spacing w:line="276" w:lineRule="auto"/>
        <w:rPr>
          <w:bCs/>
        </w:rPr>
      </w:pPr>
      <w:r>
        <w:rPr>
          <w:bCs/>
        </w:rPr>
        <w:lastRenderedPageBreak/>
        <w:t xml:space="preserve">In the original guidance the following equality issues were identified.  </w:t>
      </w:r>
      <w:r w:rsidRPr="00990A12">
        <w:rPr>
          <w:bCs/>
        </w:rPr>
        <w:t>The device may not be suitable</w:t>
      </w:r>
      <w:r>
        <w:rPr>
          <w:bCs/>
        </w:rPr>
        <w:t xml:space="preserve"> </w:t>
      </w:r>
      <w:r w:rsidRPr="00990A12">
        <w:rPr>
          <w:bCs/>
        </w:rPr>
        <w:t>for people:</w:t>
      </w:r>
    </w:p>
    <w:p w:rsidR="00990A12" w:rsidRDefault="00990A12" w:rsidP="002078A6">
      <w:pPr>
        <w:pStyle w:val="ListParagraph"/>
        <w:numPr>
          <w:ilvl w:val="0"/>
          <w:numId w:val="31"/>
        </w:numPr>
        <w:spacing w:line="276" w:lineRule="auto"/>
        <w:rPr>
          <w:bCs/>
        </w:rPr>
      </w:pPr>
      <w:proofErr w:type="gramStart"/>
      <w:r w:rsidRPr="00990A12">
        <w:rPr>
          <w:bCs/>
        </w:rPr>
        <w:t>with</w:t>
      </w:r>
      <w:proofErr w:type="gramEnd"/>
      <w:r w:rsidRPr="00990A12">
        <w:rPr>
          <w:bCs/>
        </w:rPr>
        <w:t xml:space="preserve"> fragile skin (for example, older patients and children) and those with</w:t>
      </w:r>
      <w:r>
        <w:rPr>
          <w:bCs/>
        </w:rPr>
        <w:t xml:space="preserve"> </w:t>
      </w:r>
      <w:r w:rsidRPr="00990A12">
        <w:rPr>
          <w:bCs/>
        </w:rPr>
        <w:t>burns and skin conditions within the application area of the device.</w:t>
      </w:r>
    </w:p>
    <w:p w:rsidR="009A2635" w:rsidRDefault="00990A12" w:rsidP="002078A6">
      <w:pPr>
        <w:pStyle w:val="ListParagraph"/>
        <w:numPr>
          <w:ilvl w:val="0"/>
          <w:numId w:val="31"/>
        </w:numPr>
        <w:spacing w:line="276" w:lineRule="auto"/>
        <w:rPr>
          <w:bCs/>
        </w:rPr>
      </w:pPr>
      <w:proofErr w:type="gramStart"/>
      <w:r w:rsidRPr="00990A12">
        <w:rPr>
          <w:bCs/>
        </w:rPr>
        <w:t>whose</w:t>
      </w:r>
      <w:proofErr w:type="gramEnd"/>
      <w:r w:rsidRPr="00990A12">
        <w:rPr>
          <w:bCs/>
        </w:rPr>
        <w:t xml:space="preserve"> common peroneal nerve or device application site is inaccessible</w:t>
      </w:r>
      <w:r>
        <w:rPr>
          <w:bCs/>
        </w:rPr>
        <w:t xml:space="preserve"> </w:t>
      </w:r>
      <w:r w:rsidRPr="00990A12">
        <w:rPr>
          <w:bCs/>
        </w:rPr>
        <w:t>or where the common peroneal nerve function is impaired.</w:t>
      </w:r>
    </w:p>
    <w:p w:rsidR="003765BD" w:rsidRPr="003765BD" w:rsidRDefault="003765BD" w:rsidP="002078A6">
      <w:pPr>
        <w:pStyle w:val="ListParagraph"/>
        <w:numPr>
          <w:ilvl w:val="0"/>
          <w:numId w:val="31"/>
        </w:numPr>
        <w:spacing w:line="276" w:lineRule="auto"/>
        <w:rPr>
          <w:bCs/>
        </w:rPr>
      </w:pPr>
      <w:proofErr w:type="gramStart"/>
      <w:r w:rsidRPr="003765BD">
        <w:rPr>
          <w:bCs/>
        </w:rPr>
        <w:t>the</w:t>
      </w:r>
      <w:proofErr w:type="gramEnd"/>
      <w:r w:rsidRPr="003765BD">
        <w:rPr>
          <w:bCs/>
        </w:rPr>
        <w:t xml:space="preserve"> device is unlikely to be suitable for some</w:t>
      </w:r>
      <w:r>
        <w:rPr>
          <w:bCs/>
        </w:rPr>
        <w:t xml:space="preserve"> </w:t>
      </w:r>
      <w:r w:rsidRPr="003765BD">
        <w:rPr>
          <w:bCs/>
        </w:rPr>
        <w:t>people considered disabled under the Equality Act 2010 such as bilateral leg</w:t>
      </w:r>
      <w:r>
        <w:rPr>
          <w:bCs/>
        </w:rPr>
        <w:t xml:space="preserve"> </w:t>
      </w:r>
      <w:r w:rsidRPr="003765BD">
        <w:rPr>
          <w:bCs/>
        </w:rPr>
        <w:t>amputees.</w:t>
      </w:r>
    </w:p>
    <w:p w:rsidR="00C05518" w:rsidRPr="004F0B20" w:rsidRDefault="000147CF" w:rsidP="002078A6">
      <w:pPr>
        <w:pStyle w:val="Heading1"/>
        <w:spacing w:line="276" w:lineRule="auto"/>
      </w:pPr>
      <w:r w:rsidRPr="004F0B20">
        <w:br w:type="page"/>
      </w:r>
      <w:r w:rsidR="000D064A">
        <w:rPr>
          <w:rStyle w:val="TitleChar"/>
          <w:b/>
        </w:rPr>
        <w:lastRenderedPageBreak/>
        <w:t>Appendix 1</w:t>
      </w:r>
      <w:r w:rsidR="00C05518" w:rsidRPr="004F0B20">
        <w:rPr>
          <w:rStyle w:val="TitleChar"/>
          <w:b/>
        </w:rPr>
        <w:t xml:space="preserve"> – explanation of options</w:t>
      </w:r>
    </w:p>
    <w:p w:rsidR="00C05518" w:rsidRPr="00A25F36" w:rsidRDefault="00537651" w:rsidP="002078A6">
      <w:pPr>
        <w:spacing w:line="276" w:lineRule="auto"/>
        <w:rPr>
          <w:b/>
        </w:rPr>
      </w:pPr>
      <w:r>
        <w:t xml:space="preserve">If the published </w:t>
      </w:r>
      <w:r w:rsidR="00C35B50">
        <w:t xml:space="preserve">Medical Technologies </w:t>
      </w:r>
      <w:r>
        <w:t xml:space="preserve">Guidance needs updating </w:t>
      </w:r>
      <w:r w:rsidR="00C05518">
        <w:t xml:space="preserve">NICE must select one of the options in the table below: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4395"/>
        <w:gridCol w:w="1304"/>
      </w:tblGrid>
      <w:tr w:rsidR="00C05518" w:rsidRPr="00B51A60" w:rsidTr="00587E2B">
        <w:trPr>
          <w:cantSplit/>
          <w:tblHeader/>
        </w:trPr>
        <w:tc>
          <w:tcPr>
            <w:tcW w:w="3510" w:type="dxa"/>
          </w:tcPr>
          <w:p w:rsidR="00C05518" w:rsidRPr="00B51A60" w:rsidRDefault="00C05518" w:rsidP="002078A6">
            <w:pPr>
              <w:keepNext/>
              <w:spacing w:before="120" w:after="120" w:line="276" w:lineRule="auto"/>
              <w:rPr>
                <w:b/>
                <w:bCs/>
                <w:sz w:val="22"/>
                <w:szCs w:val="22"/>
              </w:rPr>
            </w:pPr>
            <w:r w:rsidRPr="00B51A60">
              <w:rPr>
                <w:b/>
                <w:sz w:val="22"/>
                <w:szCs w:val="22"/>
              </w:rPr>
              <w:t>Options</w:t>
            </w:r>
          </w:p>
        </w:tc>
        <w:tc>
          <w:tcPr>
            <w:tcW w:w="4395" w:type="dxa"/>
          </w:tcPr>
          <w:p w:rsidR="00C05518" w:rsidRPr="00B51A60" w:rsidRDefault="00C05518" w:rsidP="002078A6">
            <w:pPr>
              <w:keepNext/>
              <w:spacing w:before="120" w:after="120" w:line="276" w:lineRule="auto"/>
              <w:rPr>
                <w:b/>
                <w:bCs/>
                <w:sz w:val="22"/>
                <w:szCs w:val="22"/>
              </w:rPr>
            </w:pPr>
            <w:r w:rsidRPr="00B51A60">
              <w:rPr>
                <w:b/>
                <w:sz w:val="22"/>
                <w:szCs w:val="22"/>
              </w:rPr>
              <w:t>Consequence</w:t>
            </w:r>
          </w:p>
        </w:tc>
        <w:tc>
          <w:tcPr>
            <w:tcW w:w="1304" w:type="dxa"/>
          </w:tcPr>
          <w:p w:rsidR="00C05518" w:rsidRPr="00B51A60" w:rsidRDefault="00C05518" w:rsidP="002078A6">
            <w:pPr>
              <w:keepNext/>
              <w:spacing w:before="120" w:after="120" w:line="276" w:lineRule="auto"/>
              <w:rPr>
                <w:b/>
                <w:sz w:val="22"/>
                <w:szCs w:val="22"/>
              </w:rPr>
            </w:pPr>
            <w:r>
              <w:rPr>
                <w:b/>
                <w:sz w:val="22"/>
                <w:szCs w:val="22"/>
              </w:rPr>
              <w:t>Selected</w:t>
            </w:r>
            <w:r w:rsidR="00871FEF">
              <w:rPr>
                <w:b/>
                <w:sz w:val="22"/>
                <w:szCs w:val="22"/>
              </w:rPr>
              <w:t xml:space="preserve"> – ‘Yes/No’</w:t>
            </w:r>
          </w:p>
        </w:tc>
      </w:tr>
      <w:tr w:rsidR="00C05518" w:rsidRPr="00B51A60" w:rsidTr="00587E2B">
        <w:trPr>
          <w:cantSplit/>
        </w:trPr>
        <w:tc>
          <w:tcPr>
            <w:tcW w:w="3510" w:type="dxa"/>
          </w:tcPr>
          <w:p w:rsidR="00C05518" w:rsidRPr="00B51A60" w:rsidRDefault="00B2228D" w:rsidP="0028327F">
            <w:pPr>
              <w:spacing w:before="120" w:after="120" w:line="276" w:lineRule="auto"/>
              <w:rPr>
                <w:bCs/>
                <w:sz w:val="22"/>
                <w:szCs w:val="22"/>
              </w:rPr>
            </w:pPr>
            <w:r>
              <w:rPr>
                <w:sz w:val="22"/>
                <w:szCs w:val="22"/>
              </w:rPr>
              <w:t>S</w:t>
            </w:r>
            <w:r w:rsidR="00AC6EA8">
              <w:rPr>
                <w:sz w:val="22"/>
                <w:szCs w:val="22"/>
              </w:rPr>
              <w:t>tandard update</w:t>
            </w:r>
            <w:r w:rsidR="00A74673">
              <w:rPr>
                <w:sz w:val="22"/>
                <w:szCs w:val="22"/>
              </w:rPr>
              <w:t xml:space="preserve"> of the guidance</w:t>
            </w:r>
          </w:p>
        </w:tc>
        <w:tc>
          <w:tcPr>
            <w:tcW w:w="4395" w:type="dxa"/>
          </w:tcPr>
          <w:p w:rsidR="00C05518" w:rsidRPr="00B51A60" w:rsidRDefault="00C05518" w:rsidP="0028327F">
            <w:pPr>
              <w:spacing w:before="120" w:after="120" w:line="276" w:lineRule="auto"/>
              <w:rPr>
                <w:bCs/>
                <w:sz w:val="22"/>
                <w:szCs w:val="22"/>
              </w:rPr>
            </w:pPr>
            <w:r w:rsidRPr="00B51A60">
              <w:rPr>
                <w:bCs/>
                <w:sz w:val="22"/>
                <w:szCs w:val="22"/>
              </w:rPr>
              <w:t xml:space="preserve">A </w:t>
            </w:r>
            <w:r w:rsidR="00AC6EA8">
              <w:rPr>
                <w:bCs/>
                <w:sz w:val="22"/>
                <w:szCs w:val="22"/>
              </w:rPr>
              <w:t xml:space="preserve">standard update </w:t>
            </w:r>
            <w:r w:rsidRPr="00B51A60">
              <w:rPr>
                <w:bCs/>
                <w:sz w:val="22"/>
                <w:szCs w:val="22"/>
              </w:rPr>
              <w:t xml:space="preserve">of the </w:t>
            </w:r>
            <w:r w:rsidR="00951CE2">
              <w:rPr>
                <w:bCs/>
                <w:sz w:val="22"/>
                <w:szCs w:val="22"/>
              </w:rPr>
              <w:t>Medical Technologies</w:t>
            </w:r>
            <w:r w:rsidR="00AC6EA8">
              <w:rPr>
                <w:bCs/>
                <w:sz w:val="22"/>
                <w:szCs w:val="22"/>
              </w:rPr>
              <w:t xml:space="preserve"> Guidance </w:t>
            </w:r>
            <w:r w:rsidRPr="00B51A60">
              <w:rPr>
                <w:bCs/>
                <w:sz w:val="22"/>
                <w:szCs w:val="22"/>
              </w:rPr>
              <w:t xml:space="preserve">will be planned into </w:t>
            </w:r>
            <w:r>
              <w:rPr>
                <w:bCs/>
                <w:sz w:val="22"/>
                <w:szCs w:val="22"/>
              </w:rPr>
              <w:t>NICE</w:t>
            </w:r>
            <w:r w:rsidRPr="00B51A60">
              <w:rPr>
                <w:bCs/>
                <w:sz w:val="22"/>
                <w:szCs w:val="22"/>
              </w:rPr>
              <w:t>’s work programme.</w:t>
            </w:r>
          </w:p>
        </w:tc>
        <w:tc>
          <w:tcPr>
            <w:tcW w:w="1304" w:type="dxa"/>
          </w:tcPr>
          <w:p w:rsidR="00C05518" w:rsidRPr="00B51A60" w:rsidRDefault="004B6CB8" w:rsidP="0028327F">
            <w:pPr>
              <w:spacing w:before="120" w:after="120" w:line="276" w:lineRule="auto"/>
              <w:rPr>
                <w:bCs/>
                <w:sz w:val="22"/>
                <w:szCs w:val="22"/>
              </w:rPr>
            </w:pPr>
            <w:r>
              <w:rPr>
                <w:bCs/>
                <w:sz w:val="22"/>
                <w:szCs w:val="22"/>
              </w:rPr>
              <w:t>No</w:t>
            </w:r>
          </w:p>
        </w:tc>
      </w:tr>
      <w:tr w:rsidR="00E01790" w:rsidRPr="00B51A60" w:rsidTr="00587E2B">
        <w:trPr>
          <w:cantSplit/>
        </w:trPr>
        <w:tc>
          <w:tcPr>
            <w:tcW w:w="3510" w:type="dxa"/>
          </w:tcPr>
          <w:p w:rsidR="00E01790" w:rsidRDefault="00B2228D" w:rsidP="0028327F">
            <w:pPr>
              <w:spacing w:before="120" w:after="120" w:line="276" w:lineRule="auto"/>
              <w:rPr>
                <w:sz w:val="22"/>
                <w:szCs w:val="22"/>
              </w:rPr>
            </w:pPr>
            <w:r>
              <w:rPr>
                <w:sz w:val="22"/>
                <w:szCs w:val="22"/>
              </w:rPr>
              <w:t>U</w:t>
            </w:r>
            <w:r w:rsidR="00E01790" w:rsidRPr="00E01790">
              <w:rPr>
                <w:sz w:val="22"/>
                <w:szCs w:val="22"/>
              </w:rPr>
              <w:t>pdate of the guidance within another piece of NICE guidance</w:t>
            </w:r>
          </w:p>
        </w:tc>
        <w:tc>
          <w:tcPr>
            <w:tcW w:w="4395" w:type="dxa"/>
          </w:tcPr>
          <w:p w:rsidR="00E01790" w:rsidRDefault="00E01790" w:rsidP="0028327F">
            <w:pPr>
              <w:spacing w:before="120" w:after="120" w:line="276" w:lineRule="auto"/>
              <w:rPr>
                <w:bCs/>
                <w:sz w:val="22"/>
                <w:szCs w:val="22"/>
              </w:rPr>
            </w:pPr>
            <w:r>
              <w:rPr>
                <w:bCs/>
                <w:sz w:val="22"/>
                <w:szCs w:val="22"/>
              </w:rPr>
              <w:t>T</w:t>
            </w:r>
            <w:r w:rsidRPr="00E01790">
              <w:rPr>
                <w:bCs/>
                <w:sz w:val="22"/>
                <w:szCs w:val="22"/>
              </w:rPr>
              <w:t>he guidance is updated according to the processes and timetable of that programme</w:t>
            </w:r>
            <w:r w:rsidR="002B38CE">
              <w:rPr>
                <w:bCs/>
                <w:sz w:val="22"/>
                <w:szCs w:val="22"/>
              </w:rPr>
              <w:t>.</w:t>
            </w:r>
          </w:p>
        </w:tc>
        <w:tc>
          <w:tcPr>
            <w:tcW w:w="1304" w:type="dxa"/>
          </w:tcPr>
          <w:p w:rsidR="00E01790" w:rsidRPr="00B51A60" w:rsidDel="00B51A60" w:rsidRDefault="00026514" w:rsidP="004B6CB8">
            <w:pPr>
              <w:spacing w:before="120" w:after="120" w:line="276" w:lineRule="auto"/>
              <w:rPr>
                <w:bCs/>
                <w:sz w:val="22"/>
                <w:szCs w:val="22"/>
              </w:rPr>
            </w:pPr>
            <w:r>
              <w:rPr>
                <w:bCs/>
                <w:sz w:val="22"/>
                <w:szCs w:val="22"/>
              </w:rPr>
              <w:t>N</w:t>
            </w:r>
            <w:r w:rsidR="004B6CB8">
              <w:rPr>
                <w:bCs/>
                <w:sz w:val="22"/>
                <w:szCs w:val="22"/>
              </w:rPr>
              <w:t>o</w:t>
            </w:r>
          </w:p>
        </w:tc>
      </w:tr>
    </w:tbl>
    <w:p w:rsidR="00256F0A" w:rsidRDefault="00256F0A" w:rsidP="0028327F">
      <w:pPr>
        <w:spacing w:line="276" w:lineRule="auto"/>
      </w:pPr>
    </w:p>
    <w:p w:rsidR="00256F0A" w:rsidRDefault="00E01790" w:rsidP="0028327F">
      <w:pPr>
        <w:spacing w:line="276" w:lineRule="auto"/>
      </w:pPr>
      <w:r w:rsidRPr="00E01790">
        <w:t xml:space="preserve">If the published </w:t>
      </w:r>
      <w:r w:rsidR="003D10CA">
        <w:t xml:space="preserve">Medical Technologies </w:t>
      </w:r>
      <w:r w:rsidRPr="00E01790">
        <w:t xml:space="preserve">Guidance </w:t>
      </w:r>
      <w:r>
        <w:t>does not need</w:t>
      </w:r>
      <w:r w:rsidRPr="00E01790">
        <w:t xml:space="preserve"> updating NICE must select one of the options in the table below: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4395"/>
        <w:gridCol w:w="1304"/>
      </w:tblGrid>
      <w:tr w:rsidR="00256F0A" w:rsidRPr="00B51A60" w:rsidTr="00587E2B">
        <w:trPr>
          <w:cantSplit/>
        </w:trPr>
        <w:tc>
          <w:tcPr>
            <w:tcW w:w="3510" w:type="dxa"/>
          </w:tcPr>
          <w:p w:rsidR="00256F0A" w:rsidRPr="00256F0A" w:rsidRDefault="00256F0A" w:rsidP="0028327F">
            <w:pPr>
              <w:spacing w:before="120" w:after="120" w:line="276" w:lineRule="auto"/>
              <w:rPr>
                <w:b/>
                <w:sz w:val="22"/>
                <w:szCs w:val="22"/>
              </w:rPr>
            </w:pPr>
            <w:r w:rsidRPr="00256F0A">
              <w:rPr>
                <w:b/>
                <w:sz w:val="22"/>
                <w:szCs w:val="22"/>
              </w:rPr>
              <w:t>Options</w:t>
            </w:r>
          </w:p>
        </w:tc>
        <w:tc>
          <w:tcPr>
            <w:tcW w:w="4395" w:type="dxa"/>
          </w:tcPr>
          <w:p w:rsidR="00256F0A" w:rsidRPr="00256F0A" w:rsidRDefault="00256F0A" w:rsidP="0028327F">
            <w:pPr>
              <w:spacing w:before="120" w:after="120" w:line="276" w:lineRule="auto"/>
              <w:rPr>
                <w:b/>
                <w:bCs/>
                <w:sz w:val="22"/>
                <w:szCs w:val="22"/>
              </w:rPr>
            </w:pPr>
            <w:r w:rsidRPr="00256F0A">
              <w:rPr>
                <w:b/>
                <w:bCs/>
                <w:sz w:val="22"/>
                <w:szCs w:val="22"/>
              </w:rPr>
              <w:t>Consequences</w:t>
            </w:r>
          </w:p>
        </w:tc>
        <w:tc>
          <w:tcPr>
            <w:tcW w:w="1304" w:type="dxa"/>
          </w:tcPr>
          <w:p w:rsidR="00256F0A" w:rsidRPr="00256F0A" w:rsidDel="00B51A60" w:rsidRDefault="00256F0A" w:rsidP="0028327F">
            <w:pPr>
              <w:spacing w:before="120" w:after="120" w:line="276" w:lineRule="auto"/>
              <w:rPr>
                <w:b/>
                <w:bCs/>
                <w:sz w:val="22"/>
                <w:szCs w:val="22"/>
              </w:rPr>
            </w:pPr>
            <w:r w:rsidRPr="00256F0A">
              <w:rPr>
                <w:b/>
                <w:bCs/>
                <w:sz w:val="22"/>
                <w:szCs w:val="22"/>
              </w:rPr>
              <w:t>Selected – ‘Yes/No’</w:t>
            </w:r>
          </w:p>
        </w:tc>
      </w:tr>
      <w:tr w:rsidR="002B38CE" w:rsidRPr="00B51A60" w:rsidTr="00587E2B">
        <w:trPr>
          <w:cantSplit/>
        </w:trPr>
        <w:tc>
          <w:tcPr>
            <w:tcW w:w="3510" w:type="dxa"/>
          </w:tcPr>
          <w:p w:rsidR="002B38CE" w:rsidRDefault="002B38CE" w:rsidP="0028327F">
            <w:pPr>
              <w:spacing w:before="120" w:after="120" w:line="276" w:lineRule="auto"/>
              <w:rPr>
                <w:sz w:val="22"/>
                <w:szCs w:val="22"/>
              </w:rPr>
            </w:pPr>
            <w:r>
              <w:rPr>
                <w:sz w:val="22"/>
                <w:szCs w:val="22"/>
              </w:rPr>
              <w:t>T</w:t>
            </w:r>
            <w:r w:rsidR="00B2228D">
              <w:rPr>
                <w:sz w:val="22"/>
                <w:szCs w:val="22"/>
              </w:rPr>
              <w:t>ransfer t</w:t>
            </w:r>
            <w:r w:rsidRPr="00B51A60">
              <w:rPr>
                <w:sz w:val="22"/>
                <w:szCs w:val="22"/>
              </w:rPr>
              <w:t>he guidance to the ‘static guidance list’</w:t>
            </w:r>
          </w:p>
        </w:tc>
        <w:tc>
          <w:tcPr>
            <w:tcW w:w="4395" w:type="dxa"/>
          </w:tcPr>
          <w:p w:rsidR="002B38CE" w:rsidRDefault="002B38CE" w:rsidP="0028327F">
            <w:pPr>
              <w:spacing w:before="120" w:after="120" w:line="276" w:lineRule="auto"/>
              <w:rPr>
                <w:bCs/>
                <w:sz w:val="22"/>
                <w:szCs w:val="22"/>
              </w:rPr>
            </w:pPr>
            <w:r w:rsidRPr="00B51A60">
              <w:rPr>
                <w:bCs/>
                <w:sz w:val="22"/>
                <w:szCs w:val="22"/>
              </w:rPr>
              <w:t>The guidance</w:t>
            </w:r>
            <w:r>
              <w:rPr>
                <w:bCs/>
                <w:sz w:val="22"/>
                <w:szCs w:val="22"/>
              </w:rPr>
              <w:t xml:space="preserve"> remains valid and is designated as static guidance. </w:t>
            </w:r>
            <w:r w:rsidRPr="00B51A60">
              <w:rPr>
                <w:bCs/>
                <w:sz w:val="22"/>
                <w:szCs w:val="22"/>
              </w:rPr>
              <w:t xml:space="preserve">Literature searches are carried out every 5 years to check whether any of the </w:t>
            </w:r>
            <w:r w:rsidR="00951CE2">
              <w:rPr>
                <w:bCs/>
                <w:sz w:val="22"/>
                <w:szCs w:val="22"/>
              </w:rPr>
              <w:t>Medical Technologies</w:t>
            </w:r>
            <w:r>
              <w:rPr>
                <w:bCs/>
                <w:sz w:val="22"/>
                <w:szCs w:val="22"/>
              </w:rPr>
              <w:t xml:space="preserve"> Guidance </w:t>
            </w:r>
            <w:r w:rsidRPr="00B51A60">
              <w:rPr>
                <w:bCs/>
                <w:sz w:val="22"/>
                <w:szCs w:val="22"/>
              </w:rPr>
              <w:t xml:space="preserve">on the static list should be flagged for review.  </w:t>
            </w:r>
          </w:p>
        </w:tc>
        <w:tc>
          <w:tcPr>
            <w:tcW w:w="1304" w:type="dxa"/>
          </w:tcPr>
          <w:p w:rsidR="002B38CE" w:rsidRPr="00B51A60" w:rsidDel="00B51A60" w:rsidRDefault="00026514" w:rsidP="0028327F">
            <w:pPr>
              <w:spacing w:before="120" w:after="120" w:line="276" w:lineRule="auto"/>
              <w:rPr>
                <w:bCs/>
                <w:sz w:val="22"/>
                <w:szCs w:val="22"/>
              </w:rPr>
            </w:pPr>
            <w:r>
              <w:rPr>
                <w:bCs/>
                <w:sz w:val="22"/>
                <w:szCs w:val="22"/>
              </w:rPr>
              <w:t>Yes</w:t>
            </w:r>
          </w:p>
        </w:tc>
      </w:tr>
      <w:tr w:rsidR="00C05518" w:rsidRPr="00B51A60" w:rsidTr="00587E2B">
        <w:trPr>
          <w:cantSplit/>
        </w:trPr>
        <w:tc>
          <w:tcPr>
            <w:tcW w:w="3510" w:type="dxa"/>
          </w:tcPr>
          <w:p w:rsidR="00C05518" w:rsidRPr="00B51A60" w:rsidRDefault="00B2228D" w:rsidP="0028327F">
            <w:pPr>
              <w:spacing w:before="120" w:after="120" w:line="276" w:lineRule="auto"/>
              <w:rPr>
                <w:bCs/>
                <w:sz w:val="22"/>
                <w:szCs w:val="22"/>
              </w:rPr>
            </w:pPr>
            <w:r>
              <w:rPr>
                <w:sz w:val="22"/>
                <w:szCs w:val="22"/>
              </w:rPr>
              <w:t>Defer t</w:t>
            </w:r>
            <w:r w:rsidR="00C05518" w:rsidRPr="00B51A60">
              <w:rPr>
                <w:sz w:val="22"/>
                <w:szCs w:val="22"/>
              </w:rPr>
              <w:t xml:space="preserve">he decision to review the guidance </w:t>
            </w:r>
          </w:p>
        </w:tc>
        <w:tc>
          <w:tcPr>
            <w:tcW w:w="4395" w:type="dxa"/>
          </w:tcPr>
          <w:p w:rsidR="00C05518" w:rsidRPr="00B51A60" w:rsidRDefault="00C05518" w:rsidP="0028327F">
            <w:pPr>
              <w:spacing w:before="120" w:after="120" w:line="276" w:lineRule="auto"/>
              <w:rPr>
                <w:bCs/>
                <w:sz w:val="22"/>
                <w:szCs w:val="22"/>
              </w:rPr>
            </w:pPr>
            <w:r>
              <w:rPr>
                <w:bCs/>
                <w:sz w:val="22"/>
                <w:szCs w:val="22"/>
              </w:rPr>
              <w:t>NICE</w:t>
            </w:r>
            <w:r w:rsidRPr="00B51A60">
              <w:rPr>
                <w:bCs/>
                <w:sz w:val="22"/>
                <w:szCs w:val="22"/>
              </w:rPr>
              <w:t xml:space="preserve"> will reconsider whether a review is necessary at the specified date.</w:t>
            </w:r>
          </w:p>
        </w:tc>
        <w:tc>
          <w:tcPr>
            <w:tcW w:w="1304" w:type="dxa"/>
          </w:tcPr>
          <w:p w:rsidR="00C05518" w:rsidRPr="00B51A60" w:rsidDel="00B51A60" w:rsidRDefault="00026514" w:rsidP="0028327F">
            <w:pPr>
              <w:spacing w:before="120" w:after="120" w:line="276" w:lineRule="auto"/>
              <w:rPr>
                <w:bCs/>
                <w:sz w:val="22"/>
                <w:szCs w:val="22"/>
              </w:rPr>
            </w:pPr>
            <w:r>
              <w:rPr>
                <w:bCs/>
                <w:sz w:val="22"/>
                <w:szCs w:val="22"/>
              </w:rPr>
              <w:t>No</w:t>
            </w:r>
          </w:p>
        </w:tc>
      </w:tr>
      <w:tr w:rsidR="00C6604E" w:rsidRPr="00B7371D" w:rsidTr="00587E2B">
        <w:trPr>
          <w:cantSplit/>
        </w:trPr>
        <w:tc>
          <w:tcPr>
            <w:tcW w:w="3510" w:type="dxa"/>
          </w:tcPr>
          <w:p w:rsidR="00C6604E" w:rsidRDefault="00B2228D" w:rsidP="0028327F">
            <w:pPr>
              <w:spacing w:before="120" w:after="120" w:line="276" w:lineRule="auto"/>
              <w:rPr>
                <w:color w:val="FF0000"/>
                <w:sz w:val="22"/>
                <w:szCs w:val="22"/>
              </w:rPr>
            </w:pPr>
            <w:r>
              <w:rPr>
                <w:sz w:val="22"/>
                <w:szCs w:val="22"/>
              </w:rPr>
              <w:t>Withdraw t</w:t>
            </w:r>
            <w:r w:rsidR="00C6604E" w:rsidRPr="002B38CE">
              <w:rPr>
                <w:sz w:val="22"/>
                <w:szCs w:val="22"/>
              </w:rPr>
              <w:t xml:space="preserve">he guidance </w:t>
            </w:r>
          </w:p>
        </w:tc>
        <w:tc>
          <w:tcPr>
            <w:tcW w:w="4395" w:type="dxa"/>
          </w:tcPr>
          <w:p w:rsidR="00C6604E" w:rsidRDefault="00C6604E" w:rsidP="0028327F">
            <w:pPr>
              <w:spacing w:before="120" w:after="120" w:line="276" w:lineRule="auto"/>
              <w:rPr>
                <w:bCs/>
                <w:color w:val="FF0000"/>
                <w:sz w:val="22"/>
                <w:szCs w:val="22"/>
              </w:rPr>
            </w:pPr>
            <w:r w:rsidRPr="002B38CE">
              <w:rPr>
                <w:bCs/>
                <w:sz w:val="22"/>
                <w:szCs w:val="22"/>
              </w:rPr>
              <w:t xml:space="preserve">The </w:t>
            </w:r>
            <w:r w:rsidR="00EA53E3">
              <w:rPr>
                <w:bCs/>
                <w:sz w:val="22"/>
                <w:szCs w:val="22"/>
              </w:rPr>
              <w:t xml:space="preserve">Medical Technologies </w:t>
            </w:r>
            <w:r w:rsidRPr="002B38CE">
              <w:rPr>
                <w:bCs/>
                <w:sz w:val="22"/>
                <w:szCs w:val="22"/>
              </w:rPr>
              <w:t>Guidance is no longer valid and is withdrawn.</w:t>
            </w:r>
          </w:p>
        </w:tc>
        <w:tc>
          <w:tcPr>
            <w:tcW w:w="1304" w:type="dxa"/>
          </w:tcPr>
          <w:p w:rsidR="00C6604E" w:rsidRPr="001650DD" w:rsidRDefault="00026514" w:rsidP="0028327F">
            <w:pPr>
              <w:spacing w:before="120" w:after="120" w:line="276" w:lineRule="auto"/>
              <w:rPr>
                <w:bCs/>
                <w:color w:val="FF0000"/>
                <w:sz w:val="22"/>
                <w:szCs w:val="22"/>
              </w:rPr>
            </w:pPr>
            <w:r w:rsidRPr="001650DD">
              <w:rPr>
                <w:bCs/>
                <w:sz w:val="22"/>
                <w:szCs w:val="22"/>
              </w:rPr>
              <w:t>No</w:t>
            </w:r>
          </w:p>
        </w:tc>
      </w:tr>
    </w:tbl>
    <w:p w:rsidR="00241953" w:rsidRDefault="00241953" w:rsidP="0028327F">
      <w:pPr>
        <w:pStyle w:val="Heading1"/>
        <w:spacing w:line="276" w:lineRule="auto"/>
        <w:rPr>
          <w:rStyle w:val="TitleChar"/>
          <w:b/>
          <w:bCs/>
          <w:kern w:val="32"/>
        </w:rPr>
      </w:pPr>
    </w:p>
    <w:p w:rsidR="00241953" w:rsidRDefault="00241953" w:rsidP="00BD18F4">
      <w:pPr>
        <w:pStyle w:val="Heading1"/>
        <w:rPr>
          <w:rStyle w:val="TitleChar"/>
          <w:kern w:val="32"/>
        </w:rPr>
      </w:pPr>
      <w:r>
        <w:rPr>
          <w:rStyle w:val="TitleChar"/>
          <w:b/>
          <w:bCs/>
          <w:kern w:val="32"/>
        </w:rPr>
        <w:br w:type="page"/>
      </w:r>
    </w:p>
    <w:p w:rsidR="000147CF" w:rsidRPr="008875A8" w:rsidRDefault="000147CF" w:rsidP="0028327F">
      <w:pPr>
        <w:pStyle w:val="Heading1"/>
        <w:spacing w:line="276" w:lineRule="auto"/>
        <w:rPr>
          <w:bCs w:val="0"/>
          <w:kern w:val="28"/>
          <w:sz w:val="32"/>
        </w:rPr>
      </w:pPr>
      <w:r w:rsidRPr="008875A8">
        <w:rPr>
          <w:rStyle w:val="TitleChar"/>
          <w:b/>
          <w:bCs/>
          <w:kern w:val="32"/>
        </w:rPr>
        <w:lastRenderedPageBreak/>
        <w:t>Appendix</w:t>
      </w:r>
      <w:r w:rsidR="00B253F7" w:rsidRPr="008875A8">
        <w:rPr>
          <w:rStyle w:val="TitleChar"/>
          <w:b/>
        </w:rPr>
        <w:t xml:space="preserve"> </w:t>
      </w:r>
      <w:r w:rsidR="000D064A" w:rsidRPr="008875A8">
        <w:rPr>
          <w:rStyle w:val="TitleChar"/>
          <w:b/>
        </w:rPr>
        <w:t>2</w:t>
      </w:r>
      <w:r w:rsidRPr="008875A8">
        <w:rPr>
          <w:rStyle w:val="TitleChar"/>
          <w:b/>
        </w:rPr>
        <w:t xml:space="preserve"> </w:t>
      </w:r>
      <w:r w:rsidR="00B253F7" w:rsidRPr="008875A8">
        <w:rPr>
          <w:rStyle w:val="TitleChar"/>
          <w:b/>
        </w:rPr>
        <w:t>–</w:t>
      </w:r>
      <w:r w:rsidRPr="008875A8">
        <w:rPr>
          <w:rStyle w:val="TitleChar"/>
          <w:b/>
        </w:rPr>
        <w:t xml:space="preserve"> </w:t>
      </w:r>
      <w:r w:rsidR="00B253F7" w:rsidRPr="008875A8">
        <w:rPr>
          <w:rStyle w:val="TitleChar"/>
          <w:b/>
          <w:bCs/>
          <w:kern w:val="32"/>
        </w:rPr>
        <w:t>supporting</w:t>
      </w:r>
      <w:r w:rsidR="00B253F7" w:rsidRPr="008875A8">
        <w:rPr>
          <w:rStyle w:val="TitleChar"/>
          <w:b/>
        </w:rPr>
        <w:t xml:space="preserve"> information</w:t>
      </w:r>
    </w:p>
    <w:p w:rsidR="00B253F7" w:rsidRDefault="00B253F7" w:rsidP="0028327F">
      <w:pPr>
        <w:pStyle w:val="Heading2"/>
        <w:spacing w:line="276" w:lineRule="auto"/>
      </w:pPr>
      <w:r w:rsidRPr="0056596D">
        <w:t>Relevant</w:t>
      </w:r>
      <w:r>
        <w:t xml:space="preserve"> Institute work </w:t>
      </w:r>
    </w:p>
    <w:p w:rsidR="00B253F7" w:rsidRPr="004F0B20" w:rsidRDefault="00B253F7" w:rsidP="0028327F">
      <w:pPr>
        <w:pStyle w:val="Heading3"/>
        <w:spacing w:line="276" w:lineRule="auto"/>
      </w:pPr>
      <w:r w:rsidRPr="004F0B20">
        <w:t>Published</w:t>
      </w:r>
    </w:p>
    <w:p w:rsidR="00C4762D" w:rsidRPr="00990A12" w:rsidRDefault="00990A12" w:rsidP="0028327F">
      <w:pPr>
        <w:spacing w:line="276" w:lineRule="auto"/>
      </w:pPr>
      <w:bookmarkStart w:id="3" w:name="Text16"/>
      <w:r>
        <w:rPr>
          <w:noProof/>
        </w:rPr>
        <w:t xml:space="preserve">Clinical guideline 92 </w:t>
      </w:r>
    </w:p>
    <w:p w:rsidR="00990A12" w:rsidRPr="00C4762D" w:rsidRDefault="00990A12" w:rsidP="0028327F">
      <w:pPr>
        <w:spacing w:line="276" w:lineRule="auto"/>
      </w:pPr>
    </w:p>
    <w:bookmarkEnd w:id="3"/>
    <w:p w:rsidR="00B253F7" w:rsidRDefault="00B253F7" w:rsidP="0028327F">
      <w:pPr>
        <w:pStyle w:val="Heading3"/>
        <w:spacing w:line="276" w:lineRule="auto"/>
      </w:pPr>
      <w:r w:rsidRPr="008C6A1B">
        <w:t xml:space="preserve">In progress </w:t>
      </w:r>
    </w:p>
    <w:p w:rsidR="00C4762D" w:rsidRDefault="007C7D4E" w:rsidP="0028327F">
      <w:pPr>
        <w:spacing w:line="276" w:lineRule="auto"/>
      </w:pPr>
      <w:r>
        <w:t xml:space="preserve">No appropriate guidance in progress.  </w:t>
      </w:r>
    </w:p>
    <w:p w:rsidR="00C802A6" w:rsidRDefault="000147CF" w:rsidP="0028327F">
      <w:pPr>
        <w:pStyle w:val="Heading2"/>
        <w:spacing w:line="276" w:lineRule="auto"/>
        <w:rPr>
          <w:rStyle w:val="Heading1Char"/>
          <w:rFonts w:cs="Arial"/>
          <w:b/>
          <w:bCs/>
          <w:iCs w:val="0"/>
          <w:kern w:val="0"/>
          <w:sz w:val="24"/>
          <w:lang w:val="en-GB"/>
        </w:rPr>
      </w:pPr>
      <w:r w:rsidRPr="00C802A6">
        <w:rPr>
          <w:rStyle w:val="Heading1Char"/>
          <w:b/>
          <w:bCs/>
          <w:kern w:val="0"/>
          <w:sz w:val="24"/>
        </w:rPr>
        <w:t xml:space="preserve">Registered </w:t>
      </w:r>
      <w:r w:rsidR="004F0B20">
        <w:rPr>
          <w:rStyle w:val="Heading1Char"/>
          <w:b/>
          <w:bCs/>
          <w:kern w:val="0"/>
          <w:sz w:val="24"/>
        </w:rPr>
        <w:t>and</w:t>
      </w:r>
      <w:r w:rsidRPr="00C802A6">
        <w:rPr>
          <w:rStyle w:val="Heading1Char"/>
          <w:b/>
          <w:bCs/>
          <w:kern w:val="0"/>
          <w:sz w:val="24"/>
        </w:rPr>
        <w:t xml:space="preserve"> unpublished trials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1"/>
        <w:gridCol w:w="4261"/>
      </w:tblGrid>
      <w:tr w:rsidR="000147CF" w:rsidRPr="007724DC" w:rsidTr="00BD4083">
        <w:trPr>
          <w:cantSplit/>
          <w:tblHeader/>
        </w:trPr>
        <w:tc>
          <w:tcPr>
            <w:tcW w:w="4261" w:type="dxa"/>
          </w:tcPr>
          <w:p w:rsidR="000147CF" w:rsidRPr="00B51A60" w:rsidRDefault="000147CF" w:rsidP="0028327F">
            <w:pPr>
              <w:keepNext/>
              <w:spacing w:before="120" w:after="120" w:line="276" w:lineRule="auto"/>
              <w:rPr>
                <w:b/>
                <w:sz w:val="22"/>
              </w:rPr>
            </w:pPr>
            <w:r w:rsidRPr="00B51A60">
              <w:rPr>
                <w:b/>
                <w:sz w:val="22"/>
              </w:rPr>
              <w:t xml:space="preserve">Trial name </w:t>
            </w:r>
            <w:r w:rsidR="004F0B20" w:rsidRPr="00B51A60">
              <w:rPr>
                <w:b/>
                <w:sz w:val="22"/>
              </w:rPr>
              <w:t xml:space="preserve">and </w:t>
            </w:r>
            <w:r w:rsidRPr="00B51A60">
              <w:rPr>
                <w:b/>
                <w:sz w:val="22"/>
              </w:rPr>
              <w:t>registration number</w:t>
            </w:r>
          </w:p>
        </w:tc>
        <w:tc>
          <w:tcPr>
            <w:tcW w:w="4261" w:type="dxa"/>
          </w:tcPr>
          <w:p w:rsidR="000147CF" w:rsidRPr="00B51A60" w:rsidRDefault="000147CF" w:rsidP="0028327F">
            <w:pPr>
              <w:keepNext/>
              <w:spacing w:before="120" w:after="120" w:line="276" w:lineRule="auto"/>
              <w:rPr>
                <w:b/>
                <w:sz w:val="22"/>
              </w:rPr>
            </w:pPr>
            <w:r w:rsidRPr="00B51A60">
              <w:rPr>
                <w:b/>
                <w:sz w:val="22"/>
              </w:rPr>
              <w:t>Details</w:t>
            </w:r>
          </w:p>
        </w:tc>
      </w:tr>
      <w:tr w:rsidR="003D30A5" w:rsidRPr="007B0C3B" w:rsidTr="00BD4083">
        <w:trPr>
          <w:cantSplit/>
        </w:trPr>
        <w:tc>
          <w:tcPr>
            <w:tcW w:w="4261" w:type="dxa"/>
          </w:tcPr>
          <w:p w:rsidR="003D30A5" w:rsidRDefault="003D30A5" w:rsidP="0028327F">
            <w:pPr>
              <w:spacing w:before="120" w:after="120" w:line="276" w:lineRule="auto"/>
              <w:rPr>
                <w:sz w:val="22"/>
              </w:rPr>
            </w:pPr>
            <w:r w:rsidRPr="00864781">
              <w:rPr>
                <w:rFonts w:cstheme="minorHAnsi"/>
                <w:sz w:val="22"/>
              </w:rPr>
              <w:t>NCT0193541</w:t>
            </w:r>
            <w:r>
              <w:rPr>
                <w:rFonts w:cstheme="minorHAnsi"/>
                <w:sz w:val="22"/>
              </w:rPr>
              <w:t xml:space="preserve">4 – Wainwright T, Middleton R. The </w:t>
            </w:r>
            <w:proofErr w:type="spellStart"/>
            <w:r>
              <w:rPr>
                <w:rFonts w:cstheme="minorHAnsi"/>
                <w:sz w:val="22"/>
              </w:rPr>
              <w:t>g</w:t>
            </w:r>
            <w:r w:rsidRPr="00864781">
              <w:rPr>
                <w:rFonts w:cstheme="minorHAnsi"/>
                <w:sz w:val="22"/>
              </w:rPr>
              <w:t>eko</w:t>
            </w:r>
            <w:r w:rsidRPr="00336820">
              <w:rPr>
                <w:rFonts w:cstheme="minorHAnsi"/>
                <w:sz w:val="16"/>
                <w:vertAlign w:val="superscript"/>
              </w:rPr>
              <w:t>TM</w:t>
            </w:r>
            <w:proofErr w:type="spellEnd"/>
            <w:r w:rsidRPr="00864781">
              <w:rPr>
                <w:rFonts w:cstheme="minorHAnsi"/>
                <w:sz w:val="22"/>
              </w:rPr>
              <w:t> Neuromuscular Stimulator vs Thromboembolism Deterrent Stockings (TEDS): DVT Prevention Study</w:t>
            </w:r>
          </w:p>
        </w:tc>
        <w:tc>
          <w:tcPr>
            <w:tcW w:w="4261" w:type="dxa"/>
          </w:tcPr>
          <w:p w:rsidR="003D30A5" w:rsidRDefault="003D30A5" w:rsidP="0028327F">
            <w:pPr>
              <w:spacing w:before="120" w:after="120" w:line="276" w:lineRule="auto"/>
              <w:rPr>
                <w:sz w:val="22"/>
              </w:rPr>
            </w:pPr>
            <w:r>
              <w:rPr>
                <w:sz w:val="22"/>
              </w:rPr>
              <w:t>RCT</w:t>
            </w:r>
          </w:p>
          <w:p w:rsidR="003D30A5" w:rsidRDefault="003D30A5" w:rsidP="0028327F">
            <w:pPr>
              <w:spacing w:before="120" w:after="120" w:line="276" w:lineRule="auto"/>
              <w:rPr>
                <w:sz w:val="22"/>
              </w:rPr>
            </w:pPr>
            <w:r w:rsidRPr="003D30A5">
              <w:rPr>
                <w:sz w:val="22"/>
              </w:rPr>
              <w:t>Publication date 2016</w:t>
            </w:r>
          </w:p>
        </w:tc>
      </w:tr>
    </w:tbl>
    <w:p w:rsidR="00D303E7" w:rsidRPr="00800DEF" w:rsidRDefault="00006C4A" w:rsidP="0028327F">
      <w:pPr>
        <w:pStyle w:val="Heading2"/>
        <w:spacing w:line="276" w:lineRule="auto"/>
      </w:pPr>
      <w:r>
        <w:t>References</w:t>
      </w:r>
    </w:p>
    <w:p w:rsidR="003E0C8E" w:rsidRDefault="003E0C8E" w:rsidP="002078A6">
      <w:pPr>
        <w:spacing w:before="240" w:line="276" w:lineRule="auto"/>
      </w:pPr>
      <w:r w:rsidRPr="000662C9">
        <w:t xml:space="preserve">Yilmaz S, </w:t>
      </w:r>
      <w:proofErr w:type="spellStart"/>
      <w:r w:rsidRPr="000662C9">
        <w:t>Calbiyi</w:t>
      </w:r>
      <w:proofErr w:type="spellEnd"/>
      <w:r w:rsidRPr="000662C9">
        <w:t xml:space="preserve"> M, Yilmaz BK, </w:t>
      </w:r>
      <w:proofErr w:type="spellStart"/>
      <w:r w:rsidRPr="000662C9">
        <w:t>Aksoy</w:t>
      </w:r>
      <w:proofErr w:type="spellEnd"/>
      <w:r w:rsidRPr="000662C9">
        <w:t xml:space="preserve"> E. </w:t>
      </w:r>
      <w:r>
        <w:t xml:space="preserve">(2015), </w:t>
      </w:r>
      <w:r w:rsidRPr="000662C9">
        <w:t>Potential role of electrostimulation in augmentation of venous blood flow after total knee replace</w:t>
      </w:r>
      <w:r>
        <w:t xml:space="preserve">ment: A pilot study. </w:t>
      </w:r>
      <w:proofErr w:type="gramStart"/>
      <w:r w:rsidRPr="001650DD">
        <w:rPr>
          <w:i/>
        </w:rPr>
        <w:t>Phlebology</w:t>
      </w:r>
      <w:r>
        <w:t>.</w:t>
      </w:r>
      <w:proofErr w:type="gramEnd"/>
      <w:r>
        <w:t xml:space="preserve"> </w:t>
      </w:r>
      <w:proofErr w:type="gramStart"/>
      <w:r w:rsidRPr="000662C9">
        <w:t>p.0268355515580473.</w:t>
      </w:r>
      <w:proofErr w:type="gramEnd"/>
      <w:r>
        <w:t xml:space="preserve"> </w:t>
      </w:r>
    </w:p>
    <w:p w:rsidR="009858FD" w:rsidRDefault="009858FD" w:rsidP="0028327F">
      <w:pPr>
        <w:pStyle w:val="Heading1"/>
        <w:spacing w:line="276" w:lineRule="auto"/>
      </w:pPr>
    </w:p>
    <w:sectPr w:rsidR="009858FD" w:rsidSect="00081BF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232" w:rsidRDefault="00551232" w:rsidP="00446BEE">
      <w:r>
        <w:separator/>
      </w:r>
    </w:p>
  </w:endnote>
  <w:endnote w:type="continuationSeparator" w:id="0">
    <w:p w:rsidR="00551232" w:rsidRDefault="0055123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673" w:rsidRDefault="00A74673" w:rsidP="00C80C8C">
    <w:pPr>
      <w:pStyle w:val="Footer"/>
      <w:spacing w:before="240"/>
    </w:pPr>
    <w:r>
      <w:t xml:space="preserve">Confidential information </w:t>
    </w:r>
    <w:r w:rsidR="00AB7312" w:rsidRPr="00AB7312">
      <w:rPr>
        <w:lang w:val="en-GB"/>
      </w:rPr>
      <w:t>has been removed</w:t>
    </w:r>
    <w:r>
      <w:tab/>
    </w:r>
    <w:r w:rsidR="008875A8">
      <w:fldChar w:fldCharType="begin"/>
    </w:r>
    <w:r w:rsidR="008875A8">
      <w:instrText xml:space="preserve"> PAGE </w:instrText>
    </w:r>
    <w:r w:rsidR="008875A8">
      <w:fldChar w:fldCharType="separate"/>
    </w:r>
    <w:r w:rsidR="001200A3">
      <w:rPr>
        <w:noProof/>
      </w:rPr>
      <w:t>1</w:t>
    </w:r>
    <w:r w:rsidR="008875A8">
      <w:rPr>
        <w:noProof/>
      </w:rPr>
      <w:fldChar w:fldCharType="end"/>
    </w:r>
    <w:r>
      <w:t xml:space="preserve"> of </w:t>
    </w:r>
    <w:r w:rsidR="001200A3">
      <w:fldChar w:fldCharType="begin"/>
    </w:r>
    <w:r w:rsidR="001200A3">
      <w:instrText xml:space="preserve"> NUMPAGES  </w:instrText>
    </w:r>
    <w:r w:rsidR="001200A3">
      <w:fldChar w:fldCharType="separate"/>
    </w:r>
    <w:r w:rsidR="001200A3">
      <w:rPr>
        <w:noProof/>
      </w:rPr>
      <w:t>7</w:t>
    </w:r>
    <w:r w:rsidR="001200A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232" w:rsidRDefault="00551232" w:rsidP="00446BEE">
      <w:r>
        <w:separator/>
      </w:r>
    </w:p>
  </w:footnote>
  <w:footnote w:type="continuationSeparator" w:id="0">
    <w:p w:rsidR="00551232" w:rsidRDefault="00551232" w:rsidP="00446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F02C216"/>
    <w:lvl w:ilvl="0">
      <w:start w:val="1"/>
      <w:numFmt w:val="decimal"/>
      <w:lvlText w:val="%1."/>
      <w:lvlJc w:val="left"/>
      <w:pPr>
        <w:tabs>
          <w:tab w:val="num" w:pos="1492"/>
        </w:tabs>
        <w:ind w:left="1492" w:hanging="360"/>
      </w:pPr>
    </w:lvl>
  </w:abstractNum>
  <w:abstractNum w:abstractNumId="1">
    <w:nsid w:val="FFFFFF7D"/>
    <w:multiLevelType w:val="singleLevel"/>
    <w:tmpl w:val="6068EF1C"/>
    <w:lvl w:ilvl="0">
      <w:start w:val="1"/>
      <w:numFmt w:val="decimal"/>
      <w:lvlText w:val="%1."/>
      <w:lvlJc w:val="left"/>
      <w:pPr>
        <w:tabs>
          <w:tab w:val="num" w:pos="1209"/>
        </w:tabs>
        <w:ind w:left="1209" w:hanging="360"/>
      </w:pPr>
    </w:lvl>
  </w:abstractNum>
  <w:abstractNum w:abstractNumId="2">
    <w:nsid w:val="FFFFFF7E"/>
    <w:multiLevelType w:val="singleLevel"/>
    <w:tmpl w:val="4BDA76F0"/>
    <w:lvl w:ilvl="0">
      <w:start w:val="1"/>
      <w:numFmt w:val="decimal"/>
      <w:lvlText w:val="%1."/>
      <w:lvlJc w:val="left"/>
      <w:pPr>
        <w:tabs>
          <w:tab w:val="num" w:pos="926"/>
        </w:tabs>
        <w:ind w:left="926" w:hanging="360"/>
      </w:pPr>
    </w:lvl>
  </w:abstractNum>
  <w:abstractNum w:abstractNumId="3">
    <w:nsid w:val="FFFFFF7F"/>
    <w:multiLevelType w:val="singleLevel"/>
    <w:tmpl w:val="4C54C3A4"/>
    <w:lvl w:ilvl="0">
      <w:start w:val="1"/>
      <w:numFmt w:val="decimal"/>
      <w:pStyle w:val="ListNumber2"/>
      <w:lvlText w:val="%1."/>
      <w:lvlJc w:val="left"/>
      <w:pPr>
        <w:tabs>
          <w:tab w:val="num" w:pos="643"/>
        </w:tabs>
        <w:ind w:left="643" w:hanging="360"/>
      </w:pPr>
    </w:lvl>
  </w:abstractNum>
  <w:abstractNum w:abstractNumId="4">
    <w:nsid w:val="FFFFFF80"/>
    <w:multiLevelType w:val="singleLevel"/>
    <w:tmpl w:val="0602FA2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C4528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400B2E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988B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0C8B142"/>
    <w:lvl w:ilvl="0">
      <w:start w:val="1"/>
      <w:numFmt w:val="decimal"/>
      <w:lvlText w:val="%1."/>
      <w:lvlJc w:val="left"/>
      <w:pPr>
        <w:tabs>
          <w:tab w:val="num" w:pos="360"/>
        </w:tabs>
        <w:ind w:left="360" w:hanging="360"/>
      </w:pPr>
    </w:lvl>
  </w:abstractNum>
  <w:abstractNum w:abstractNumId="9">
    <w:nsid w:val="FFFFFF89"/>
    <w:multiLevelType w:val="singleLevel"/>
    <w:tmpl w:val="19E0F632"/>
    <w:lvl w:ilvl="0">
      <w:start w:val="1"/>
      <w:numFmt w:val="bullet"/>
      <w:lvlText w:val=""/>
      <w:lvlJc w:val="left"/>
      <w:pPr>
        <w:tabs>
          <w:tab w:val="num" w:pos="360"/>
        </w:tabs>
        <w:ind w:left="360" w:hanging="360"/>
      </w:pPr>
      <w:rPr>
        <w:rFonts w:ascii="Symbol" w:hAnsi="Symbol" w:hint="default"/>
      </w:rPr>
    </w:lvl>
  </w:abstractNum>
  <w:abstractNum w:abstractNumId="10">
    <w:nsid w:val="115E7DFD"/>
    <w:multiLevelType w:val="hybridMultilevel"/>
    <w:tmpl w:val="424CD984"/>
    <w:lvl w:ilvl="0" w:tplc="108ACEAA">
      <w:start w:val="8"/>
      <w:numFmt w:val="bullet"/>
      <w:lvlText w:val="-"/>
      <w:lvlJc w:val="left"/>
      <w:pPr>
        <w:ind w:left="720" w:hanging="360"/>
      </w:pPr>
      <w:rPr>
        <w:rFonts w:ascii="Calibri" w:eastAsiaTheme="minorHAnsi" w:hAnsi="Calibri" w:cs="Calibri" w:hint="default"/>
      </w:rPr>
    </w:lvl>
    <w:lvl w:ilvl="1" w:tplc="108ACEAA">
      <w:start w:val="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A1C665F"/>
    <w:multiLevelType w:val="hybridMultilevel"/>
    <w:tmpl w:val="3AF41F7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921656"/>
    <w:multiLevelType w:val="hybridMultilevel"/>
    <w:tmpl w:val="0F385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6B6E4F"/>
    <w:multiLevelType w:val="hybridMultilevel"/>
    <w:tmpl w:val="DC7872DC"/>
    <w:lvl w:ilvl="0" w:tplc="FD80CAA6">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FDB3FB2"/>
    <w:multiLevelType w:val="hybridMultilevel"/>
    <w:tmpl w:val="21E0E3E0"/>
    <w:lvl w:ilvl="0" w:tplc="299A4204">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nsid w:val="53761A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8C95F72"/>
    <w:multiLevelType w:val="hybridMultilevel"/>
    <w:tmpl w:val="D2DA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92D5639"/>
    <w:multiLevelType w:val="hybridMultilevel"/>
    <w:tmpl w:val="FF6C9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AF81A3E"/>
    <w:multiLevelType w:val="hybridMultilevel"/>
    <w:tmpl w:val="6F847C5E"/>
    <w:lvl w:ilvl="0" w:tplc="E19A6854">
      <w:start w:val="1"/>
      <w:numFmt w:val="lowerRoman"/>
      <w:lvlText w:val="%1."/>
      <w:lvlJc w:val="right"/>
      <w:pPr>
        <w:tabs>
          <w:tab w:val="num" w:pos="720"/>
        </w:tabs>
        <w:ind w:left="720" w:hanging="180"/>
      </w:pPr>
      <w:rPr>
        <w:rFonts w:hint="default"/>
      </w:rPr>
    </w:lvl>
    <w:lvl w:ilvl="1" w:tplc="98382206">
      <w:start w:val="1"/>
      <w:numFmt w:val="bullet"/>
      <w:lvlText w:val=""/>
      <w:lvlJc w:val="left"/>
      <w:pPr>
        <w:tabs>
          <w:tab w:val="num" w:pos="1440"/>
        </w:tabs>
        <w:ind w:left="1440" w:hanging="360"/>
      </w:pPr>
      <w:rPr>
        <w:rFonts w:ascii="Symbol" w:hAnsi="Symbol" w:hint="default"/>
        <w:color w:val="auto"/>
      </w:rPr>
    </w:lvl>
    <w:lvl w:ilvl="2" w:tplc="0809000F">
      <w:start w:val="1"/>
      <w:numFmt w:val="decimal"/>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5D2B0F29"/>
    <w:multiLevelType w:val="hybridMultilevel"/>
    <w:tmpl w:val="723E3656"/>
    <w:lvl w:ilvl="0" w:tplc="16ECCF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6D3048B"/>
    <w:multiLevelType w:val="hybridMultilevel"/>
    <w:tmpl w:val="00F29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D343A7B"/>
    <w:multiLevelType w:val="hybridMultilevel"/>
    <w:tmpl w:val="29D680E2"/>
    <w:lvl w:ilvl="0" w:tplc="606C6D50">
      <w:start w:val="1"/>
      <w:numFmt w:val="decimal"/>
      <w:pStyle w:val="Numberedheading"/>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32E0652"/>
    <w:multiLevelType w:val="hybridMultilevel"/>
    <w:tmpl w:val="4E547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A295C9A"/>
    <w:multiLevelType w:val="hybridMultilevel"/>
    <w:tmpl w:val="AAD2E46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9"/>
  </w:num>
  <w:num w:numId="2">
    <w:abstractNumId w:val="23"/>
  </w:num>
  <w:num w:numId="3">
    <w:abstractNumId w:val="23"/>
    <w:lvlOverride w:ilvl="0">
      <w:startOverride w:val="1"/>
    </w:lvlOverride>
  </w:num>
  <w:num w:numId="4">
    <w:abstractNumId w:val="23"/>
    <w:lvlOverride w:ilvl="0">
      <w:startOverride w:val="1"/>
    </w:lvlOverride>
  </w:num>
  <w:num w:numId="5">
    <w:abstractNumId w:val="23"/>
    <w:lvlOverride w:ilvl="0">
      <w:startOverride w:val="1"/>
    </w:lvlOverride>
  </w:num>
  <w:num w:numId="6">
    <w:abstractNumId w:val="23"/>
    <w:lvlOverride w:ilvl="0">
      <w:startOverride w:val="1"/>
    </w:lvlOverride>
  </w:num>
  <w:num w:numId="7">
    <w:abstractNumId w:val="23"/>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21"/>
  </w:num>
  <w:num w:numId="21">
    <w:abstractNumId w:val="22"/>
  </w:num>
  <w:num w:numId="22">
    <w:abstractNumId w:val="20"/>
  </w:num>
  <w:num w:numId="23">
    <w:abstractNumId w:val="17"/>
  </w:num>
  <w:num w:numId="24">
    <w:abstractNumId w:val="11"/>
  </w:num>
  <w:num w:numId="25">
    <w:abstractNumId w:val="16"/>
  </w:num>
  <w:num w:numId="26">
    <w:abstractNumId w:val="24"/>
  </w:num>
  <w:num w:numId="27">
    <w:abstractNumId w:val="14"/>
  </w:num>
  <w:num w:numId="28">
    <w:abstractNumId w:val="26"/>
  </w:num>
  <w:num w:numId="29">
    <w:abstractNumId w:val="10"/>
  </w:num>
  <w:num w:numId="30">
    <w:abstractNumId w:val="25"/>
  </w:num>
  <w:num w:numId="31">
    <w:abstractNumId w:val="13"/>
  </w:num>
  <w:num w:numId="32">
    <w:abstractNumId w:val="18"/>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embedSystem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232"/>
    <w:rsid w:val="00006C4A"/>
    <w:rsid w:val="000129FA"/>
    <w:rsid w:val="000147CF"/>
    <w:rsid w:val="00017666"/>
    <w:rsid w:val="00024D0A"/>
    <w:rsid w:val="00026514"/>
    <w:rsid w:val="0004252C"/>
    <w:rsid w:val="00052499"/>
    <w:rsid w:val="00053040"/>
    <w:rsid w:val="00055926"/>
    <w:rsid w:val="00070065"/>
    <w:rsid w:val="00076A09"/>
    <w:rsid w:val="00076E01"/>
    <w:rsid w:val="00077DB2"/>
    <w:rsid w:val="00081BF9"/>
    <w:rsid w:val="000878FF"/>
    <w:rsid w:val="0009291F"/>
    <w:rsid w:val="000B1162"/>
    <w:rsid w:val="000B16AC"/>
    <w:rsid w:val="000B5939"/>
    <w:rsid w:val="000B59AE"/>
    <w:rsid w:val="000C4E5D"/>
    <w:rsid w:val="000D064A"/>
    <w:rsid w:val="000E3105"/>
    <w:rsid w:val="00101733"/>
    <w:rsid w:val="001134E7"/>
    <w:rsid w:val="001200A3"/>
    <w:rsid w:val="00124885"/>
    <w:rsid w:val="0013004F"/>
    <w:rsid w:val="00134FDA"/>
    <w:rsid w:val="00137E6E"/>
    <w:rsid w:val="00144034"/>
    <w:rsid w:val="00145410"/>
    <w:rsid w:val="00157C22"/>
    <w:rsid w:val="001650DD"/>
    <w:rsid w:val="0017169E"/>
    <w:rsid w:val="00172405"/>
    <w:rsid w:val="00177290"/>
    <w:rsid w:val="001810B8"/>
    <w:rsid w:val="0018584D"/>
    <w:rsid w:val="001A23E4"/>
    <w:rsid w:val="001A7DDF"/>
    <w:rsid w:val="001B18CF"/>
    <w:rsid w:val="001B65B3"/>
    <w:rsid w:val="001C27D3"/>
    <w:rsid w:val="001D04B3"/>
    <w:rsid w:val="002078A6"/>
    <w:rsid w:val="0021083D"/>
    <w:rsid w:val="00211008"/>
    <w:rsid w:val="0021463A"/>
    <w:rsid w:val="00214A5F"/>
    <w:rsid w:val="00214B60"/>
    <w:rsid w:val="00216305"/>
    <w:rsid w:val="002408EA"/>
    <w:rsid w:val="00241953"/>
    <w:rsid w:val="00255FD3"/>
    <w:rsid w:val="00256F0A"/>
    <w:rsid w:val="002575B4"/>
    <w:rsid w:val="00270605"/>
    <w:rsid w:val="00270FBC"/>
    <w:rsid w:val="00282787"/>
    <w:rsid w:val="0028327F"/>
    <w:rsid w:val="00285A5B"/>
    <w:rsid w:val="00291411"/>
    <w:rsid w:val="00294295"/>
    <w:rsid w:val="00295C21"/>
    <w:rsid w:val="002974CB"/>
    <w:rsid w:val="002A44E9"/>
    <w:rsid w:val="002A5881"/>
    <w:rsid w:val="002A6474"/>
    <w:rsid w:val="002B38CE"/>
    <w:rsid w:val="002C1A7E"/>
    <w:rsid w:val="002C4054"/>
    <w:rsid w:val="002C616E"/>
    <w:rsid w:val="002D09E7"/>
    <w:rsid w:val="002D1913"/>
    <w:rsid w:val="002D5680"/>
    <w:rsid w:val="002E2522"/>
    <w:rsid w:val="002E3F5C"/>
    <w:rsid w:val="002F2EEF"/>
    <w:rsid w:val="002F637A"/>
    <w:rsid w:val="003075C0"/>
    <w:rsid w:val="00311ED0"/>
    <w:rsid w:val="003178AE"/>
    <w:rsid w:val="00345782"/>
    <w:rsid w:val="00353B4D"/>
    <w:rsid w:val="00361E32"/>
    <w:rsid w:val="00363768"/>
    <w:rsid w:val="00367EAA"/>
    <w:rsid w:val="003722FA"/>
    <w:rsid w:val="003765BD"/>
    <w:rsid w:val="00377277"/>
    <w:rsid w:val="00391D49"/>
    <w:rsid w:val="003B1633"/>
    <w:rsid w:val="003B1C33"/>
    <w:rsid w:val="003B4F08"/>
    <w:rsid w:val="003C7AAF"/>
    <w:rsid w:val="003D10CA"/>
    <w:rsid w:val="003D30A5"/>
    <w:rsid w:val="003D6B66"/>
    <w:rsid w:val="003E04B1"/>
    <w:rsid w:val="003E0C8E"/>
    <w:rsid w:val="003E12B1"/>
    <w:rsid w:val="003F2EC0"/>
    <w:rsid w:val="003F3095"/>
    <w:rsid w:val="003F4333"/>
    <w:rsid w:val="003F49C3"/>
    <w:rsid w:val="003F6CE1"/>
    <w:rsid w:val="004075B6"/>
    <w:rsid w:val="00407AF6"/>
    <w:rsid w:val="00411B85"/>
    <w:rsid w:val="0041471A"/>
    <w:rsid w:val="00415038"/>
    <w:rsid w:val="00415D13"/>
    <w:rsid w:val="00420952"/>
    <w:rsid w:val="00424EEB"/>
    <w:rsid w:val="0042692A"/>
    <w:rsid w:val="00436BBA"/>
    <w:rsid w:val="00446BEE"/>
    <w:rsid w:val="00450F57"/>
    <w:rsid w:val="004536FB"/>
    <w:rsid w:val="0045569B"/>
    <w:rsid w:val="00456C0C"/>
    <w:rsid w:val="00457B96"/>
    <w:rsid w:val="00463E62"/>
    <w:rsid w:val="00472574"/>
    <w:rsid w:val="00475341"/>
    <w:rsid w:val="00491B06"/>
    <w:rsid w:val="00493B39"/>
    <w:rsid w:val="004B180E"/>
    <w:rsid w:val="004B6652"/>
    <w:rsid w:val="004B6CB8"/>
    <w:rsid w:val="004C4CA9"/>
    <w:rsid w:val="004D7902"/>
    <w:rsid w:val="004E0DEB"/>
    <w:rsid w:val="004F097D"/>
    <w:rsid w:val="004F0B20"/>
    <w:rsid w:val="004F2BF2"/>
    <w:rsid w:val="004F5416"/>
    <w:rsid w:val="005023E5"/>
    <w:rsid w:val="005025A1"/>
    <w:rsid w:val="00502C4B"/>
    <w:rsid w:val="005069EB"/>
    <w:rsid w:val="00510B85"/>
    <w:rsid w:val="00511B9E"/>
    <w:rsid w:val="00512477"/>
    <w:rsid w:val="005345CB"/>
    <w:rsid w:val="00537651"/>
    <w:rsid w:val="0054017F"/>
    <w:rsid w:val="0054337A"/>
    <w:rsid w:val="00544F68"/>
    <w:rsid w:val="00545DDA"/>
    <w:rsid w:val="00551232"/>
    <w:rsid w:val="00554A1D"/>
    <w:rsid w:val="00554E31"/>
    <w:rsid w:val="00563767"/>
    <w:rsid w:val="0056596D"/>
    <w:rsid w:val="00565D19"/>
    <w:rsid w:val="005718A7"/>
    <w:rsid w:val="005742F4"/>
    <w:rsid w:val="0057728F"/>
    <w:rsid w:val="00584EE4"/>
    <w:rsid w:val="00587E2B"/>
    <w:rsid w:val="00592E22"/>
    <w:rsid w:val="00593444"/>
    <w:rsid w:val="00593F78"/>
    <w:rsid w:val="005A1F41"/>
    <w:rsid w:val="005A5DB9"/>
    <w:rsid w:val="005B5E15"/>
    <w:rsid w:val="005C0605"/>
    <w:rsid w:val="005C5AF7"/>
    <w:rsid w:val="005D15AB"/>
    <w:rsid w:val="005D2114"/>
    <w:rsid w:val="005E1359"/>
    <w:rsid w:val="005E4652"/>
    <w:rsid w:val="005F4FEA"/>
    <w:rsid w:val="00602AF6"/>
    <w:rsid w:val="00606107"/>
    <w:rsid w:val="00607525"/>
    <w:rsid w:val="00607829"/>
    <w:rsid w:val="00625EE7"/>
    <w:rsid w:val="00630528"/>
    <w:rsid w:val="006366D4"/>
    <w:rsid w:val="00650D62"/>
    <w:rsid w:val="00663B48"/>
    <w:rsid w:val="00671256"/>
    <w:rsid w:val="00674196"/>
    <w:rsid w:val="006809B5"/>
    <w:rsid w:val="00683F18"/>
    <w:rsid w:val="006921E1"/>
    <w:rsid w:val="00696BF4"/>
    <w:rsid w:val="00697953"/>
    <w:rsid w:val="006A4C2C"/>
    <w:rsid w:val="006A7C75"/>
    <w:rsid w:val="006B66D0"/>
    <w:rsid w:val="006C11B4"/>
    <w:rsid w:val="006C6A64"/>
    <w:rsid w:val="006D033B"/>
    <w:rsid w:val="006D511B"/>
    <w:rsid w:val="006D55A6"/>
    <w:rsid w:val="006E275C"/>
    <w:rsid w:val="006E63D0"/>
    <w:rsid w:val="006F429B"/>
    <w:rsid w:val="00707BD3"/>
    <w:rsid w:val="00711B65"/>
    <w:rsid w:val="007141AB"/>
    <w:rsid w:val="0071763D"/>
    <w:rsid w:val="007312ED"/>
    <w:rsid w:val="00736348"/>
    <w:rsid w:val="007418BF"/>
    <w:rsid w:val="0076215E"/>
    <w:rsid w:val="00764019"/>
    <w:rsid w:val="00770B9A"/>
    <w:rsid w:val="00777A7A"/>
    <w:rsid w:val="007846AB"/>
    <w:rsid w:val="007A3DE1"/>
    <w:rsid w:val="007C7D4E"/>
    <w:rsid w:val="007D04DF"/>
    <w:rsid w:val="007E438F"/>
    <w:rsid w:val="007F45F4"/>
    <w:rsid w:val="007F6914"/>
    <w:rsid w:val="00800DEF"/>
    <w:rsid w:val="00802F74"/>
    <w:rsid w:val="00804131"/>
    <w:rsid w:val="00830F75"/>
    <w:rsid w:val="00832EB3"/>
    <w:rsid w:val="00845357"/>
    <w:rsid w:val="00846CBD"/>
    <w:rsid w:val="00846F24"/>
    <w:rsid w:val="008701B2"/>
    <w:rsid w:val="00871B17"/>
    <w:rsid w:val="00871FEF"/>
    <w:rsid w:val="00882F1A"/>
    <w:rsid w:val="008875A8"/>
    <w:rsid w:val="0089115D"/>
    <w:rsid w:val="008918B3"/>
    <w:rsid w:val="008959CF"/>
    <w:rsid w:val="008A1E7A"/>
    <w:rsid w:val="008A5555"/>
    <w:rsid w:val="008C4246"/>
    <w:rsid w:val="008D0226"/>
    <w:rsid w:val="008D1C57"/>
    <w:rsid w:val="008D325E"/>
    <w:rsid w:val="008E664D"/>
    <w:rsid w:val="008F157E"/>
    <w:rsid w:val="00903BD4"/>
    <w:rsid w:val="00911EF7"/>
    <w:rsid w:val="00913229"/>
    <w:rsid w:val="009138E1"/>
    <w:rsid w:val="00915401"/>
    <w:rsid w:val="0092401F"/>
    <w:rsid w:val="00924D76"/>
    <w:rsid w:val="00925F15"/>
    <w:rsid w:val="00927850"/>
    <w:rsid w:val="00930C62"/>
    <w:rsid w:val="00931D34"/>
    <w:rsid w:val="00934166"/>
    <w:rsid w:val="00935714"/>
    <w:rsid w:val="00942AA1"/>
    <w:rsid w:val="009444C7"/>
    <w:rsid w:val="00945EA7"/>
    <w:rsid w:val="00951CE2"/>
    <w:rsid w:val="00952AD1"/>
    <w:rsid w:val="00957A0D"/>
    <w:rsid w:val="009603B9"/>
    <w:rsid w:val="009804B7"/>
    <w:rsid w:val="009858FD"/>
    <w:rsid w:val="00990A12"/>
    <w:rsid w:val="00995A8D"/>
    <w:rsid w:val="00996367"/>
    <w:rsid w:val="00996881"/>
    <w:rsid w:val="009A2635"/>
    <w:rsid w:val="009B172E"/>
    <w:rsid w:val="009B1828"/>
    <w:rsid w:val="009C156B"/>
    <w:rsid w:val="009D28CF"/>
    <w:rsid w:val="009D3DFE"/>
    <w:rsid w:val="009E2430"/>
    <w:rsid w:val="009E4698"/>
    <w:rsid w:val="009E680B"/>
    <w:rsid w:val="009F4628"/>
    <w:rsid w:val="009F516D"/>
    <w:rsid w:val="009F5502"/>
    <w:rsid w:val="009F7239"/>
    <w:rsid w:val="00A03EFD"/>
    <w:rsid w:val="00A07923"/>
    <w:rsid w:val="00A10F80"/>
    <w:rsid w:val="00A15A1F"/>
    <w:rsid w:val="00A25F36"/>
    <w:rsid w:val="00A27753"/>
    <w:rsid w:val="00A327CE"/>
    <w:rsid w:val="00A3325A"/>
    <w:rsid w:val="00A41399"/>
    <w:rsid w:val="00A46165"/>
    <w:rsid w:val="00A46305"/>
    <w:rsid w:val="00A707C3"/>
    <w:rsid w:val="00A7191E"/>
    <w:rsid w:val="00A74673"/>
    <w:rsid w:val="00A753B8"/>
    <w:rsid w:val="00A756BB"/>
    <w:rsid w:val="00A861F5"/>
    <w:rsid w:val="00A92764"/>
    <w:rsid w:val="00A92C6A"/>
    <w:rsid w:val="00AA2B6D"/>
    <w:rsid w:val="00AB72DC"/>
    <w:rsid w:val="00AB7312"/>
    <w:rsid w:val="00AC3860"/>
    <w:rsid w:val="00AC6EA8"/>
    <w:rsid w:val="00AE7DC4"/>
    <w:rsid w:val="00AF108A"/>
    <w:rsid w:val="00B02E55"/>
    <w:rsid w:val="00B03E79"/>
    <w:rsid w:val="00B04317"/>
    <w:rsid w:val="00B05BFE"/>
    <w:rsid w:val="00B11C4C"/>
    <w:rsid w:val="00B1359B"/>
    <w:rsid w:val="00B14C0B"/>
    <w:rsid w:val="00B15234"/>
    <w:rsid w:val="00B20C45"/>
    <w:rsid w:val="00B2228D"/>
    <w:rsid w:val="00B253F7"/>
    <w:rsid w:val="00B254A2"/>
    <w:rsid w:val="00B259D3"/>
    <w:rsid w:val="00B26B7A"/>
    <w:rsid w:val="00B2721B"/>
    <w:rsid w:val="00B27E19"/>
    <w:rsid w:val="00B3249E"/>
    <w:rsid w:val="00B51A60"/>
    <w:rsid w:val="00B564E5"/>
    <w:rsid w:val="00B67EF6"/>
    <w:rsid w:val="00B7371D"/>
    <w:rsid w:val="00B8205D"/>
    <w:rsid w:val="00B9594A"/>
    <w:rsid w:val="00BA2C66"/>
    <w:rsid w:val="00BA7D8F"/>
    <w:rsid w:val="00BB0E43"/>
    <w:rsid w:val="00BB19DE"/>
    <w:rsid w:val="00BC3E45"/>
    <w:rsid w:val="00BC5506"/>
    <w:rsid w:val="00BC6DEF"/>
    <w:rsid w:val="00BD18F4"/>
    <w:rsid w:val="00BD3372"/>
    <w:rsid w:val="00BD4083"/>
    <w:rsid w:val="00BD4F8D"/>
    <w:rsid w:val="00BE2261"/>
    <w:rsid w:val="00BE5835"/>
    <w:rsid w:val="00BE67CC"/>
    <w:rsid w:val="00BF5ADE"/>
    <w:rsid w:val="00BF7FE0"/>
    <w:rsid w:val="00C05518"/>
    <w:rsid w:val="00C167A9"/>
    <w:rsid w:val="00C200FB"/>
    <w:rsid w:val="00C21130"/>
    <w:rsid w:val="00C2686C"/>
    <w:rsid w:val="00C301B2"/>
    <w:rsid w:val="00C35B50"/>
    <w:rsid w:val="00C460F2"/>
    <w:rsid w:val="00C4762D"/>
    <w:rsid w:val="00C47DDE"/>
    <w:rsid w:val="00C560CE"/>
    <w:rsid w:val="00C6604E"/>
    <w:rsid w:val="00C770E8"/>
    <w:rsid w:val="00C802A6"/>
    <w:rsid w:val="00C80C8C"/>
    <w:rsid w:val="00C9333C"/>
    <w:rsid w:val="00C97FC6"/>
    <w:rsid w:val="00CA4909"/>
    <w:rsid w:val="00CA556C"/>
    <w:rsid w:val="00CB6796"/>
    <w:rsid w:val="00CB7F99"/>
    <w:rsid w:val="00CC60E2"/>
    <w:rsid w:val="00CD4C8F"/>
    <w:rsid w:val="00CD6D79"/>
    <w:rsid w:val="00CE4949"/>
    <w:rsid w:val="00CF3EEC"/>
    <w:rsid w:val="00CF58B7"/>
    <w:rsid w:val="00D002E4"/>
    <w:rsid w:val="00D0214A"/>
    <w:rsid w:val="00D03474"/>
    <w:rsid w:val="00D1229E"/>
    <w:rsid w:val="00D15F34"/>
    <w:rsid w:val="00D16C03"/>
    <w:rsid w:val="00D303E7"/>
    <w:rsid w:val="00D351C1"/>
    <w:rsid w:val="00D40E7D"/>
    <w:rsid w:val="00D4147E"/>
    <w:rsid w:val="00D84960"/>
    <w:rsid w:val="00D854C6"/>
    <w:rsid w:val="00D86BF0"/>
    <w:rsid w:val="00D95C78"/>
    <w:rsid w:val="00DA230C"/>
    <w:rsid w:val="00DA3F0F"/>
    <w:rsid w:val="00DA5082"/>
    <w:rsid w:val="00DA547B"/>
    <w:rsid w:val="00DB25C4"/>
    <w:rsid w:val="00DB42B2"/>
    <w:rsid w:val="00DC4041"/>
    <w:rsid w:val="00DC4C82"/>
    <w:rsid w:val="00DD6AC4"/>
    <w:rsid w:val="00DE2C8D"/>
    <w:rsid w:val="00E01790"/>
    <w:rsid w:val="00E2231C"/>
    <w:rsid w:val="00E336B6"/>
    <w:rsid w:val="00E446F8"/>
    <w:rsid w:val="00E500D1"/>
    <w:rsid w:val="00E51920"/>
    <w:rsid w:val="00E53692"/>
    <w:rsid w:val="00E55A96"/>
    <w:rsid w:val="00E56D17"/>
    <w:rsid w:val="00E64120"/>
    <w:rsid w:val="00E67E56"/>
    <w:rsid w:val="00EA20F5"/>
    <w:rsid w:val="00EA53E3"/>
    <w:rsid w:val="00EA58D3"/>
    <w:rsid w:val="00EC496A"/>
    <w:rsid w:val="00ED643C"/>
    <w:rsid w:val="00EE0652"/>
    <w:rsid w:val="00EE6957"/>
    <w:rsid w:val="00EF46FB"/>
    <w:rsid w:val="00EF5FBC"/>
    <w:rsid w:val="00EF6BCB"/>
    <w:rsid w:val="00F03E83"/>
    <w:rsid w:val="00F055F1"/>
    <w:rsid w:val="00F105B9"/>
    <w:rsid w:val="00F228CA"/>
    <w:rsid w:val="00F41CC6"/>
    <w:rsid w:val="00F61FFF"/>
    <w:rsid w:val="00F626FC"/>
    <w:rsid w:val="00F858CA"/>
    <w:rsid w:val="00F86483"/>
    <w:rsid w:val="00F957CF"/>
    <w:rsid w:val="00FA0B3F"/>
    <w:rsid w:val="00FA1B95"/>
    <w:rsid w:val="00FA3C45"/>
    <w:rsid w:val="00FA58FB"/>
    <w:rsid w:val="00FB6673"/>
    <w:rsid w:val="00FC10ED"/>
    <w:rsid w:val="00FC1ACF"/>
    <w:rsid w:val="00FC2D11"/>
    <w:rsid w:val="00FC475A"/>
    <w:rsid w:val="00FC6230"/>
    <w:rsid w:val="00FC717B"/>
    <w:rsid w:val="00FD0A3E"/>
    <w:rsid w:val="00FD1CFC"/>
    <w:rsid w:val="00FE0B9D"/>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semiHidden="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qFormat/>
    <w:rsid w:val="00BA7D8F"/>
    <w:pPr>
      <w:spacing w:after="240"/>
    </w:pPr>
    <w:rPr>
      <w:rFonts w:ascii="Arial" w:hAnsi="Arial" w:cs="Arial"/>
      <w:sz w:val="24"/>
      <w:szCs w:val="24"/>
      <w:lang w:eastAsia="en-US"/>
    </w:rPr>
  </w:style>
  <w:style w:type="paragraph" w:styleId="Heading1">
    <w:name w:val="heading 1"/>
    <w:basedOn w:val="Normal"/>
    <w:next w:val="Normal"/>
    <w:link w:val="Heading1Char"/>
    <w:uiPriority w:val="1"/>
    <w:qFormat/>
    <w:rsid w:val="00FC10ED"/>
    <w:pPr>
      <w:keepNext/>
      <w:spacing w:before="240" w:after="120"/>
      <w:outlineLvl w:val="0"/>
    </w:pPr>
    <w:rPr>
      <w:rFonts w:cs="Times New Roman"/>
      <w:b/>
      <w:bCs/>
      <w:kern w:val="32"/>
      <w:sz w:val="28"/>
      <w:szCs w:val="32"/>
      <w:lang w:val="x-none" w:eastAsia="x-none"/>
    </w:rPr>
  </w:style>
  <w:style w:type="paragraph" w:styleId="Heading2">
    <w:name w:val="heading 2"/>
    <w:basedOn w:val="Normal"/>
    <w:next w:val="Normal"/>
    <w:link w:val="Heading2Char"/>
    <w:uiPriority w:val="2"/>
    <w:qFormat/>
    <w:rsid w:val="00602AF6"/>
    <w:pPr>
      <w:keepNext/>
      <w:spacing w:before="360" w:after="120"/>
      <w:outlineLvl w:val="1"/>
    </w:pPr>
    <w:rPr>
      <w:rFonts w:cs="Times New Roman"/>
      <w:b/>
      <w:bCs/>
      <w:iCs/>
      <w:szCs w:val="28"/>
      <w:lang w:val="x-none"/>
    </w:rPr>
  </w:style>
  <w:style w:type="paragraph" w:styleId="Heading3">
    <w:name w:val="heading 3"/>
    <w:basedOn w:val="Normal"/>
    <w:next w:val="Normal"/>
    <w:link w:val="Heading3Char"/>
    <w:uiPriority w:val="3"/>
    <w:qFormat/>
    <w:rsid w:val="004F0B20"/>
    <w:pPr>
      <w:keepNext/>
      <w:spacing w:before="240" w:after="120"/>
      <w:outlineLvl w:val="2"/>
    </w:pPr>
    <w:rPr>
      <w:rFonts w:cs="Times New Roman"/>
      <w:bCs/>
      <w:i/>
      <w:szCs w:val="26"/>
      <w:lang w:val="x-none"/>
    </w:rPr>
  </w:style>
  <w:style w:type="paragraph" w:styleId="Heading4">
    <w:name w:val="heading 4"/>
    <w:basedOn w:val="Normal"/>
    <w:next w:val="Normal"/>
    <w:link w:val="Heading4Char"/>
    <w:semiHidden/>
    <w:qFormat/>
    <w:rsid w:val="00F858CA"/>
    <w:pPr>
      <w:keepNext/>
      <w:spacing w:before="240" w:after="60"/>
      <w:outlineLvl w:val="3"/>
    </w:pPr>
    <w:rPr>
      <w:rFonts w:cs="Times New Roman"/>
      <w:b/>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numPr>
        <w:numId w:val="1"/>
      </w:numPr>
      <w:spacing w:before="240" w:line="276" w:lineRule="auto"/>
      <w:ind w:left="709" w:hanging="709"/>
    </w:pPr>
  </w:style>
  <w:style w:type="paragraph" w:styleId="Title">
    <w:name w:val="Title"/>
    <w:basedOn w:val="Normal"/>
    <w:next w:val="Heading1"/>
    <w:link w:val="TitleChar"/>
    <w:qFormat/>
    <w:rsid w:val="00FC10ED"/>
    <w:pPr>
      <w:spacing w:before="240"/>
      <w:jc w:val="center"/>
      <w:outlineLvl w:val="0"/>
    </w:pPr>
    <w:rPr>
      <w:rFonts w:cs="Times New Roman"/>
      <w:b/>
      <w:bCs/>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style>
  <w:style w:type="paragraph" w:styleId="Header">
    <w:name w:val="header"/>
    <w:basedOn w:val="Normal"/>
    <w:link w:val="HeaderChar"/>
    <w:uiPriority w:val="99"/>
    <w:semiHidden/>
    <w:rsid w:val="0017169E"/>
    <w:pPr>
      <w:tabs>
        <w:tab w:val="center" w:pos="4513"/>
        <w:tab w:val="right" w:pos="9026"/>
      </w:tabs>
    </w:pPr>
    <w:rPr>
      <w:rFonts w:cs="Times New Roman"/>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cs="Times New Roman"/>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imes New Roman"/>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602AF6"/>
    <w:rPr>
      <w:rFonts w:ascii="Arial" w:hAnsi="Arial" w:cs="Arial"/>
      <w:b/>
      <w:bCs/>
      <w:iCs/>
      <w:sz w:val="24"/>
      <w:szCs w:val="28"/>
      <w:lang w:eastAsia="en-US"/>
    </w:rPr>
  </w:style>
  <w:style w:type="character" w:customStyle="1" w:styleId="Heading3Char">
    <w:name w:val="Heading 3 Char"/>
    <w:link w:val="Heading3"/>
    <w:uiPriority w:val="3"/>
    <w:rsid w:val="004F0B20"/>
    <w:rPr>
      <w:rFonts w:ascii="Arial" w:hAnsi="Arial" w:cs="Arial"/>
      <w:bCs/>
      <w:i/>
      <w:sz w:val="24"/>
      <w:szCs w:val="26"/>
      <w:lang w:eastAsia="en-US"/>
    </w:rPr>
  </w:style>
  <w:style w:type="paragraph" w:customStyle="1" w:styleId="Subbullets">
    <w:name w:val="Sub bullets"/>
    <w:basedOn w:val="Normal"/>
    <w:uiPriority w:val="6"/>
    <w:qFormat/>
    <w:rsid w:val="001A23E4"/>
    <w:pPr>
      <w:numPr>
        <w:numId w:val="18"/>
      </w:numPr>
      <w:spacing w:line="276" w:lineRule="auto"/>
      <w:ind w:left="1418" w:hanging="284"/>
    </w:pPr>
  </w:style>
  <w:style w:type="paragraph" w:customStyle="1" w:styleId="Paragraphnonumbers">
    <w:name w:val="Paragraph no numbers"/>
    <w:basedOn w:val="Normal"/>
    <w:uiPriority w:val="99"/>
    <w:qFormat/>
    <w:rsid w:val="001A23E4"/>
    <w:pPr>
      <w:spacing w:before="240" w:line="276" w:lineRule="auto"/>
    </w:p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semiHidden/>
    <w:rsid w:val="00F858CA"/>
    <w:pPr>
      <w:spacing w:before="120"/>
    </w:pPr>
    <w:rPr>
      <w:b/>
      <w:bCs/>
    </w:rPr>
  </w:style>
  <w:style w:type="paragraph" w:styleId="TOC1">
    <w:name w:val="toc 1"/>
    <w:basedOn w:val="Normal"/>
    <w:next w:val="Normal"/>
    <w:autoRedefine/>
    <w:semiHidden/>
    <w:rsid w:val="00F858CA"/>
  </w:style>
  <w:style w:type="paragraph" w:styleId="TOC2">
    <w:name w:val="toc 2"/>
    <w:basedOn w:val="Normal"/>
    <w:next w:val="Normal"/>
    <w:autoRedefine/>
    <w:semiHidden/>
    <w:rsid w:val="00F858CA"/>
    <w:pPr>
      <w:ind w:left="240"/>
    </w:pPr>
  </w:style>
  <w:style w:type="paragraph" w:styleId="TOC3">
    <w:name w:val="toc 3"/>
    <w:basedOn w:val="Normal"/>
    <w:next w:val="Normal"/>
    <w:autoRedefine/>
    <w:semiHidden/>
    <w:rsid w:val="00F858CA"/>
    <w:pPr>
      <w:ind w:left="480"/>
    </w:pPr>
  </w:style>
  <w:style w:type="paragraph" w:styleId="TOC4">
    <w:name w:val="toc 4"/>
    <w:basedOn w:val="Normal"/>
    <w:next w:val="Normal"/>
    <w:autoRedefine/>
    <w:semiHidden/>
    <w:rsid w:val="00F858CA"/>
    <w:pPr>
      <w:ind w:left="720"/>
    </w:pPr>
  </w:style>
  <w:style w:type="character" w:customStyle="1" w:styleId="Heading4Char">
    <w:name w:val="Heading 4 Char"/>
    <w:link w:val="Heading4"/>
    <w:semiHidden/>
    <w:rsid w:val="00F858CA"/>
    <w:rPr>
      <w:rFonts w:ascii="Arial" w:eastAsia="Times New Roman" w:hAnsi="Arial" w:cs="Times New Roman"/>
      <w:b/>
      <w:bCs/>
      <w:i/>
      <w:sz w:val="24"/>
      <w:szCs w:val="28"/>
    </w:rPr>
  </w:style>
  <w:style w:type="character" w:styleId="CommentReference">
    <w:name w:val="annotation reference"/>
    <w:semiHidden/>
    <w:rsid w:val="004B180E"/>
    <w:rPr>
      <w:sz w:val="16"/>
      <w:szCs w:val="16"/>
    </w:rPr>
  </w:style>
  <w:style w:type="paragraph" w:styleId="CommentText">
    <w:name w:val="annotation text"/>
    <w:basedOn w:val="Normal"/>
    <w:link w:val="CommentTextChar"/>
    <w:semiHidden/>
    <w:rsid w:val="004B180E"/>
    <w:rPr>
      <w:rFonts w:cs="Times New Roman"/>
      <w:sz w:val="20"/>
      <w:szCs w:val="20"/>
      <w:lang w:val="x-none"/>
    </w:rPr>
  </w:style>
  <w:style w:type="character" w:customStyle="1" w:styleId="CommentTextChar">
    <w:name w:val="Comment Text Char"/>
    <w:link w:val="CommentText"/>
    <w:semiHidden/>
    <w:rsid w:val="004B180E"/>
    <w:rPr>
      <w:rFonts w:ascii="Arial" w:hAnsi="Arial" w:cs="Arial"/>
      <w:lang w:eastAsia="en-US"/>
    </w:rPr>
  </w:style>
  <w:style w:type="paragraph" w:styleId="CommentSubject">
    <w:name w:val="annotation subject"/>
    <w:basedOn w:val="CommentText"/>
    <w:next w:val="CommentText"/>
    <w:link w:val="CommentSubjectChar"/>
    <w:semiHidden/>
    <w:rsid w:val="004B180E"/>
    <w:rPr>
      <w:b/>
      <w:bCs/>
    </w:rPr>
  </w:style>
  <w:style w:type="character" w:customStyle="1" w:styleId="CommentSubjectChar">
    <w:name w:val="Comment Subject Char"/>
    <w:link w:val="CommentSubject"/>
    <w:semiHidden/>
    <w:rsid w:val="004B180E"/>
    <w:rPr>
      <w:rFonts w:ascii="Arial" w:hAnsi="Arial" w:cs="Arial"/>
      <w:b/>
      <w:bCs/>
      <w:lang w:eastAsia="en-US"/>
    </w:rPr>
  </w:style>
  <w:style w:type="paragraph" w:styleId="FootnoteText">
    <w:name w:val="footnote text"/>
    <w:basedOn w:val="Normal"/>
    <w:link w:val="FootnoteTextChar"/>
    <w:rsid w:val="004B180E"/>
    <w:rPr>
      <w:rFonts w:cs="Times New Roman"/>
      <w:sz w:val="20"/>
      <w:szCs w:val="20"/>
      <w:lang w:val="x-none"/>
    </w:rPr>
  </w:style>
  <w:style w:type="character" w:customStyle="1" w:styleId="FootnoteTextChar">
    <w:name w:val="Footnote Text Char"/>
    <w:link w:val="FootnoteText"/>
    <w:rsid w:val="004B180E"/>
    <w:rPr>
      <w:rFonts w:ascii="Arial" w:hAnsi="Arial" w:cs="Arial"/>
      <w:lang w:eastAsia="en-US"/>
    </w:rPr>
  </w:style>
  <w:style w:type="character" w:styleId="FootnoteReference">
    <w:name w:val="footnote reference"/>
    <w:rsid w:val="004B180E"/>
    <w:rPr>
      <w:vertAlign w:val="superscript"/>
    </w:rPr>
  </w:style>
  <w:style w:type="character" w:styleId="Hyperlink">
    <w:name w:val="Hyperlink"/>
    <w:uiPriority w:val="99"/>
    <w:rsid w:val="00424EEB"/>
    <w:rPr>
      <w:color w:val="0000FF"/>
      <w:u w:val="single"/>
    </w:rPr>
  </w:style>
  <w:style w:type="paragraph" w:styleId="Revision">
    <w:name w:val="Revision"/>
    <w:hidden/>
    <w:uiPriority w:val="99"/>
    <w:semiHidden/>
    <w:rsid w:val="00544F68"/>
    <w:rPr>
      <w:rFonts w:ascii="Arial" w:hAnsi="Arial" w:cs="Arial"/>
      <w:sz w:val="24"/>
      <w:szCs w:val="24"/>
      <w:lang w:eastAsia="en-US"/>
    </w:rPr>
  </w:style>
  <w:style w:type="paragraph" w:styleId="ListParagraph">
    <w:name w:val="List Paragraph"/>
    <w:basedOn w:val="Normal"/>
    <w:uiPriority w:val="34"/>
    <w:qFormat/>
    <w:rsid w:val="00606107"/>
    <w:pPr>
      <w:ind w:left="720"/>
    </w:pPr>
  </w:style>
  <w:style w:type="character" w:styleId="PlaceholderText">
    <w:name w:val="Placeholder Text"/>
    <w:uiPriority w:val="99"/>
    <w:semiHidden/>
    <w:rsid w:val="00671256"/>
    <w:rPr>
      <w:color w:val="808080"/>
    </w:rPr>
  </w:style>
  <w:style w:type="paragraph" w:customStyle="1" w:styleId="Numberedheading">
    <w:name w:val="Numbered heading"/>
    <w:basedOn w:val="Heading2"/>
    <w:link w:val="NumberedheadingChar"/>
    <w:qFormat/>
    <w:rsid w:val="00510B85"/>
    <w:pPr>
      <w:numPr>
        <w:numId w:val="26"/>
      </w:numPr>
    </w:pPr>
  </w:style>
  <w:style w:type="character" w:customStyle="1" w:styleId="NumberedheadingChar">
    <w:name w:val="Numbered heading Char"/>
    <w:link w:val="Numberedheading"/>
    <w:rsid w:val="00510B85"/>
    <w:rPr>
      <w:rFonts w:ascii="Arial" w:hAnsi="Arial"/>
      <w:b/>
      <w:bCs/>
      <w:iCs/>
      <w:sz w:val="24"/>
      <w:szCs w:val="28"/>
      <w:lang w:val="x-none" w:eastAsia="en-US"/>
    </w:rPr>
  </w:style>
  <w:style w:type="paragraph" w:styleId="ListNumber2">
    <w:name w:val="List Number 2"/>
    <w:basedOn w:val="Normal"/>
    <w:semiHidden/>
    <w:rsid w:val="00BC3E45"/>
    <w:pPr>
      <w:numPr>
        <w:numId w:val="14"/>
      </w:numPr>
      <w:contextualSpacing/>
    </w:pPr>
  </w:style>
  <w:style w:type="character" w:styleId="FollowedHyperlink">
    <w:name w:val="FollowedHyperlink"/>
    <w:basedOn w:val="DefaultParagraphFont"/>
    <w:semiHidden/>
    <w:rsid w:val="00957A0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semiHidden="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qFormat/>
    <w:rsid w:val="00BA7D8F"/>
    <w:pPr>
      <w:spacing w:after="240"/>
    </w:pPr>
    <w:rPr>
      <w:rFonts w:ascii="Arial" w:hAnsi="Arial" w:cs="Arial"/>
      <w:sz w:val="24"/>
      <w:szCs w:val="24"/>
      <w:lang w:eastAsia="en-US"/>
    </w:rPr>
  </w:style>
  <w:style w:type="paragraph" w:styleId="Heading1">
    <w:name w:val="heading 1"/>
    <w:basedOn w:val="Normal"/>
    <w:next w:val="Normal"/>
    <w:link w:val="Heading1Char"/>
    <w:uiPriority w:val="1"/>
    <w:qFormat/>
    <w:rsid w:val="00FC10ED"/>
    <w:pPr>
      <w:keepNext/>
      <w:spacing w:before="240" w:after="120"/>
      <w:outlineLvl w:val="0"/>
    </w:pPr>
    <w:rPr>
      <w:rFonts w:cs="Times New Roman"/>
      <w:b/>
      <w:bCs/>
      <w:kern w:val="32"/>
      <w:sz w:val="28"/>
      <w:szCs w:val="32"/>
      <w:lang w:val="x-none" w:eastAsia="x-none"/>
    </w:rPr>
  </w:style>
  <w:style w:type="paragraph" w:styleId="Heading2">
    <w:name w:val="heading 2"/>
    <w:basedOn w:val="Normal"/>
    <w:next w:val="Normal"/>
    <w:link w:val="Heading2Char"/>
    <w:uiPriority w:val="2"/>
    <w:qFormat/>
    <w:rsid w:val="00602AF6"/>
    <w:pPr>
      <w:keepNext/>
      <w:spacing w:before="360" w:after="120"/>
      <w:outlineLvl w:val="1"/>
    </w:pPr>
    <w:rPr>
      <w:rFonts w:cs="Times New Roman"/>
      <w:b/>
      <w:bCs/>
      <w:iCs/>
      <w:szCs w:val="28"/>
      <w:lang w:val="x-none"/>
    </w:rPr>
  </w:style>
  <w:style w:type="paragraph" w:styleId="Heading3">
    <w:name w:val="heading 3"/>
    <w:basedOn w:val="Normal"/>
    <w:next w:val="Normal"/>
    <w:link w:val="Heading3Char"/>
    <w:uiPriority w:val="3"/>
    <w:qFormat/>
    <w:rsid w:val="004F0B20"/>
    <w:pPr>
      <w:keepNext/>
      <w:spacing w:before="240" w:after="120"/>
      <w:outlineLvl w:val="2"/>
    </w:pPr>
    <w:rPr>
      <w:rFonts w:cs="Times New Roman"/>
      <w:bCs/>
      <w:i/>
      <w:szCs w:val="26"/>
      <w:lang w:val="x-none"/>
    </w:rPr>
  </w:style>
  <w:style w:type="paragraph" w:styleId="Heading4">
    <w:name w:val="heading 4"/>
    <w:basedOn w:val="Normal"/>
    <w:next w:val="Normal"/>
    <w:link w:val="Heading4Char"/>
    <w:semiHidden/>
    <w:qFormat/>
    <w:rsid w:val="00F858CA"/>
    <w:pPr>
      <w:keepNext/>
      <w:spacing w:before="240" w:after="60"/>
      <w:outlineLvl w:val="3"/>
    </w:pPr>
    <w:rPr>
      <w:rFonts w:cs="Times New Roman"/>
      <w:b/>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numPr>
        <w:numId w:val="1"/>
      </w:numPr>
      <w:spacing w:before="240" w:line="276" w:lineRule="auto"/>
      <w:ind w:left="709" w:hanging="709"/>
    </w:pPr>
  </w:style>
  <w:style w:type="paragraph" w:styleId="Title">
    <w:name w:val="Title"/>
    <w:basedOn w:val="Normal"/>
    <w:next w:val="Heading1"/>
    <w:link w:val="TitleChar"/>
    <w:qFormat/>
    <w:rsid w:val="00FC10ED"/>
    <w:pPr>
      <w:spacing w:before="240"/>
      <w:jc w:val="center"/>
      <w:outlineLvl w:val="0"/>
    </w:pPr>
    <w:rPr>
      <w:rFonts w:cs="Times New Roman"/>
      <w:b/>
      <w:bCs/>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style>
  <w:style w:type="paragraph" w:styleId="Header">
    <w:name w:val="header"/>
    <w:basedOn w:val="Normal"/>
    <w:link w:val="HeaderChar"/>
    <w:uiPriority w:val="99"/>
    <w:semiHidden/>
    <w:rsid w:val="0017169E"/>
    <w:pPr>
      <w:tabs>
        <w:tab w:val="center" w:pos="4513"/>
        <w:tab w:val="right" w:pos="9026"/>
      </w:tabs>
    </w:pPr>
    <w:rPr>
      <w:rFonts w:cs="Times New Roman"/>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cs="Times New Roman"/>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imes New Roman"/>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602AF6"/>
    <w:rPr>
      <w:rFonts w:ascii="Arial" w:hAnsi="Arial" w:cs="Arial"/>
      <w:b/>
      <w:bCs/>
      <w:iCs/>
      <w:sz w:val="24"/>
      <w:szCs w:val="28"/>
      <w:lang w:eastAsia="en-US"/>
    </w:rPr>
  </w:style>
  <w:style w:type="character" w:customStyle="1" w:styleId="Heading3Char">
    <w:name w:val="Heading 3 Char"/>
    <w:link w:val="Heading3"/>
    <w:uiPriority w:val="3"/>
    <w:rsid w:val="004F0B20"/>
    <w:rPr>
      <w:rFonts w:ascii="Arial" w:hAnsi="Arial" w:cs="Arial"/>
      <w:bCs/>
      <w:i/>
      <w:sz w:val="24"/>
      <w:szCs w:val="26"/>
      <w:lang w:eastAsia="en-US"/>
    </w:rPr>
  </w:style>
  <w:style w:type="paragraph" w:customStyle="1" w:styleId="Subbullets">
    <w:name w:val="Sub bullets"/>
    <w:basedOn w:val="Normal"/>
    <w:uiPriority w:val="6"/>
    <w:qFormat/>
    <w:rsid w:val="001A23E4"/>
    <w:pPr>
      <w:numPr>
        <w:numId w:val="18"/>
      </w:numPr>
      <w:spacing w:line="276" w:lineRule="auto"/>
      <w:ind w:left="1418" w:hanging="284"/>
    </w:pPr>
  </w:style>
  <w:style w:type="paragraph" w:customStyle="1" w:styleId="Paragraphnonumbers">
    <w:name w:val="Paragraph no numbers"/>
    <w:basedOn w:val="Normal"/>
    <w:uiPriority w:val="99"/>
    <w:qFormat/>
    <w:rsid w:val="001A23E4"/>
    <w:pPr>
      <w:spacing w:before="240" w:line="276" w:lineRule="auto"/>
    </w:p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semiHidden/>
    <w:rsid w:val="00F858CA"/>
    <w:pPr>
      <w:spacing w:before="120"/>
    </w:pPr>
    <w:rPr>
      <w:b/>
      <w:bCs/>
    </w:rPr>
  </w:style>
  <w:style w:type="paragraph" w:styleId="TOC1">
    <w:name w:val="toc 1"/>
    <w:basedOn w:val="Normal"/>
    <w:next w:val="Normal"/>
    <w:autoRedefine/>
    <w:semiHidden/>
    <w:rsid w:val="00F858CA"/>
  </w:style>
  <w:style w:type="paragraph" w:styleId="TOC2">
    <w:name w:val="toc 2"/>
    <w:basedOn w:val="Normal"/>
    <w:next w:val="Normal"/>
    <w:autoRedefine/>
    <w:semiHidden/>
    <w:rsid w:val="00F858CA"/>
    <w:pPr>
      <w:ind w:left="240"/>
    </w:pPr>
  </w:style>
  <w:style w:type="paragraph" w:styleId="TOC3">
    <w:name w:val="toc 3"/>
    <w:basedOn w:val="Normal"/>
    <w:next w:val="Normal"/>
    <w:autoRedefine/>
    <w:semiHidden/>
    <w:rsid w:val="00F858CA"/>
    <w:pPr>
      <w:ind w:left="480"/>
    </w:pPr>
  </w:style>
  <w:style w:type="paragraph" w:styleId="TOC4">
    <w:name w:val="toc 4"/>
    <w:basedOn w:val="Normal"/>
    <w:next w:val="Normal"/>
    <w:autoRedefine/>
    <w:semiHidden/>
    <w:rsid w:val="00F858CA"/>
    <w:pPr>
      <w:ind w:left="720"/>
    </w:pPr>
  </w:style>
  <w:style w:type="character" w:customStyle="1" w:styleId="Heading4Char">
    <w:name w:val="Heading 4 Char"/>
    <w:link w:val="Heading4"/>
    <w:semiHidden/>
    <w:rsid w:val="00F858CA"/>
    <w:rPr>
      <w:rFonts w:ascii="Arial" w:eastAsia="Times New Roman" w:hAnsi="Arial" w:cs="Times New Roman"/>
      <w:b/>
      <w:bCs/>
      <w:i/>
      <w:sz w:val="24"/>
      <w:szCs w:val="28"/>
    </w:rPr>
  </w:style>
  <w:style w:type="character" w:styleId="CommentReference">
    <w:name w:val="annotation reference"/>
    <w:semiHidden/>
    <w:rsid w:val="004B180E"/>
    <w:rPr>
      <w:sz w:val="16"/>
      <w:szCs w:val="16"/>
    </w:rPr>
  </w:style>
  <w:style w:type="paragraph" w:styleId="CommentText">
    <w:name w:val="annotation text"/>
    <w:basedOn w:val="Normal"/>
    <w:link w:val="CommentTextChar"/>
    <w:semiHidden/>
    <w:rsid w:val="004B180E"/>
    <w:rPr>
      <w:rFonts w:cs="Times New Roman"/>
      <w:sz w:val="20"/>
      <w:szCs w:val="20"/>
      <w:lang w:val="x-none"/>
    </w:rPr>
  </w:style>
  <w:style w:type="character" w:customStyle="1" w:styleId="CommentTextChar">
    <w:name w:val="Comment Text Char"/>
    <w:link w:val="CommentText"/>
    <w:semiHidden/>
    <w:rsid w:val="004B180E"/>
    <w:rPr>
      <w:rFonts w:ascii="Arial" w:hAnsi="Arial" w:cs="Arial"/>
      <w:lang w:eastAsia="en-US"/>
    </w:rPr>
  </w:style>
  <w:style w:type="paragraph" w:styleId="CommentSubject">
    <w:name w:val="annotation subject"/>
    <w:basedOn w:val="CommentText"/>
    <w:next w:val="CommentText"/>
    <w:link w:val="CommentSubjectChar"/>
    <w:semiHidden/>
    <w:rsid w:val="004B180E"/>
    <w:rPr>
      <w:b/>
      <w:bCs/>
    </w:rPr>
  </w:style>
  <w:style w:type="character" w:customStyle="1" w:styleId="CommentSubjectChar">
    <w:name w:val="Comment Subject Char"/>
    <w:link w:val="CommentSubject"/>
    <w:semiHidden/>
    <w:rsid w:val="004B180E"/>
    <w:rPr>
      <w:rFonts w:ascii="Arial" w:hAnsi="Arial" w:cs="Arial"/>
      <w:b/>
      <w:bCs/>
      <w:lang w:eastAsia="en-US"/>
    </w:rPr>
  </w:style>
  <w:style w:type="paragraph" w:styleId="FootnoteText">
    <w:name w:val="footnote text"/>
    <w:basedOn w:val="Normal"/>
    <w:link w:val="FootnoteTextChar"/>
    <w:rsid w:val="004B180E"/>
    <w:rPr>
      <w:rFonts w:cs="Times New Roman"/>
      <w:sz w:val="20"/>
      <w:szCs w:val="20"/>
      <w:lang w:val="x-none"/>
    </w:rPr>
  </w:style>
  <w:style w:type="character" w:customStyle="1" w:styleId="FootnoteTextChar">
    <w:name w:val="Footnote Text Char"/>
    <w:link w:val="FootnoteText"/>
    <w:rsid w:val="004B180E"/>
    <w:rPr>
      <w:rFonts w:ascii="Arial" w:hAnsi="Arial" w:cs="Arial"/>
      <w:lang w:eastAsia="en-US"/>
    </w:rPr>
  </w:style>
  <w:style w:type="character" w:styleId="FootnoteReference">
    <w:name w:val="footnote reference"/>
    <w:rsid w:val="004B180E"/>
    <w:rPr>
      <w:vertAlign w:val="superscript"/>
    </w:rPr>
  </w:style>
  <w:style w:type="character" w:styleId="Hyperlink">
    <w:name w:val="Hyperlink"/>
    <w:uiPriority w:val="99"/>
    <w:rsid w:val="00424EEB"/>
    <w:rPr>
      <w:color w:val="0000FF"/>
      <w:u w:val="single"/>
    </w:rPr>
  </w:style>
  <w:style w:type="paragraph" w:styleId="Revision">
    <w:name w:val="Revision"/>
    <w:hidden/>
    <w:uiPriority w:val="99"/>
    <w:semiHidden/>
    <w:rsid w:val="00544F68"/>
    <w:rPr>
      <w:rFonts w:ascii="Arial" w:hAnsi="Arial" w:cs="Arial"/>
      <w:sz w:val="24"/>
      <w:szCs w:val="24"/>
      <w:lang w:eastAsia="en-US"/>
    </w:rPr>
  </w:style>
  <w:style w:type="paragraph" w:styleId="ListParagraph">
    <w:name w:val="List Paragraph"/>
    <w:basedOn w:val="Normal"/>
    <w:uiPriority w:val="34"/>
    <w:qFormat/>
    <w:rsid w:val="00606107"/>
    <w:pPr>
      <w:ind w:left="720"/>
    </w:pPr>
  </w:style>
  <w:style w:type="character" w:styleId="PlaceholderText">
    <w:name w:val="Placeholder Text"/>
    <w:uiPriority w:val="99"/>
    <w:semiHidden/>
    <w:rsid w:val="00671256"/>
    <w:rPr>
      <w:color w:val="808080"/>
    </w:rPr>
  </w:style>
  <w:style w:type="paragraph" w:customStyle="1" w:styleId="Numberedheading">
    <w:name w:val="Numbered heading"/>
    <w:basedOn w:val="Heading2"/>
    <w:link w:val="NumberedheadingChar"/>
    <w:qFormat/>
    <w:rsid w:val="00510B85"/>
    <w:pPr>
      <w:numPr>
        <w:numId w:val="26"/>
      </w:numPr>
    </w:pPr>
  </w:style>
  <w:style w:type="character" w:customStyle="1" w:styleId="NumberedheadingChar">
    <w:name w:val="Numbered heading Char"/>
    <w:link w:val="Numberedheading"/>
    <w:rsid w:val="00510B85"/>
    <w:rPr>
      <w:rFonts w:ascii="Arial" w:hAnsi="Arial"/>
      <w:b/>
      <w:bCs/>
      <w:iCs/>
      <w:sz w:val="24"/>
      <w:szCs w:val="28"/>
      <w:lang w:val="x-none" w:eastAsia="en-US"/>
    </w:rPr>
  </w:style>
  <w:style w:type="paragraph" w:styleId="ListNumber2">
    <w:name w:val="List Number 2"/>
    <w:basedOn w:val="Normal"/>
    <w:semiHidden/>
    <w:rsid w:val="00BC3E45"/>
    <w:pPr>
      <w:numPr>
        <w:numId w:val="14"/>
      </w:numPr>
      <w:contextualSpacing/>
    </w:pPr>
  </w:style>
  <w:style w:type="character" w:styleId="FollowedHyperlink">
    <w:name w:val="FollowedHyperlink"/>
    <w:basedOn w:val="DefaultParagraphFont"/>
    <w:semiHidden/>
    <w:rsid w:val="00957A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456507">
      <w:bodyDiv w:val="1"/>
      <w:marLeft w:val="0"/>
      <w:marRight w:val="0"/>
      <w:marTop w:val="0"/>
      <w:marBottom w:val="0"/>
      <w:divBdr>
        <w:top w:val="none" w:sz="0" w:space="0" w:color="auto"/>
        <w:left w:val="none" w:sz="0" w:space="0" w:color="auto"/>
        <w:bottom w:val="none" w:sz="0" w:space="0" w:color="auto"/>
        <w:right w:val="none" w:sz="0" w:space="0" w:color="auto"/>
      </w:divBdr>
    </w:div>
    <w:div w:id="18460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pathways/venous-thromboembolis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ce.org.uk/guidance/cg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MTEP\PROCESS%20&amp;%20METHODS\04.%20Process%20and%20methods%20update%202014-15\Guidance%20reviews%20addendum\Templates\DAP%20templates\DAP%20review%20proposal%20template%2030%20Jan%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DAP review proposal template 30 Jan 2015</Template>
  <TotalTime>0</TotalTime>
  <Pages>7</Pages>
  <Words>1705</Words>
  <Characters>9510</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11193</CharactersWithSpaces>
  <SharedDoc>false</SharedDoc>
  <HLinks>
    <vt:vector size="6" baseType="variant">
      <vt:variant>
        <vt:i4>524359</vt:i4>
      </vt:variant>
      <vt:variant>
        <vt:i4>21</vt:i4>
      </vt:variant>
      <vt:variant>
        <vt:i4>0</vt:i4>
      </vt:variant>
      <vt:variant>
        <vt:i4>5</vt:i4>
      </vt:variant>
      <vt:variant>
        <vt:lpwstr>D:\Documents and Settings\SRobinson\Local Settings\Temporary Internet Files\0 - Renal_urinary\85 - Renal transplantation - immuno-suppressive regimens\Submissions\Invitations\Appendix A - Final scope.doc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Bernice Dillon</dc:creator>
  <cp:lastModifiedBy>Joanne Heaney</cp:lastModifiedBy>
  <cp:revision>2</cp:revision>
  <cp:lastPrinted>2016-04-06T16:08:00Z</cp:lastPrinted>
  <dcterms:created xsi:type="dcterms:W3CDTF">2016-04-18T07:41:00Z</dcterms:created>
  <dcterms:modified xsi:type="dcterms:W3CDTF">2016-04-18T07:41:00Z</dcterms:modified>
</cp:coreProperties>
</file>