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FE" w:rsidRDefault="006227FE" w:rsidP="00CD1280">
      <w:pPr>
        <w:pStyle w:val="Title16pt"/>
      </w:pPr>
      <w:bookmarkStart w:id="0" w:name="_GoBack"/>
      <w:bookmarkEnd w:id="0"/>
      <w:r w:rsidRPr="00755DE3">
        <w:t>National Institute for</w:t>
      </w:r>
      <w:r w:rsidR="00E930FB">
        <w:t xml:space="preserve"> Health and</w:t>
      </w:r>
      <w:r w:rsidRPr="00755DE3">
        <w:t xml:space="preserve"> C</w:t>
      </w:r>
      <w:r w:rsidR="000149C4">
        <w:t>are</w:t>
      </w:r>
      <w:r w:rsidRPr="00755DE3">
        <w:t xml:space="preserve"> Excellence </w:t>
      </w:r>
    </w:p>
    <w:p w:rsidR="00050C51" w:rsidRPr="00755DE3" w:rsidRDefault="00050C51" w:rsidP="00CD1280">
      <w:pPr>
        <w:pStyle w:val="Title16pt"/>
      </w:pPr>
      <w:r>
        <w:t>Medical Technolog</w:t>
      </w:r>
      <w:r w:rsidR="009932CE">
        <w:t>ies Evaluation Programme</w:t>
      </w:r>
    </w:p>
    <w:p w:rsidR="00C452B2" w:rsidRPr="00C452B2" w:rsidRDefault="009932CE" w:rsidP="00C452B2">
      <w:pPr>
        <w:jc w:val="center"/>
        <w:rPr>
          <w:rFonts w:ascii="Arial" w:hAnsi="Arial" w:cs="Arial"/>
          <w:b/>
          <w:bCs/>
          <w:color w:val="000000"/>
        </w:rPr>
      </w:pPr>
      <w:bookmarkStart w:id="1" w:name="Text1"/>
      <w:r w:rsidRPr="00C452B2">
        <w:rPr>
          <w:rStyle w:val="Title16ptChar"/>
          <w:sz w:val="24"/>
          <w:szCs w:val="24"/>
        </w:rPr>
        <w:t>MT</w:t>
      </w:r>
      <w:r w:rsidR="00C452B2" w:rsidRPr="00C452B2">
        <w:rPr>
          <w:rStyle w:val="Title16ptChar"/>
          <w:sz w:val="24"/>
          <w:szCs w:val="24"/>
        </w:rPr>
        <w:t xml:space="preserve">G19 </w:t>
      </w:r>
      <w:r w:rsidR="00FE2245" w:rsidRPr="00C452B2">
        <w:rPr>
          <w:rStyle w:val="Title16ptChar"/>
          <w:sz w:val="24"/>
          <w:szCs w:val="24"/>
        </w:rPr>
        <w:t>–</w:t>
      </w:r>
      <w:r w:rsidR="00C452B2" w:rsidRPr="00C452B2">
        <w:rPr>
          <w:rFonts w:ascii="Arial" w:hAnsi="Arial" w:cs="Arial"/>
          <w:b/>
          <w:bCs/>
          <w:color w:val="000000"/>
        </w:rPr>
        <w:t>The geko device for reducing the risk of venous thromboembolism</w:t>
      </w:r>
    </w:p>
    <w:bookmarkEnd w:id="1"/>
    <w:p w:rsidR="00FE2245" w:rsidRDefault="00FE2245">
      <w:pPr>
        <w:pStyle w:val="Header"/>
        <w:jc w:val="center"/>
        <w:rPr>
          <w:b/>
          <w:bCs/>
        </w:rPr>
      </w:pPr>
    </w:p>
    <w:p w:rsidR="00755DE3" w:rsidRPr="00A417FC" w:rsidRDefault="0034286B">
      <w:pPr>
        <w:pStyle w:val="Header"/>
        <w:jc w:val="center"/>
        <w:rPr>
          <w:b/>
          <w:bCs/>
        </w:rPr>
      </w:pPr>
      <w:r>
        <w:rPr>
          <w:b/>
          <w:bCs/>
        </w:rPr>
        <w:t xml:space="preserve">Consultation </w:t>
      </w:r>
      <w:r w:rsidR="00FE2245">
        <w:rPr>
          <w:b/>
          <w:bCs/>
        </w:rPr>
        <w:t>C</w:t>
      </w:r>
      <w:r w:rsidR="00A417FC" w:rsidRPr="00A417FC">
        <w:rPr>
          <w:rStyle w:val="Title16ptChar"/>
          <w:sz w:val="24"/>
          <w:szCs w:val="24"/>
        </w:rPr>
        <w:t>omments</w:t>
      </w:r>
      <w:r w:rsidR="00A417FC" w:rsidRPr="00A417FC">
        <w:rPr>
          <w:b/>
          <w:bCs/>
        </w:rPr>
        <w:t xml:space="preserve"> </w:t>
      </w:r>
      <w:r w:rsidR="00A417FC" w:rsidRPr="00A417FC">
        <w:rPr>
          <w:rStyle w:val="Title16ptChar"/>
          <w:sz w:val="24"/>
          <w:szCs w:val="24"/>
        </w:rPr>
        <w:t>table</w:t>
      </w:r>
    </w:p>
    <w:p w:rsidR="00C452B2" w:rsidRDefault="00C452B2" w:rsidP="00050C51">
      <w:pPr>
        <w:pStyle w:val="Header"/>
        <w:ind w:left="284"/>
        <w:jc w:val="both"/>
        <w:rPr>
          <w:i/>
          <w:highlight w:val="yellow"/>
        </w:rPr>
      </w:pPr>
    </w:p>
    <w:p w:rsidR="007C6EBD" w:rsidRPr="004E5F5E" w:rsidRDefault="00AD5272" w:rsidP="009565A8">
      <w:pPr>
        <w:pStyle w:val="Header"/>
        <w:ind w:left="284"/>
        <w:jc w:val="both"/>
      </w:pPr>
      <w:r>
        <w:t xml:space="preserve">There were </w:t>
      </w:r>
      <w:r w:rsidR="00F901E9">
        <w:t xml:space="preserve">17 </w:t>
      </w:r>
      <w:r w:rsidR="00050C51">
        <w:t xml:space="preserve">consultation comments from </w:t>
      </w:r>
      <w:r w:rsidR="00F901E9">
        <w:t xml:space="preserve">5 </w:t>
      </w:r>
      <w:r w:rsidR="00050C51">
        <w:t>consultees (</w:t>
      </w:r>
      <w:r w:rsidR="00F901E9">
        <w:t xml:space="preserve">3 </w:t>
      </w:r>
      <w:r w:rsidR="00050C51">
        <w:t xml:space="preserve">NHS professionals, </w:t>
      </w:r>
      <w:r w:rsidR="00F901E9">
        <w:t xml:space="preserve">1 </w:t>
      </w:r>
      <w:r w:rsidR="00050C51">
        <w:t xml:space="preserve">manufacturer and </w:t>
      </w:r>
      <w:r w:rsidR="00F901E9">
        <w:t xml:space="preserve">1 </w:t>
      </w:r>
      <w:r w:rsidR="00050C51">
        <w:t>other</w:t>
      </w:r>
      <w:r w:rsidR="00FD5F83">
        <w:t>).</w:t>
      </w:r>
      <w:r w:rsidR="00050C51">
        <w:t xml:space="preserve"> The comments are reproduced in full</w:t>
      </w:r>
      <w:r w:rsidR="00FD5F83">
        <w:t>.</w:t>
      </w:r>
    </w:p>
    <w:p w:rsidR="00A417FC" w:rsidRPr="004E5F5E" w:rsidRDefault="007C6EBD" w:rsidP="007C6EBD">
      <w:pPr>
        <w:pStyle w:val="Title16pt"/>
        <w:jc w:val="right"/>
        <w:rPr>
          <w:rFonts w:cs="Arial"/>
          <w:sz w:val="22"/>
          <w:szCs w:val="22"/>
        </w:rPr>
      </w:pPr>
      <w:r w:rsidRPr="004E5F5E">
        <w:rPr>
          <w:rFonts w:cs="Arial"/>
          <w:sz w:val="22"/>
          <w:szCs w:val="22"/>
        </w:rPr>
        <w:t xml:space="preserve">Table </w:t>
      </w:r>
      <w:r w:rsidR="009565A8">
        <w:rPr>
          <w:rFonts w:cs="Arial"/>
          <w:sz w:val="22"/>
          <w:szCs w:val="22"/>
        </w:rPr>
        <w:t>1</w:t>
      </w:r>
    </w:p>
    <w:tbl>
      <w:tblPr>
        <w:tblW w:w="14458" w:type="dxa"/>
        <w:tblInd w:w="3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20"/>
        <w:gridCol w:w="1080"/>
        <w:gridCol w:w="8831"/>
        <w:gridCol w:w="3827"/>
      </w:tblGrid>
      <w:tr w:rsidR="00E21236" w:rsidRPr="004E5F5E" w:rsidTr="00E21236">
        <w:trPr>
          <w:cantSplit/>
          <w:tblHeader/>
        </w:trPr>
        <w:tc>
          <w:tcPr>
            <w:tcW w:w="720" w:type="dxa"/>
            <w:shd w:val="clear" w:color="auto" w:fill="E6E6E6"/>
          </w:tcPr>
          <w:p w:rsidR="00E21236" w:rsidRPr="004E5F5E" w:rsidRDefault="00E21236" w:rsidP="000707B7">
            <w:pPr>
              <w:pStyle w:val="Tabletitle"/>
              <w:rPr>
                <w:rFonts w:cs="Arial"/>
                <w:sz w:val="22"/>
                <w:szCs w:val="22"/>
              </w:rPr>
            </w:pPr>
            <w:r w:rsidRPr="004E5F5E">
              <w:rPr>
                <w:rFonts w:cs="Arial"/>
                <w:sz w:val="22"/>
                <w:szCs w:val="22"/>
              </w:rPr>
              <w:t>Com. no.</w:t>
            </w:r>
          </w:p>
        </w:tc>
        <w:tc>
          <w:tcPr>
            <w:tcW w:w="1080" w:type="dxa"/>
            <w:shd w:val="clear" w:color="auto" w:fill="E6E6E6"/>
          </w:tcPr>
          <w:p w:rsidR="00E21236" w:rsidRPr="004E5F5E" w:rsidRDefault="00E21236" w:rsidP="00A417FC">
            <w:pPr>
              <w:pStyle w:val="Tabletitle"/>
              <w:rPr>
                <w:rFonts w:cs="Arial"/>
                <w:bCs/>
                <w:sz w:val="22"/>
                <w:szCs w:val="22"/>
              </w:rPr>
            </w:pPr>
            <w:r w:rsidRPr="004E5F5E">
              <w:rPr>
                <w:rFonts w:cs="Arial"/>
                <w:sz w:val="22"/>
                <w:szCs w:val="22"/>
              </w:rPr>
              <w:t>Sec. no.</w:t>
            </w:r>
          </w:p>
          <w:p w:rsidR="00E21236" w:rsidRPr="004E5F5E" w:rsidRDefault="00E21236">
            <w:pPr>
              <w:jc w:val="center"/>
              <w:rPr>
                <w:rFonts w:ascii="Arial" w:hAnsi="Arial" w:cs="Arial"/>
                <w:b/>
                <w:sz w:val="22"/>
                <w:szCs w:val="22"/>
              </w:rPr>
            </w:pPr>
          </w:p>
        </w:tc>
        <w:tc>
          <w:tcPr>
            <w:tcW w:w="8831" w:type="dxa"/>
            <w:shd w:val="clear" w:color="auto" w:fill="E6E6E6"/>
          </w:tcPr>
          <w:p w:rsidR="00E21236" w:rsidRPr="004E5F5E" w:rsidRDefault="00E21236" w:rsidP="00A417FC">
            <w:pPr>
              <w:pStyle w:val="Tabletitle"/>
              <w:rPr>
                <w:rFonts w:cs="Arial"/>
                <w:sz w:val="22"/>
                <w:szCs w:val="22"/>
              </w:rPr>
            </w:pPr>
            <w:r w:rsidRPr="004E5F5E">
              <w:rPr>
                <w:rFonts w:cs="Arial"/>
                <w:sz w:val="22"/>
                <w:szCs w:val="22"/>
              </w:rPr>
              <w:t>Comments</w:t>
            </w:r>
          </w:p>
          <w:p w:rsidR="00E21236" w:rsidRPr="004E5F5E" w:rsidRDefault="00E21236">
            <w:pPr>
              <w:jc w:val="center"/>
              <w:rPr>
                <w:rFonts w:ascii="Arial" w:hAnsi="Arial" w:cs="Arial"/>
                <w:b/>
                <w:sz w:val="22"/>
                <w:szCs w:val="22"/>
              </w:rPr>
            </w:pPr>
          </w:p>
        </w:tc>
        <w:tc>
          <w:tcPr>
            <w:tcW w:w="3827" w:type="dxa"/>
            <w:shd w:val="clear" w:color="auto" w:fill="E6E6E6"/>
          </w:tcPr>
          <w:p w:rsidR="00E21236" w:rsidRPr="004E5F5E" w:rsidRDefault="00E21236" w:rsidP="00A417FC">
            <w:pPr>
              <w:pStyle w:val="Tabletitle"/>
              <w:rPr>
                <w:rFonts w:cs="Arial"/>
                <w:sz w:val="22"/>
                <w:szCs w:val="22"/>
              </w:rPr>
            </w:pPr>
            <w:r w:rsidRPr="004E5F5E">
              <w:rPr>
                <w:rFonts w:cs="Arial"/>
                <w:sz w:val="22"/>
                <w:szCs w:val="22"/>
              </w:rPr>
              <w:t>Response</w:t>
            </w:r>
          </w:p>
          <w:p w:rsidR="00E21236" w:rsidRPr="004E5F5E" w:rsidRDefault="00E21236" w:rsidP="00A417FC">
            <w:pPr>
              <w:pStyle w:val="Tabletext"/>
              <w:rPr>
                <w:rFonts w:cs="Arial"/>
                <w:szCs w:val="22"/>
              </w:rPr>
            </w:pP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sidRPr="004E5F5E">
              <w:rPr>
                <w:rFonts w:cs="Arial"/>
                <w:iCs/>
                <w:szCs w:val="22"/>
              </w:rPr>
              <w:t>1</w:t>
            </w:r>
          </w:p>
        </w:tc>
        <w:tc>
          <w:tcPr>
            <w:tcW w:w="8831" w:type="dxa"/>
            <w:tcMar>
              <w:left w:w="57" w:type="dxa"/>
              <w:right w:w="57" w:type="dxa"/>
            </w:tcMar>
          </w:tcPr>
          <w:p w:rsidR="00E21236" w:rsidRPr="004E5F5E" w:rsidRDefault="00E21236" w:rsidP="00A417FC">
            <w:pPr>
              <w:pStyle w:val="Tabletext"/>
              <w:keepNext w:val="0"/>
              <w:rPr>
                <w:rFonts w:cs="Arial"/>
                <w:szCs w:val="22"/>
              </w:rPr>
            </w:pPr>
            <w:r w:rsidRPr="004E5F5E">
              <w:rPr>
                <w:rFonts w:cs="Arial"/>
                <w:szCs w:val="22"/>
              </w:rPr>
              <w:t>As there has been no substantial change to the evidence I agree that the guidance should be transferred to the static guidance list.</w:t>
            </w: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t xml:space="preserve">Thank you for your comment.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r>
              <w:rPr>
                <w:rFonts w:cs="Arial"/>
                <w:szCs w:val="22"/>
              </w:rPr>
              <w:t>4</w:t>
            </w:r>
          </w:p>
        </w:tc>
        <w:tc>
          <w:tcPr>
            <w:tcW w:w="1080" w:type="dxa"/>
            <w:tcMar>
              <w:left w:w="57" w:type="dxa"/>
              <w:right w:w="57" w:type="dxa"/>
            </w:tcMar>
          </w:tcPr>
          <w:p w:rsidR="00E21236" w:rsidRDefault="00E21236" w:rsidP="00A417FC">
            <w:pPr>
              <w:pStyle w:val="Tabletext"/>
              <w:keepNext w:val="0"/>
              <w:rPr>
                <w:rFonts w:cs="Arial"/>
                <w:szCs w:val="22"/>
              </w:rPr>
            </w:pPr>
            <w:r>
              <w:rPr>
                <w:rFonts w:cs="Arial"/>
                <w:szCs w:val="22"/>
              </w:rPr>
              <w:t>1</w:t>
            </w:r>
          </w:p>
        </w:tc>
        <w:tc>
          <w:tcPr>
            <w:tcW w:w="8831" w:type="dxa"/>
            <w:tcMar>
              <w:left w:w="57" w:type="dxa"/>
              <w:right w:w="57" w:type="dxa"/>
            </w:tcMar>
          </w:tcPr>
          <w:p w:rsidR="00E21236" w:rsidRDefault="00E21236" w:rsidP="00936CF1">
            <w:pPr>
              <w:rPr>
                <w:rFonts w:ascii="Arial" w:hAnsi="Arial" w:cs="Arial"/>
                <w:sz w:val="22"/>
                <w:szCs w:val="22"/>
              </w:rPr>
            </w:pPr>
            <w:r>
              <w:rPr>
                <w:rFonts w:ascii="Arial" w:hAnsi="Arial" w:cs="Arial"/>
                <w:sz w:val="22"/>
                <w:szCs w:val="22"/>
              </w:rPr>
              <w:t>Firstkind welcome the recommendation to place MTG19 on the static guidance list after this review is complete. This gives Firstkind the confidence to maintain a market focus that targets those hospitalised patients who are currently unable to be prescribed pharmacological and mechanical forms of VTE prophylaxis. Firstkind believe that MTG19 supports the clinical objective of providing hospitals with further capability of prescribing VTE prophylaxis to all hospitalised patients 100% of the time.</w:t>
            </w:r>
          </w:p>
          <w:p w:rsidR="00E21236" w:rsidRDefault="00E21236" w:rsidP="00A417FC">
            <w:pPr>
              <w:pStyle w:val="Tabletext"/>
              <w:keepNext w:val="0"/>
              <w:rPr>
                <w:rFonts w:cs="Arial"/>
                <w:szCs w:val="22"/>
              </w:rPr>
            </w:pP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t xml:space="preserve">Thank you for your comment.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Default="00E21236" w:rsidP="00A417FC">
            <w:pPr>
              <w:pStyle w:val="Tabletext"/>
              <w:keepNext w:val="0"/>
              <w:rPr>
                <w:rFonts w:cs="Arial"/>
                <w:szCs w:val="22"/>
              </w:rPr>
            </w:pPr>
            <w:r>
              <w:rPr>
                <w:rFonts w:cs="Arial"/>
                <w:szCs w:val="22"/>
              </w:rPr>
              <w:t>1</w:t>
            </w:r>
          </w:p>
        </w:tc>
        <w:tc>
          <w:tcPr>
            <w:tcW w:w="8831" w:type="dxa"/>
            <w:tcMar>
              <w:left w:w="57" w:type="dxa"/>
              <w:right w:w="57" w:type="dxa"/>
            </w:tcMar>
          </w:tcPr>
          <w:p w:rsidR="00E21236" w:rsidRDefault="00E21236" w:rsidP="00384650">
            <w:pPr>
              <w:rPr>
                <w:rFonts w:ascii="Arial" w:hAnsi="Arial" w:cs="Arial"/>
                <w:sz w:val="22"/>
                <w:szCs w:val="22"/>
              </w:rPr>
            </w:pPr>
            <w:r>
              <w:rPr>
                <w:rFonts w:ascii="Arial" w:hAnsi="Arial" w:cs="Arial"/>
                <w:sz w:val="22"/>
                <w:szCs w:val="22"/>
              </w:rPr>
              <w:t>Firstkind understand that the 2</w:t>
            </w:r>
            <w:r>
              <w:rPr>
                <w:rFonts w:ascii="Arial" w:hAnsi="Arial" w:cs="Arial"/>
                <w:sz w:val="22"/>
                <w:szCs w:val="22"/>
                <w:vertAlign w:val="superscript"/>
              </w:rPr>
              <w:t>nd</w:t>
            </w:r>
            <w:r>
              <w:rPr>
                <w:rFonts w:ascii="Arial" w:hAnsi="Arial" w:cs="Arial"/>
                <w:sz w:val="22"/>
                <w:szCs w:val="22"/>
              </w:rPr>
              <w:t xml:space="preserve"> paragraph of the consultation recommendation will result in an amendment to the current MTG19 guidance web landing page with “explanatory text” and a “signposting” about the CG92 recommendation for stroke. Further, this presumably will state that because no RCT evidence for NMES (as a generic) was found in the CG92.1 review then NMES (as a generic) is not recommended in stroke patients. Firstkind make this assumption because Section 4 of this consultation suggests that Appendix 1 describes these signposting/text options but doesn’t appear to do so?</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This CG92 position in respect to NMES and stroke has created confusion and contradiction when aligned with the MTG19 position for the specific geko </w:t>
            </w:r>
            <w:r>
              <w:rPr>
                <w:rFonts w:ascii="Arial" w:hAnsi="Arial" w:cs="Arial"/>
                <w:sz w:val="22"/>
                <w:szCs w:val="22"/>
                <w:vertAlign w:val="superscript"/>
              </w:rPr>
              <w:t>TM</w:t>
            </w:r>
            <w:r>
              <w:rPr>
                <w:rFonts w:ascii="Arial" w:hAnsi="Arial" w:cs="Arial"/>
                <w:sz w:val="22"/>
                <w:szCs w:val="22"/>
              </w:rPr>
              <w:t xml:space="preserve"> device. </w:t>
            </w:r>
            <w:r>
              <w:rPr>
                <w:rFonts w:ascii="Arial" w:hAnsi="Arial" w:cs="Arial"/>
                <w:sz w:val="22"/>
                <w:szCs w:val="22"/>
              </w:rPr>
              <w:lastRenderedPageBreak/>
              <w:t xml:space="preserve">MTG19 supported the use of the geko </w:t>
            </w:r>
            <w:r>
              <w:rPr>
                <w:rFonts w:ascii="Arial" w:hAnsi="Arial" w:cs="Arial"/>
                <w:sz w:val="22"/>
                <w:szCs w:val="22"/>
                <w:vertAlign w:val="superscript"/>
              </w:rPr>
              <w:t>TM</w:t>
            </w:r>
            <w:r>
              <w:rPr>
                <w:rFonts w:ascii="Arial" w:hAnsi="Arial" w:cs="Arial"/>
                <w:sz w:val="22"/>
                <w:szCs w:val="22"/>
              </w:rPr>
              <w:t xml:space="preserve"> device because the committee agreed that its mode of action and resulting blood flow/anti-stasis impact was superior to no VTE prophylaxis in </w:t>
            </w:r>
            <w:r>
              <w:rPr>
                <w:rFonts w:ascii="Arial" w:hAnsi="Arial" w:cs="Arial"/>
                <w:sz w:val="22"/>
                <w:szCs w:val="22"/>
                <w:u w:val="single"/>
              </w:rPr>
              <w:t>all</w:t>
            </w:r>
            <w:r>
              <w:rPr>
                <w:rFonts w:ascii="Arial" w:hAnsi="Arial" w:cs="Arial"/>
                <w:sz w:val="22"/>
                <w:szCs w:val="22"/>
              </w:rPr>
              <w:t xml:space="preserve"> hospitalised patients. There is no evidence that has since emerged that could possibly dilute that position for </w:t>
            </w:r>
            <w:r>
              <w:rPr>
                <w:rFonts w:ascii="Arial" w:hAnsi="Arial" w:cs="Arial"/>
                <w:sz w:val="22"/>
                <w:szCs w:val="22"/>
                <w:u w:val="single"/>
              </w:rPr>
              <w:t xml:space="preserve">all </w:t>
            </w:r>
            <w:r>
              <w:rPr>
                <w:rFonts w:ascii="Arial" w:hAnsi="Arial" w:cs="Arial"/>
                <w:sz w:val="22"/>
                <w:szCs w:val="22"/>
              </w:rPr>
              <w:t>patient groups, including stroke. Indeed new evidence has since emerged that would further support the original committee’s decision.</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The market understands the difference between CG and MTG guidance and the different levels of evidence required to gain a positive recommendation in each. The CG92.1 review for reasons that continue to be unclear decided to take the unusual step of highlighting in final CG92 guidance that the generic NMES technology was not recommended for stroke. When NICE created the original VTE guideline CG46 in 2007, NMES was rightly removed at consultation stage because of the same lack of RCT evidence in </w:t>
            </w:r>
            <w:r>
              <w:rPr>
                <w:rFonts w:ascii="Arial" w:hAnsi="Arial" w:cs="Arial"/>
                <w:sz w:val="22"/>
                <w:szCs w:val="22"/>
                <w:u w:val="single"/>
              </w:rPr>
              <w:t>any</w:t>
            </w:r>
            <w:r>
              <w:rPr>
                <w:rFonts w:ascii="Arial" w:hAnsi="Arial" w:cs="Arial"/>
                <w:sz w:val="22"/>
                <w:szCs w:val="22"/>
              </w:rPr>
              <w:t xml:space="preserve"> population. This policy was repeated in the 2010 revision (named CG92) where again NMES was not considered because of a lack of RCT evidence. In both 2007 and 2010 this negative RCT finding in respect to NMES was not translated to a non-recommendation statement on a patient group basis in final guidance, yet the CG92.1 review has created significant market problems by doing so.</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Firstkind believe there is a meaningful difference here in how insufficient RCT NMES evidence has been translated by NICE into the final CG92 stroke guidance and it is this inconsistency that has undermined MTG19 and the unique properties and patient benefits attributed to the geko </w:t>
            </w:r>
            <w:r>
              <w:rPr>
                <w:rFonts w:ascii="Arial" w:hAnsi="Arial" w:cs="Arial"/>
                <w:sz w:val="22"/>
                <w:szCs w:val="22"/>
                <w:vertAlign w:val="superscript"/>
              </w:rPr>
              <w:t>TM</w:t>
            </w:r>
            <w:r>
              <w:rPr>
                <w:rFonts w:ascii="Arial" w:hAnsi="Arial" w:cs="Arial"/>
                <w:sz w:val="22"/>
                <w:szCs w:val="22"/>
              </w:rPr>
              <w:t xml:space="preserve"> device, benefits that should serve stroke patients when IPC is contraindicated or impractical as MTG19 always intended. </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On the basis that there no new evidence or no new safety concerns that would undermine the current MTG19 recommendation and the use of the geko </w:t>
            </w:r>
            <w:r>
              <w:rPr>
                <w:rFonts w:ascii="Arial" w:hAnsi="Arial" w:cs="Arial"/>
                <w:sz w:val="22"/>
                <w:szCs w:val="22"/>
                <w:vertAlign w:val="superscript"/>
              </w:rPr>
              <w:t>TM</w:t>
            </w:r>
            <w:r>
              <w:rPr>
                <w:rFonts w:ascii="Arial" w:hAnsi="Arial" w:cs="Arial"/>
                <w:sz w:val="22"/>
                <w:szCs w:val="22"/>
              </w:rPr>
              <w:t xml:space="preserve"> device in stroke and as such there is no basis for amending MTG19 to isolate stroke patients from what is a highly useful generic guidance for unmet need. Further, from a patient perspective, and in light of the above facts, it would seem incoherent for NHS England to regress and effectively offer no VTE prophylaxis to stroke patients when other modalities are contraindicated or impractical. Today, the NHS England is using and intends to use the geko </w:t>
            </w:r>
            <w:r>
              <w:rPr>
                <w:rFonts w:ascii="Arial" w:hAnsi="Arial" w:cs="Arial"/>
                <w:sz w:val="22"/>
                <w:szCs w:val="22"/>
                <w:vertAlign w:val="superscript"/>
              </w:rPr>
              <w:t>TM</w:t>
            </w:r>
            <w:r>
              <w:rPr>
                <w:rFonts w:ascii="Arial" w:hAnsi="Arial" w:cs="Arial"/>
                <w:sz w:val="22"/>
                <w:szCs w:val="22"/>
              </w:rPr>
              <w:t xml:space="preserve"> device in stroke patients in the way that MTG19 currently recommends and to retreat from this clinical progress would surely alarm clinicians and patient groups alike. </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Given the factual status of the above comments, Firstkind ask that that this signposting or </w:t>
            </w:r>
            <w:r>
              <w:rPr>
                <w:rFonts w:ascii="Arial" w:hAnsi="Arial" w:cs="Arial"/>
                <w:sz w:val="22"/>
                <w:szCs w:val="22"/>
              </w:rPr>
              <w:lastRenderedPageBreak/>
              <w:t>text insertion isn’t made because it is surely a retrograde step at all levels.</w:t>
            </w:r>
          </w:p>
          <w:p w:rsidR="00E21236" w:rsidRDefault="00E21236" w:rsidP="00A417FC">
            <w:pPr>
              <w:pStyle w:val="Tabletext"/>
              <w:keepNext w:val="0"/>
              <w:rPr>
                <w:rFonts w:cs="Arial"/>
                <w:szCs w:val="22"/>
              </w:rPr>
            </w:pPr>
          </w:p>
        </w:tc>
        <w:tc>
          <w:tcPr>
            <w:tcW w:w="3827" w:type="dxa"/>
            <w:tcMar>
              <w:left w:w="57" w:type="dxa"/>
              <w:right w:w="57" w:type="dxa"/>
            </w:tcMar>
          </w:tcPr>
          <w:p w:rsidR="00E21236" w:rsidRDefault="00E21236" w:rsidP="008A371B">
            <w:pPr>
              <w:pStyle w:val="Tabletext"/>
              <w:keepNext w:val="0"/>
              <w:rPr>
                <w:rFonts w:cs="Arial"/>
                <w:szCs w:val="22"/>
              </w:rPr>
            </w:pPr>
            <w:r>
              <w:rPr>
                <w:rFonts w:cs="Arial"/>
                <w:szCs w:val="22"/>
              </w:rPr>
              <w:lastRenderedPageBreak/>
              <w:t xml:space="preserve">Thank you for your comment.  </w:t>
            </w:r>
          </w:p>
          <w:p w:rsidR="00E21236" w:rsidRDefault="00E21236" w:rsidP="008A371B">
            <w:pPr>
              <w:pStyle w:val="Tabletext"/>
              <w:keepNext w:val="0"/>
              <w:rPr>
                <w:rFonts w:cs="Arial"/>
                <w:szCs w:val="22"/>
              </w:rPr>
            </w:pPr>
            <w:r>
              <w:rPr>
                <w:rFonts w:cs="Arial"/>
                <w:szCs w:val="22"/>
              </w:rPr>
              <w:t xml:space="preserve">Medical technology guidance and clinical guidelines rely on different methodologies as detailed in </w:t>
            </w:r>
            <w:hyperlink r:id="rId8" w:history="1">
              <w:r w:rsidRPr="00871F11">
                <w:rPr>
                  <w:rStyle w:val="Hyperlink"/>
                  <w:rFonts w:cs="Arial"/>
                  <w:szCs w:val="22"/>
                </w:rPr>
                <w:t>https://www.nice.org.uk/article/pmg6/chapter/1%20introduction</w:t>
              </w:r>
            </w:hyperlink>
            <w:r>
              <w:rPr>
                <w:rFonts w:cs="Arial"/>
                <w:szCs w:val="22"/>
              </w:rPr>
              <w:t xml:space="preserve"> and </w:t>
            </w:r>
            <w:hyperlink r:id="rId9" w:history="1">
              <w:r w:rsidRPr="00871F11">
                <w:rPr>
                  <w:rStyle w:val="Hyperlink"/>
                  <w:rFonts w:cs="Arial"/>
                  <w:szCs w:val="22"/>
                </w:rPr>
                <w:t>https://www.nice.org.uk/Media/Default/About/what-we-do/NICE-guidance/NICE-medical-technologies/Medical-technologies-</w:t>
              </w:r>
              <w:r w:rsidRPr="00871F11">
                <w:rPr>
                  <w:rStyle w:val="Hyperlink"/>
                  <w:rFonts w:cs="Arial"/>
                  <w:szCs w:val="22"/>
                </w:rPr>
                <w:lastRenderedPageBreak/>
                <w:t>evaluation-programme-methods-guide.pdf</w:t>
              </w:r>
            </w:hyperlink>
            <w:r>
              <w:rPr>
                <w:rFonts w:cs="Arial"/>
                <w:szCs w:val="22"/>
              </w:rPr>
              <w:t xml:space="preserve">.  </w:t>
            </w:r>
          </w:p>
          <w:p w:rsidR="00E21236" w:rsidRDefault="00E21236" w:rsidP="008A371B">
            <w:pPr>
              <w:pStyle w:val="Tabletext"/>
              <w:keepNext w:val="0"/>
              <w:rPr>
                <w:rFonts w:cs="Arial"/>
                <w:szCs w:val="22"/>
              </w:rPr>
            </w:pPr>
            <w:r>
              <w:rPr>
                <w:rFonts w:cs="Arial"/>
                <w:szCs w:val="22"/>
              </w:rPr>
              <w:t xml:space="preserve">NICE signposts relevant related guidance which can impact on a care pathway.  </w:t>
            </w:r>
          </w:p>
          <w:p w:rsidR="00E21236" w:rsidRDefault="00E21236" w:rsidP="008A371B">
            <w:pPr>
              <w:pStyle w:val="Tabletext"/>
              <w:keepNext w:val="0"/>
              <w:rPr>
                <w:rFonts w:cs="Arial"/>
                <w:szCs w:val="22"/>
              </w:rPr>
            </w:pPr>
            <w:r>
              <w:rPr>
                <w:rFonts w:cs="Arial"/>
                <w:szCs w:val="22"/>
              </w:rPr>
              <w:t xml:space="preserve">CG92 is currently being updated and prospective stakeholders should register on the NICE website </w:t>
            </w:r>
          </w:p>
          <w:p w:rsidR="00E21236" w:rsidRPr="004E5F5E" w:rsidRDefault="00E21236">
            <w:pPr>
              <w:pStyle w:val="Tabletext"/>
              <w:keepNext w:val="0"/>
              <w:rPr>
                <w:rFonts w:cs="Arial"/>
                <w:szCs w:val="22"/>
              </w:rPr>
            </w:pPr>
            <w:r>
              <w:rPr>
                <w:rFonts w:cs="Arial"/>
                <w:szCs w:val="22"/>
              </w:rPr>
              <w:t>Appendix 1 of the review proposal describes the options after guidance has been reviewed; it does not include text used to signpost users to related NICE guidance.</w:t>
            </w:r>
            <w:r w:rsidDel="00017859">
              <w:rPr>
                <w:rFonts w:cs="Arial"/>
                <w:szCs w:val="22"/>
              </w:rPr>
              <w:t xml:space="preserve">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Pr>
                <w:rFonts w:cs="Arial"/>
                <w:szCs w:val="22"/>
              </w:rPr>
              <w:t>1.1 and 1.2 in recommendation 3</w:t>
            </w:r>
          </w:p>
        </w:tc>
        <w:tc>
          <w:tcPr>
            <w:tcW w:w="8831" w:type="dxa"/>
            <w:tcMar>
              <w:left w:w="57" w:type="dxa"/>
              <w:right w:w="57" w:type="dxa"/>
            </w:tcMar>
          </w:tcPr>
          <w:p w:rsidR="00E21236" w:rsidRPr="004E5F5E" w:rsidRDefault="00E21236" w:rsidP="00A417FC">
            <w:pPr>
              <w:pStyle w:val="Tabletext"/>
              <w:keepNext w:val="0"/>
              <w:rPr>
                <w:rFonts w:cs="Arial"/>
                <w:szCs w:val="22"/>
              </w:rPr>
            </w:pPr>
            <w:r>
              <w:rPr>
                <w:rFonts w:cs="Arial"/>
                <w:szCs w:val="22"/>
              </w:rPr>
              <w:t>This area of recommendation is supportive of using the Geko for stroke patient when other means of VTE prophylaxis are contraindicated</w:t>
            </w: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t xml:space="preserve">Thank you for your comment.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Default="00E21236" w:rsidP="00A417FC">
            <w:pPr>
              <w:pStyle w:val="Tabletext"/>
              <w:keepNext w:val="0"/>
              <w:rPr>
                <w:rFonts w:cs="Arial"/>
                <w:szCs w:val="22"/>
              </w:rPr>
            </w:pPr>
            <w:r>
              <w:rPr>
                <w:rFonts w:cs="Arial"/>
                <w:szCs w:val="22"/>
              </w:rPr>
              <w:t>3</w:t>
            </w:r>
          </w:p>
        </w:tc>
        <w:tc>
          <w:tcPr>
            <w:tcW w:w="8831" w:type="dxa"/>
            <w:tcMar>
              <w:left w:w="57" w:type="dxa"/>
              <w:right w:w="57" w:type="dxa"/>
            </w:tcMar>
          </w:tcPr>
          <w:p w:rsidR="00E21236" w:rsidRDefault="00E21236" w:rsidP="0075083A">
            <w:pPr>
              <w:rPr>
                <w:rFonts w:ascii="Arial" w:hAnsi="Arial" w:cs="Arial"/>
                <w:sz w:val="22"/>
                <w:szCs w:val="22"/>
              </w:rPr>
            </w:pPr>
            <w:r w:rsidRPr="001B44CD">
              <w:rPr>
                <w:rFonts w:ascii="Arial" w:hAnsi="Arial" w:cs="Arial"/>
                <w:sz w:val="22"/>
                <w:szCs w:val="22"/>
              </w:rPr>
              <w:t>Firstkind understand that the 2</w:t>
            </w:r>
            <w:r w:rsidRPr="001B44CD">
              <w:rPr>
                <w:rFonts w:ascii="Arial" w:hAnsi="Arial" w:cs="Arial"/>
                <w:sz w:val="22"/>
                <w:szCs w:val="22"/>
                <w:vertAlign w:val="superscript"/>
              </w:rPr>
              <w:t>nd</w:t>
            </w:r>
            <w:r w:rsidRPr="001B44CD">
              <w:rPr>
                <w:rFonts w:ascii="Arial" w:hAnsi="Arial" w:cs="Arial"/>
                <w:sz w:val="22"/>
                <w:szCs w:val="22"/>
              </w:rPr>
              <w:t xml:space="preserve"> paragraph of the consultation recommendation</w:t>
            </w:r>
            <w:r>
              <w:rPr>
                <w:rFonts w:ascii="Arial" w:hAnsi="Arial" w:cs="Arial"/>
                <w:sz w:val="22"/>
                <w:szCs w:val="22"/>
              </w:rPr>
              <w:t xml:space="preserve"> in section 1 will result in a signposting/text insertion (which Firstkind would prefer not to happen as explained above).</w:t>
            </w:r>
          </w:p>
          <w:p w:rsidR="00E21236" w:rsidRDefault="00E21236" w:rsidP="0075083A">
            <w:pPr>
              <w:rPr>
                <w:rFonts w:ascii="Arial" w:hAnsi="Arial" w:cs="Arial"/>
                <w:sz w:val="22"/>
                <w:szCs w:val="22"/>
              </w:rPr>
            </w:pPr>
          </w:p>
          <w:p w:rsidR="00E21236" w:rsidRDefault="00E21236" w:rsidP="0075083A">
            <w:pPr>
              <w:rPr>
                <w:rFonts w:ascii="Arial" w:hAnsi="Arial" w:cs="Arial"/>
                <w:sz w:val="22"/>
                <w:szCs w:val="22"/>
              </w:rPr>
            </w:pPr>
            <w:r>
              <w:rPr>
                <w:rFonts w:ascii="Arial" w:hAnsi="Arial" w:cs="Arial"/>
                <w:sz w:val="22"/>
                <w:szCs w:val="22"/>
              </w:rPr>
              <w:t xml:space="preserve">If it is intended that an </w:t>
            </w:r>
            <w:r w:rsidRPr="001B44CD">
              <w:rPr>
                <w:rFonts w:ascii="Arial" w:hAnsi="Arial" w:cs="Arial"/>
                <w:sz w:val="22"/>
                <w:szCs w:val="22"/>
              </w:rPr>
              <w:t xml:space="preserve">amendment </w:t>
            </w:r>
            <w:r>
              <w:rPr>
                <w:rFonts w:ascii="Arial" w:hAnsi="Arial" w:cs="Arial"/>
                <w:sz w:val="22"/>
                <w:szCs w:val="22"/>
              </w:rPr>
              <w:t xml:space="preserve">is also made </w:t>
            </w:r>
            <w:r w:rsidRPr="001B44CD">
              <w:rPr>
                <w:rFonts w:ascii="Arial" w:hAnsi="Arial" w:cs="Arial"/>
                <w:sz w:val="22"/>
                <w:szCs w:val="22"/>
              </w:rPr>
              <w:t>to the current MTG19 guidance</w:t>
            </w:r>
            <w:r>
              <w:rPr>
                <w:rFonts w:ascii="Arial" w:hAnsi="Arial" w:cs="Arial"/>
                <w:sz w:val="22"/>
                <w:szCs w:val="22"/>
              </w:rPr>
              <w:t xml:space="preserve"> recommendation which is scribed in section 3 (which isn’t clear from the consultation proposal), then Firstkind would use the same argumentation outlined in 2 above and ask that the current recommendations remain unchanged.</w:t>
            </w:r>
          </w:p>
          <w:p w:rsidR="00E21236" w:rsidRDefault="00E21236" w:rsidP="0075083A">
            <w:pPr>
              <w:rPr>
                <w:rFonts w:ascii="Arial" w:hAnsi="Arial" w:cs="Arial"/>
                <w:sz w:val="22"/>
                <w:szCs w:val="22"/>
              </w:rPr>
            </w:pPr>
            <w:r>
              <w:rPr>
                <w:rFonts w:ascii="Arial" w:hAnsi="Arial" w:cs="Arial"/>
                <w:sz w:val="22"/>
                <w:szCs w:val="22"/>
              </w:rPr>
              <w:t xml:space="preserve"> </w:t>
            </w:r>
          </w:p>
          <w:p w:rsidR="00E21236" w:rsidRDefault="00E21236" w:rsidP="0075083A">
            <w:pPr>
              <w:rPr>
                <w:rFonts w:cs="Arial"/>
                <w:szCs w:val="22"/>
              </w:rPr>
            </w:pPr>
            <w:r>
              <w:rPr>
                <w:rFonts w:ascii="Arial" w:hAnsi="Arial" w:cs="Arial"/>
                <w:sz w:val="22"/>
                <w:szCs w:val="22"/>
              </w:rPr>
              <w:t xml:space="preserve">The market values the generic nature of the current MTG19 recommendations. It facilitates the objective of giving all hospitalised patients DVT prophylaxis 100% of the time. However, if this consultation is seeking to remove the </w:t>
            </w:r>
            <w:r w:rsidRPr="001B44CD">
              <w:rPr>
                <w:rFonts w:ascii="Arial" w:hAnsi="Arial" w:cs="Arial"/>
                <w:sz w:val="22"/>
                <w:szCs w:val="22"/>
              </w:rPr>
              <w:t>generic simplicity of MTG19 which</w:t>
            </w:r>
            <w:r>
              <w:rPr>
                <w:rFonts w:ascii="Arial" w:hAnsi="Arial" w:cs="Arial"/>
                <w:sz w:val="22"/>
                <w:szCs w:val="22"/>
              </w:rPr>
              <w:t xml:space="preserve"> currently</w:t>
            </w:r>
            <w:r w:rsidRPr="001B44CD">
              <w:rPr>
                <w:rFonts w:ascii="Arial" w:hAnsi="Arial" w:cs="Arial"/>
                <w:sz w:val="22"/>
                <w:szCs w:val="22"/>
              </w:rPr>
              <w:t xml:space="preserve"> recommends the geko </w:t>
            </w:r>
            <w:r w:rsidRPr="001B44CD">
              <w:rPr>
                <w:rFonts w:ascii="Arial" w:hAnsi="Arial" w:cs="Arial"/>
                <w:sz w:val="22"/>
                <w:szCs w:val="22"/>
                <w:vertAlign w:val="superscript"/>
              </w:rPr>
              <w:t xml:space="preserve">TM </w:t>
            </w:r>
            <w:r w:rsidRPr="001B44CD">
              <w:rPr>
                <w:rFonts w:ascii="Arial" w:hAnsi="Arial" w:cs="Arial"/>
                <w:sz w:val="22"/>
                <w:szCs w:val="22"/>
              </w:rPr>
              <w:t>device for</w:t>
            </w:r>
            <w:r w:rsidRPr="00E85C3C">
              <w:rPr>
                <w:rFonts w:ascii="Arial" w:hAnsi="Arial" w:cs="Arial"/>
                <w:sz w:val="22"/>
                <w:szCs w:val="22"/>
                <w:u w:val="single"/>
              </w:rPr>
              <w:t xml:space="preserve"> all</w:t>
            </w:r>
            <w:r>
              <w:rPr>
                <w:rFonts w:ascii="Arial" w:hAnsi="Arial" w:cs="Arial"/>
                <w:sz w:val="22"/>
                <w:szCs w:val="22"/>
              </w:rPr>
              <w:t xml:space="preserve"> </w:t>
            </w:r>
            <w:r w:rsidRPr="001B44CD">
              <w:rPr>
                <w:rFonts w:ascii="Arial" w:hAnsi="Arial" w:cs="Arial"/>
                <w:sz w:val="22"/>
                <w:szCs w:val="22"/>
              </w:rPr>
              <w:t>hospital patient</w:t>
            </w:r>
            <w:r>
              <w:rPr>
                <w:rFonts w:ascii="Arial" w:hAnsi="Arial" w:cs="Arial"/>
                <w:sz w:val="22"/>
                <w:szCs w:val="22"/>
              </w:rPr>
              <w:t>s and isolate stroke patients then Firstkind believe, for the reasons given above, that this would be a regressive, confusing and based on the available evidence an unjustified development.</w:t>
            </w:r>
          </w:p>
        </w:tc>
        <w:tc>
          <w:tcPr>
            <w:tcW w:w="3827" w:type="dxa"/>
            <w:tcMar>
              <w:left w:w="57" w:type="dxa"/>
              <w:right w:w="57" w:type="dxa"/>
            </w:tcMar>
          </w:tcPr>
          <w:p w:rsidR="00E21236" w:rsidRPr="004E5F5E" w:rsidRDefault="00E21236" w:rsidP="00FD5F83">
            <w:pPr>
              <w:pStyle w:val="Tabletext"/>
              <w:keepNext w:val="0"/>
              <w:rPr>
                <w:rFonts w:cs="Arial"/>
                <w:szCs w:val="22"/>
              </w:rPr>
            </w:pPr>
            <w:r>
              <w:rPr>
                <w:rFonts w:cs="Arial"/>
                <w:szCs w:val="22"/>
              </w:rPr>
              <w:t>Thank you for your comment.  There are no changes to the recommendations reproduced  in section 3.  The signposting will use standard text which helps users find related guidance.</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Default="00E21236" w:rsidP="00A417FC">
            <w:pPr>
              <w:pStyle w:val="Tabletext"/>
              <w:keepNext w:val="0"/>
              <w:rPr>
                <w:rFonts w:cs="Arial"/>
                <w:szCs w:val="22"/>
              </w:rPr>
            </w:pPr>
            <w:r>
              <w:rPr>
                <w:rFonts w:cs="Arial"/>
                <w:szCs w:val="22"/>
              </w:rPr>
              <w:t>4</w:t>
            </w:r>
          </w:p>
        </w:tc>
        <w:tc>
          <w:tcPr>
            <w:tcW w:w="8831" w:type="dxa"/>
            <w:tcMar>
              <w:left w:w="57" w:type="dxa"/>
              <w:right w:w="57" w:type="dxa"/>
            </w:tcMar>
          </w:tcPr>
          <w:p w:rsidR="00E21236" w:rsidRDefault="00E21236" w:rsidP="00A417FC">
            <w:pPr>
              <w:pStyle w:val="Tabletext"/>
              <w:keepNext w:val="0"/>
              <w:rPr>
                <w:rFonts w:cs="Arial"/>
                <w:szCs w:val="22"/>
              </w:rPr>
            </w:pPr>
            <w:r>
              <w:rPr>
                <w:rFonts w:cs="Arial"/>
                <w:szCs w:val="22"/>
              </w:rPr>
              <w:t>This section suggests that Appendix 1 contains a list of signposting options/text that would appear on the MTG19 landing page but it doesn’t appear to do so?</w:t>
            </w:r>
          </w:p>
        </w:tc>
        <w:tc>
          <w:tcPr>
            <w:tcW w:w="3827" w:type="dxa"/>
            <w:tcMar>
              <w:left w:w="57" w:type="dxa"/>
              <w:right w:w="57" w:type="dxa"/>
            </w:tcMar>
          </w:tcPr>
          <w:p w:rsidR="00E21236" w:rsidRPr="004E5F5E" w:rsidRDefault="00E21236" w:rsidP="00AE1FAC">
            <w:pPr>
              <w:pStyle w:val="Tabletext"/>
              <w:keepNext w:val="0"/>
              <w:rPr>
                <w:rFonts w:cs="Arial"/>
                <w:szCs w:val="22"/>
              </w:rPr>
            </w:pPr>
            <w:r>
              <w:rPr>
                <w:rFonts w:cs="Arial"/>
                <w:szCs w:val="22"/>
              </w:rPr>
              <w:t xml:space="preserve">Thank you for your comment.  </w:t>
            </w:r>
            <w:r w:rsidRPr="00A84A66">
              <w:rPr>
                <w:rFonts w:cs="Arial"/>
                <w:szCs w:val="22"/>
              </w:rPr>
              <w:t xml:space="preserve">Appendix 1 </w:t>
            </w:r>
            <w:r>
              <w:rPr>
                <w:rFonts w:cs="Arial"/>
                <w:szCs w:val="22"/>
              </w:rPr>
              <w:t xml:space="preserve">contains the options for medical technology reviews as ascribed in the addendum (see link).  </w:t>
            </w:r>
            <w:hyperlink r:id="rId10" w:history="1">
              <w:r w:rsidRPr="00871F11">
                <w:rPr>
                  <w:rStyle w:val="Hyperlink"/>
                  <w:rFonts w:cs="Arial"/>
                  <w:szCs w:val="22"/>
                </w:rPr>
                <w:t>https://www.nice.org.uk/Media/Default/About/what-we-do/NICE-guidance/NICE-medical-technologies/MTEP-Interim-addendum-guidance-review.pdf</w:t>
              </w:r>
            </w:hyperlink>
            <w:r>
              <w:rPr>
                <w:rFonts w:cs="Arial"/>
                <w:szCs w:val="22"/>
              </w:rPr>
              <w:t xml:space="preserve"> </w:t>
            </w:r>
            <w:r w:rsidRPr="00A84A66">
              <w:rPr>
                <w:rFonts w:cs="Arial"/>
                <w:szCs w:val="22"/>
              </w:rPr>
              <w:t xml:space="preserve">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Default="00E21236" w:rsidP="00A417FC">
            <w:pPr>
              <w:pStyle w:val="Tabletext"/>
              <w:keepNext w:val="0"/>
              <w:rPr>
                <w:rFonts w:cs="Arial"/>
                <w:szCs w:val="22"/>
              </w:rPr>
            </w:pPr>
            <w:r>
              <w:rPr>
                <w:rFonts w:cs="Arial"/>
                <w:szCs w:val="22"/>
              </w:rPr>
              <w:t>6.1</w:t>
            </w:r>
          </w:p>
        </w:tc>
        <w:tc>
          <w:tcPr>
            <w:tcW w:w="8831" w:type="dxa"/>
            <w:tcMar>
              <w:left w:w="57" w:type="dxa"/>
              <w:right w:w="57" w:type="dxa"/>
            </w:tcMar>
          </w:tcPr>
          <w:p w:rsidR="00E21236" w:rsidRDefault="00E21236" w:rsidP="00A417FC">
            <w:pPr>
              <w:pStyle w:val="Tabletext"/>
              <w:keepNext w:val="0"/>
              <w:rPr>
                <w:rFonts w:cs="Arial"/>
                <w:szCs w:val="22"/>
              </w:rPr>
            </w:pPr>
            <w:r>
              <w:rPr>
                <w:rFonts w:cs="Arial"/>
                <w:szCs w:val="22"/>
              </w:rPr>
              <w:t>The section refers to geko</w:t>
            </w:r>
            <w:r>
              <w:rPr>
                <w:rFonts w:cs="Arial"/>
                <w:szCs w:val="22"/>
                <w:vertAlign w:val="superscript"/>
              </w:rPr>
              <w:t>TM</w:t>
            </w:r>
            <w:r>
              <w:rPr>
                <w:rFonts w:cs="Arial"/>
                <w:szCs w:val="22"/>
              </w:rPr>
              <w:t xml:space="preserve"> plus. This is an error, the second generation device currently sold to NHS England is named the geko </w:t>
            </w:r>
            <w:r>
              <w:rPr>
                <w:rFonts w:cs="Arial"/>
                <w:szCs w:val="22"/>
                <w:vertAlign w:val="superscript"/>
              </w:rPr>
              <w:t xml:space="preserve">TM </w:t>
            </w:r>
            <w:r>
              <w:rPr>
                <w:rFonts w:cs="Arial"/>
                <w:szCs w:val="22"/>
              </w:rPr>
              <w:t>device T-2 which as described in the information request update which was submitted by Firstkind, as requested by NICE, in January 2016</w:t>
            </w: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t xml:space="preserve">Thank you for your comment.  This has now been amended.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Pr>
                <w:rFonts w:cs="Arial"/>
                <w:szCs w:val="22"/>
              </w:rPr>
              <w:t>6.2 clinical practice</w:t>
            </w:r>
          </w:p>
        </w:tc>
        <w:tc>
          <w:tcPr>
            <w:tcW w:w="8831" w:type="dxa"/>
            <w:tcMar>
              <w:left w:w="57" w:type="dxa"/>
              <w:right w:w="57" w:type="dxa"/>
            </w:tcMar>
          </w:tcPr>
          <w:p w:rsidR="00E21236" w:rsidRPr="004E5F5E" w:rsidRDefault="00E21236" w:rsidP="00A417FC">
            <w:pPr>
              <w:pStyle w:val="Tabletext"/>
              <w:keepNext w:val="0"/>
              <w:rPr>
                <w:rFonts w:cs="Arial"/>
                <w:szCs w:val="22"/>
              </w:rPr>
            </w:pPr>
            <w:r>
              <w:rPr>
                <w:rFonts w:cs="Arial"/>
                <w:szCs w:val="22"/>
              </w:rPr>
              <w:t>The narrative is confusing as initially it stated that Geko can only be offered to stroke patients only in the context of research. The last paragraph is in line with using the Geko when other means are contraindicated. This is also in line with the final summary of the recommendation. It is of concern if NICE decision is to deny the stroke patients who are  one of of the highest VTE risk groups, prophylaxis with GEKO when other modalities are contraindicated. This is despite the fact that NICE in the recommendation that GEKO got enough evidence to support it as a robust VTE propyhlaxis device</w:t>
            </w:r>
          </w:p>
        </w:tc>
        <w:tc>
          <w:tcPr>
            <w:tcW w:w="3827" w:type="dxa"/>
            <w:tcMar>
              <w:left w:w="57" w:type="dxa"/>
              <w:right w:w="57" w:type="dxa"/>
            </w:tcMar>
          </w:tcPr>
          <w:p w:rsidR="00E21236" w:rsidRDefault="00E21236" w:rsidP="00AE1FAC">
            <w:pPr>
              <w:pStyle w:val="Tabletext"/>
              <w:keepNext w:val="0"/>
              <w:rPr>
                <w:rFonts w:cs="Arial"/>
                <w:szCs w:val="22"/>
              </w:rPr>
            </w:pPr>
            <w:r>
              <w:rPr>
                <w:rFonts w:cs="Arial"/>
                <w:szCs w:val="22"/>
              </w:rPr>
              <w:t xml:space="preserve">Thank you for your comment.  </w:t>
            </w:r>
          </w:p>
          <w:p w:rsidR="00E21236" w:rsidRDefault="00E21236" w:rsidP="00AE1FAC">
            <w:pPr>
              <w:pStyle w:val="Tabletext"/>
              <w:keepNext w:val="0"/>
              <w:rPr>
                <w:rFonts w:cs="Arial"/>
                <w:szCs w:val="22"/>
              </w:rPr>
            </w:pPr>
            <w:r>
              <w:rPr>
                <w:rFonts w:cs="Arial"/>
                <w:szCs w:val="22"/>
              </w:rPr>
              <w:t xml:space="preserve">Medical technology guidance and clinical guidelines rely on different methodologies as detailed in </w:t>
            </w:r>
            <w:hyperlink r:id="rId11" w:history="1">
              <w:r w:rsidRPr="00871F11">
                <w:rPr>
                  <w:rStyle w:val="Hyperlink"/>
                  <w:rFonts w:cs="Arial"/>
                  <w:szCs w:val="22"/>
                </w:rPr>
                <w:t>https://www.nice.org.uk/article/pmg6/chapter/1%20introduction</w:t>
              </w:r>
            </w:hyperlink>
            <w:r>
              <w:rPr>
                <w:rFonts w:cs="Arial"/>
                <w:szCs w:val="22"/>
              </w:rPr>
              <w:t xml:space="preserve"> and </w:t>
            </w:r>
            <w:hyperlink r:id="rId12" w:history="1">
              <w:r w:rsidRPr="00871F11">
                <w:rPr>
                  <w:rStyle w:val="Hyperlink"/>
                  <w:rFonts w:cs="Arial"/>
                  <w:szCs w:val="22"/>
                </w:rPr>
                <w:t>https://www.nice.org.uk/Media/Default/About/what-we-do/NICE-guidance/NICE-medical-technologies/Medical-technologies-evaluation-programme-methods-guide.pdf</w:t>
              </w:r>
            </w:hyperlink>
            <w:r>
              <w:rPr>
                <w:rFonts w:cs="Arial"/>
                <w:szCs w:val="22"/>
              </w:rPr>
              <w:t xml:space="preserve">.  </w:t>
            </w:r>
          </w:p>
          <w:p w:rsidR="00E21236" w:rsidRPr="004E5F5E" w:rsidRDefault="00E21236" w:rsidP="00A417FC">
            <w:pPr>
              <w:pStyle w:val="Tabletext"/>
              <w:keepNext w:val="0"/>
              <w:rPr>
                <w:rFonts w:cs="Arial"/>
                <w:szCs w:val="22"/>
              </w:rPr>
            </w:pPr>
            <w:r>
              <w:rPr>
                <w:rFonts w:cs="Arial"/>
                <w:szCs w:val="22"/>
              </w:rPr>
              <w:t xml:space="preserve">CG92 is currently being updated; any issues relating to the recommendations of CG92 can be submitted as part of this process.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384650">
            <w:pPr>
              <w:pStyle w:val="Tabletext"/>
              <w:keepNext w:val="0"/>
              <w:rPr>
                <w:rFonts w:cs="Arial"/>
                <w:iCs/>
                <w:szCs w:val="22"/>
              </w:rPr>
            </w:pPr>
            <w:r>
              <w:rPr>
                <w:rFonts w:cs="Arial"/>
                <w:iCs/>
                <w:szCs w:val="22"/>
              </w:rPr>
              <w:t>6.2</w:t>
            </w:r>
          </w:p>
        </w:tc>
        <w:tc>
          <w:tcPr>
            <w:tcW w:w="8831" w:type="dxa"/>
            <w:tcMar>
              <w:left w:w="57" w:type="dxa"/>
              <w:right w:w="57" w:type="dxa"/>
            </w:tcMar>
          </w:tcPr>
          <w:p w:rsidR="00E21236" w:rsidRDefault="00E21236" w:rsidP="00384650">
            <w:pPr>
              <w:rPr>
                <w:rFonts w:ascii="Arial" w:hAnsi="Arial" w:cs="Arial"/>
                <w:sz w:val="22"/>
                <w:szCs w:val="22"/>
              </w:rPr>
            </w:pPr>
            <w:r>
              <w:rPr>
                <w:rFonts w:ascii="Arial" w:hAnsi="Arial" w:cs="Arial"/>
                <w:sz w:val="22"/>
                <w:szCs w:val="22"/>
              </w:rPr>
              <w:t xml:space="preserve">Irrespective of the new CLOTS 3 evidence, Firstkind believe that there will always be stroke patients who cannot be compressed or cannot tolerate IPC. Indeed CLOTS 3 reported “significant increase in skin necrosis” in patients who were prescribed IPC. Anecdotally Firstkind have been told that stroke patient compliance with IPC is as low as 30%. It is these very stroke patients who would then fall-back on the current MTG19 recommendation and could be prescribed the geko </w:t>
            </w:r>
            <w:r>
              <w:rPr>
                <w:rFonts w:ascii="Arial" w:hAnsi="Arial" w:cs="Arial"/>
                <w:sz w:val="22"/>
                <w:szCs w:val="22"/>
                <w:vertAlign w:val="superscript"/>
              </w:rPr>
              <w:t>TM</w:t>
            </w:r>
            <w:r>
              <w:rPr>
                <w:rFonts w:ascii="Arial" w:hAnsi="Arial" w:cs="Arial"/>
                <w:sz w:val="22"/>
                <w:szCs w:val="22"/>
              </w:rPr>
              <w:t xml:space="preserve"> device. If this option is removed, it is inconceivable that stroke patients who are at very high risk of VTE should be left with no mechanical compression option and it was precisely for these reasons that MTG19 was originally devised and it is for these reasons that NHS England plan to and is using the geko </w:t>
            </w:r>
            <w:r>
              <w:rPr>
                <w:rFonts w:ascii="Arial" w:hAnsi="Arial" w:cs="Arial"/>
                <w:sz w:val="22"/>
                <w:szCs w:val="22"/>
                <w:vertAlign w:val="superscript"/>
              </w:rPr>
              <w:t xml:space="preserve">TM </w:t>
            </w:r>
            <w:r>
              <w:rPr>
                <w:rFonts w:ascii="Arial" w:hAnsi="Arial" w:cs="Arial"/>
                <w:sz w:val="22"/>
                <w:szCs w:val="22"/>
              </w:rPr>
              <w:t>device</w:t>
            </w:r>
            <w:r>
              <w:rPr>
                <w:rFonts w:ascii="Arial" w:hAnsi="Arial" w:cs="Arial"/>
                <w:sz w:val="22"/>
                <w:szCs w:val="22"/>
                <w:vertAlign w:val="superscript"/>
              </w:rPr>
              <w:t xml:space="preserve"> </w:t>
            </w:r>
            <w:r>
              <w:rPr>
                <w:rFonts w:ascii="Arial" w:hAnsi="Arial" w:cs="Arial"/>
                <w:sz w:val="22"/>
                <w:szCs w:val="22"/>
              </w:rPr>
              <w:t>in stroke patients.</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While the update to CG92 considered mechanical prophylaxis effect and associated health economics in stroke patients, Firstkind do not feel that this analysis is relevant to the current MTG19 review. The cost-effectiveness analysis conducted by Dennis et al. 2015 that has been referenced in CG92 is a cost-utility analysis whereas the requirements for the MTG19 process require a cost-consequence analysis. As such, a significant portion of the uncertainty in this analysis, relating to quality of life, is irrelevant to the cost-consequence analysis required for MTG19. The scale of the uncertainty in </w:t>
            </w:r>
            <w:r>
              <w:rPr>
                <w:rFonts w:ascii="Arial" w:hAnsi="Arial" w:cs="Arial"/>
                <w:sz w:val="22"/>
                <w:szCs w:val="22"/>
              </w:rPr>
              <w:lastRenderedPageBreak/>
              <w:t>Dennis et al. appears to be the main reason for excluding stroke patients from MTG19 however, excluding the uncertainty associated with quality of life would mean that the cost-consequence analysis, and associated assessment of uncertainty, previously provided by Firstkind for MTG19 would still be relevant.</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rPr>
                <w:rFonts w:ascii="Arial" w:hAnsi="Arial" w:cs="Arial"/>
                <w:sz w:val="22"/>
                <w:szCs w:val="22"/>
              </w:rPr>
            </w:pPr>
            <w:r>
              <w:rPr>
                <w:rFonts w:ascii="Arial" w:hAnsi="Arial" w:cs="Arial"/>
                <w:sz w:val="22"/>
                <w:szCs w:val="22"/>
              </w:rPr>
              <w:t>Further to this, the Dennis et al. cost-effectiveness study does not meet the NICE reference case, as specified in the NICE Guide to the methods of technology appraisal 2013. Specifically the analysis fails to consider an appropriate time-horizon. The analysis is limited to the trial time-horizon of six months and therefore fails to capture costs and impact on quality of life associated with some of the consequences of the DVT. These long-term consequences were considered in the analysis provided by Firstkind for MTG19, were accepted by the committee and as such Firstkind feel it is still appropriate.</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rPr>
                <w:rFonts w:ascii="Arial" w:hAnsi="Arial" w:cs="Arial"/>
                <w:sz w:val="22"/>
                <w:szCs w:val="22"/>
              </w:rPr>
            </w:pPr>
            <w:r>
              <w:rPr>
                <w:rFonts w:ascii="Arial" w:hAnsi="Arial" w:cs="Arial"/>
                <w:sz w:val="22"/>
                <w:szCs w:val="22"/>
              </w:rPr>
              <w:t>In terms of specific health economic considerations, section 6.2 suggests that the MTG19 cost modelling is “subject to considerable uncertainty for patients with stroke”. It should be stressed that the committee who reviewed MTG19 didn’t think that this was the case. However, Firstkind have re-examined the health economic model in respect to stroke and have modelled the CLOTS3 outcomes, this is summarised below.</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rPr>
                <w:rFonts w:ascii="Arial" w:hAnsi="Arial" w:cs="Arial"/>
                <w:sz w:val="22"/>
                <w:szCs w:val="22"/>
              </w:rPr>
            </w:pPr>
            <w:r>
              <w:rPr>
                <w:rFonts w:ascii="Arial" w:hAnsi="Arial" w:cs="Arial"/>
                <w:sz w:val="22"/>
                <w:szCs w:val="22"/>
              </w:rPr>
              <w:t>The original MTG19 cost consequence analysis is updated below to incorporate the CLOTS3 data:</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numPr>
                <w:ilvl w:val="0"/>
                <w:numId w:val="44"/>
              </w:numPr>
              <w:rPr>
                <w:rFonts w:ascii="Arial" w:hAnsi="Arial" w:cs="Arial"/>
                <w:sz w:val="22"/>
                <w:szCs w:val="22"/>
              </w:rPr>
            </w:pPr>
            <w:r>
              <w:rPr>
                <w:rFonts w:ascii="Arial" w:hAnsi="Arial" w:cs="Arial"/>
                <w:sz w:val="22"/>
                <w:szCs w:val="22"/>
              </w:rPr>
              <w:t>Reducing the baseline risk of deep vein thrombosis (DVT) with no prophylaxis from 29% for a generic population (as per MTG19) to 21% as seen in the control arm of CLOTS3</w:t>
            </w:r>
          </w:p>
          <w:p w:rsidR="00E21236" w:rsidRDefault="00E21236" w:rsidP="00384650">
            <w:pPr>
              <w:ind w:left="720"/>
              <w:rPr>
                <w:rFonts w:ascii="Arial" w:hAnsi="Arial" w:cs="Arial"/>
                <w:sz w:val="22"/>
                <w:szCs w:val="22"/>
              </w:rPr>
            </w:pPr>
          </w:p>
          <w:p w:rsidR="00E21236" w:rsidRDefault="00E21236" w:rsidP="00384650">
            <w:pPr>
              <w:numPr>
                <w:ilvl w:val="0"/>
                <w:numId w:val="44"/>
              </w:numPr>
              <w:rPr>
                <w:rFonts w:ascii="Arial" w:hAnsi="Arial" w:cs="Arial"/>
                <w:sz w:val="22"/>
                <w:szCs w:val="22"/>
              </w:rPr>
            </w:pPr>
            <w:r>
              <w:rPr>
                <w:rFonts w:ascii="Arial" w:hAnsi="Arial" w:cs="Arial"/>
                <w:sz w:val="22"/>
                <w:szCs w:val="22"/>
              </w:rPr>
              <w:t>Increasing the proportion of those DVT that are symptomatic from 20% in a generic population to 30% as per CLOTS3</w:t>
            </w:r>
          </w:p>
          <w:p w:rsidR="00E21236" w:rsidRDefault="00E21236" w:rsidP="00384650">
            <w:pPr>
              <w:rPr>
                <w:rFonts w:ascii="Arial" w:eastAsiaTheme="minorEastAsia" w:hAnsi="Arial" w:cs="Arial"/>
                <w:sz w:val="22"/>
                <w:szCs w:val="22"/>
                <w:lang w:eastAsia="ja-JP"/>
              </w:rPr>
            </w:pPr>
          </w:p>
          <w:p w:rsidR="00E21236" w:rsidRDefault="00E21236" w:rsidP="00384650">
            <w:pPr>
              <w:rPr>
                <w:rFonts w:ascii="Arial" w:hAnsi="Arial" w:cs="Arial"/>
                <w:sz w:val="22"/>
                <w:szCs w:val="22"/>
              </w:rPr>
            </w:pPr>
            <w:r>
              <w:rPr>
                <w:rFonts w:ascii="Arial" w:eastAsiaTheme="minorEastAsia" w:hAnsi="Arial" w:cs="Arial"/>
                <w:sz w:val="22"/>
                <w:szCs w:val="22"/>
                <w:lang w:eastAsia="ja-JP"/>
              </w:rPr>
              <w:t>When the above is modelled as per MTG19 the following economical outcomes result for stroke patients:</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numPr>
                <w:ilvl w:val="0"/>
                <w:numId w:val="44"/>
              </w:numPr>
              <w:rPr>
                <w:rFonts w:ascii="Arial" w:hAnsi="Arial" w:cs="Arial"/>
                <w:sz w:val="22"/>
                <w:szCs w:val="22"/>
              </w:rPr>
            </w:pPr>
            <w:r>
              <w:rPr>
                <w:rFonts w:ascii="Arial" w:hAnsi="Arial" w:cs="Arial"/>
                <w:sz w:val="22"/>
                <w:szCs w:val="22"/>
              </w:rPr>
              <w:t xml:space="preserve">If we assume </w:t>
            </w:r>
            <w:r>
              <w:rPr>
                <w:rFonts w:ascii="Arial" w:hAnsi="Arial" w:cs="Arial"/>
                <w:b/>
                <w:bCs/>
                <w:sz w:val="22"/>
                <w:szCs w:val="22"/>
              </w:rPr>
              <w:t>6 days</w:t>
            </w:r>
            <w:r>
              <w:rPr>
                <w:rFonts w:ascii="Arial" w:hAnsi="Arial" w:cs="Arial"/>
                <w:sz w:val="22"/>
                <w:szCs w:val="22"/>
              </w:rPr>
              <w:t xml:space="preserve"> of treatment and a relative risk</w:t>
            </w:r>
            <w:r>
              <w:rPr>
                <w:rFonts w:ascii="Arial" w:hAnsi="Arial" w:cs="Arial"/>
                <w:b/>
                <w:bCs/>
                <w:sz w:val="22"/>
                <w:szCs w:val="22"/>
              </w:rPr>
              <w:t xml:space="preserve"> (RR) of 0.39</w:t>
            </w:r>
            <w:r>
              <w:rPr>
                <w:rFonts w:ascii="Arial" w:hAnsi="Arial" w:cs="Arial"/>
                <w:sz w:val="22"/>
                <w:szCs w:val="22"/>
              </w:rPr>
              <w:t xml:space="preserve">, as per the MTG19 analysis, the use of the geko </w:t>
            </w:r>
            <w:r>
              <w:rPr>
                <w:rFonts w:ascii="Arial" w:hAnsi="Arial" w:cs="Arial"/>
                <w:sz w:val="22"/>
                <w:szCs w:val="22"/>
                <w:vertAlign w:val="superscript"/>
              </w:rPr>
              <w:t>TM</w:t>
            </w:r>
            <w:r>
              <w:rPr>
                <w:rFonts w:ascii="Arial" w:hAnsi="Arial" w:cs="Arial"/>
                <w:sz w:val="22"/>
                <w:szCs w:val="22"/>
              </w:rPr>
              <w:t xml:space="preserve"> device results </w:t>
            </w:r>
            <w:r>
              <w:rPr>
                <w:rFonts w:ascii="Arial" w:hAnsi="Arial" w:cs="Arial"/>
                <w:b/>
                <w:bCs/>
                <w:sz w:val="22"/>
                <w:szCs w:val="22"/>
              </w:rPr>
              <w:t>in savings of approximately £210 per patient compared to no prophylaxis</w:t>
            </w:r>
          </w:p>
          <w:p w:rsidR="00E21236" w:rsidRDefault="00E21236" w:rsidP="00384650">
            <w:pPr>
              <w:ind w:left="720"/>
              <w:rPr>
                <w:rFonts w:ascii="Arial" w:hAnsi="Arial" w:cs="Arial"/>
                <w:sz w:val="22"/>
                <w:szCs w:val="22"/>
              </w:rPr>
            </w:pPr>
            <w:r>
              <w:rPr>
                <w:rFonts w:ascii="Arial" w:hAnsi="Arial" w:cs="Arial"/>
                <w:sz w:val="22"/>
                <w:szCs w:val="22"/>
              </w:rPr>
              <w:lastRenderedPageBreak/>
              <w:t>.</w:t>
            </w:r>
          </w:p>
          <w:p w:rsidR="00E21236" w:rsidRDefault="00E21236" w:rsidP="00384650">
            <w:pPr>
              <w:numPr>
                <w:ilvl w:val="0"/>
                <w:numId w:val="44"/>
              </w:numPr>
              <w:rPr>
                <w:rFonts w:ascii="Arial" w:hAnsi="Arial" w:cs="Arial"/>
                <w:sz w:val="22"/>
                <w:szCs w:val="22"/>
              </w:rPr>
            </w:pPr>
            <w:r>
              <w:rPr>
                <w:rFonts w:ascii="Arial" w:hAnsi="Arial" w:cs="Arial"/>
                <w:sz w:val="22"/>
                <w:szCs w:val="22"/>
              </w:rPr>
              <w:t>If we increase the duration of administration of geko</w:t>
            </w:r>
            <w:r>
              <w:rPr>
                <w:rFonts w:ascii="Arial" w:hAnsi="Arial" w:cs="Arial"/>
                <w:sz w:val="22"/>
                <w:szCs w:val="22"/>
                <w:vertAlign w:val="superscript"/>
              </w:rPr>
              <w:t>TM</w:t>
            </w:r>
            <w:r>
              <w:rPr>
                <w:rFonts w:ascii="Arial" w:hAnsi="Arial" w:cs="Arial"/>
                <w:sz w:val="22"/>
                <w:szCs w:val="22"/>
              </w:rPr>
              <w:t xml:space="preserve"> device from 6 days </w:t>
            </w:r>
            <w:r>
              <w:rPr>
                <w:rFonts w:ascii="Arial" w:hAnsi="Arial" w:cs="Arial"/>
                <w:b/>
                <w:bCs/>
                <w:sz w:val="22"/>
                <w:szCs w:val="22"/>
              </w:rPr>
              <w:t>to 12 days</w:t>
            </w:r>
            <w:r>
              <w:rPr>
                <w:rFonts w:ascii="Arial" w:hAnsi="Arial" w:cs="Arial"/>
                <w:sz w:val="22"/>
                <w:szCs w:val="22"/>
              </w:rPr>
              <w:t xml:space="preserve">, the mean duration of IPC use in CLOTS3, and a </w:t>
            </w:r>
            <w:r>
              <w:rPr>
                <w:rFonts w:ascii="Arial" w:hAnsi="Arial" w:cs="Arial"/>
                <w:b/>
                <w:bCs/>
                <w:sz w:val="22"/>
                <w:szCs w:val="22"/>
              </w:rPr>
              <w:t>RR of 0.39</w:t>
            </w:r>
            <w:r>
              <w:rPr>
                <w:rFonts w:ascii="Arial" w:hAnsi="Arial" w:cs="Arial"/>
                <w:sz w:val="22"/>
                <w:szCs w:val="22"/>
              </w:rPr>
              <w:t xml:space="preserve"> then the geko </w:t>
            </w:r>
            <w:r>
              <w:rPr>
                <w:rFonts w:ascii="Arial" w:hAnsi="Arial" w:cs="Arial"/>
                <w:sz w:val="22"/>
                <w:szCs w:val="22"/>
                <w:vertAlign w:val="superscript"/>
              </w:rPr>
              <w:t>TM</w:t>
            </w:r>
            <w:r>
              <w:rPr>
                <w:rFonts w:ascii="Arial" w:hAnsi="Arial" w:cs="Arial"/>
                <w:sz w:val="22"/>
                <w:szCs w:val="22"/>
              </w:rPr>
              <w:t xml:space="preserve"> device is associated with a </w:t>
            </w:r>
            <w:r>
              <w:rPr>
                <w:rFonts w:ascii="Arial" w:hAnsi="Arial" w:cs="Arial"/>
                <w:b/>
                <w:bCs/>
                <w:sz w:val="22"/>
                <w:szCs w:val="22"/>
              </w:rPr>
              <w:t>cost saving of approximately £60 per patient compared to no prophylaxis</w:t>
            </w:r>
            <w:r>
              <w:rPr>
                <w:rFonts w:ascii="Arial" w:hAnsi="Arial" w:cs="Arial"/>
                <w:sz w:val="22"/>
                <w:szCs w:val="22"/>
              </w:rPr>
              <w:t>.</w:t>
            </w:r>
          </w:p>
          <w:p w:rsidR="00E21236" w:rsidRDefault="00E21236" w:rsidP="00384650">
            <w:pPr>
              <w:ind w:left="720"/>
              <w:rPr>
                <w:rFonts w:ascii="Arial" w:hAnsi="Arial" w:cs="Arial"/>
                <w:sz w:val="22"/>
                <w:szCs w:val="22"/>
              </w:rPr>
            </w:pPr>
          </w:p>
          <w:p w:rsidR="00E21236" w:rsidRDefault="00E21236" w:rsidP="00384650">
            <w:pPr>
              <w:numPr>
                <w:ilvl w:val="0"/>
                <w:numId w:val="44"/>
              </w:numPr>
              <w:rPr>
                <w:rFonts w:ascii="Arial" w:hAnsi="Arial" w:cs="Arial"/>
                <w:sz w:val="22"/>
                <w:szCs w:val="22"/>
              </w:rPr>
            </w:pPr>
            <w:r>
              <w:rPr>
                <w:rFonts w:ascii="Arial" w:hAnsi="Arial" w:cs="Arial"/>
                <w:sz w:val="22"/>
                <w:szCs w:val="22"/>
              </w:rPr>
              <w:t xml:space="preserve">If we assume that geko </w:t>
            </w:r>
            <w:r>
              <w:rPr>
                <w:rFonts w:ascii="Arial" w:hAnsi="Arial" w:cs="Arial"/>
                <w:sz w:val="22"/>
                <w:szCs w:val="22"/>
                <w:vertAlign w:val="superscript"/>
              </w:rPr>
              <w:t>TM</w:t>
            </w:r>
            <w:r>
              <w:rPr>
                <w:rFonts w:ascii="Arial" w:hAnsi="Arial" w:cs="Arial"/>
                <w:sz w:val="22"/>
                <w:szCs w:val="22"/>
              </w:rPr>
              <w:t xml:space="preserve"> device is equivalent to IPC in stroke and amend the RR from the 0.39, used in MTG19, </w:t>
            </w:r>
            <w:r>
              <w:rPr>
                <w:rFonts w:ascii="Arial" w:hAnsi="Arial" w:cs="Arial"/>
                <w:b/>
                <w:bCs/>
                <w:sz w:val="22"/>
                <w:szCs w:val="22"/>
              </w:rPr>
              <w:t>to 0.76</w:t>
            </w:r>
            <w:r>
              <w:rPr>
                <w:rFonts w:ascii="Arial" w:hAnsi="Arial" w:cs="Arial"/>
                <w:sz w:val="22"/>
                <w:szCs w:val="22"/>
              </w:rPr>
              <w:t xml:space="preserve">, as reported in CLOTS3, and assume a duration of administration of the geko </w:t>
            </w:r>
            <w:r>
              <w:rPr>
                <w:rFonts w:ascii="Arial" w:hAnsi="Arial" w:cs="Arial"/>
                <w:sz w:val="22"/>
                <w:szCs w:val="22"/>
                <w:vertAlign w:val="superscript"/>
              </w:rPr>
              <w:t>TM</w:t>
            </w:r>
            <w:r>
              <w:rPr>
                <w:rFonts w:ascii="Arial" w:hAnsi="Arial" w:cs="Arial"/>
                <w:sz w:val="22"/>
                <w:szCs w:val="22"/>
              </w:rPr>
              <w:t xml:space="preserve"> device of </w:t>
            </w:r>
            <w:r>
              <w:rPr>
                <w:rFonts w:ascii="Arial" w:hAnsi="Arial" w:cs="Arial"/>
                <w:b/>
                <w:bCs/>
                <w:sz w:val="22"/>
                <w:szCs w:val="22"/>
              </w:rPr>
              <w:t>6 days</w:t>
            </w:r>
            <w:r>
              <w:rPr>
                <w:rFonts w:ascii="Arial" w:hAnsi="Arial" w:cs="Arial"/>
                <w:sz w:val="22"/>
                <w:szCs w:val="22"/>
              </w:rPr>
              <w:t xml:space="preserve">, the use of </w:t>
            </w:r>
            <w:r>
              <w:rPr>
                <w:rFonts w:ascii="Arial" w:hAnsi="Arial" w:cs="Arial"/>
                <w:b/>
                <w:bCs/>
                <w:sz w:val="22"/>
                <w:szCs w:val="22"/>
              </w:rPr>
              <w:t>geko is cost-neutral</w:t>
            </w:r>
            <w:r>
              <w:rPr>
                <w:rFonts w:ascii="Arial" w:hAnsi="Arial" w:cs="Arial"/>
                <w:sz w:val="22"/>
                <w:szCs w:val="22"/>
              </w:rPr>
              <w:t xml:space="preserve"> </w:t>
            </w:r>
            <w:r>
              <w:rPr>
                <w:rFonts w:ascii="Arial" w:hAnsi="Arial" w:cs="Arial"/>
                <w:b/>
                <w:bCs/>
                <w:sz w:val="22"/>
                <w:szCs w:val="22"/>
              </w:rPr>
              <w:t>compared to no prophylaxis</w:t>
            </w:r>
            <w:r>
              <w:rPr>
                <w:rFonts w:ascii="Arial" w:hAnsi="Arial" w:cs="Arial"/>
                <w:sz w:val="22"/>
                <w:szCs w:val="22"/>
              </w:rPr>
              <w:t xml:space="preserve"> (i.e. the incremental cost of providing geko is offset by the cost savings achieved by preventing DVTs)</w:t>
            </w:r>
          </w:p>
          <w:p w:rsidR="00E21236" w:rsidRDefault="00E21236" w:rsidP="00384650">
            <w:pPr>
              <w:rPr>
                <w:rFonts w:ascii="Arial" w:hAnsi="Arial" w:cs="Arial"/>
                <w:sz w:val="22"/>
                <w:szCs w:val="22"/>
              </w:rPr>
            </w:pPr>
          </w:p>
          <w:p w:rsidR="00E21236" w:rsidRDefault="00E21236" w:rsidP="00384650">
            <w:pPr>
              <w:numPr>
                <w:ilvl w:val="0"/>
                <w:numId w:val="44"/>
              </w:numPr>
              <w:rPr>
                <w:rFonts w:ascii="Arial" w:hAnsi="Arial" w:cs="Arial"/>
                <w:sz w:val="22"/>
                <w:szCs w:val="22"/>
              </w:rPr>
            </w:pPr>
            <w:r>
              <w:rPr>
                <w:rFonts w:ascii="Arial" w:hAnsi="Arial" w:cs="Arial"/>
                <w:sz w:val="22"/>
                <w:szCs w:val="22"/>
              </w:rPr>
              <w:t xml:space="preserve">If we assume a </w:t>
            </w:r>
            <w:r>
              <w:rPr>
                <w:rFonts w:ascii="Arial" w:hAnsi="Arial" w:cs="Arial"/>
                <w:b/>
                <w:bCs/>
                <w:sz w:val="22"/>
                <w:szCs w:val="22"/>
              </w:rPr>
              <w:t>RR of 0.76</w:t>
            </w:r>
            <w:r>
              <w:rPr>
                <w:rFonts w:ascii="Arial" w:hAnsi="Arial" w:cs="Arial"/>
                <w:sz w:val="22"/>
                <w:szCs w:val="22"/>
              </w:rPr>
              <w:t xml:space="preserve"> as reported in CLOTS3 and increase the duration of administration to </w:t>
            </w:r>
            <w:r>
              <w:rPr>
                <w:rFonts w:ascii="Arial" w:hAnsi="Arial" w:cs="Arial"/>
                <w:b/>
                <w:bCs/>
                <w:sz w:val="22"/>
                <w:szCs w:val="22"/>
              </w:rPr>
              <w:t>12 days</w:t>
            </w:r>
            <w:r>
              <w:rPr>
                <w:rFonts w:ascii="Arial" w:hAnsi="Arial" w:cs="Arial"/>
                <w:sz w:val="22"/>
                <w:szCs w:val="22"/>
              </w:rPr>
              <w:t xml:space="preserve"> the geko </w:t>
            </w:r>
            <w:r>
              <w:rPr>
                <w:rFonts w:ascii="Arial" w:hAnsi="Arial" w:cs="Arial"/>
                <w:sz w:val="22"/>
                <w:szCs w:val="22"/>
                <w:vertAlign w:val="superscript"/>
              </w:rPr>
              <w:t>TM</w:t>
            </w:r>
            <w:r>
              <w:rPr>
                <w:rFonts w:ascii="Arial" w:hAnsi="Arial" w:cs="Arial"/>
                <w:sz w:val="22"/>
                <w:szCs w:val="22"/>
              </w:rPr>
              <w:t xml:space="preserve"> device is associated with an </w:t>
            </w:r>
            <w:r>
              <w:rPr>
                <w:rFonts w:ascii="Arial" w:hAnsi="Arial" w:cs="Arial"/>
                <w:b/>
                <w:bCs/>
                <w:sz w:val="22"/>
                <w:szCs w:val="22"/>
              </w:rPr>
              <w:t>incremental cost of approximately £150 per patient compared to no prophylaxis.</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The original cost-consequence analysis considered a cohort of patients at risk, including stroke patients, and was shown to be cost saving under all sensitivity analysis scenarios. While the CLOTS3 study shows that mechanical methods of prophylaxis reduce the risks of DVT, Firstkind do not feel that this would fundamentally change the analysis previously conducted for MTG19. Since no new appropriate evidence for NMES has been identified Firskind would request that the current MTG19 recommendations remain unchanged. </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rPr>
                <w:rFonts w:ascii="Arial" w:hAnsi="Arial" w:cs="Arial"/>
                <w:sz w:val="22"/>
                <w:szCs w:val="22"/>
              </w:rPr>
            </w:pPr>
            <w:r>
              <w:rPr>
                <w:rFonts w:ascii="Arial" w:hAnsi="Arial" w:cs="Arial"/>
                <w:sz w:val="22"/>
                <w:szCs w:val="22"/>
              </w:rPr>
              <w:t xml:space="preserve">In conclusion Firstkind remain convinced that the economic benefit of using the geko </w:t>
            </w:r>
            <w:r>
              <w:rPr>
                <w:rFonts w:ascii="Arial" w:hAnsi="Arial" w:cs="Arial"/>
                <w:sz w:val="22"/>
                <w:szCs w:val="22"/>
                <w:vertAlign w:val="superscript"/>
              </w:rPr>
              <w:t>TM</w:t>
            </w:r>
            <w:r>
              <w:rPr>
                <w:rFonts w:ascii="Arial" w:hAnsi="Arial" w:cs="Arial"/>
                <w:sz w:val="22"/>
                <w:szCs w:val="22"/>
              </w:rPr>
              <w:t xml:space="preserve"> device in patients whom other mechanical and pharmacological methods of prophylaxis are impractical or contraindicated, which would include stroke patients, as calculated via the required MTG19 cost-consequence model, remains compelling. </w:t>
            </w:r>
          </w:p>
          <w:p w:rsidR="00E21236" w:rsidRPr="004E5F5E" w:rsidRDefault="00E21236" w:rsidP="00384650">
            <w:pPr>
              <w:rPr>
                <w:rFonts w:cs="Arial"/>
                <w:szCs w:val="22"/>
              </w:rPr>
            </w:pPr>
          </w:p>
        </w:tc>
        <w:tc>
          <w:tcPr>
            <w:tcW w:w="3827" w:type="dxa"/>
            <w:tcMar>
              <w:left w:w="57" w:type="dxa"/>
              <w:right w:w="57" w:type="dxa"/>
            </w:tcMar>
          </w:tcPr>
          <w:p w:rsidR="00E21236" w:rsidRDefault="00E21236" w:rsidP="00AE1FAC">
            <w:pPr>
              <w:pStyle w:val="Tabletext"/>
              <w:keepNext w:val="0"/>
              <w:rPr>
                <w:rFonts w:cs="Arial"/>
                <w:szCs w:val="22"/>
              </w:rPr>
            </w:pPr>
            <w:r>
              <w:rPr>
                <w:rFonts w:cs="Arial"/>
                <w:szCs w:val="22"/>
              </w:rPr>
              <w:lastRenderedPageBreak/>
              <w:t xml:space="preserve">Thank you for your comment.  </w:t>
            </w:r>
          </w:p>
          <w:p w:rsidR="00E21236" w:rsidRDefault="00E21236" w:rsidP="00AE1FAC">
            <w:pPr>
              <w:pStyle w:val="Tabletext"/>
              <w:keepNext w:val="0"/>
              <w:rPr>
                <w:rFonts w:cs="Arial"/>
                <w:szCs w:val="22"/>
              </w:rPr>
            </w:pPr>
            <w:r>
              <w:rPr>
                <w:rFonts w:cs="Arial"/>
                <w:szCs w:val="22"/>
              </w:rPr>
              <w:t xml:space="preserve">Medical technology guidance and clinical guidelines rely on different methodologies as detailed in </w:t>
            </w:r>
            <w:hyperlink r:id="rId13" w:history="1">
              <w:r w:rsidRPr="00871F11">
                <w:rPr>
                  <w:rStyle w:val="Hyperlink"/>
                  <w:rFonts w:cs="Arial"/>
                  <w:szCs w:val="22"/>
                </w:rPr>
                <w:t>https://www.nice.org.uk/article/pmg6/chapter/1%20introduction</w:t>
              </w:r>
            </w:hyperlink>
            <w:r>
              <w:rPr>
                <w:rFonts w:cs="Arial"/>
                <w:szCs w:val="22"/>
              </w:rPr>
              <w:t xml:space="preserve"> and </w:t>
            </w:r>
            <w:hyperlink r:id="rId14" w:history="1">
              <w:r w:rsidRPr="00871F11">
                <w:rPr>
                  <w:rStyle w:val="Hyperlink"/>
                  <w:rFonts w:cs="Arial"/>
                  <w:szCs w:val="22"/>
                </w:rPr>
                <w:t>https://www.nice.org.uk/Media/Default/About/what-we-do/NICE-guidance/NICE-medical-technologies/Medical-technologies-evaluation-programme-methods-guide.pdf</w:t>
              </w:r>
            </w:hyperlink>
            <w:r>
              <w:rPr>
                <w:rFonts w:cs="Arial"/>
                <w:szCs w:val="22"/>
              </w:rPr>
              <w:t xml:space="preserve">.  </w:t>
            </w:r>
          </w:p>
          <w:p w:rsidR="00E21236" w:rsidRPr="004E5F5E" w:rsidRDefault="00E21236" w:rsidP="00A417FC">
            <w:pPr>
              <w:pStyle w:val="Tabletext"/>
              <w:keepNext w:val="0"/>
              <w:rPr>
                <w:rFonts w:cs="Arial"/>
                <w:szCs w:val="22"/>
              </w:rPr>
            </w:pP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Pr>
                <w:rFonts w:cs="Arial"/>
                <w:iCs/>
                <w:szCs w:val="22"/>
              </w:rPr>
              <w:t>6.4</w:t>
            </w:r>
          </w:p>
        </w:tc>
        <w:tc>
          <w:tcPr>
            <w:tcW w:w="8831" w:type="dxa"/>
            <w:tcMar>
              <w:left w:w="57" w:type="dxa"/>
              <w:right w:w="57" w:type="dxa"/>
            </w:tcMar>
          </w:tcPr>
          <w:p w:rsidR="00E21236" w:rsidRDefault="00E21236" w:rsidP="00384650">
            <w:pPr>
              <w:rPr>
                <w:rFonts w:ascii="Arial" w:hAnsi="Arial" w:cs="Arial"/>
                <w:sz w:val="22"/>
                <w:szCs w:val="22"/>
              </w:rPr>
            </w:pPr>
            <w:r>
              <w:rPr>
                <w:rFonts w:ascii="Arial" w:hAnsi="Arial" w:cs="Arial"/>
                <w:sz w:val="22"/>
                <w:szCs w:val="22"/>
              </w:rPr>
              <w:t>Firstkind have notified NICE that some confidential new evidence was submitted as part of this consultation process that should have been highlighted in this section and in Appendix 2.</w:t>
            </w:r>
          </w:p>
          <w:p w:rsidR="00E21236" w:rsidRDefault="00E21236" w:rsidP="00384650">
            <w:pPr>
              <w:rPr>
                <w:rFonts w:ascii="Arial" w:hAnsi="Arial" w:cs="Arial"/>
                <w:sz w:val="22"/>
                <w:szCs w:val="22"/>
              </w:rPr>
            </w:pPr>
          </w:p>
          <w:p w:rsidR="00E21236" w:rsidRPr="004E5F5E" w:rsidRDefault="00E21236" w:rsidP="00384650">
            <w:pPr>
              <w:pStyle w:val="Tabletext"/>
              <w:keepNext w:val="0"/>
              <w:rPr>
                <w:rFonts w:cs="Arial"/>
                <w:szCs w:val="22"/>
              </w:rPr>
            </w:pPr>
            <w:r>
              <w:rPr>
                <w:rFonts w:cs="Arial"/>
                <w:szCs w:val="22"/>
              </w:rPr>
              <w:t xml:space="preserve">This study by Nicolaides and Griffin examines the effect of the geko </w:t>
            </w:r>
            <w:r>
              <w:rPr>
                <w:rFonts w:cs="Arial"/>
                <w:szCs w:val="22"/>
                <w:vertAlign w:val="superscript"/>
              </w:rPr>
              <w:t xml:space="preserve">TM </w:t>
            </w:r>
            <w:r>
              <w:rPr>
                <w:rFonts w:cs="Arial"/>
                <w:szCs w:val="22"/>
              </w:rPr>
              <w:t xml:space="preserve">device on the blood flow within the deep veins of the calf, namely the gastrocnemius vein, the popliteal vein, peroneal vein and the posterior tibial vein and makes reference to the soleal vein. </w:t>
            </w:r>
            <w:r>
              <w:rPr>
                <w:rFonts w:cs="Arial"/>
                <w:szCs w:val="22"/>
              </w:rPr>
              <w:lastRenderedPageBreak/>
              <w:t xml:space="preserve">This study has demonstrated that the geko </w:t>
            </w:r>
            <w:r>
              <w:rPr>
                <w:rFonts w:cs="Arial"/>
                <w:szCs w:val="22"/>
                <w:vertAlign w:val="superscript"/>
              </w:rPr>
              <w:t xml:space="preserve">TM </w:t>
            </w:r>
            <w:r>
              <w:rPr>
                <w:rFonts w:cs="Arial"/>
                <w:szCs w:val="22"/>
              </w:rPr>
              <w:t xml:space="preserve">device enhances blood flow and velocity in the deep veins of the calf which are clinically significant in terms of early thrombus formation. It is the first time that a compression device for VTE prophylaxis (i.e. static compression such as T.E.D or dynamic compression such as IPC) has been shown to deliver this deep vein effect and this new data is strongly aligned to MTG19. Firstkind believes that this evidence substantiates MTG19 and supports the use of the geko </w:t>
            </w:r>
            <w:r>
              <w:rPr>
                <w:rFonts w:cs="Arial"/>
                <w:szCs w:val="22"/>
                <w:vertAlign w:val="superscript"/>
              </w:rPr>
              <w:t xml:space="preserve">TM </w:t>
            </w:r>
            <w:r>
              <w:rPr>
                <w:rFonts w:cs="Arial"/>
                <w:szCs w:val="22"/>
              </w:rPr>
              <w:t>device in all patients, including stroke patients who have no other VTE prophylactic option .This data can be viewed here  </w:t>
            </w:r>
            <w:hyperlink r:id="rId15" w:history="1">
              <w:r>
                <w:rPr>
                  <w:rStyle w:val="Hyperlink"/>
                  <w:rFonts w:cs="Arial"/>
                  <w:szCs w:val="22"/>
                </w:rPr>
                <w:t>http://www.gekodevices.com/en-uk/geko-video-dvt-prevention-blood-clot-prevention-/recent-videos/deep-vein-study/</w:t>
              </w:r>
            </w:hyperlink>
          </w:p>
        </w:tc>
        <w:tc>
          <w:tcPr>
            <w:tcW w:w="3827" w:type="dxa"/>
            <w:tcMar>
              <w:left w:w="57" w:type="dxa"/>
              <w:right w:w="57" w:type="dxa"/>
            </w:tcMar>
          </w:tcPr>
          <w:p w:rsidR="00E21236" w:rsidRDefault="00E21236" w:rsidP="00A417FC">
            <w:pPr>
              <w:pStyle w:val="Tabletext"/>
              <w:keepNext w:val="0"/>
              <w:rPr>
                <w:rFonts w:cs="Arial"/>
                <w:szCs w:val="22"/>
              </w:rPr>
            </w:pPr>
            <w:r>
              <w:rPr>
                <w:rFonts w:cs="Arial"/>
                <w:szCs w:val="22"/>
              </w:rPr>
              <w:lastRenderedPageBreak/>
              <w:t xml:space="preserve">Thank you for your comment.  This study has now been added to </w:t>
            </w:r>
            <w:r w:rsidR="00AD22BF">
              <w:rPr>
                <w:rFonts w:cs="Arial"/>
                <w:szCs w:val="22"/>
              </w:rPr>
              <w:t xml:space="preserve">the recent and ongoing studies table in appendix </w:t>
            </w:r>
            <w:r w:rsidR="004F5593">
              <w:rPr>
                <w:rFonts w:cs="Arial"/>
                <w:szCs w:val="22"/>
              </w:rPr>
              <w:t>2</w:t>
            </w:r>
            <w:r>
              <w:rPr>
                <w:rFonts w:cs="Arial"/>
                <w:szCs w:val="22"/>
              </w:rPr>
              <w:t xml:space="preserve">.  </w:t>
            </w:r>
          </w:p>
          <w:p w:rsidR="00E21236" w:rsidRDefault="00E21236" w:rsidP="00A417FC">
            <w:pPr>
              <w:pStyle w:val="Tabletext"/>
              <w:keepNext w:val="0"/>
              <w:rPr>
                <w:rFonts w:cs="Arial"/>
                <w:szCs w:val="22"/>
              </w:rPr>
            </w:pPr>
          </w:p>
          <w:p w:rsidR="00E21236" w:rsidRDefault="00E21236" w:rsidP="00A417FC">
            <w:pPr>
              <w:pStyle w:val="Tabletext"/>
              <w:keepNext w:val="0"/>
              <w:rPr>
                <w:rFonts w:cs="Arial"/>
                <w:szCs w:val="22"/>
              </w:rPr>
            </w:pPr>
          </w:p>
          <w:p w:rsidR="00E21236" w:rsidRPr="004E5F5E" w:rsidRDefault="00E21236" w:rsidP="00A417FC">
            <w:pPr>
              <w:pStyle w:val="Tabletext"/>
              <w:keepNext w:val="0"/>
              <w:rPr>
                <w:rFonts w:cs="Arial"/>
                <w:szCs w:val="22"/>
              </w:rPr>
            </w:pP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Pr>
                <w:rFonts w:cs="Arial"/>
                <w:iCs/>
                <w:szCs w:val="22"/>
              </w:rPr>
              <w:t>7</w:t>
            </w:r>
          </w:p>
        </w:tc>
        <w:tc>
          <w:tcPr>
            <w:tcW w:w="8831" w:type="dxa"/>
            <w:tcMar>
              <w:left w:w="57" w:type="dxa"/>
              <w:right w:w="57" w:type="dxa"/>
            </w:tcMar>
          </w:tcPr>
          <w:p w:rsidR="00E21236" w:rsidRDefault="00E21236" w:rsidP="00384650">
            <w:pPr>
              <w:rPr>
                <w:rFonts w:ascii="Arial" w:hAnsi="Arial" w:cs="Arial"/>
                <w:sz w:val="22"/>
                <w:szCs w:val="22"/>
              </w:rPr>
            </w:pPr>
            <w:r>
              <w:rPr>
                <w:rFonts w:ascii="Arial" w:hAnsi="Arial" w:cs="Arial"/>
                <w:sz w:val="22"/>
                <w:szCs w:val="22"/>
              </w:rPr>
              <w:t>Firstkind are confused by this section and it seems some text is also missing? This section says that CG92 has a stroke recommendation that should be followed but then also says that MTG19 can be used for stroke when other methods are contraindicated.</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Firstkind believe that this confusion began when CG addendum 92.1 was published and our commentary under section 2 refers. </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Finally this section refers to evidence collected in the CG 92.1 review which presumably justifies its NMES conclusion. The following is taken from the 92.1 review:</w:t>
            </w:r>
          </w:p>
          <w:p w:rsidR="00E21236" w:rsidRDefault="00E21236" w:rsidP="00384650">
            <w:pPr>
              <w:rPr>
                <w:rFonts w:ascii="Arial" w:hAnsi="Arial" w:cs="Arial"/>
                <w:sz w:val="22"/>
                <w:szCs w:val="22"/>
              </w:rPr>
            </w:pPr>
          </w:p>
          <w:p w:rsidR="00E21236" w:rsidRDefault="00E21236" w:rsidP="00384650">
            <w:pPr>
              <w:rPr>
                <w:rFonts w:ascii="Arial" w:hAnsi="Arial" w:cs="Arial"/>
                <w:i/>
                <w:iCs/>
                <w:sz w:val="22"/>
                <w:szCs w:val="22"/>
              </w:rPr>
            </w:pPr>
            <w:r>
              <w:rPr>
                <w:rFonts w:ascii="Arial" w:hAnsi="Arial" w:cs="Arial"/>
                <w:i/>
                <w:sz w:val="22"/>
                <w:szCs w:val="22"/>
              </w:rPr>
              <w:t>“…</w:t>
            </w:r>
            <w:r>
              <w:rPr>
                <w:rFonts w:ascii="Arial" w:hAnsi="Arial" w:cs="Arial"/>
                <w:i/>
                <w:iCs/>
                <w:sz w:val="22"/>
                <w:szCs w:val="22"/>
              </w:rPr>
              <w:t>no new evidence on foot impulse devices (FID) or neuromuscular electrical stimulation (NMES) devices that met the review protocol inclusion criteria despite pre-existing guidance (based on the previous GDG’s opinion only)”.</w:t>
            </w:r>
          </w:p>
          <w:p w:rsidR="00E21236" w:rsidRDefault="00E21236" w:rsidP="00384650">
            <w:pPr>
              <w:rPr>
                <w:rFonts w:ascii="Arial" w:hAnsi="Arial" w:cs="Arial"/>
                <w:i/>
                <w:iCs/>
                <w:sz w:val="22"/>
                <w:szCs w:val="22"/>
              </w:rPr>
            </w:pPr>
          </w:p>
          <w:p w:rsidR="00E21236" w:rsidRDefault="00E21236" w:rsidP="00384650">
            <w:pPr>
              <w:rPr>
                <w:rFonts w:ascii="Arial" w:hAnsi="Arial" w:cs="Arial"/>
                <w:i/>
                <w:iCs/>
                <w:sz w:val="22"/>
                <w:szCs w:val="22"/>
              </w:rPr>
            </w:pPr>
            <w:r>
              <w:rPr>
                <w:rFonts w:ascii="Arial" w:hAnsi="Arial" w:cs="Arial"/>
                <w:i/>
                <w:iCs/>
                <w:sz w:val="22"/>
                <w:szCs w:val="22"/>
              </w:rPr>
              <w:t>In the absence of new evidence, the Committee agreed that these devices should also not be recommended for VTE prevention in hospitalised stroke patients for the following reasons:</w:t>
            </w:r>
          </w:p>
          <w:p w:rsidR="00E21236" w:rsidRDefault="00E21236" w:rsidP="00384650">
            <w:pPr>
              <w:rPr>
                <w:rFonts w:ascii="Arial" w:hAnsi="Arial" w:cs="Arial"/>
                <w:i/>
                <w:iCs/>
                <w:sz w:val="22"/>
                <w:szCs w:val="22"/>
              </w:rPr>
            </w:pPr>
          </w:p>
          <w:p w:rsidR="00E21236" w:rsidRDefault="00E21236" w:rsidP="00384650">
            <w:pPr>
              <w:rPr>
                <w:rFonts w:ascii="Arial" w:hAnsi="Arial" w:cs="Arial"/>
                <w:i/>
                <w:sz w:val="22"/>
                <w:szCs w:val="22"/>
              </w:rPr>
            </w:pPr>
            <w:r>
              <w:rPr>
                <w:rFonts w:ascii="Arial" w:hAnsi="Arial" w:cs="Arial"/>
                <w:i/>
                <w:sz w:val="22"/>
                <w:szCs w:val="22"/>
              </w:rPr>
              <w:t>·        </w:t>
            </w:r>
            <w:r>
              <w:rPr>
                <w:rFonts w:ascii="Arial" w:hAnsi="Arial" w:cs="Arial"/>
                <w:i/>
                <w:iCs/>
                <w:sz w:val="22"/>
                <w:szCs w:val="22"/>
              </w:rPr>
              <w:t>One study that used a form of NMES in acute stroke patients (Pambianco et al. 1995 was reviewed in the original CG92 guidance; data was extracted but not included in this update  because the reported outcomes did not meet the review inclusion criteria - see Evidence Table in Appendix H [p.62/3] for details). The NMES treatment arm in the Pambianco (1995) study was discontinued after 6/8 patients withdrew due to discomfort and blistering. The Committee therefore do not feel a research recommendation is warranted for NMES devices for VTE prevention in this population</w:t>
            </w:r>
          </w:p>
          <w:p w:rsidR="00E21236" w:rsidRDefault="00E21236" w:rsidP="00384650">
            <w:pPr>
              <w:rPr>
                <w:rFonts w:ascii="Arial" w:hAnsi="Arial" w:cs="Arial"/>
                <w:sz w:val="22"/>
                <w:szCs w:val="22"/>
              </w:rPr>
            </w:pPr>
            <w:r>
              <w:rPr>
                <w:rFonts w:ascii="Arial" w:hAnsi="Arial" w:cs="Arial"/>
                <w:sz w:val="22"/>
                <w:szCs w:val="22"/>
              </w:rPr>
              <w:t> </w:t>
            </w:r>
          </w:p>
          <w:p w:rsidR="00E21236" w:rsidRDefault="00E21236" w:rsidP="00384650">
            <w:pPr>
              <w:rPr>
                <w:rFonts w:ascii="Arial" w:hAnsi="Arial" w:cs="Arial"/>
                <w:sz w:val="22"/>
                <w:szCs w:val="22"/>
              </w:rPr>
            </w:pPr>
            <w:r>
              <w:rPr>
                <w:rFonts w:ascii="Arial" w:hAnsi="Arial" w:cs="Arial"/>
                <w:sz w:val="22"/>
                <w:szCs w:val="22"/>
              </w:rPr>
              <w:lastRenderedPageBreak/>
              <w:t>Firstkind stress that the NMES technology used in Pambianco et al. 1995 is completely different to that of the geko</w:t>
            </w:r>
            <w:r>
              <w:rPr>
                <w:rFonts w:ascii="Arial" w:hAnsi="Arial" w:cs="Arial"/>
                <w:sz w:val="22"/>
                <w:szCs w:val="22"/>
                <w:vertAlign w:val="superscript"/>
              </w:rPr>
              <w:t xml:space="preserve"> TM</w:t>
            </w:r>
            <w:r>
              <w:rPr>
                <w:rFonts w:ascii="Arial" w:hAnsi="Arial" w:cs="Arial"/>
                <w:sz w:val="22"/>
                <w:szCs w:val="22"/>
              </w:rPr>
              <w:t xml:space="preserve"> device and completely removes the issues associated with discomfort and blistering. This issue and references such as </w:t>
            </w:r>
            <w:r>
              <w:rPr>
                <w:rFonts w:ascii="Arial" w:hAnsi="Arial" w:cs="Arial"/>
                <w:iCs/>
                <w:sz w:val="22"/>
                <w:szCs w:val="22"/>
              </w:rPr>
              <w:t>Pambianco (1995)</w:t>
            </w:r>
            <w:r>
              <w:rPr>
                <w:rFonts w:ascii="Arial" w:hAnsi="Arial" w:cs="Arial"/>
                <w:i/>
                <w:iCs/>
                <w:sz w:val="22"/>
                <w:szCs w:val="22"/>
              </w:rPr>
              <w:t xml:space="preserve"> </w:t>
            </w:r>
            <w:r>
              <w:rPr>
                <w:rFonts w:ascii="Arial" w:hAnsi="Arial" w:cs="Arial"/>
                <w:sz w:val="22"/>
                <w:szCs w:val="22"/>
              </w:rPr>
              <w:t xml:space="preserve">were debated at length in the MTG19 committee and resolved as part of the positive recommendation which the geko </w:t>
            </w:r>
            <w:r>
              <w:rPr>
                <w:rFonts w:ascii="Arial" w:hAnsi="Arial" w:cs="Arial"/>
                <w:sz w:val="22"/>
                <w:szCs w:val="22"/>
                <w:vertAlign w:val="superscript"/>
              </w:rPr>
              <w:t>TM</w:t>
            </w:r>
            <w:r>
              <w:rPr>
                <w:rFonts w:ascii="Arial" w:hAnsi="Arial" w:cs="Arial"/>
                <w:sz w:val="22"/>
                <w:szCs w:val="22"/>
              </w:rPr>
              <w:t xml:space="preserve"> device duly received.</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As such Firstkind believe it is counter-intuitive to prohibit the use of NMES in stroke patients because there is no new evidence for NMES specific to this subgroup when the previous evidence used in MTG19 was indeed sufficient to warrant geko</w:t>
            </w:r>
            <w:r>
              <w:rPr>
                <w:rFonts w:ascii="Arial" w:hAnsi="Arial" w:cs="Arial"/>
                <w:sz w:val="22"/>
                <w:szCs w:val="22"/>
                <w:vertAlign w:val="superscript"/>
              </w:rPr>
              <w:t>TM</w:t>
            </w:r>
            <w:r>
              <w:rPr>
                <w:rFonts w:ascii="Arial" w:hAnsi="Arial" w:cs="Arial"/>
                <w:sz w:val="22"/>
                <w:szCs w:val="22"/>
              </w:rPr>
              <w:t xml:space="preserve"> use in stroke patients who have no other VTE prophylaxis option available to them.</w:t>
            </w:r>
          </w:p>
          <w:p w:rsidR="00E21236" w:rsidRDefault="00E21236" w:rsidP="00384650">
            <w:pPr>
              <w:rPr>
                <w:rFonts w:ascii="Arial" w:hAnsi="Arial" w:cs="Arial"/>
                <w:sz w:val="22"/>
                <w:szCs w:val="22"/>
              </w:rPr>
            </w:pPr>
          </w:p>
          <w:p w:rsidR="00E21236" w:rsidRDefault="00E21236" w:rsidP="00384650">
            <w:pPr>
              <w:rPr>
                <w:rFonts w:ascii="Arial" w:hAnsi="Arial" w:cs="Arial"/>
                <w:sz w:val="22"/>
                <w:szCs w:val="22"/>
              </w:rPr>
            </w:pPr>
            <w:r>
              <w:rPr>
                <w:rFonts w:ascii="Arial" w:hAnsi="Arial" w:cs="Arial"/>
                <w:sz w:val="22"/>
                <w:szCs w:val="22"/>
              </w:rPr>
              <w:t xml:space="preserve">The above further supports the Firstkind position that MTG19 remains a generic fall-back position for </w:t>
            </w:r>
            <w:r>
              <w:rPr>
                <w:rFonts w:ascii="Arial" w:hAnsi="Arial" w:cs="Arial"/>
                <w:sz w:val="22"/>
                <w:szCs w:val="22"/>
                <w:u w:val="single"/>
              </w:rPr>
              <w:t>all</w:t>
            </w:r>
            <w:r>
              <w:rPr>
                <w:rFonts w:ascii="Arial" w:hAnsi="Arial" w:cs="Arial"/>
                <w:sz w:val="22"/>
                <w:szCs w:val="22"/>
              </w:rPr>
              <w:t xml:space="preserve"> patients for whom current methods of DVT prophylaxis are unsuitable, including stroke patients.</w:t>
            </w:r>
          </w:p>
          <w:p w:rsidR="00E21236" w:rsidRPr="004E5F5E" w:rsidRDefault="00E21236" w:rsidP="00384650">
            <w:pPr>
              <w:rPr>
                <w:rFonts w:cs="Arial"/>
                <w:szCs w:val="22"/>
              </w:rPr>
            </w:pPr>
          </w:p>
        </w:tc>
        <w:tc>
          <w:tcPr>
            <w:tcW w:w="3827" w:type="dxa"/>
            <w:tcMar>
              <w:left w:w="57" w:type="dxa"/>
              <w:right w:w="57" w:type="dxa"/>
            </w:tcMar>
          </w:tcPr>
          <w:p w:rsidR="00E21236" w:rsidRDefault="00E21236" w:rsidP="00A417FC">
            <w:pPr>
              <w:pStyle w:val="Tabletext"/>
              <w:keepNext w:val="0"/>
              <w:rPr>
                <w:rFonts w:cs="Arial"/>
                <w:szCs w:val="22"/>
              </w:rPr>
            </w:pPr>
            <w:r>
              <w:rPr>
                <w:rFonts w:cs="Arial"/>
                <w:szCs w:val="22"/>
              </w:rPr>
              <w:lastRenderedPageBreak/>
              <w:t xml:space="preserve">Thank you for your comment.  The relevant sentences have been amended.  </w:t>
            </w:r>
          </w:p>
          <w:p w:rsidR="00E21236" w:rsidRDefault="00E21236" w:rsidP="00AE1FAC">
            <w:pPr>
              <w:pStyle w:val="Tabletext"/>
              <w:keepNext w:val="0"/>
              <w:rPr>
                <w:rFonts w:cs="Arial"/>
                <w:szCs w:val="22"/>
              </w:rPr>
            </w:pPr>
            <w:r>
              <w:rPr>
                <w:rFonts w:cs="Arial"/>
                <w:szCs w:val="22"/>
              </w:rPr>
              <w:t xml:space="preserve">Medical technology guidance and clinical guidelines rely on different methodologies as detailed in </w:t>
            </w:r>
            <w:hyperlink r:id="rId16" w:history="1">
              <w:r w:rsidRPr="00871F11">
                <w:rPr>
                  <w:rStyle w:val="Hyperlink"/>
                  <w:rFonts w:cs="Arial"/>
                  <w:szCs w:val="22"/>
                </w:rPr>
                <w:t>https://www.nice.org.uk/article/pmg6/chapter/1%20introduction</w:t>
              </w:r>
            </w:hyperlink>
            <w:r>
              <w:rPr>
                <w:rFonts w:cs="Arial"/>
                <w:szCs w:val="22"/>
              </w:rPr>
              <w:t xml:space="preserve"> and </w:t>
            </w:r>
            <w:hyperlink r:id="rId17" w:history="1">
              <w:r w:rsidRPr="00871F11">
                <w:rPr>
                  <w:rStyle w:val="Hyperlink"/>
                  <w:rFonts w:cs="Arial"/>
                  <w:szCs w:val="22"/>
                </w:rPr>
                <w:t>https://www.nice.org.uk/Media/Default/About/what-we-do/NICE-guidance/NICE-medical-technologies/Medical-technologies-evaluation-programme-methods-guide.pdf</w:t>
              </w:r>
            </w:hyperlink>
            <w:r>
              <w:rPr>
                <w:rFonts w:cs="Arial"/>
                <w:szCs w:val="22"/>
              </w:rPr>
              <w:t xml:space="preserve">.  </w:t>
            </w:r>
          </w:p>
          <w:p w:rsidR="00E21236" w:rsidRPr="004E5F5E" w:rsidRDefault="00E21236" w:rsidP="00A417FC">
            <w:pPr>
              <w:pStyle w:val="Tabletext"/>
              <w:keepNext w:val="0"/>
              <w:rPr>
                <w:rFonts w:cs="Arial"/>
                <w:szCs w:val="22"/>
              </w:rPr>
            </w:pP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Pr>
                <w:rFonts w:cs="Arial"/>
                <w:iCs/>
                <w:szCs w:val="22"/>
              </w:rPr>
              <w:t>7</w:t>
            </w:r>
          </w:p>
        </w:tc>
        <w:tc>
          <w:tcPr>
            <w:tcW w:w="8831" w:type="dxa"/>
            <w:tcMar>
              <w:left w:w="57" w:type="dxa"/>
              <w:right w:w="57" w:type="dxa"/>
            </w:tcMar>
          </w:tcPr>
          <w:p w:rsidR="00E21236" w:rsidRDefault="00E21236" w:rsidP="008F50A9">
            <w:pPr>
              <w:rPr>
                <w:rFonts w:ascii="Arial" w:hAnsi="Arial" w:cs="Arial"/>
                <w:sz w:val="22"/>
                <w:szCs w:val="22"/>
              </w:rPr>
            </w:pPr>
            <w:r>
              <w:rPr>
                <w:rFonts w:ascii="Arial" w:hAnsi="Arial" w:cs="Arial"/>
                <w:sz w:val="22"/>
                <w:szCs w:val="22"/>
              </w:rPr>
              <w:t>First sentence is incomplete…</w:t>
            </w:r>
          </w:p>
          <w:p w:rsidR="00E21236" w:rsidRDefault="00E21236" w:rsidP="008F50A9">
            <w:pPr>
              <w:rPr>
                <w:rFonts w:ascii="Arial" w:hAnsi="Arial" w:cs="Arial"/>
                <w:sz w:val="22"/>
                <w:szCs w:val="22"/>
              </w:rPr>
            </w:pPr>
            <w:r>
              <w:rPr>
                <w:rFonts w:ascii="Arial" w:hAnsi="Arial" w:cs="Arial"/>
                <w:sz w:val="22"/>
                <w:szCs w:val="22"/>
              </w:rPr>
              <w:t xml:space="preserve">Paragraph is contradictory and doesn’t read well.  Refers to CG92 recommendations for other mechanical devices for stroke, then refers to  MTG19 population which ‘includes, but is not limited to some people who have had a stroke’ . Confusing and needs clarification </w:t>
            </w:r>
          </w:p>
          <w:p w:rsidR="00E21236" w:rsidRDefault="00E21236" w:rsidP="00FE3D86">
            <w:pPr>
              <w:rPr>
                <w:rFonts w:ascii="Arial" w:hAnsi="Arial" w:cs="Arial"/>
                <w:sz w:val="22"/>
                <w:szCs w:val="22"/>
              </w:rPr>
            </w:pPr>
          </w:p>
        </w:tc>
        <w:tc>
          <w:tcPr>
            <w:tcW w:w="3827" w:type="dxa"/>
            <w:tcMar>
              <w:left w:w="57" w:type="dxa"/>
              <w:right w:w="57" w:type="dxa"/>
            </w:tcMar>
          </w:tcPr>
          <w:p w:rsidR="00E21236" w:rsidRDefault="00E21236" w:rsidP="00AE1FAC">
            <w:pPr>
              <w:pStyle w:val="Tabletext"/>
              <w:keepNext w:val="0"/>
              <w:rPr>
                <w:rFonts w:cs="Arial"/>
                <w:szCs w:val="22"/>
              </w:rPr>
            </w:pPr>
            <w:r>
              <w:rPr>
                <w:rFonts w:cs="Arial"/>
                <w:szCs w:val="22"/>
              </w:rPr>
              <w:t xml:space="preserve">Thank you for your comment.  The first sentence has been amended.  </w:t>
            </w:r>
          </w:p>
          <w:p w:rsidR="00E21236" w:rsidRPr="004E5F5E" w:rsidRDefault="00E21236" w:rsidP="00AE1FAC">
            <w:pPr>
              <w:pStyle w:val="Tabletext"/>
              <w:keepNext w:val="0"/>
              <w:rPr>
                <w:rFonts w:cs="Arial"/>
                <w:szCs w:val="22"/>
              </w:rPr>
            </w:pPr>
            <w:r>
              <w:rPr>
                <w:rFonts w:cs="Arial"/>
                <w:szCs w:val="22"/>
              </w:rPr>
              <w:t xml:space="preserve">Medical technology guidance and clinical guidelines rely on different methodologies as detailed in </w:t>
            </w:r>
            <w:hyperlink r:id="rId18" w:history="1">
              <w:r w:rsidRPr="00871F11">
                <w:rPr>
                  <w:rStyle w:val="Hyperlink"/>
                  <w:rFonts w:cs="Arial"/>
                  <w:szCs w:val="22"/>
                </w:rPr>
                <w:t>https://www.nice.org.uk/article/pmg6/chapter/1%20introduction</w:t>
              </w:r>
            </w:hyperlink>
            <w:r>
              <w:rPr>
                <w:rFonts w:cs="Arial"/>
                <w:szCs w:val="22"/>
              </w:rPr>
              <w:t xml:space="preserve"> and </w:t>
            </w:r>
            <w:hyperlink r:id="rId19" w:history="1">
              <w:r w:rsidRPr="00871F11">
                <w:rPr>
                  <w:rStyle w:val="Hyperlink"/>
                  <w:rFonts w:cs="Arial"/>
                  <w:szCs w:val="22"/>
                </w:rPr>
                <w:t>https://www.nice.org.uk/Media/Default/About/what-we-do/NICE-guidance/NICE-medical-technologies/Medical-technologies-evaluation-programme-methods-guide.pdf</w:t>
              </w:r>
            </w:hyperlink>
            <w:r>
              <w:rPr>
                <w:rFonts w:cs="Arial"/>
                <w:szCs w:val="22"/>
              </w:rPr>
              <w:t xml:space="preserve">.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A417FC">
            <w:pPr>
              <w:pStyle w:val="Tabletext"/>
              <w:keepNext w:val="0"/>
              <w:rPr>
                <w:rFonts w:cs="Arial"/>
                <w:iCs/>
                <w:szCs w:val="22"/>
              </w:rPr>
            </w:pPr>
            <w:r w:rsidRPr="004E5F5E">
              <w:rPr>
                <w:rFonts w:cs="Arial"/>
                <w:iCs/>
                <w:szCs w:val="22"/>
              </w:rPr>
              <w:t>8</w:t>
            </w:r>
          </w:p>
        </w:tc>
        <w:tc>
          <w:tcPr>
            <w:tcW w:w="8831" w:type="dxa"/>
            <w:tcMar>
              <w:left w:w="57" w:type="dxa"/>
              <w:right w:w="57" w:type="dxa"/>
            </w:tcMar>
          </w:tcPr>
          <w:p w:rsidR="00E21236" w:rsidRDefault="00E21236" w:rsidP="00FE3D86">
            <w:pPr>
              <w:rPr>
                <w:rFonts w:ascii="Arial" w:hAnsi="Arial" w:cs="Arial"/>
                <w:sz w:val="22"/>
                <w:szCs w:val="22"/>
              </w:rPr>
            </w:pPr>
            <w:r>
              <w:rPr>
                <w:rFonts w:ascii="Arial" w:hAnsi="Arial" w:cs="Arial"/>
                <w:sz w:val="22"/>
                <w:szCs w:val="22"/>
              </w:rPr>
              <w:t xml:space="preserve">We are using the geko device in patients who have contraindications to prophylactic anticoagulation and to mechanical compression devices. an option for the device in included in our VTE proforma. Use of the device has been through clinical governance and agreed for the above patient group. With patients at high risk of thrombosis it is important to have alternatives if the standard evidence-based methodology is contraindicated, impracticable, or not accepted by the patient. </w:t>
            </w:r>
          </w:p>
          <w:p w:rsidR="00E21236" w:rsidRPr="004E5F5E" w:rsidRDefault="00E21236" w:rsidP="00A417FC">
            <w:pPr>
              <w:pStyle w:val="Tabletext"/>
              <w:keepNext w:val="0"/>
              <w:rPr>
                <w:rFonts w:cs="Arial"/>
                <w:szCs w:val="22"/>
              </w:rPr>
            </w:pP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lastRenderedPageBreak/>
              <w:t xml:space="preserve">Thank you for your comment.  </w:t>
            </w:r>
          </w:p>
        </w:tc>
      </w:tr>
      <w:tr w:rsidR="00E21236" w:rsidRPr="004E5F5E" w:rsidTr="00E21236">
        <w:tc>
          <w:tcPr>
            <w:tcW w:w="720" w:type="dxa"/>
          </w:tcPr>
          <w:p w:rsidR="00E21236" w:rsidRPr="004E5F5E"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4E5F5E" w:rsidRDefault="00E21236" w:rsidP="004E5F5E">
            <w:pPr>
              <w:pStyle w:val="Tabletext"/>
              <w:keepNext w:val="0"/>
              <w:rPr>
                <w:rFonts w:cs="Arial"/>
                <w:iCs/>
                <w:szCs w:val="22"/>
              </w:rPr>
            </w:pPr>
            <w:r w:rsidRPr="004E5F5E">
              <w:rPr>
                <w:rFonts w:cs="Arial"/>
                <w:iCs/>
                <w:szCs w:val="22"/>
              </w:rPr>
              <w:t>General</w:t>
            </w:r>
          </w:p>
        </w:tc>
        <w:tc>
          <w:tcPr>
            <w:tcW w:w="8831" w:type="dxa"/>
            <w:tcMar>
              <w:left w:w="57" w:type="dxa"/>
              <w:right w:w="57" w:type="dxa"/>
            </w:tcMar>
          </w:tcPr>
          <w:p w:rsidR="00E21236" w:rsidRPr="004E5F5E" w:rsidRDefault="00E21236" w:rsidP="00F92323">
            <w:pPr>
              <w:rPr>
                <w:rFonts w:ascii="Arial" w:hAnsi="Arial" w:cs="Arial"/>
                <w:sz w:val="22"/>
                <w:szCs w:val="22"/>
                <w:lang w:val="en-US"/>
              </w:rPr>
            </w:pPr>
            <w:r w:rsidRPr="004E5F5E">
              <w:rPr>
                <w:rFonts w:ascii="Arial" w:hAnsi="Arial" w:cs="Arial"/>
                <w:sz w:val="22"/>
                <w:szCs w:val="22"/>
                <w:lang w:val="en-US"/>
              </w:rPr>
              <w:t>We are using GEKO devices on patients who have contraindication to wearing IPCC</w:t>
            </w:r>
          </w:p>
          <w:p w:rsidR="00E21236" w:rsidRPr="004E5F5E" w:rsidRDefault="00E21236" w:rsidP="00F92323">
            <w:pPr>
              <w:rPr>
                <w:rFonts w:ascii="Arial" w:hAnsi="Arial" w:cs="Arial"/>
                <w:sz w:val="22"/>
                <w:szCs w:val="22"/>
                <w:lang w:val="en-US"/>
              </w:rPr>
            </w:pPr>
            <w:r w:rsidRPr="004E5F5E">
              <w:rPr>
                <w:rFonts w:ascii="Arial" w:hAnsi="Arial" w:cs="Arial"/>
                <w:sz w:val="22"/>
                <w:szCs w:val="22"/>
                <w:lang w:val="en-US"/>
              </w:rPr>
              <w:t>We have gone through our local governance to use this device where IPCC is contraindicated.</w:t>
            </w:r>
          </w:p>
          <w:p w:rsidR="00E21236" w:rsidRPr="004E5F5E" w:rsidRDefault="00E21236" w:rsidP="00F92323">
            <w:pPr>
              <w:rPr>
                <w:rFonts w:ascii="Arial" w:hAnsi="Arial" w:cs="Arial"/>
                <w:sz w:val="22"/>
                <w:szCs w:val="22"/>
                <w:lang w:val="en-US"/>
              </w:rPr>
            </w:pPr>
          </w:p>
          <w:p w:rsidR="00E21236" w:rsidRPr="004E5F5E" w:rsidRDefault="00E21236" w:rsidP="00A417FC">
            <w:pPr>
              <w:pStyle w:val="Tabletext"/>
              <w:keepNext w:val="0"/>
              <w:rPr>
                <w:rFonts w:cs="Arial"/>
                <w:szCs w:val="22"/>
              </w:rPr>
            </w:pPr>
          </w:p>
        </w:tc>
        <w:tc>
          <w:tcPr>
            <w:tcW w:w="3827" w:type="dxa"/>
            <w:tcMar>
              <w:left w:w="57" w:type="dxa"/>
              <w:right w:w="57" w:type="dxa"/>
            </w:tcMar>
          </w:tcPr>
          <w:p w:rsidR="00E21236" w:rsidRPr="004E5F5E" w:rsidRDefault="00E21236" w:rsidP="00A417FC">
            <w:pPr>
              <w:pStyle w:val="Tabletext"/>
              <w:keepNext w:val="0"/>
              <w:rPr>
                <w:rFonts w:cs="Arial"/>
                <w:szCs w:val="22"/>
              </w:rPr>
            </w:pPr>
            <w:r>
              <w:rPr>
                <w:rFonts w:cs="Arial"/>
                <w:szCs w:val="22"/>
              </w:rPr>
              <w:t xml:space="preserve">Thank you for your comment.  </w:t>
            </w:r>
          </w:p>
        </w:tc>
      </w:tr>
      <w:tr w:rsidR="00E21236" w:rsidRPr="00F92323" w:rsidTr="00E21236">
        <w:tc>
          <w:tcPr>
            <w:tcW w:w="720" w:type="dxa"/>
          </w:tcPr>
          <w:p w:rsidR="00E21236" w:rsidRPr="00F92323"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F92323" w:rsidRDefault="00E21236" w:rsidP="00384650">
            <w:pPr>
              <w:rPr>
                <w:rFonts w:cs="Arial"/>
                <w:b/>
                <w:iCs/>
                <w:szCs w:val="22"/>
              </w:rPr>
            </w:pPr>
            <w:r>
              <w:rPr>
                <w:rFonts w:ascii="Arial" w:hAnsi="Arial" w:cs="Arial"/>
                <w:sz w:val="22"/>
                <w:szCs w:val="22"/>
              </w:rPr>
              <w:t>Appendix 1</w:t>
            </w:r>
          </w:p>
        </w:tc>
        <w:tc>
          <w:tcPr>
            <w:tcW w:w="8831" w:type="dxa"/>
            <w:tcMar>
              <w:left w:w="57" w:type="dxa"/>
              <w:right w:w="57" w:type="dxa"/>
            </w:tcMar>
          </w:tcPr>
          <w:p w:rsidR="00E21236" w:rsidRPr="00F92323" w:rsidRDefault="00E21236" w:rsidP="00A417FC">
            <w:pPr>
              <w:pStyle w:val="Tabletext"/>
              <w:keepNext w:val="0"/>
              <w:rPr>
                <w:rFonts w:cs="Arial"/>
                <w:szCs w:val="22"/>
              </w:rPr>
            </w:pPr>
            <w:r>
              <w:rPr>
                <w:rFonts w:cs="Arial"/>
                <w:color w:val="000000" w:themeColor="text1"/>
                <w:szCs w:val="22"/>
              </w:rPr>
              <w:t>This doesn’t appear to cross reference with section 4 “see Appendix1 for explanation of [signposting] options”</w:t>
            </w:r>
          </w:p>
        </w:tc>
        <w:tc>
          <w:tcPr>
            <w:tcW w:w="3827" w:type="dxa"/>
            <w:tcMar>
              <w:left w:w="57" w:type="dxa"/>
              <w:right w:w="57" w:type="dxa"/>
            </w:tcMar>
          </w:tcPr>
          <w:p w:rsidR="00E21236" w:rsidRDefault="00E21236" w:rsidP="00AE1FAC">
            <w:pPr>
              <w:pStyle w:val="Tabletext"/>
              <w:keepNext w:val="0"/>
              <w:rPr>
                <w:rFonts w:cs="Arial"/>
                <w:szCs w:val="22"/>
              </w:rPr>
            </w:pPr>
            <w:r>
              <w:rPr>
                <w:rFonts w:cs="Arial"/>
                <w:szCs w:val="22"/>
              </w:rPr>
              <w:t xml:space="preserve">Thank you for your comment.  </w:t>
            </w:r>
          </w:p>
          <w:p w:rsidR="00E21236" w:rsidRPr="00F92323" w:rsidRDefault="00E21236" w:rsidP="002D45B3">
            <w:pPr>
              <w:pStyle w:val="Tabletext"/>
              <w:keepNext w:val="0"/>
              <w:rPr>
                <w:rFonts w:cs="Arial"/>
                <w:szCs w:val="22"/>
              </w:rPr>
            </w:pPr>
            <w:r>
              <w:rPr>
                <w:rFonts w:cs="Arial"/>
                <w:szCs w:val="22"/>
              </w:rPr>
              <w:t>Please refer to the response to comment 3 (final paragraph).</w:t>
            </w:r>
          </w:p>
        </w:tc>
      </w:tr>
      <w:tr w:rsidR="00E21236" w:rsidRPr="00F92323" w:rsidTr="00E21236">
        <w:tc>
          <w:tcPr>
            <w:tcW w:w="720" w:type="dxa"/>
          </w:tcPr>
          <w:p w:rsidR="00E21236" w:rsidRPr="00F92323" w:rsidRDefault="00E21236" w:rsidP="008737AC">
            <w:pPr>
              <w:pStyle w:val="Tabletext"/>
              <w:keepNext w:val="0"/>
              <w:numPr>
                <w:ilvl w:val="0"/>
                <w:numId w:val="43"/>
              </w:numPr>
              <w:rPr>
                <w:rFonts w:cs="Arial"/>
                <w:szCs w:val="22"/>
              </w:rPr>
            </w:pPr>
          </w:p>
        </w:tc>
        <w:tc>
          <w:tcPr>
            <w:tcW w:w="1080" w:type="dxa"/>
            <w:tcMar>
              <w:left w:w="57" w:type="dxa"/>
              <w:right w:w="57" w:type="dxa"/>
            </w:tcMar>
          </w:tcPr>
          <w:p w:rsidR="00E21236" w:rsidRPr="00F92323" w:rsidRDefault="00E21236" w:rsidP="00384650">
            <w:pPr>
              <w:pStyle w:val="Tabletext"/>
              <w:keepNext w:val="0"/>
              <w:rPr>
                <w:rFonts w:cs="Arial"/>
                <w:b/>
                <w:iCs/>
                <w:szCs w:val="22"/>
              </w:rPr>
            </w:pPr>
            <w:r>
              <w:rPr>
                <w:rFonts w:cs="Arial"/>
                <w:szCs w:val="22"/>
              </w:rPr>
              <w:t>Appendix 2</w:t>
            </w:r>
          </w:p>
        </w:tc>
        <w:tc>
          <w:tcPr>
            <w:tcW w:w="8831" w:type="dxa"/>
            <w:tcMar>
              <w:left w:w="57" w:type="dxa"/>
              <w:right w:w="57" w:type="dxa"/>
            </w:tcMar>
          </w:tcPr>
          <w:p w:rsidR="00E21236" w:rsidRPr="00F92323" w:rsidRDefault="00E21236" w:rsidP="00A417FC">
            <w:pPr>
              <w:pStyle w:val="Tabletext"/>
              <w:keepNext w:val="0"/>
              <w:rPr>
                <w:rFonts w:cs="Arial"/>
                <w:szCs w:val="22"/>
              </w:rPr>
            </w:pPr>
            <w:r>
              <w:rPr>
                <w:rFonts w:cs="Arial"/>
                <w:color w:val="000000" w:themeColor="text1"/>
                <w:szCs w:val="22"/>
              </w:rPr>
              <w:t>This doesn’t reference the new evidence of Nicolaides and Griffin as submitted by Firstkind during this process.</w:t>
            </w:r>
          </w:p>
        </w:tc>
        <w:tc>
          <w:tcPr>
            <w:tcW w:w="3827" w:type="dxa"/>
            <w:tcMar>
              <w:left w:w="57" w:type="dxa"/>
              <w:right w:w="57" w:type="dxa"/>
            </w:tcMar>
          </w:tcPr>
          <w:p w:rsidR="00E21236" w:rsidRPr="00F92323" w:rsidRDefault="00E21236" w:rsidP="000246BD">
            <w:pPr>
              <w:pStyle w:val="Tabletext"/>
              <w:keepNext w:val="0"/>
              <w:rPr>
                <w:rFonts w:cs="Arial"/>
                <w:szCs w:val="22"/>
              </w:rPr>
            </w:pPr>
            <w:r>
              <w:rPr>
                <w:rFonts w:cs="Arial"/>
                <w:szCs w:val="22"/>
              </w:rPr>
              <w:t xml:space="preserve">Thank you for your comment.  The study has been added.  </w:t>
            </w:r>
          </w:p>
        </w:tc>
      </w:tr>
      <w:tr w:rsidR="00E21236" w:rsidRPr="00F92323" w:rsidTr="00E21236">
        <w:tc>
          <w:tcPr>
            <w:tcW w:w="720" w:type="dxa"/>
          </w:tcPr>
          <w:p w:rsidR="00E21236" w:rsidRPr="00F92323" w:rsidRDefault="00E21236" w:rsidP="008737AC">
            <w:pPr>
              <w:pStyle w:val="Tabletext"/>
              <w:keepNext w:val="0"/>
              <w:numPr>
                <w:ilvl w:val="0"/>
                <w:numId w:val="43"/>
              </w:numPr>
              <w:rPr>
                <w:rFonts w:cs="Arial"/>
                <w:iCs/>
                <w:szCs w:val="22"/>
              </w:rPr>
            </w:pPr>
          </w:p>
        </w:tc>
        <w:tc>
          <w:tcPr>
            <w:tcW w:w="1080" w:type="dxa"/>
            <w:tcMar>
              <w:left w:w="57" w:type="dxa"/>
              <w:right w:w="57" w:type="dxa"/>
            </w:tcMar>
          </w:tcPr>
          <w:p w:rsidR="00E21236" w:rsidRPr="008F50A9" w:rsidRDefault="00E21236" w:rsidP="00A417FC">
            <w:pPr>
              <w:pStyle w:val="Tabletext"/>
              <w:keepNext w:val="0"/>
              <w:rPr>
                <w:rFonts w:cs="Arial"/>
                <w:iCs/>
                <w:szCs w:val="22"/>
              </w:rPr>
            </w:pPr>
            <w:r w:rsidRPr="008F50A9">
              <w:rPr>
                <w:rFonts w:cs="Arial"/>
                <w:iCs/>
                <w:szCs w:val="22"/>
              </w:rPr>
              <w:t>Recommendations</w:t>
            </w:r>
          </w:p>
        </w:tc>
        <w:tc>
          <w:tcPr>
            <w:tcW w:w="8831" w:type="dxa"/>
            <w:tcMar>
              <w:left w:w="57" w:type="dxa"/>
              <w:right w:w="57" w:type="dxa"/>
            </w:tcMar>
          </w:tcPr>
          <w:p w:rsidR="00E21236" w:rsidRDefault="00E21236" w:rsidP="008F50A9">
            <w:pPr>
              <w:rPr>
                <w:rFonts w:ascii="Arial" w:hAnsi="Arial" w:cs="Arial"/>
                <w:sz w:val="22"/>
                <w:szCs w:val="22"/>
              </w:rPr>
            </w:pPr>
            <w:r>
              <w:rPr>
                <w:rFonts w:ascii="Arial" w:hAnsi="Arial" w:cs="Arial"/>
                <w:sz w:val="22"/>
                <w:szCs w:val="22"/>
              </w:rPr>
              <w:t>Currently as it stands, MTG19 offers an alternative prophylaxis treatment for those who have a high risk of venous thromboembolism and for whom other mechanical and pharmacological methods are unsuitable, impractical  or contraindicated. Within the review proposal consultation document, it is accepted that GEKO continues as an effective prophylaxis  option.</w:t>
            </w:r>
          </w:p>
          <w:p w:rsidR="00E21236" w:rsidRDefault="00E21236" w:rsidP="008F50A9">
            <w:pPr>
              <w:rPr>
                <w:rFonts w:ascii="Arial" w:hAnsi="Arial" w:cs="Arial"/>
                <w:sz w:val="22"/>
                <w:szCs w:val="22"/>
              </w:rPr>
            </w:pPr>
          </w:p>
          <w:p w:rsidR="00E21236" w:rsidRDefault="00E21236" w:rsidP="008F50A9">
            <w:pPr>
              <w:rPr>
                <w:rFonts w:ascii="Arial" w:hAnsi="Arial" w:cs="Arial"/>
                <w:color w:val="8DB3E2" w:themeColor="text2" w:themeTint="66"/>
                <w:sz w:val="22"/>
                <w:szCs w:val="22"/>
              </w:rPr>
            </w:pPr>
            <w:r>
              <w:rPr>
                <w:rFonts w:ascii="Arial" w:hAnsi="Arial" w:cs="Arial"/>
                <w:sz w:val="22"/>
                <w:szCs w:val="22"/>
              </w:rPr>
              <w:t xml:space="preserve">AntiCoagulation Europe (ACE) notes the partial review undertaken within CG 92 and it’s reference to 1.3.1 which states not to offer  immobile stroke patients foot impulse devices or neuromuscular electrical stimulation devices for VTE prophylaxis </w:t>
            </w:r>
            <w:r>
              <w:rPr>
                <w:rFonts w:ascii="Arial" w:hAnsi="Arial" w:cs="Arial"/>
                <w:color w:val="8DB3E2" w:themeColor="text2" w:themeTint="66"/>
                <w:sz w:val="22"/>
                <w:szCs w:val="22"/>
              </w:rPr>
              <w:t xml:space="preserve">unless in the context  of research.  </w:t>
            </w:r>
          </w:p>
          <w:p w:rsidR="00E21236" w:rsidRDefault="00E21236" w:rsidP="008F50A9">
            <w:pPr>
              <w:rPr>
                <w:rFonts w:ascii="Arial" w:hAnsi="Arial" w:cs="Arial"/>
                <w:sz w:val="22"/>
                <w:szCs w:val="22"/>
              </w:rPr>
            </w:pPr>
            <w:r>
              <w:rPr>
                <w:rFonts w:ascii="Arial" w:hAnsi="Arial" w:cs="Arial"/>
                <w:sz w:val="22"/>
                <w:szCs w:val="22"/>
              </w:rPr>
              <w:t>IN 1.3.2, recommends that intermittent pneumatic compression(IPC) can be considered for stroke patients.</w:t>
            </w:r>
          </w:p>
          <w:p w:rsidR="00E21236" w:rsidRDefault="00E21236" w:rsidP="008F50A9">
            <w:pPr>
              <w:rPr>
                <w:rFonts w:ascii="Arial" w:hAnsi="Arial" w:cs="Arial"/>
                <w:sz w:val="22"/>
                <w:szCs w:val="22"/>
              </w:rPr>
            </w:pPr>
          </w:p>
          <w:p w:rsidR="00E21236" w:rsidRDefault="00E21236" w:rsidP="008F50A9">
            <w:pPr>
              <w:rPr>
                <w:rFonts w:ascii="Arial" w:hAnsi="Arial" w:cs="Arial"/>
                <w:sz w:val="22"/>
                <w:szCs w:val="22"/>
              </w:rPr>
            </w:pPr>
            <w:r>
              <w:rPr>
                <w:rFonts w:ascii="Arial" w:hAnsi="Arial" w:cs="Arial"/>
                <w:sz w:val="22"/>
                <w:szCs w:val="22"/>
              </w:rPr>
              <w:t xml:space="preserve">Whilst acknowledging the need to align any related update to relevant NICE guidelines, we  strongly suggest that any linking or  explanatory note  clearly states that whilst CG92  does not  recommended as </w:t>
            </w:r>
            <w:r>
              <w:rPr>
                <w:rFonts w:ascii="Arial" w:hAnsi="Arial" w:cs="Arial"/>
                <w:color w:val="8DB3E2" w:themeColor="text2" w:themeTint="66"/>
                <w:sz w:val="22"/>
                <w:szCs w:val="22"/>
              </w:rPr>
              <w:t xml:space="preserve">a routine </w:t>
            </w:r>
            <w:r>
              <w:rPr>
                <w:rFonts w:ascii="Arial" w:hAnsi="Arial" w:cs="Arial"/>
                <w:sz w:val="22"/>
                <w:szCs w:val="22"/>
              </w:rPr>
              <w:t>prophylaxis for stroke patients,  GEKO could still be considered should there be a unmet need due to all other pharmacological/mechanical  options not being suitable with an immobile patient being at heightened risk of VTE  post stroke or any other medical situation. This is of particular importance for individuals who are deemed unsuitable for IPC but still require safe and effective VTE risk reduction and who may be restricted in access and choice. We would also suggest that the term ‘research’ is clearly defined for patient understanding and transparency.</w:t>
            </w:r>
          </w:p>
          <w:p w:rsidR="00E21236" w:rsidRPr="00F92323" w:rsidRDefault="00E21236" w:rsidP="00A417FC">
            <w:pPr>
              <w:pStyle w:val="Tabletext"/>
              <w:keepNext w:val="0"/>
              <w:rPr>
                <w:rFonts w:cs="Arial"/>
                <w:iCs/>
                <w:szCs w:val="22"/>
              </w:rPr>
            </w:pPr>
          </w:p>
        </w:tc>
        <w:tc>
          <w:tcPr>
            <w:tcW w:w="3827" w:type="dxa"/>
            <w:tcMar>
              <w:left w:w="57" w:type="dxa"/>
              <w:right w:w="57" w:type="dxa"/>
            </w:tcMar>
          </w:tcPr>
          <w:p w:rsidR="00E21236" w:rsidRDefault="00E21236" w:rsidP="002215A4">
            <w:pPr>
              <w:pStyle w:val="Tabletext"/>
              <w:keepNext w:val="0"/>
              <w:rPr>
                <w:rFonts w:cs="Arial"/>
                <w:szCs w:val="22"/>
              </w:rPr>
            </w:pPr>
            <w:r>
              <w:rPr>
                <w:rFonts w:cs="Arial"/>
                <w:szCs w:val="22"/>
              </w:rPr>
              <w:t xml:space="preserve">Thank you for your comment.  </w:t>
            </w:r>
          </w:p>
          <w:p w:rsidR="00E21236" w:rsidRDefault="00E21236" w:rsidP="00AE1FAC">
            <w:pPr>
              <w:pStyle w:val="Tabletext"/>
              <w:keepNext w:val="0"/>
              <w:rPr>
                <w:rFonts w:cs="Arial"/>
                <w:szCs w:val="22"/>
              </w:rPr>
            </w:pPr>
            <w:r>
              <w:rPr>
                <w:rFonts w:cs="Arial"/>
                <w:szCs w:val="22"/>
              </w:rPr>
              <w:t xml:space="preserve">Medical technology guidance and clinical guidelines rely on different methodologies as detailed in </w:t>
            </w:r>
            <w:hyperlink r:id="rId20" w:history="1">
              <w:r w:rsidRPr="00871F11">
                <w:rPr>
                  <w:rStyle w:val="Hyperlink"/>
                  <w:rFonts w:cs="Arial"/>
                  <w:szCs w:val="22"/>
                </w:rPr>
                <w:t>https://www.nice.org.uk/article/pmg6/chapter/1%20introduction</w:t>
              </w:r>
            </w:hyperlink>
            <w:r>
              <w:rPr>
                <w:rFonts w:cs="Arial"/>
                <w:szCs w:val="22"/>
              </w:rPr>
              <w:t xml:space="preserve"> and </w:t>
            </w:r>
            <w:hyperlink r:id="rId21" w:history="1">
              <w:r w:rsidRPr="00871F11">
                <w:rPr>
                  <w:rStyle w:val="Hyperlink"/>
                  <w:rFonts w:cs="Arial"/>
                  <w:szCs w:val="22"/>
                </w:rPr>
                <w:t>https://www.nice.org.uk/Media/Default/About/what-we-do/NICE-guidance/NICE-medical-technologies/Medical-technologies-evaluation-programme-methods-guide.pdf</w:t>
              </w:r>
            </w:hyperlink>
            <w:r>
              <w:rPr>
                <w:rFonts w:cs="Arial"/>
                <w:szCs w:val="22"/>
              </w:rPr>
              <w:t xml:space="preserve">.  </w:t>
            </w:r>
          </w:p>
          <w:p w:rsidR="00E21236" w:rsidRPr="00F92323" w:rsidRDefault="00E21236" w:rsidP="00AE1FAC">
            <w:pPr>
              <w:pStyle w:val="Tabletext"/>
              <w:keepNext w:val="0"/>
              <w:rPr>
                <w:rFonts w:cs="Arial"/>
                <w:szCs w:val="22"/>
              </w:rPr>
            </w:pPr>
          </w:p>
        </w:tc>
      </w:tr>
    </w:tbl>
    <w:p w:rsidR="00AF3C1E" w:rsidRDefault="00AF3C1E" w:rsidP="00AF3C1E">
      <w:pPr>
        <w:widowControl w:val="0"/>
        <w:spacing w:after="120"/>
        <w:rPr>
          <w:i/>
        </w:rPr>
      </w:pPr>
    </w:p>
    <w:p w:rsidR="00AF3C1E" w:rsidRDefault="00AF3C1E" w:rsidP="00AF3C1E">
      <w:pPr>
        <w:widowControl w:val="0"/>
        <w:spacing w:after="120"/>
        <w:rPr>
          <w:i/>
        </w:rPr>
      </w:pPr>
    </w:p>
    <w:p w:rsidR="00AF3C1E" w:rsidRPr="00AF3C1E" w:rsidRDefault="00AF3C1E" w:rsidP="00AF3C1E">
      <w:pPr>
        <w:widowControl w:val="0"/>
        <w:spacing w:after="120"/>
        <w:ind w:left="720"/>
        <w:jc w:val="both"/>
        <w:rPr>
          <w:i/>
        </w:rPr>
      </w:pPr>
      <w:r w:rsidRPr="00AF3C1E">
        <w:rPr>
          <w:i/>
        </w:rPr>
        <w:t xml:space="preserve">"Comments received in the course of consultations carried out by </w:t>
      </w:r>
      <w:r w:rsidR="00B5161B">
        <w:rPr>
          <w:i/>
        </w:rPr>
        <w:t>NICE</w:t>
      </w:r>
      <w:r w:rsidRPr="00AF3C1E">
        <w:rPr>
          <w:i/>
        </w:rPr>
        <w:t xml:space="preserve"> are published in the interests of openness and transparency, and to promote understanding of how recommendations are developed. The comments are published as a record of the submissions that </w:t>
      </w:r>
      <w:r w:rsidR="00B5161B">
        <w:rPr>
          <w:i/>
        </w:rPr>
        <w:t>NICE</w:t>
      </w:r>
      <w:r w:rsidRPr="00AF3C1E">
        <w:rPr>
          <w:i/>
        </w:rPr>
        <w:t xml:space="preserve"> has received, and are not endorsed by </w:t>
      </w:r>
      <w:r w:rsidR="00B5161B">
        <w:rPr>
          <w:i/>
        </w:rPr>
        <w:t>NICE</w:t>
      </w:r>
      <w:r w:rsidRPr="00AF3C1E">
        <w:rPr>
          <w:i/>
        </w:rPr>
        <w:t xml:space="preserve">, its officers or </w:t>
      </w:r>
      <w:r w:rsidR="009932CE">
        <w:rPr>
          <w:i/>
        </w:rPr>
        <w:t>A</w:t>
      </w:r>
      <w:r w:rsidRPr="00AF3C1E">
        <w:rPr>
          <w:i/>
        </w:rPr>
        <w:t>dvisory committees."</w:t>
      </w:r>
    </w:p>
    <w:p w:rsidR="006227FE" w:rsidRDefault="006227FE">
      <w:pPr>
        <w:pStyle w:val="NormalWeb"/>
      </w:pPr>
    </w:p>
    <w:sectPr w:rsidR="006227FE" w:rsidSect="00307EEB">
      <w:headerReference w:type="default" r:id="rId22"/>
      <w:footerReference w:type="default" r:id="rId23"/>
      <w:pgSz w:w="16838" w:h="11906" w:orient="landscape"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C1" w:rsidRDefault="00353BC1">
      <w:r>
        <w:separator/>
      </w:r>
    </w:p>
  </w:endnote>
  <w:endnote w:type="continuationSeparator" w:id="0">
    <w:p w:rsidR="00353BC1" w:rsidRDefault="0035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6" w:rsidRPr="00755DE3" w:rsidRDefault="00B22BD6" w:rsidP="005149AA">
    <w:pPr>
      <w:pStyle w:val="Footer"/>
      <w:jc w:val="center"/>
      <w:rPr>
        <w:szCs w:val="20"/>
      </w:rPr>
    </w:pPr>
    <w:r w:rsidRPr="00755DE3">
      <w:rPr>
        <w:rStyle w:val="PageNumber"/>
        <w:szCs w:val="20"/>
      </w:rPr>
      <w:fldChar w:fldCharType="begin"/>
    </w:r>
    <w:r w:rsidRPr="00755DE3">
      <w:rPr>
        <w:rStyle w:val="PageNumber"/>
        <w:szCs w:val="20"/>
      </w:rPr>
      <w:instrText xml:space="preserve"> PAGE </w:instrText>
    </w:r>
    <w:r w:rsidRPr="00755DE3">
      <w:rPr>
        <w:rStyle w:val="PageNumber"/>
        <w:szCs w:val="20"/>
      </w:rPr>
      <w:fldChar w:fldCharType="separate"/>
    </w:r>
    <w:r w:rsidR="007470E3">
      <w:rPr>
        <w:rStyle w:val="PageNumber"/>
        <w:noProof/>
        <w:szCs w:val="20"/>
      </w:rPr>
      <w:t>1</w:t>
    </w:r>
    <w:r w:rsidRPr="00755DE3">
      <w:rPr>
        <w:rStyle w:val="PageNumber"/>
        <w:szCs w:val="20"/>
      </w:rPr>
      <w:fldChar w:fldCharType="end"/>
    </w:r>
    <w:r>
      <w:rPr>
        <w:rStyle w:val="PageNumber"/>
        <w:szCs w:val="20"/>
      </w:rPr>
      <w:t xml:space="preserve"> of </w:t>
    </w:r>
    <w:r>
      <w:rPr>
        <w:rStyle w:val="PageNumber"/>
      </w:rPr>
      <w:fldChar w:fldCharType="begin"/>
    </w:r>
    <w:r>
      <w:rPr>
        <w:rStyle w:val="PageNumber"/>
      </w:rPr>
      <w:instrText xml:space="preserve"> NUMPAGES </w:instrText>
    </w:r>
    <w:r>
      <w:rPr>
        <w:rStyle w:val="PageNumber"/>
      </w:rPr>
      <w:fldChar w:fldCharType="separate"/>
    </w:r>
    <w:r w:rsidR="007470E3">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C1" w:rsidRDefault="00353BC1">
      <w:r>
        <w:separator/>
      </w:r>
    </w:p>
  </w:footnote>
  <w:footnote w:type="continuationSeparator" w:id="0">
    <w:p w:rsidR="00353BC1" w:rsidRDefault="00353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B2" w:rsidRPr="00C452B2" w:rsidRDefault="00C452B2" w:rsidP="00C452B2">
    <w:pPr>
      <w:jc w:val="center"/>
      <w:rPr>
        <w:rFonts w:ascii="Arial" w:hAnsi="Arial" w:cs="Arial"/>
        <w:b/>
        <w:bCs/>
        <w:color w:val="000000"/>
      </w:rPr>
    </w:pPr>
    <w:r>
      <w:rPr>
        <w:rStyle w:val="Title16ptChar"/>
        <w:sz w:val="24"/>
        <w:szCs w:val="24"/>
      </w:rPr>
      <w:t xml:space="preserve">                                                                                      </w:t>
    </w:r>
    <w:r w:rsidRPr="00C452B2">
      <w:rPr>
        <w:rStyle w:val="Title16ptChar"/>
        <w:sz w:val="24"/>
        <w:szCs w:val="24"/>
      </w:rPr>
      <w:t>MTG19 –</w:t>
    </w:r>
    <w:r w:rsidRPr="00C452B2">
      <w:rPr>
        <w:rFonts w:ascii="Arial" w:hAnsi="Arial" w:cs="Arial"/>
        <w:b/>
        <w:bCs/>
        <w:color w:val="000000"/>
      </w:rPr>
      <w:t>The geko device for reducing the risk of venous thromboembolism</w:t>
    </w:r>
  </w:p>
  <w:p w:rsidR="00B22BD6" w:rsidRDefault="00C452B2" w:rsidP="00C452B2">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03087FF8"/>
    <w:multiLevelType w:val="hybridMultilevel"/>
    <w:tmpl w:val="4746B6AA"/>
    <w:lvl w:ilvl="0" w:tplc="2CB228E8">
      <w:start w:val="1"/>
      <w:numFmt w:val="decimal"/>
      <w:lvlText w:val="%1"/>
      <w:lvlJc w:val="left"/>
      <w:pPr>
        <w:tabs>
          <w:tab w:val="num" w:pos="720"/>
        </w:tabs>
        <w:ind w:left="720" w:hanging="7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3C8448D"/>
    <w:multiLevelType w:val="multilevel"/>
    <w:tmpl w:val="B26C4A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98F5EF9"/>
    <w:multiLevelType w:val="multilevel"/>
    <w:tmpl w:val="4386F0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B315D59"/>
    <w:multiLevelType w:val="hybridMultilevel"/>
    <w:tmpl w:val="4746B6AA"/>
    <w:lvl w:ilvl="0" w:tplc="2CB228E8">
      <w:start w:val="1"/>
      <w:numFmt w:val="decimal"/>
      <w:lvlText w:val="%1"/>
      <w:lvlJc w:val="left"/>
      <w:pPr>
        <w:tabs>
          <w:tab w:val="num" w:pos="720"/>
        </w:tabs>
        <w:ind w:left="720" w:hanging="7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9B41245"/>
    <w:multiLevelType w:val="multilevel"/>
    <w:tmpl w:val="90AA7472"/>
    <w:lvl w:ilvl="0">
      <w:start w:val="1"/>
      <w:numFmt w:val="decimal"/>
      <w:lvlText w:val="%1"/>
      <w:lvlJc w:val="left"/>
      <w:pPr>
        <w:tabs>
          <w:tab w:val="num" w:pos="720"/>
        </w:tabs>
        <w:ind w:left="720" w:hanging="72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BE374A"/>
    <w:multiLevelType w:val="hybridMultilevel"/>
    <w:tmpl w:val="71A0A726"/>
    <w:lvl w:ilvl="0" w:tplc="08090005">
      <w:start w:val="1"/>
      <w:numFmt w:val="bullet"/>
      <w:lvlText w:val=""/>
      <w:lvlJc w:val="left"/>
      <w:pPr>
        <w:ind w:left="720" w:hanging="360"/>
      </w:pPr>
      <w:rPr>
        <w:rFonts w:ascii="Wingdings" w:hAnsi="Wingdings" w:hint="default"/>
      </w:rPr>
    </w:lvl>
    <w:lvl w:ilvl="1" w:tplc="515206EE">
      <w:numFmt w:val="bullet"/>
      <w:lvlText w:val="·"/>
      <w:lvlJc w:val="left"/>
      <w:pPr>
        <w:ind w:left="1590" w:hanging="510"/>
      </w:pPr>
      <w:rPr>
        <w:rFonts w:ascii="Calibri" w:eastAsia="Calibri" w:hAnsi="Calibri"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2"/>
  </w:num>
  <w:num w:numId="3">
    <w:abstractNumId w:val="36"/>
  </w:num>
  <w:num w:numId="4">
    <w:abstractNumId w:val="13"/>
  </w:num>
  <w:num w:numId="5">
    <w:abstractNumId w:val="26"/>
  </w:num>
  <w:num w:numId="6">
    <w:abstractNumId w:val="27"/>
  </w:num>
  <w:num w:numId="7">
    <w:abstractNumId w:val="11"/>
  </w:num>
  <w:num w:numId="8">
    <w:abstractNumId w:val="15"/>
  </w:num>
  <w:num w:numId="9">
    <w:abstractNumId w:val="17"/>
  </w:num>
  <w:num w:numId="10">
    <w:abstractNumId w:val="23"/>
  </w:num>
  <w:num w:numId="11">
    <w:abstractNumId w:val="21"/>
  </w:num>
  <w:num w:numId="12">
    <w:abstractNumId w:val="24"/>
  </w:num>
  <w:num w:numId="13">
    <w:abstractNumId w:val="30"/>
  </w:num>
  <w:num w:numId="14">
    <w:abstractNumId w:val="14"/>
  </w:num>
  <w:num w:numId="15">
    <w:abstractNumId w:val="35"/>
  </w:num>
  <w:num w:numId="16">
    <w:abstractNumId w:val="19"/>
  </w:num>
  <w:num w:numId="17">
    <w:abstractNumId w:val="28"/>
  </w:num>
  <w:num w:numId="18">
    <w:abstractNumId w:val="32"/>
  </w:num>
  <w:num w:numId="19">
    <w:abstractNumId w:val="16"/>
  </w:num>
  <w:num w:numId="20">
    <w:abstractNumId w:val="29"/>
  </w:num>
  <w:num w:numId="21">
    <w:abstractNumId w:val="22"/>
  </w:num>
  <w:num w:numId="22">
    <w:abstractNumId w:val="25"/>
  </w:num>
  <w:num w:numId="23">
    <w:abstractNumId w:val="33"/>
  </w:num>
  <w:num w:numId="24">
    <w:abstractNumId w:val="34"/>
  </w:num>
  <w:num w:numId="25">
    <w:abstractNumId w:val="37"/>
  </w:num>
  <w:num w:numId="26">
    <w:abstractNumId w:val="37"/>
    <w:lvlOverride w:ilvl="0">
      <w:startOverride w:val="1"/>
    </w:lvlOverride>
  </w:num>
  <w:num w:numId="27">
    <w:abstractNumId w:val="37"/>
    <w:lvlOverride w:ilvl="0">
      <w:startOverride w:val="1"/>
    </w:lvlOverride>
  </w:num>
  <w:num w:numId="28">
    <w:abstractNumId w:val="37"/>
    <w:lvlOverride w:ilvl="0">
      <w:startOverride w:val="1"/>
    </w:lvlOverride>
  </w:num>
  <w:num w:numId="29">
    <w:abstractNumId w:val="37"/>
    <w:lvlOverride w:ilvl="0">
      <w:startOverride w:val="1"/>
    </w:lvlOverride>
  </w:num>
  <w:num w:numId="30">
    <w:abstractNumId w:val="37"/>
    <w:lvlOverride w:ilvl="0">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8"/>
  </w:num>
  <w:num w:numId="42">
    <w:abstractNumId w:val="18"/>
    <w:lvlOverride w:ilvl="0">
      <w:startOverride w:val="1"/>
    </w:lvlOverride>
  </w:num>
  <w:num w:numId="43">
    <w:abstractNumId w:val="10"/>
  </w:num>
  <w:num w:numId="44">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activeWritingStyle w:appName="MSWord" w:lang="en-US"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IE"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C1"/>
    <w:rsid w:val="00002B90"/>
    <w:rsid w:val="000149C4"/>
    <w:rsid w:val="00017859"/>
    <w:rsid w:val="000246BD"/>
    <w:rsid w:val="000443FF"/>
    <w:rsid w:val="00050C51"/>
    <w:rsid w:val="000667B7"/>
    <w:rsid w:val="000707B7"/>
    <w:rsid w:val="000A5A04"/>
    <w:rsid w:val="00112A47"/>
    <w:rsid w:val="00114788"/>
    <w:rsid w:val="001308D1"/>
    <w:rsid w:val="00151B47"/>
    <w:rsid w:val="0016204B"/>
    <w:rsid w:val="00172D2A"/>
    <w:rsid w:val="00192BBB"/>
    <w:rsid w:val="001970F5"/>
    <w:rsid w:val="00201078"/>
    <w:rsid w:val="00216343"/>
    <w:rsid w:val="002215A4"/>
    <w:rsid w:val="00236417"/>
    <w:rsid w:val="002373B9"/>
    <w:rsid w:val="00257008"/>
    <w:rsid w:val="002676F8"/>
    <w:rsid w:val="00295B3F"/>
    <w:rsid w:val="002B4D96"/>
    <w:rsid w:val="002D45B3"/>
    <w:rsid w:val="002E2E97"/>
    <w:rsid w:val="00307EEB"/>
    <w:rsid w:val="00317985"/>
    <w:rsid w:val="00330C11"/>
    <w:rsid w:val="0034286B"/>
    <w:rsid w:val="00345377"/>
    <w:rsid w:val="0034700F"/>
    <w:rsid w:val="00353BC1"/>
    <w:rsid w:val="003800BB"/>
    <w:rsid w:val="00384650"/>
    <w:rsid w:val="003A4DCA"/>
    <w:rsid w:val="003A4EAF"/>
    <w:rsid w:val="003A7C76"/>
    <w:rsid w:val="003D2D70"/>
    <w:rsid w:val="00413AEA"/>
    <w:rsid w:val="00450DA9"/>
    <w:rsid w:val="004731C6"/>
    <w:rsid w:val="004770E8"/>
    <w:rsid w:val="00477D02"/>
    <w:rsid w:val="0048432B"/>
    <w:rsid w:val="004E5F5E"/>
    <w:rsid w:val="004F2A94"/>
    <w:rsid w:val="004F5593"/>
    <w:rsid w:val="005149AA"/>
    <w:rsid w:val="005A6ECD"/>
    <w:rsid w:val="005B531C"/>
    <w:rsid w:val="005B583A"/>
    <w:rsid w:val="0060032F"/>
    <w:rsid w:val="006007B3"/>
    <w:rsid w:val="00615F0A"/>
    <w:rsid w:val="006227FE"/>
    <w:rsid w:val="0065101B"/>
    <w:rsid w:val="00697A50"/>
    <w:rsid w:val="006F01AC"/>
    <w:rsid w:val="007040E3"/>
    <w:rsid w:val="0071494B"/>
    <w:rsid w:val="00735667"/>
    <w:rsid w:val="007470E3"/>
    <w:rsid w:val="0075083A"/>
    <w:rsid w:val="00750EE9"/>
    <w:rsid w:val="00755DE3"/>
    <w:rsid w:val="00791BCA"/>
    <w:rsid w:val="007C6EBD"/>
    <w:rsid w:val="007D19C8"/>
    <w:rsid w:val="007E2F06"/>
    <w:rsid w:val="00814D37"/>
    <w:rsid w:val="008737AC"/>
    <w:rsid w:val="008A371B"/>
    <w:rsid w:val="008F50A9"/>
    <w:rsid w:val="00900DBF"/>
    <w:rsid w:val="00936CF1"/>
    <w:rsid w:val="009565A8"/>
    <w:rsid w:val="009653F4"/>
    <w:rsid w:val="0097299E"/>
    <w:rsid w:val="009932CE"/>
    <w:rsid w:val="00994479"/>
    <w:rsid w:val="009B26EC"/>
    <w:rsid w:val="009B2DEE"/>
    <w:rsid w:val="009C587B"/>
    <w:rsid w:val="009D645D"/>
    <w:rsid w:val="00A225EA"/>
    <w:rsid w:val="00A417FC"/>
    <w:rsid w:val="00A84A66"/>
    <w:rsid w:val="00AD22BF"/>
    <w:rsid w:val="00AD5272"/>
    <w:rsid w:val="00AE1FAC"/>
    <w:rsid w:val="00AF3A1F"/>
    <w:rsid w:val="00AF3C1E"/>
    <w:rsid w:val="00B22BD6"/>
    <w:rsid w:val="00B5161B"/>
    <w:rsid w:val="00B57D37"/>
    <w:rsid w:val="00B71BA3"/>
    <w:rsid w:val="00B93425"/>
    <w:rsid w:val="00BA2CD4"/>
    <w:rsid w:val="00BD3F8C"/>
    <w:rsid w:val="00BF0E9E"/>
    <w:rsid w:val="00BF3504"/>
    <w:rsid w:val="00C27CF9"/>
    <w:rsid w:val="00C449AD"/>
    <w:rsid w:val="00C452B2"/>
    <w:rsid w:val="00C53A53"/>
    <w:rsid w:val="00C715A4"/>
    <w:rsid w:val="00C75E33"/>
    <w:rsid w:val="00CA6706"/>
    <w:rsid w:val="00CD1280"/>
    <w:rsid w:val="00CE11D6"/>
    <w:rsid w:val="00CF11A3"/>
    <w:rsid w:val="00D17B57"/>
    <w:rsid w:val="00D92B4A"/>
    <w:rsid w:val="00D94C85"/>
    <w:rsid w:val="00DB22A8"/>
    <w:rsid w:val="00DB230E"/>
    <w:rsid w:val="00DB7778"/>
    <w:rsid w:val="00DB7EF4"/>
    <w:rsid w:val="00DC6BB5"/>
    <w:rsid w:val="00DD227F"/>
    <w:rsid w:val="00DE6F8E"/>
    <w:rsid w:val="00DF424A"/>
    <w:rsid w:val="00E118BF"/>
    <w:rsid w:val="00E21236"/>
    <w:rsid w:val="00E57C18"/>
    <w:rsid w:val="00E930FB"/>
    <w:rsid w:val="00E96714"/>
    <w:rsid w:val="00ED7B94"/>
    <w:rsid w:val="00EE22DA"/>
    <w:rsid w:val="00F07805"/>
    <w:rsid w:val="00F1000D"/>
    <w:rsid w:val="00F15C70"/>
    <w:rsid w:val="00F85ADD"/>
    <w:rsid w:val="00F901E9"/>
    <w:rsid w:val="00F92323"/>
    <w:rsid w:val="00FD5F83"/>
    <w:rsid w:val="00FD6A19"/>
    <w:rsid w:val="00FD7574"/>
    <w:rsid w:val="00FE2245"/>
    <w:rsid w:val="00FE3D86"/>
    <w:rsid w:val="00FF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2" w:qFormat="1"/>
    <w:lsdException w:name="heading 3" w:uiPriority="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0E3"/>
    <w:rPr>
      <w:sz w:val="24"/>
      <w:szCs w:val="24"/>
    </w:rPr>
  </w:style>
  <w:style w:type="paragraph" w:styleId="Heading1">
    <w:name w:val="heading 1"/>
    <w:basedOn w:val="Normal"/>
    <w:next w:val="Paragraph"/>
    <w:link w:val="Heading1Char"/>
    <w:uiPriority w:val="1"/>
    <w:qFormat/>
    <w:rsid w:val="007470E3"/>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7470E3"/>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7470E3"/>
    <w:pPr>
      <w:keepNext/>
      <w:spacing w:before="240" w:after="60"/>
      <w:outlineLvl w:val="2"/>
    </w:pPr>
    <w:rPr>
      <w:rFonts w:ascii="Arial" w:hAnsi="Arial"/>
      <w:b/>
      <w:bCs/>
      <w:szCs w:val="26"/>
    </w:rPr>
  </w:style>
  <w:style w:type="paragraph" w:styleId="Heading4">
    <w:name w:val="heading 4"/>
    <w:basedOn w:val="Normal"/>
    <w:next w:val="Normal"/>
    <w:link w:val="Heading4Char"/>
    <w:qFormat/>
    <w:rsid w:val="007470E3"/>
    <w:pPr>
      <w:keepNext/>
      <w:spacing w:before="240" w:after="60"/>
      <w:outlineLvl w:val="3"/>
    </w:pPr>
    <w:rPr>
      <w:rFonts w:ascii="Arial" w:hAnsi="Arial"/>
      <w:b/>
      <w:bCs/>
      <w:i/>
      <w:szCs w:val="28"/>
    </w:rPr>
  </w:style>
  <w:style w:type="paragraph" w:styleId="Heading5">
    <w:name w:val="heading 5"/>
    <w:basedOn w:val="Normal"/>
    <w:next w:val="Normal"/>
    <w:qFormat/>
    <w:rsid w:val="007470E3"/>
    <w:pPr>
      <w:keepNext/>
      <w:outlineLvl w:val="4"/>
    </w:pPr>
    <w:rPr>
      <w:b/>
    </w:rPr>
  </w:style>
  <w:style w:type="character" w:default="1" w:styleId="DefaultParagraphFont">
    <w:name w:val="Default Paragraph Font"/>
    <w:uiPriority w:val="1"/>
    <w:semiHidden/>
    <w:unhideWhenUsed/>
    <w:rsid w:val="007470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70E3"/>
  </w:style>
  <w:style w:type="paragraph" w:styleId="Header">
    <w:name w:val="header"/>
    <w:basedOn w:val="Normal"/>
    <w:link w:val="HeaderChar"/>
    <w:uiPriority w:val="99"/>
    <w:rsid w:val="007470E3"/>
    <w:pPr>
      <w:tabs>
        <w:tab w:val="center" w:pos="4513"/>
        <w:tab w:val="right" w:pos="9026"/>
      </w:tabs>
    </w:pPr>
    <w:rPr>
      <w:rFonts w:ascii="Arial" w:hAnsi="Arial"/>
    </w:rPr>
  </w:style>
  <w:style w:type="paragraph" w:styleId="BodyText">
    <w:name w:val="Body Text"/>
    <w:basedOn w:val="Normal"/>
    <w:rsid w:val="007470E3"/>
    <w:rPr>
      <w:b/>
      <w:bCs/>
    </w:rPr>
  </w:style>
  <w:style w:type="paragraph" w:styleId="NormalWeb">
    <w:name w:val="Normal (Web)"/>
    <w:basedOn w:val="Normal"/>
    <w:rsid w:val="007470E3"/>
    <w:pPr>
      <w:spacing w:before="100" w:beforeAutospacing="1" w:after="100" w:afterAutospacing="1"/>
    </w:pPr>
  </w:style>
  <w:style w:type="paragraph" w:styleId="Footer">
    <w:name w:val="footer"/>
    <w:basedOn w:val="Normal"/>
    <w:link w:val="FooterChar"/>
    <w:uiPriority w:val="99"/>
    <w:rsid w:val="007470E3"/>
    <w:pPr>
      <w:tabs>
        <w:tab w:val="center" w:pos="4513"/>
        <w:tab w:val="right" w:pos="9026"/>
      </w:tabs>
    </w:pPr>
    <w:rPr>
      <w:rFonts w:ascii="Arial" w:hAnsi="Arial"/>
      <w:sz w:val="20"/>
    </w:rPr>
  </w:style>
  <w:style w:type="character" w:styleId="PageNumber">
    <w:name w:val="page number"/>
    <w:rsid w:val="007470E3"/>
    <w:rPr>
      <w:rFonts w:ascii="Arial" w:hAnsi="Arial"/>
      <w:sz w:val="24"/>
    </w:rPr>
  </w:style>
  <w:style w:type="paragraph" w:customStyle="1" w:styleId="NICEnormal">
    <w:name w:val="NICE normal"/>
    <w:rsid w:val="007470E3"/>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7470E3"/>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7470E3"/>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7470E3"/>
    <w:pPr>
      <w:spacing w:line="240" w:lineRule="auto"/>
    </w:pPr>
  </w:style>
  <w:style w:type="paragraph" w:styleId="Title">
    <w:name w:val="Title"/>
    <w:basedOn w:val="Normal"/>
    <w:next w:val="Heading1"/>
    <w:link w:val="TitleChar"/>
    <w:qFormat/>
    <w:rsid w:val="007470E3"/>
    <w:pPr>
      <w:spacing w:before="240" w:after="240"/>
      <w:jc w:val="center"/>
      <w:outlineLvl w:val="0"/>
    </w:pPr>
    <w:rPr>
      <w:rFonts w:ascii="Arial" w:hAnsi="Arial"/>
      <w:b/>
      <w:bCs/>
      <w:kern w:val="28"/>
      <w:sz w:val="32"/>
      <w:szCs w:val="32"/>
    </w:rPr>
  </w:style>
  <w:style w:type="paragraph" w:customStyle="1" w:styleId="Title16pt">
    <w:name w:val="Title 16 pt"/>
    <w:basedOn w:val="Title"/>
    <w:link w:val="Title16ptChar"/>
    <w:rsid w:val="007470E3"/>
  </w:style>
  <w:style w:type="paragraph" w:customStyle="1" w:styleId="Introtext">
    <w:name w:val="Intro text"/>
    <w:basedOn w:val="NICEnormalsinglespacing"/>
    <w:rsid w:val="007470E3"/>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470E3"/>
    <w:pPr>
      <w:numPr>
        <w:numId w:val="1"/>
      </w:numPr>
      <w:tabs>
        <w:tab w:val="clear" w:pos="1134"/>
        <w:tab w:val="num" w:pos="720"/>
      </w:tabs>
      <w:ind w:left="720" w:hanging="360"/>
    </w:pPr>
    <w:rPr>
      <w:szCs w:val="24"/>
    </w:rPr>
  </w:style>
  <w:style w:type="paragraph" w:customStyle="1" w:styleId="Numberedheading2">
    <w:name w:val="Numbered heading 2"/>
    <w:basedOn w:val="Heading2"/>
    <w:next w:val="NICEnormal"/>
    <w:link w:val="Numberedheading2Char"/>
    <w:rsid w:val="007470E3"/>
    <w:pPr>
      <w:numPr>
        <w:ilvl w:val="1"/>
        <w:numId w:val="1"/>
      </w:numPr>
      <w:tabs>
        <w:tab w:val="clear" w:pos="1134"/>
        <w:tab w:val="num" w:pos="1440"/>
      </w:tabs>
      <w:ind w:left="1440" w:hanging="360"/>
    </w:pPr>
  </w:style>
  <w:style w:type="paragraph" w:customStyle="1" w:styleId="Numberedheading3">
    <w:name w:val="Numbered heading 3"/>
    <w:basedOn w:val="Heading3"/>
    <w:next w:val="NICEnormal"/>
    <w:rsid w:val="007470E3"/>
    <w:pPr>
      <w:numPr>
        <w:ilvl w:val="2"/>
        <w:numId w:val="1"/>
      </w:numPr>
    </w:pPr>
    <w:rPr>
      <w:sz w:val="26"/>
    </w:rPr>
  </w:style>
  <w:style w:type="paragraph" w:customStyle="1" w:styleId="Numberedlevel4text">
    <w:name w:val="Numbered level 4 text"/>
    <w:basedOn w:val="NICEnormal"/>
    <w:next w:val="NICEnormal"/>
    <w:rsid w:val="007470E3"/>
    <w:pPr>
      <w:numPr>
        <w:ilvl w:val="3"/>
        <w:numId w:val="1"/>
      </w:numPr>
    </w:pPr>
  </w:style>
  <w:style w:type="paragraph" w:customStyle="1" w:styleId="Numberedlevel3text">
    <w:name w:val="Numbered level 3 text"/>
    <w:basedOn w:val="Numberedheading3"/>
    <w:rsid w:val="007470E3"/>
    <w:pPr>
      <w:spacing w:before="0" w:after="240"/>
    </w:pPr>
    <w:rPr>
      <w:b w:val="0"/>
      <w:sz w:val="24"/>
    </w:rPr>
  </w:style>
  <w:style w:type="paragraph" w:customStyle="1" w:styleId="Bulletindent2">
    <w:name w:val="Bullet indent 2"/>
    <w:basedOn w:val="NICEnormal"/>
    <w:rsid w:val="007470E3"/>
    <w:pPr>
      <w:numPr>
        <w:ilvl w:val="1"/>
        <w:numId w:val="5"/>
      </w:numPr>
      <w:spacing w:after="0"/>
      <w:ind w:left="1702" w:hanging="284"/>
    </w:pPr>
  </w:style>
  <w:style w:type="paragraph" w:customStyle="1" w:styleId="Title16ptleft">
    <w:name w:val="Title 16 pt left"/>
    <w:basedOn w:val="Title16pt"/>
    <w:rsid w:val="007470E3"/>
    <w:pPr>
      <w:jc w:val="left"/>
    </w:pPr>
  </w:style>
  <w:style w:type="paragraph" w:customStyle="1" w:styleId="Bulletleft1">
    <w:name w:val="Bullet left 1"/>
    <w:basedOn w:val="NICEnormal"/>
    <w:rsid w:val="007470E3"/>
    <w:pPr>
      <w:numPr>
        <w:numId w:val="4"/>
      </w:numPr>
      <w:spacing w:after="0"/>
    </w:pPr>
  </w:style>
  <w:style w:type="paragraph" w:customStyle="1" w:styleId="Bulletleft2">
    <w:name w:val="Bullet left 2"/>
    <w:basedOn w:val="NICEnormal"/>
    <w:rsid w:val="007470E3"/>
    <w:pPr>
      <w:numPr>
        <w:ilvl w:val="1"/>
        <w:numId w:val="2"/>
      </w:numPr>
      <w:spacing w:after="0"/>
      <w:ind w:left="568" w:hanging="284"/>
    </w:pPr>
  </w:style>
  <w:style w:type="paragraph" w:customStyle="1" w:styleId="Bulletleft3">
    <w:name w:val="Bullet left 3"/>
    <w:basedOn w:val="NICEnormal"/>
    <w:rsid w:val="007470E3"/>
    <w:pPr>
      <w:numPr>
        <w:ilvl w:val="2"/>
        <w:numId w:val="3"/>
      </w:numPr>
      <w:spacing w:after="0"/>
    </w:pPr>
  </w:style>
  <w:style w:type="paragraph" w:customStyle="1" w:styleId="Bulletindent1">
    <w:name w:val="Bullet indent 1"/>
    <w:basedOn w:val="NICEnormal"/>
    <w:rsid w:val="007470E3"/>
    <w:pPr>
      <w:numPr>
        <w:numId w:val="7"/>
      </w:numPr>
      <w:spacing w:after="0"/>
    </w:pPr>
  </w:style>
  <w:style w:type="character" w:customStyle="1" w:styleId="Heading1Char">
    <w:name w:val="Heading 1 Char"/>
    <w:link w:val="Heading1"/>
    <w:uiPriority w:val="1"/>
    <w:rsid w:val="007470E3"/>
    <w:rPr>
      <w:rFonts w:ascii="Arial" w:hAnsi="Arial"/>
      <w:b/>
      <w:bCs/>
      <w:kern w:val="32"/>
      <w:sz w:val="28"/>
      <w:szCs w:val="32"/>
    </w:rPr>
  </w:style>
  <w:style w:type="character" w:customStyle="1" w:styleId="Numberedheading1CharChar">
    <w:name w:val="Numbered heading 1 Char Char"/>
    <w:link w:val="Numberedheading1"/>
    <w:rsid w:val="007470E3"/>
    <w:rPr>
      <w:rFonts w:ascii="Arial" w:hAnsi="Arial"/>
      <w:b/>
      <w:bCs/>
      <w:kern w:val="32"/>
      <w:sz w:val="28"/>
      <w:szCs w:val="24"/>
    </w:rPr>
  </w:style>
  <w:style w:type="paragraph" w:customStyle="1" w:styleId="Bulletindent3">
    <w:name w:val="Bullet indent 3"/>
    <w:basedOn w:val="NICEnormal"/>
    <w:rsid w:val="007470E3"/>
    <w:pPr>
      <w:numPr>
        <w:ilvl w:val="2"/>
        <w:numId w:val="6"/>
      </w:numPr>
      <w:spacing w:after="0"/>
    </w:pPr>
  </w:style>
  <w:style w:type="paragraph" w:customStyle="1" w:styleId="Numberedlevel2text">
    <w:name w:val="Numbered level 2 text"/>
    <w:basedOn w:val="Numberedheading2"/>
    <w:rsid w:val="007470E3"/>
    <w:pPr>
      <w:spacing w:before="0" w:after="240"/>
    </w:pPr>
    <w:rPr>
      <w:b w:val="0"/>
      <w:i w:val="0"/>
      <w:sz w:val="24"/>
    </w:rPr>
  </w:style>
  <w:style w:type="paragraph" w:customStyle="1" w:styleId="Bulletleft1last">
    <w:name w:val="Bullet left 1 last"/>
    <w:basedOn w:val="NICEnormal"/>
    <w:rsid w:val="007470E3"/>
    <w:pPr>
      <w:numPr>
        <w:numId w:val="8"/>
      </w:numPr>
    </w:pPr>
    <w:rPr>
      <w:rFonts w:cs="Arial"/>
    </w:rPr>
  </w:style>
  <w:style w:type="paragraph" w:customStyle="1" w:styleId="boxedtext">
    <w:name w:val="boxed text"/>
    <w:basedOn w:val="NICEnormal"/>
    <w:rsid w:val="007470E3"/>
    <w:pPr>
      <w:pBdr>
        <w:top w:val="single" w:sz="4" w:space="1" w:color="auto"/>
        <w:left w:val="single" w:sz="4" w:space="4" w:color="auto"/>
        <w:bottom w:val="single" w:sz="4" w:space="1" w:color="auto"/>
        <w:right w:val="single" w:sz="4" w:space="4" w:color="auto"/>
      </w:pBdr>
      <w:shd w:val="clear" w:color="auto" w:fill="E6E6E6"/>
    </w:pPr>
  </w:style>
  <w:style w:type="paragraph" w:customStyle="1" w:styleId="Bulletindent1last">
    <w:name w:val="Bullet indent 1 last"/>
    <w:basedOn w:val="NICEnormal"/>
    <w:next w:val="NICEnormal"/>
    <w:rsid w:val="007470E3"/>
    <w:pPr>
      <w:numPr>
        <w:numId w:val="9"/>
      </w:numPr>
    </w:pPr>
  </w:style>
  <w:style w:type="paragraph" w:customStyle="1" w:styleId="NICEnormalindented">
    <w:name w:val="NICE normal indented"/>
    <w:basedOn w:val="NICEnormal"/>
    <w:rsid w:val="007470E3"/>
    <w:pPr>
      <w:tabs>
        <w:tab w:val="left" w:pos="1134"/>
      </w:tabs>
      <w:ind w:left="1134"/>
    </w:pPr>
  </w:style>
  <w:style w:type="paragraph" w:customStyle="1" w:styleId="Tabletitle">
    <w:name w:val="Table title"/>
    <w:basedOn w:val="NICEnormal"/>
    <w:next w:val="NICEnormal"/>
    <w:rsid w:val="007470E3"/>
    <w:pPr>
      <w:keepNext/>
      <w:spacing w:after="60" w:line="240" w:lineRule="auto"/>
    </w:pPr>
    <w:rPr>
      <w:b/>
    </w:rPr>
  </w:style>
  <w:style w:type="paragraph" w:customStyle="1" w:styleId="Tabletext">
    <w:name w:val="Table text"/>
    <w:basedOn w:val="NICEnormalsinglespacing"/>
    <w:rsid w:val="007470E3"/>
    <w:pPr>
      <w:keepNext/>
      <w:spacing w:after="60"/>
    </w:pPr>
    <w:rPr>
      <w:sz w:val="22"/>
    </w:rPr>
  </w:style>
  <w:style w:type="paragraph" w:customStyle="1" w:styleId="TabletextIPoverviewevidence">
    <w:name w:val="Table text IP overview evidence"/>
    <w:basedOn w:val="Tabletext"/>
    <w:rsid w:val="007470E3"/>
    <w:rPr>
      <w:sz w:val="18"/>
    </w:rPr>
  </w:style>
  <w:style w:type="paragraph" w:customStyle="1" w:styleId="Section2paragraphs">
    <w:name w:val="Section 2 paragraphs"/>
    <w:basedOn w:val="NICEnormal"/>
    <w:rsid w:val="007470E3"/>
    <w:pPr>
      <w:numPr>
        <w:numId w:val="10"/>
      </w:numPr>
    </w:pPr>
  </w:style>
  <w:style w:type="paragraph" w:customStyle="1" w:styleId="Section3paragraphs">
    <w:name w:val="Section 3 paragraphs"/>
    <w:basedOn w:val="NICEnormal"/>
    <w:rsid w:val="007470E3"/>
    <w:pPr>
      <w:numPr>
        <w:numId w:val="11"/>
      </w:numPr>
    </w:pPr>
  </w:style>
  <w:style w:type="paragraph" w:customStyle="1" w:styleId="Section411paragraphs">
    <w:name w:val="Section 4.1.1 paragraphs"/>
    <w:basedOn w:val="NICEnormal"/>
    <w:rsid w:val="007470E3"/>
    <w:pPr>
      <w:numPr>
        <w:numId w:val="12"/>
      </w:numPr>
    </w:pPr>
  </w:style>
  <w:style w:type="character" w:customStyle="1" w:styleId="Heading2Char">
    <w:name w:val="Heading 2 Char"/>
    <w:link w:val="Heading2"/>
    <w:uiPriority w:val="2"/>
    <w:rsid w:val="007470E3"/>
    <w:rPr>
      <w:rFonts w:ascii="Arial" w:hAnsi="Arial"/>
      <w:b/>
      <w:bCs/>
      <w:i/>
      <w:iCs/>
      <w:sz w:val="28"/>
      <w:szCs w:val="28"/>
    </w:rPr>
  </w:style>
  <w:style w:type="character" w:customStyle="1" w:styleId="Numberedheading2Char">
    <w:name w:val="Numbered heading 2 Char"/>
    <w:basedOn w:val="Heading2Char"/>
    <w:link w:val="Numberedheading2"/>
    <w:rsid w:val="007470E3"/>
    <w:rPr>
      <w:rFonts w:ascii="Arial" w:hAnsi="Arial"/>
      <w:b/>
      <w:bCs/>
      <w:i/>
      <w:iCs/>
      <w:sz w:val="28"/>
      <w:szCs w:val="28"/>
    </w:rPr>
  </w:style>
  <w:style w:type="paragraph" w:customStyle="1" w:styleId="Section412paragraphs">
    <w:name w:val="Section 4.1.2 paragraphs"/>
    <w:basedOn w:val="NICEnormal"/>
    <w:rsid w:val="007470E3"/>
    <w:pPr>
      <w:numPr>
        <w:numId w:val="13"/>
      </w:numPr>
    </w:pPr>
  </w:style>
  <w:style w:type="paragraph" w:customStyle="1" w:styleId="Section42paragraphs">
    <w:name w:val="Section 4.2 paragraphs"/>
    <w:basedOn w:val="NICEnormal"/>
    <w:rsid w:val="007470E3"/>
    <w:pPr>
      <w:numPr>
        <w:numId w:val="14"/>
      </w:numPr>
    </w:pPr>
  </w:style>
  <w:style w:type="paragraph" w:customStyle="1" w:styleId="Section43paragraphs">
    <w:name w:val="Section 4.3 paragraphs"/>
    <w:basedOn w:val="NICEnormal"/>
    <w:rsid w:val="007470E3"/>
    <w:pPr>
      <w:numPr>
        <w:numId w:val="15"/>
      </w:numPr>
    </w:pPr>
  </w:style>
  <w:style w:type="paragraph" w:customStyle="1" w:styleId="Appendixlevel1">
    <w:name w:val="Appendix level 1"/>
    <w:basedOn w:val="NICEnormal"/>
    <w:autoRedefine/>
    <w:rsid w:val="007470E3"/>
    <w:pPr>
      <w:numPr>
        <w:numId w:val="16"/>
      </w:numPr>
      <w:spacing w:before="240"/>
    </w:pPr>
  </w:style>
  <w:style w:type="paragraph" w:customStyle="1" w:styleId="Appendixlevel2">
    <w:name w:val="Appendix level 2"/>
    <w:basedOn w:val="NICEnormal"/>
    <w:rsid w:val="007470E3"/>
    <w:pPr>
      <w:numPr>
        <w:numId w:val="17"/>
      </w:numPr>
      <w:spacing w:before="240"/>
    </w:pPr>
  </w:style>
  <w:style w:type="paragraph" w:customStyle="1" w:styleId="Appendixbullet">
    <w:name w:val="Appendix bullet"/>
    <w:basedOn w:val="NICEnormal"/>
    <w:rsid w:val="007470E3"/>
    <w:pPr>
      <w:numPr>
        <w:numId w:val="18"/>
      </w:numPr>
      <w:spacing w:after="0" w:line="240" w:lineRule="auto"/>
    </w:pPr>
  </w:style>
  <w:style w:type="paragraph" w:customStyle="1" w:styleId="Appendixreferences">
    <w:name w:val="Appendix references"/>
    <w:basedOn w:val="NICEnormal"/>
    <w:rsid w:val="007470E3"/>
    <w:pPr>
      <w:tabs>
        <w:tab w:val="left" w:pos="567"/>
      </w:tabs>
      <w:spacing w:after="120" w:line="240" w:lineRule="auto"/>
      <w:ind w:left="567"/>
    </w:pPr>
  </w:style>
  <w:style w:type="paragraph" w:customStyle="1" w:styleId="References">
    <w:name w:val="References"/>
    <w:basedOn w:val="NICEnormalsinglespacing"/>
    <w:rsid w:val="007470E3"/>
    <w:pPr>
      <w:numPr>
        <w:numId w:val="19"/>
      </w:numPr>
      <w:spacing w:after="120"/>
    </w:pPr>
  </w:style>
  <w:style w:type="character" w:customStyle="1" w:styleId="TitleChar">
    <w:name w:val="Title Char"/>
    <w:link w:val="Title"/>
    <w:rsid w:val="007470E3"/>
    <w:rPr>
      <w:rFonts w:ascii="Arial" w:hAnsi="Arial"/>
      <w:b/>
      <w:bCs/>
      <w:kern w:val="28"/>
      <w:sz w:val="32"/>
      <w:szCs w:val="32"/>
    </w:rPr>
  </w:style>
  <w:style w:type="character" w:customStyle="1" w:styleId="Title16ptChar">
    <w:name w:val="Title 16 pt Char"/>
    <w:link w:val="Title16pt"/>
    <w:rsid w:val="007470E3"/>
    <w:rPr>
      <w:rFonts w:ascii="Arial" w:hAnsi="Arial"/>
      <w:b/>
      <w:bCs/>
      <w:kern w:val="28"/>
      <w:sz w:val="32"/>
      <w:szCs w:val="32"/>
    </w:rPr>
  </w:style>
  <w:style w:type="paragraph" w:styleId="BalloonText">
    <w:name w:val="Balloon Text"/>
    <w:basedOn w:val="Normal"/>
    <w:link w:val="BalloonTextChar"/>
    <w:semiHidden/>
    <w:rsid w:val="007470E3"/>
    <w:rPr>
      <w:rFonts w:ascii="Tahoma" w:hAnsi="Tahoma" w:cs="Tahoma"/>
      <w:sz w:val="16"/>
      <w:szCs w:val="16"/>
    </w:rPr>
  </w:style>
  <w:style w:type="character" w:customStyle="1" w:styleId="HeaderChar">
    <w:name w:val="Header Char"/>
    <w:link w:val="Header"/>
    <w:uiPriority w:val="99"/>
    <w:rsid w:val="007470E3"/>
    <w:rPr>
      <w:rFonts w:ascii="Arial" w:hAnsi="Arial"/>
      <w:sz w:val="24"/>
      <w:szCs w:val="24"/>
    </w:rPr>
  </w:style>
  <w:style w:type="character" w:styleId="CommentReference">
    <w:name w:val="annotation reference"/>
    <w:rsid w:val="007470E3"/>
    <w:rPr>
      <w:sz w:val="16"/>
      <w:szCs w:val="16"/>
    </w:rPr>
  </w:style>
  <w:style w:type="paragraph" w:styleId="CommentText">
    <w:name w:val="annotation text"/>
    <w:basedOn w:val="Normal"/>
    <w:link w:val="CommentTextChar"/>
    <w:rsid w:val="007470E3"/>
  </w:style>
  <w:style w:type="character" w:customStyle="1" w:styleId="CommentTextChar">
    <w:name w:val="Comment Text Char"/>
    <w:link w:val="CommentText"/>
    <w:rsid w:val="007470E3"/>
    <w:rPr>
      <w:sz w:val="24"/>
      <w:szCs w:val="24"/>
    </w:rPr>
  </w:style>
  <w:style w:type="paragraph" w:styleId="CommentSubject">
    <w:name w:val="annotation subject"/>
    <w:basedOn w:val="CommentText"/>
    <w:next w:val="CommentText"/>
    <w:link w:val="CommentSubjectChar"/>
    <w:rsid w:val="007470E3"/>
    <w:rPr>
      <w:b/>
      <w:bCs/>
    </w:rPr>
  </w:style>
  <w:style w:type="character" w:customStyle="1" w:styleId="CommentSubjectChar">
    <w:name w:val="Comment Subject Char"/>
    <w:link w:val="CommentSubject"/>
    <w:rsid w:val="007470E3"/>
    <w:rPr>
      <w:b/>
      <w:bCs/>
      <w:sz w:val="24"/>
      <w:szCs w:val="24"/>
    </w:rPr>
  </w:style>
  <w:style w:type="paragraph" w:customStyle="1" w:styleId="Paragraph">
    <w:name w:val="Paragraph"/>
    <w:basedOn w:val="Normal"/>
    <w:uiPriority w:val="4"/>
    <w:qFormat/>
    <w:rsid w:val="007470E3"/>
    <w:pPr>
      <w:numPr>
        <w:numId w:val="24"/>
      </w:numPr>
      <w:spacing w:before="240" w:after="240" w:line="360" w:lineRule="auto"/>
      <w:ind w:left="709" w:hanging="709"/>
    </w:pPr>
    <w:rPr>
      <w:rFonts w:ascii="Arial" w:hAnsi="Arial"/>
    </w:rPr>
  </w:style>
  <w:style w:type="paragraph" w:customStyle="1" w:styleId="Bullets">
    <w:name w:val="Bullets"/>
    <w:basedOn w:val="Normal"/>
    <w:uiPriority w:val="5"/>
    <w:qFormat/>
    <w:rsid w:val="007470E3"/>
    <w:pPr>
      <w:numPr>
        <w:numId w:val="26"/>
      </w:numPr>
      <w:spacing w:line="360" w:lineRule="auto"/>
    </w:pPr>
    <w:rPr>
      <w:rFonts w:ascii="Arial" w:hAnsi="Arial"/>
    </w:rPr>
  </w:style>
  <w:style w:type="character" w:customStyle="1" w:styleId="FooterChar">
    <w:name w:val="Footer Char"/>
    <w:link w:val="Footer"/>
    <w:uiPriority w:val="99"/>
    <w:rsid w:val="007470E3"/>
    <w:rPr>
      <w:rFonts w:ascii="Arial" w:hAnsi="Arial"/>
      <w:szCs w:val="24"/>
    </w:rPr>
  </w:style>
  <w:style w:type="character" w:customStyle="1" w:styleId="BalloonTextChar">
    <w:name w:val="Balloon Text Char"/>
    <w:link w:val="BalloonText"/>
    <w:semiHidden/>
    <w:rsid w:val="007470E3"/>
    <w:rPr>
      <w:rFonts w:ascii="Tahoma" w:hAnsi="Tahoma" w:cs="Tahoma"/>
      <w:sz w:val="16"/>
      <w:szCs w:val="16"/>
    </w:rPr>
  </w:style>
  <w:style w:type="character" w:customStyle="1" w:styleId="Heading3Char">
    <w:name w:val="Heading 3 Char"/>
    <w:link w:val="Heading3"/>
    <w:uiPriority w:val="3"/>
    <w:rsid w:val="007470E3"/>
    <w:rPr>
      <w:rFonts w:ascii="Arial" w:hAnsi="Arial"/>
      <w:b/>
      <w:bCs/>
      <w:sz w:val="24"/>
      <w:szCs w:val="26"/>
    </w:rPr>
  </w:style>
  <w:style w:type="paragraph" w:customStyle="1" w:styleId="Subbullets">
    <w:name w:val="Sub bullets"/>
    <w:basedOn w:val="Normal"/>
    <w:uiPriority w:val="6"/>
    <w:qFormat/>
    <w:rsid w:val="007470E3"/>
    <w:pPr>
      <w:numPr>
        <w:numId w:val="42"/>
      </w:numPr>
      <w:spacing w:line="360" w:lineRule="auto"/>
      <w:ind w:left="1418" w:hanging="284"/>
    </w:pPr>
    <w:rPr>
      <w:rFonts w:ascii="Arial" w:hAnsi="Arial"/>
    </w:rPr>
  </w:style>
  <w:style w:type="paragraph" w:customStyle="1" w:styleId="Paragraphnonumbers">
    <w:name w:val="Paragraph no numbers"/>
    <w:basedOn w:val="Normal"/>
    <w:uiPriority w:val="99"/>
    <w:qFormat/>
    <w:rsid w:val="007470E3"/>
    <w:pPr>
      <w:spacing w:before="240" w:after="240" w:line="360" w:lineRule="auto"/>
    </w:pPr>
    <w:rPr>
      <w:rFonts w:ascii="Arial" w:hAnsi="Arial"/>
    </w:rPr>
  </w:style>
  <w:style w:type="table" w:styleId="TableGrid">
    <w:name w:val="Table Grid"/>
    <w:basedOn w:val="TableNormal"/>
    <w:rsid w:val="00747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rsid w:val="007470E3"/>
    <w:pPr>
      <w:spacing w:before="120"/>
    </w:pPr>
    <w:rPr>
      <w:rFonts w:ascii="Arial" w:hAnsi="Arial"/>
      <w:b/>
      <w:bCs/>
    </w:rPr>
  </w:style>
  <w:style w:type="paragraph" w:styleId="TOC1">
    <w:name w:val="toc 1"/>
    <w:basedOn w:val="Normal"/>
    <w:next w:val="Normal"/>
    <w:autoRedefine/>
    <w:rsid w:val="007470E3"/>
    <w:rPr>
      <w:rFonts w:ascii="Arial" w:hAnsi="Arial"/>
    </w:rPr>
  </w:style>
  <w:style w:type="paragraph" w:styleId="TOC2">
    <w:name w:val="toc 2"/>
    <w:basedOn w:val="Normal"/>
    <w:next w:val="Normal"/>
    <w:autoRedefine/>
    <w:rsid w:val="007470E3"/>
    <w:pPr>
      <w:ind w:left="240"/>
    </w:pPr>
    <w:rPr>
      <w:rFonts w:ascii="Arial" w:hAnsi="Arial"/>
    </w:rPr>
  </w:style>
  <w:style w:type="paragraph" w:styleId="TOC3">
    <w:name w:val="toc 3"/>
    <w:basedOn w:val="Normal"/>
    <w:next w:val="Normal"/>
    <w:autoRedefine/>
    <w:rsid w:val="007470E3"/>
    <w:pPr>
      <w:ind w:left="480"/>
    </w:pPr>
    <w:rPr>
      <w:rFonts w:ascii="Arial" w:hAnsi="Arial"/>
    </w:rPr>
  </w:style>
  <w:style w:type="paragraph" w:styleId="TOC4">
    <w:name w:val="toc 4"/>
    <w:basedOn w:val="Normal"/>
    <w:next w:val="Normal"/>
    <w:autoRedefine/>
    <w:rsid w:val="007470E3"/>
    <w:pPr>
      <w:ind w:left="720"/>
    </w:pPr>
    <w:rPr>
      <w:rFonts w:ascii="Arial" w:hAnsi="Arial"/>
    </w:rPr>
  </w:style>
  <w:style w:type="character" w:customStyle="1" w:styleId="Heading4Char">
    <w:name w:val="Heading 4 Char"/>
    <w:link w:val="Heading4"/>
    <w:rsid w:val="007470E3"/>
    <w:rPr>
      <w:rFonts w:ascii="Arial" w:hAnsi="Arial"/>
      <w:b/>
      <w:bCs/>
      <w:i/>
      <w:sz w:val="24"/>
      <w:szCs w:val="28"/>
    </w:rPr>
  </w:style>
  <w:style w:type="character" w:styleId="Hyperlink">
    <w:name w:val="Hyperlink"/>
    <w:rsid w:val="007470E3"/>
    <w:rPr>
      <w:color w:val="0000FF"/>
      <w:u w:val="single"/>
    </w:rPr>
  </w:style>
  <w:style w:type="paragraph" w:styleId="PlainText">
    <w:name w:val="Plain Text"/>
    <w:basedOn w:val="Normal"/>
    <w:link w:val="PlainTextChar"/>
    <w:uiPriority w:val="99"/>
    <w:unhideWhenUsed/>
    <w:rsid w:val="004E5F5E"/>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E5F5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2" w:qFormat="1"/>
    <w:lsdException w:name="heading 3" w:uiPriority="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70E3"/>
    <w:rPr>
      <w:sz w:val="24"/>
      <w:szCs w:val="24"/>
    </w:rPr>
  </w:style>
  <w:style w:type="paragraph" w:styleId="Heading1">
    <w:name w:val="heading 1"/>
    <w:basedOn w:val="Normal"/>
    <w:next w:val="Paragraph"/>
    <w:link w:val="Heading1Char"/>
    <w:uiPriority w:val="1"/>
    <w:qFormat/>
    <w:rsid w:val="007470E3"/>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7470E3"/>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7470E3"/>
    <w:pPr>
      <w:keepNext/>
      <w:spacing w:before="240" w:after="60"/>
      <w:outlineLvl w:val="2"/>
    </w:pPr>
    <w:rPr>
      <w:rFonts w:ascii="Arial" w:hAnsi="Arial"/>
      <w:b/>
      <w:bCs/>
      <w:szCs w:val="26"/>
    </w:rPr>
  </w:style>
  <w:style w:type="paragraph" w:styleId="Heading4">
    <w:name w:val="heading 4"/>
    <w:basedOn w:val="Normal"/>
    <w:next w:val="Normal"/>
    <w:link w:val="Heading4Char"/>
    <w:qFormat/>
    <w:rsid w:val="007470E3"/>
    <w:pPr>
      <w:keepNext/>
      <w:spacing w:before="240" w:after="60"/>
      <w:outlineLvl w:val="3"/>
    </w:pPr>
    <w:rPr>
      <w:rFonts w:ascii="Arial" w:hAnsi="Arial"/>
      <w:b/>
      <w:bCs/>
      <w:i/>
      <w:szCs w:val="28"/>
    </w:rPr>
  </w:style>
  <w:style w:type="paragraph" w:styleId="Heading5">
    <w:name w:val="heading 5"/>
    <w:basedOn w:val="Normal"/>
    <w:next w:val="Normal"/>
    <w:qFormat/>
    <w:rsid w:val="007470E3"/>
    <w:pPr>
      <w:keepNext/>
      <w:outlineLvl w:val="4"/>
    </w:pPr>
    <w:rPr>
      <w:b/>
    </w:rPr>
  </w:style>
  <w:style w:type="character" w:default="1" w:styleId="DefaultParagraphFont">
    <w:name w:val="Default Paragraph Font"/>
    <w:uiPriority w:val="1"/>
    <w:semiHidden/>
    <w:unhideWhenUsed/>
    <w:rsid w:val="007470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70E3"/>
  </w:style>
  <w:style w:type="paragraph" w:styleId="Header">
    <w:name w:val="header"/>
    <w:basedOn w:val="Normal"/>
    <w:link w:val="HeaderChar"/>
    <w:uiPriority w:val="99"/>
    <w:rsid w:val="007470E3"/>
    <w:pPr>
      <w:tabs>
        <w:tab w:val="center" w:pos="4513"/>
        <w:tab w:val="right" w:pos="9026"/>
      </w:tabs>
    </w:pPr>
    <w:rPr>
      <w:rFonts w:ascii="Arial" w:hAnsi="Arial"/>
    </w:rPr>
  </w:style>
  <w:style w:type="paragraph" w:styleId="BodyText">
    <w:name w:val="Body Text"/>
    <w:basedOn w:val="Normal"/>
    <w:rsid w:val="007470E3"/>
    <w:rPr>
      <w:b/>
      <w:bCs/>
    </w:rPr>
  </w:style>
  <w:style w:type="paragraph" w:styleId="NormalWeb">
    <w:name w:val="Normal (Web)"/>
    <w:basedOn w:val="Normal"/>
    <w:rsid w:val="007470E3"/>
    <w:pPr>
      <w:spacing w:before="100" w:beforeAutospacing="1" w:after="100" w:afterAutospacing="1"/>
    </w:pPr>
  </w:style>
  <w:style w:type="paragraph" w:styleId="Footer">
    <w:name w:val="footer"/>
    <w:basedOn w:val="Normal"/>
    <w:link w:val="FooterChar"/>
    <w:uiPriority w:val="99"/>
    <w:rsid w:val="007470E3"/>
    <w:pPr>
      <w:tabs>
        <w:tab w:val="center" w:pos="4513"/>
        <w:tab w:val="right" w:pos="9026"/>
      </w:tabs>
    </w:pPr>
    <w:rPr>
      <w:rFonts w:ascii="Arial" w:hAnsi="Arial"/>
      <w:sz w:val="20"/>
    </w:rPr>
  </w:style>
  <w:style w:type="character" w:styleId="PageNumber">
    <w:name w:val="page number"/>
    <w:rsid w:val="007470E3"/>
    <w:rPr>
      <w:rFonts w:ascii="Arial" w:hAnsi="Arial"/>
      <w:sz w:val="24"/>
    </w:rPr>
  </w:style>
  <w:style w:type="paragraph" w:customStyle="1" w:styleId="NICEnormal">
    <w:name w:val="NICE normal"/>
    <w:rsid w:val="007470E3"/>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7470E3"/>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7470E3"/>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7470E3"/>
    <w:pPr>
      <w:spacing w:line="240" w:lineRule="auto"/>
    </w:pPr>
  </w:style>
  <w:style w:type="paragraph" w:styleId="Title">
    <w:name w:val="Title"/>
    <w:basedOn w:val="Normal"/>
    <w:next w:val="Heading1"/>
    <w:link w:val="TitleChar"/>
    <w:qFormat/>
    <w:rsid w:val="007470E3"/>
    <w:pPr>
      <w:spacing w:before="240" w:after="240"/>
      <w:jc w:val="center"/>
      <w:outlineLvl w:val="0"/>
    </w:pPr>
    <w:rPr>
      <w:rFonts w:ascii="Arial" w:hAnsi="Arial"/>
      <w:b/>
      <w:bCs/>
      <w:kern w:val="28"/>
      <w:sz w:val="32"/>
      <w:szCs w:val="32"/>
    </w:rPr>
  </w:style>
  <w:style w:type="paragraph" w:customStyle="1" w:styleId="Title16pt">
    <w:name w:val="Title 16 pt"/>
    <w:basedOn w:val="Title"/>
    <w:link w:val="Title16ptChar"/>
    <w:rsid w:val="007470E3"/>
  </w:style>
  <w:style w:type="paragraph" w:customStyle="1" w:styleId="Introtext">
    <w:name w:val="Intro text"/>
    <w:basedOn w:val="NICEnormalsinglespacing"/>
    <w:rsid w:val="007470E3"/>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470E3"/>
    <w:pPr>
      <w:numPr>
        <w:numId w:val="1"/>
      </w:numPr>
      <w:tabs>
        <w:tab w:val="clear" w:pos="1134"/>
        <w:tab w:val="num" w:pos="720"/>
      </w:tabs>
      <w:ind w:left="720" w:hanging="360"/>
    </w:pPr>
    <w:rPr>
      <w:szCs w:val="24"/>
    </w:rPr>
  </w:style>
  <w:style w:type="paragraph" w:customStyle="1" w:styleId="Numberedheading2">
    <w:name w:val="Numbered heading 2"/>
    <w:basedOn w:val="Heading2"/>
    <w:next w:val="NICEnormal"/>
    <w:link w:val="Numberedheading2Char"/>
    <w:rsid w:val="007470E3"/>
    <w:pPr>
      <w:numPr>
        <w:ilvl w:val="1"/>
        <w:numId w:val="1"/>
      </w:numPr>
      <w:tabs>
        <w:tab w:val="clear" w:pos="1134"/>
        <w:tab w:val="num" w:pos="1440"/>
      </w:tabs>
      <w:ind w:left="1440" w:hanging="360"/>
    </w:pPr>
  </w:style>
  <w:style w:type="paragraph" w:customStyle="1" w:styleId="Numberedheading3">
    <w:name w:val="Numbered heading 3"/>
    <w:basedOn w:val="Heading3"/>
    <w:next w:val="NICEnormal"/>
    <w:rsid w:val="007470E3"/>
    <w:pPr>
      <w:numPr>
        <w:ilvl w:val="2"/>
        <w:numId w:val="1"/>
      </w:numPr>
    </w:pPr>
    <w:rPr>
      <w:sz w:val="26"/>
    </w:rPr>
  </w:style>
  <w:style w:type="paragraph" w:customStyle="1" w:styleId="Numberedlevel4text">
    <w:name w:val="Numbered level 4 text"/>
    <w:basedOn w:val="NICEnormal"/>
    <w:next w:val="NICEnormal"/>
    <w:rsid w:val="007470E3"/>
    <w:pPr>
      <w:numPr>
        <w:ilvl w:val="3"/>
        <w:numId w:val="1"/>
      </w:numPr>
    </w:pPr>
  </w:style>
  <w:style w:type="paragraph" w:customStyle="1" w:styleId="Numberedlevel3text">
    <w:name w:val="Numbered level 3 text"/>
    <w:basedOn w:val="Numberedheading3"/>
    <w:rsid w:val="007470E3"/>
    <w:pPr>
      <w:spacing w:before="0" w:after="240"/>
    </w:pPr>
    <w:rPr>
      <w:b w:val="0"/>
      <w:sz w:val="24"/>
    </w:rPr>
  </w:style>
  <w:style w:type="paragraph" w:customStyle="1" w:styleId="Bulletindent2">
    <w:name w:val="Bullet indent 2"/>
    <w:basedOn w:val="NICEnormal"/>
    <w:rsid w:val="007470E3"/>
    <w:pPr>
      <w:numPr>
        <w:ilvl w:val="1"/>
        <w:numId w:val="5"/>
      </w:numPr>
      <w:spacing w:after="0"/>
      <w:ind w:left="1702" w:hanging="284"/>
    </w:pPr>
  </w:style>
  <w:style w:type="paragraph" w:customStyle="1" w:styleId="Title16ptleft">
    <w:name w:val="Title 16 pt left"/>
    <w:basedOn w:val="Title16pt"/>
    <w:rsid w:val="007470E3"/>
    <w:pPr>
      <w:jc w:val="left"/>
    </w:pPr>
  </w:style>
  <w:style w:type="paragraph" w:customStyle="1" w:styleId="Bulletleft1">
    <w:name w:val="Bullet left 1"/>
    <w:basedOn w:val="NICEnormal"/>
    <w:rsid w:val="007470E3"/>
    <w:pPr>
      <w:numPr>
        <w:numId w:val="4"/>
      </w:numPr>
      <w:spacing w:after="0"/>
    </w:pPr>
  </w:style>
  <w:style w:type="paragraph" w:customStyle="1" w:styleId="Bulletleft2">
    <w:name w:val="Bullet left 2"/>
    <w:basedOn w:val="NICEnormal"/>
    <w:rsid w:val="007470E3"/>
    <w:pPr>
      <w:numPr>
        <w:ilvl w:val="1"/>
        <w:numId w:val="2"/>
      </w:numPr>
      <w:spacing w:after="0"/>
      <w:ind w:left="568" w:hanging="284"/>
    </w:pPr>
  </w:style>
  <w:style w:type="paragraph" w:customStyle="1" w:styleId="Bulletleft3">
    <w:name w:val="Bullet left 3"/>
    <w:basedOn w:val="NICEnormal"/>
    <w:rsid w:val="007470E3"/>
    <w:pPr>
      <w:numPr>
        <w:ilvl w:val="2"/>
        <w:numId w:val="3"/>
      </w:numPr>
      <w:spacing w:after="0"/>
    </w:pPr>
  </w:style>
  <w:style w:type="paragraph" w:customStyle="1" w:styleId="Bulletindent1">
    <w:name w:val="Bullet indent 1"/>
    <w:basedOn w:val="NICEnormal"/>
    <w:rsid w:val="007470E3"/>
    <w:pPr>
      <w:numPr>
        <w:numId w:val="7"/>
      </w:numPr>
      <w:spacing w:after="0"/>
    </w:pPr>
  </w:style>
  <w:style w:type="character" w:customStyle="1" w:styleId="Heading1Char">
    <w:name w:val="Heading 1 Char"/>
    <w:link w:val="Heading1"/>
    <w:uiPriority w:val="1"/>
    <w:rsid w:val="007470E3"/>
    <w:rPr>
      <w:rFonts w:ascii="Arial" w:hAnsi="Arial"/>
      <w:b/>
      <w:bCs/>
      <w:kern w:val="32"/>
      <w:sz w:val="28"/>
      <w:szCs w:val="32"/>
    </w:rPr>
  </w:style>
  <w:style w:type="character" w:customStyle="1" w:styleId="Numberedheading1CharChar">
    <w:name w:val="Numbered heading 1 Char Char"/>
    <w:link w:val="Numberedheading1"/>
    <w:rsid w:val="007470E3"/>
    <w:rPr>
      <w:rFonts w:ascii="Arial" w:hAnsi="Arial"/>
      <w:b/>
      <w:bCs/>
      <w:kern w:val="32"/>
      <w:sz w:val="28"/>
      <w:szCs w:val="24"/>
    </w:rPr>
  </w:style>
  <w:style w:type="paragraph" w:customStyle="1" w:styleId="Bulletindent3">
    <w:name w:val="Bullet indent 3"/>
    <w:basedOn w:val="NICEnormal"/>
    <w:rsid w:val="007470E3"/>
    <w:pPr>
      <w:numPr>
        <w:ilvl w:val="2"/>
        <w:numId w:val="6"/>
      </w:numPr>
      <w:spacing w:after="0"/>
    </w:pPr>
  </w:style>
  <w:style w:type="paragraph" w:customStyle="1" w:styleId="Numberedlevel2text">
    <w:name w:val="Numbered level 2 text"/>
    <w:basedOn w:val="Numberedheading2"/>
    <w:rsid w:val="007470E3"/>
    <w:pPr>
      <w:spacing w:before="0" w:after="240"/>
    </w:pPr>
    <w:rPr>
      <w:b w:val="0"/>
      <w:i w:val="0"/>
      <w:sz w:val="24"/>
    </w:rPr>
  </w:style>
  <w:style w:type="paragraph" w:customStyle="1" w:styleId="Bulletleft1last">
    <w:name w:val="Bullet left 1 last"/>
    <w:basedOn w:val="NICEnormal"/>
    <w:rsid w:val="007470E3"/>
    <w:pPr>
      <w:numPr>
        <w:numId w:val="8"/>
      </w:numPr>
    </w:pPr>
    <w:rPr>
      <w:rFonts w:cs="Arial"/>
    </w:rPr>
  </w:style>
  <w:style w:type="paragraph" w:customStyle="1" w:styleId="boxedtext">
    <w:name w:val="boxed text"/>
    <w:basedOn w:val="NICEnormal"/>
    <w:rsid w:val="007470E3"/>
    <w:pPr>
      <w:pBdr>
        <w:top w:val="single" w:sz="4" w:space="1" w:color="auto"/>
        <w:left w:val="single" w:sz="4" w:space="4" w:color="auto"/>
        <w:bottom w:val="single" w:sz="4" w:space="1" w:color="auto"/>
        <w:right w:val="single" w:sz="4" w:space="4" w:color="auto"/>
      </w:pBdr>
      <w:shd w:val="clear" w:color="auto" w:fill="E6E6E6"/>
    </w:pPr>
  </w:style>
  <w:style w:type="paragraph" w:customStyle="1" w:styleId="Bulletindent1last">
    <w:name w:val="Bullet indent 1 last"/>
    <w:basedOn w:val="NICEnormal"/>
    <w:next w:val="NICEnormal"/>
    <w:rsid w:val="007470E3"/>
    <w:pPr>
      <w:numPr>
        <w:numId w:val="9"/>
      </w:numPr>
    </w:pPr>
  </w:style>
  <w:style w:type="paragraph" w:customStyle="1" w:styleId="NICEnormalindented">
    <w:name w:val="NICE normal indented"/>
    <w:basedOn w:val="NICEnormal"/>
    <w:rsid w:val="007470E3"/>
    <w:pPr>
      <w:tabs>
        <w:tab w:val="left" w:pos="1134"/>
      </w:tabs>
      <w:ind w:left="1134"/>
    </w:pPr>
  </w:style>
  <w:style w:type="paragraph" w:customStyle="1" w:styleId="Tabletitle">
    <w:name w:val="Table title"/>
    <w:basedOn w:val="NICEnormal"/>
    <w:next w:val="NICEnormal"/>
    <w:rsid w:val="007470E3"/>
    <w:pPr>
      <w:keepNext/>
      <w:spacing w:after="60" w:line="240" w:lineRule="auto"/>
    </w:pPr>
    <w:rPr>
      <w:b/>
    </w:rPr>
  </w:style>
  <w:style w:type="paragraph" w:customStyle="1" w:styleId="Tabletext">
    <w:name w:val="Table text"/>
    <w:basedOn w:val="NICEnormalsinglespacing"/>
    <w:rsid w:val="007470E3"/>
    <w:pPr>
      <w:keepNext/>
      <w:spacing w:after="60"/>
    </w:pPr>
    <w:rPr>
      <w:sz w:val="22"/>
    </w:rPr>
  </w:style>
  <w:style w:type="paragraph" w:customStyle="1" w:styleId="TabletextIPoverviewevidence">
    <w:name w:val="Table text IP overview evidence"/>
    <w:basedOn w:val="Tabletext"/>
    <w:rsid w:val="007470E3"/>
    <w:rPr>
      <w:sz w:val="18"/>
    </w:rPr>
  </w:style>
  <w:style w:type="paragraph" w:customStyle="1" w:styleId="Section2paragraphs">
    <w:name w:val="Section 2 paragraphs"/>
    <w:basedOn w:val="NICEnormal"/>
    <w:rsid w:val="007470E3"/>
    <w:pPr>
      <w:numPr>
        <w:numId w:val="10"/>
      </w:numPr>
    </w:pPr>
  </w:style>
  <w:style w:type="paragraph" w:customStyle="1" w:styleId="Section3paragraphs">
    <w:name w:val="Section 3 paragraphs"/>
    <w:basedOn w:val="NICEnormal"/>
    <w:rsid w:val="007470E3"/>
    <w:pPr>
      <w:numPr>
        <w:numId w:val="11"/>
      </w:numPr>
    </w:pPr>
  </w:style>
  <w:style w:type="paragraph" w:customStyle="1" w:styleId="Section411paragraphs">
    <w:name w:val="Section 4.1.1 paragraphs"/>
    <w:basedOn w:val="NICEnormal"/>
    <w:rsid w:val="007470E3"/>
    <w:pPr>
      <w:numPr>
        <w:numId w:val="12"/>
      </w:numPr>
    </w:pPr>
  </w:style>
  <w:style w:type="character" w:customStyle="1" w:styleId="Heading2Char">
    <w:name w:val="Heading 2 Char"/>
    <w:link w:val="Heading2"/>
    <w:uiPriority w:val="2"/>
    <w:rsid w:val="007470E3"/>
    <w:rPr>
      <w:rFonts w:ascii="Arial" w:hAnsi="Arial"/>
      <w:b/>
      <w:bCs/>
      <w:i/>
      <w:iCs/>
      <w:sz w:val="28"/>
      <w:szCs w:val="28"/>
    </w:rPr>
  </w:style>
  <w:style w:type="character" w:customStyle="1" w:styleId="Numberedheading2Char">
    <w:name w:val="Numbered heading 2 Char"/>
    <w:basedOn w:val="Heading2Char"/>
    <w:link w:val="Numberedheading2"/>
    <w:rsid w:val="007470E3"/>
    <w:rPr>
      <w:rFonts w:ascii="Arial" w:hAnsi="Arial"/>
      <w:b/>
      <w:bCs/>
      <w:i/>
      <w:iCs/>
      <w:sz w:val="28"/>
      <w:szCs w:val="28"/>
    </w:rPr>
  </w:style>
  <w:style w:type="paragraph" w:customStyle="1" w:styleId="Section412paragraphs">
    <w:name w:val="Section 4.1.2 paragraphs"/>
    <w:basedOn w:val="NICEnormal"/>
    <w:rsid w:val="007470E3"/>
    <w:pPr>
      <w:numPr>
        <w:numId w:val="13"/>
      </w:numPr>
    </w:pPr>
  </w:style>
  <w:style w:type="paragraph" w:customStyle="1" w:styleId="Section42paragraphs">
    <w:name w:val="Section 4.2 paragraphs"/>
    <w:basedOn w:val="NICEnormal"/>
    <w:rsid w:val="007470E3"/>
    <w:pPr>
      <w:numPr>
        <w:numId w:val="14"/>
      </w:numPr>
    </w:pPr>
  </w:style>
  <w:style w:type="paragraph" w:customStyle="1" w:styleId="Section43paragraphs">
    <w:name w:val="Section 4.3 paragraphs"/>
    <w:basedOn w:val="NICEnormal"/>
    <w:rsid w:val="007470E3"/>
    <w:pPr>
      <w:numPr>
        <w:numId w:val="15"/>
      </w:numPr>
    </w:pPr>
  </w:style>
  <w:style w:type="paragraph" w:customStyle="1" w:styleId="Appendixlevel1">
    <w:name w:val="Appendix level 1"/>
    <w:basedOn w:val="NICEnormal"/>
    <w:autoRedefine/>
    <w:rsid w:val="007470E3"/>
    <w:pPr>
      <w:numPr>
        <w:numId w:val="16"/>
      </w:numPr>
      <w:spacing w:before="240"/>
    </w:pPr>
  </w:style>
  <w:style w:type="paragraph" w:customStyle="1" w:styleId="Appendixlevel2">
    <w:name w:val="Appendix level 2"/>
    <w:basedOn w:val="NICEnormal"/>
    <w:rsid w:val="007470E3"/>
    <w:pPr>
      <w:numPr>
        <w:numId w:val="17"/>
      </w:numPr>
      <w:spacing w:before="240"/>
    </w:pPr>
  </w:style>
  <w:style w:type="paragraph" w:customStyle="1" w:styleId="Appendixbullet">
    <w:name w:val="Appendix bullet"/>
    <w:basedOn w:val="NICEnormal"/>
    <w:rsid w:val="007470E3"/>
    <w:pPr>
      <w:numPr>
        <w:numId w:val="18"/>
      </w:numPr>
      <w:spacing w:after="0" w:line="240" w:lineRule="auto"/>
    </w:pPr>
  </w:style>
  <w:style w:type="paragraph" w:customStyle="1" w:styleId="Appendixreferences">
    <w:name w:val="Appendix references"/>
    <w:basedOn w:val="NICEnormal"/>
    <w:rsid w:val="007470E3"/>
    <w:pPr>
      <w:tabs>
        <w:tab w:val="left" w:pos="567"/>
      </w:tabs>
      <w:spacing w:after="120" w:line="240" w:lineRule="auto"/>
      <w:ind w:left="567"/>
    </w:pPr>
  </w:style>
  <w:style w:type="paragraph" w:customStyle="1" w:styleId="References">
    <w:name w:val="References"/>
    <w:basedOn w:val="NICEnormalsinglespacing"/>
    <w:rsid w:val="007470E3"/>
    <w:pPr>
      <w:numPr>
        <w:numId w:val="19"/>
      </w:numPr>
      <w:spacing w:after="120"/>
    </w:pPr>
  </w:style>
  <w:style w:type="character" w:customStyle="1" w:styleId="TitleChar">
    <w:name w:val="Title Char"/>
    <w:link w:val="Title"/>
    <w:rsid w:val="007470E3"/>
    <w:rPr>
      <w:rFonts w:ascii="Arial" w:hAnsi="Arial"/>
      <w:b/>
      <w:bCs/>
      <w:kern w:val="28"/>
      <w:sz w:val="32"/>
      <w:szCs w:val="32"/>
    </w:rPr>
  </w:style>
  <w:style w:type="character" w:customStyle="1" w:styleId="Title16ptChar">
    <w:name w:val="Title 16 pt Char"/>
    <w:link w:val="Title16pt"/>
    <w:rsid w:val="007470E3"/>
    <w:rPr>
      <w:rFonts w:ascii="Arial" w:hAnsi="Arial"/>
      <w:b/>
      <w:bCs/>
      <w:kern w:val="28"/>
      <w:sz w:val="32"/>
      <w:szCs w:val="32"/>
    </w:rPr>
  </w:style>
  <w:style w:type="paragraph" w:styleId="BalloonText">
    <w:name w:val="Balloon Text"/>
    <w:basedOn w:val="Normal"/>
    <w:link w:val="BalloonTextChar"/>
    <w:semiHidden/>
    <w:rsid w:val="007470E3"/>
    <w:rPr>
      <w:rFonts w:ascii="Tahoma" w:hAnsi="Tahoma" w:cs="Tahoma"/>
      <w:sz w:val="16"/>
      <w:szCs w:val="16"/>
    </w:rPr>
  </w:style>
  <w:style w:type="character" w:customStyle="1" w:styleId="HeaderChar">
    <w:name w:val="Header Char"/>
    <w:link w:val="Header"/>
    <w:uiPriority w:val="99"/>
    <w:rsid w:val="007470E3"/>
    <w:rPr>
      <w:rFonts w:ascii="Arial" w:hAnsi="Arial"/>
      <w:sz w:val="24"/>
      <w:szCs w:val="24"/>
    </w:rPr>
  </w:style>
  <w:style w:type="character" w:styleId="CommentReference">
    <w:name w:val="annotation reference"/>
    <w:rsid w:val="007470E3"/>
    <w:rPr>
      <w:sz w:val="16"/>
      <w:szCs w:val="16"/>
    </w:rPr>
  </w:style>
  <w:style w:type="paragraph" w:styleId="CommentText">
    <w:name w:val="annotation text"/>
    <w:basedOn w:val="Normal"/>
    <w:link w:val="CommentTextChar"/>
    <w:rsid w:val="007470E3"/>
  </w:style>
  <w:style w:type="character" w:customStyle="1" w:styleId="CommentTextChar">
    <w:name w:val="Comment Text Char"/>
    <w:link w:val="CommentText"/>
    <w:rsid w:val="007470E3"/>
    <w:rPr>
      <w:sz w:val="24"/>
      <w:szCs w:val="24"/>
    </w:rPr>
  </w:style>
  <w:style w:type="paragraph" w:styleId="CommentSubject">
    <w:name w:val="annotation subject"/>
    <w:basedOn w:val="CommentText"/>
    <w:next w:val="CommentText"/>
    <w:link w:val="CommentSubjectChar"/>
    <w:rsid w:val="007470E3"/>
    <w:rPr>
      <w:b/>
      <w:bCs/>
    </w:rPr>
  </w:style>
  <w:style w:type="character" w:customStyle="1" w:styleId="CommentSubjectChar">
    <w:name w:val="Comment Subject Char"/>
    <w:link w:val="CommentSubject"/>
    <w:rsid w:val="007470E3"/>
    <w:rPr>
      <w:b/>
      <w:bCs/>
      <w:sz w:val="24"/>
      <w:szCs w:val="24"/>
    </w:rPr>
  </w:style>
  <w:style w:type="paragraph" w:customStyle="1" w:styleId="Paragraph">
    <w:name w:val="Paragraph"/>
    <w:basedOn w:val="Normal"/>
    <w:uiPriority w:val="4"/>
    <w:qFormat/>
    <w:rsid w:val="007470E3"/>
    <w:pPr>
      <w:numPr>
        <w:numId w:val="24"/>
      </w:numPr>
      <w:spacing w:before="240" w:after="240" w:line="360" w:lineRule="auto"/>
      <w:ind w:left="709" w:hanging="709"/>
    </w:pPr>
    <w:rPr>
      <w:rFonts w:ascii="Arial" w:hAnsi="Arial"/>
    </w:rPr>
  </w:style>
  <w:style w:type="paragraph" w:customStyle="1" w:styleId="Bullets">
    <w:name w:val="Bullets"/>
    <w:basedOn w:val="Normal"/>
    <w:uiPriority w:val="5"/>
    <w:qFormat/>
    <w:rsid w:val="007470E3"/>
    <w:pPr>
      <w:numPr>
        <w:numId w:val="26"/>
      </w:numPr>
      <w:spacing w:line="360" w:lineRule="auto"/>
    </w:pPr>
    <w:rPr>
      <w:rFonts w:ascii="Arial" w:hAnsi="Arial"/>
    </w:rPr>
  </w:style>
  <w:style w:type="character" w:customStyle="1" w:styleId="FooterChar">
    <w:name w:val="Footer Char"/>
    <w:link w:val="Footer"/>
    <w:uiPriority w:val="99"/>
    <w:rsid w:val="007470E3"/>
    <w:rPr>
      <w:rFonts w:ascii="Arial" w:hAnsi="Arial"/>
      <w:szCs w:val="24"/>
    </w:rPr>
  </w:style>
  <w:style w:type="character" w:customStyle="1" w:styleId="BalloonTextChar">
    <w:name w:val="Balloon Text Char"/>
    <w:link w:val="BalloonText"/>
    <w:semiHidden/>
    <w:rsid w:val="007470E3"/>
    <w:rPr>
      <w:rFonts w:ascii="Tahoma" w:hAnsi="Tahoma" w:cs="Tahoma"/>
      <w:sz w:val="16"/>
      <w:szCs w:val="16"/>
    </w:rPr>
  </w:style>
  <w:style w:type="character" w:customStyle="1" w:styleId="Heading3Char">
    <w:name w:val="Heading 3 Char"/>
    <w:link w:val="Heading3"/>
    <w:uiPriority w:val="3"/>
    <w:rsid w:val="007470E3"/>
    <w:rPr>
      <w:rFonts w:ascii="Arial" w:hAnsi="Arial"/>
      <w:b/>
      <w:bCs/>
      <w:sz w:val="24"/>
      <w:szCs w:val="26"/>
    </w:rPr>
  </w:style>
  <w:style w:type="paragraph" w:customStyle="1" w:styleId="Subbullets">
    <w:name w:val="Sub bullets"/>
    <w:basedOn w:val="Normal"/>
    <w:uiPriority w:val="6"/>
    <w:qFormat/>
    <w:rsid w:val="007470E3"/>
    <w:pPr>
      <w:numPr>
        <w:numId w:val="42"/>
      </w:numPr>
      <w:spacing w:line="360" w:lineRule="auto"/>
      <w:ind w:left="1418" w:hanging="284"/>
    </w:pPr>
    <w:rPr>
      <w:rFonts w:ascii="Arial" w:hAnsi="Arial"/>
    </w:rPr>
  </w:style>
  <w:style w:type="paragraph" w:customStyle="1" w:styleId="Paragraphnonumbers">
    <w:name w:val="Paragraph no numbers"/>
    <w:basedOn w:val="Normal"/>
    <w:uiPriority w:val="99"/>
    <w:qFormat/>
    <w:rsid w:val="007470E3"/>
    <w:pPr>
      <w:spacing w:before="240" w:after="240" w:line="360" w:lineRule="auto"/>
    </w:pPr>
    <w:rPr>
      <w:rFonts w:ascii="Arial" w:hAnsi="Arial"/>
    </w:rPr>
  </w:style>
  <w:style w:type="table" w:styleId="TableGrid">
    <w:name w:val="Table Grid"/>
    <w:basedOn w:val="TableNormal"/>
    <w:rsid w:val="00747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rsid w:val="007470E3"/>
    <w:pPr>
      <w:spacing w:before="120"/>
    </w:pPr>
    <w:rPr>
      <w:rFonts w:ascii="Arial" w:hAnsi="Arial"/>
      <w:b/>
      <w:bCs/>
    </w:rPr>
  </w:style>
  <w:style w:type="paragraph" w:styleId="TOC1">
    <w:name w:val="toc 1"/>
    <w:basedOn w:val="Normal"/>
    <w:next w:val="Normal"/>
    <w:autoRedefine/>
    <w:rsid w:val="007470E3"/>
    <w:rPr>
      <w:rFonts w:ascii="Arial" w:hAnsi="Arial"/>
    </w:rPr>
  </w:style>
  <w:style w:type="paragraph" w:styleId="TOC2">
    <w:name w:val="toc 2"/>
    <w:basedOn w:val="Normal"/>
    <w:next w:val="Normal"/>
    <w:autoRedefine/>
    <w:rsid w:val="007470E3"/>
    <w:pPr>
      <w:ind w:left="240"/>
    </w:pPr>
    <w:rPr>
      <w:rFonts w:ascii="Arial" w:hAnsi="Arial"/>
    </w:rPr>
  </w:style>
  <w:style w:type="paragraph" w:styleId="TOC3">
    <w:name w:val="toc 3"/>
    <w:basedOn w:val="Normal"/>
    <w:next w:val="Normal"/>
    <w:autoRedefine/>
    <w:rsid w:val="007470E3"/>
    <w:pPr>
      <w:ind w:left="480"/>
    </w:pPr>
    <w:rPr>
      <w:rFonts w:ascii="Arial" w:hAnsi="Arial"/>
    </w:rPr>
  </w:style>
  <w:style w:type="paragraph" w:styleId="TOC4">
    <w:name w:val="toc 4"/>
    <w:basedOn w:val="Normal"/>
    <w:next w:val="Normal"/>
    <w:autoRedefine/>
    <w:rsid w:val="007470E3"/>
    <w:pPr>
      <w:ind w:left="720"/>
    </w:pPr>
    <w:rPr>
      <w:rFonts w:ascii="Arial" w:hAnsi="Arial"/>
    </w:rPr>
  </w:style>
  <w:style w:type="character" w:customStyle="1" w:styleId="Heading4Char">
    <w:name w:val="Heading 4 Char"/>
    <w:link w:val="Heading4"/>
    <w:rsid w:val="007470E3"/>
    <w:rPr>
      <w:rFonts w:ascii="Arial" w:hAnsi="Arial"/>
      <w:b/>
      <w:bCs/>
      <w:i/>
      <w:sz w:val="24"/>
      <w:szCs w:val="28"/>
    </w:rPr>
  </w:style>
  <w:style w:type="character" w:styleId="Hyperlink">
    <w:name w:val="Hyperlink"/>
    <w:rsid w:val="007470E3"/>
    <w:rPr>
      <w:color w:val="0000FF"/>
      <w:u w:val="single"/>
    </w:rPr>
  </w:style>
  <w:style w:type="paragraph" w:styleId="PlainText">
    <w:name w:val="Plain Text"/>
    <w:basedOn w:val="Normal"/>
    <w:link w:val="PlainTextChar"/>
    <w:uiPriority w:val="99"/>
    <w:unhideWhenUsed/>
    <w:rsid w:val="004E5F5E"/>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E5F5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5754">
      <w:bodyDiv w:val="1"/>
      <w:marLeft w:val="0"/>
      <w:marRight w:val="0"/>
      <w:marTop w:val="0"/>
      <w:marBottom w:val="0"/>
      <w:divBdr>
        <w:top w:val="none" w:sz="0" w:space="0" w:color="auto"/>
        <w:left w:val="none" w:sz="0" w:space="0" w:color="auto"/>
        <w:bottom w:val="none" w:sz="0" w:space="0" w:color="auto"/>
        <w:right w:val="none" w:sz="0" w:space="0" w:color="auto"/>
      </w:divBdr>
    </w:div>
    <w:div w:id="245916885">
      <w:bodyDiv w:val="1"/>
      <w:marLeft w:val="0"/>
      <w:marRight w:val="0"/>
      <w:marTop w:val="0"/>
      <w:marBottom w:val="0"/>
      <w:divBdr>
        <w:top w:val="none" w:sz="0" w:space="0" w:color="auto"/>
        <w:left w:val="none" w:sz="0" w:space="0" w:color="auto"/>
        <w:bottom w:val="none" w:sz="0" w:space="0" w:color="auto"/>
        <w:right w:val="none" w:sz="0" w:space="0" w:color="auto"/>
      </w:divBdr>
    </w:div>
    <w:div w:id="264272994">
      <w:bodyDiv w:val="1"/>
      <w:marLeft w:val="0"/>
      <w:marRight w:val="0"/>
      <w:marTop w:val="0"/>
      <w:marBottom w:val="0"/>
      <w:divBdr>
        <w:top w:val="none" w:sz="0" w:space="0" w:color="auto"/>
        <w:left w:val="none" w:sz="0" w:space="0" w:color="auto"/>
        <w:bottom w:val="none" w:sz="0" w:space="0" w:color="auto"/>
        <w:right w:val="none" w:sz="0" w:space="0" w:color="auto"/>
      </w:divBdr>
    </w:div>
    <w:div w:id="275523847">
      <w:bodyDiv w:val="1"/>
      <w:marLeft w:val="0"/>
      <w:marRight w:val="0"/>
      <w:marTop w:val="0"/>
      <w:marBottom w:val="0"/>
      <w:divBdr>
        <w:top w:val="none" w:sz="0" w:space="0" w:color="auto"/>
        <w:left w:val="none" w:sz="0" w:space="0" w:color="auto"/>
        <w:bottom w:val="none" w:sz="0" w:space="0" w:color="auto"/>
        <w:right w:val="none" w:sz="0" w:space="0" w:color="auto"/>
      </w:divBdr>
    </w:div>
    <w:div w:id="375784091">
      <w:bodyDiv w:val="1"/>
      <w:marLeft w:val="0"/>
      <w:marRight w:val="0"/>
      <w:marTop w:val="0"/>
      <w:marBottom w:val="0"/>
      <w:divBdr>
        <w:top w:val="none" w:sz="0" w:space="0" w:color="auto"/>
        <w:left w:val="none" w:sz="0" w:space="0" w:color="auto"/>
        <w:bottom w:val="none" w:sz="0" w:space="0" w:color="auto"/>
        <w:right w:val="none" w:sz="0" w:space="0" w:color="auto"/>
      </w:divBdr>
    </w:div>
    <w:div w:id="377970091">
      <w:bodyDiv w:val="1"/>
      <w:marLeft w:val="0"/>
      <w:marRight w:val="0"/>
      <w:marTop w:val="0"/>
      <w:marBottom w:val="0"/>
      <w:divBdr>
        <w:top w:val="none" w:sz="0" w:space="0" w:color="auto"/>
        <w:left w:val="none" w:sz="0" w:space="0" w:color="auto"/>
        <w:bottom w:val="none" w:sz="0" w:space="0" w:color="auto"/>
        <w:right w:val="none" w:sz="0" w:space="0" w:color="auto"/>
      </w:divBdr>
    </w:div>
    <w:div w:id="459961192">
      <w:bodyDiv w:val="1"/>
      <w:marLeft w:val="0"/>
      <w:marRight w:val="0"/>
      <w:marTop w:val="0"/>
      <w:marBottom w:val="0"/>
      <w:divBdr>
        <w:top w:val="none" w:sz="0" w:space="0" w:color="auto"/>
        <w:left w:val="none" w:sz="0" w:space="0" w:color="auto"/>
        <w:bottom w:val="none" w:sz="0" w:space="0" w:color="auto"/>
        <w:right w:val="none" w:sz="0" w:space="0" w:color="auto"/>
      </w:divBdr>
    </w:div>
    <w:div w:id="521282488">
      <w:bodyDiv w:val="1"/>
      <w:marLeft w:val="0"/>
      <w:marRight w:val="0"/>
      <w:marTop w:val="0"/>
      <w:marBottom w:val="0"/>
      <w:divBdr>
        <w:top w:val="none" w:sz="0" w:space="0" w:color="auto"/>
        <w:left w:val="none" w:sz="0" w:space="0" w:color="auto"/>
        <w:bottom w:val="none" w:sz="0" w:space="0" w:color="auto"/>
        <w:right w:val="none" w:sz="0" w:space="0" w:color="auto"/>
      </w:divBdr>
    </w:div>
    <w:div w:id="575286530">
      <w:bodyDiv w:val="1"/>
      <w:marLeft w:val="0"/>
      <w:marRight w:val="0"/>
      <w:marTop w:val="0"/>
      <w:marBottom w:val="0"/>
      <w:divBdr>
        <w:top w:val="none" w:sz="0" w:space="0" w:color="auto"/>
        <w:left w:val="none" w:sz="0" w:space="0" w:color="auto"/>
        <w:bottom w:val="none" w:sz="0" w:space="0" w:color="auto"/>
        <w:right w:val="none" w:sz="0" w:space="0" w:color="auto"/>
      </w:divBdr>
    </w:div>
    <w:div w:id="626425075">
      <w:bodyDiv w:val="1"/>
      <w:marLeft w:val="0"/>
      <w:marRight w:val="0"/>
      <w:marTop w:val="0"/>
      <w:marBottom w:val="0"/>
      <w:divBdr>
        <w:top w:val="none" w:sz="0" w:space="0" w:color="auto"/>
        <w:left w:val="none" w:sz="0" w:space="0" w:color="auto"/>
        <w:bottom w:val="none" w:sz="0" w:space="0" w:color="auto"/>
        <w:right w:val="none" w:sz="0" w:space="0" w:color="auto"/>
      </w:divBdr>
    </w:div>
    <w:div w:id="705832233">
      <w:bodyDiv w:val="1"/>
      <w:marLeft w:val="0"/>
      <w:marRight w:val="0"/>
      <w:marTop w:val="0"/>
      <w:marBottom w:val="0"/>
      <w:divBdr>
        <w:top w:val="none" w:sz="0" w:space="0" w:color="auto"/>
        <w:left w:val="none" w:sz="0" w:space="0" w:color="auto"/>
        <w:bottom w:val="none" w:sz="0" w:space="0" w:color="auto"/>
        <w:right w:val="none" w:sz="0" w:space="0" w:color="auto"/>
      </w:divBdr>
    </w:div>
    <w:div w:id="715735583">
      <w:bodyDiv w:val="1"/>
      <w:marLeft w:val="0"/>
      <w:marRight w:val="0"/>
      <w:marTop w:val="0"/>
      <w:marBottom w:val="0"/>
      <w:divBdr>
        <w:top w:val="none" w:sz="0" w:space="0" w:color="auto"/>
        <w:left w:val="none" w:sz="0" w:space="0" w:color="auto"/>
        <w:bottom w:val="none" w:sz="0" w:space="0" w:color="auto"/>
        <w:right w:val="none" w:sz="0" w:space="0" w:color="auto"/>
      </w:divBdr>
    </w:div>
    <w:div w:id="751969557">
      <w:bodyDiv w:val="1"/>
      <w:marLeft w:val="0"/>
      <w:marRight w:val="0"/>
      <w:marTop w:val="0"/>
      <w:marBottom w:val="0"/>
      <w:divBdr>
        <w:top w:val="none" w:sz="0" w:space="0" w:color="auto"/>
        <w:left w:val="none" w:sz="0" w:space="0" w:color="auto"/>
        <w:bottom w:val="none" w:sz="0" w:space="0" w:color="auto"/>
        <w:right w:val="none" w:sz="0" w:space="0" w:color="auto"/>
      </w:divBdr>
    </w:div>
    <w:div w:id="868690175">
      <w:bodyDiv w:val="1"/>
      <w:marLeft w:val="0"/>
      <w:marRight w:val="0"/>
      <w:marTop w:val="0"/>
      <w:marBottom w:val="0"/>
      <w:divBdr>
        <w:top w:val="none" w:sz="0" w:space="0" w:color="auto"/>
        <w:left w:val="none" w:sz="0" w:space="0" w:color="auto"/>
        <w:bottom w:val="none" w:sz="0" w:space="0" w:color="auto"/>
        <w:right w:val="none" w:sz="0" w:space="0" w:color="auto"/>
      </w:divBdr>
    </w:div>
    <w:div w:id="966736184">
      <w:bodyDiv w:val="1"/>
      <w:marLeft w:val="0"/>
      <w:marRight w:val="0"/>
      <w:marTop w:val="0"/>
      <w:marBottom w:val="0"/>
      <w:divBdr>
        <w:top w:val="none" w:sz="0" w:space="0" w:color="auto"/>
        <w:left w:val="none" w:sz="0" w:space="0" w:color="auto"/>
        <w:bottom w:val="none" w:sz="0" w:space="0" w:color="auto"/>
        <w:right w:val="none" w:sz="0" w:space="0" w:color="auto"/>
      </w:divBdr>
    </w:div>
    <w:div w:id="982537500">
      <w:bodyDiv w:val="1"/>
      <w:marLeft w:val="0"/>
      <w:marRight w:val="0"/>
      <w:marTop w:val="0"/>
      <w:marBottom w:val="0"/>
      <w:divBdr>
        <w:top w:val="none" w:sz="0" w:space="0" w:color="auto"/>
        <w:left w:val="none" w:sz="0" w:space="0" w:color="auto"/>
        <w:bottom w:val="none" w:sz="0" w:space="0" w:color="auto"/>
        <w:right w:val="none" w:sz="0" w:space="0" w:color="auto"/>
      </w:divBdr>
    </w:div>
    <w:div w:id="989334836">
      <w:bodyDiv w:val="1"/>
      <w:marLeft w:val="0"/>
      <w:marRight w:val="0"/>
      <w:marTop w:val="0"/>
      <w:marBottom w:val="0"/>
      <w:divBdr>
        <w:top w:val="none" w:sz="0" w:space="0" w:color="auto"/>
        <w:left w:val="none" w:sz="0" w:space="0" w:color="auto"/>
        <w:bottom w:val="none" w:sz="0" w:space="0" w:color="auto"/>
        <w:right w:val="none" w:sz="0" w:space="0" w:color="auto"/>
      </w:divBdr>
    </w:div>
    <w:div w:id="1192257758">
      <w:bodyDiv w:val="1"/>
      <w:marLeft w:val="0"/>
      <w:marRight w:val="0"/>
      <w:marTop w:val="0"/>
      <w:marBottom w:val="0"/>
      <w:divBdr>
        <w:top w:val="none" w:sz="0" w:space="0" w:color="auto"/>
        <w:left w:val="none" w:sz="0" w:space="0" w:color="auto"/>
        <w:bottom w:val="none" w:sz="0" w:space="0" w:color="auto"/>
        <w:right w:val="none" w:sz="0" w:space="0" w:color="auto"/>
      </w:divBdr>
    </w:div>
    <w:div w:id="1275360723">
      <w:bodyDiv w:val="1"/>
      <w:marLeft w:val="0"/>
      <w:marRight w:val="0"/>
      <w:marTop w:val="0"/>
      <w:marBottom w:val="0"/>
      <w:divBdr>
        <w:top w:val="none" w:sz="0" w:space="0" w:color="auto"/>
        <w:left w:val="none" w:sz="0" w:space="0" w:color="auto"/>
        <w:bottom w:val="none" w:sz="0" w:space="0" w:color="auto"/>
        <w:right w:val="none" w:sz="0" w:space="0" w:color="auto"/>
      </w:divBdr>
    </w:div>
    <w:div w:id="1308124546">
      <w:bodyDiv w:val="1"/>
      <w:marLeft w:val="0"/>
      <w:marRight w:val="0"/>
      <w:marTop w:val="0"/>
      <w:marBottom w:val="0"/>
      <w:divBdr>
        <w:top w:val="none" w:sz="0" w:space="0" w:color="auto"/>
        <w:left w:val="none" w:sz="0" w:space="0" w:color="auto"/>
        <w:bottom w:val="none" w:sz="0" w:space="0" w:color="auto"/>
        <w:right w:val="none" w:sz="0" w:space="0" w:color="auto"/>
      </w:divBdr>
    </w:div>
    <w:div w:id="1350519905">
      <w:bodyDiv w:val="1"/>
      <w:marLeft w:val="0"/>
      <w:marRight w:val="0"/>
      <w:marTop w:val="0"/>
      <w:marBottom w:val="0"/>
      <w:divBdr>
        <w:top w:val="none" w:sz="0" w:space="0" w:color="auto"/>
        <w:left w:val="none" w:sz="0" w:space="0" w:color="auto"/>
        <w:bottom w:val="none" w:sz="0" w:space="0" w:color="auto"/>
        <w:right w:val="none" w:sz="0" w:space="0" w:color="auto"/>
      </w:divBdr>
    </w:div>
    <w:div w:id="1492599179">
      <w:bodyDiv w:val="1"/>
      <w:marLeft w:val="0"/>
      <w:marRight w:val="0"/>
      <w:marTop w:val="0"/>
      <w:marBottom w:val="0"/>
      <w:divBdr>
        <w:top w:val="none" w:sz="0" w:space="0" w:color="auto"/>
        <w:left w:val="none" w:sz="0" w:space="0" w:color="auto"/>
        <w:bottom w:val="none" w:sz="0" w:space="0" w:color="auto"/>
        <w:right w:val="none" w:sz="0" w:space="0" w:color="auto"/>
      </w:divBdr>
    </w:div>
    <w:div w:id="1521049511">
      <w:bodyDiv w:val="1"/>
      <w:marLeft w:val="0"/>
      <w:marRight w:val="0"/>
      <w:marTop w:val="0"/>
      <w:marBottom w:val="0"/>
      <w:divBdr>
        <w:top w:val="none" w:sz="0" w:space="0" w:color="auto"/>
        <w:left w:val="none" w:sz="0" w:space="0" w:color="auto"/>
        <w:bottom w:val="none" w:sz="0" w:space="0" w:color="auto"/>
        <w:right w:val="none" w:sz="0" w:space="0" w:color="auto"/>
      </w:divBdr>
    </w:div>
    <w:div w:id="1715306459">
      <w:bodyDiv w:val="1"/>
      <w:marLeft w:val="0"/>
      <w:marRight w:val="0"/>
      <w:marTop w:val="0"/>
      <w:marBottom w:val="0"/>
      <w:divBdr>
        <w:top w:val="none" w:sz="0" w:space="0" w:color="auto"/>
        <w:left w:val="none" w:sz="0" w:space="0" w:color="auto"/>
        <w:bottom w:val="none" w:sz="0" w:space="0" w:color="auto"/>
        <w:right w:val="none" w:sz="0" w:space="0" w:color="auto"/>
      </w:divBdr>
    </w:div>
    <w:div w:id="1754472006">
      <w:bodyDiv w:val="1"/>
      <w:marLeft w:val="0"/>
      <w:marRight w:val="0"/>
      <w:marTop w:val="0"/>
      <w:marBottom w:val="0"/>
      <w:divBdr>
        <w:top w:val="none" w:sz="0" w:space="0" w:color="auto"/>
        <w:left w:val="none" w:sz="0" w:space="0" w:color="auto"/>
        <w:bottom w:val="none" w:sz="0" w:space="0" w:color="auto"/>
        <w:right w:val="none" w:sz="0" w:space="0" w:color="auto"/>
      </w:divBdr>
    </w:div>
    <w:div w:id="1832284464">
      <w:bodyDiv w:val="1"/>
      <w:marLeft w:val="0"/>
      <w:marRight w:val="0"/>
      <w:marTop w:val="0"/>
      <w:marBottom w:val="0"/>
      <w:divBdr>
        <w:top w:val="none" w:sz="0" w:space="0" w:color="auto"/>
        <w:left w:val="none" w:sz="0" w:space="0" w:color="auto"/>
        <w:bottom w:val="none" w:sz="0" w:space="0" w:color="auto"/>
        <w:right w:val="none" w:sz="0" w:space="0" w:color="auto"/>
      </w:divBdr>
    </w:div>
    <w:div w:id="1914509159">
      <w:bodyDiv w:val="1"/>
      <w:marLeft w:val="0"/>
      <w:marRight w:val="0"/>
      <w:marTop w:val="0"/>
      <w:marBottom w:val="0"/>
      <w:divBdr>
        <w:top w:val="none" w:sz="0" w:space="0" w:color="auto"/>
        <w:left w:val="none" w:sz="0" w:space="0" w:color="auto"/>
        <w:bottom w:val="none" w:sz="0" w:space="0" w:color="auto"/>
        <w:right w:val="none" w:sz="0" w:space="0" w:color="auto"/>
      </w:divBdr>
    </w:div>
    <w:div w:id="1964581849">
      <w:bodyDiv w:val="1"/>
      <w:marLeft w:val="0"/>
      <w:marRight w:val="0"/>
      <w:marTop w:val="0"/>
      <w:marBottom w:val="0"/>
      <w:divBdr>
        <w:top w:val="none" w:sz="0" w:space="0" w:color="auto"/>
        <w:left w:val="none" w:sz="0" w:space="0" w:color="auto"/>
        <w:bottom w:val="none" w:sz="0" w:space="0" w:color="auto"/>
        <w:right w:val="none" w:sz="0" w:space="0" w:color="auto"/>
      </w:divBdr>
    </w:div>
    <w:div w:id="202016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rticle/pmg6/chapter/1%20introduction" TargetMode="External"/><Relationship Id="rId13" Type="http://schemas.openxmlformats.org/officeDocument/2006/relationships/hyperlink" Target="https://www.nice.org.uk/article/pmg6/chapter/1%20introduction" TargetMode="External"/><Relationship Id="rId18" Type="http://schemas.openxmlformats.org/officeDocument/2006/relationships/hyperlink" Target="https://www.nice.org.uk/article/pmg6/chapter/1%20introduction" TargetMode="External"/><Relationship Id="rId3" Type="http://schemas.microsoft.com/office/2007/relationships/stylesWithEffects" Target="stylesWithEffects.xml"/><Relationship Id="rId21" Type="http://schemas.openxmlformats.org/officeDocument/2006/relationships/hyperlink" Target="https://www.nice.org.uk/Media/Default/About/what-we-do/NICE-guidance/NICE-medical-technologies/Medical-technologies-evaluation-programme-methods-guide.pdf" TargetMode="External"/><Relationship Id="rId7" Type="http://schemas.openxmlformats.org/officeDocument/2006/relationships/endnotes" Target="endnotes.xml"/><Relationship Id="rId12" Type="http://schemas.openxmlformats.org/officeDocument/2006/relationships/hyperlink" Target="https://www.nice.org.uk/Media/Default/About/what-we-do/NICE-guidance/NICE-medical-technologies/Medical-technologies-evaluation-programme-methods-guide.pdf" TargetMode="External"/><Relationship Id="rId17" Type="http://schemas.openxmlformats.org/officeDocument/2006/relationships/hyperlink" Target="https://www.nice.org.uk/Media/Default/About/what-we-do/NICE-guidance/NICE-medical-technologies/Medical-technologies-evaluation-programme-methods-guid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ice.org.uk/article/pmg6/chapter/1%20introduction" TargetMode="External"/><Relationship Id="rId20" Type="http://schemas.openxmlformats.org/officeDocument/2006/relationships/hyperlink" Target="https://www.nice.org.uk/article/pmg6/chapter/1%20introduct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ice.org.uk/article/pmg6/chapter/1%20introduc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ekodevices.com/en-uk/geko-video-dvt-prevention-blood-clot-prevention-/recent-videos/deep-vein-study/" TargetMode="External"/><Relationship Id="rId23" Type="http://schemas.openxmlformats.org/officeDocument/2006/relationships/footer" Target="footer1.xml"/><Relationship Id="rId10" Type="http://schemas.openxmlformats.org/officeDocument/2006/relationships/hyperlink" Target="https://www.nice.org.uk/Media/Default/About/what-we-do/NICE-guidance/NICE-medical-technologies/MTEP-Interim-addendum-guidance-review.pdf" TargetMode="External"/><Relationship Id="rId19" Type="http://schemas.openxmlformats.org/officeDocument/2006/relationships/hyperlink" Target="https://www.nice.org.uk/Media/Default/About/what-we-do/NICE-guidance/NICE-medical-technologies/Medical-technologies-evaluation-programme-methods-guide.pdf" TargetMode="External"/><Relationship Id="rId4" Type="http://schemas.openxmlformats.org/officeDocument/2006/relationships/settings" Target="settings.xml"/><Relationship Id="rId9" Type="http://schemas.openxmlformats.org/officeDocument/2006/relationships/hyperlink" Target="https://www.nice.org.uk/Media/Default/About/what-we-do/NICE-guidance/NICE-medical-technologies/Medical-technologies-evaluation-programme-methods-guide.pdf" TargetMode="External"/><Relationship Id="rId14" Type="http://schemas.openxmlformats.org/officeDocument/2006/relationships/hyperlink" Target="https://www.nice.org.uk/Media/Default/About/what-we-do/NICE-guidance/NICE-medical-technologies/Medical-technologies-evaluation-programme-methods-guide.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TEMPLATES\11.%20MTCD\MTCD%20consultation\Table%20for%20recd%20consultation%20comment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Table for recd consultation comments word template</Template>
  <TotalTime>1</TotalTime>
  <Pages>10</Pages>
  <Words>3593</Words>
  <Characters>20482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Joanne Heaney</dc:creator>
  <cp:lastModifiedBy>Joanne Heaney</cp:lastModifiedBy>
  <cp:revision>2</cp:revision>
  <cp:lastPrinted>2016-05-25T08:13:00Z</cp:lastPrinted>
  <dcterms:created xsi:type="dcterms:W3CDTF">2016-06-13T09:56:00Z</dcterms:created>
  <dcterms:modified xsi:type="dcterms:W3CDTF">2016-06-13T09:56:00Z</dcterms:modified>
</cp:coreProperties>
</file>