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55EA6" w14:textId="77777777" w:rsidR="004B180E" w:rsidRDefault="004B180E" w:rsidP="00927850">
      <w:pPr>
        <w:pStyle w:val="Title"/>
        <w:spacing w:before="0"/>
      </w:pPr>
      <w:r>
        <w:t xml:space="preserve">NATIONAL INSTITUTE FOR HEALTH AND </w:t>
      </w:r>
      <w:r w:rsidR="00554A1D">
        <w:rPr>
          <w:lang w:val="en-GB"/>
        </w:rPr>
        <w:t>CARE</w:t>
      </w:r>
      <w:r>
        <w:t xml:space="preserve"> EXCELLENCE</w:t>
      </w:r>
    </w:p>
    <w:p w14:paraId="654CC9D0" w14:textId="77777777" w:rsidR="00B2228D" w:rsidRDefault="00B2228D" w:rsidP="003178AE">
      <w:pPr>
        <w:pStyle w:val="Heading1"/>
        <w:spacing w:before="0" w:after="240"/>
        <w:jc w:val="center"/>
        <w:rPr>
          <w:lang w:val="en-GB"/>
        </w:rPr>
      </w:pPr>
      <w:r>
        <w:rPr>
          <w:lang w:val="en-GB"/>
        </w:rPr>
        <w:t>Centre for Health Technology Evaluation</w:t>
      </w:r>
    </w:p>
    <w:p w14:paraId="149D2279" w14:textId="42BB7982" w:rsidR="00576A0E" w:rsidRPr="006E63E0" w:rsidRDefault="00B2228D" w:rsidP="00927850">
      <w:pPr>
        <w:pStyle w:val="Title"/>
        <w:spacing w:before="0"/>
        <w:rPr>
          <w:lang w:val="en-GB"/>
        </w:rPr>
      </w:pPr>
      <w:r>
        <w:rPr>
          <w:lang w:val="en-GB"/>
        </w:rPr>
        <w:t xml:space="preserve">Report for </w:t>
      </w:r>
      <w:r w:rsidR="00685AE9">
        <w:rPr>
          <w:lang w:val="en-GB"/>
        </w:rPr>
        <w:t>External Consultation</w:t>
      </w:r>
    </w:p>
    <w:p w14:paraId="4DE723A7" w14:textId="045DAEB6" w:rsidR="004B180E" w:rsidRPr="00B2228D" w:rsidRDefault="00576A0E" w:rsidP="00927850">
      <w:pPr>
        <w:pStyle w:val="Title"/>
        <w:spacing w:before="0"/>
        <w:rPr>
          <w:lang w:val="en-GB"/>
        </w:rPr>
      </w:pPr>
      <w:r>
        <w:rPr>
          <w:lang w:val="en-GB"/>
        </w:rPr>
        <w:t xml:space="preserve"> </w:t>
      </w:r>
    </w:p>
    <w:p w14:paraId="1A2B7BF2" w14:textId="0CA66BF3" w:rsidR="004B180E" w:rsidRPr="00457B96" w:rsidRDefault="006E63E0" w:rsidP="00927850">
      <w:pPr>
        <w:pStyle w:val="Heading1"/>
        <w:keepNext w:val="0"/>
        <w:spacing w:before="0" w:after="240"/>
      </w:pPr>
      <w:r>
        <w:t xml:space="preserve">Review of </w:t>
      </w:r>
      <w:r w:rsidRPr="006E63E0">
        <w:rPr>
          <w:lang w:val="en-GB"/>
        </w:rPr>
        <w:t xml:space="preserve">MTG22: </w:t>
      </w:r>
      <w:proofErr w:type="spellStart"/>
      <w:r w:rsidRPr="006E63E0">
        <w:rPr>
          <w:lang w:val="en-GB"/>
        </w:rPr>
        <w:t>VibraTip</w:t>
      </w:r>
      <w:proofErr w:type="spellEnd"/>
      <w:r w:rsidRPr="006E63E0">
        <w:rPr>
          <w:lang w:val="en-GB"/>
        </w:rPr>
        <w:t xml:space="preserve"> for testing vibration perception to detect diabetic peripheral neuropathy</w:t>
      </w:r>
    </w:p>
    <w:p w14:paraId="113EC124" w14:textId="0FE60893" w:rsidR="004B180E" w:rsidRPr="001007A0" w:rsidRDefault="004B180E" w:rsidP="005A5DB9">
      <w:pPr>
        <w:autoSpaceDE w:val="0"/>
        <w:autoSpaceDN w:val="0"/>
        <w:adjustRightInd w:val="0"/>
        <w:spacing w:before="240" w:line="276" w:lineRule="auto"/>
        <w:rPr>
          <w:lang w:val="en-US"/>
        </w:rPr>
      </w:pPr>
      <w:r w:rsidRPr="001007A0">
        <w:rPr>
          <w:lang w:val="en-US"/>
        </w:rPr>
        <w:t xml:space="preserve">This guidance was issued in </w:t>
      </w:r>
      <w:r w:rsidR="006E63E0" w:rsidRPr="006E63E0">
        <w:rPr>
          <w:lang w:val="en-US"/>
        </w:rPr>
        <w:t>December 2014</w:t>
      </w:r>
      <w:r w:rsidR="006E63E0">
        <w:rPr>
          <w:lang w:val="en-US"/>
        </w:rPr>
        <w:t>.</w:t>
      </w:r>
    </w:p>
    <w:p w14:paraId="3440ACE4" w14:textId="303566D1" w:rsidR="00D1433B" w:rsidRDefault="00D1433B" w:rsidP="00D1433B">
      <w:pPr>
        <w:autoSpaceDE w:val="0"/>
        <w:autoSpaceDN w:val="0"/>
        <w:adjustRightInd w:val="0"/>
        <w:spacing w:before="240" w:line="276" w:lineRule="auto"/>
        <w:rPr>
          <w:lang w:val="en-US"/>
        </w:rPr>
      </w:pPr>
      <w:r w:rsidRPr="00A06649">
        <w:rPr>
          <w:lang w:val="en-US"/>
        </w:rPr>
        <w:t>NICE proposes an update of published guidance if the evidence base or clinical environment has changed to an extent that is likely to have a material effect on the recommendations in the existing guidance.</w:t>
      </w:r>
    </w:p>
    <w:p w14:paraId="0C3C73F2" w14:textId="7F86A5CA" w:rsidR="00BA7D8F" w:rsidRPr="00942AA1" w:rsidRDefault="009F47D2" w:rsidP="00927850">
      <w:pPr>
        <w:pStyle w:val="Numberedheading"/>
        <w:keepNext w:val="0"/>
      </w:pPr>
      <w:r>
        <w:rPr>
          <w:lang w:val="en-GB"/>
        </w:rPr>
        <w:t>Review decision</w:t>
      </w:r>
    </w:p>
    <w:p w14:paraId="4920D42D" w14:textId="4F417E45" w:rsidR="00B2228D" w:rsidRDefault="006E63E0" w:rsidP="00B2228D">
      <w:pPr>
        <w:rPr>
          <w:bCs/>
        </w:rPr>
      </w:pPr>
      <w:r w:rsidRPr="00CA2ABF">
        <w:t>Transfer the guidance to the ‘static guidance list’</w:t>
      </w:r>
      <w:r w:rsidR="00B2228D">
        <w:rPr>
          <w:bCs/>
        </w:rPr>
        <w:t>.</w:t>
      </w:r>
    </w:p>
    <w:p w14:paraId="5C25244B" w14:textId="425092CA" w:rsidR="00D1433B" w:rsidRDefault="00D1433B" w:rsidP="00B2228D">
      <w:pPr>
        <w:rPr>
          <w:bCs/>
        </w:rPr>
      </w:pPr>
      <w:r>
        <w:rPr>
          <w:bCs/>
        </w:rPr>
        <w:t>Consult on the review proposal</w:t>
      </w:r>
    </w:p>
    <w:p w14:paraId="2CF1045D" w14:textId="77777777" w:rsidR="00493B39" w:rsidRPr="00FA58FB" w:rsidRDefault="00DA547B" w:rsidP="00927850">
      <w:pPr>
        <w:pStyle w:val="Numberedheading"/>
        <w:keepNext w:val="0"/>
        <w:rPr>
          <w:lang w:val="en-US"/>
        </w:rPr>
      </w:pPr>
      <w:r>
        <w:t xml:space="preserve">Original </w:t>
      </w:r>
      <w:r w:rsidR="00545DDA">
        <w:rPr>
          <w:lang w:val="en-GB"/>
        </w:rPr>
        <w:t>objective of guidance</w:t>
      </w:r>
    </w:p>
    <w:p w14:paraId="35413F59" w14:textId="03F0713F" w:rsidR="00475341" w:rsidRDefault="00A07923" w:rsidP="005A5DB9">
      <w:pPr>
        <w:spacing w:before="240" w:line="276" w:lineRule="auto"/>
      </w:pPr>
      <w:r>
        <w:t xml:space="preserve">To assess the </w:t>
      </w:r>
      <w:r w:rsidR="003B3240">
        <w:t>case for adoption</w:t>
      </w:r>
      <w:r>
        <w:t xml:space="preserve"> of </w:t>
      </w:r>
      <w:proofErr w:type="spellStart"/>
      <w:r w:rsidR="00A15D30" w:rsidRPr="006E63E0">
        <w:t>VibraTip</w:t>
      </w:r>
      <w:proofErr w:type="spellEnd"/>
      <w:r w:rsidR="00A15D30">
        <w:t xml:space="preserve"> for </w:t>
      </w:r>
      <w:r w:rsidR="00A15D30" w:rsidRPr="006E63E0">
        <w:t>testing vibration perception to detect diabetic peripheral neuropathy</w:t>
      </w:r>
      <w:r w:rsidR="00A15D30">
        <w:t>.</w:t>
      </w:r>
    </w:p>
    <w:p w14:paraId="232811D3" w14:textId="77777777" w:rsidR="00DA547B" w:rsidRPr="00A07923" w:rsidRDefault="00DA547B" w:rsidP="00927850">
      <w:pPr>
        <w:pStyle w:val="Numberedheading"/>
        <w:keepNext w:val="0"/>
      </w:pPr>
      <w:r>
        <w:t>Current guidance</w:t>
      </w:r>
    </w:p>
    <w:p w14:paraId="1C24F73A" w14:textId="1C09352A" w:rsidR="00A15D30" w:rsidRPr="003624C5" w:rsidRDefault="00A15D30" w:rsidP="003624C5">
      <w:pPr>
        <w:pStyle w:val="ListParagraph"/>
        <w:numPr>
          <w:ilvl w:val="1"/>
          <w:numId w:val="29"/>
        </w:numPr>
        <w:spacing w:before="240" w:line="276" w:lineRule="auto"/>
        <w:rPr>
          <w:i/>
        </w:rPr>
      </w:pPr>
      <w:proofErr w:type="spellStart"/>
      <w:r w:rsidRPr="003624C5">
        <w:rPr>
          <w:i/>
        </w:rPr>
        <w:t>VibraTip</w:t>
      </w:r>
      <w:proofErr w:type="spellEnd"/>
      <w:r w:rsidRPr="003624C5">
        <w:rPr>
          <w:i/>
        </w:rPr>
        <w:t xml:space="preserve"> shows potential to improve the detection of diabetic peripheral neuropathy and to provide cost savings to the NHS. </w:t>
      </w:r>
      <w:proofErr w:type="spellStart"/>
      <w:r w:rsidRPr="003624C5">
        <w:rPr>
          <w:i/>
        </w:rPr>
        <w:t>VibraTip</w:t>
      </w:r>
      <w:proofErr w:type="spellEnd"/>
      <w:r w:rsidRPr="003624C5">
        <w:rPr>
          <w:i/>
        </w:rPr>
        <w:t xml:space="preserve"> appears to be easy to use, portable and reliable in its functionality, but the current evidence does not support the case for its routine adoption in the NHS. Therefore, research is recommended to address uncertainties in the potential benefits to patients and the NHS of using </w:t>
      </w:r>
      <w:proofErr w:type="spellStart"/>
      <w:r w:rsidRPr="003624C5">
        <w:rPr>
          <w:i/>
        </w:rPr>
        <w:t>VibraTip</w:t>
      </w:r>
      <w:proofErr w:type="spellEnd"/>
      <w:r w:rsidRPr="003624C5">
        <w:rPr>
          <w:i/>
        </w:rPr>
        <w:t xml:space="preserve">. Research is needed into the diagnostic accuracy of </w:t>
      </w:r>
      <w:proofErr w:type="spellStart"/>
      <w:r w:rsidRPr="003624C5">
        <w:rPr>
          <w:i/>
        </w:rPr>
        <w:t>VibraTip</w:t>
      </w:r>
      <w:proofErr w:type="spellEnd"/>
      <w:r w:rsidRPr="003624C5">
        <w:rPr>
          <w:i/>
        </w:rPr>
        <w:t xml:space="preserve"> compared with the 10 g monofilament and calibrated tuning fork in the diagnosis of peripheral neuropathy in people with diabetes. This research should also address the assessment of vibration perception compared with touch sensation in this clinical context. NICE will update this guidance when substantive new evidence becomes available.</w:t>
      </w:r>
    </w:p>
    <w:p w14:paraId="4426B561" w14:textId="77777777" w:rsidR="003624C5" w:rsidRDefault="003624C5" w:rsidP="003624C5">
      <w:pPr>
        <w:spacing w:before="240" w:line="276" w:lineRule="auto"/>
        <w:rPr>
          <w:i/>
          <w:highlight w:val="lightGray"/>
        </w:rPr>
      </w:pPr>
    </w:p>
    <w:p w14:paraId="3E491A55" w14:textId="77777777" w:rsidR="003624C5" w:rsidRPr="003624C5" w:rsidRDefault="003624C5" w:rsidP="003624C5">
      <w:pPr>
        <w:spacing w:before="240" w:line="276" w:lineRule="auto"/>
        <w:rPr>
          <w:highlight w:val="lightGray"/>
        </w:rPr>
      </w:pPr>
    </w:p>
    <w:p w14:paraId="6F53A463" w14:textId="77777777" w:rsidR="00DC4041" w:rsidRPr="00DC4041" w:rsidRDefault="004B180E" w:rsidP="005A5DB9">
      <w:pPr>
        <w:pStyle w:val="Numberedheading"/>
        <w:keepNext w:val="0"/>
      </w:pPr>
      <w:r>
        <w:lastRenderedPageBreak/>
        <w:t>Rationale</w:t>
      </w:r>
    </w:p>
    <w:p w14:paraId="76D657CF" w14:textId="098134CD" w:rsidR="00FA0B3F" w:rsidRDefault="00C67993" w:rsidP="005A5DB9">
      <w:pPr>
        <w:spacing w:before="240" w:line="276" w:lineRule="auto"/>
      </w:pPr>
      <w:r>
        <w:t>No new evidence has been identified which is likely to change the existing research recommendations. The clinical pathway has not changed</w:t>
      </w:r>
      <w:r w:rsidR="00F3265C">
        <w:t>. T</w:t>
      </w:r>
      <w:r>
        <w:t xml:space="preserve">here is still potential benefit for the use of </w:t>
      </w:r>
      <w:proofErr w:type="spellStart"/>
      <w:r w:rsidR="0054367D">
        <w:t>VibraT</w:t>
      </w:r>
      <w:r>
        <w:t>ip</w:t>
      </w:r>
      <w:proofErr w:type="spellEnd"/>
      <w:r w:rsidR="0054367D">
        <w:t>,</w:t>
      </w:r>
      <w:r>
        <w:t xml:space="preserve"> however</w:t>
      </w:r>
      <w:r w:rsidR="0054367D">
        <w:t>,</w:t>
      </w:r>
      <w:r>
        <w:t xml:space="preserve"> t</w:t>
      </w:r>
      <w:r w:rsidR="00A15D30">
        <w:t xml:space="preserve">he uncertainties </w:t>
      </w:r>
      <w:r>
        <w:t>around the effectiveness of the technology</w:t>
      </w:r>
      <w:r w:rsidR="0054367D">
        <w:t xml:space="preserve"> </w:t>
      </w:r>
      <w:r w:rsidR="00B57F9B">
        <w:t>have not been addressed</w:t>
      </w:r>
      <w:r w:rsidR="00A15D30">
        <w:t xml:space="preserve">. There is no change in the cost of </w:t>
      </w:r>
      <w:proofErr w:type="spellStart"/>
      <w:r w:rsidR="00A15D30">
        <w:t>VibraTip</w:t>
      </w:r>
      <w:proofErr w:type="spellEnd"/>
      <w:r w:rsidR="00A15D30">
        <w:t xml:space="preserve"> or the comparator technologies.</w:t>
      </w:r>
    </w:p>
    <w:p w14:paraId="17F38521" w14:textId="77777777" w:rsidR="00FA58FB" w:rsidRPr="0056596D" w:rsidRDefault="00081BF9" w:rsidP="00927850">
      <w:pPr>
        <w:pStyle w:val="Numberedheading"/>
        <w:keepNext w:val="0"/>
      </w:pPr>
      <w:r w:rsidRPr="00602AF6">
        <w:t>New</w:t>
      </w:r>
      <w:r w:rsidRPr="0056596D">
        <w:t xml:space="preserve"> evidence</w:t>
      </w:r>
      <w:r w:rsidR="00B1359B">
        <w:rPr>
          <w:lang w:val="en-GB"/>
        </w:rPr>
        <w:t xml:space="preserve"> </w:t>
      </w:r>
    </w:p>
    <w:p w14:paraId="7447103D" w14:textId="3CD354E5" w:rsidR="00081BF9" w:rsidRDefault="00081BF9" w:rsidP="005A5DB9">
      <w:pPr>
        <w:spacing w:before="240" w:line="276" w:lineRule="auto"/>
      </w:pPr>
      <w:r>
        <w:t>The search strategy from the original</w:t>
      </w:r>
      <w:r w:rsidR="00DC4041">
        <w:t xml:space="preserve"> </w:t>
      </w:r>
      <w:r>
        <w:t>assessment report was re-run</w:t>
      </w:r>
      <w:r w:rsidR="00A0372E">
        <w:t xml:space="preserve">. </w:t>
      </w:r>
      <w:r w:rsidR="00693D5B">
        <w:t>Relevant r</w:t>
      </w:r>
      <w:r w:rsidR="00DA547B">
        <w:t xml:space="preserve">eferences from </w:t>
      </w:r>
      <w:r w:rsidR="00C14F5F">
        <w:rPr>
          <w:lang w:val="en-US"/>
        </w:rPr>
        <w:t>April 2014</w:t>
      </w:r>
      <w:r w:rsidR="00E2231C">
        <w:t xml:space="preserve"> </w:t>
      </w:r>
      <w:r w:rsidR="00DA547B">
        <w:t>onwards were reviewed. Additional searches of clinical trials registries</w:t>
      </w:r>
      <w:r w:rsidR="00A07923">
        <w:t xml:space="preserve"> were also carried out</w:t>
      </w:r>
      <w:r w:rsidR="006E63D0">
        <w:t xml:space="preserve"> and relevant guidance from NICE and other professional bodies was reviewed to determine whether there have been any changes to the care pathways</w:t>
      </w:r>
      <w:r w:rsidR="00A10F80">
        <w:t>.</w:t>
      </w:r>
      <w:r w:rsidR="00A07923">
        <w:t xml:space="preserve"> </w:t>
      </w:r>
      <w:r w:rsidR="003D10CA">
        <w:t>The c</w:t>
      </w:r>
      <w:r w:rsidR="009858FD">
        <w:t>ompan</w:t>
      </w:r>
      <w:r w:rsidR="003D10CA">
        <w:t>y</w:t>
      </w:r>
      <w:r w:rsidR="00A07923">
        <w:t xml:space="preserve"> w</w:t>
      </w:r>
      <w:r w:rsidR="003D10CA">
        <w:t>as</w:t>
      </w:r>
      <w:r w:rsidR="00A07923">
        <w:t xml:space="preserve"> asked to submit all new literature references relevant to their technology</w:t>
      </w:r>
      <w:r w:rsidR="00A10F80">
        <w:t xml:space="preserve"> along with updated costs and details of any changes to the </w:t>
      </w:r>
      <w:r w:rsidR="006E63D0">
        <w:t xml:space="preserve">technology itself or the </w:t>
      </w:r>
      <w:r w:rsidR="00A10F80">
        <w:t>CE marked indication for use for their technology</w:t>
      </w:r>
      <w:r w:rsidR="00A07923">
        <w:t>.</w:t>
      </w:r>
      <w:r w:rsidR="00DA547B">
        <w:t xml:space="preserve"> </w:t>
      </w:r>
      <w:r>
        <w:t>The results of the literature search are discussed in the ‘</w:t>
      </w:r>
      <w:r w:rsidR="00C05518" w:rsidRPr="00C05518">
        <w:t>Summary of evidence and implications for review</w:t>
      </w:r>
      <w:r>
        <w:t>’ section below.</w:t>
      </w:r>
      <w:r w:rsidR="00C05518">
        <w:t xml:space="preserve"> See Appendix </w:t>
      </w:r>
      <w:r w:rsidR="000D064A">
        <w:t>2</w:t>
      </w:r>
      <w:r w:rsidR="00C05518">
        <w:t xml:space="preserve"> for further details of ongoing and unpublished studies.</w:t>
      </w:r>
      <w:r w:rsidR="000C69F8">
        <w:t xml:space="preserve"> </w:t>
      </w:r>
    </w:p>
    <w:p w14:paraId="6546D86A" w14:textId="77777777" w:rsidR="009858FD" w:rsidRPr="003D10CA" w:rsidRDefault="00C653E4" w:rsidP="00C653E4">
      <w:pPr>
        <w:pStyle w:val="Heading2"/>
        <w:ind w:left="720"/>
        <w:rPr>
          <w:lang w:val="en-GB"/>
        </w:rPr>
      </w:pPr>
      <w:r>
        <w:rPr>
          <w:lang w:val="en-GB"/>
        </w:rPr>
        <w:t>5</w:t>
      </w:r>
      <w:r w:rsidR="00256F0A">
        <w:rPr>
          <w:lang w:val="en-GB"/>
        </w:rPr>
        <w:t xml:space="preserve">.1 </w:t>
      </w:r>
      <w:r w:rsidR="009858FD">
        <w:t>T</w:t>
      </w:r>
      <w:r w:rsidR="00BC3E45">
        <w:t>echnolog</w:t>
      </w:r>
      <w:r w:rsidR="00472574">
        <w:rPr>
          <w:lang w:val="en-GB"/>
        </w:rPr>
        <w:t>y availability and changes</w:t>
      </w:r>
    </w:p>
    <w:p w14:paraId="2E9D3592" w14:textId="6D390673" w:rsidR="00C14F5F" w:rsidRPr="00C14F5F" w:rsidRDefault="00C14F5F" w:rsidP="00C653E4">
      <w:pPr>
        <w:spacing w:before="240" w:line="276" w:lineRule="auto"/>
        <w:ind w:left="720"/>
      </w:pPr>
      <w:proofErr w:type="spellStart"/>
      <w:r w:rsidRPr="00C14F5F">
        <w:t>VibraTip</w:t>
      </w:r>
      <w:proofErr w:type="spellEnd"/>
      <w:r w:rsidRPr="00C14F5F">
        <w:t xml:space="preserve"> is available to the NHS and is technically unchanged</w:t>
      </w:r>
      <w:r>
        <w:t xml:space="preserve">. The CE mark is unchanged. The cost for </w:t>
      </w:r>
      <w:proofErr w:type="spellStart"/>
      <w:r>
        <w:t>VibraTip</w:t>
      </w:r>
      <w:proofErr w:type="spellEnd"/>
      <w:r>
        <w:t xml:space="preserve"> is the same as reported in </w:t>
      </w:r>
      <w:r w:rsidR="002E434C">
        <w:t>MTG22</w:t>
      </w:r>
      <w:r>
        <w:t xml:space="preserve">. </w:t>
      </w:r>
    </w:p>
    <w:p w14:paraId="32C3896B" w14:textId="77777777" w:rsidR="009858FD" w:rsidRDefault="00C653E4" w:rsidP="00C653E4">
      <w:pPr>
        <w:pStyle w:val="Heading2"/>
        <w:ind w:left="720"/>
      </w:pPr>
      <w:bookmarkStart w:id="0" w:name="Text3"/>
      <w:r>
        <w:rPr>
          <w:lang w:val="en-GB"/>
        </w:rPr>
        <w:t>5</w:t>
      </w:r>
      <w:r w:rsidR="00256F0A">
        <w:rPr>
          <w:lang w:val="en-GB"/>
        </w:rPr>
        <w:t xml:space="preserve">.2 </w:t>
      </w:r>
      <w:r w:rsidR="00B1359B">
        <w:rPr>
          <w:lang w:val="en-GB"/>
        </w:rPr>
        <w:t>C</w:t>
      </w:r>
      <w:r w:rsidR="009858FD">
        <w:rPr>
          <w:lang w:val="en-GB"/>
        </w:rPr>
        <w:t>linical practice</w:t>
      </w:r>
    </w:p>
    <w:p w14:paraId="014C70CE" w14:textId="550B773C" w:rsidR="00B12DD5" w:rsidRDefault="009156D1" w:rsidP="0010433E">
      <w:pPr>
        <w:spacing w:before="240" w:line="276" w:lineRule="auto"/>
        <w:ind w:left="720"/>
      </w:pPr>
      <w:r>
        <w:t xml:space="preserve">The </w:t>
      </w:r>
      <w:r w:rsidR="008F4E61">
        <w:t xml:space="preserve">relevant </w:t>
      </w:r>
      <w:r>
        <w:t>NICE pathway is f</w:t>
      </w:r>
      <w:r w:rsidRPr="009156D1">
        <w:t>oot care for people with diab</w:t>
      </w:r>
      <w:r w:rsidR="004B4DB7">
        <w:t>etes. The clinical guideline is</w:t>
      </w:r>
      <w:r w:rsidR="00B12DD5">
        <w:t xml:space="preserve"> NG19</w:t>
      </w:r>
      <w:r w:rsidRPr="009156D1">
        <w:t xml:space="preserve"> </w:t>
      </w:r>
      <w:hyperlink r:id="rId8" w:history="1">
        <w:r w:rsidRPr="00016CE8">
          <w:rPr>
            <w:rStyle w:val="Hyperlink"/>
          </w:rPr>
          <w:t>Diabetic foot problems: prevention and management</w:t>
        </w:r>
      </w:hyperlink>
      <w:r w:rsidR="00A80CC5">
        <w:t xml:space="preserve"> which was last updated in January 2016</w:t>
      </w:r>
      <w:r>
        <w:t>.</w:t>
      </w:r>
      <w:r w:rsidRPr="009156D1">
        <w:t xml:space="preserve"> </w:t>
      </w:r>
      <w:r w:rsidR="00C14F5F" w:rsidRPr="00C61A54">
        <w:t xml:space="preserve">There </w:t>
      </w:r>
      <w:r w:rsidR="00A80CC5">
        <w:t>have been</w:t>
      </w:r>
      <w:r w:rsidR="00C14F5F" w:rsidRPr="00C61A54">
        <w:t xml:space="preserve"> </w:t>
      </w:r>
      <w:r w:rsidR="00C61A54">
        <w:t>no</w:t>
      </w:r>
      <w:r w:rsidR="00A80CC5">
        <w:t xml:space="preserve"> significant</w:t>
      </w:r>
      <w:r w:rsidR="00C61A54">
        <w:t xml:space="preserve"> changes to the care pathway.</w:t>
      </w:r>
      <w:r w:rsidR="00B12DD5">
        <w:t xml:space="preserve"> NG19 recommended foot inspection of adults with diabetes </w:t>
      </w:r>
      <w:r w:rsidR="00B12DD5" w:rsidRPr="00B12DD5">
        <w:t>us</w:t>
      </w:r>
      <w:r w:rsidR="00B12DD5">
        <w:t>ing</w:t>
      </w:r>
      <w:r w:rsidR="00B12DD5" w:rsidRPr="00B12DD5">
        <w:t xml:space="preserve"> a 10 g monofilament </w:t>
      </w:r>
      <w:r w:rsidR="00A77E18">
        <w:t>at least annually</w:t>
      </w:r>
      <w:r w:rsidR="00B12DD5">
        <w:t>.</w:t>
      </w:r>
    </w:p>
    <w:p w14:paraId="7E717765" w14:textId="3FB950BB" w:rsidR="00C14F5F" w:rsidRDefault="00C61A54" w:rsidP="0010433E">
      <w:pPr>
        <w:spacing w:before="240" w:line="276" w:lineRule="auto"/>
        <w:ind w:left="720"/>
      </w:pPr>
      <w:r>
        <w:t xml:space="preserve">People with suspected diabetic neuropathy are still tested with </w:t>
      </w:r>
      <w:r w:rsidR="00A80CC5">
        <w:t xml:space="preserve">either </w:t>
      </w:r>
      <w:r>
        <w:t xml:space="preserve">the 128Hz tuning fork, 10g monofilament or a </w:t>
      </w:r>
      <w:proofErr w:type="spellStart"/>
      <w:r>
        <w:t>neurothesiometer</w:t>
      </w:r>
      <w:proofErr w:type="spellEnd"/>
      <w:r>
        <w:t>.</w:t>
      </w:r>
    </w:p>
    <w:p w14:paraId="082E39FA" w14:textId="21C96E97" w:rsidR="00A01156" w:rsidRDefault="005A7862" w:rsidP="0010433E">
      <w:pPr>
        <w:spacing w:before="240" w:line="276" w:lineRule="auto"/>
        <w:ind w:left="720"/>
        <w:rPr>
          <w:rFonts w:cs="Times New Roman"/>
          <w:bCs/>
          <w:i/>
          <w:szCs w:val="28"/>
        </w:rPr>
      </w:pPr>
      <w:r>
        <w:t>Five</w:t>
      </w:r>
      <w:r w:rsidR="0054367D">
        <w:t xml:space="preserve"> </w:t>
      </w:r>
      <w:r w:rsidR="00C61A54">
        <w:t>experts</w:t>
      </w:r>
      <w:r w:rsidR="006C422D">
        <w:t xml:space="preserve"> gave advice on the review. </w:t>
      </w:r>
      <w:r w:rsidR="007962A2">
        <w:t>One expert was</w:t>
      </w:r>
      <w:r w:rsidR="006C422D">
        <w:t xml:space="preserve"> aware of routine use of </w:t>
      </w:r>
      <w:proofErr w:type="spellStart"/>
      <w:r w:rsidR="00C61A54" w:rsidRPr="00C61A54">
        <w:t>VibraTip</w:t>
      </w:r>
      <w:proofErr w:type="spellEnd"/>
      <w:r w:rsidR="00C61A54" w:rsidRPr="00C61A54">
        <w:t xml:space="preserve"> </w:t>
      </w:r>
      <w:r w:rsidR="003B7C6A">
        <w:t>at</w:t>
      </w:r>
      <w:r w:rsidR="006C422D">
        <w:t xml:space="preserve"> </w:t>
      </w:r>
      <w:r w:rsidR="007962A2">
        <w:t xml:space="preserve">an </w:t>
      </w:r>
      <w:r w:rsidR="006C422D">
        <w:t>NHS</w:t>
      </w:r>
      <w:r w:rsidR="007962A2">
        <w:t xml:space="preserve"> site</w:t>
      </w:r>
      <w:r w:rsidR="006C422D">
        <w:t>.</w:t>
      </w:r>
      <w:r w:rsidR="00A01156">
        <w:t xml:space="preserve"> </w:t>
      </w:r>
      <w:r w:rsidR="007C5AFA">
        <w:rPr>
          <w:rFonts w:cs="Times New Roman"/>
          <w:bCs/>
          <w:iCs/>
          <w:szCs w:val="28"/>
        </w:rPr>
        <w:t xml:space="preserve">An </w:t>
      </w:r>
      <w:r w:rsidR="00A01156">
        <w:rPr>
          <w:rFonts w:cs="Times New Roman"/>
          <w:bCs/>
          <w:iCs/>
          <w:szCs w:val="28"/>
        </w:rPr>
        <w:t xml:space="preserve">expert who is also a co-investigator in </w:t>
      </w:r>
      <w:r w:rsidR="00A01156" w:rsidRPr="009156D1">
        <w:rPr>
          <w:rFonts w:cs="Times New Roman"/>
          <w:bCs/>
          <w:iCs/>
          <w:szCs w:val="28"/>
        </w:rPr>
        <w:t xml:space="preserve">Azzopardi et al (2018) </w:t>
      </w:r>
      <w:r>
        <w:rPr>
          <w:rFonts w:cs="Times New Roman"/>
          <w:bCs/>
          <w:iCs/>
          <w:szCs w:val="28"/>
        </w:rPr>
        <w:t xml:space="preserve">which compared </w:t>
      </w:r>
      <w:proofErr w:type="spellStart"/>
      <w:r>
        <w:rPr>
          <w:rFonts w:cs="Times New Roman"/>
          <w:bCs/>
          <w:iCs/>
          <w:szCs w:val="28"/>
        </w:rPr>
        <w:t>VibraTip</w:t>
      </w:r>
      <w:proofErr w:type="spellEnd"/>
      <w:r>
        <w:rPr>
          <w:rFonts w:cs="Times New Roman"/>
          <w:bCs/>
          <w:iCs/>
          <w:szCs w:val="28"/>
        </w:rPr>
        <w:t xml:space="preserve">, </w:t>
      </w:r>
      <w:proofErr w:type="spellStart"/>
      <w:r w:rsidRPr="005A7862">
        <w:rPr>
          <w:rFonts w:cs="Times New Roman"/>
          <w:bCs/>
          <w:iCs/>
          <w:szCs w:val="28"/>
        </w:rPr>
        <w:t>neurothesiometer</w:t>
      </w:r>
      <w:proofErr w:type="spellEnd"/>
      <w:r>
        <w:rPr>
          <w:rFonts w:cs="Times New Roman"/>
          <w:bCs/>
          <w:iCs/>
          <w:szCs w:val="28"/>
        </w:rPr>
        <w:t>,</w:t>
      </w:r>
      <w:r w:rsidRPr="005A7862">
        <w:rPr>
          <w:rFonts w:cs="Times New Roman"/>
          <w:bCs/>
          <w:iCs/>
          <w:szCs w:val="28"/>
        </w:rPr>
        <w:t xml:space="preserve"> and 128Hz tuning fork </w:t>
      </w:r>
      <w:r w:rsidRPr="009156D1">
        <w:rPr>
          <w:rFonts w:cs="Times New Roman"/>
          <w:bCs/>
          <w:iCs/>
          <w:szCs w:val="28"/>
        </w:rPr>
        <w:t>stated,</w:t>
      </w:r>
      <w:r w:rsidR="00A01156" w:rsidRPr="009156D1">
        <w:rPr>
          <w:rFonts w:cs="Times New Roman"/>
          <w:bCs/>
          <w:iCs/>
          <w:szCs w:val="28"/>
        </w:rPr>
        <w:t xml:space="preserve"> </w:t>
      </w:r>
      <w:r w:rsidR="00915D3E" w:rsidRPr="00915D3E">
        <w:rPr>
          <w:rFonts w:cs="Times New Roman"/>
          <w:bCs/>
          <w:iCs/>
          <w:color w:val="000000" w:themeColor="text1"/>
          <w:szCs w:val="28"/>
          <w:highlight w:val="black"/>
          <w:u w:val="single"/>
        </w:rPr>
        <w:t>XXXXXXXXXX</w:t>
      </w:r>
    </w:p>
    <w:p w14:paraId="7FF8ADBC" w14:textId="77777777" w:rsidR="009858FD" w:rsidRPr="003D10CA" w:rsidRDefault="00C653E4" w:rsidP="00C653E4">
      <w:pPr>
        <w:pStyle w:val="Heading2"/>
        <w:ind w:left="720"/>
        <w:rPr>
          <w:lang w:val="en-GB"/>
        </w:rPr>
      </w:pPr>
      <w:r>
        <w:rPr>
          <w:lang w:val="en-GB"/>
        </w:rPr>
        <w:lastRenderedPageBreak/>
        <w:t>5</w:t>
      </w:r>
      <w:r w:rsidR="00256F0A">
        <w:rPr>
          <w:lang w:val="en-GB"/>
        </w:rPr>
        <w:t xml:space="preserve">.3 </w:t>
      </w:r>
      <w:r w:rsidR="00B1359B">
        <w:t>N</w:t>
      </w:r>
      <w:r w:rsidR="00C35B50">
        <w:rPr>
          <w:lang w:val="en-GB"/>
        </w:rPr>
        <w:t>ICE facilitated research</w:t>
      </w:r>
    </w:p>
    <w:p w14:paraId="246AFA0B" w14:textId="0E9AD720" w:rsidR="00C61A54" w:rsidRDefault="00A77E18" w:rsidP="004B4DB7">
      <w:pPr>
        <w:pStyle w:val="Paragraphnonumbers"/>
        <w:ind w:left="720"/>
      </w:pPr>
      <w:r>
        <w:t xml:space="preserve">KiTEC EAC </w:t>
      </w:r>
      <w:r w:rsidR="00C61A54" w:rsidRPr="00C61A54">
        <w:t>published a research protocol developed as a result of MTEP research commissioning</w:t>
      </w:r>
      <w:r w:rsidRPr="00A77E18">
        <w:t xml:space="preserve"> </w:t>
      </w:r>
      <w:r w:rsidR="003B7C6A">
        <w:t>(</w:t>
      </w:r>
      <w:r w:rsidRPr="00C61A54">
        <w:t>Goddard et al</w:t>
      </w:r>
      <w:r w:rsidR="003B7C6A">
        <w:t xml:space="preserve">, </w:t>
      </w:r>
      <w:r w:rsidRPr="00C61A54">
        <w:t>2018)</w:t>
      </w:r>
      <w:r w:rsidR="00C61A54" w:rsidRPr="00C61A54">
        <w:t xml:space="preserve">. The protocol was designed to answer uncertainties in </w:t>
      </w:r>
      <w:r w:rsidR="00C67993">
        <w:t>the effectiveness of</w:t>
      </w:r>
      <w:r w:rsidR="00C61A54" w:rsidRPr="00C61A54">
        <w:t xml:space="preserve"> </w:t>
      </w:r>
      <w:proofErr w:type="spellStart"/>
      <w:r w:rsidR="00C61A54" w:rsidRPr="00C61A54">
        <w:t>VibraTip</w:t>
      </w:r>
      <w:proofErr w:type="spellEnd"/>
      <w:r w:rsidR="00C67993">
        <w:t xml:space="preserve"> by comparing it</w:t>
      </w:r>
      <w:r w:rsidR="00C61A54" w:rsidRPr="00C61A54">
        <w:t xml:space="preserve">, </w:t>
      </w:r>
      <w:r w:rsidR="00C67993">
        <w:t xml:space="preserve">a </w:t>
      </w:r>
      <w:proofErr w:type="spellStart"/>
      <w:r w:rsidR="00C61A54" w:rsidRPr="00C61A54">
        <w:t>neurothesiometer</w:t>
      </w:r>
      <w:proofErr w:type="spellEnd"/>
      <w:r w:rsidR="0054367D">
        <w:t>,</w:t>
      </w:r>
      <w:r w:rsidR="00C61A54" w:rsidRPr="00C61A54">
        <w:t xml:space="preserve"> and 10g monofilament against nerve conduction velocity measurements as a gold standard in people with diabetes. However, </w:t>
      </w:r>
      <w:r w:rsidR="0054367D">
        <w:t>this</w:t>
      </w:r>
      <w:r w:rsidR="0054367D" w:rsidRPr="00C61A54">
        <w:t xml:space="preserve"> research</w:t>
      </w:r>
      <w:r w:rsidR="00C61A54" w:rsidRPr="00C61A54">
        <w:t xml:space="preserve"> </w:t>
      </w:r>
      <w:r w:rsidR="00C67993">
        <w:t>study w</w:t>
      </w:r>
      <w:r w:rsidR="00C61A54" w:rsidRPr="00C61A54">
        <w:t xml:space="preserve">as </w:t>
      </w:r>
      <w:r w:rsidR="0054367D">
        <w:t xml:space="preserve">not </w:t>
      </w:r>
      <w:r w:rsidR="00C61A54" w:rsidRPr="00C61A54">
        <w:t xml:space="preserve">funded, despite </w:t>
      </w:r>
      <w:r w:rsidR="003B7C6A">
        <w:t xml:space="preserve">two </w:t>
      </w:r>
      <w:r w:rsidR="00C61A54" w:rsidRPr="00C61A54">
        <w:t>applicati</w:t>
      </w:r>
      <w:r w:rsidR="00C61A54">
        <w:t xml:space="preserve">ons by </w:t>
      </w:r>
      <w:r w:rsidR="00C67993">
        <w:t>the</w:t>
      </w:r>
      <w:r w:rsidR="00C61A54">
        <w:t xml:space="preserve"> </w:t>
      </w:r>
      <w:r w:rsidR="00C67993">
        <w:t>E</w:t>
      </w:r>
      <w:r w:rsidR="00C61A54">
        <w:t xml:space="preserve">xternal </w:t>
      </w:r>
      <w:r w:rsidR="00C67993">
        <w:t>A</w:t>
      </w:r>
      <w:r w:rsidR="00C61A54">
        <w:t xml:space="preserve">ssessment </w:t>
      </w:r>
      <w:r w:rsidR="00C67993">
        <w:t>C</w:t>
      </w:r>
      <w:r w:rsidR="00C61A54">
        <w:t>entre</w:t>
      </w:r>
      <w:r w:rsidR="00433494">
        <w:t xml:space="preserve"> (</w:t>
      </w:r>
      <w:r w:rsidR="005838EB" w:rsidRPr="005838EB">
        <w:t>Guy’s and St Thomas’ Charity</w:t>
      </w:r>
      <w:r w:rsidR="005838EB">
        <w:t xml:space="preserve"> </w:t>
      </w:r>
      <w:r w:rsidR="00433494" w:rsidRPr="00433494">
        <w:t>and Diabetes UK</w:t>
      </w:r>
      <w:r w:rsidR="00433494">
        <w:t>)</w:t>
      </w:r>
      <w:r w:rsidR="00C61A54" w:rsidRPr="00C61A54">
        <w:t>.</w:t>
      </w:r>
      <w:r w:rsidR="00433494">
        <w:t xml:space="preserve"> The </w:t>
      </w:r>
      <w:hyperlink r:id="rId9" w:history="1">
        <w:r w:rsidR="00433494" w:rsidRPr="00F63030">
          <w:rPr>
            <w:rStyle w:val="Hyperlink"/>
          </w:rPr>
          <w:t>protocol</w:t>
        </w:r>
      </w:hyperlink>
      <w:r w:rsidR="00433494">
        <w:t xml:space="preserve"> is available for researchers to use</w:t>
      </w:r>
      <w:r w:rsidR="00A63C31">
        <w:t>, and it has been cited (</w:t>
      </w:r>
      <w:r w:rsidR="00A63C31" w:rsidRPr="00A63C31">
        <w:t>Raymond</w:t>
      </w:r>
      <w:r w:rsidR="00A63C31">
        <w:t xml:space="preserve"> et al, 2019)</w:t>
      </w:r>
      <w:r w:rsidR="00433494">
        <w:t>.</w:t>
      </w:r>
      <w:r w:rsidR="003B7C6A">
        <w:t xml:space="preserve"> NICE do not fund clinical research arising from the </w:t>
      </w:r>
      <w:r w:rsidR="00623CBA">
        <w:t>Medical Technologies Evaluation P</w:t>
      </w:r>
      <w:r w:rsidR="003B7C6A">
        <w:t>rogramme; NICE do fund protocol development and other research facilitation activities.</w:t>
      </w:r>
    </w:p>
    <w:p w14:paraId="7D618DD6" w14:textId="0C1F7E71" w:rsidR="00A77E18" w:rsidRPr="00230B75" w:rsidRDefault="00A77E18" w:rsidP="00A77E18">
      <w:pPr>
        <w:pStyle w:val="Paragraphnonumbers"/>
        <w:ind w:left="720"/>
        <w:rPr>
          <w:bCs/>
        </w:rPr>
      </w:pPr>
      <w:r w:rsidRPr="00230B75">
        <w:rPr>
          <w:bCs/>
        </w:rPr>
        <w:t xml:space="preserve">Since the GE meeting on 8 January 2019, 2 experts have provided NICE with critical reviews of Goddard et al (2018). One </w:t>
      </w:r>
      <w:r>
        <w:rPr>
          <w:bCs/>
        </w:rPr>
        <w:t xml:space="preserve">expert </w:t>
      </w:r>
      <w:r w:rsidRPr="00230B75">
        <w:rPr>
          <w:bCs/>
        </w:rPr>
        <w:t xml:space="preserve">stated: </w:t>
      </w:r>
    </w:p>
    <w:p w14:paraId="228B3DD6" w14:textId="5B85D686" w:rsidR="00A77E18" w:rsidRPr="00915D3E" w:rsidRDefault="00915D3E" w:rsidP="00230B75">
      <w:pPr>
        <w:pStyle w:val="Paragraphnonumbers"/>
        <w:ind w:left="1440"/>
        <w:rPr>
          <w:bCs/>
          <w:highlight w:val="black"/>
        </w:rPr>
      </w:pPr>
      <w:r w:rsidRPr="00915D3E">
        <w:rPr>
          <w:bCs/>
          <w:highlight w:val="black"/>
        </w:rPr>
        <w:t>XXX</w:t>
      </w:r>
    </w:p>
    <w:p w14:paraId="52CFEE38" w14:textId="2FF54163" w:rsidR="00A77E18" w:rsidRPr="00915D3E" w:rsidRDefault="00915D3E" w:rsidP="00230B75">
      <w:pPr>
        <w:pStyle w:val="Paragraphnonumbers"/>
        <w:ind w:left="1440"/>
        <w:rPr>
          <w:bCs/>
          <w:highlight w:val="black"/>
        </w:rPr>
      </w:pPr>
      <w:r w:rsidRPr="00915D3E">
        <w:rPr>
          <w:bCs/>
          <w:highlight w:val="black"/>
        </w:rPr>
        <w:t>XXX</w:t>
      </w:r>
    </w:p>
    <w:p w14:paraId="0DF2AC05" w14:textId="40AF87EE" w:rsidR="00A77E18" w:rsidRPr="00915D3E" w:rsidRDefault="00915D3E" w:rsidP="00230B75">
      <w:pPr>
        <w:pStyle w:val="Paragraphnonumbers"/>
        <w:ind w:left="1440"/>
        <w:rPr>
          <w:bCs/>
        </w:rPr>
      </w:pPr>
      <w:r w:rsidRPr="00915D3E">
        <w:rPr>
          <w:bCs/>
          <w:highlight w:val="black"/>
        </w:rPr>
        <w:t>XXX</w:t>
      </w:r>
    </w:p>
    <w:p w14:paraId="31BDEED8" w14:textId="77777777" w:rsidR="00A77E18" w:rsidRPr="00230B75" w:rsidRDefault="00A77E18" w:rsidP="00A77E18">
      <w:pPr>
        <w:pStyle w:val="Paragraphnonumbers"/>
        <w:ind w:left="720"/>
        <w:rPr>
          <w:bCs/>
        </w:rPr>
      </w:pPr>
      <w:r w:rsidRPr="00230B75">
        <w:rPr>
          <w:bCs/>
        </w:rPr>
        <w:t>The other expert stated:</w:t>
      </w:r>
    </w:p>
    <w:p w14:paraId="5E80A2B1" w14:textId="16D4BEA2" w:rsidR="00A77E18" w:rsidRPr="00915D3E" w:rsidRDefault="00915D3E" w:rsidP="00230B75">
      <w:pPr>
        <w:pStyle w:val="Paragraphnonumbers"/>
        <w:ind w:left="1440"/>
        <w:rPr>
          <w:bCs/>
        </w:rPr>
      </w:pPr>
      <w:r w:rsidRPr="00915D3E">
        <w:rPr>
          <w:bCs/>
          <w:highlight w:val="black"/>
        </w:rPr>
        <w:t>XXX</w:t>
      </w:r>
    </w:p>
    <w:p w14:paraId="2177574E" w14:textId="653B8F75" w:rsidR="00A77E18" w:rsidRPr="00230B75" w:rsidRDefault="00A77E18" w:rsidP="00230B75">
      <w:pPr>
        <w:ind w:left="720"/>
        <w:rPr>
          <w:lang w:val="x-none"/>
        </w:rPr>
      </w:pPr>
      <w:r w:rsidRPr="007962A2">
        <w:t>Neither expert commented on the likeliho</w:t>
      </w:r>
      <w:bookmarkStart w:id="1" w:name="_GoBack"/>
      <w:bookmarkEnd w:id="1"/>
      <w:r w:rsidRPr="007962A2">
        <w:t>od of the study being funded despite being asked.</w:t>
      </w:r>
      <w:r w:rsidR="003B7C6A">
        <w:t xml:space="preserve"> In the opinion of the technical lead, such a response during grant review would mean that funding was not awarded.</w:t>
      </w:r>
    </w:p>
    <w:p w14:paraId="4BF831E9" w14:textId="77777777" w:rsidR="00C35B50" w:rsidRDefault="00C653E4" w:rsidP="00C653E4">
      <w:pPr>
        <w:pStyle w:val="Heading2"/>
        <w:ind w:left="720"/>
      </w:pPr>
      <w:r>
        <w:rPr>
          <w:lang w:val="en-GB"/>
        </w:rPr>
        <w:t>5</w:t>
      </w:r>
      <w:r w:rsidR="00C35B50">
        <w:rPr>
          <w:lang w:val="en-GB"/>
        </w:rPr>
        <w:t xml:space="preserve">.4 </w:t>
      </w:r>
      <w:r w:rsidR="00C35B50">
        <w:t>New studies</w:t>
      </w:r>
    </w:p>
    <w:p w14:paraId="19DDAF3A" w14:textId="38FB7B7B" w:rsidR="00353337" w:rsidRDefault="00C32D91" w:rsidP="00C653E4">
      <w:pPr>
        <w:spacing w:before="240" w:line="276" w:lineRule="auto"/>
        <w:ind w:left="720"/>
        <w:rPr>
          <w:rFonts w:cs="Times New Roman"/>
          <w:bCs/>
          <w:iCs/>
          <w:szCs w:val="28"/>
        </w:rPr>
      </w:pPr>
      <w:r>
        <w:rPr>
          <w:rFonts w:cs="Times New Roman"/>
          <w:bCs/>
          <w:iCs/>
          <w:szCs w:val="28"/>
        </w:rPr>
        <w:t>The</w:t>
      </w:r>
      <w:r w:rsidR="006F1DE0" w:rsidRPr="00353337">
        <w:rPr>
          <w:rFonts w:cs="Times New Roman"/>
          <w:bCs/>
          <w:iCs/>
          <w:szCs w:val="28"/>
        </w:rPr>
        <w:t xml:space="preserve"> literature searches</w:t>
      </w:r>
      <w:r w:rsidR="00353337">
        <w:rPr>
          <w:rFonts w:cs="Times New Roman"/>
          <w:bCs/>
          <w:iCs/>
          <w:szCs w:val="28"/>
        </w:rPr>
        <w:t xml:space="preserve"> </w:t>
      </w:r>
      <w:r w:rsidR="006F1DE0" w:rsidRPr="00353337">
        <w:rPr>
          <w:rFonts w:cs="Times New Roman"/>
          <w:bCs/>
          <w:iCs/>
          <w:szCs w:val="28"/>
        </w:rPr>
        <w:t xml:space="preserve">identified </w:t>
      </w:r>
      <w:r w:rsidR="0054367D">
        <w:rPr>
          <w:rFonts w:cs="Times New Roman"/>
          <w:bCs/>
          <w:iCs/>
          <w:szCs w:val="28"/>
        </w:rPr>
        <w:t>3</w:t>
      </w:r>
      <w:r w:rsidR="00353337" w:rsidRPr="00353337">
        <w:rPr>
          <w:rFonts w:cs="Times New Roman"/>
          <w:bCs/>
          <w:iCs/>
          <w:szCs w:val="28"/>
        </w:rPr>
        <w:t xml:space="preserve"> </w:t>
      </w:r>
      <w:r>
        <w:rPr>
          <w:rFonts w:cs="Times New Roman"/>
          <w:bCs/>
          <w:iCs/>
          <w:szCs w:val="28"/>
        </w:rPr>
        <w:t xml:space="preserve">relevant </w:t>
      </w:r>
      <w:r w:rsidR="00353337" w:rsidRPr="00353337">
        <w:rPr>
          <w:rFonts w:cs="Times New Roman"/>
          <w:bCs/>
          <w:iCs/>
          <w:szCs w:val="28"/>
        </w:rPr>
        <w:t xml:space="preserve">studies </w:t>
      </w:r>
      <w:r>
        <w:rPr>
          <w:rFonts w:cs="Times New Roman"/>
          <w:bCs/>
          <w:iCs/>
          <w:szCs w:val="28"/>
        </w:rPr>
        <w:t>which included</w:t>
      </w:r>
      <w:r w:rsidR="00353337">
        <w:rPr>
          <w:rFonts w:cs="Times New Roman"/>
          <w:bCs/>
          <w:iCs/>
          <w:szCs w:val="28"/>
        </w:rPr>
        <w:t xml:space="preserve"> </w:t>
      </w:r>
      <w:proofErr w:type="spellStart"/>
      <w:r w:rsidR="00353337">
        <w:rPr>
          <w:rFonts w:cs="Times New Roman"/>
          <w:bCs/>
          <w:iCs/>
          <w:szCs w:val="28"/>
        </w:rPr>
        <w:t>VibraT</w:t>
      </w:r>
      <w:r w:rsidR="00353337" w:rsidRPr="00353337">
        <w:rPr>
          <w:rFonts w:cs="Times New Roman"/>
          <w:bCs/>
          <w:iCs/>
          <w:szCs w:val="28"/>
        </w:rPr>
        <w:t>ip</w:t>
      </w:r>
      <w:proofErr w:type="spellEnd"/>
      <w:r w:rsidR="00353337" w:rsidRPr="00353337">
        <w:rPr>
          <w:rFonts w:cs="Times New Roman"/>
          <w:bCs/>
          <w:iCs/>
          <w:szCs w:val="28"/>
        </w:rPr>
        <w:t xml:space="preserve"> </w:t>
      </w:r>
      <w:r>
        <w:rPr>
          <w:rFonts w:cs="Times New Roman"/>
          <w:bCs/>
          <w:iCs/>
          <w:szCs w:val="28"/>
        </w:rPr>
        <w:t>as an intervention</w:t>
      </w:r>
      <w:r w:rsidR="00A80CC5">
        <w:rPr>
          <w:rFonts w:cs="Times New Roman"/>
          <w:bCs/>
          <w:iCs/>
          <w:szCs w:val="28"/>
        </w:rPr>
        <w:t>.</w:t>
      </w:r>
      <w:r>
        <w:rPr>
          <w:rFonts w:cs="Times New Roman"/>
          <w:bCs/>
          <w:iCs/>
          <w:szCs w:val="28"/>
        </w:rPr>
        <w:t xml:space="preserve"> </w:t>
      </w:r>
      <w:r w:rsidR="00353337" w:rsidRPr="00353337">
        <w:rPr>
          <w:rFonts w:cs="Times New Roman"/>
          <w:bCs/>
          <w:iCs/>
          <w:szCs w:val="28"/>
        </w:rPr>
        <w:t xml:space="preserve">None of the </w:t>
      </w:r>
      <w:r>
        <w:rPr>
          <w:rFonts w:cs="Times New Roman"/>
          <w:bCs/>
          <w:iCs/>
          <w:szCs w:val="28"/>
        </w:rPr>
        <w:t xml:space="preserve">new </w:t>
      </w:r>
      <w:r w:rsidR="00353337" w:rsidRPr="00353337">
        <w:rPr>
          <w:rFonts w:cs="Times New Roman"/>
          <w:bCs/>
          <w:iCs/>
          <w:szCs w:val="28"/>
        </w:rPr>
        <w:t xml:space="preserve">studies </w:t>
      </w:r>
      <w:r w:rsidR="00B12CA9">
        <w:rPr>
          <w:rFonts w:cs="Times New Roman"/>
          <w:bCs/>
          <w:iCs/>
          <w:szCs w:val="28"/>
        </w:rPr>
        <w:t xml:space="preserve">provided evidence which </w:t>
      </w:r>
      <w:r w:rsidR="00353337" w:rsidRPr="00353337">
        <w:rPr>
          <w:rFonts w:cs="Times New Roman"/>
          <w:bCs/>
          <w:iCs/>
          <w:szCs w:val="28"/>
        </w:rPr>
        <w:t xml:space="preserve">addressed </w:t>
      </w:r>
      <w:r w:rsidR="00693D5B">
        <w:rPr>
          <w:rFonts w:cs="Times New Roman"/>
          <w:bCs/>
          <w:iCs/>
          <w:szCs w:val="28"/>
        </w:rPr>
        <w:t xml:space="preserve">the </w:t>
      </w:r>
      <w:r w:rsidR="00353337" w:rsidRPr="00353337">
        <w:rPr>
          <w:rFonts w:cs="Times New Roman"/>
          <w:bCs/>
          <w:iCs/>
          <w:szCs w:val="28"/>
        </w:rPr>
        <w:t>research recommendations in the original guidance.</w:t>
      </w:r>
    </w:p>
    <w:p w14:paraId="658235D2" w14:textId="3CF8020E" w:rsidR="009156D1" w:rsidRPr="009156D1" w:rsidRDefault="009156D1" w:rsidP="0050646D">
      <w:pPr>
        <w:spacing w:before="240" w:line="276" w:lineRule="auto"/>
        <w:ind w:left="720"/>
        <w:rPr>
          <w:rFonts w:cs="Times New Roman"/>
          <w:bCs/>
          <w:iCs/>
          <w:szCs w:val="28"/>
        </w:rPr>
      </w:pPr>
      <w:r w:rsidRPr="009156D1">
        <w:rPr>
          <w:rFonts w:cs="Times New Roman"/>
          <w:bCs/>
          <w:iCs/>
          <w:szCs w:val="28"/>
        </w:rPr>
        <w:t xml:space="preserve">Azzopardi et al (2018) </w:t>
      </w:r>
      <w:r w:rsidR="00A56D4A">
        <w:rPr>
          <w:rFonts w:cs="Times New Roman"/>
          <w:bCs/>
          <w:iCs/>
          <w:szCs w:val="28"/>
        </w:rPr>
        <w:t>reported</w:t>
      </w:r>
      <w:r w:rsidRPr="009156D1">
        <w:rPr>
          <w:rFonts w:cs="Times New Roman"/>
          <w:bCs/>
          <w:iCs/>
          <w:szCs w:val="28"/>
        </w:rPr>
        <w:t xml:space="preserve"> a multi-centre cross-sectional study </w:t>
      </w:r>
      <w:r w:rsidR="008D3CF2">
        <w:rPr>
          <w:rFonts w:cs="Times New Roman"/>
          <w:bCs/>
          <w:iCs/>
          <w:szCs w:val="28"/>
        </w:rPr>
        <w:t xml:space="preserve">(n = 100, </w:t>
      </w:r>
      <w:r w:rsidR="005F76D7">
        <w:rPr>
          <w:rFonts w:cs="Times New Roman"/>
          <w:bCs/>
          <w:iCs/>
          <w:szCs w:val="28"/>
        </w:rPr>
        <w:t xml:space="preserve">mean age </w:t>
      </w:r>
      <w:r w:rsidR="008D3CF2">
        <w:rPr>
          <w:rFonts w:cs="Times New Roman"/>
          <w:bCs/>
          <w:iCs/>
          <w:szCs w:val="28"/>
        </w:rPr>
        <w:t xml:space="preserve">72.8 years) </w:t>
      </w:r>
      <w:r w:rsidRPr="009156D1">
        <w:rPr>
          <w:rFonts w:cs="Times New Roman"/>
          <w:bCs/>
          <w:iCs/>
          <w:szCs w:val="28"/>
        </w:rPr>
        <w:t>comparing 3 technologies</w:t>
      </w:r>
      <w:r w:rsidR="00C32D91">
        <w:rPr>
          <w:rFonts w:cs="Times New Roman"/>
          <w:bCs/>
          <w:iCs/>
          <w:szCs w:val="28"/>
        </w:rPr>
        <w:t xml:space="preserve"> </w:t>
      </w:r>
      <w:r w:rsidR="00A56D4A">
        <w:rPr>
          <w:rFonts w:cs="Times New Roman"/>
          <w:bCs/>
          <w:iCs/>
          <w:szCs w:val="28"/>
        </w:rPr>
        <w:t xml:space="preserve">for the assessment of vibration detection in diabetic neuropathy tests </w:t>
      </w:r>
      <w:r w:rsidR="00C32D91">
        <w:rPr>
          <w:rFonts w:cs="Times New Roman"/>
          <w:bCs/>
          <w:iCs/>
          <w:szCs w:val="28"/>
        </w:rPr>
        <w:t>in Malta</w:t>
      </w:r>
      <w:r w:rsidRPr="009156D1">
        <w:rPr>
          <w:rFonts w:cs="Times New Roman"/>
          <w:bCs/>
          <w:iCs/>
          <w:szCs w:val="28"/>
        </w:rPr>
        <w:t xml:space="preserve">. No gold standard was employed to quantify diabetic neuropathy. Cramer's V test showed small to moderate association between </w:t>
      </w:r>
      <w:proofErr w:type="spellStart"/>
      <w:r w:rsidRPr="009156D1">
        <w:rPr>
          <w:rFonts w:cs="Times New Roman"/>
          <w:bCs/>
          <w:iCs/>
          <w:szCs w:val="28"/>
        </w:rPr>
        <w:t>VibraTip</w:t>
      </w:r>
      <w:proofErr w:type="spellEnd"/>
      <w:r w:rsidRPr="009156D1">
        <w:rPr>
          <w:rFonts w:cs="Times New Roman"/>
          <w:bCs/>
          <w:iCs/>
          <w:szCs w:val="28"/>
        </w:rPr>
        <w:t xml:space="preserve">, </w:t>
      </w:r>
      <w:proofErr w:type="spellStart"/>
      <w:r w:rsidRPr="009156D1">
        <w:rPr>
          <w:rFonts w:cs="Times New Roman"/>
          <w:bCs/>
          <w:iCs/>
          <w:szCs w:val="28"/>
        </w:rPr>
        <w:t>neurothesiometer</w:t>
      </w:r>
      <w:proofErr w:type="spellEnd"/>
      <w:r w:rsidRPr="009156D1">
        <w:rPr>
          <w:rFonts w:cs="Times New Roman"/>
          <w:bCs/>
          <w:iCs/>
          <w:szCs w:val="28"/>
        </w:rPr>
        <w:t xml:space="preserve"> and 128Hz tuning fork. In the same </w:t>
      </w:r>
      <w:r w:rsidR="00A56D4A">
        <w:rPr>
          <w:rFonts w:cs="Times New Roman"/>
          <w:bCs/>
          <w:iCs/>
          <w:szCs w:val="28"/>
        </w:rPr>
        <w:t xml:space="preserve">group of </w:t>
      </w:r>
      <w:r w:rsidR="00251F06">
        <w:rPr>
          <w:rFonts w:cs="Times New Roman"/>
          <w:bCs/>
          <w:iCs/>
          <w:szCs w:val="28"/>
        </w:rPr>
        <w:t xml:space="preserve">100 </w:t>
      </w:r>
      <w:r w:rsidRPr="009156D1">
        <w:rPr>
          <w:rFonts w:cs="Times New Roman"/>
          <w:bCs/>
          <w:iCs/>
          <w:szCs w:val="28"/>
        </w:rPr>
        <w:t xml:space="preserve">people, 12 % were insensitive to vibration from the 128 Hz tuning fork versus 21% for a </w:t>
      </w:r>
      <w:proofErr w:type="spellStart"/>
      <w:r w:rsidRPr="009156D1">
        <w:rPr>
          <w:rFonts w:cs="Times New Roman"/>
          <w:bCs/>
          <w:iCs/>
          <w:szCs w:val="28"/>
        </w:rPr>
        <w:t>neurothesiometer</w:t>
      </w:r>
      <w:proofErr w:type="spellEnd"/>
      <w:r w:rsidRPr="009156D1">
        <w:rPr>
          <w:rFonts w:cs="Times New Roman"/>
          <w:bCs/>
          <w:iCs/>
          <w:szCs w:val="28"/>
        </w:rPr>
        <w:t xml:space="preserve"> and 28.5% for </w:t>
      </w:r>
      <w:proofErr w:type="spellStart"/>
      <w:r w:rsidRPr="009156D1">
        <w:rPr>
          <w:rFonts w:cs="Times New Roman"/>
          <w:bCs/>
          <w:iCs/>
          <w:szCs w:val="28"/>
        </w:rPr>
        <w:t>VibraTip</w:t>
      </w:r>
      <w:proofErr w:type="spellEnd"/>
      <w:r w:rsidRPr="009156D1">
        <w:rPr>
          <w:rFonts w:cs="Times New Roman"/>
          <w:bCs/>
          <w:iCs/>
          <w:szCs w:val="28"/>
        </w:rPr>
        <w:t xml:space="preserve"> (p&lt;0.001). This was a negative finding for </w:t>
      </w:r>
      <w:proofErr w:type="spellStart"/>
      <w:r w:rsidRPr="009156D1">
        <w:rPr>
          <w:rFonts w:cs="Times New Roman"/>
          <w:bCs/>
          <w:iCs/>
          <w:szCs w:val="28"/>
        </w:rPr>
        <w:t>VibraTip</w:t>
      </w:r>
      <w:proofErr w:type="spellEnd"/>
      <w:r w:rsidRPr="009156D1">
        <w:rPr>
          <w:rFonts w:cs="Times New Roman"/>
          <w:bCs/>
          <w:iCs/>
          <w:szCs w:val="28"/>
        </w:rPr>
        <w:t xml:space="preserve">. The discussion suggested that if </w:t>
      </w:r>
      <w:r w:rsidR="00B12CA9">
        <w:rPr>
          <w:rFonts w:cs="Times New Roman"/>
          <w:bCs/>
          <w:iCs/>
          <w:szCs w:val="28"/>
        </w:rPr>
        <w:t xml:space="preserve">only </w:t>
      </w:r>
      <w:r w:rsidRPr="009156D1">
        <w:rPr>
          <w:rFonts w:cs="Times New Roman"/>
          <w:bCs/>
          <w:iCs/>
          <w:szCs w:val="28"/>
        </w:rPr>
        <w:t>one screening test was used to assess vibration detection, it was likely to yield high false negative results</w:t>
      </w:r>
      <w:r w:rsidR="0007258A">
        <w:rPr>
          <w:rFonts w:cs="Times New Roman"/>
          <w:bCs/>
          <w:iCs/>
          <w:szCs w:val="28"/>
        </w:rPr>
        <w:t>.</w:t>
      </w:r>
      <w:r w:rsidR="00000215">
        <w:rPr>
          <w:rFonts w:cs="Times New Roman"/>
          <w:bCs/>
          <w:iCs/>
          <w:szCs w:val="28"/>
        </w:rPr>
        <w:t xml:space="preserve"> In the absence of a </w:t>
      </w:r>
      <w:r w:rsidR="00000215">
        <w:rPr>
          <w:rFonts w:cs="Times New Roman"/>
          <w:bCs/>
          <w:iCs/>
          <w:szCs w:val="28"/>
        </w:rPr>
        <w:lastRenderedPageBreak/>
        <w:t>gold standard, the study did not answer the research recommendations in MTG22.</w:t>
      </w:r>
    </w:p>
    <w:p w14:paraId="72E42EE9" w14:textId="3E589504" w:rsidR="009156D1" w:rsidRPr="009156D1" w:rsidRDefault="009156D1" w:rsidP="009156D1">
      <w:pPr>
        <w:spacing w:before="240" w:line="276" w:lineRule="auto"/>
        <w:ind w:left="720"/>
        <w:rPr>
          <w:rFonts w:cs="Times New Roman"/>
          <w:bCs/>
          <w:iCs/>
          <w:szCs w:val="28"/>
        </w:rPr>
      </w:pPr>
      <w:r w:rsidRPr="009156D1">
        <w:rPr>
          <w:rFonts w:cs="Times New Roman"/>
          <w:bCs/>
          <w:iCs/>
          <w:szCs w:val="28"/>
        </w:rPr>
        <w:t>Gómez-</w:t>
      </w:r>
      <w:proofErr w:type="spellStart"/>
      <w:r w:rsidRPr="009156D1">
        <w:rPr>
          <w:rFonts w:cs="Times New Roman"/>
          <w:bCs/>
          <w:iCs/>
          <w:szCs w:val="28"/>
        </w:rPr>
        <w:t>Banoy</w:t>
      </w:r>
      <w:proofErr w:type="spellEnd"/>
      <w:r w:rsidRPr="009156D1">
        <w:rPr>
          <w:rFonts w:cs="Times New Roman"/>
          <w:bCs/>
          <w:iCs/>
          <w:szCs w:val="28"/>
        </w:rPr>
        <w:t xml:space="preserve"> et al (2017) was a cross</w:t>
      </w:r>
      <w:r w:rsidR="00C32D91">
        <w:rPr>
          <w:rFonts w:cs="Times New Roman"/>
          <w:bCs/>
          <w:iCs/>
          <w:szCs w:val="28"/>
        </w:rPr>
        <w:t>-</w:t>
      </w:r>
      <w:r w:rsidRPr="009156D1">
        <w:rPr>
          <w:rFonts w:cs="Times New Roman"/>
          <w:bCs/>
          <w:iCs/>
          <w:szCs w:val="28"/>
        </w:rPr>
        <w:t xml:space="preserve">sectional study using </w:t>
      </w:r>
      <w:proofErr w:type="spellStart"/>
      <w:r w:rsidRPr="009156D1">
        <w:rPr>
          <w:rFonts w:cs="Times New Roman"/>
          <w:bCs/>
          <w:iCs/>
          <w:szCs w:val="28"/>
        </w:rPr>
        <w:t>Neuropad</w:t>
      </w:r>
      <w:proofErr w:type="spellEnd"/>
      <w:r w:rsidRPr="009156D1">
        <w:rPr>
          <w:rFonts w:cs="Times New Roman"/>
          <w:bCs/>
          <w:iCs/>
          <w:szCs w:val="28"/>
        </w:rPr>
        <w:t xml:space="preserve">, </w:t>
      </w:r>
      <w:proofErr w:type="spellStart"/>
      <w:r w:rsidRPr="009156D1">
        <w:rPr>
          <w:rFonts w:cs="Times New Roman"/>
          <w:bCs/>
          <w:iCs/>
          <w:szCs w:val="28"/>
        </w:rPr>
        <w:t>VibraTip</w:t>
      </w:r>
      <w:proofErr w:type="spellEnd"/>
      <w:r w:rsidRPr="009156D1">
        <w:rPr>
          <w:rFonts w:cs="Times New Roman"/>
          <w:bCs/>
          <w:iCs/>
          <w:szCs w:val="28"/>
        </w:rPr>
        <w:t>, and 10</w:t>
      </w:r>
      <w:r w:rsidR="00B12CA9">
        <w:rPr>
          <w:rFonts w:cs="Times New Roman"/>
          <w:bCs/>
          <w:iCs/>
          <w:szCs w:val="28"/>
        </w:rPr>
        <w:t> </w:t>
      </w:r>
      <w:r w:rsidRPr="009156D1">
        <w:rPr>
          <w:rFonts w:cs="Times New Roman"/>
          <w:bCs/>
          <w:iCs/>
          <w:szCs w:val="28"/>
        </w:rPr>
        <w:t xml:space="preserve">g monofilament to test elderly people </w:t>
      </w:r>
      <w:r w:rsidR="00524FD7">
        <w:rPr>
          <w:rFonts w:cs="Times New Roman"/>
          <w:bCs/>
          <w:iCs/>
          <w:szCs w:val="28"/>
        </w:rPr>
        <w:t xml:space="preserve">with type II diabetes </w:t>
      </w:r>
      <w:r w:rsidRPr="009156D1">
        <w:rPr>
          <w:rFonts w:cs="Times New Roman"/>
          <w:bCs/>
          <w:iCs/>
          <w:szCs w:val="28"/>
        </w:rPr>
        <w:t>(mean age = 70.8 years</w:t>
      </w:r>
      <w:r w:rsidR="00524FD7">
        <w:rPr>
          <w:rFonts w:cs="Times New Roman"/>
          <w:bCs/>
          <w:iCs/>
          <w:szCs w:val="28"/>
        </w:rPr>
        <w:t xml:space="preserve">, </w:t>
      </w:r>
      <w:r w:rsidRPr="009156D1">
        <w:rPr>
          <w:rFonts w:cs="Times New Roman"/>
          <w:bCs/>
          <w:iCs/>
          <w:szCs w:val="28"/>
        </w:rPr>
        <w:t xml:space="preserve">n = 93). 19 people (8.7%) presented an abnormal result with </w:t>
      </w:r>
      <w:proofErr w:type="spellStart"/>
      <w:r w:rsidRPr="009156D1">
        <w:rPr>
          <w:rFonts w:cs="Times New Roman"/>
          <w:bCs/>
          <w:iCs/>
          <w:szCs w:val="28"/>
        </w:rPr>
        <w:t>VibraTip</w:t>
      </w:r>
      <w:proofErr w:type="spellEnd"/>
      <w:r w:rsidRPr="009156D1">
        <w:rPr>
          <w:rFonts w:cs="Times New Roman"/>
          <w:bCs/>
          <w:iCs/>
          <w:szCs w:val="28"/>
        </w:rPr>
        <w:t xml:space="preserve"> yet the proportion of people with neuropathy using the Michigan Neuropathy Screening Instrument (MNSI)</w:t>
      </w:r>
      <w:r w:rsidR="00524FD7">
        <w:rPr>
          <w:rFonts w:cs="Times New Roman"/>
          <w:bCs/>
          <w:iCs/>
          <w:szCs w:val="28"/>
        </w:rPr>
        <w:t xml:space="preserve"> </w:t>
      </w:r>
      <w:r w:rsidR="00524FD7" w:rsidRPr="009156D1">
        <w:rPr>
          <w:rFonts w:cs="Times New Roman"/>
          <w:bCs/>
          <w:iCs/>
          <w:szCs w:val="28"/>
        </w:rPr>
        <w:t>was 54.2% (p&lt;0.05)</w:t>
      </w:r>
      <w:r w:rsidRPr="009156D1">
        <w:rPr>
          <w:rFonts w:cs="Times New Roman"/>
          <w:bCs/>
          <w:iCs/>
          <w:szCs w:val="28"/>
        </w:rPr>
        <w:t xml:space="preserve">. </w:t>
      </w:r>
      <w:r w:rsidR="00C32D91">
        <w:rPr>
          <w:rFonts w:cs="Times New Roman"/>
          <w:bCs/>
          <w:iCs/>
          <w:szCs w:val="28"/>
        </w:rPr>
        <w:t xml:space="preserve">The results for </w:t>
      </w:r>
      <w:proofErr w:type="spellStart"/>
      <w:r w:rsidRPr="009156D1">
        <w:rPr>
          <w:rFonts w:cs="Times New Roman"/>
          <w:bCs/>
          <w:iCs/>
          <w:szCs w:val="28"/>
        </w:rPr>
        <w:t>VibraTip</w:t>
      </w:r>
      <w:proofErr w:type="spellEnd"/>
      <w:r w:rsidR="00C32D91">
        <w:rPr>
          <w:rFonts w:cs="Times New Roman"/>
          <w:bCs/>
          <w:iCs/>
          <w:szCs w:val="28"/>
        </w:rPr>
        <w:t xml:space="preserve"> are:</w:t>
      </w:r>
      <w:r w:rsidRPr="009156D1">
        <w:rPr>
          <w:rFonts w:cs="Times New Roman"/>
          <w:bCs/>
          <w:iCs/>
          <w:szCs w:val="28"/>
        </w:rPr>
        <w:t xml:space="preserve"> sensitivity = 54.2%, specificity = 91.3%, positive predictive value = 68.4%, negative predictive value = 85.1%. The study was conducted in Colombia.</w:t>
      </w:r>
    </w:p>
    <w:p w14:paraId="36E88845" w14:textId="180F27A3" w:rsidR="009156D1" w:rsidRPr="009156D1" w:rsidRDefault="009156D1" w:rsidP="009156D1">
      <w:pPr>
        <w:spacing w:before="240" w:line="276" w:lineRule="auto"/>
        <w:ind w:left="720"/>
        <w:rPr>
          <w:rFonts w:cs="Times New Roman"/>
          <w:bCs/>
          <w:iCs/>
          <w:szCs w:val="28"/>
        </w:rPr>
      </w:pPr>
      <w:proofErr w:type="spellStart"/>
      <w:r w:rsidRPr="009156D1">
        <w:rPr>
          <w:rFonts w:cs="Times New Roman"/>
          <w:bCs/>
          <w:iCs/>
          <w:szCs w:val="28"/>
        </w:rPr>
        <w:t>Lasca</w:t>
      </w:r>
      <w:proofErr w:type="spellEnd"/>
      <w:r w:rsidRPr="009156D1">
        <w:rPr>
          <w:rFonts w:cs="Times New Roman"/>
          <w:bCs/>
          <w:iCs/>
          <w:szCs w:val="28"/>
        </w:rPr>
        <w:t xml:space="preserve"> et al (2016) was a prospective case control study </w:t>
      </w:r>
      <w:r w:rsidR="0007258A">
        <w:rPr>
          <w:rFonts w:cs="Times New Roman"/>
          <w:bCs/>
          <w:iCs/>
          <w:szCs w:val="28"/>
        </w:rPr>
        <w:t>involving</w:t>
      </w:r>
      <w:r w:rsidR="0007258A" w:rsidRPr="009156D1">
        <w:rPr>
          <w:rFonts w:cs="Times New Roman"/>
          <w:bCs/>
          <w:iCs/>
          <w:szCs w:val="28"/>
        </w:rPr>
        <w:t xml:space="preserve"> </w:t>
      </w:r>
      <w:r w:rsidRPr="009156D1">
        <w:rPr>
          <w:rFonts w:cs="Times New Roman"/>
          <w:bCs/>
          <w:iCs/>
          <w:szCs w:val="28"/>
        </w:rPr>
        <w:t>90 people</w:t>
      </w:r>
      <w:r w:rsidR="0007258A">
        <w:rPr>
          <w:rFonts w:cs="Times New Roman"/>
          <w:bCs/>
          <w:iCs/>
          <w:szCs w:val="28"/>
        </w:rPr>
        <w:t xml:space="preserve"> and which compared </w:t>
      </w:r>
      <w:r w:rsidRPr="009156D1">
        <w:rPr>
          <w:rFonts w:cs="Times New Roman"/>
          <w:bCs/>
          <w:iCs/>
          <w:szCs w:val="28"/>
        </w:rPr>
        <w:t xml:space="preserve">10g monofilament, 128Hz tuning fork, and </w:t>
      </w:r>
      <w:proofErr w:type="spellStart"/>
      <w:r w:rsidRPr="009156D1">
        <w:rPr>
          <w:rFonts w:cs="Times New Roman"/>
          <w:bCs/>
          <w:iCs/>
          <w:szCs w:val="28"/>
        </w:rPr>
        <w:t>VibraTip</w:t>
      </w:r>
      <w:proofErr w:type="spellEnd"/>
      <w:r w:rsidRPr="009156D1">
        <w:rPr>
          <w:rFonts w:cs="Times New Roman"/>
          <w:bCs/>
          <w:iCs/>
          <w:szCs w:val="28"/>
        </w:rPr>
        <w:t xml:space="preserve">. </w:t>
      </w:r>
      <w:r w:rsidR="00524FD7">
        <w:rPr>
          <w:rFonts w:cs="Times New Roman"/>
          <w:bCs/>
          <w:iCs/>
          <w:szCs w:val="28"/>
        </w:rPr>
        <w:t xml:space="preserve">Diagnostic accuracy results from the study for </w:t>
      </w:r>
      <w:proofErr w:type="spellStart"/>
      <w:r w:rsidR="00524FD7">
        <w:rPr>
          <w:rFonts w:cs="Times New Roman"/>
          <w:bCs/>
          <w:iCs/>
          <w:szCs w:val="28"/>
        </w:rPr>
        <w:t>VibraTip</w:t>
      </w:r>
      <w:proofErr w:type="spellEnd"/>
      <w:r w:rsidR="00524FD7">
        <w:rPr>
          <w:rFonts w:cs="Times New Roman"/>
          <w:bCs/>
          <w:iCs/>
          <w:szCs w:val="28"/>
        </w:rPr>
        <w:t xml:space="preserve"> </w:t>
      </w:r>
      <w:r w:rsidR="00517295">
        <w:rPr>
          <w:rFonts w:cs="Times New Roman"/>
          <w:bCs/>
          <w:iCs/>
          <w:szCs w:val="28"/>
        </w:rPr>
        <w:t xml:space="preserve">were </w:t>
      </w:r>
      <w:r w:rsidR="00524FD7">
        <w:rPr>
          <w:rFonts w:cs="Times New Roman"/>
          <w:bCs/>
          <w:iCs/>
          <w:szCs w:val="28"/>
        </w:rPr>
        <w:t>s</w:t>
      </w:r>
      <w:r w:rsidRPr="009156D1">
        <w:rPr>
          <w:rFonts w:cs="Times New Roman"/>
          <w:bCs/>
          <w:iCs/>
          <w:szCs w:val="28"/>
        </w:rPr>
        <w:t>ensitivity = 76.</w:t>
      </w:r>
      <w:r w:rsidR="00B12CA9">
        <w:rPr>
          <w:rFonts w:cs="Times New Roman"/>
          <w:bCs/>
          <w:iCs/>
          <w:szCs w:val="28"/>
        </w:rPr>
        <w:t>7</w:t>
      </w:r>
      <w:r w:rsidRPr="009156D1">
        <w:rPr>
          <w:rFonts w:cs="Times New Roman"/>
          <w:bCs/>
          <w:iCs/>
          <w:szCs w:val="28"/>
        </w:rPr>
        <w:t>%, specificity = 77.5%, positive predictive value = 62.9%, and negative predictive value = 87.</w:t>
      </w:r>
      <w:r w:rsidR="00B12CA9">
        <w:rPr>
          <w:rFonts w:cs="Times New Roman"/>
          <w:bCs/>
          <w:iCs/>
          <w:szCs w:val="28"/>
        </w:rPr>
        <w:t>1</w:t>
      </w:r>
      <w:r w:rsidRPr="009156D1">
        <w:rPr>
          <w:rFonts w:cs="Times New Roman"/>
          <w:bCs/>
          <w:iCs/>
          <w:szCs w:val="28"/>
        </w:rPr>
        <w:t>%. The study was conducted in Romania.</w:t>
      </w:r>
    </w:p>
    <w:p w14:paraId="2C4E7D9F" w14:textId="730E0FBB" w:rsidR="009858FD" w:rsidRDefault="00B1359B" w:rsidP="00256F0A">
      <w:pPr>
        <w:pStyle w:val="Numberedheading"/>
      </w:pPr>
      <w:r>
        <w:t xml:space="preserve">Summary of new </w:t>
      </w:r>
      <w:r w:rsidR="005F1527">
        <w:rPr>
          <w:lang w:val="en-GB"/>
        </w:rPr>
        <w:t>information</w:t>
      </w:r>
      <w:r w:rsidR="005F1527">
        <w:t xml:space="preserve"> </w:t>
      </w:r>
      <w:r>
        <w:t>and implications for review</w:t>
      </w:r>
    </w:p>
    <w:p w14:paraId="5A361A92" w14:textId="4FB991FE" w:rsidR="00B1359B" w:rsidRDefault="00B32C61" w:rsidP="005A5DB9">
      <w:pPr>
        <w:spacing w:before="240" w:line="276" w:lineRule="auto"/>
      </w:pPr>
      <w:r>
        <w:t xml:space="preserve">The new evidence does not address the uncertainties in </w:t>
      </w:r>
      <w:r w:rsidR="00193EF9">
        <w:t>the existing guidance</w:t>
      </w:r>
      <w:r>
        <w:t xml:space="preserve"> and so the research recommendation is still valid.</w:t>
      </w:r>
      <w:r w:rsidR="00B12CA9">
        <w:t xml:space="preserve"> Research facilitation activities by NICE </w:t>
      </w:r>
      <w:r w:rsidR="009C2595">
        <w:t>resulted in a</w:t>
      </w:r>
      <w:r w:rsidR="00B12CA9">
        <w:t xml:space="preserve"> </w:t>
      </w:r>
      <w:r w:rsidR="009C2595">
        <w:t>protocol</w:t>
      </w:r>
      <w:r w:rsidR="00B12CA9">
        <w:t xml:space="preserve"> </w:t>
      </w:r>
      <w:r w:rsidR="009C2595">
        <w:t xml:space="preserve">from KiTEC EAC </w:t>
      </w:r>
      <w:r w:rsidR="00A01156">
        <w:t xml:space="preserve">(Goddard et al, 2018) </w:t>
      </w:r>
      <w:r w:rsidR="00B12CA9">
        <w:t xml:space="preserve">which </w:t>
      </w:r>
      <w:r w:rsidR="009C2595">
        <w:t xml:space="preserve">was designed to </w:t>
      </w:r>
      <w:r w:rsidR="00B12CA9">
        <w:t>address the research recommendations</w:t>
      </w:r>
      <w:r w:rsidR="004E2184">
        <w:t>.</w:t>
      </w:r>
      <w:r w:rsidR="009C2595">
        <w:t xml:space="preserve"> KiTEC were unsuccessful in </w:t>
      </w:r>
      <w:r w:rsidR="002A0544">
        <w:t xml:space="preserve">two </w:t>
      </w:r>
      <w:r w:rsidR="009C2595">
        <w:t>grant application</w:t>
      </w:r>
      <w:r w:rsidR="002A0544">
        <w:t>s</w:t>
      </w:r>
      <w:r w:rsidR="004E2184">
        <w:t xml:space="preserve"> based on the protocol</w:t>
      </w:r>
      <w:r w:rsidR="009C2595">
        <w:t>.</w:t>
      </w:r>
      <w:r w:rsidR="00EE07DA">
        <w:t xml:space="preserve"> Had the study been funded, KiTEC would have done the research.</w:t>
      </w:r>
    </w:p>
    <w:p w14:paraId="68A63CC3" w14:textId="454310E0" w:rsidR="00AD08E5" w:rsidRPr="009F10F3" w:rsidRDefault="00AD08E5" w:rsidP="00AD08E5">
      <w:pPr>
        <w:pStyle w:val="Numberedheading"/>
        <w:keepNext w:val="0"/>
      </w:pPr>
      <w:r>
        <w:t>Implications for othe</w:t>
      </w:r>
      <w:r w:rsidR="00BF2D7E">
        <w:t>r guidance producing programmes</w:t>
      </w:r>
    </w:p>
    <w:p w14:paraId="6E90E743" w14:textId="01685AFD" w:rsidR="009F10F3" w:rsidRPr="00B1359B" w:rsidRDefault="00BF2D7E" w:rsidP="009F10F3">
      <w:r>
        <w:t>None.</w:t>
      </w:r>
    </w:p>
    <w:bookmarkEnd w:id="0"/>
    <w:p w14:paraId="01D59716" w14:textId="77777777" w:rsidR="00B32C61" w:rsidRDefault="00081BF9" w:rsidP="00927850">
      <w:pPr>
        <w:pStyle w:val="Numberedheading"/>
        <w:keepNext w:val="0"/>
      </w:pPr>
      <w:r w:rsidRPr="0056596D">
        <w:t>Implementation</w:t>
      </w:r>
    </w:p>
    <w:p w14:paraId="6D8066FA" w14:textId="77777777" w:rsidR="00244D19" w:rsidRDefault="008D3CF2" w:rsidP="00B32C61">
      <w:pPr>
        <w:pStyle w:val="Numberedheading"/>
        <w:keepNext w:val="0"/>
        <w:numPr>
          <w:ilvl w:val="0"/>
          <w:numId w:val="0"/>
        </w:numPr>
        <w:rPr>
          <w:b w:val="0"/>
        </w:rPr>
      </w:pPr>
      <w:r w:rsidRPr="008D3CF2">
        <w:rPr>
          <w:b w:val="0"/>
        </w:rPr>
        <w:t>NICE did not develop any adoption resources for MTG22. The adoption and impact team was unable to identify any data on use or uptake of the product.</w:t>
      </w:r>
    </w:p>
    <w:p w14:paraId="79214EFA" w14:textId="77777777" w:rsidR="00081BF9" w:rsidRDefault="00081BF9" w:rsidP="00927850">
      <w:pPr>
        <w:pStyle w:val="Numberedheading"/>
        <w:keepNext w:val="0"/>
      </w:pPr>
      <w:r w:rsidRPr="00C80C8C">
        <w:t>Equality issues</w:t>
      </w:r>
      <w:r>
        <w:t xml:space="preserve"> </w:t>
      </w:r>
    </w:p>
    <w:p w14:paraId="0DDFD39F" w14:textId="26EAB8CE" w:rsidR="009A2635" w:rsidRDefault="00406F6B" w:rsidP="00927850">
      <w:pPr>
        <w:rPr>
          <w:bCs/>
        </w:rPr>
      </w:pPr>
      <w:r>
        <w:rPr>
          <w:bCs/>
        </w:rPr>
        <w:t xml:space="preserve">No equalities issues were identified in </w:t>
      </w:r>
      <w:r w:rsidR="00524FD7">
        <w:rPr>
          <w:bCs/>
        </w:rPr>
        <w:t>the guidance</w:t>
      </w:r>
      <w:r>
        <w:rPr>
          <w:bCs/>
        </w:rPr>
        <w:t>. No new equalities issues have been identified.</w:t>
      </w:r>
    </w:p>
    <w:p w14:paraId="729B3AD5" w14:textId="77777777" w:rsidR="00081BF9" w:rsidRPr="00802F74" w:rsidRDefault="00081BF9" w:rsidP="00927850">
      <w:pPr>
        <w:pStyle w:val="Heading2"/>
        <w:keepNext w:val="0"/>
      </w:pPr>
      <w:r w:rsidRPr="00C87B00">
        <w:t>Contributors to this paper:</w:t>
      </w:r>
      <w:r>
        <w:t xml:space="preserve"> </w:t>
      </w:r>
    </w:p>
    <w:p w14:paraId="482CE874" w14:textId="03F5679B" w:rsidR="00081BF9" w:rsidRDefault="00081BF9" w:rsidP="00927850">
      <w:pPr>
        <w:tabs>
          <w:tab w:val="left" w:pos="2835"/>
        </w:tabs>
      </w:pPr>
      <w:r>
        <w:t xml:space="preserve">Technical </w:t>
      </w:r>
      <w:r w:rsidR="00693D5B">
        <w:t>lead</w:t>
      </w:r>
      <w:r>
        <w:t>:</w:t>
      </w:r>
      <w:r w:rsidR="00FA0B3F">
        <w:tab/>
      </w:r>
      <w:r w:rsidR="00953350">
        <w:tab/>
      </w:r>
      <w:r w:rsidR="00953350">
        <w:tab/>
      </w:r>
      <w:r w:rsidR="00406F6B">
        <w:t>Chris Pomfrett</w:t>
      </w:r>
    </w:p>
    <w:p w14:paraId="7DDE7358" w14:textId="7815D115" w:rsidR="00081BF9" w:rsidRDefault="00763FBD" w:rsidP="00927850">
      <w:pPr>
        <w:tabs>
          <w:tab w:val="left" w:pos="2835"/>
        </w:tabs>
      </w:pPr>
      <w:r>
        <w:t>Technical a</w:t>
      </w:r>
      <w:r w:rsidR="00081BF9">
        <w:t>dviser:</w:t>
      </w:r>
      <w:r w:rsidR="00FA0B3F">
        <w:tab/>
      </w:r>
      <w:r w:rsidR="00953350">
        <w:tab/>
      </w:r>
      <w:r w:rsidR="00953350">
        <w:tab/>
      </w:r>
      <w:r w:rsidR="00406F6B">
        <w:t>Bernice Dillon</w:t>
      </w:r>
      <w:r w:rsidR="00132F63">
        <w:t xml:space="preserve"> &amp; Chris Pomfrett</w:t>
      </w:r>
    </w:p>
    <w:p w14:paraId="59FBE291" w14:textId="37594443" w:rsidR="00081BF9" w:rsidRDefault="00BE06C1" w:rsidP="00927850">
      <w:pPr>
        <w:tabs>
          <w:tab w:val="left" w:pos="2835"/>
        </w:tabs>
      </w:pPr>
      <w:r>
        <w:lastRenderedPageBreak/>
        <w:t>Coordinator</w:t>
      </w:r>
      <w:r w:rsidR="00081BF9">
        <w:t>:</w:t>
      </w:r>
      <w:r w:rsidR="00FA0B3F">
        <w:tab/>
      </w:r>
      <w:r w:rsidR="00953350">
        <w:tab/>
      </w:r>
      <w:r w:rsidR="00953350">
        <w:tab/>
      </w:r>
      <w:r w:rsidR="00406F6B">
        <w:t>J</w:t>
      </w:r>
      <w:r>
        <w:t>oanne Heane</w:t>
      </w:r>
      <w:r w:rsidR="00406F6B">
        <w:t>y</w:t>
      </w:r>
    </w:p>
    <w:p w14:paraId="769CA031" w14:textId="4AEA7E93" w:rsidR="00B9454F" w:rsidRDefault="00B9454F" w:rsidP="00927850">
      <w:pPr>
        <w:tabs>
          <w:tab w:val="left" w:pos="2835"/>
        </w:tabs>
      </w:pPr>
      <w:r>
        <w:t>Project Manager:</w:t>
      </w:r>
      <w:r>
        <w:tab/>
      </w:r>
      <w:r>
        <w:tab/>
      </w:r>
      <w:r>
        <w:tab/>
        <w:t>Sharon Wright</w:t>
      </w:r>
      <w:r>
        <w:tab/>
      </w:r>
      <w:r>
        <w:tab/>
      </w:r>
      <w:r>
        <w:tab/>
      </w:r>
    </w:p>
    <w:p w14:paraId="2F2FA839" w14:textId="77777777" w:rsidR="00C05518" w:rsidRPr="004F0B20" w:rsidRDefault="000147CF" w:rsidP="00C05518">
      <w:pPr>
        <w:pStyle w:val="Heading1"/>
      </w:pPr>
      <w:r w:rsidRPr="004F0B20">
        <w:br w:type="page"/>
      </w:r>
      <w:r w:rsidR="000D064A">
        <w:rPr>
          <w:rStyle w:val="TitleChar"/>
          <w:b/>
        </w:rPr>
        <w:lastRenderedPageBreak/>
        <w:t>Appendix 1</w:t>
      </w:r>
      <w:r w:rsidR="00C05518" w:rsidRPr="004F0B20">
        <w:rPr>
          <w:rStyle w:val="TitleChar"/>
          <w:b/>
        </w:rPr>
        <w:t xml:space="preserve"> – explanation of options</w:t>
      </w:r>
    </w:p>
    <w:p w14:paraId="52555A7D" w14:textId="1E0ECB9F" w:rsidR="00256F0A" w:rsidRPr="00366BD5" w:rsidRDefault="00537651">
      <w:pPr>
        <w:rPr>
          <w:b/>
        </w:rPr>
      </w:pPr>
      <w:r>
        <w:t xml:space="preserve">If the published </w:t>
      </w:r>
      <w:r w:rsidR="00C35B50">
        <w:t xml:space="preserve">Medical Technologies </w:t>
      </w:r>
      <w:r>
        <w:t xml:space="preserve">Guidance needs updating </w:t>
      </w:r>
      <w:r w:rsidR="00C05518">
        <w:t>NICE must select one of the options in the table below:</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256F0A" w:rsidRPr="00B51A60" w14:paraId="70D38124" w14:textId="77777777" w:rsidTr="00587E2B">
        <w:trPr>
          <w:cantSplit/>
        </w:trPr>
        <w:tc>
          <w:tcPr>
            <w:tcW w:w="3510" w:type="dxa"/>
          </w:tcPr>
          <w:p w14:paraId="2F7D47B3" w14:textId="77777777" w:rsidR="00256F0A" w:rsidRPr="00256F0A" w:rsidRDefault="00256F0A" w:rsidP="00145410">
            <w:pPr>
              <w:spacing w:before="120" w:after="120"/>
              <w:rPr>
                <w:b/>
                <w:sz w:val="22"/>
                <w:szCs w:val="22"/>
              </w:rPr>
            </w:pPr>
            <w:r w:rsidRPr="00256F0A">
              <w:rPr>
                <w:b/>
                <w:sz w:val="22"/>
                <w:szCs w:val="22"/>
              </w:rPr>
              <w:t>Options</w:t>
            </w:r>
          </w:p>
        </w:tc>
        <w:tc>
          <w:tcPr>
            <w:tcW w:w="4395" w:type="dxa"/>
          </w:tcPr>
          <w:p w14:paraId="74347325" w14:textId="77777777" w:rsidR="00256F0A" w:rsidRPr="00256F0A" w:rsidRDefault="00256F0A" w:rsidP="00587E2B">
            <w:pPr>
              <w:spacing w:before="120" w:after="120"/>
              <w:rPr>
                <w:b/>
                <w:bCs/>
                <w:sz w:val="22"/>
                <w:szCs w:val="22"/>
              </w:rPr>
            </w:pPr>
            <w:r w:rsidRPr="00256F0A">
              <w:rPr>
                <w:b/>
                <w:bCs/>
                <w:sz w:val="22"/>
                <w:szCs w:val="22"/>
              </w:rPr>
              <w:t>Consequences</w:t>
            </w:r>
          </w:p>
        </w:tc>
        <w:tc>
          <w:tcPr>
            <w:tcW w:w="1304" w:type="dxa"/>
          </w:tcPr>
          <w:p w14:paraId="1B323978" w14:textId="77777777" w:rsidR="00256F0A" w:rsidRPr="00256F0A" w:rsidDel="00B51A60" w:rsidRDefault="00256F0A" w:rsidP="00587E2B">
            <w:pPr>
              <w:spacing w:before="120" w:after="120"/>
              <w:rPr>
                <w:b/>
                <w:bCs/>
                <w:sz w:val="22"/>
                <w:szCs w:val="22"/>
              </w:rPr>
            </w:pPr>
            <w:r w:rsidRPr="00256F0A">
              <w:rPr>
                <w:b/>
                <w:bCs/>
                <w:sz w:val="22"/>
                <w:szCs w:val="22"/>
              </w:rPr>
              <w:t>Selected – ‘Yes/No’</w:t>
            </w:r>
          </w:p>
        </w:tc>
      </w:tr>
      <w:tr w:rsidR="00366BD5" w:rsidRPr="00CA2ABF" w14:paraId="6DC25E37"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7D0E2607" w14:textId="77777777" w:rsidR="00366BD5" w:rsidRPr="00366BD5" w:rsidRDefault="00366BD5" w:rsidP="00366BD5">
            <w:pPr>
              <w:spacing w:before="120" w:after="120"/>
              <w:rPr>
                <w:sz w:val="22"/>
                <w:szCs w:val="22"/>
              </w:rPr>
            </w:pPr>
            <w:r w:rsidRPr="00366BD5">
              <w:rPr>
                <w:sz w:val="22"/>
                <w:szCs w:val="22"/>
              </w:rPr>
              <w:t>Amend the guidance and consult on the review proposal</w:t>
            </w:r>
          </w:p>
        </w:tc>
        <w:tc>
          <w:tcPr>
            <w:tcW w:w="4395" w:type="dxa"/>
            <w:tcBorders>
              <w:top w:val="single" w:sz="4" w:space="0" w:color="auto"/>
              <w:left w:val="single" w:sz="4" w:space="0" w:color="auto"/>
              <w:bottom w:val="single" w:sz="4" w:space="0" w:color="auto"/>
              <w:right w:val="single" w:sz="4" w:space="0" w:color="auto"/>
            </w:tcBorders>
          </w:tcPr>
          <w:p w14:paraId="22D5E6BC" w14:textId="77777777" w:rsidR="00366BD5" w:rsidRPr="00366BD5" w:rsidRDefault="00366BD5" w:rsidP="00366BD5">
            <w:pPr>
              <w:spacing w:before="120" w:after="120"/>
              <w:rPr>
                <w:bCs/>
                <w:sz w:val="22"/>
                <w:szCs w:val="22"/>
              </w:rPr>
            </w:pPr>
            <w:r w:rsidRPr="00366BD5">
              <w:rPr>
                <w:bCs/>
                <w:sz w:val="22"/>
                <w:szCs w:val="22"/>
              </w:rPr>
              <w:t xml:space="preserve">The guidance is amended but the factual changes proposed have no material effect on the recommendations. </w:t>
            </w:r>
          </w:p>
        </w:tc>
        <w:tc>
          <w:tcPr>
            <w:tcW w:w="1304" w:type="dxa"/>
            <w:tcBorders>
              <w:top w:val="single" w:sz="4" w:space="0" w:color="auto"/>
              <w:left w:val="single" w:sz="4" w:space="0" w:color="auto"/>
              <w:bottom w:val="single" w:sz="4" w:space="0" w:color="auto"/>
              <w:right w:val="single" w:sz="4" w:space="0" w:color="auto"/>
            </w:tcBorders>
          </w:tcPr>
          <w:p w14:paraId="03018E72" w14:textId="1A5774C7" w:rsidR="00366BD5" w:rsidRPr="00BE06C1" w:rsidRDefault="00BE06C1" w:rsidP="00366BD5">
            <w:pPr>
              <w:spacing w:before="120" w:after="120"/>
              <w:rPr>
                <w:bCs/>
                <w:color w:val="FF0000"/>
                <w:sz w:val="22"/>
                <w:szCs w:val="22"/>
              </w:rPr>
            </w:pPr>
            <w:r w:rsidRPr="00BE06C1">
              <w:rPr>
                <w:bCs/>
                <w:sz w:val="22"/>
                <w:szCs w:val="22"/>
              </w:rPr>
              <w:t>No</w:t>
            </w:r>
          </w:p>
        </w:tc>
      </w:tr>
      <w:tr w:rsidR="00366BD5" w:rsidRPr="00CA2ABF" w14:paraId="217AECF4"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54A543AA" w14:textId="77777777" w:rsidR="00366BD5" w:rsidRPr="00366BD5" w:rsidRDefault="00366BD5" w:rsidP="00366BD5">
            <w:pPr>
              <w:spacing w:before="120" w:after="120"/>
              <w:rPr>
                <w:sz w:val="22"/>
                <w:szCs w:val="22"/>
              </w:rPr>
            </w:pPr>
            <w:r w:rsidRPr="00366BD5">
              <w:rPr>
                <w:sz w:val="22"/>
                <w:szCs w:val="22"/>
              </w:rPr>
              <w:t>Amend the guidance and do not consult on the review proposal</w:t>
            </w:r>
          </w:p>
        </w:tc>
        <w:tc>
          <w:tcPr>
            <w:tcW w:w="4395" w:type="dxa"/>
            <w:tcBorders>
              <w:top w:val="single" w:sz="4" w:space="0" w:color="auto"/>
              <w:left w:val="single" w:sz="4" w:space="0" w:color="auto"/>
              <w:bottom w:val="single" w:sz="4" w:space="0" w:color="auto"/>
              <w:right w:val="single" w:sz="4" w:space="0" w:color="auto"/>
            </w:tcBorders>
          </w:tcPr>
          <w:p w14:paraId="6321BFE0" w14:textId="77777777" w:rsidR="00366BD5" w:rsidRPr="00366BD5" w:rsidRDefault="00366BD5" w:rsidP="00366BD5">
            <w:pPr>
              <w:spacing w:before="120" w:after="120"/>
              <w:rPr>
                <w:bCs/>
                <w:sz w:val="22"/>
                <w:szCs w:val="22"/>
              </w:rPr>
            </w:pPr>
            <w:r w:rsidRPr="00366BD5">
              <w:rPr>
                <w:bCs/>
                <w:sz w:val="22"/>
                <w:szCs w:val="22"/>
              </w:rPr>
              <w:t>The guidance is amended but the factual changes proposed have no material effect on the recommendations.</w:t>
            </w:r>
          </w:p>
        </w:tc>
        <w:tc>
          <w:tcPr>
            <w:tcW w:w="1304" w:type="dxa"/>
            <w:tcBorders>
              <w:top w:val="single" w:sz="4" w:space="0" w:color="auto"/>
              <w:left w:val="single" w:sz="4" w:space="0" w:color="auto"/>
              <w:bottom w:val="single" w:sz="4" w:space="0" w:color="auto"/>
              <w:right w:val="single" w:sz="4" w:space="0" w:color="auto"/>
            </w:tcBorders>
          </w:tcPr>
          <w:p w14:paraId="20CADC87" w14:textId="7262D894" w:rsidR="00366BD5" w:rsidRPr="00BE06C1" w:rsidRDefault="00BE06C1" w:rsidP="00366BD5">
            <w:pPr>
              <w:spacing w:before="120" w:after="120"/>
              <w:rPr>
                <w:bCs/>
                <w:color w:val="FF0000"/>
                <w:sz w:val="22"/>
                <w:szCs w:val="22"/>
              </w:rPr>
            </w:pPr>
            <w:r w:rsidRPr="00BE06C1">
              <w:rPr>
                <w:bCs/>
                <w:sz w:val="22"/>
                <w:szCs w:val="22"/>
              </w:rPr>
              <w:t>No</w:t>
            </w:r>
          </w:p>
        </w:tc>
      </w:tr>
      <w:tr w:rsidR="00366BD5" w:rsidRPr="00CA2ABF" w14:paraId="4D3B2D34"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03E1122E" w14:textId="77777777" w:rsidR="00366BD5" w:rsidRPr="00366BD5" w:rsidRDefault="00366BD5" w:rsidP="00366BD5">
            <w:pPr>
              <w:spacing w:before="120" w:after="120"/>
              <w:rPr>
                <w:sz w:val="22"/>
                <w:szCs w:val="22"/>
              </w:rPr>
            </w:pPr>
            <w:r w:rsidRPr="00366BD5">
              <w:rPr>
                <w:sz w:val="22"/>
                <w:szCs w:val="22"/>
              </w:rPr>
              <w:t>Standard update of the guidance</w:t>
            </w:r>
          </w:p>
        </w:tc>
        <w:tc>
          <w:tcPr>
            <w:tcW w:w="4395" w:type="dxa"/>
            <w:tcBorders>
              <w:top w:val="single" w:sz="4" w:space="0" w:color="auto"/>
              <w:left w:val="single" w:sz="4" w:space="0" w:color="auto"/>
              <w:bottom w:val="single" w:sz="4" w:space="0" w:color="auto"/>
              <w:right w:val="single" w:sz="4" w:space="0" w:color="auto"/>
            </w:tcBorders>
          </w:tcPr>
          <w:p w14:paraId="6C831166" w14:textId="77777777" w:rsidR="00366BD5" w:rsidRPr="00366BD5" w:rsidRDefault="00366BD5" w:rsidP="00366BD5">
            <w:pPr>
              <w:spacing w:before="120" w:after="120"/>
              <w:rPr>
                <w:bCs/>
                <w:sz w:val="22"/>
                <w:szCs w:val="22"/>
              </w:rPr>
            </w:pPr>
            <w:r w:rsidRPr="00366BD5">
              <w:rPr>
                <w:bCs/>
                <w:sz w:val="22"/>
                <w:szCs w:val="22"/>
              </w:rPr>
              <w:t>A standard update of the Medical Technologies Guidance will be planned into NICE’s work programme.</w:t>
            </w:r>
          </w:p>
        </w:tc>
        <w:tc>
          <w:tcPr>
            <w:tcW w:w="1304" w:type="dxa"/>
            <w:tcBorders>
              <w:top w:val="single" w:sz="4" w:space="0" w:color="auto"/>
              <w:left w:val="single" w:sz="4" w:space="0" w:color="auto"/>
              <w:bottom w:val="single" w:sz="4" w:space="0" w:color="auto"/>
              <w:right w:val="single" w:sz="4" w:space="0" w:color="auto"/>
            </w:tcBorders>
          </w:tcPr>
          <w:p w14:paraId="7B3F7A13" w14:textId="551B9422" w:rsidR="00366BD5" w:rsidRPr="00BE06C1" w:rsidRDefault="00BE06C1" w:rsidP="00366BD5">
            <w:pPr>
              <w:spacing w:before="120" w:after="120"/>
              <w:rPr>
                <w:bCs/>
                <w:sz w:val="22"/>
                <w:szCs w:val="22"/>
              </w:rPr>
            </w:pPr>
            <w:r>
              <w:rPr>
                <w:bCs/>
                <w:sz w:val="22"/>
                <w:szCs w:val="22"/>
              </w:rPr>
              <w:t>No</w:t>
            </w:r>
          </w:p>
        </w:tc>
      </w:tr>
      <w:tr w:rsidR="00366BD5" w:rsidRPr="00CA2ABF" w14:paraId="31C3FB05" w14:textId="77777777" w:rsidTr="00366BD5">
        <w:trPr>
          <w:cantSplit/>
        </w:trPr>
        <w:tc>
          <w:tcPr>
            <w:tcW w:w="3510" w:type="dxa"/>
            <w:tcBorders>
              <w:top w:val="single" w:sz="4" w:space="0" w:color="auto"/>
              <w:left w:val="single" w:sz="4" w:space="0" w:color="auto"/>
              <w:bottom w:val="single" w:sz="4" w:space="0" w:color="auto"/>
              <w:right w:val="single" w:sz="4" w:space="0" w:color="auto"/>
            </w:tcBorders>
          </w:tcPr>
          <w:p w14:paraId="7241F8EE" w14:textId="77777777" w:rsidR="00366BD5" w:rsidRPr="00366BD5" w:rsidRDefault="00366BD5" w:rsidP="00366BD5">
            <w:pPr>
              <w:spacing w:before="120" w:after="120"/>
              <w:rPr>
                <w:sz w:val="22"/>
                <w:szCs w:val="22"/>
              </w:rPr>
            </w:pPr>
            <w:r w:rsidRPr="00366BD5">
              <w:rPr>
                <w:sz w:val="22"/>
                <w:szCs w:val="22"/>
              </w:rPr>
              <w:t>Update of the guidance within another piece of NICE guidance</w:t>
            </w:r>
          </w:p>
        </w:tc>
        <w:tc>
          <w:tcPr>
            <w:tcW w:w="4395" w:type="dxa"/>
            <w:tcBorders>
              <w:top w:val="single" w:sz="4" w:space="0" w:color="auto"/>
              <w:left w:val="single" w:sz="4" w:space="0" w:color="auto"/>
              <w:bottom w:val="single" w:sz="4" w:space="0" w:color="auto"/>
              <w:right w:val="single" w:sz="4" w:space="0" w:color="auto"/>
            </w:tcBorders>
          </w:tcPr>
          <w:p w14:paraId="67F7C8E1" w14:textId="77777777" w:rsidR="00366BD5" w:rsidRPr="00366BD5" w:rsidRDefault="00366BD5" w:rsidP="00366BD5">
            <w:pPr>
              <w:spacing w:before="120" w:after="120"/>
              <w:rPr>
                <w:bCs/>
                <w:sz w:val="22"/>
                <w:szCs w:val="22"/>
              </w:rPr>
            </w:pPr>
            <w:r w:rsidRPr="00366BD5">
              <w:rPr>
                <w:bCs/>
                <w:sz w:val="22"/>
                <w:szCs w:val="22"/>
              </w:rPr>
              <w:t>The guidance is updated according to the processes and timetable of that programme.</w:t>
            </w:r>
          </w:p>
        </w:tc>
        <w:tc>
          <w:tcPr>
            <w:tcW w:w="1304" w:type="dxa"/>
            <w:tcBorders>
              <w:top w:val="single" w:sz="4" w:space="0" w:color="auto"/>
              <w:left w:val="single" w:sz="4" w:space="0" w:color="auto"/>
              <w:bottom w:val="single" w:sz="4" w:space="0" w:color="auto"/>
              <w:right w:val="single" w:sz="4" w:space="0" w:color="auto"/>
            </w:tcBorders>
          </w:tcPr>
          <w:p w14:paraId="27E25AD9" w14:textId="38A6627C" w:rsidR="00366BD5" w:rsidRPr="00BE06C1" w:rsidDel="00B51A60" w:rsidRDefault="00BE06C1" w:rsidP="00366BD5">
            <w:pPr>
              <w:spacing w:before="120" w:after="120"/>
              <w:rPr>
                <w:bCs/>
                <w:sz w:val="22"/>
                <w:szCs w:val="22"/>
              </w:rPr>
            </w:pPr>
            <w:r>
              <w:rPr>
                <w:bCs/>
                <w:sz w:val="22"/>
                <w:szCs w:val="22"/>
              </w:rPr>
              <w:t>No</w:t>
            </w:r>
          </w:p>
        </w:tc>
      </w:tr>
    </w:tbl>
    <w:p w14:paraId="4681AD88" w14:textId="77777777" w:rsidR="00366BD5" w:rsidRDefault="00366BD5" w:rsidP="00366BD5"/>
    <w:p w14:paraId="77EB1584" w14:textId="73F55F3B" w:rsidR="00366BD5" w:rsidRPr="00CA2ABF" w:rsidRDefault="00366BD5" w:rsidP="00366BD5">
      <w:r w:rsidRPr="00E01790">
        <w:t xml:space="preserve">If the published </w:t>
      </w:r>
      <w:r>
        <w:t xml:space="preserve">Medical Technologies </w:t>
      </w:r>
      <w:r w:rsidRPr="00E01790">
        <w:t xml:space="preserve">Guidance </w:t>
      </w:r>
      <w:r>
        <w:t>does not need</w:t>
      </w:r>
      <w:r w:rsidRPr="00E01790">
        <w:t xml:space="preserve"> updating 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366BD5" w:rsidRPr="00CA2ABF" w14:paraId="0AB9E64C" w14:textId="77777777" w:rsidTr="00E407B0">
        <w:trPr>
          <w:cantSplit/>
        </w:trPr>
        <w:tc>
          <w:tcPr>
            <w:tcW w:w="3510" w:type="dxa"/>
          </w:tcPr>
          <w:p w14:paraId="10A5645D" w14:textId="77777777" w:rsidR="00366BD5" w:rsidRPr="00CA2ABF" w:rsidRDefault="00366BD5" w:rsidP="00E407B0">
            <w:pPr>
              <w:rPr>
                <w:b/>
              </w:rPr>
            </w:pPr>
            <w:r w:rsidRPr="00CA2ABF">
              <w:rPr>
                <w:b/>
              </w:rPr>
              <w:t>Options</w:t>
            </w:r>
          </w:p>
        </w:tc>
        <w:tc>
          <w:tcPr>
            <w:tcW w:w="4395" w:type="dxa"/>
          </w:tcPr>
          <w:p w14:paraId="3407FD8E" w14:textId="77777777" w:rsidR="00366BD5" w:rsidRPr="00CA2ABF" w:rsidRDefault="00366BD5" w:rsidP="00E407B0">
            <w:pPr>
              <w:rPr>
                <w:b/>
                <w:bCs/>
              </w:rPr>
            </w:pPr>
            <w:r w:rsidRPr="00CA2ABF">
              <w:rPr>
                <w:b/>
                <w:bCs/>
              </w:rPr>
              <w:t>Consequences</w:t>
            </w:r>
          </w:p>
        </w:tc>
        <w:tc>
          <w:tcPr>
            <w:tcW w:w="1304" w:type="dxa"/>
          </w:tcPr>
          <w:p w14:paraId="31970C26" w14:textId="77777777" w:rsidR="00366BD5" w:rsidRPr="00CA2ABF" w:rsidDel="00B51A60" w:rsidRDefault="00366BD5" w:rsidP="00E407B0">
            <w:pPr>
              <w:rPr>
                <w:b/>
                <w:bCs/>
              </w:rPr>
            </w:pPr>
            <w:r w:rsidRPr="00CA2ABF">
              <w:rPr>
                <w:b/>
                <w:bCs/>
              </w:rPr>
              <w:t>Selected – ‘Yes/No’</w:t>
            </w:r>
          </w:p>
        </w:tc>
      </w:tr>
      <w:tr w:rsidR="00366BD5" w:rsidRPr="00CA2ABF" w14:paraId="761EAAC3" w14:textId="77777777" w:rsidTr="00E407B0">
        <w:trPr>
          <w:cantSplit/>
        </w:trPr>
        <w:tc>
          <w:tcPr>
            <w:tcW w:w="3510" w:type="dxa"/>
          </w:tcPr>
          <w:p w14:paraId="18C4B8F2" w14:textId="77777777" w:rsidR="00366BD5" w:rsidRPr="00CA2ABF" w:rsidRDefault="00366BD5" w:rsidP="00E407B0">
            <w:r w:rsidRPr="00CA2ABF">
              <w:t>Transfer the guidance to the ‘static guidance list’</w:t>
            </w:r>
          </w:p>
        </w:tc>
        <w:tc>
          <w:tcPr>
            <w:tcW w:w="4395" w:type="dxa"/>
          </w:tcPr>
          <w:p w14:paraId="4DF7CC64" w14:textId="77777777" w:rsidR="00366BD5" w:rsidRPr="00CA2ABF" w:rsidRDefault="00366BD5" w:rsidP="00E407B0">
            <w:pPr>
              <w:rPr>
                <w:bCs/>
              </w:rPr>
            </w:pPr>
            <w:r w:rsidRPr="00CA2ABF">
              <w:rPr>
                <w:bCs/>
              </w:rPr>
              <w:t xml:space="preserve">The guidance remains valid and is designated as static guidance. Literature searches are carried out every 5 years to check whether any of the Medical Technologies Guidance on the static list should be flagged for review.  </w:t>
            </w:r>
          </w:p>
        </w:tc>
        <w:tc>
          <w:tcPr>
            <w:tcW w:w="1304" w:type="dxa"/>
          </w:tcPr>
          <w:p w14:paraId="3669062D" w14:textId="2CE7DCD5" w:rsidR="00366BD5" w:rsidRPr="00CA2ABF" w:rsidDel="00B51A60" w:rsidRDefault="006E63E0" w:rsidP="00E407B0">
            <w:pPr>
              <w:rPr>
                <w:bCs/>
              </w:rPr>
            </w:pPr>
            <w:r>
              <w:rPr>
                <w:bCs/>
              </w:rPr>
              <w:t>Yes</w:t>
            </w:r>
          </w:p>
        </w:tc>
      </w:tr>
      <w:tr w:rsidR="00366BD5" w:rsidRPr="00CA2ABF" w14:paraId="553D82FB" w14:textId="77777777" w:rsidTr="00E407B0">
        <w:trPr>
          <w:cantSplit/>
        </w:trPr>
        <w:tc>
          <w:tcPr>
            <w:tcW w:w="3510" w:type="dxa"/>
          </w:tcPr>
          <w:p w14:paraId="1189E072" w14:textId="77777777" w:rsidR="00366BD5" w:rsidRPr="00CA2ABF" w:rsidRDefault="00366BD5" w:rsidP="00E407B0">
            <w:pPr>
              <w:rPr>
                <w:bCs/>
              </w:rPr>
            </w:pPr>
            <w:r w:rsidRPr="00CA2ABF">
              <w:t xml:space="preserve">Defer the decision to review the guidance </w:t>
            </w:r>
          </w:p>
        </w:tc>
        <w:tc>
          <w:tcPr>
            <w:tcW w:w="4395" w:type="dxa"/>
          </w:tcPr>
          <w:p w14:paraId="71743493" w14:textId="77777777" w:rsidR="00366BD5" w:rsidRPr="00CA2ABF" w:rsidRDefault="00366BD5" w:rsidP="00E407B0">
            <w:pPr>
              <w:rPr>
                <w:bCs/>
              </w:rPr>
            </w:pPr>
            <w:r w:rsidRPr="00CA2ABF">
              <w:rPr>
                <w:bCs/>
              </w:rPr>
              <w:t>NICE will reconsider whether a review is necessary at the specified date.</w:t>
            </w:r>
          </w:p>
        </w:tc>
        <w:tc>
          <w:tcPr>
            <w:tcW w:w="1304" w:type="dxa"/>
          </w:tcPr>
          <w:p w14:paraId="1211F054" w14:textId="621D1313" w:rsidR="00366BD5" w:rsidRPr="00CA2ABF" w:rsidDel="00B51A60" w:rsidRDefault="00BE06C1" w:rsidP="00E407B0">
            <w:pPr>
              <w:rPr>
                <w:bCs/>
              </w:rPr>
            </w:pPr>
            <w:r>
              <w:rPr>
                <w:bCs/>
              </w:rPr>
              <w:t>No</w:t>
            </w:r>
          </w:p>
        </w:tc>
      </w:tr>
      <w:tr w:rsidR="00366BD5" w:rsidRPr="00CA2ABF" w14:paraId="1DBF0D59" w14:textId="77777777" w:rsidTr="00E407B0">
        <w:trPr>
          <w:cantSplit/>
        </w:trPr>
        <w:tc>
          <w:tcPr>
            <w:tcW w:w="3510" w:type="dxa"/>
          </w:tcPr>
          <w:p w14:paraId="33D6C76D" w14:textId="77777777" w:rsidR="00366BD5" w:rsidRPr="00CA2ABF" w:rsidRDefault="00366BD5" w:rsidP="00E407B0">
            <w:r w:rsidRPr="00CA2ABF">
              <w:t xml:space="preserve">Withdraw the guidance </w:t>
            </w:r>
          </w:p>
        </w:tc>
        <w:tc>
          <w:tcPr>
            <w:tcW w:w="4395" w:type="dxa"/>
          </w:tcPr>
          <w:p w14:paraId="51AD7E2F" w14:textId="77777777" w:rsidR="00366BD5" w:rsidRPr="00CA2ABF" w:rsidRDefault="00366BD5" w:rsidP="00E407B0">
            <w:pPr>
              <w:rPr>
                <w:bCs/>
              </w:rPr>
            </w:pPr>
            <w:r w:rsidRPr="00CA2ABF">
              <w:rPr>
                <w:bCs/>
              </w:rPr>
              <w:t>The Medical Technologies Guidance is no longer valid and is withdrawn.</w:t>
            </w:r>
          </w:p>
        </w:tc>
        <w:tc>
          <w:tcPr>
            <w:tcW w:w="1304" w:type="dxa"/>
          </w:tcPr>
          <w:p w14:paraId="07CEA5E6" w14:textId="1071AC8D" w:rsidR="00366BD5" w:rsidRPr="00CA2ABF" w:rsidRDefault="00BE06C1" w:rsidP="00E407B0">
            <w:pPr>
              <w:rPr>
                <w:bCs/>
              </w:rPr>
            </w:pPr>
            <w:r>
              <w:rPr>
                <w:bCs/>
              </w:rPr>
              <w:t>No</w:t>
            </w:r>
          </w:p>
        </w:tc>
      </w:tr>
    </w:tbl>
    <w:p w14:paraId="456FC9ED" w14:textId="77777777" w:rsidR="000147CF" w:rsidRPr="008875A8" w:rsidRDefault="000147CF" w:rsidP="004F0B20">
      <w:pPr>
        <w:pStyle w:val="Heading1"/>
        <w:rPr>
          <w:bCs w:val="0"/>
          <w:kern w:val="28"/>
          <w:sz w:val="32"/>
        </w:rPr>
      </w:pPr>
      <w:r w:rsidRPr="008875A8">
        <w:rPr>
          <w:rStyle w:val="TitleChar"/>
          <w:b/>
          <w:bCs/>
          <w:kern w:val="32"/>
        </w:rPr>
        <w:lastRenderedPageBreak/>
        <w:t>Appendix</w:t>
      </w:r>
      <w:r w:rsidR="00B253F7" w:rsidRPr="008875A8">
        <w:rPr>
          <w:rStyle w:val="TitleChar"/>
          <w:b/>
        </w:rPr>
        <w:t xml:space="preserve"> </w:t>
      </w:r>
      <w:r w:rsidR="000D064A" w:rsidRPr="008875A8">
        <w:rPr>
          <w:rStyle w:val="TitleChar"/>
          <w:b/>
        </w:rPr>
        <w:t>2</w:t>
      </w:r>
      <w:r w:rsidRPr="008875A8">
        <w:rPr>
          <w:rStyle w:val="TitleChar"/>
          <w:b/>
        </w:rPr>
        <w:t xml:space="preserve"> </w:t>
      </w:r>
      <w:r w:rsidR="00B253F7" w:rsidRPr="008875A8">
        <w:rPr>
          <w:rStyle w:val="TitleChar"/>
          <w:b/>
        </w:rPr>
        <w:t>–</w:t>
      </w:r>
      <w:r w:rsidRPr="008875A8">
        <w:rPr>
          <w:rStyle w:val="TitleChar"/>
          <w:b/>
        </w:rPr>
        <w:t xml:space="preserve"> </w:t>
      </w:r>
      <w:r w:rsidR="00B253F7" w:rsidRPr="008875A8">
        <w:rPr>
          <w:rStyle w:val="TitleChar"/>
          <w:b/>
          <w:bCs/>
          <w:kern w:val="32"/>
        </w:rPr>
        <w:t>supporting</w:t>
      </w:r>
      <w:r w:rsidR="00B253F7" w:rsidRPr="008875A8">
        <w:rPr>
          <w:rStyle w:val="TitleChar"/>
          <w:b/>
        </w:rPr>
        <w:t xml:space="preserve"> information</w:t>
      </w:r>
    </w:p>
    <w:p w14:paraId="6CA26495" w14:textId="77777777" w:rsidR="00B253F7" w:rsidRDefault="00B253F7" w:rsidP="004F0B20">
      <w:pPr>
        <w:pStyle w:val="Heading2"/>
      </w:pPr>
      <w:r w:rsidRPr="0056596D">
        <w:t>Relevant</w:t>
      </w:r>
      <w:r>
        <w:t xml:space="preserve"> Institute work </w:t>
      </w:r>
    </w:p>
    <w:p w14:paraId="2CF9A004" w14:textId="77777777" w:rsidR="00B253F7" w:rsidRPr="004F0B20" w:rsidRDefault="00B253F7" w:rsidP="004F0B20">
      <w:pPr>
        <w:pStyle w:val="Heading3"/>
      </w:pPr>
      <w:r w:rsidRPr="004F0B20">
        <w:t>Published</w:t>
      </w:r>
    </w:p>
    <w:p w14:paraId="67038EBF" w14:textId="7A52F861" w:rsidR="00B253F7" w:rsidRPr="004F0B20" w:rsidRDefault="00613CD5" w:rsidP="00FA58FB">
      <w:r>
        <w:t>None identified.</w:t>
      </w:r>
    </w:p>
    <w:p w14:paraId="0E8826E8" w14:textId="77777777" w:rsidR="00B253F7" w:rsidRDefault="00B253F7" w:rsidP="004F0B20">
      <w:pPr>
        <w:pStyle w:val="Heading3"/>
      </w:pPr>
      <w:r w:rsidRPr="008C6A1B">
        <w:t xml:space="preserve">In progress </w:t>
      </w:r>
    </w:p>
    <w:p w14:paraId="18494CE1" w14:textId="5A79873C" w:rsidR="00C4762D" w:rsidRDefault="00613CD5" w:rsidP="00C4762D">
      <w:r>
        <w:t>None identified.</w:t>
      </w:r>
    </w:p>
    <w:p w14:paraId="4F1708DD" w14:textId="77777777" w:rsidR="00C802A6" w:rsidRDefault="000147CF" w:rsidP="004F0B20">
      <w:pPr>
        <w:pStyle w:val="Heading2"/>
        <w:rPr>
          <w:rStyle w:val="Heading1Char"/>
          <w:b/>
          <w:bCs/>
          <w:kern w:val="0"/>
          <w:sz w:val="24"/>
        </w:rPr>
      </w:pPr>
      <w:r w:rsidRPr="00C802A6">
        <w:rPr>
          <w:rStyle w:val="Heading1Char"/>
          <w:b/>
          <w:bCs/>
          <w:kern w:val="0"/>
          <w:sz w:val="24"/>
        </w:rPr>
        <w:t xml:space="preserve">Registered </w:t>
      </w:r>
      <w:r w:rsidR="004F0B20">
        <w:rPr>
          <w:rStyle w:val="Heading1Char"/>
          <w:b/>
          <w:bCs/>
          <w:kern w:val="0"/>
          <w:sz w:val="24"/>
        </w:rPr>
        <w:t>and</w:t>
      </w:r>
      <w:r w:rsidRPr="00C802A6">
        <w:rPr>
          <w:rStyle w:val="Heading1Char"/>
          <w:b/>
          <w:bCs/>
          <w:kern w:val="0"/>
          <w:sz w:val="24"/>
        </w:rPr>
        <w:t xml:space="preserve"> unpublished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0147CF" w:rsidRPr="007724DC" w14:paraId="2E273C23" w14:textId="77777777" w:rsidTr="00BD4083">
        <w:trPr>
          <w:cantSplit/>
          <w:tblHeader/>
        </w:trPr>
        <w:tc>
          <w:tcPr>
            <w:tcW w:w="4261" w:type="dxa"/>
          </w:tcPr>
          <w:p w14:paraId="41BBD7CF" w14:textId="77777777" w:rsidR="000147CF" w:rsidRPr="00B51A60" w:rsidRDefault="000147CF" w:rsidP="00BD4083">
            <w:pPr>
              <w:keepNext/>
              <w:spacing w:before="120" w:after="120"/>
              <w:rPr>
                <w:b/>
                <w:sz w:val="22"/>
              </w:rPr>
            </w:pPr>
            <w:r w:rsidRPr="00B51A60">
              <w:rPr>
                <w:b/>
                <w:sz w:val="22"/>
              </w:rPr>
              <w:t xml:space="preserve">Trial name </w:t>
            </w:r>
            <w:r w:rsidR="004F0B20" w:rsidRPr="00B51A60">
              <w:rPr>
                <w:b/>
                <w:sz w:val="22"/>
              </w:rPr>
              <w:t xml:space="preserve">and </w:t>
            </w:r>
            <w:r w:rsidRPr="00B51A60">
              <w:rPr>
                <w:b/>
                <w:sz w:val="22"/>
              </w:rPr>
              <w:t>registration number</w:t>
            </w:r>
          </w:p>
        </w:tc>
        <w:tc>
          <w:tcPr>
            <w:tcW w:w="4261" w:type="dxa"/>
          </w:tcPr>
          <w:p w14:paraId="5E52EBA7" w14:textId="77777777" w:rsidR="000147CF" w:rsidRPr="00B51A60" w:rsidRDefault="000147CF" w:rsidP="00BD4083">
            <w:pPr>
              <w:keepNext/>
              <w:spacing w:before="120" w:after="120"/>
              <w:rPr>
                <w:b/>
                <w:sz w:val="22"/>
              </w:rPr>
            </w:pPr>
            <w:r w:rsidRPr="00B51A60">
              <w:rPr>
                <w:b/>
                <w:sz w:val="22"/>
              </w:rPr>
              <w:t>Details</w:t>
            </w:r>
          </w:p>
        </w:tc>
      </w:tr>
      <w:tr w:rsidR="000147CF" w:rsidRPr="007B0C3B" w14:paraId="21001B88" w14:textId="77777777" w:rsidTr="00BD4083">
        <w:trPr>
          <w:cantSplit/>
        </w:trPr>
        <w:tc>
          <w:tcPr>
            <w:tcW w:w="4261" w:type="dxa"/>
          </w:tcPr>
          <w:p w14:paraId="24DA3447" w14:textId="58587584" w:rsidR="00613CD5" w:rsidRDefault="00613CD5" w:rsidP="00D303E7">
            <w:pPr>
              <w:spacing w:before="120" w:after="120"/>
              <w:rPr>
                <w:sz w:val="22"/>
              </w:rPr>
            </w:pPr>
            <w:r w:rsidRPr="00613CD5">
              <w:rPr>
                <w:sz w:val="22"/>
              </w:rPr>
              <w:t>A Study to Evalua</w:t>
            </w:r>
            <w:r>
              <w:rPr>
                <w:sz w:val="22"/>
              </w:rPr>
              <w:t xml:space="preserve">te the Performance of </w:t>
            </w:r>
            <w:proofErr w:type="spellStart"/>
            <w:r>
              <w:rPr>
                <w:sz w:val="22"/>
              </w:rPr>
              <w:t>VibraTip</w:t>
            </w:r>
            <w:proofErr w:type="spellEnd"/>
            <w:r>
              <w:rPr>
                <w:sz w:val="22"/>
              </w:rPr>
              <w:t xml:space="preserve"> </w:t>
            </w:r>
            <w:r w:rsidRPr="00613CD5">
              <w:rPr>
                <w:sz w:val="22"/>
              </w:rPr>
              <w:t>by Different Clinical Users</w:t>
            </w:r>
            <w:bookmarkStart w:id="2" w:name="Text30"/>
          </w:p>
          <w:bookmarkEnd w:id="2"/>
          <w:p w14:paraId="424AF004" w14:textId="38148800" w:rsidR="00363768" w:rsidRPr="00363768" w:rsidRDefault="00482F46" w:rsidP="00D303E7">
            <w:pPr>
              <w:spacing w:before="120" w:after="120"/>
              <w:rPr>
                <w:sz w:val="22"/>
              </w:rPr>
            </w:pPr>
            <w:r>
              <w:rPr>
                <w:sz w:val="22"/>
              </w:rPr>
              <w:fldChar w:fldCharType="begin"/>
            </w:r>
            <w:r>
              <w:rPr>
                <w:sz w:val="22"/>
              </w:rPr>
              <w:instrText>HYPERLINK "https://clinicaltrials.gov/ct2/show/NCT01878682"</w:instrText>
            </w:r>
            <w:r>
              <w:rPr>
                <w:sz w:val="22"/>
              </w:rPr>
              <w:fldChar w:fldCharType="separate"/>
            </w:r>
            <w:r w:rsidR="00613CD5" w:rsidRPr="00482F46">
              <w:rPr>
                <w:rStyle w:val="Hyperlink"/>
                <w:sz w:val="22"/>
              </w:rPr>
              <w:t>NCT01878682</w:t>
            </w:r>
            <w:r>
              <w:rPr>
                <w:sz w:val="22"/>
              </w:rPr>
              <w:fldChar w:fldCharType="end"/>
            </w:r>
          </w:p>
        </w:tc>
        <w:tc>
          <w:tcPr>
            <w:tcW w:w="4261" w:type="dxa"/>
          </w:tcPr>
          <w:p w14:paraId="3173ECFD" w14:textId="77777777" w:rsidR="00613CD5" w:rsidRDefault="00613CD5" w:rsidP="00613CD5">
            <w:pPr>
              <w:spacing w:before="120" w:after="120"/>
              <w:rPr>
                <w:sz w:val="22"/>
              </w:rPr>
            </w:pPr>
            <w:bookmarkStart w:id="3" w:name="Text22"/>
            <w:r w:rsidRPr="00613CD5">
              <w:rPr>
                <w:sz w:val="22"/>
              </w:rPr>
              <w:t xml:space="preserve">The study aims to evaluate the accuracy of the </w:t>
            </w:r>
            <w:proofErr w:type="spellStart"/>
            <w:r w:rsidRPr="00613CD5">
              <w:rPr>
                <w:sz w:val="22"/>
              </w:rPr>
              <w:t>VibraTip</w:t>
            </w:r>
            <w:proofErr w:type="spellEnd"/>
            <w:r w:rsidRPr="00613CD5">
              <w:rPr>
                <w:sz w:val="22"/>
              </w:rPr>
              <w:t xml:space="preserve"> device compared to the Gold Standard, the 10g Semmes Weinstein Monofilament (MF) Test, and the accuracy and usability of the </w:t>
            </w:r>
            <w:proofErr w:type="spellStart"/>
            <w:r w:rsidRPr="00613CD5">
              <w:rPr>
                <w:sz w:val="22"/>
              </w:rPr>
              <w:t>VibraTip</w:t>
            </w:r>
            <w:proofErr w:type="spellEnd"/>
            <w:r w:rsidRPr="00613CD5">
              <w:rPr>
                <w:sz w:val="22"/>
              </w:rPr>
              <w:t>® device, as measured by different community medical practitioners.</w:t>
            </w:r>
            <w:bookmarkEnd w:id="3"/>
          </w:p>
          <w:p w14:paraId="5CB77591" w14:textId="14CB1287" w:rsidR="00613CD5" w:rsidRPr="00B51A60" w:rsidRDefault="00613CD5" w:rsidP="00613CD5">
            <w:pPr>
              <w:spacing w:before="120" w:after="120"/>
              <w:rPr>
                <w:sz w:val="22"/>
              </w:rPr>
            </w:pPr>
            <w:r>
              <w:rPr>
                <w:sz w:val="22"/>
              </w:rPr>
              <w:t xml:space="preserve">The study was reported to be “not yet recruiting” in 2013 and there has been no update. No relevant studies were identified </w:t>
            </w:r>
            <w:r w:rsidR="009C2595">
              <w:rPr>
                <w:sz w:val="22"/>
              </w:rPr>
              <w:t xml:space="preserve">from </w:t>
            </w:r>
            <w:r>
              <w:rPr>
                <w:sz w:val="22"/>
              </w:rPr>
              <w:t>the investigator (Dr E Jude).</w:t>
            </w:r>
            <w:r w:rsidRPr="00B51A60">
              <w:rPr>
                <w:sz w:val="22"/>
              </w:rPr>
              <w:t xml:space="preserve"> </w:t>
            </w:r>
          </w:p>
          <w:p w14:paraId="052614FF" w14:textId="67C0057C" w:rsidR="000147CF" w:rsidRPr="00B51A60" w:rsidRDefault="000147CF" w:rsidP="00671256">
            <w:pPr>
              <w:spacing w:before="120" w:after="120"/>
              <w:rPr>
                <w:sz w:val="22"/>
              </w:rPr>
            </w:pPr>
          </w:p>
        </w:tc>
      </w:tr>
    </w:tbl>
    <w:p w14:paraId="33F58236" w14:textId="77777777" w:rsidR="00B03E79" w:rsidRPr="00B11C4C" w:rsidRDefault="00B03E79" w:rsidP="00B03E79">
      <w:pPr>
        <w:rPr>
          <w:b/>
          <w:bCs/>
          <w:color w:val="FF0000"/>
        </w:rPr>
      </w:pPr>
    </w:p>
    <w:p w14:paraId="737FE808" w14:textId="155727E4" w:rsidR="00E1328B" w:rsidRDefault="00B03E79" w:rsidP="008F4E07">
      <w:pPr>
        <w:pStyle w:val="Paragraph"/>
        <w:numPr>
          <w:ilvl w:val="0"/>
          <w:numId w:val="0"/>
        </w:numPr>
        <w:spacing w:line="240" w:lineRule="auto"/>
        <w:rPr>
          <w:b/>
          <w:color w:val="FF0000"/>
        </w:rPr>
      </w:pPr>
      <w:r>
        <w:rPr>
          <w:b/>
          <w:bCs/>
          <w:color w:val="FF0000"/>
        </w:rPr>
        <w:t xml:space="preserve"> </w:t>
      </w:r>
      <w:r w:rsidR="00E1328B">
        <w:rPr>
          <w:b/>
          <w:color w:val="FF0000"/>
        </w:rPr>
        <w:br w:type="page"/>
      </w:r>
    </w:p>
    <w:p w14:paraId="139A8A43" w14:textId="70BF8436" w:rsidR="00E1328B" w:rsidRPr="00E1328B" w:rsidRDefault="00E1328B" w:rsidP="00E1328B">
      <w:pPr>
        <w:pStyle w:val="Heading1"/>
        <w:rPr>
          <w:bCs w:val="0"/>
          <w:kern w:val="28"/>
          <w:sz w:val="32"/>
          <w:lang w:val="en-GB"/>
        </w:rPr>
      </w:pPr>
      <w:r w:rsidRPr="008875A8">
        <w:rPr>
          <w:rStyle w:val="TitleChar"/>
          <w:b/>
          <w:bCs/>
          <w:kern w:val="32"/>
        </w:rPr>
        <w:lastRenderedPageBreak/>
        <w:t>Appendix</w:t>
      </w:r>
      <w:r w:rsidRPr="008875A8">
        <w:rPr>
          <w:rStyle w:val="TitleChar"/>
          <w:b/>
        </w:rPr>
        <w:t xml:space="preserve"> </w:t>
      </w:r>
      <w:r>
        <w:rPr>
          <w:rStyle w:val="TitleChar"/>
          <w:b/>
          <w:lang w:val="en-GB"/>
        </w:rPr>
        <w:t>3</w:t>
      </w:r>
      <w:r w:rsidRPr="008875A8">
        <w:rPr>
          <w:rStyle w:val="TitleChar"/>
          <w:b/>
        </w:rPr>
        <w:t xml:space="preserve"> – </w:t>
      </w:r>
      <w:r>
        <w:rPr>
          <w:rStyle w:val="TitleChar"/>
          <w:b/>
          <w:bCs/>
          <w:kern w:val="32"/>
          <w:lang w:val="en-GB"/>
        </w:rPr>
        <w:t>changes to guidance</w:t>
      </w:r>
    </w:p>
    <w:p w14:paraId="3ED3F117" w14:textId="7E6EB900" w:rsidR="009C4F96" w:rsidRPr="00763FBD" w:rsidRDefault="00AE7C91" w:rsidP="009C4F96">
      <w:r>
        <w:t>No changes are proposed to the original guidance.</w:t>
      </w:r>
    </w:p>
    <w:p w14:paraId="44F6AA9C" w14:textId="77777777" w:rsidR="00E1328B" w:rsidRPr="00800DEF" w:rsidRDefault="00E1328B" w:rsidP="00E1328B">
      <w:pPr>
        <w:pStyle w:val="Heading2"/>
      </w:pPr>
      <w:r>
        <w:t>References</w:t>
      </w:r>
    </w:p>
    <w:p w14:paraId="3F6685CD" w14:textId="77777777" w:rsidR="00AE7C91" w:rsidRDefault="00AE7C91" w:rsidP="00AE7C91">
      <w:pPr>
        <w:pStyle w:val="Paragraphnonumbers"/>
      </w:pPr>
      <w:r>
        <w:t xml:space="preserve">Azzopardi K, </w:t>
      </w:r>
      <w:proofErr w:type="spellStart"/>
      <w:r>
        <w:t>Gatt</w:t>
      </w:r>
      <w:proofErr w:type="spellEnd"/>
      <w:r>
        <w:t xml:space="preserve"> A, </w:t>
      </w:r>
      <w:proofErr w:type="spellStart"/>
      <w:r>
        <w:t>Chockalingam</w:t>
      </w:r>
      <w:proofErr w:type="spellEnd"/>
      <w:r>
        <w:t xml:space="preserve"> N et al. (2018) Hidden dangers revealed by misdiagnosed diabetic neuropathy: A comparison of simple clinical tests for the screening of vibration perception threshold at primary care level. </w:t>
      </w:r>
      <w:r w:rsidRPr="00CA5519">
        <w:rPr>
          <w:iCs/>
        </w:rPr>
        <w:t xml:space="preserve">Primary Care Diabetes </w:t>
      </w:r>
      <w:r>
        <w:t>12 (2): 111-115.</w:t>
      </w:r>
    </w:p>
    <w:p w14:paraId="2146788F" w14:textId="278BC15F" w:rsidR="00CA5519" w:rsidRDefault="00AE7C91" w:rsidP="00AE7C91">
      <w:pPr>
        <w:pStyle w:val="Paragraphnonumbers"/>
      </w:pPr>
      <w:r>
        <w:t xml:space="preserve">Goddard K, Vas P, Purves A, McMillan V, Langford T, Reid F, Edmonds M (2018) Comparing the diagnostic accuracy of simple tests to screen for diabetic peripheral neuropathy: Protocol for a cross-sectional study. </w:t>
      </w:r>
      <w:r w:rsidRPr="00CA5519">
        <w:rPr>
          <w:iCs/>
        </w:rPr>
        <w:t xml:space="preserve">JMIR Res. </w:t>
      </w:r>
      <w:proofErr w:type="spellStart"/>
      <w:r w:rsidRPr="00CA5519">
        <w:rPr>
          <w:iCs/>
        </w:rPr>
        <w:t>Protoc</w:t>
      </w:r>
      <w:proofErr w:type="spellEnd"/>
      <w:r w:rsidRPr="00CA5519">
        <w:rPr>
          <w:iCs/>
        </w:rPr>
        <w:t>.</w:t>
      </w:r>
      <w:r>
        <w:t xml:space="preserve"> 7(4</w:t>
      </w:r>
      <w:proofErr w:type="gramStart"/>
      <w:r>
        <w:t>):e</w:t>
      </w:r>
      <w:proofErr w:type="gramEnd"/>
      <w:r>
        <w:t xml:space="preserve">72. </w:t>
      </w:r>
      <w:proofErr w:type="spellStart"/>
      <w:r>
        <w:t>doi</w:t>
      </w:r>
      <w:proofErr w:type="spellEnd"/>
      <w:r>
        <w:t>: 10.2196/resprot.7438</w:t>
      </w:r>
      <w:r w:rsidR="00CA5519">
        <w:t>.</w:t>
      </w:r>
    </w:p>
    <w:p w14:paraId="393AFA56" w14:textId="6C0F47E8" w:rsidR="00AE7C91" w:rsidRDefault="0071609C" w:rsidP="00AE7C91">
      <w:pPr>
        <w:pStyle w:val="Paragraphnonumbers"/>
      </w:pPr>
      <w:r w:rsidRPr="009156D1">
        <w:rPr>
          <w:rFonts w:cs="Times New Roman"/>
          <w:bCs/>
          <w:iCs/>
          <w:szCs w:val="28"/>
        </w:rPr>
        <w:t>Gómez</w:t>
      </w:r>
      <w:r w:rsidR="00AE7C91">
        <w:t>-</w:t>
      </w:r>
      <w:proofErr w:type="spellStart"/>
      <w:r w:rsidR="00AE7C91">
        <w:t>Banoy</w:t>
      </w:r>
      <w:proofErr w:type="spellEnd"/>
      <w:r w:rsidR="00AE7C91">
        <w:t xml:space="preserve"> N, Cuevas V., Soler F. et al. (2017) Screening tests for distal symmetrical polyneuropathy in Latin American patients with type 2 diabetes mellitus. </w:t>
      </w:r>
      <w:r w:rsidRPr="00CA5519">
        <w:rPr>
          <w:iCs/>
        </w:rPr>
        <w:t>Archives of E</w:t>
      </w:r>
      <w:r w:rsidR="00AE7C91" w:rsidRPr="00CA5519">
        <w:rPr>
          <w:iCs/>
        </w:rPr>
        <w:t xml:space="preserve">ndocrinology and </w:t>
      </w:r>
      <w:r w:rsidRPr="00CA5519">
        <w:rPr>
          <w:iCs/>
        </w:rPr>
        <w:t>M</w:t>
      </w:r>
      <w:r w:rsidR="00AE7C91" w:rsidRPr="00CA5519">
        <w:rPr>
          <w:iCs/>
        </w:rPr>
        <w:t>etabolism</w:t>
      </w:r>
      <w:r w:rsidR="00AE7C91">
        <w:t xml:space="preserve"> 61 (5): 470-475.</w:t>
      </w:r>
    </w:p>
    <w:p w14:paraId="26A28C16" w14:textId="5ED23D76" w:rsidR="00AE7C91" w:rsidRDefault="00AE7C91" w:rsidP="00AE7C91">
      <w:pPr>
        <w:pStyle w:val="Paragraphnonumbers"/>
      </w:pPr>
      <w:proofErr w:type="spellStart"/>
      <w:r>
        <w:t>Lasca</w:t>
      </w:r>
      <w:proofErr w:type="spellEnd"/>
      <w:r>
        <w:t xml:space="preserve"> M, Taut AL, and </w:t>
      </w:r>
      <w:proofErr w:type="spellStart"/>
      <w:r>
        <w:t>Veresiu</w:t>
      </w:r>
      <w:proofErr w:type="spellEnd"/>
      <w:r>
        <w:t xml:space="preserve"> IA (2016) Comparative evaluation of several simple screening tests for risk of neuropathic ulcerations of feet in patients with diabetes mellitus. </w:t>
      </w:r>
      <w:r w:rsidRPr="00CA5519">
        <w:rPr>
          <w:iCs/>
        </w:rPr>
        <w:t>Romanian Journal of Diabetes, Nutrition and Metabolic Diseases</w:t>
      </w:r>
      <w:r>
        <w:t xml:space="preserve"> 23 (1): 67-72.</w:t>
      </w:r>
    </w:p>
    <w:p w14:paraId="0545596E" w14:textId="07DDC8CD" w:rsidR="004D1C6D" w:rsidRPr="00EE44C5" w:rsidRDefault="004D1C6D" w:rsidP="004D1C6D">
      <w:pPr>
        <w:pStyle w:val="Paragraphnonumbers"/>
      </w:pPr>
      <w:r>
        <w:t xml:space="preserve">Raymond B, </w:t>
      </w:r>
      <w:proofErr w:type="spellStart"/>
      <w:r>
        <w:t>Steriovski</w:t>
      </w:r>
      <w:proofErr w:type="spellEnd"/>
      <w:r>
        <w:t xml:space="preserve"> J, </w:t>
      </w:r>
      <w:proofErr w:type="spellStart"/>
      <w:r>
        <w:t>Gillyard</w:t>
      </w:r>
      <w:proofErr w:type="spellEnd"/>
      <w:r>
        <w:t xml:space="preserve"> K, Yang C, Wu SC, Crews RT (2019) Choosing a vibratory test to pair with Semmes Weinstein monofilament testing for evaluating lower extremity sensation in patients with diabetes: a comparison of three vibratory methodologies. </w:t>
      </w:r>
      <w:r w:rsidR="00A63C31" w:rsidRPr="00CA5519">
        <w:t>Journal of Diabetes Science and Technology</w:t>
      </w:r>
      <w:r w:rsidR="00A63C31">
        <w:rPr>
          <w:i/>
          <w:iCs/>
        </w:rPr>
        <w:t xml:space="preserve"> </w:t>
      </w:r>
      <w:hyperlink r:id="rId10" w:history="1">
        <w:r w:rsidR="00CA5519" w:rsidRPr="004A28DB">
          <w:rPr>
            <w:rStyle w:val="Hyperlink"/>
          </w:rPr>
          <w:t>https://journals.sagepub.com/doi/10.1177/1932296</w:t>
        </w:r>
        <w:r w:rsidR="00CA5519" w:rsidRPr="004A28DB">
          <w:rPr>
            <w:rStyle w:val="Hyperlink"/>
          </w:rPr>
          <w:t>8</w:t>
        </w:r>
        <w:r w:rsidR="00CA5519" w:rsidRPr="004A28DB">
          <w:rPr>
            <w:rStyle w:val="Hyperlink"/>
          </w:rPr>
          <w:t>19849478</w:t>
        </w:r>
      </w:hyperlink>
      <w:r w:rsidR="00CA5519">
        <w:t xml:space="preserve"> </w:t>
      </w:r>
      <w:r w:rsidR="00A63C31">
        <w:rPr>
          <w:i/>
          <w:iCs/>
        </w:rPr>
        <w:t xml:space="preserve"> </w:t>
      </w:r>
    </w:p>
    <w:sectPr w:rsidR="004D1C6D" w:rsidRPr="00EE44C5" w:rsidSect="00081BF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F2420" w14:textId="77777777" w:rsidR="00551232" w:rsidRDefault="00551232" w:rsidP="00446BEE">
      <w:r>
        <w:separator/>
      </w:r>
    </w:p>
  </w:endnote>
  <w:endnote w:type="continuationSeparator" w:id="0">
    <w:p w14:paraId="09323426" w14:textId="77777777" w:rsidR="00551232" w:rsidRDefault="0055123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BB44" w14:textId="7AA20186" w:rsidR="00A74673" w:rsidRDefault="00A74673" w:rsidP="00C80C8C">
    <w:pPr>
      <w:pStyle w:val="Footer"/>
      <w:spacing w:before="240"/>
    </w:pPr>
    <w:r>
      <w:tab/>
    </w:r>
    <w:r w:rsidR="008875A8">
      <w:fldChar w:fldCharType="begin"/>
    </w:r>
    <w:r w:rsidR="008875A8">
      <w:instrText xml:space="preserve"> PAGE </w:instrText>
    </w:r>
    <w:r w:rsidR="008875A8">
      <w:fldChar w:fldCharType="separate"/>
    </w:r>
    <w:r w:rsidR="002E0D34">
      <w:rPr>
        <w:noProof/>
      </w:rPr>
      <w:t>2</w:t>
    </w:r>
    <w:r w:rsidR="008875A8">
      <w:rPr>
        <w:noProof/>
      </w:rPr>
      <w:fldChar w:fldCharType="end"/>
    </w:r>
    <w:r>
      <w:t xml:space="preserve"> of </w:t>
    </w:r>
    <w:r w:rsidR="008C7520">
      <w:rPr>
        <w:noProof/>
      </w:rPr>
      <w:fldChar w:fldCharType="begin"/>
    </w:r>
    <w:r w:rsidR="008C7520">
      <w:rPr>
        <w:noProof/>
      </w:rPr>
      <w:instrText xml:space="preserve"> NUMPAGES  </w:instrText>
    </w:r>
    <w:r w:rsidR="008C7520">
      <w:rPr>
        <w:noProof/>
      </w:rPr>
      <w:fldChar w:fldCharType="separate"/>
    </w:r>
    <w:r w:rsidR="002E0D34">
      <w:rPr>
        <w:noProof/>
      </w:rPr>
      <w:t>7</w:t>
    </w:r>
    <w:r w:rsidR="008C75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4B108" w14:textId="77777777" w:rsidR="00551232" w:rsidRDefault="00551232" w:rsidP="00446BEE">
      <w:r>
        <w:separator/>
      </w:r>
    </w:p>
  </w:footnote>
  <w:footnote w:type="continuationSeparator" w:id="0">
    <w:p w14:paraId="5E263B2A" w14:textId="77777777" w:rsidR="00551232" w:rsidRDefault="0055123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9E03" w14:textId="77C5C09C" w:rsidR="00D74C45" w:rsidRDefault="00D74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486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7826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C848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54C3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646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54F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943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18B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6005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D67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641FC"/>
    <w:multiLevelType w:val="hybridMultilevel"/>
    <w:tmpl w:val="3A0A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C665F"/>
    <w:multiLevelType w:val="hybridMultilevel"/>
    <w:tmpl w:val="3AF41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81E46"/>
    <w:multiLevelType w:val="multilevel"/>
    <w:tmpl w:val="45FA0A1C"/>
    <w:lvl w:ilvl="0">
      <w:start w:val="1"/>
      <w:numFmt w:val="decimal"/>
      <w:lvlText w:val="%1"/>
      <w:lvlJc w:val="left"/>
      <w:pPr>
        <w:ind w:left="405" w:hanging="405"/>
      </w:pPr>
      <w:rPr>
        <w:rFonts w:hint="default"/>
        <w:i w:val="0"/>
      </w:rPr>
    </w:lvl>
    <w:lvl w:ilvl="1">
      <w:start w:val="1"/>
      <w:numFmt w:val="decimal"/>
      <w:lvlText w:val="%1.%2"/>
      <w:lvlJc w:val="left"/>
      <w:pPr>
        <w:ind w:left="40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53761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C95F72"/>
    <w:multiLevelType w:val="hybridMultilevel"/>
    <w:tmpl w:val="D2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81A3E"/>
    <w:multiLevelType w:val="hybridMultilevel"/>
    <w:tmpl w:val="6F847C5E"/>
    <w:lvl w:ilvl="0" w:tplc="E19A6854">
      <w:start w:val="1"/>
      <w:numFmt w:val="lowerRoman"/>
      <w:lvlText w:val="%1."/>
      <w:lvlJc w:val="right"/>
      <w:pPr>
        <w:tabs>
          <w:tab w:val="num" w:pos="720"/>
        </w:tabs>
        <w:ind w:left="720" w:hanging="180"/>
      </w:pPr>
      <w:rPr>
        <w:rFonts w:hint="default"/>
      </w:rPr>
    </w:lvl>
    <w:lvl w:ilvl="1" w:tplc="98382206">
      <w:start w:val="1"/>
      <w:numFmt w:val="bullet"/>
      <w:lvlText w:val=""/>
      <w:lvlJc w:val="left"/>
      <w:pPr>
        <w:tabs>
          <w:tab w:val="num" w:pos="1440"/>
        </w:tabs>
        <w:ind w:left="1440" w:hanging="360"/>
      </w:pPr>
      <w:rPr>
        <w:rFonts w:ascii="Symbol" w:hAnsi="Symbol" w:hint="default"/>
        <w:color w:val="auto"/>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D2B0F29"/>
    <w:multiLevelType w:val="hybridMultilevel"/>
    <w:tmpl w:val="723E3656"/>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3048B"/>
    <w:multiLevelType w:val="hybridMultilevel"/>
    <w:tmpl w:val="00F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43A7B"/>
    <w:multiLevelType w:val="hybridMultilevel"/>
    <w:tmpl w:val="5072B69E"/>
    <w:lvl w:ilvl="0" w:tplc="606C6D50">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72E7"/>
    <w:multiLevelType w:val="hybridMultilevel"/>
    <w:tmpl w:val="92460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8"/>
  </w:num>
  <w:num w:numId="21">
    <w:abstractNumId w:val="19"/>
  </w:num>
  <w:num w:numId="22">
    <w:abstractNumId w:val="17"/>
  </w:num>
  <w:num w:numId="23">
    <w:abstractNumId w:val="15"/>
  </w:num>
  <w:num w:numId="24">
    <w:abstractNumId w:val="11"/>
  </w:num>
  <w:num w:numId="25">
    <w:abstractNumId w:val="14"/>
  </w:num>
  <w:num w:numId="26">
    <w:abstractNumId w:val="21"/>
  </w:num>
  <w:num w:numId="27">
    <w:abstractNumId w:val="10"/>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32"/>
    <w:rsid w:val="00000215"/>
    <w:rsid w:val="00006C4A"/>
    <w:rsid w:val="000147CF"/>
    <w:rsid w:val="00016CE8"/>
    <w:rsid w:val="00017666"/>
    <w:rsid w:val="00024D0A"/>
    <w:rsid w:val="0004252C"/>
    <w:rsid w:val="00052499"/>
    <w:rsid w:val="00070065"/>
    <w:rsid w:val="0007258A"/>
    <w:rsid w:val="00072C79"/>
    <w:rsid w:val="00076E01"/>
    <w:rsid w:val="0007747E"/>
    <w:rsid w:val="00077DB2"/>
    <w:rsid w:val="00081BF9"/>
    <w:rsid w:val="00082332"/>
    <w:rsid w:val="0009291F"/>
    <w:rsid w:val="000B1162"/>
    <w:rsid w:val="000B5939"/>
    <w:rsid w:val="000C4E5D"/>
    <w:rsid w:val="000C69F8"/>
    <w:rsid w:val="000D064A"/>
    <w:rsid w:val="000D50AF"/>
    <w:rsid w:val="000E3105"/>
    <w:rsid w:val="00101733"/>
    <w:rsid w:val="0010433E"/>
    <w:rsid w:val="001060C5"/>
    <w:rsid w:val="001134E7"/>
    <w:rsid w:val="0013004F"/>
    <w:rsid w:val="00132F63"/>
    <w:rsid w:val="00134FDA"/>
    <w:rsid w:val="00137E6E"/>
    <w:rsid w:val="00144034"/>
    <w:rsid w:val="00145410"/>
    <w:rsid w:val="00146889"/>
    <w:rsid w:val="00153C13"/>
    <w:rsid w:val="00157C22"/>
    <w:rsid w:val="0017169E"/>
    <w:rsid w:val="00177290"/>
    <w:rsid w:val="001810B8"/>
    <w:rsid w:val="0018584D"/>
    <w:rsid w:val="00193EF9"/>
    <w:rsid w:val="001A23E4"/>
    <w:rsid w:val="001A7DDF"/>
    <w:rsid w:val="001B18CF"/>
    <w:rsid w:val="001B48D2"/>
    <w:rsid w:val="001B65B3"/>
    <w:rsid w:val="001C27D3"/>
    <w:rsid w:val="001E74A9"/>
    <w:rsid w:val="0021083D"/>
    <w:rsid w:val="0021463A"/>
    <w:rsid w:val="00214A5F"/>
    <w:rsid w:val="0022290A"/>
    <w:rsid w:val="00230B75"/>
    <w:rsid w:val="002331B1"/>
    <w:rsid w:val="002408EA"/>
    <w:rsid w:val="00244D19"/>
    <w:rsid w:val="00251F06"/>
    <w:rsid w:val="00256F0A"/>
    <w:rsid w:val="002575B4"/>
    <w:rsid w:val="00260E72"/>
    <w:rsid w:val="00270605"/>
    <w:rsid w:val="00270FBC"/>
    <w:rsid w:val="002716A6"/>
    <w:rsid w:val="00285A5B"/>
    <w:rsid w:val="00295C21"/>
    <w:rsid w:val="002974CB"/>
    <w:rsid w:val="002A0544"/>
    <w:rsid w:val="002A44E9"/>
    <w:rsid w:val="002A6474"/>
    <w:rsid w:val="002B38CE"/>
    <w:rsid w:val="002C1A7E"/>
    <w:rsid w:val="002C4054"/>
    <w:rsid w:val="002D09E7"/>
    <w:rsid w:val="002D1913"/>
    <w:rsid w:val="002D5680"/>
    <w:rsid w:val="002E0D34"/>
    <w:rsid w:val="002E3F5C"/>
    <w:rsid w:val="002E434C"/>
    <w:rsid w:val="002E47E2"/>
    <w:rsid w:val="002E74A7"/>
    <w:rsid w:val="002F2EEF"/>
    <w:rsid w:val="00303DEF"/>
    <w:rsid w:val="00311ED0"/>
    <w:rsid w:val="003178AE"/>
    <w:rsid w:val="00353337"/>
    <w:rsid w:val="00361E32"/>
    <w:rsid w:val="003624C5"/>
    <w:rsid w:val="00363768"/>
    <w:rsid w:val="00366BD5"/>
    <w:rsid w:val="00367EAA"/>
    <w:rsid w:val="003722FA"/>
    <w:rsid w:val="00377277"/>
    <w:rsid w:val="0038091D"/>
    <w:rsid w:val="003953CD"/>
    <w:rsid w:val="003B1C33"/>
    <w:rsid w:val="003B3240"/>
    <w:rsid w:val="003B4F08"/>
    <w:rsid w:val="003B7C6A"/>
    <w:rsid w:val="003C7AAF"/>
    <w:rsid w:val="003D10CA"/>
    <w:rsid w:val="003D6B66"/>
    <w:rsid w:val="003D7690"/>
    <w:rsid w:val="003E12B1"/>
    <w:rsid w:val="003F2EC0"/>
    <w:rsid w:val="003F3095"/>
    <w:rsid w:val="003F6CE1"/>
    <w:rsid w:val="00406F6B"/>
    <w:rsid w:val="004075B6"/>
    <w:rsid w:val="00407AF6"/>
    <w:rsid w:val="00411B85"/>
    <w:rsid w:val="00415038"/>
    <w:rsid w:val="00420952"/>
    <w:rsid w:val="004210F6"/>
    <w:rsid w:val="00424EEB"/>
    <w:rsid w:val="0042692A"/>
    <w:rsid w:val="00433494"/>
    <w:rsid w:val="00446BEE"/>
    <w:rsid w:val="00457B96"/>
    <w:rsid w:val="00472574"/>
    <w:rsid w:val="00475341"/>
    <w:rsid w:val="00482F46"/>
    <w:rsid w:val="00493B39"/>
    <w:rsid w:val="004A3339"/>
    <w:rsid w:val="004A64D9"/>
    <w:rsid w:val="004A779A"/>
    <w:rsid w:val="004B180E"/>
    <w:rsid w:val="004B4DB7"/>
    <w:rsid w:val="004B6652"/>
    <w:rsid w:val="004C4CA9"/>
    <w:rsid w:val="004D1C6D"/>
    <w:rsid w:val="004D7902"/>
    <w:rsid w:val="004E0DEB"/>
    <w:rsid w:val="004E2184"/>
    <w:rsid w:val="004F0B20"/>
    <w:rsid w:val="004F2BF2"/>
    <w:rsid w:val="004F5416"/>
    <w:rsid w:val="005023E5"/>
    <w:rsid w:val="005025A1"/>
    <w:rsid w:val="005028AE"/>
    <w:rsid w:val="00502C4B"/>
    <w:rsid w:val="00504F2A"/>
    <w:rsid w:val="0050646D"/>
    <w:rsid w:val="005069EB"/>
    <w:rsid w:val="00510B85"/>
    <w:rsid w:val="00511B9E"/>
    <w:rsid w:val="00517295"/>
    <w:rsid w:val="00524FD7"/>
    <w:rsid w:val="00537651"/>
    <w:rsid w:val="0054017F"/>
    <w:rsid w:val="005413EC"/>
    <w:rsid w:val="0054337A"/>
    <w:rsid w:val="0054367D"/>
    <w:rsid w:val="00543833"/>
    <w:rsid w:val="00544F68"/>
    <w:rsid w:val="00545DDA"/>
    <w:rsid w:val="00551232"/>
    <w:rsid w:val="00554A1D"/>
    <w:rsid w:val="005572A0"/>
    <w:rsid w:val="00563767"/>
    <w:rsid w:val="0056596D"/>
    <w:rsid w:val="00565D19"/>
    <w:rsid w:val="005742F4"/>
    <w:rsid w:val="00576A0E"/>
    <w:rsid w:val="005838EB"/>
    <w:rsid w:val="00587E2B"/>
    <w:rsid w:val="00593444"/>
    <w:rsid w:val="005A1F41"/>
    <w:rsid w:val="005A5DB9"/>
    <w:rsid w:val="005A7862"/>
    <w:rsid w:val="005D2114"/>
    <w:rsid w:val="005E1359"/>
    <w:rsid w:val="005F1527"/>
    <w:rsid w:val="005F2966"/>
    <w:rsid w:val="005F4FEA"/>
    <w:rsid w:val="005F76D7"/>
    <w:rsid w:val="00602AF6"/>
    <w:rsid w:val="00606107"/>
    <w:rsid w:val="00613CD5"/>
    <w:rsid w:val="00623CBA"/>
    <w:rsid w:val="00625A31"/>
    <w:rsid w:val="00625EE7"/>
    <w:rsid w:val="00630528"/>
    <w:rsid w:val="0064615D"/>
    <w:rsid w:val="006643A3"/>
    <w:rsid w:val="00671256"/>
    <w:rsid w:val="00674196"/>
    <w:rsid w:val="006809B5"/>
    <w:rsid w:val="00685AE9"/>
    <w:rsid w:val="006921E1"/>
    <w:rsid w:val="00693D39"/>
    <w:rsid w:val="00693D5B"/>
    <w:rsid w:val="00697953"/>
    <w:rsid w:val="006A4C2C"/>
    <w:rsid w:val="006A7C75"/>
    <w:rsid w:val="006B66D0"/>
    <w:rsid w:val="006C0243"/>
    <w:rsid w:val="006C11B4"/>
    <w:rsid w:val="006C422D"/>
    <w:rsid w:val="006D033B"/>
    <w:rsid w:val="006D4601"/>
    <w:rsid w:val="006D55A6"/>
    <w:rsid w:val="006E63D0"/>
    <w:rsid w:val="006E63E0"/>
    <w:rsid w:val="006F1DE0"/>
    <w:rsid w:val="007056DC"/>
    <w:rsid w:val="00707BD3"/>
    <w:rsid w:val="00711B65"/>
    <w:rsid w:val="007141AB"/>
    <w:rsid w:val="0071609C"/>
    <w:rsid w:val="0071763D"/>
    <w:rsid w:val="00717B2D"/>
    <w:rsid w:val="007312ED"/>
    <w:rsid w:val="00736348"/>
    <w:rsid w:val="007418BF"/>
    <w:rsid w:val="0076215E"/>
    <w:rsid w:val="00763FBD"/>
    <w:rsid w:val="00770B9A"/>
    <w:rsid w:val="00777A7A"/>
    <w:rsid w:val="007846AB"/>
    <w:rsid w:val="007962A2"/>
    <w:rsid w:val="007A1A20"/>
    <w:rsid w:val="007A3DE1"/>
    <w:rsid w:val="007B2713"/>
    <w:rsid w:val="007C5AFA"/>
    <w:rsid w:val="007E438F"/>
    <w:rsid w:val="007F45F4"/>
    <w:rsid w:val="007F6914"/>
    <w:rsid w:val="00800DEF"/>
    <w:rsid w:val="00802F74"/>
    <w:rsid w:val="00830F75"/>
    <w:rsid w:val="00845357"/>
    <w:rsid w:val="00865790"/>
    <w:rsid w:val="00871FEF"/>
    <w:rsid w:val="00882F1A"/>
    <w:rsid w:val="008875A8"/>
    <w:rsid w:val="0089115D"/>
    <w:rsid w:val="008918B3"/>
    <w:rsid w:val="008959CF"/>
    <w:rsid w:val="008A1E7A"/>
    <w:rsid w:val="008A5555"/>
    <w:rsid w:val="008A5D39"/>
    <w:rsid w:val="008C0340"/>
    <w:rsid w:val="008C4246"/>
    <w:rsid w:val="008C7520"/>
    <w:rsid w:val="008D0226"/>
    <w:rsid w:val="008D325E"/>
    <w:rsid w:val="008D3CF2"/>
    <w:rsid w:val="008E664D"/>
    <w:rsid w:val="008F157E"/>
    <w:rsid w:val="008F4E07"/>
    <w:rsid w:val="008F4E61"/>
    <w:rsid w:val="00903506"/>
    <w:rsid w:val="009138E1"/>
    <w:rsid w:val="009156D1"/>
    <w:rsid w:val="00915D3E"/>
    <w:rsid w:val="0092401F"/>
    <w:rsid w:val="00925F15"/>
    <w:rsid w:val="00927850"/>
    <w:rsid w:val="00931D34"/>
    <w:rsid w:val="00934166"/>
    <w:rsid w:val="00934BF3"/>
    <w:rsid w:val="00942AA1"/>
    <w:rsid w:val="00951CE2"/>
    <w:rsid w:val="00953350"/>
    <w:rsid w:val="009603B9"/>
    <w:rsid w:val="009858FD"/>
    <w:rsid w:val="0099181C"/>
    <w:rsid w:val="00995A8D"/>
    <w:rsid w:val="00996881"/>
    <w:rsid w:val="009A2635"/>
    <w:rsid w:val="009B0228"/>
    <w:rsid w:val="009B1828"/>
    <w:rsid w:val="009B1BF6"/>
    <w:rsid w:val="009C2595"/>
    <w:rsid w:val="009C4F96"/>
    <w:rsid w:val="009D22F2"/>
    <w:rsid w:val="009D28CF"/>
    <w:rsid w:val="009D3DFE"/>
    <w:rsid w:val="009D6021"/>
    <w:rsid w:val="009D6C7C"/>
    <w:rsid w:val="009E2430"/>
    <w:rsid w:val="009E4416"/>
    <w:rsid w:val="009E680B"/>
    <w:rsid w:val="009E7948"/>
    <w:rsid w:val="009F10F3"/>
    <w:rsid w:val="009F3F33"/>
    <w:rsid w:val="009F4628"/>
    <w:rsid w:val="009F47D2"/>
    <w:rsid w:val="009F5502"/>
    <w:rsid w:val="009F7239"/>
    <w:rsid w:val="00A01156"/>
    <w:rsid w:val="00A0372E"/>
    <w:rsid w:val="00A03EFD"/>
    <w:rsid w:val="00A06649"/>
    <w:rsid w:val="00A07923"/>
    <w:rsid w:val="00A10F80"/>
    <w:rsid w:val="00A15A1F"/>
    <w:rsid w:val="00A15D30"/>
    <w:rsid w:val="00A25F36"/>
    <w:rsid w:val="00A27753"/>
    <w:rsid w:val="00A327CE"/>
    <w:rsid w:val="00A3325A"/>
    <w:rsid w:val="00A41399"/>
    <w:rsid w:val="00A46165"/>
    <w:rsid w:val="00A46305"/>
    <w:rsid w:val="00A4675C"/>
    <w:rsid w:val="00A56D4A"/>
    <w:rsid w:val="00A63C31"/>
    <w:rsid w:val="00A707C3"/>
    <w:rsid w:val="00A7191E"/>
    <w:rsid w:val="00A74673"/>
    <w:rsid w:val="00A753B8"/>
    <w:rsid w:val="00A756BB"/>
    <w:rsid w:val="00A77E18"/>
    <w:rsid w:val="00A80CC5"/>
    <w:rsid w:val="00A861F5"/>
    <w:rsid w:val="00AA2B6D"/>
    <w:rsid w:val="00AA6635"/>
    <w:rsid w:val="00AB72DC"/>
    <w:rsid w:val="00AB73F0"/>
    <w:rsid w:val="00AC3860"/>
    <w:rsid w:val="00AC6EA8"/>
    <w:rsid w:val="00AD08E5"/>
    <w:rsid w:val="00AE7C91"/>
    <w:rsid w:val="00AE7DC4"/>
    <w:rsid w:val="00AF108A"/>
    <w:rsid w:val="00B02E55"/>
    <w:rsid w:val="00B03E79"/>
    <w:rsid w:val="00B05BFE"/>
    <w:rsid w:val="00B10733"/>
    <w:rsid w:val="00B11C4C"/>
    <w:rsid w:val="00B12CA9"/>
    <w:rsid w:val="00B12DD5"/>
    <w:rsid w:val="00B1359B"/>
    <w:rsid w:val="00B2228D"/>
    <w:rsid w:val="00B253F7"/>
    <w:rsid w:val="00B259D3"/>
    <w:rsid w:val="00B26B7A"/>
    <w:rsid w:val="00B2721B"/>
    <w:rsid w:val="00B32C61"/>
    <w:rsid w:val="00B32FD8"/>
    <w:rsid w:val="00B43CA9"/>
    <w:rsid w:val="00B51A60"/>
    <w:rsid w:val="00B564E5"/>
    <w:rsid w:val="00B57F9B"/>
    <w:rsid w:val="00B67EF6"/>
    <w:rsid w:val="00B7371D"/>
    <w:rsid w:val="00B73F4E"/>
    <w:rsid w:val="00B8205D"/>
    <w:rsid w:val="00B9454F"/>
    <w:rsid w:val="00B9594A"/>
    <w:rsid w:val="00BA7D8F"/>
    <w:rsid w:val="00BB0E43"/>
    <w:rsid w:val="00BB19DE"/>
    <w:rsid w:val="00BC3E45"/>
    <w:rsid w:val="00BC6DEF"/>
    <w:rsid w:val="00BD3372"/>
    <w:rsid w:val="00BD4083"/>
    <w:rsid w:val="00BD4F8D"/>
    <w:rsid w:val="00BE06C1"/>
    <w:rsid w:val="00BE41F0"/>
    <w:rsid w:val="00BE5835"/>
    <w:rsid w:val="00BE67CC"/>
    <w:rsid w:val="00BF2D7E"/>
    <w:rsid w:val="00BF7FE0"/>
    <w:rsid w:val="00C05518"/>
    <w:rsid w:val="00C07217"/>
    <w:rsid w:val="00C14F5F"/>
    <w:rsid w:val="00C21130"/>
    <w:rsid w:val="00C2686C"/>
    <w:rsid w:val="00C271CC"/>
    <w:rsid w:val="00C279A3"/>
    <w:rsid w:val="00C315C2"/>
    <w:rsid w:val="00C32D91"/>
    <w:rsid w:val="00C35B50"/>
    <w:rsid w:val="00C4762D"/>
    <w:rsid w:val="00C47DDE"/>
    <w:rsid w:val="00C61A54"/>
    <w:rsid w:val="00C653E4"/>
    <w:rsid w:val="00C6604E"/>
    <w:rsid w:val="00C67993"/>
    <w:rsid w:val="00C76752"/>
    <w:rsid w:val="00C802A6"/>
    <w:rsid w:val="00C80C8C"/>
    <w:rsid w:val="00C9333C"/>
    <w:rsid w:val="00C97FC6"/>
    <w:rsid w:val="00CA4909"/>
    <w:rsid w:val="00CA5519"/>
    <w:rsid w:val="00CA556C"/>
    <w:rsid w:val="00CB7356"/>
    <w:rsid w:val="00CB7F99"/>
    <w:rsid w:val="00CC60E2"/>
    <w:rsid w:val="00CF3EEC"/>
    <w:rsid w:val="00CF58B7"/>
    <w:rsid w:val="00D1433B"/>
    <w:rsid w:val="00D145A7"/>
    <w:rsid w:val="00D15F34"/>
    <w:rsid w:val="00D303E7"/>
    <w:rsid w:val="00D351C1"/>
    <w:rsid w:val="00D4147E"/>
    <w:rsid w:val="00D74C45"/>
    <w:rsid w:val="00D84960"/>
    <w:rsid w:val="00D854C6"/>
    <w:rsid w:val="00D86BF0"/>
    <w:rsid w:val="00D95C78"/>
    <w:rsid w:val="00DA3F0F"/>
    <w:rsid w:val="00DA5082"/>
    <w:rsid w:val="00DA547B"/>
    <w:rsid w:val="00DB42B2"/>
    <w:rsid w:val="00DC2F9F"/>
    <w:rsid w:val="00DC4041"/>
    <w:rsid w:val="00DD6AC4"/>
    <w:rsid w:val="00DD730C"/>
    <w:rsid w:val="00DE2C8D"/>
    <w:rsid w:val="00DE44BB"/>
    <w:rsid w:val="00E01790"/>
    <w:rsid w:val="00E1328B"/>
    <w:rsid w:val="00E2231C"/>
    <w:rsid w:val="00E2445B"/>
    <w:rsid w:val="00E267A0"/>
    <w:rsid w:val="00E336B6"/>
    <w:rsid w:val="00E446F8"/>
    <w:rsid w:val="00E45B21"/>
    <w:rsid w:val="00E51920"/>
    <w:rsid w:val="00E53692"/>
    <w:rsid w:val="00E53976"/>
    <w:rsid w:val="00E56D17"/>
    <w:rsid w:val="00E60B78"/>
    <w:rsid w:val="00E64120"/>
    <w:rsid w:val="00E83D6E"/>
    <w:rsid w:val="00E9105E"/>
    <w:rsid w:val="00E91144"/>
    <w:rsid w:val="00EA20F5"/>
    <w:rsid w:val="00EA2507"/>
    <w:rsid w:val="00EA53E3"/>
    <w:rsid w:val="00EA58D3"/>
    <w:rsid w:val="00EC496A"/>
    <w:rsid w:val="00EE0652"/>
    <w:rsid w:val="00EE07DA"/>
    <w:rsid w:val="00EE44C5"/>
    <w:rsid w:val="00EF5FBC"/>
    <w:rsid w:val="00EF6BCB"/>
    <w:rsid w:val="00F03E83"/>
    <w:rsid w:val="00F055F1"/>
    <w:rsid w:val="00F228CA"/>
    <w:rsid w:val="00F3265C"/>
    <w:rsid w:val="00F349FB"/>
    <w:rsid w:val="00F41CC6"/>
    <w:rsid w:val="00F63030"/>
    <w:rsid w:val="00F8391D"/>
    <w:rsid w:val="00F858CA"/>
    <w:rsid w:val="00F86483"/>
    <w:rsid w:val="00F957CF"/>
    <w:rsid w:val="00FA0B3F"/>
    <w:rsid w:val="00FA1B95"/>
    <w:rsid w:val="00FA3C45"/>
    <w:rsid w:val="00FA58FB"/>
    <w:rsid w:val="00FB4B66"/>
    <w:rsid w:val="00FB6A22"/>
    <w:rsid w:val="00FC10ED"/>
    <w:rsid w:val="00FC1ACF"/>
    <w:rsid w:val="00FC2D11"/>
    <w:rsid w:val="00FC475A"/>
    <w:rsid w:val="00FC6230"/>
    <w:rsid w:val="00FD0A3E"/>
    <w:rsid w:val="00FD1CF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0BC982"/>
  <w15:docId w15:val="{1593CA28-79F7-4CD3-A2A1-2749AC6F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ind w:left="397" w:hanging="397"/>
    </w:pPr>
  </w:style>
  <w:style w:type="character" w:customStyle="1" w:styleId="NumberedheadingChar">
    <w:name w:val="Numbered heading Char"/>
    <w:link w:val="Numberedheading"/>
    <w:rsid w:val="00510B85"/>
    <w:rPr>
      <w:rFonts w:ascii="Arial" w:hAnsi="Arial" w:cs="Arial"/>
      <w:b/>
      <w:bCs/>
      <w:iCs/>
      <w:sz w:val="24"/>
      <w:szCs w:val="28"/>
      <w:lang w:eastAsia="en-US"/>
    </w:rPr>
  </w:style>
  <w:style w:type="paragraph" w:styleId="ListNumber2">
    <w:name w:val="List Number 2"/>
    <w:basedOn w:val="Normal"/>
    <w:semiHidden/>
    <w:rsid w:val="00BC3E45"/>
    <w:pPr>
      <w:numPr>
        <w:numId w:val="14"/>
      </w:numPr>
      <w:contextualSpacing/>
    </w:pPr>
  </w:style>
  <w:style w:type="paragraph" w:customStyle="1" w:styleId="numbered-paragraph">
    <w:name w:val="numbered-paragraph"/>
    <w:basedOn w:val="Normal"/>
    <w:rsid w:val="00E60B78"/>
    <w:pPr>
      <w:spacing w:after="180"/>
    </w:pPr>
    <w:rPr>
      <w:rFonts w:ascii="Times New Roman" w:hAnsi="Times New Roman" w:cs="Times New Roman"/>
      <w:lang w:eastAsia="en-GB"/>
    </w:rPr>
  </w:style>
  <w:style w:type="character" w:styleId="FollowedHyperlink">
    <w:name w:val="FollowedHyperlink"/>
    <w:basedOn w:val="DefaultParagraphFont"/>
    <w:semiHidden/>
    <w:unhideWhenUsed/>
    <w:rsid w:val="00B12DD5"/>
    <w:rPr>
      <w:color w:val="800080" w:themeColor="followedHyperlink"/>
      <w:u w:val="single"/>
    </w:rPr>
  </w:style>
  <w:style w:type="character" w:styleId="UnresolvedMention">
    <w:name w:val="Unresolved Mention"/>
    <w:basedOn w:val="DefaultParagraphFont"/>
    <w:uiPriority w:val="99"/>
    <w:semiHidden/>
    <w:unhideWhenUsed/>
    <w:rsid w:val="00A6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urnals.sagepub.com/doi/10.1177/1932296819849478" TargetMode="External"/><Relationship Id="rId4" Type="http://schemas.openxmlformats.org/officeDocument/2006/relationships/settings" Target="settings.xml"/><Relationship Id="rId9" Type="http://schemas.openxmlformats.org/officeDocument/2006/relationships/hyperlink" Target="https://www.researchprotocols.org/2018/4/e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78AA6-06A7-4AE2-B832-0B54E4AD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D4A9C966</Template>
  <TotalTime>20</TotalTime>
  <Pages>8</Pages>
  <Words>1750</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11687</CharactersWithSpaces>
  <SharedDoc>false</SharedDoc>
  <HLinks>
    <vt:vector size="6" baseType="variant">
      <vt:variant>
        <vt:i4>524359</vt:i4>
      </vt:variant>
      <vt:variant>
        <vt:i4>21</vt:i4>
      </vt:variant>
      <vt:variant>
        <vt:i4>0</vt:i4>
      </vt:variant>
      <vt:variant>
        <vt:i4>5</vt:i4>
      </vt:variant>
      <vt:variant>
        <vt:lpwstr>D:\Documents and Settings\SRobinson\Local Settings\Temporary Internet Files\0 - Renal_urinary\85 - Renal transplantation - immuno-suppressive regimens\Submissions\Invitations\Appendix A - Final scope.doc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Dillon</dc:creator>
  <cp:lastModifiedBy>Christopher Pomfrett</cp:lastModifiedBy>
  <cp:revision>8</cp:revision>
  <cp:lastPrinted>2015-10-19T14:06:00Z</cp:lastPrinted>
  <dcterms:created xsi:type="dcterms:W3CDTF">2019-07-18T12:51:00Z</dcterms:created>
  <dcterms:modified xsi:type="dcterms:W3CDTF">2019-07-23T09:22:00Z</dcterms:modified>
</cp:coreProperties>
</file>