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9BA" w:rsidRPr="007E5C56" w:rsidRDefault="007F49BA" w:rsidP="00E77312">
      <w:pPr>
        <w:pStyle w:val="Title2"/>
      </w:pPr>
      <w:bookmarkStart w:id="0" w:name="_GoBack"/>
      <w:bookmarkEnd w:id="0"/>
      <w:r w:rsidRPr="007E5C56">
        <w:t>NATIONAL INSTITUTE FOR HEALTH AND C</w:t>
      </w:r>
      <w:r w:rsidR="00E3268C" w:rsidRPr="007E5C56">
        <w:t>ARE</w:t>
      </w:r>
      <w:r w:rsidRPr="007E5C56">
        <w:t xml:space="preserve"> EXCELLENCE</w:t>
      </w:r>
    </w:p>
    <w:p w:rsidR="007F49BA" w:rsidRPr="007E5C56" w:rsidRDefault="007F49BA" w:rsidP="00E77312">
      <w:pPr>
        <w:pStyle w:val="Title2"/>
      </w:pPr>
      <w:r w:rsidRPr="007E5C56">
        <w:t>Medical technology consultation document</w:t>
      </w:r>
    </w:p>
    <w:p w:rsidR="007F49BA" w:rsidRPr="007E5C56" w:rsidRDefault="00026587" w:rsidP="007F49BA">
      <w:pPr>
        <w:pStyle w:val="Title1"/>
      </w:pPr>
      <w:bookmarkStart w:id="1" w:name="Text65"/>
      <w:r w:rsidRPr="007E5C56">
        <w:t>Spectra Optia for automated red blood cell exchange in patients with sickle cell disease</w:t>
      </w:r>
      <w:bookmarkEnd w:id="1"/>
    </w:p>
    <w:p w:rsidR="007F49BA" w:rsidRPr="007E5C56" w:rsidRDefault="007F49BA" w:rsidP="007F49BA">
      <w:pPr>
        <w:pStyle w:val="Introtext"/>
      </w:pPr>
      <w:r w:rsidRPr="007E5C56">
        <w:t>The National Institute for Health and C</w:t>
      </w:r>
      <w:r w:rsidR="00E3268C" w:rsidRPr="007E5C56">
        <w:t>are</w:t>
      </w:r>
      <w:r w:rsidRPr="007E5C56">
        <w:t xml:space="preserve"> Excellence (NICE) is producing guidance on using </w:t>
      </w:r>
      <w:r w:rsidR="00026587" w:rsidRPr="007E5C56">
        <w:t>Spectra Optia for automated red blood cell exchange in patients with sickle cell disease</w:t>
      </w:r>
      <w:r w:rsidRPr="007E5C56">
        <w:t xml:space="preserve"> in the NHS in England. The Medical Technologies Advisory Committee has considered the evidence submitted and the views of expert advisers.</w:t>
      </w:r>
    </w:p>
    <w:p w:rsidR="007F49BA" w:rsidRPr="007E5C56" w:rsidRDefault="007F49BA" w:rsidP="007F49BA">
      <w:pPr>
        <w:pStyle w:val="Introtext"/>
      </w:pPr>
      <w:r w:rsidRPr="007E5C56">
        <w:t>This document has been prepared for public consultation. It summarises the evidence and views that have been considered, and sets out the draft recommendations made by the Committee. NICE invites comments from the public. This document should be read along with the evidence base (</w:t>
      </w:r>
      <w:r w:rsidR="00B57246" w:rsidRPr="007E5C56">
        <w:t>see</w:t>
      </w:r>
      <w:r w:rsidR="00E46358" w:rsidRPr="007E5C56">
        <w:t xml:space="preserve"> Sources of evidence considered by the Committee</w:t>
      </w:r>
      <w:r w:rsidRPr="007E5C56">
        <w:t xml:space="preserve">). </w:t>
      </w:r>
    </w:p>
    <w:p w:rsidR="007F49BA" w:rsidRPr="007E5C56" w:rsidRDefault="007F49BA" w:rsidP="007F49BA">
      <w:pPr>
        <w:pStyle w:val="Introtext"/>
      </w:pPr>
      <w:r w:rsidRPr="007E5C56">
        <w:t>The Advisory Committee is interested in receiving comments on the following:</w:t>
      </w:r>
    </w:p>
    <w:p w:rsidR="007F49BA" w:rsidRPr="007E5C56" w:rsidRDefault="007F49BA" w:rsidP="007F49BA">
      <w:pPr>
        <w:pStyle w:val="Introtextbullet"/>
      </w:pPr>
      <w:r w:rsidRPr="007E5C56">
        <w:t>Has all of the relevant evidence been taken into account?</w:t>
      </w:r>
    </w:p>
    <w:p w:rsidR="007F49BA" w:rsidRPr="007E5C56" w:rsidRDefault="007F49BA" w:rsidP="007F49BA">
      <w:pPr>
        <w:pStyle w:val="Introtextbullet"/>
      </w:pPr>
      <w:r w:rsidRPr="007E5C56">
        <w:t>Are the summaries of clinical effectiveness and resource savings reasonable interpretations of the evidence?</w:t>
      </w:r>
    </w:p>
    <w:p w:rsidR="007F49BA" w:rsidRPr="007E5C56" w:rsidRDefault="007F49BA" w:rsidP="007F49BA">
      <w:pPr>
        <w:pStyle w:val="Introtextbullet"/>
      </w:pPr>
      <w:r w:rsidRPr="007E5C56">
        <w:t>Are the provisional recommendations sound, and a suitable basis for guidance to the NHS?</w:t>
      </w:r>
    </w:p>
    <w:p w:rsidR="007F49BA" w:rsidRPr="007E5C56" w:rsidRDefault="007F49BA" w:rsidP="007F49BA">
      <w:pPr>
        <w:pStyle w:val="Introtextbullet"/>
      </w:pPr>
      <w:r w:rsidRPr="007E5C56">
        <w:t>Are there any equality issues that need special consideration and are not covered in the medical technolog</w:t>
      </w:r>
      <w:r w:rsidR="0055078F" w:rsidRPr="007E5C56">
        <w:t>y</w:t>
      </w:r>
      <w:r w:rsidRPr="007E5C56">
        <w:t xml:space="preserve"> consultation document?</w:t>
      </w:r>
    </w:p>
    <w:p w:rsidR="007F49BA" w:rsidRPr="007E5C56" w:rsidRDefault="007F49BA" w:rsidP="007F49BA">
      <w:pPr>
        <w:pStyle w:val="Introtext"/>
      </w:pPr>
      <w:r w:rsidRPr="007E5C56">
        <w:rPr>
          <w:b/>
        </w:rPr>
        <w:t xml:space="preserve">Note that this document is not NICE's final guidance on </w:t>
      </w:r>
      <w:r w:rsidR="00026587" w:rsidRPr="007E5C56">
        <w:rPr>
          <w:b/>
        </w:rPr>
        <w:t>Spectra Optia for automated red blood cell exchange in patients with sickle cell disease</w:t>
      </w:r>
      <w:r w:rsidRPr="007E5C56">
        <w:rPr>
          <w:b/>
        </w:rPr>
        <w:t>. The recommendations in section 1 may change after consultation.</w:t>
      </w:r>
      <w:r w:rsidRPr="007E5C56">
        <w:t xml:space="preserve"> After consultation the Committee will meet again to consider the evidence, this document and comments from public consultation. After considering these comments, the Committee will prepare its final recommendations which will be the basis for NICE’s guidance on the use of the technology in the NHS in England. </w:t>
      </w:r>
    </w:p>
    <w:p w:rsidR="007F49BA" w:rsidRPr="007E5C56" w:rsidRDefault="007F49BA" w:rsidP="007F49BA">
      <w:pPr>
        <w:pStyle w:val="Introtext"/>
      </w:pPr>
      <w:r w:rsidRPr="007E5C56">
        <w:t xml:space="preserve">For further details, see the </w:t>
      </w:r>
      <w:hyperlink r:id="rId9" w:history="1">
        <w:r w:rsidR="0055078F" w:rsidRPr="007E5C56">
          <w:rPr>
            <w:rStyle w:val="Hyperlink"/>
          </w:rPr>
          <w:t>Medical Technologies Evaluation Programme process guide</w:t>
        </w:r>
      </w:hyperlink>
      <w:r w:rsidR="00E46358" w:rsidRPr="007E5C56">
        <w:t xml:space="preserve"> and </w:t>
      </w:r>
      <w:hyperlink r:id="rId10" w:history="1">
        <w:r w:rsidR="00E93208" w:rsidRPr="007E5C56">
          <w:rPr>
            <w:rStyle w:val="Hyperlink"/>
          </w:rPr>
          <w:t>Medical Technologies Evaluation Programme methods guide</w:t>
        </w:r>
      </w:hyperlink>
      <w:r w:rsidRPr="007E5C56">
        <w:t>.</w:t>
      </w:r>
    </w:p>
    <w:p w:rsidR="007F49BA" w:rsidRPr="007E5C56" w:rsidRDefault="007F49BA" w:rsidP="007F49BA">
      <w:pPr>
        <w:pStyle w:val="Introtext"/>
      </w:pPr>
      <w:r w:rsidRPr="007E5C56">
        <w:t>Key dates:</w:t>
      </w:r>
    </w:p>
    <w:p w:rsidR="007F49BA" w:rsidRPr="007E5C56" w:rsidRDefault="007F49BA" w:rsidP="007F49BA">
      <w:pPr>
        <w:pStyle w:val="Introtextbullet"/>
      </w:pPr>
      <w:r w:rsidRPr="007E5C56">
        <w:t xml:space="preserve">Closing time and date for comments: </w:t>
      </w:r>
      <w:r w:rsidR="00521116">
        <w:t>17:00 16 November 2015</w:t>
      </w:r>
    </w:p>
    <w:p w:rsidR="007F49BA" w:rsidRPr="007E5C56" w:rsidRDefault="007F49BA" w:rsidP="007F49BA">
      <w:pPr>
        <w:pStyle w:val="Introtextbullet"/>
      </w:pPr>
      <w:r w:rsidRPr="007E5C56">
        <w:lastRenderedPageBreak/>
        <w:t xml:space="preserve">Second Medical Technologies Advisory Committee meeting: </w:t>
      </w:r>
      <w:r w:rsidR="00521116">
        <w:t>17 December 2015</w:t>
      </w:r>
    </w:p>
    <w:p w:rsidR="00312877" w:rsidRPr="007E5C56" w:rsidRDefault="00312877" w:rsidP="00312877">
      <w:pPr>
        <w:pStyle w:val="NICE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312877" w:rsidRPr="007E5C56" w:rsidTr="008A570C">
        <w:tc>
          <w:tcPr>
            <w:tcW w:w="8529" w:type="dxa"/>
            <w:shd w:val="clear" w:color="auto" w:fill="auto"/>
          </w:tcPr>
          <w:p w:rsidR="00312877" w:rsidRPr="007E5C56" w:rsidRDefault="00312877" w:rsidP="002C6396">
            <w:pPr>
              <w:pStyle w:val="NICEnormalsinglespacing"/>
            </w:pPr>
            <w:r w:rsidRPr="007E5C56">
              <w:t xml:space="preserve">NICE medical technologies guidance addresses specific technologies notified to NICE by sponsors. The ‘case for adoption’ is based on the claimed advantages of introducing the specific technology compared with current management of the condition. This case is reviewed against the evidence submitted and expert advice. If the case for adopting the technology is supported, then the technology has been found to offer advantages to patients and the NHS. The specific recommendations on individual technologies are not intended to limit use of other relevant technologies which may offer similar advantages. </w:t>
            </w:r>
          </w:p>
        </w:tc>
      </w:tr>
    </w:tbl>
    <w:p w:rsidR="007F49BA" w:rsidRPr="007E5C56" w:rsidRDefault="007F49BA" w:rsidP="00070B9C">
      <w:pPr>
        <w:pStyle w:val="Numberedheading1"/>
        <w:rPr>
          <w:lang w:val="en-GB"/>
        </w:rPr>
      </w:pPr>
      <w:r w:rsidRPr="007E5C56">
        <w:rPr>
          <w:lang w:val="en-GB"/>
        </w:rPr>
        <w:t>Provisional recommendations</w:t>
      </w:r>
    </w:p>
    <w:p w:rsidR="00F53821" w:rsidRDefault="007F49BA" w:rsidP="00070B9C">
      <w:pPr>
        <w:pStyle w:val="Numberedlevel2text"/>
        <w:numPr>
          <w:ilvl w:val="1"/>
          <w:numId w:val="1"/>
        </w:numPr>
        <w:rPr>
          <w:lang w:val="en-GB"/>
        </w:rPr>
      </w:pPr>
      <w:r w:rsidRPr="007E5C56">
        <w:rPr>
          <w:lang w:val="en-GB"/>
        </w:rPr>
        <w:t xml:space="preserve">The case for adopting </w:t>
      </w:r>
      <w:r w:rsidR="00130A69">
        <w:rPr>
          <w:lang w:val="en-GB"/>
        </w:rPr>
        <w:t>Spectra Optia</w:t>
      </w:r>
      <w:r w:rsidR="00026587" w:rsidRPr="007E5C56">
        <w:rPr>
          <w:lang w:val="en-GB"/>
        </w:rPr>
        <w:t xml:space="preserve"> for automated red blood cell exchange in patients with sickle cell disease</w:t>
      </w:r>
      <w:r w:rsidR="00070B9C" w:rsidRPr="007E5C56">
        <w:rPr>
          <w:lang w:val="en-GB"/>
        </w:rPr>
        <w:t xml:space="preserve"> </w:t>
      </w:r>
      <w:r w:rsidRPr="007E5C56">
        <w:rPr>
          <w:lang w:val="en-GB"/>
        </w:rPr>
        <w:t>is supported by the evidence</w:t>
      </w:r>
      <w:r w:rsidR="007717F9">
        <w:rPr>
          <w:lang w:val="en-GB"/>
        </w:rPr>
        <w:t xml:space="preserve">. </w:t>
      </w:r>
      <w:r w:rsidR="00130A69">
        <w:rPr>
          <w:lang w:val="en-GB"/>
        </w:rPr>
        <w:t>Spectra Optia</w:t>
      </w:r>
      <w:r w:rsidR="00C55CB6">
        <w:rPr>
          <w:lang w:val="en-GB"/>
        </w:rPr>
        <w:t xml:space="preserve"> </w:t>
      </w:r>
      <w:r w:rsidR="009F4F18">
        <w:rPr>
          <w:lang w:val="en-GB"/>
        </w:rPr>
        <w:t>is faster</w:t>
      </w:r>
      <w:r w:rsidR="004908EC">
        <w:rPr>
          <w:lang w:val="en-GB"/>
        </w:rPr>
        <w:t xml:space="preserve"> to use</w:t>
      </w:r>
      <w:r w:rsidR="009F4F18">
        <w:rPr>
          <w:lang w:val="en-GB"/>
        </w:rPr>
        <w:t xml:space="preserve"> and needs to be done less often than </w:t>
      </w:r>
      <w:r w:rsidR="00C55CB6">
        <w:rPr>
          <w:lang w:val="en-GB"/>
        </w:rPr>
        <w:t xml:space="preserve">manual red blood cell exchange. </w:t>
      </w:r>
    </w:p>
    <w:p w:rsidR="00012B4B" w:rsidRDefault="00130A69" w:rsidP="00EB4695">
      <w:pPr>
        <w:pStyle w:val="Numberedlevel2text"/>
        <w:numPr>
          <w:ilvl w:val="1"/>
          <w:numId w:val="1"/>
        </w:numPr>
        <w:rPr>
          <w:lang w:val="en-GB"/>
        </w:rPr>
      </w:pPr>
      <w:r>
        <w:rPr>
          <w:lang w:val="en-GB"/>
        </w:rPr>
        <w:t>Spectra Optia</w:t>
      </w:r>
      <w:r w:rsidR="00F53821" w:rsidRPr="005259D2">
        <w:rPr>
          <w:lang w:val="en-GB"/>
        </w:rPr>
        <w:t xml:space="preserve"> should be considered for </w:t>
      </w:r>
      <w:r w:rsidR="00F53821">
        <w:rPr>
          <w:lang w:val="en-GB"/>
        </w:rPr>
        <w:t xml:space="preserve">automated red blood cell exchange in patients with sickle cell disease </w:t>
      </w:r>
      <w:r w:rsidR="005F613B">
        <w:rPr>
          <w:lang w:val="en-GB"/>
        </w:rPr>
        <w:t>who need regular transfusion</w:t>
      </w:r>
      <w:r w:rsidR="00F53821">
        <w:rPr>
          <w:lang w:val="en-GB"/>
        </w:rPr>
        <w:t>.</w:t>
      </w:r>
      <w:r w:rsidR="00F53821" w:rsidRPr="005259D2">
        <w:rPr>
          <w:lang w:val="en-GB"/>
        </w:rPr>
        <w:t xml:space="preserve"> </w:t>
      </w:r>
    </w:p>
    <w:p w:rsidR="00D222A1" w:rsidRPr="00C55CB6" w:rsidRDefault="00D56E28" w:rsidP="009946B6">
      <w:pPr>
        <w:pStyle w:val="Numberedlevel2text"/>
      </w:pPr>
      <w:r w:rsidRPr="00C55CB6">
        <w:t xml:space="preserve">Cost </w:t>
      </w:r>
      <w:r w:rsidR="000C19B3" w:rsidRPr="00C55CB6">
        <w:t xml:space="preserve">modelling </w:t>
      </w:r>
      <w:r w:rsidR="009F4F18">
        <w:t>shows</w:t>
      </w:r>
      <w:r w:rsidR="009F4F18" w:rsidRPr="00C55CB6">
        <w:t xml:space="preserve"> </w:t>
      </w:r>
      <w:r w:rsidR="000C19B3" w:rsidRPr="00C55CB6">
        <w:t xml:space="preserve">that using </w:t>
      </w:r>
      <w:r w:rsidR="00130A69">
        <w:t>Spectra Optia</w:t>
      </w:r>
      <w:r w:rsidR="000C19B3" w:rsidRPr="00C55CB6">
        <w:t xml:space="preserve"> </w:t>
      </w:r>
      <w:r w:rsidR="009F4F18">
        <w:t>is cost saving</w:t>
      </w:r>
      <w:r w:rsidR="000C19B3" w:rsidRPr="00C55CB6">
        <w:t xml:space="preserve"> in most patients compared with manual</w:t>
      </w:r>
      <w:r w:rsidR="005F613B">
        <w:t xml:space="preserve"> red blood cell </w:t>
      </w:r>
      <w:r w:rsidR="000C19B3" w:rsidRPr="00C55CB6">
        <w:t xml:space="preserve">exchange </w:t>
      </w:r>
      <w:r w:rsidR="00B2245A">
        <w:t>or</w:t>
      </w:r>
      <w:r w:rsidR="00B2245A" w:rsidRPr="00C55CB6">
        <w:t xml:space="preserve"> </w:t>
      </w:r>
      <w:r w:rsidR="000C19B3" w:rsidRPr="00C55CB6">
        <w:t xml:space="preserve">top-up transfusion. </w:t>
      </w:r>
      <w:r w:rsidR="00E1484D" w:rsidRPr="003643AE">
        <w:rPr>
          <w:lang w:val="en-GB"/>
        </w:rPr>
        <w:t xml:space="preserve">The savings </w:t>
      </w:r>
      <w:r w:rsidR="00E1484D">
        <w:t xml:space="preserve">depend on the iron overload status of the patient, and </w:t>
      </w:r>
      <w:r w:rsidR="00E1484D" w:rsidRPr="003643AE">
        <w:rPr>
          <w:lang w:val="en-GB"/>
        </w:rPr>
        <w:t xml:space="preserve">are more likely </w:t>
      </w:r>
      <w:r w:rsidR="00E1484D">
        <w:rPr>
          <w:lang w:val="en-GB"/>
        </w:rPr>
        <w:t xml:space="preserve">to be achieved </w:t>
      </w:r>
      <w:r w:rsidR="00E1484D" w:rsidRPr="003643AE">
        <w:rPr>
          <w:lang w:val="en-GB"/>
        </w:rPr>
        <w:t xml:space="preserve">if devices already owned by the NHS can </w:t>
      </w:r>
      <w:r w:rsidR="00E1484D">
        <w:rPr>
          <w:lang w:val="en-GB"/>
        </w:rPr>
        <w:t xml:space="preserve">also </w:t>
      </w:r>
      <w:r w:rsidR="00E1484D" w:rsidRPr="003643AE">
        <w:rPr>
          <w:lang w:val="en-GB"/>
        </w:rPr>
        <w:t xml:space="preserve">be </w:t>
      </w:r>
      <w:r w:rsidR="006B3B0A">
        <w:rPr>
          <w:lang w:val="en-GB"/>
        </w:rPr>
        <w:t>used</w:t>
      </w:r>
      <w:r w:rsidR="006B3B0A" w:rsidRPr="003643AE">
        <w:rPr>
          <w:lang w:val="en-GB"/>
        </w:rPr>
        <w:t xml:space="preserve"> </w:t>
      </w:r>
      <w:r w:rsidR="00D85DB9">
        <w:rPr>
          <w:lang w:val="en-GB"/>
        </w:rPr>
        <w:t>to treat</w:t>
      </w:r>
      <w:r w:rsidR="00E1484D">
        <w:rPr>
          <w:lang w:val="en-GB"/>
        </w:rPr>
        <w:t xml:space="preserve"> sickle cell disease</w:t>
      </w:r>
      <w:r w:rsidR="00E1484D">
        <w:t xml:space="preserve">. </w:t>
      </w:r>
      <w:r w:rsidR="00330CC5">
        <w:rPr>
          <w:lang w:val="en-GB"/>
        </w:rPr>
        <w:t>Uncer</w:t>
      </w:r>
      <w:r w:rsidR="00941946">
        <w:rPr>
          <w:lang w:val="en-GB"/>
        </w:rPr>
        <w:t>tainties in the cost model for adopting Spectra Opti</w:t>
      </w:r>
      <w:r w:rsidR="00330CC5">
        <w:rPr>
          <w:lang w:val="en-GB"/>
        </w:rPr>
        <w:t xml:space="preserve">a lead to a wide range of estimated </w:t>
      </w:r>
      <w:r w:rsidR="009946B6">
        <w:rPr>
          <w:lang w:val="en-GB"/>
        </w:rPr>
        <w:t>cost</w:t>
      </w:r>
      <w:r w:rsidR="0026748D">
        <w:rPr>
          <w:lang w:val="en-GB"/>
        </w:rPr>
        <w:t xml:space="preserve"> consequences</w:t>
      </w:r>
      <w:r w:rsidR="00330CC5">
        <w:rPr>
          <w:lang w:val="en-GB"/>
        </w:rPr>
        <w:t>,</w:t>
      </w:r>
      <w:r w:rsidR="009946B6" w:rsidRPr="009946B6">
        <w:rPr>
          <w:lang w:val="en-GB"/>
        </w:rPr>
        <w:t xml:space="preserve"> from a saving of £96,512 per patient per year to an additional cost of £6</w:t>
      </w:r>
      <w:r w:rsidR="009946B6">
        <w:rPr>
          <w:lang w:val="en-GB"/>
        </w:rPr>
        <w:t>,</w:t>
      </w:r>
      <w:r w:rsidR="009946B6" w:rsidRPr="009946B6">
        <w:rPr>
          <w:lang w:val="en-GB"/>
        </w:rPr>
        <w:t xml:space="preserve">046 per patient per year compared with manual exchange </w:t>
      </w:r>
      <w:r w:rsidR="001A3531">
        <w:t>(see</w:t>
      </w:r>
      <w:r w:rsidR="00B23B81">
        <w:t xml:space="preserve"> table 2a in</w:t>
      </w:r>
      <w:r w:rsidR="001A3531">
        <w:t xml:space="preserve"> section 5.14)</w:t>
      </w:r>
      <w:r w:rsidR="00790B32" w:rsidRPr="0008241D">
        <w:rPr>
          <w:lang w:val="en-GB"/>
        </w:rPr>
        <w:t xml:space="preserve">. </w:t>
      </w:r>
      <w:r w:rsidR="00FC5108">
        <w:rPr>
          <w:lang w:val="en-GB"/>
        </w:rPr>
        <w:t xml:space="preserve"> </w:t>
      </w:r>
    </w:p>
    <w:p w:rsidR="007F49BA" w:rsidRPr="007E5C56" w:rsidRDefault="00470274" w:rsidP="00070B9C">
      <w:pPr>
        <w:pStyle w:val="Numberedlevel2text"/>
        <w:rPr>
          <w:lang w:val="en-GB"/>
        </w:rPr>
      </w:pPr>
      <w:r w:rsidRPr="00C55CB6">
        <w:rPr>
          <w:lang w:val="en-GB"/>
        </w:rPr>
        <w:t xml:space="preserve">NICE </w:t>
      </w:r>
      <w:r w:rsidR="004908EC">
        <w:rPr>
          <w:lang w:val="en-GB"/>
        </w:rPr>
        <w:t>recommends</w:t>
      </w:r>
      <w:r w:rsidR="004908EC" w:rsidRPr="00C55CB6">
        <w:rPr>
          <w:lang w:val="en-GB"/>
        </w:rPr>
        <w:t xml:space="preserve"> </w:t>
      </w:r>
      <w:r w:rsidRPr="00C55CB6">
        <w:rPr>
          <w:lang w:val="en-GB"/>
        </w:rPr>
        <w:t>collaborative data collection on the outcomes of treatment</w:t>
      </w:r>
      <w:r w:rsidR="007F49BA" w:rsidRPr="00C55CB6">
        <w:rPr>
          <w:lang w:val="en-GB"/>
        </w:rPr>
        <w:t xml:space="preserve"> </w:t>
      </w:r>
      <w:r w:rsidRPr="00C55CB6">
        <w:rPr>
          <w:lang w:val="en-GB"/>
        </w:rPr>
        <w:t xml:space="preserve">with </w:t>
      </w:r>
      <w:r w:rsidR="004908EC">
        <w:rPr>
          <w:lang w:val="en-GB"/>
        </w:rPr>
        <w:t>Spectra Optia</w:t>
      </w:r>
      <w:r w:rsidR="00941946">
        <w:rPr>
          <w:lang w:val="en-GB"/>
        </w:rPr>
        <w:t xml:space="preserve"> to supplement the limited clinical </w:t>
      </w:r>
      <w:r w:rsidR="00941946">
        <w:rPr>
          <w:lang w:val="en-GB"/>
        </w:rPr>
        <w:lastRenderedPageBreak/>
        <w:t xml:space="preserve">evidence </w:t>
      </w:r>
      <w:r w:rsidR="002600CE">
        <w:rPr>
          <w:lang w:val="en-GB"/>
        </w:rPr>
        <w:t>on some outcomes</w:t>
      </w:r>
      <w:r w:rsidR="004A5FDA" w:rsidRPr="00C55CB6">
        <w:rPr>
          <w:lang w:val="en-GB"/>
        </w:rPr>
        <w:t>. In particular</w:t>
      </w:r>
      <w:r w:rsidR="00883A99" w:rsidRPr="00C55CB6">
        <w:rPr>
          <w:lang w:val="en-GB"/>
        </w:rPr>
        <w:t>,</w:t>
      </w:r>
      <w:r w:rsidR="004A5FDA" w:rsidRPr="00C55CB6">
        <w:rPr>
          <w:lang w:val="en-GB"/>
        </w:rPr>
        <w:t xml:space="preserve"> there</w:t>
      </w:r>
      <w:r w:rsidR="00D56E28" w:rsidRPr="00C55CB6">
        <w:rPr>
          <w:lang w:val="en-GB"/>
        </w:rPr>
        <w:t xml:space="preserve"> is the need for</w:t>
      </w:r>
      <w:r w:rsidR="00883A99" w:rsidRPr="00C55CB6">
        <w:rPr>
          <w:lang w:val="en-GB"/>
        </w:rPr>
        <w:t xml:space="preserve"> </w:t>
      </w:r>
      <w:r w:rsidR="004A5FDA" w:rsidRPr="00C55CB6">
        <w:rPr>
          <w:lang w:val="en-GB"/>
        </w:rPr>
        <w:t>long</w:t>
      </w:r>
      <w:r w:rsidR="00883A99" w:rsidRPr="00C55CB6">
        <w:rPr>
          <w:lang w:val="en-GB"/>
        </w:rPr>
        <w:t>-</w:t>
      </w:r>
      <w:r w:rsidR="004A5FDA" w:rsidRPr="00C55CB6">
        <w:rPr>
          <w:lang w:val="en-GB"/>
        </w:rPr>
        <w:t>term data</w:t>
      </w:r>
      <w:r w:rsidRPr="00C55CB6">
        <w:rPr>
          <w:lang w:val="en-GB"/>
        </w:rPr>
        <w:t xml:space="preserve"> on </w:t>
      </w:r>
      <w:r w:rsidR="00883A99" w:rsidRPr="00C55CB6">
        <w:rPr>
          <w:lang w:val="en-GB"/>
        </w:rPr>
        <w:t>how auto</w:t>
      </w:r>
      <w:r w:rsidR="00883A99">
        <w:rPr>
          <w:lang w:val="en-GB"/>
        </w:rPr>
        <w:t xml:space="preserve">mated </w:t>
      </w:r>
      <w:r w:rsidR="00012B4B">
        <w:rPr>
          <w:lang w:val="en-GB"/>
        </w:rPr>
        <w:t xml:space="preserve">and manual </w:t>
      </w:r>
      <w:r w:rsidR="0020661C">
        <w:rPr>
          <w:lang w:val="en-GB"/>
        </w:rPr>
        <w:t>exchange affects</w:t>
      </w:r>
      <w:r w:rsidR="00FB5B3A">
        <w:rPr>
          <w:lang w:val="en-GB"/>
        </w:rPr>
        <w:t xml:space="preserve"> </w:t>
      </w:r>
      <w:r w:rsidR="004A5FDA">
        <w:rPr>
          <w:lang w:val="en-GB"/>
        </w:rPr>
        <w:t>iron overload status and the</w:t>
      </w:r>
      <w:r w:rsidRPr="007E5C56">
        <w:rPr>
          <w:lang w:val="en-GB"/>
        </w:rPr>
        <w:t xml:space="preserve"> </w:t>
      </w:r>
      <w:r w:rsidR="009B1C24">
        <w:rPr>
          <w:lang w:val="en-GB"/>
        </w:rPr>
        <w:t>subsequent n</w:t>
      </w:r>
      <w:r w:rsidR="00883A99">
        <w:rPr>
          <w:lang w:val="en-GB"/>
        </w:rPr>
        <w:t xml:space="preserve">eed </w:t>
      </w:r>
      <w:r w:rsidRPr="007E5C56">
        <w:rPr>
          <w:lang w:val="en-GB"/>
        </w:rPr>
        <w:t>f</w:t>
      </w:r>
      <w:r w:rsidR="004A5FDA">
        <w:rPr>
          <w:lang w:val="en-GB"/>
        </w:rPr>
        <w:t>or</w:t>
      </w:r>
      <w:r w:rsidRPr="007E5C56">
        <w:rPr>
          <w:lang w:val="en-GB"/>
        </w:rPr>
        <w:t xml:space="preserve"> chelation therapy.</w:t>
      </w:r>
    </w:p>
    <w:p w:rsidR="007F49BA" w:rsidRPr="007E5C56" w:rsidRDefault="007F49BA" w:rsidP="009B1567">
      <w:pPr>
        <w:pStyle w:val="Numberedheading1"/>
        <w:rPr>
          <w:lang w:val="en-GB"/>
        </w:rPr>
      </w:pPr>
      <w:r w:rsidRPr="007E5C56">
        <w:rPr>
          <w:lang w:val="en-GB"/>
        </w:rPr>
        <w:t>The technology</w:t>
      </w:r>
    </w:p>
    <w:p w:rsidR="007F49BA" w:rsidRPr="007E5C56" w:rsidRDefault="007F49BA" w:rsidP="009B1567">
      <w:pPr>
        <w:pStyle w:val="Heading2"/>
        <w:rPr>
          <w:lang w:val="en-GB"/>
        </w:rPr>
      </w:pPr>
      <w:r w:rsidRPr="007E5C56">
        <w:rPr>
          <w:lang w:val="en-GB"/>
        </w:rPr>
        <w:t>Description of the technology</w:t>
      </w:r>
    </w:p>
    <w:p w:rsidR="00561E7D" w:rsidRPr="002F51BA" w:rsidRDefault="00026587" w:rsidP="00561E7D">
      <w:pPr>
        <w:pStyle w:val="Numberedlevel2text"/>
        <w:rPr>
          <w:lang w:val="en-GB"/>
        </w:rPr>
      </w:pPr>
      <w:r w:rsidRPr="002F51BA">
        <w:rPr>
          <w:rFonts w:cs="Times New Roman"/>
          <w:bCs/>
          <w:lang w:val="en-GB"/>
        </w:rPr>
        <w:t>The Spectra Optia Apheresis System (Terumo) is intended for automated red</w:t>
      </w:r>
      <w:r w:rsidRPr="002F51BA">
        <w:rPr>
          <w:bCs/>
        </w:rPr>
        <w:t xml:space="preserve"> blood cell depletion and exchange in adults or children with sickle cell disease who are on a transfusion regime.</w:t>
      </w:r>
      <w:r w:rsidR="00D72B0F" w:rsidRPr="002F51BA">
        <w:rPr>
          <w:bCs/>
        </w:rPr>
        <w:t xml:space="preserve"> The system automatically replaces sickle red blood cells</w:t>
      </w:r>
      <w:r w:rsidR="0004724C" w:rsidRPr="002F51BA">
        <w:rPr>
          <w:bCs/>
        </w:rPr>
        <w:t xml:space="preserve"> with healthy red blood cells. </w:t>
      </w:r>
      <w:r w:rsidR="00D72B0F" w:rsidRPr="002F51BA">
        <w:rPr>
          <w:rFonts w:cs="Times New Roman"/>
          <w:lang w:val="en-GB"/>
        </w:rPr>
        <w:t xml:space="preserve">The system comprises 3 components: the apheresis machine itself, embedded software and a single-use disposable blood tubing set. Venous access for </w:t>
      </w:r>
      <w:r w:rsidR="00130A69">
        <w:rPr>
          <w:rFonts w:cs="Times New Roman"/>
          <w:lang w:val="en-GB"/>
        </w:rPr>
        <w:t>Spectra Optia</w:t>
      </w:r>
      <w:r w:rsidR="00D72B0F" w:rsidRPr="002F51BA">
        <w:rPr>
          <w:rFonts w:cs="Times New Roman"/>
          <w:lang w:val="en-GB"/>
        </w:rPr>
        <w:t xml:space="preserve"> is usually through a vein </w:t>
      </w:r>
      <w:r w:rsidR="00480D18">
        <w:rPr>
          <w:rFonts w:cs="Times New Roman"/>
          <w:lang w:val="en-GB"/>
        </w:rPr>
        <w:t xml:space="preserve">in the arm </w:t>
      </w:r>
      <w:r w:rsidR="00D72B0F" w:rsidRPr="002F51BA">
        <w:rPr>
          <w:rFonts w:cs="Times New Roman"/>
          <w:lang w:val="en-GB"/>
        </w:rPr>
        <w:t>or large vein in the leg. The latter is a more complicated procedure that requires additional expertise</w:t>
      </w:r>
      <w:r w:rsidR="00F14BD2">
        <w:rPr>
          <w:rFonts w:cs="Times New Roman"/>
          <w:lang w:val="en-GB"/>
        </w:rPr>
        <w:t xml:space="preserve"> and sometimes an</w:t>
      </w:r>
      <w:r w:rsidR="00D72B0F" w:rsidRPr="002F51BA">
        <w:rPr>
          <w:rFonts w:cs="Times New Roman"/>
          <w:lang w:val="en-GB"/>
        </w:rPr>
        <w:t xml:space="preserve"> </w:t>
      </w:r>
      <w:r w:rsidR="000F24BA" w:rsidRPr="002F51BA">
        <w:rPr>
          <w:rFonts w:cs="Times New Roman"/>
          <w:lang w:val="en-GB"/>
        </w:rPr>
        <w:t>ultrasound device</w:t>
      </w:r>
      <w:r w:rsidR="00D72B0F" w:rsidRPr="002F51BA">
        <w:rPr>
          <w:rFonts w:cs="Times New Roman"/>
          <w:lang w:val="en-GB"/>
        </w:rPr>
        <w:t xml:space="preserve">. In a typical exchange procedure, the </w:t>
      </w:r>
      <w:r w:rsidR="0005553E">
        <w:rPr>
          <w:rFonts w:cs="Times New Roman"/>
          <w:lang w:val="en-GB"/>
        </w:rPr>
        <w:t>selected</w:t>
      </w:r>
      <w:r w:rsidR="00D72B0F" w:rsidRPr="002F51BA">
        <w:rPr>
          <w:rFonts w:cs="Times New Roman"/>
          <w:lang w:val="en-GB"/>
        </w:rPr>
        <w:t xml:space="preserve"> components of </w:t>
      </w:r>
      <w:r w:rsidR="0020661C" w:rsidRPr="002F51BA">
        <w:rPr>
          <w:rFonts w:cs="Times New Roman"/>
          <w:lang w:val="en-GB"/>
        </w:rPr>
        <w:t xml:space="preserve">blood </w:t>
      </w:r>
      <w:r w:rsidR="0020661C" w:rsidRPr="0005553E">
        <w:rPr>
          <w:rFonts w:cs="Times New Roman"/>
          <w:lang w:val="en-GB"/>
        </w:rPr>
        <w:t>are</w:t>
      </w:r>
      <w:r w:rsidR="0005553E" w:rsidRPr="002F51BA">
        <w:rPr>
          <w:rFonts w:cs="Times New Roman"/>
          <w:lang w:val="en-GB"/>
        </w:rPr>
        <w:t xml:space="preserve"> separated </w:t>
      </w:r>
      <w:r w:rsidR="0005553E">
        <w:rPr>
          <w:rFonts w:cs="Times New Roman"/>
          <w:lang w:val="en-GB"/>
        </w:rPr>
        <w:t xml:space="preserve">and </w:t>
      </w:r>
      <w:r w:rsidR="00D72B0F" w:rsidRPr="002F51BA">
        <w:rPr>
          <w:rFonts w:cs="Times New Roman"/>
          <w:lang w:val="en-GB"/>
        </w:rPr>
        <w:t xml:space="preserve">removed from the patient by </w:t>
      </w:r>
      <w:r w:rsidR="00130A69">
        <w:rPr>
          <w:rFonts w:cs="Times New Roman"/>
          <w:lang w:val="en-GB"/>
        </w:rPr>
        <w:t>Spectra Optia</w:t>
      </w:r>
      <w:r w:rsidR="00D72B0F" w:rsidRPr="002F51BA">
        <w:rPr>
          <w:rFonts w:cs="Times New Roman"/>
          <w:lang w:val="en-GB"/>
        </w:rPr>
        <w:t xml:space="preserve"> using continuous flow and centrifugation. A patented optical detection technology (known as automated interface management) monitors the composition of the blood and feeds this information to the device protocol, which can adjust appropriate pumps and valves to remove selected components. The device protocol, software and automated interface management system then control the replacement of the removed components with donor red blood cells. </w:t>
      </w:r>
      <w:r w:rsidR="000F24BA" w:rsidRPr="002F51BA">
        <w:rPr>
          <w:rFonts w:cs="Times New Roman"/>
          <w:lang w:val="en-GB"/>
        </w:rPr>
        <w:t>The device also has a depletion function</w:t>
      </w:r>
      <w:r w:rsidR="00F53070">
        <w:rPr>
          <w:rFonts w:cs="Times New Roman"/>
          <w:lang w:val="en-GB"/>
        </w:rPr>
        <w:t>,</w:t>
      </w:r>
      <w:r w:rsidR="000F24BA" w:rsidRPr="002F51BA">
        <w:rPr>
          <w:rFonts w:cs="Times New Roman"/>
          <w:lang w:val="en-GB"/>
        </w:rPr>
        <w:t xml:space="preserve"> which can reduce the </w:t>
      </w:r>
      <w:r w:rsidR="00141A69">
        <w:rPr>
          <w:rFonts w:cs="Times New Roman"/>
          <w:lang w:val="en-GB"/>
        </w:rPr>
        <w:t xml:space="preserve">number of circulating </w:t>
      </w:r>
      <w:r w:rsidR="000F24BA" w:rsidRPr="002F51BA">
        <w:rPr>
          <w:rFonts w:cs="Times New Roman"/>
          <w:lang w:val="en-GB"/>
        </w:rPr>
        <w:t xml:space="preserve">red blood cells by replacing a portion of the removed cells with fluid. </w:t>
      </w:r>
      <w:r w:rsidR="00D72B0F" w:rsidRPr="002F51BA">
        <w:rPr>
          <w:rFonts w:cs="Times New Roman"/>
          <w:lang w:val="en-GB"/>
        </w:rPr>
        <w:t>The procedure typically takes 2–3 hours.</w:t>
      </w:r>
    </w:p>
    <w:p w:rsidR="00561E7D" w:rsidRPr="007E5C56" w:rsidRDefault="00130A69" w:rsidP="00561E7D">
      <w:pPr>
        <w:pStyle w:val="Numberedlevel2text"/>
        <w:rPr>
          <w:lang w:val="en-GB"/>
        </w:rPr>
      </w:pPr>
      <w:r>
        <w:rPr>
          <w:lang w:val="en-GB"/>
        </w:rPr>
        <w:t>Spectra Optia</w:t>
      </w:r>
      <w:r w:rsidR="00561E7D" w:rsidRPr="007E5C56">
        <w:rPr>
          <w:lang w:val="en-GB"/>
        </w:rPr>
        <w:t xml:space="preserve"> has a CE mark as a Class IIb medical device. It is a blood component separator intended for use in therapeutic apheresis which may be used for red blood cell exchange, depletion and depletion/exchange procedures. The Cobe Spectra </w:t>
      </w:r>
      <w:r w:rsidR="00561E7D" w:rsidRPr="007E5C56">
        <w:rPr>
          <w:lang w:val="en-GB"/>
        </w:rPr>
        <w:lastRenderedPageBreak/>
        <w:t xml:space="preserve">predecessor system first received a CE mark in 1994 and was also used for this indication. </w:t>
      </w:r>
      <w:r>
        <w:rPr>
          <w:lang w:val="en-GB"/>
        </w:rPr>
        <w:t>Spectra Optia</w:t>
      </w:r>
      <w:r w:rsidR="00561E7D" w:rsidRPr="007E5C56">
        <w:rPr>
          <w:lang w:val="en-GB"/>
        </w:rPr>
        <w:t xml:space="preserve"> first received a CE mark in 2007. It is also indicated </w:t>
      </w:r>
      <w:r w:rsidR="00561E7D" w:rsidRPr="007E5C56">
        <w:rPr>
          <w:rFonts w:cs="Times New Roman"/>
          <w:bCs/>
          <w:lang w:val="en-GB"/>
        </w:rPr>
        <w:t>for bone marrow processing, mononuclear and granulocyte collection, and therapeutic plasma exchange which are not within the scope of this evaluation.</w:t>
      </w:r>
    </w:p>
    <w:p w:rsidR="00CA4A03" w:rsidRDefault="00CA4A03" w:rsidP="009B1567">
      <w:pPr>
        <w:pStyle w:val="Numberedlevel2text"/>
        <w:rPr>
          <w:lang w:val="en-GB"/>
        </w:rPr>
      </w:pPr>
      <w:r>
        <w:rPr>
          <w:lang w:val="en-GB"/>
        </w:rPr>
        <w:t>The list price</w:t>
      </w:r>
      <w:r w:rsidR="00630EDD">
        <w:rPr>
          <w:lang w:val="en-GB"/>
        </w:rPr>
        <w:t>s</w:t>
      </w:r>
      <w:r>
        <w:rPr>
          <w:lang w:val="en-GB"/>
        </w:rPr>
        <w:t xml:space="preserve"> </w:t>
      </w:r>
      <w:r w:rsidR="004B275C">
        <w:rPr>
          <w:lang w:val="en-GB"/>
        </w:rPr>
        <w:t>(</w:t>
      </w:r>
      <w:r w:rsidR="00E77DD1">
        <w:rPr>
          <w:lang w:val="en-GB"/>
        </w:rPr>
        <w:t>ex</w:t>
      </w:r>
      <w:r w:rsidR="004B275C">
        <w:rPr>
          <w:lang w:val="en-GB"/>
        </w:rPr>
        <w:t xml:space="preserve">cluding VAT) </w:t>
      </w:r>
      <w:r>
        <w:rPr>
          <w:lang w:val="en-GB"/>
        </w:rPr>
        <w:t xml:space="preserve">for the components of the Spectra Optia system </w:t>
      </w:r>
      <w:r w:rsidR="00630EDD">
        <w:rPr>
          <w:lang w:val="en-GB"/>
        </w:rPr>
        <w:t>are</w:t>
      </w:r>
      <w:r w:rsidR="00F53070">
        <w:rPr>
          <w:lang w:val="en-GB"/>
        </w:rPr>
        <w:t xml:space="preserve"> as follows</w:t>
      </w:r>
      <w:r>
        <w:rPr>
          <w:lang w:val="en-GB"/>
        </w:rPr>
        <w:t>:</w:t>
      </w:r>
    </w:p>
    <w:p w:rsidR="00181DD4" w:rsidRDefault="00181DD4" w:rsidP="004B44E2">
      <w:pPr>
        <w:pStyle w:val="Bulletindent1"/>
      </w:pPr>
      <w:r>
        <w:t>Capital costs:</w:t>
      </w:r>
    </w:p>
    <w:p w:rsidR="00CA4A03" w:rsidRPr="008A41FD" w:rsidRDefault="00CA4A03" w:rsidP="004B44E2">
      <w:pPr>
        <w:pStyle w:val="Bulletindent2"/>
      </w:pPr>
      <w:r w:rsidRPr="008A41FD">
        <w:t>Spectra Optia device:</w:t>
      </w:r>
      <w:r w:rsidR="00630EDD">
        <w:t xml:space="preserve"> </w:t>
      </w:r>
      <w:r w:rsidRPr="008A41FD">
        <w:t>£45,351.60</w:t>
      </w:r>
    </w:p>
    <w:p w:rsidR="00CA4A03" w:rsidRDefault="00630EDD" w:rsidP="004B44E2">
      <w:pPr>
        <w:pStyle w:val="Bulletindent2"/>
      </w:pPr>
      <w:r>
        <w:t>Exchange/</w:t>
      </w:r>
      <w:r w:rsidR="00CA4A03" w:rsidRPr="008A41FD">
        <w:t>depletion software:</w:t>
      </w:r>
      <w:r>
        <w:t xml:space="preserve"> </w:t>
      </w:r>
      <w:r w:rsidR="00CA4A03" w:rsidRPr="008A41FD">
        <w:t>£6700.85</w:t>
      </w:r>
    </w:p>
    <w:p w:rsidR="00012B4B" w:rsidRPr="00F53070" w:rsidRDefault="00012B4B" w:rsidP="004B44E2">
      <w:pPr>
        <w:pStyle w:val="Bulletindent1"/>
      </w:pPr>
      <w:r w:rsidRPr="00F53070">
        <w:t>Consumables:</w:t>
      </w:r>
    </w:p>
    <w:p w:rsidR="00CA4A03" w:rsidRPr="008A41FD" w:rsidRDefault="00CA4A03" w:rsidP="004B44E2">
      <w:pPr>
        <w:pStyle w:val="Bulletindent2"/>
      </w:pPr>
      <w:r w:rsidRPr="008A41FD">
        <w:t>Spectra Optia exchange set:</w:t>
      </w:r>
      <w:r w:rsidR="00630EDD">
        <w:t xml:space="preserve"> </w:t>
      </w:r>
      <w:r w:rsidRPr="008A41FD">
        <w:t>£1007.04 per 6</w:t>
      </w:r>
      <w:r w:rsidR="00630EDD">
        <w:t xml:space="preserve"> (</w:t>
      </w:r>
      <w:r w:rsidRPr="008A41FD">
        <w:t>£167.84 each</w:t>
      </w:r>
      <w:r w:rsidR="00630EDD">
        <w:t>)</w:t>
      </w:r>
    </w:p>
    <w:p w:rsidR="00CA4A03" w:rsidRPr="008A41FD" w:rsidRDefault="00CA4A03" w:rsidP="004B44E2">
      <w:pPr>
        <w:pStyle w:val="Bulletindent2"/>
      </w:pPr>
      <w:proofErr w:type="spellStart"/>
      <w:r w:rsidRPr="008A41FD">
        <w:t>Astotube</w:t>
      </w:r>
      <w:proofErr w:type="spellEnd"/>
      <w:r w:rsidRPr="008A41FD">
        <w:t xml:space="preserve"> with injection port:</w:t>
      </w:r>
      <w:r w:rsidR="00630EDD">
        <w:t xml:space="preserve"> </w:t>
      </w:r>
      <w:r w:rsidRPr="008A41FD">
        <w:t>£218.50 per 50</w:t>
      </w:r>
      <w:r w:rsidR="00630EDD">
        <w:t xml:space="preserve"> (</w:t>
      </w:r>
      <w:r w:rsidRPr="008A41FD">
        <w:t>£4.37 each</w:t>
      </w:r>
      <w:r w:rsidR="00630EDD">
        <w:t>)</w:t>
      </w:r>
    </w:p>
    <w:p w:rsidR="00CA4A03" w:rsidRPr="008A41FD" w:rsidRDefault="00CA4A03" w:rsidP="004B44E2">
      <w:pPr>
        <w:pStyle w:val="Bulletindent2"/>
      </w:pPr>
      <w:r w:rsidRPr="008A41FD">
        <w:t>ACD</w:t>
      </w:r>
      <w:r>
        <w:t>-</w:t>
      </w:r>
      <w:r w:rsidRPr="008A41FD">
        <w:t>A anticoagulant (</w:t>
      </w:r>
      <w:r w:rsidR="00630EDD" w:rsidRPr="008A41FD">
        <w:t>750</w:t>
      </w:r>
      <w:r w:rsidR="00630EDD">
        <w:t> </w:t>
      </w:r>
      <w:r w:rsidRPr="008A41FD">
        <w:t>ml):</w:t>
      </w:r>
      <w:r w:rsidR="00630EDD">
        <w:t xml:space="preserve"> </w:t>
      </w:r>
      <w:r w:rsidRPr="008A41FD">
        <w:t>£57.36 per 12</w:t>
      </w:r>
      <w:r w:rsidR="00630EDD">
        <w:t xml:space="preserve"> (</w:t>
      </w:r>
      <w:r w:rsidRPr="008A41FD">
        <w:t>£4.78 each</w:t>
      </w:r>
      <w:r w:rsidR="00630EDD">
        <w:t>)</w:t>
      </w:r>
    </w:p>
    <w:p w:rsidR="00CA4A03" w:rsidRPr="008A41FD" w:rsidRDefault="00CA4A03" w:rsidP="004B44E2">
      <w:pPr>
        <w:pStyle w:val="Bulletindent2"/>
      </w:pPr>
      <w:r w:rsidRPr="008A41FD">
        <w:t>Service charge:</w:t>
      </w:r>
      <w:r w:rsidR="00630EDD">
        <w:t xml:space="preserve"> </w:t>
      </w:r>
      <w:r w:rsidRPr="008A41FD">
        <w:t>£4572 per year</w:t>
      </w:r>
      <w:r w:rsidR="00630EDD">
        <w:t>.</w:t>
      </w:r>
    </w:p>
    <w:p w:rsidR="009B1567" w:rsidRPr="007E5C56" w:rsidRDefault="00024C4D" w:rsidP="00CA4A03">
      <w:pPr>
        <w:pStyle w:val="Numberedlevel2text"/>
        <w:numPr>
          <w:ilvl w:val="0"/>
          <w:numId w:val="0"/>
        </w:numPr>
        <w:ind w:left="1134"/>
        <w:rPr>
          <w:lang w:val="en-GB"/>
        </w:rPr>
      </w:pPr>
      <w:r>
        <w:rPr>
          <w:lang w:val="en-GB"/>
        </w:rPr>
        <w:t>Bulk order discounts are available on the consumable sets.</w:t>
      </w:r>
    </w:p>
    <w:p w:rsidR="00EE3F5C" w:rsidRPr="007E5C56" w:rsidRDefault="00EE3F5C" w:rsidP="009B1567">
      <w:pPr>
        <w:pStyle w:val="Numberedlevel2text"/>
        <w:rPr>
          <w:lang w:val="en-GB"/>
        </w:rPr>
      </w:pPr>
      <w:r w:rsidRPr="007E5C56">
        <w:rPr>
          <w:lang w:val="en-GB"/>
        </w:rPr>
        <w:t xml:space="preserve">The </w:t>
      </w:r>
      <w:r w:rsidR="00630EDD">
        <w:rPr>
          <w:lang w:val="en-GB"/>
        </w:rPr>
        <w:t xml:space="preserve">company’s </w:t>
      </w:r>
      <w:r w:rsidRPr="007E5C56">
        <w:rPr>
          <w:lang w:val="en-GB"/>
        </w:rPr>
        <w:t xml:space="preserve">claimed benefits of </w:t>
      </w:r>
      <w:r w:rsidR="00130A69">
        <w:rPr>
          <w:lang w:val="en-GB"/>
        </w:rPr>
        <w:t>Spectra Optia</w:t>
      </w:r>
      <w:r w:rsidRPr="007E5C56">
        <w:rPr>
          <w:lang w:val="en-GB"/>
        </w:rPr>
        <w:t xml:space="preserve"> </w:t>
      </w:r>
      <w:r w:rsidR="00630EDD">
        <w:rPr>
          <w:lang w:val="en-GB"/>
        </w:rPr>
        <w:t xml:space="preserve">compared with manual red blood cell exchange </w:t>
      </w:r>
      <w:r w:rsidRPr="007E5C56">
        <w:rPr>
          <w:lang w:val="en-GB"/>
        </w:rPr>
        <w:t>are:</w:t>
      </w:r>
    </w:p>
    <w:p w:rsidR="00561E7D" w:rsidRPr="007E5C56" w:rsidRDefault="00630EDD" w:rsidP="00C87E68">
      <w:pPr>
        <w:pStyle w:val="Numberedlevel2text"/>
        <w:numPr>
          <w:ilvl w:val="0"/>
          <w:numId w:val="32"/>
        </w:numPr>
        <w:spacing w:after="0"/>
        <w:rPr>
          <w:lang w:val="en-GB"/>
        </w:rPr>
      </w:pPr>
      <w:r>
        <w:rPr>
          <w:lang w:val="en-GB"/>
        </w:rPr>
        <w:t xml:space="preserve">less frequent treatment (that is, exchange with </w:t>
      </w:r>
      <w:r w:rsidR="00130A69">
        <w:rPr>
          <w:lang w:val="en-GB"/>
        </w:rPr>
        <w:t>Spectra Optia</w:t>
      </w:r>
      <w:r>
        <w:rPr>
          <w:lang w:val="en-GB"/>
        </w:rPr>
        <w:t xml:space="preserve"> needs to be done less often)</w:t>
      </w:r>
    </w:p>
    <w:p w:rsidR="00561E7D" w:rsidRPr="007E5C56" w:rsidRDefault="00630EDD" w:rsidP="00C87E68">
      <w:pPr>
        <w:pStyle w:val="Numberedlevel2text"/>
        <w:numPr>
          <w:ilvl w:val="0"/>
          <w:numId w:val="32"/>
        </w:numPr>
        <w:spacing w:after="0"/>
        <w:rPr>
          <w:lang w:val="en-GB"/>
        </w:rPr>
      </w:pPr>
      <w:r>
        <w:rPr>
          <w:lang w:val="en-GB"/>
        </w:rPr>
        <w:t xml:space="preserve">shorter </w:t>
      </w:r>
      <w:r w:rsidR="00561E7D" w:rsidRPr="007E5C56">
        <w:rPr>
          <w:lang w:val="en-GB"/>
        </w:rPr>
        <w:t>treatment duration</w:t>
      </w:r>
    </w:p>
    <w:p w:rsidR="00C87E68" w:rsidRPr="007E5C56" w:rsidRDefault="00630EDD" w:rsidP="00C87E68">
      <w:pPr>
        <w:pStyle w:val="Numberedlevel2text"/>
        <w:numPr>
          <w:ilvl w:val="0"/>
          <w:numId w:val="32"/>
        </w:numPr>
        <w:spacing w:after="0"/>
        <w:rPr>
          <w:lang w:val="en-GB"/>
        </w:rPr>
      </w:pPr>
      <w:r>
        <w:rPr>
          <w:lang w:val="en-GB"/>
        </w:rPr>
        <w:t xml:space="preserve">less </w:t>
      </w:r>
      <w:r w:rsidR="00561E7D" w:rsidRPr="007E5C56">
        <w:rPr>
          <w:lang w:val="en-GB"/>
        </w:rPr>
        <w:t>iron overloading</w:t>
      </w:r>
      <w:r>
        <w:rPr>
          <w:lang w:val="en-GB"/>
        </w:rPr>
        <w:t xml:space="preserve"> in patients having treatment (so m</w:t>
      </w:r>
      <w:r w:rsidRPr="007E5C56">
        <w:rPr>
          <w:lang w:val="en-GB"/>
        </w:rPr>
        <w:t>ay allow patients to reduce or cease iron chelation treatment</w:t>
      </w:r>
      <w:r>
        <w:rPr>
          <w:lang w:val="en-GB"/>
        </w:rPr>
        <w:t>)</w:t>
      </w:r>
      <w:r w:rsidR="00561E7D" w:rsidRPr="007E5C56">
        <w:rPr>
          <w:lang w:val="en-GB"/>
        </w:rPr>
        <w:t xml:space="preserve"> </w:t>
      </w:r>
    </w:p>
    <w:p w:rsidR="00561E7D" w:rsidRPr="007E5C56" w:rsidRDefault="00630EDD" w:rsidP="00C87E68">
      <w:pPr>
        <w:pStyle w:val="Numberedlevel2text"/>
        <w:numPr>
          <w:ilvl w:val="0"/>
          <w:numId w:val="32"/>
        </w:numPr>
        <w:spacing w:after="0"/>
        <w:rPr>
          <w:lang w:val="en-GB"/>
        </w:rPr>
      </w:pPr>
      <w:r>
        <w:rPr>
          <w:lang w:val="en-GB"/>
        </w:rPr>
        <w:t>i</w:t>
      </w:r>
      <w:r w:rsidR="00561E7D" w:rsidRPr="007E5C56">
        <w:rPr>
          <w:lang w:val="en-GB"/>
        </w:rPr>
        <w:t xml:space="preserve">ncreased patient compliance and efficiency </w:t>
      </w:r>
      <w:r w:rsidR="00792655">
        <w:rPr>
          <w:lang w:val="en-GB"/>
        </w:rPr>
        <w:t>procedure</w:t>
      </w:r>
      <w:r w:rsidR="00561E7D" w:rsidRPr="007E5C56">
        <w:rPr>
          <w:lang w:val="en-GB"/>
        </w:rPr>
        <w:t xml:space="preserve"> </w:t>
      </w:r>
    </w:p>
    <w:p w:rsidR="00C87E68" w:rsidRPr="007E5C56" w:rsidRDefault="00630EDD" w:rsidP="00C87E68">
      <w:pPr>
        <w:pStyle w:val="Numberedlevel2text"/>
        <w:numPr>
          <w:ilvl w:val="0"/>
          <w:numId w:val="32"/>
        </w:numPr>
        <w:spacing w:after="0"/>
        <w:rPr>
          <w:lang w:val="en-GB"/>
        </w:rPr>
      </w:pPr>
      <w:r>
        <w:rPr>
          <w:lang w:val="en-GB"/>
        </w:rPr>
        <w:t>r</w:t>
      </w:r>
      <w:r w:rsidR="00C87E68" w:rsidRPr="007E5C56">
        <w:rPr>
          <w:lang w:val="en-GB"/>
        </w:rPr>
        <w:t xml:space="preserve">educed hospital stay and staff time </w:t>
      </w:r>
    </w:p>
    <w:p w:rsidR="00C87E68" w:rsidRPr="007E5C56" w:rsidRDefault="00630EDD" w:rsidP="00C87E68">
      <w:pPr>
        <w:pStyle w:val="Numberedlevel2text"/>
        <w:numPr>
          <w:ilvl w:val="0"/>
          <w:numId w:val="32"/>
        </w:numPr>
        <w:spacing w:after="0"/>
        <w:rPr>
          <w:lang w:val="en-GB"/>
        </w:rPr>
      </w:pPr>
      <w:proofErr w:type="gramStart"/>
      <w:r>
        <w:rPr>
          <w:lang w:val="en-GB"/>
        </w:rPr>
        <w:t>r</w:t>
      </w:r>
      <w:r w:rsidR="00C87E68" w:rsidRPr="007E5C56">
        <w:rPr>
          <w:lang w:val="en-GB"/>
        </w:rPr>
        <w:t>educed</w:t>
      </w:r>
      <w:proofErr w:type="gramEnd"/>
      <w:r w:rsidR="00C87E68" w:rsidRPr="007E5C56">
        <w:rPr>
          <w:lang w:val="en-GB"/>
        </w:rPr>
        <w:t xml:space="preserve"> complications from </w:t>
      </w:r>
      <w:r>
        <w:rPr>
          <w:lang w:val="en-GB"/>
        </w:rPr>
        <w:t xml:space="preserve">sickle cell disease </w:t>
      </w:r>
      <w:r w:rsidR="00C87E68" w:rsidRPr="007E5C56">
        <w:rPr>
          <w:lang w:val="en-GB"/>
        </w:rPr>
        <w:t>leading to reduced hospitalisation and associated treatment.</w:t>
      </w:r>
    </w:p>
    <w:p w:rsidR="00C87E68" w:rsidRPr="007E5C56" w:rsidRDefault="00C87E68" w:rsidP="00C87E68">
      <w:pPr>
        <w:pStyle w:val="Numberedlevel2text"/>
        <w:numPr>
          <w:ilvl w:val="0"/>
          <w:numId w:val="32"/>
        </w:numPr>
        <w:spacing w:after="0"/>
        <w:rPr>
          <w:lang w:val="en-GB"/>
        </w:rPr>
      </w:pPr>
      <w:r w:rsidRPr="007E5C56">
        <w:rPr>
          <w:lang w:val="en-GB"/>
        </w:rPr>
        <w:t xml:space="preserve">The depletion-exchange protocol of the machine makes better use of donor blood </w:t>
      </w:r>
      <w:r w:rsidR="00630EDD">
        <w:rPr>
          <w:lang w:val="en-GB"/>
        </w:rPr>
        <w:t xml:space="preserve">because </w:t>
      </w:r>
      <w:r w:rsidRPr="007E5C56">
        <w:rPr>
          <w:lang w:val="en-GB"/>
        </w:rPr>
        <w:t xml:space="preserve">only the necessary </w:t>
      </w:r>
      <w:r w:rsidRPr="007E5C56">
        <w:rPr>
          <w:lang w:val="en-GB"/>
        </w:rPr>
        <w:lastRenderedPageBreak/>
        <w:t>component is used, allowing the remaining blood components to be used in other patients.</w:t>
      </w:r>
    </w:p>
    <w:p w:rsidR="007F49BA" w:rsidRPr="007E5C56" w:rsidRDefault="007F49BA" w:rsidP="00EE3F5C">
      <w:pPr>
        <w:pStyle w:val="Heading2"/>
        <w:rPr>
          <w:lang w:val="en-GB"/>
        </w:rPr>
      </w:pPr>
      <w:r w:rsidRPr="007E5C56">
        <w:rPr>
          <w:lang w:val="en-GB"/>
        </w:rPr>
        <w:t xml:space="preserve">Current management </w:t>
      </w:r>
    </w:p>
    <w:p w:rsidR="00265C8E" w:rsidRPr="00265C8E" w:rsidRDefault="002600CE" w:rsidP="00265C8E">
      <w:pPr>
        <w:pStyle w:val="Numberedlevel2text"/>
        <w:rPr>
          <w:lang w:val="en-GB"/>
        </w:rPr>
      </w:pPr>
      <w:r>
        <w:rPr>
          <w:bCs/>
          <w:iCs/>
          <w:lang w:val="en-GB"/>
        </w:rPr>
        <w:t>Existing NICE guidance on</w:t>
      </w:r>
      <w:r w:rsidRPr="007E5C56">
        <w:rPr>
          <w:bCs/>
          <w:iCs/>
          <w:lang w:val="en-GB"/>
        </w:rPr>
        <w:t xml:space="preserve"> managing sickle cell disease </w:t>
      </w:r>
      <w:r>
        <w:rPr>
          <w:bCs/>
          <w:iCs/>
          <w:lang w:val="en-GB"/>
        </w:rPr>
        <w:t>addresses</w:t>
      </w:r>
      <w:r w:rsidRPr="007E5C56">
        <w:rPr>
          <w:bCs/>
          <w:iCs/>
          <w:lang w:val="en-GB"/>
        </w:rPr>
        <w:t xml:space="preserve"> </w:t>
      </w:r>
      <w:r>
        <w:rPr>
          <w:bCs/>
          <w:iCs/>
          <w:lang w:val="en-GB"/>
        </w:rPr>
        <w:t xml:space="preserve">patients with an </w:t>
      </w:r>
      <w:hyperlink r:id="rId11" w:history="1">
        <w:r w:rsidRPr="007E5C56">
          <w:rPr>
            <w:rStyle w:val="Hyperlink"/>
            <w:bCs/>
            <w:iCs/>
            <w:lang w:val="en-GB"/>
          </w:rPr>
          <w:t>acute painful episode</w:t>
        </w:r>
      </w:hyperlink>
      <w:r>
        <w:rPr>
          <w:rStyle w:val="Hyperlink"/>
          <w:bCs/>
          <w:iCs/>
          <w:lang w:val="en-GB"/>
        </w:rPr>
        <w:t>,</w:t>
      </w:r>
      <w:r w:rsidRPr="007E5C56">
        <w:rPr>
          <w:bCs/>
          <w:iCs/>
          <w:lang w:val="en-GB"/>
        </w:rPr>
        <w:t xml:space="preserve"> which is outside the scope of this evaluation.</w:t>
      </w:r>
    </w:p>
    <w:p w:rsidR="00EE3F5C" w:rsidRPr="00141A69" w:rsidRDefault="000C19B3" w:rsidP="00016C1D">
      <w:pPr>
        <w:pStyle w:val="Numberedlevel2text"/>
        <w:rPr>
          <w:lang w:val="en-GB"/>
        </w:rPr>
      </w:pPr>
      <w:r>
        <w:rPr>
          <w:lang w:val="en-GB"/>
        </w:rPr>
        <w:t xml:space="preserve">The chemotherapy drug hydroxycarbamide is used in people with chronic symptoms </w:t>
      </w:r>
      <w:r w:rsidR="00F53070">
        <w:rPr>
          <w:lang w:val="en-GB"/>
        </w:rPr>
        <w:t>of</w:t>
      </w:r>
      <w:r>
        <w:rPr>
          <w:lang w:val="en-GB"/>
        </w:rPr>
        <w:t xml:space="preserve"> sickle cell disease, but </w:t>
      </w:r>
      <w:r w:rsidR="00244C9E">
        <w:rPr>
          <w:lang w:val="en-GB"/>
        </w:rPr>
        <w:t>an estimated 25% o</w:t>
      </w:r>
      <w:r>
        <w:rPr>
          <w:lang w:val="en-GB"/>
        </w:rPr>
        <w:t xml:space="preserve">f people cannot </w:t>
      </w:r>
      <w:r w:rsidR="00F53070">
        <w:rPr>
          <w:lang w:val="en-GB"/>
        </w:rPr>
        <w:t xml:space="preserve">have the drug </w:t>
      </w:r>
      <w:r>
        <w:rPr>
          <w:lang w:val="en-GB"/>
        </w:rPr>
        <w:t>because it is not tolerated or because of contraindications.</w:t>
      </w:r>
      <w:r w:rsidR="00EB4695">
        <w:rPr>
          <w:lang w:val="en-GB"/>
        </w:rPr>
        <w:t xml:space="preserve"> </w:t>
      </w:r>
      <w:r>
        <w:rPr>
          <w:lang w:val="en-GB"/>
        </w:rPr>
        <w:t>For example, pregnant and breast-feeding mothers and people planning to conceive should not take hydroxycarbamide.</w:t>
      </w:r>
    </w:p>
    <w:p w:rsidR="00B44F29" w:rsidRDefault="00141A69" w:rsidP="00016C1D">
      <w:pPr>
        <w:pStyle w:val="Numberedlevel2text"/>
        <w:rPr>
          <w:lang w:val="en-GB"/>
        </w:rPr>
      </w:pPr>
      <w:r>
        <w:rPr>
          <w:lang w:val="en-GB"/>
        </w:rPr>
        <w:t>If hy</w:t>
      </w:r>
      <w:r w:rsidR="00EB4695">
        <w:rPr>
          <w:lang w:val="en-GB"/>
        </w:rPr>
        <w:t>d</w:t>
      </w:r>
      <w:r>
        <w:rPr>
          <w:lang w:val="en-GB"/>
        </w:rPr>
        <w:t>roxycarbamide cannot be used, patients may need regular elective transfusion</w:t>
      </w:r>
      <w:r w:rsidR="00F35083" w:rsidRPr="00F35083">
        <w:rPr>
          <w:lang w:val="en-GB"/>
        </w:rPr>
        <w:t xml:space="preserve"> </w:t>
      </w:r>
      <w:r w:rsidR="00F35083">
        <w:rPr>
          <w:lang w:val="en-GB"/>
        </w:rPr>
        <w:t>instead</w:t>
      </w:r>
      <w:r>
        <w:rPr>
          <w:lang w:val="en-GB"/>
        </w:rPr>
        <w:t xml:space="preserve">. People with sickle cell disease </w:t>
      </w:r>
      <w:r w:rsidR="00F53070">
        <w:rPr>
          <w:lang w:val="en-GB"/>
        </w:rPr>
        <w:t xml:space="preserve">may </w:t>
      </w:r>
      <w:r>
        <w:rPr>
          <w:lang w:val="en-GB"/>
        </w:rPr>
        <w:t xml:space="preserve">also need occasional emergency transfusion for acute complications. When transfusion is </w:t>
      </w:r>
      <w:r w:rsidR="00F53070">
        <w:rPr>
          <w:lang w:val="en-GB"/>
        </w:rPr>
        <w:t>needed</w:t>
      </w:r>
      <w:r>
        <w:rPr>
          <w:lang w:val="en-GB"/>
        </w:rPr>
        <w:t xml:space="preserve">, it may be administered as top-up transfusion or as manual or automated red blood cell exchange. </w:t>
      </w:r>
      <w:r w:rsidR="00016C1D" w:rsidRPr="00141A69">
        <w:rPr>
          <w:lang w:val="en-GB"/>
        </w:rPr>
        <w:t xml:space="preserve">The initial choice of transfusion </w:t>
      </w:r>
      <w:r>
        <w:rPr>
          <w:lang w:val="en-GB"/>
        </w:rPr>
        <w:t>strategy</w:t>
      </w:r>
      <w:r w:rsidRPr="00141A69">
        <w:rPr>
          <w:lang w:val="en-GB"/>
        </w:rPr>
        <w:t xml:space="preserve"> </w:t>
      </w:r>
      <w:r w:rsidR="00C624F1">
        <w:rPr>
          <w:lang w:val="en-GB"/>
        </w:rPr>
        <w:t xml:space="preserve">is likely to </w:t>
      </w:r>
      <w:r w:rsidR="00016C1D" w:rsidRPr="00141A69">
        <w:rPr>
          <w:lang w:val="en-GB"/>
        </w:rPr>
        <w:t xml:space="preserve">depend on a range of factors including clinical status and the local availability of facilities and services. In general, top-up transfusions are suitable if the main purpose of treatment is to manage anaemia, and if the introduction of transfusions does not pose an unacceptable increase in the risk of vaso-occlusive events, such as stroke. However, top-up transfusions are ‘iron positive’ and are associated with an accumulation of iron, which will need </w:t>
      </w:r>
      <w:r w:rsidR="002D47EB">
        <w:rPr>
          <w:lang w:val="en-GB"/>
        </w:rPr>
        <w:t xml:space="preserve">to be counteracted with </w:t>
      </w:r>
      <w:r w:rsidR="00016C1D" w:rsidRPr="00141A69">
        <w:rPr>
          <w:lang w:val="en-GB"/>
        </w:rPr>
        <w:t xml:space="preserve">chelation therapy (typically after 20 transfusions). </w:t>
      </w:r>
      <w:r w:rsidR="00B2245A">
        <w:rPr>
          <w:lang w:val="en-GB"/>
        </w:rPr>
        <w:t>It is understood that t</w:t>
      </w:r>
      <w:r w:rsidR="00B44F29" w:rsidRPr="00141A69">
        <w:rPr>
          <w:lang w:val="en-GB"/>
        </w:rPr>
        <w:t xml:space="preserve">op-up transfusions are commonly used </w:t>
      </w:r>
      <w:r w:rsidR="00630EDD" w:rsidRPr="00141A69">
        <w:rPr>
          <w:lang w:val="en-GB"/>
        </w:rPr>
        <w:t xml:space="preserve">in </w:t>
      </w:r>
      <w:r w:rsidR="00B44F29" w:rsidRPr="00141A69">
        <w:rPr>
          <w:lang w:val="en-GB"/>
        </w:rPr>
        <w:t xml:space="preserve">children </w:t>
      </w:r>
      <w:r w:rsidR="00630EDD" w:rsidRPr="00141A69">
        <w:rPr>
          <w:lang w:val="en-GB"/>
        </w:rPr>
        <w:t>because</w:t>
      </w:r>
      <w:r w:rsidR="00B44F29" w:rsidRPr="00141A69">
        <w:rPr>
          <w:lang w:val="en-GB"/>
        </w:rPr>
        <w:t xml:space="preserve"> they are unlikely to be iron overloaded and the </w:t>
      </w:r>
      <w:r w:rsidR="006D72F3" w:rsidRPr="00141A69">
        <w:rPr>
          <w:lang w:val="en-GB"/>
        </w:rPr>
        <w:t>small cathet</w:t>
      </w:r>
      <w:r w:rsidR="006D72F3">
        <w:rPr>
          <w:lang w:val="en-GB"/>
        </w:rPr>
        <w:t xml:space="preserve">ers </w:t>
      </w:r>
      <w:r w:rsidR="00281AD7">
        <w:rPr>
          <w:lang w:val="en-GB"/>
        </w:rPr>
        <w:t xml:space="preserve">used </w:t>
      </w:r>
      <w:r w:rsidR="00B44F29">
        <w:rPr>
          <w:lang w:val="en-GB"/>
        </w:rPr>
        <w:t>are more suitable for paediatric venous access.</w:t>
      </w:r>
      <w:r w:rsidR="006C7A87">
        <w:rPr>
          <w:lang w:val="en-GB"/>
        </w:rPr>
        <w:t xml:space="preserve"> The larger catheters and ports used for manual and automatic exchange </w:t>
      </w:r>
      <w:r w:rsidR="002D47EB">
        <w:rPr>
          <w:lang w:val="en-GB"/>
        </w:rPr>
        <w:t xml:space="preserve">may </w:t>
      </w:r>
      <w:r w:rsidR="006C7A87">
        <w:rPr>
          <w:lang w:val="en-GB"/>
        </w:rPr>
        <w:t>be unsuitable for some children.</w:t>
      </w:r>
    </w:p>
    <w:p w:rsidR="007E720E" w:rsidRDefault="00B2245A" w:rsidP="00CD587B">
      <w:pPr>
        <w:pStyle w:val="Numberedlevel2text"/>
        <w:rPr>
          <w:lang w:val="en-GB"/>
        </w:rPr>
      </w:pPr>
      <w:r>
        <w:rPr>
          <w:lang w:val="en-GB"/>
        </w:rPr>
        <w:lastRenderedPageBreak/>
        <w:t>An</w:t>
      </w:r>
      <w:r w:rsidRPr="00B44F29">
        <w:rPr>
          <w:lang w:val="en-GB"/>
        </w:rPr>
        <w:t xml:space="preserve"> </w:t>
      </w:r>
      <w:r w:rsidR="00016C1D" w:rsidRPr="00B44F29">
        <w:rPr>
          <w:lang w:val="en-GB"/>
        </w:rPr>
        <w:t xml:space="preserve">alternative to top-up transfusion is red blood cell exchange transfusion. This is considered to be ‘iron neutral’ because packed red blood cells replace </w:t>
      </w:r>
      <w:r w:rsidR="006362EA">
        <w:rPr>
          <w:lang w:val="en-GB"/>
        </w:rPr>
        <w:t xml:space="preserve">those </w:t>
      </w:r>
      <w:r w:rsidR="00016C1D" w:rsidRPr="00B44F29">
        <w:rPr>
          <w:lang w:val="en-GB"/>
        </w:rPr>
        <w:t xml:space="preserve">removed from the patient’s blood in an isovolaemic manner. This can be done manually or by using automated systems such as </w:t>
      </w:r>
      <w:r w:rsidR="00130A69">
        <w:rPr>
          <w:lang w:val="en-GB"/>
        </w:rPr>
        <w:t>Spectra Optia</w:t>
      </w:r>
      <w:r w:rsidR="00016C1D" w:rsidRPr="00B44F29">
        <w:rPr>
          <w:lang w:val="en-GB"/>
        </w:rPr>
        <w:t>.</w:t>
      </w:r>
      <w:r w:rsidR="00B44F29" w:rsidRPr="00B44F29">
        <w:rPr>
          <w:lang w:val="en-GB"/>
        </w:rPr>
        <w:t xml:space="preserve"> </w:t>
      </w:r>
      <w:r w:rsidR="006D72F3">
        <w:rPr>
          <w:lang w:val="en-GB"/>
        </w:rPr>
        <w:t xml:space="preserve">Exchange transfusions require </w:t>
      </w:r>
      <w:r w:rsidR="004C46F3">
        <w:rPr>
          <w:lang w:val="en-GB"/>
        </w:rPr>
        <w:t>larger lines</w:t>
      </w:r>
      <w:r w:rsidR="002D47EB">
        <w:rPr>
          <w:lang w:val="en-GB"/>
        </w:rPr>
        <w:t xml:space="preserve"> and higher flow rates</w:t>
      </w:r>
      <w:r w:rsidR="000563EF">
        <w:rPr>
          <w:lang w:val="en-GB"/>
        </w:rPr>
        <w:t xml:space="preserve"> compared with top-up transfusions</w:t>
      </w:r>
      <w:r w:rsidR="00630EDD">
        <w:rPr>
          <w:lang w:val="en-GB"/>
        </w:rPr>
        <w:t>,</w:t>
      </w:r>
      <w:r w:rsidR="004C46F3">
        <w:rPr>
          <w:lang w:val="en-GB"/>
        </w:rPr>
        <w:t xml:space="preserve"> which may </w:t>
      </w:r>
      <w:r w:rsidR="002D47EB">
        <w:rPr>
          <w:lang w:val="en-GB"/>
        </w:rPr>
        <w:t>make</w:t>
      </w:r>
      <w:r w:rsidR="004C46F3">
        <w:rPr>
          <w:lang w:val="en-GB"/>
        </w:rPr>
        <w:t xml:space="preserve"> venous access </w:t>
      </w:r>
      <w:r w:rsidR="002D47EB">
        <w:rPr>
          <w:lang w:val="en-GB"/>
        </w:rPr>
        <w:t>more challenging</w:t>
      </w:r>
      <w:r w:rsidR="00EB4695">
        <w:rPr>
          <w:lang w:val="en-GB"/>
        </w:rPr>
        <w:t>.</w:t>
      </w:r>
    </w:p>
    <w:p w:rsidR="007E720E" w:rsidRPr="006D72F3" w:rsidRDefault="008B4199" w:rsidP="006D72F3">
      <w:pPr>
        <w:pStyle w:val="Numberedlevel2text"/>
        <w:rPr>
          <w:lang w:val="en-GB"/>
        </w:rPr>
      </w:pPr>
      <w:r>
        <w:rPr>
          <w:lang w:val="en-GB"/>
        </w:rPr>
        <w:t xml:space="preserve">Iron overload </w:t>
      </w:r>
      <w:r w:rsidR="00F53070">
        <w:rPr>
          <w:lang w:val="en-GB"/>
        </w:rPr>
        <w:t>may</w:t>
      </w:r>
      <w:r>
        <w:rPr>
          <w:lang w:val="en-GB"/>
        </w:rPr>
        <w:t xml:space="preserve"> lead to serious long</w:t>
      </w:r>
      <w:r w:rsidR="00F53070">
        <w:rPr>
          <w:lang w:val="en-GB"/>
        </w:rPr>
        <w:t>-</w:t>
      </w:r>
      <w:r>
        <w:rPr>
          <w:lang w:val="en-GB"/>
        </w:rPr>
        <w:t>term complications. This can be avoided</w:t>
      </w:r>
      <w:r w:rsidR="00F53070">
        <w:rPr>
          <w:lang w:val="en-GB"/>
        </w:rPr>
        <w:t xml:space="preserve"> through</w:t>
      </w:r>
      <w:r>
        <w:rPr>
          <w:lang w:val="en-GB"/>
        </w:rPr>
        <w:t xml:space="preserve"> iron</w:t>
      </w:r>
      <w:r w:rsidR="00F53070">
        <w:rPr>
          <w:lang w:val="en-GB"/>
        </w:rPr>
        <w:t>-</w:t>
      </w:r>
      <w:r>
        <w:rPr>
          <w:lang w:val="en-GB"/>
        </w:rPr>
        <w:t xml:space="preserve">neutral exchange transfusion </w:t>
      </w:r>
      <w:r w:rsidR="0020661C">
        <w:rPr>
          <w:lang w:val="en-GB"/>
        </w:rPr>
        <w:t>or chelation</w:t>
      </w:r>
      <w:r>
        <w:rPr>
          <w:lang w:val="en-GB"/>
        </w:rPr>
        <w:t xml:space="preserve"> therapy.</w:t>
      </w:r>
      <w:r w:rsidR="00EB4695">
        <w:rPr>
          <w:lang w:val="en-GB"/>
        </w:rPr>
        <w:t xml:space="preserve"> </w:t>
      </w:r>
      <w:r w:rsidR="006D72F3" w:rsidRPr="006D72F3">
        <w:rPr>
          <w:lang w:val="en-GB"/>
        </w:rPr>
        <w:t xml:space="preserve">However, </w:t>
      </w:r>
      <w:r w:rsidR="00565DCA">
        <w:rPr>
          <w:lang w:val="en-GB"/>
        </w:rPr>
        <w:t>chelation therapies</w:t>
      </w:r>
      <w:r w:rsidR="006D72F3" w:rsidRPr="006D72F3">
        <w:rPr>
          <w:lang w:val="en-GB"/>
        </w:rPr>
        <w:t xml:space="preserve"> are poorly tolerated</w:t>
      </w:r>
      <w:r>
        <w:rPr>
          <w:lang w:val="en-GB"/>
        </w:rPr>
        <w:t xml:space="preserve"> by patients</w:t>
      </w:r>
      <w:r w:rsidR="006D72F3" w:rsidRPr="006D72F3">
        <w:rPr>
          <w:lang w:val="en-GB"/>
        </w:rPr>
        <w:t xml:space="preserve"> </w:t>
      </w:r>
      <w:r w:rsidR="008376D6">
        <w:rPr>
          <w:lang w:val="en-GB"/>
        </w:rPr>
        <w:t>who can experience</w:t>
      </w:r>
      <w:r w:rsidR="006D72F3" w:rsidRPr="006D72F3">
        <w:rPr>
          <w:lang w:val="en-GB"/>
        </w:rPr>
        <w:t xml:space="preserve"> severe gastrointestinal adverse effects</w:t>
      </w:r>
      <w:r w:rsidR="008376D6">
        <w:rPr>
          <w:lang w:val="en-GB"/>
        </w:rPr>
        <w:t>.</w:t>
      </w:r>
      <w:r w:rsidR="006D72F3" w:rsidRPr="006D72F3">
        <w:rPr>
          <w:lang w:val="en-GB"/>
        </w:rPr>
        <w:t xml:space="preserve"> </w:t>
      </w:r>
      <w:r w:rsidR="008376D6">
        <w:rPr>
          <w:lang w:val="en-GB"/>
        </w:rPr>
        <w:t>When</w:t>
      </w:r>
      <w:r w:rsidR="006D72F3" w:rsidRPr="006D72F3">
        <w:rPr>
          <w:lang w:val="en-GB"/>
        </w:rPr>
        <w:t xml:space="preserve"> desferrioxamine</w:t>
      </w:r>
      <w:r w:rsidR="008376D6">
        <w:rPr>
          <w:lang w:val="en-GB"/>
        </w:rPr>
        <w:t xml:space="preserve"> is used, this needs to be </w:t>
      </w:r>
      <w:r w:rsidR="006D72F3" w:rsidRPr="006D72F3">
        <w:rPr>
          <w:lang w:val="en-GB"/>
        </w:rPr>
        <w:t>administered by an overnight infusion pump</w:t>
      </w:r>
      <w:r w:rsidR="008376D6">
        <w:rPr>
          <w:lang w:val="en-GB"/>
        </w:rPr>
        <w:t xml:space="preserve"> which is less convenient for patients</w:t>
      </w:r>
      <w:r w:rsidR="006D72F3" w:rsidRPr="006D72F3">
        <w:rPr>
          <w:lang w:val="en-GB"/>
        </w:rPr>
        <w:t>.</w:t>
      </w:r>
    </w:p>
    <w:p w:rsidR="00B44F29" w:rsidRPr="00B44F29" w:rsidRDefault="00B44F29" w:rsidP="00CD587B">
      <w:pPr>
        <w:pStyle w:val="Numberedlevel2text"/>
        <w:rPr>
          <w:lang w:val="en-GB"/>
        </w:rPr>
      </w:pPr>
      <w:r>
        <w:rPr>
          <w:lang w:val="en-GB"/>
        </w:rPr>
        <w:t xml:space="preserve">Regular exchange transfusions are </w:t>
      </w:r>
      <w:r w:rsidR="002600CE">
        <w:rPr>
          <w:lang w:val="en-GB"/>
        </w:rPr>
        <w:t xml:space="preserve">considered to be </w:t>
      </w:r>
      <w:r>
        <w:rPr>
          <w:lang w:val="en-GB"/>
        </w:rPr>
        <w:t xml:space="preserve">the </w:t>
      </w:r>
      <w:r w:rsidR="00565DCA">
        <w:rPr>
          <w:lang w:val="en-GB"/>
        </w:rPr>
        <w:t>best option</w:t>
      </w:r>
      <w:r>
        <w:rPr>
          <w:lang w:val="en-GB"/>
        </w:rPr>
        <w:t xml:space="preserve"> for patients at high risk of vaso-occlusive events </w:t>
      </w:r>
      <w:r w:rsidR="00565DCA">
        <w:rPr>
          <w:lang w:val="en-GB"/>
        </w:rPr>
        <w:t>because</w:t>
      </w:r>
      <w:r w:rsidR="005D1EBA">
        <w:rPr>
          <w:lang w:val="en-GB"/>
        </w:rPr>
        <w:t>,</w:t>
      </w:r>
      <w:r>
        <w:rPr>
          <w:lang w:val="en-GB"/>
        </w:rPr>
        <w:t xml:space="preserve"> </w:t>
      </w:r>
      <w:r w:rsidR="00565DCA">
        <w:rPr>
          <w:lang w:val="en-GB"/>
        </w:rPr>
        <w:t>unlike top-up transfusion</w:t>
      </w:r>
      <w:r w:rsidR="005D1EBA">
        <w:rPr>
          <w:lang w:val="en-GB"/>
        </w:rPr>
        <w:t>,</w:t>
      </w:r>
      <w:r w:rsidR="00565DCA">
        <w:rPr>
          <w:lang w:val="en-GB"/>
        </w:rPr>
        <w:t xml:space="preserve"> they do not increase </w:t>
      </w:r>
      <w:r>
        <w:rPr>
          <w:lang w:val="en-GB"/>
        </w:rPr>
        <w:t xml:space="preserve">blood viscosity. </w:t>
      </w:r>
      <w:r w:rsidR="00565DCA">
        <w:rPr>
          <w:lang w:val="en-GB"/>
        </w:rPr>
        <w:t xml:space="preserve">High-risk </w:t>
      </w:r>
      <w:r>
        <w:rPr>
          <w:lang w:val="en-GB"/>
        </w:rPr>
        <w:t xml:space="preserve">patients </w:t>
      </w:r>
      <w:r w:rsidR="008B4199">
        <w:rPr>
          <w:lang w:val="en-GB"/>
        </w:rPr>
        <w:t xml:space="preserve">include those </w:t>
      </w:r>
      <w:r w:rsidR="001847D3">
        <w:rPr>
          <w:lang w:val="en-GB"/>
        </w:rPr>
        <w:t xml:space="preserve">who </w:t>
      </w:r>
      <w:r w:rsidR="008B4199">
        <w:rPr>
          <w:lang w:val="en-GB"/>
        </w:rPr>
        <w:t>have had</w:t>
      </w:r>
      <w:r>
        <w:rPr>
          <w:lang w:val="en-GB"/>
        </w:rPr>
        <w:t xml:space="preserve"> recurrent hospitalisations </w:t>
      </w:r>
      <w:r w:rsidR="00565DCA">
        <w:rPr>
          <w:lang w:val="en-GB"/>
        </w:rPr>
        <w:t xml:space="preserve">because of </w:t>
      </w:r>
      <w:r>
        <w:rPr>
          <w:lang w:val="en-GB"/>
        </w:rPr>
        <w:t>disease complications</w:t>
      </w:r>
      <w:r w:rsidR="00ED1D45">
        <w:rPr>
          <w:lang w:val="en-GB"/>
        </w:rPr>
        <w:t>.</w:t>
      </w:r>
      <w:r>
        <w:rPr>
          <w:lang w:val="en-GB"/>
        </w:rPr>
        <w:t xml:space="preserve"> </w:t>
      </w:r>
      <w:r w:rsidR="00ED1D45">
        <w:rPr>
          <w:lang w:val="en-GB"/>
        </w:rPr>
        <w:t>Patients at a high risk of stroke ma</w:t>
      </w:r>
      <w:r w:rsidR="008B4199">
        <w:rPr>
          <w:lang w:val="en-GB"/>
        </w:rPr>
        <w:t>y be identified through the use of screening tests such as trans-cranial Doppler.</w:t>
      </w:r>
    </w:p>
    <w:p w:rsidR="00016C1D" w:rsidRPr="007A2FE6" w:rsidRDefault="00016C1D" w:rsidP="00016C1D">
      <w:pPr>
        <w:pStyle w:val="Numberedlevel2text"/>
        <w:rPr>
          <w:lang w:val="en-GB"/>
        </w:rPr>
      </w:pPr>
      <w:r w:rsidRPr="007A2FE6">
        <w:rPr>
          <w:lang w:val="en-GB"/>
        </w:rPr>
        <w:t xml:space="preserve">Services for people with </w:t>
      </w:r>
      <w:r w:rsidR="00CD587B" w:rsidRPr="007A2FE6">
        <w:rPr>
          <w:lang w:val="en-GB"/>
        </w:rPr>
        <w:t>sickle cell disease</w:t>
      </w:r>
      <w:r w:rsidRPr="007A2FE6">
        <w:rPr>
          <w:lang w:val="en-GB"/>
        </w:rPr>
        <w:t xml:space="preserve"> vary by region, </w:t>
      </w:r>
      <w:r w:rsidR="0005553E">
        <w:rPr>
          <w:lang w:val="en-GB"/>
        </w:rPr>
        <w:t>and tend to be</w:t>
      </w:r>
      <w:r w:rsidRPr="007A2FE6">
        <w:rPr>
          <w:lang w:val="en-GB"/>
        </w:rPr>
        <w:t xml:space="preserve"> concentrated in major cities. Patients outside these areas may have alternative, possibly suboptimal</w:t>
      </w:r>
      <w:r w:rsidR="00FE5DAA" w:rsidRPr="007717F9">
        <w:rPr>
          <w:lang w:val="en-GB"/>
        </w:rPr>
        <w:t>,</w:t>
      </w:r>
      <w:r w:rsidRPr="007717F9">
        <w:rPr>
          <w:lang w:val="en-GB"/>
        </w:rPr>
        <w:t xml:space="preserve"> </w:t>
      </w:r>
      <w:r w:rsidRPr="00F6103E">
        <w:rPr>
          <w:lang w:val="en-GB"/>
        </w:rPr>
        <w:t>treatment or need to trav</w:t>
      </w:r>
      <w:r w:rsidRPr="002B7710">
        <w:rPr>
          <w:lang w:val="en-GB"/>
        </w:rPr>
        <w:t xml:space="preserve">el </w:t>
      </w:r>
      <w:r w:rsidR="008B4199" w:rsidRPr="00C00F2B">
        <w:rPr>
          <w:lang w:val="en-GB"/>
        </w:rPr>
        <w:t>large distances</w:t>
      </w:r>
      <w:r w:rsidR="00EB4695" w:rsidRPr="002D040C">
        <w:rPr>
          <w:lang w:val="en-GB"/>
        </w:rPr>
        <w:t xml:space="preserve"> </w:t>
      </w:r>
      <w:r w:rsidRPr="00130A69">
        <w:rPr>
          <w:lang w:val="en-GB"/>
        </w:rPr>
        <w:t>for red blood cell exchange.</w:t>
      </w:r>
      <w:r w:rsidR="00F6103E" w:rsidRPr="00130A69">
        <w:rPr>
          <w:lang w:val="en-GB"/>
        </w:rPr>
        <w:t xml:space="preserve"> </w:t>
      </w:r>
      <w:r w:rsidR="001847D3">
        <w:rPr>
          <w:lang w:val="en-GB"/>
        </w:rPr>
        <w:t>A</w:t>
      </w:r>
      <w:r w:rsidR="00F6103E" w:rsidRPr="004B44E2">
        <w:rPr>
          <w:lang w:val="en-GB"/>
        </w:rPr>
        <w:t xml:space="preserve">lmost all patients with sickle cell disease are black or from minority ethnic </w:t>
      </w:r>
      <w:proofErr w:type="gramStart"/>
      <w:r w:rsidR="00F6103E" w:rsidRPr="004B44E2">
        <w:rPr>
          <w:lang w:val="en-GB"/>
        </w:rPr>
        <w:t>groups,</w:t>
      </w:r>
      <w:proofErr w:type="gramEnd"/>
      <w:r w:rsidR="00F6103E" w:rsidRPr="00F6103E">
        <w:rPr>
          <w:lang w:val="en-GB"/>
        </w:rPr>
        <w:t xml:space="preserve"> and a</w:t>
      </w:r>
      <w:r w:rsidR="00CD587B" w:rsidRPr="002D040C">
        <w:rPr>
          <w:lang w:val="en-GB"/>
        </w:rPr>
        <w:t>ll treatment options should be available to people</w:t>
      </w:r>
      <w:r w:rsidR="00E55294" w:rsidRPr="00F6103E">
        <w:rPr>
          <w:lang w:val="en-GB"/>
        </w:rPr>
        <w:t xml:space="preserve"> with sickle cell disease </w:t>
      </w:r>
      <w:r w:rsidR="008C4D8D" w:rsidRPr="00F6103E">
        <w:rPr>
          <w:lang w:val="en-GB"/>
        </w:rPr>
        <w:t>to ensure that</w:t>
      </w:r>
      <w:r w:rsidR="008C4D8D" w:rsidRPr="005F613B">
        <w:rPr>
          <w:lang w:val="en-GB"/>
        </w:rPr>
        <w:t xml:space="preserve"> complications are avoided and a good quality of life is maintained</w:t>
      </w:r>
      <w:r w:rsidR="00F6103E">
        <w:rPr>
          <w:lang w:val="en-GB"/>
        </w:rPr>
        <w:t xml:space="preserve">. </w:t>
      </w:r>
      <w:r w:rsidR="007A2FE6" w:rsidRPr="007A2FE6">
        <w:rPr>
          <w:lang w:val="en-GB"/>
        </w:rPr>
        <w:t xml:space="preserve">The </w:t>
      </w:r>
      <w:r w:rsidR="006C1C9C">
        <w:rPr>
          <w:lang w:val="en-GB"/>
        </w:rPr>
        <w:t xml:space="preserve">NHS England specialised commissioning </w:t>
      </w:r>
      <w:r w:rsidR="007A2FE6" w:rsidRPr="007A2FE6">
        <w:rPr>
          <w:lang w:val="en-GB"/>
        </w:rPr>
        <w:t xml:space="preserve">clinical reference group that </w:t>
      </w:r>
      <w:r w:rsidR="005A16E1">
        <w:rPr>
          <w:lang w:val="en-GB"/>
        </w:rPr>
        <w:t>advises on</w:t>
      </w:r>
      <w:r w:rsidR="005A16E1" w:rsidRPr="007A2FE6">
        <w:rPr>
          <w:lang w:val="en-GB"/>
        </w:rPr>
        <w:t xml:space="preserve"> </w:t>
      </w:r>
      <w:r w:rsidR="007A2FE6" w:rsidRPr="007A2FE6">
        <w:rPr>
          <w:lang w:val="en-GB"/>
        </w:rPr>
        <w:t xml:space="preserve">this service, </w:t>
      </w:r>
      <w:hyperlink r:id="rId12" w:history="1">
        <w:r w:rsidR="007A2FE6" w:rsidRPr="007A2FE6">
          <w:rPr>
            <w:rStyle w:val="Hyperlink"/>
            <w:lang w:val="en-GB"/>
          </w:rPr>
          <w:t xml:space="preserve">F05 </w:t>
        </w:r>
        <w:proofErr w:type="spellStart"/>
        <w:r w:rsidR="007A2FE6" w:rsidRPr="007A2FE6">
          <w:rPr>
            <w:rStyle w:val="Hyperlink"/>
            <w:lang w:val="en-GB"/>
          </w:rPr>
          <w:t>Haemoglobinopathies</w:t>
        </w:r>
        <w:proofErr w:type="spellEnd"/>
      </w:hyperlink>
      <w:r w:rsidR="007A2FE6" w:rsidRPr="001847D3">
        <w:t xml:space="preserve">, is currently reviewing service provision across the UK. </w:t>
      </w:r>
    </w:p>
    <w:p w:rsidR="007F49BA" w:rsidRPr="007E5C56" w:rsidRDefault="007F49BA" w:rsidP="00CA45BA">
      <w:pPr>
        <w:pStyle w:val="Numberedheading1"/>
        <w:rPr>
          <w:lang w:val="en-GB"/>
        </w:rPr>
      </w:pPr>
      <w:r w:rsidRPr="007E5C56">
        <w:rPr>
          <w:lang w:val="en-GB"/>
        </w:rPr>
        <w:t>Clinical evidence</w:t>
      </w:r>
    </w:p>
    <w:p w:rsidR="007F49BA" w:rsidRPr="007E5C56" w:rsidRDefault="007F49BA" w:rsidP="00CA45BA">
      <w:pPr>
        <w:pStyle w:val="Heading2"/>
        <w:rPr>
          <w:lang w:val="en-GB"/>
        </w:rPr>
      </w:pPr>
      <w:r w:rsidRPr="007E5C56">
        <w:rPr>
          <w:lang w:val="en-GB"/>
        </w:rPr>
        <w:t>Summary of clinical evidence</w:t>
      </w:r>
    </w:p>
    <w:p w:rsidR="007F49BA" w:rsidRPr="007E5C56" w:rsidRDefault="007F49BA" w:rsidP="00CA45BA">
      <w:pPr>
        <w:pStyle w:val="Numberedlevel2text"/>
        <w:rPr>
          <w:lang w:val="en-GB"/>
        </w:rPr>
      </w:pPr>
      <w:r w:rsidRPr="007E5C56">
        <w:rPr>
          <w:lang w:val="en-GB"/>
        </w:rPr>
        <w:t xml:space="preserve">The key clinical outcomes for </w:t>
      </w:r>
      <w:r w:rsidR="00130A69">
        <w:rPr>
          <w:lang w:val="en-GB"/>
        </w:rPr>
        <w:t>Spectra Optia</w:t>
      </w:r>
      <w:r w:rsidR="00CA45BA" w:rsidRPr="007E5C56">
        <w:rPr>
          <w:lang w:val="en-GB"/>
        </w:rPr>
        <w:t xml:space="preserve"> </w:t>
      </w:r>
      <w:r w:rsidRPr="007E5C56">
        <w:rPr>
          <w:lang w:val="en-GB"/>
        </w:rPr>
        <w:t>presented in the decision problem were:</w:t>
      </w:r>
    </w:p>
    <w:p w:rsidR="00CA45BA" w:rsidRPr="007E5C56" w:rsidRDefault="00565DCA" w:rsidP="00565DCA">
      <w:pPr>
        <w:pStyle w:val="Bulletindent1"/>
      </w:pPr>
      <w:r>
        <w:t>p</w:t>
      </w:r>
      <w:r w:rsidR="00682943" w:rsidRPr="007E5C56">
        <w:t xml:space="preserve">ercentage of </w:t>
      </w:r>
      <w:r w:rsidRPr="00565DCA">
        <w:t>sickle haemoglobin</w:t>
      </w:r>
      <w:r>
        <w:t xml:space="preserve"> (</w:t>
      </w:r>
      <w:r w:rsidR="00682943" w:rsidRPr="007E5C56">
        <w:t>HbS</w:t>
      </w:r>
      <w:r>
        <w:t>)</w:t>
      </w:r>
      <w:r w:rsidR="00682943" w:rsidRPr="007E5C56">
        <w:t xml:space="preserve"> </w:t>
      </w:r>
    </w:p>
    <w:p w:rsidR="00CA45BA" w:rsidRPr="007E5C56" w:rsidRDefault="008C4D8D" w:rsidP="00CA45BA">
      <w:pPr>
        <w:pStyle w:val="Bulletindent1"/>
      </w:pPr>
      <w:r>
        <w:t xml:space="preserve">frequency and length </w:t>
      </w:r>
      <w:r w:rsidR="00682943" w:rsidRPr="007E5C56">
        <w:t>of procedure</w:t>
      </w:r>
    </w:p>
    <w:p w:rsidR="00682943" w:rsidRPr="007E5C56" w:rsidRDefault="00565DCA" w:rsidP="00CA45BA">
      <w:pPr>
        <w:pStyle w:val="Bulletindent1"/>
      </w:pPr>
      <w:r>
        <w:t>s</w:t>
      </w:r>
      <w:r w:rsidR="00682943" w:rsidRPr="007E5C56">
        <w:t xml:space="preserve">taff time and group/grade </w:t>
      </w:r>
      <w:r>
        <w:t>needed</w:t>
      </w:r>
      <w:r w:rsidRPr="007E5C56">
        <w:t xml:space="preserve"> </w:t>
      </w:r>
      <w:r w:rsidR="00682943" w:rsidRPr="007E5C56">
        <w:t>to perform exchange</w:t>
      </w:r>
      <w:r w:rsidR="008C4D8D">
        <w:t xml:space="preserve"> transfusion</w:t>
      </w:r>
    </w:p>
    <w:p w:rsidR="00682943" w:rsidRPr="007E5C56" w:rsidRDefault="00565DCA" w:rsidP="00CA45BA">
      <w:pPr>
        <w:pStyle w:val="Bulletindent1"/>
      </w:pPr>
      <w:r>
        <w:t>c</w:t>
      </w:r>
      <w:r w:rsidR="00682943" w:rsidRPr="007E5C56">
        <w:t>linical outcomes</w:t>
      </w:r>
    </w:p>
    <w:p w:rsidR="00CA45BA" w:rsidRPr="007E5C56" w:rsidRDefault="00565DCA" w:rsidP="00682943">
      <w:pPr>
        <w:pStyle w:val="Bulletindent1last"/>
        <w:spacing w:after="0"/>
      </w:pPr>
      <w:r>
        <w:t>h</w:t>
      </w:r>
      <w:r w:rsidR="00682943" w:rsidRPr="007E5C56">
        <w:t xml:space="preserve">aematocrit, iron overload and </w:t>
      </w:r>
      <w:r>
        <w:t>need</w:t>
      </w:r>
      <w:r w:rsidRPr="007E5C56">
        <w:t xml:space="preserve"> </w:t>
      </w:r>
      <w:r w:rsidR="00682943" w:rsidRPr="007E5C56">
        <w:t>for chelation therapy</w:t>
      </w:r>
    </w:p>
    <w:p w:rsidR="00682943" w:rsidRPr="007E5C56" w:rsidRDefault="00565DCA" w:rsidP="00682943">
      <w:pPr>
        <w:pStyle w:val="Bulletindent1last"/>
        <w:spacing w:after="0"/>
      </w:pPr>
      <w:r>
        <w:t>l</w:t>
      </w:r>
      <w:r w:rsidR="00682943" w:rsidRPr="007E5C56">
        <w:t>ength of hospital stay for complications</w:t>
      </w:r>
    </w:p>
    <w:p w:rsidR="00682943" w:rsidRPr="00565DCA" w:rsidRDefault="00565DCA" w:rsidP="00AE1145">
      <w:pPr>
        <w:pStyle w:val="Bulletindent1last"/>
      </w:pPr>
      <w:proofErr w:type="gramStart"/>
      <w:r w:rsidRPr="00565DCA">
        <w:t>v</w:t>
      </w:r>
      <w:r w:rsidR="00682943" w:rsidRPr="00565DCA">
        <w:t>enous</w:t>
      </w:r>
      <w:proofErr w:type="gramEnd"/>
      <w:r w:rsidR="00682943" w:rsidRPr="00565DCA">
        <w:t xml:space="preserve"> access success rates and device-related adverse events</w:t>
      </w:r>
      <w:r w:rsidRPr="00565DCA">
        <w:t>.</w:t>
      </w:r>
    </w:p>
    <w:p w:rsidR="002C6396" w:rsidRPr="007E5C56" w:rsidRDefault="00A0460E" w:rsidP="00A0460E">
      <w:pPr>
        <w:pStyle w:val="Numberedlevel2text"/>
        <w:rPr>
          <w:lang w:val="en-GB"/>
        </w:rPr>
      </w:pPr>
      <w:r w:rsidRPr="007E5C56">
        <w:rPr>
          <w:lang w:val="en-GB"/>
        </w:rPr>
        <w:t xml:space="preserve">The company carried out 2 separate literature reviews, identifying a total of </w:t>
      </w:r>
      <w:r w:rsidR="00FE5DAA">
        <w:rPr>
          <w:lang w:val="en-GB"/>
        </w:rPr>
        <w:t>43</w:t>
      </w:r>
      <w:r w:rsidR="00FE5DAA" w:rsidRPr="007E5C56">
        <w:rPr>
          <w:lang w:val="en-GB"/>
        </w:rPr>
        <w:t xml:space="preserve"> </w:t>
      </w:r>
      <w:r w:rsidRPr="007E5C56">
        <w:rPr>
          <w:lang w:val="en-GB"/>
        </w:rPr>
        <w:t xml:space="preserve">studies </w:t>
      </w:r>
      <w:r w:rsidR="00FE5DAA">
        <w:rPr>
          <w:lang w:val="en-GB"/>
        </w:rPr>
        <w:t>including</w:t>
      </w:r>
      <w:r w:rsidR="00FE5DAA" w:rsidRPr="007E5C56">
        <w:rPr>
          <w:lang w:val="en-GB"/>
        </w:rPr>
        <w:t xml:space="preserve"> </w:t>
      </w:r>
      <w:r w:rsidRPr="007E5C56">
        <w:rPr>
          <w:lang w:val="en-GB"/>
        </w:rPr>
        <w:t>4 studies relating to adverse events only</w:t>
      </w:r>
      <w:r w:rsidR="007A2FE6">
        <w:rPr>
          <w:lang w:val="en-GB"/>
        </w:rPr>
        <w:t xml:space="preserve">; </w:t>
      </w:r>
      <w:r w:rsidR="004B275C">
        <w:rPr>
          <w:lang w:val="en-GB"/>
        </w:rPr>
        <w:t xml:space="preserve">30 of these were </w:t>
      </w:r>
      <w:r w:rsidR="000F0E6E">
        <w:rPr>
          <w:lang w:val="en-GB"/>
        </w:rPr>
        <w:t xml:space="preserve">presented </w:t>
      </w:r>
      <w:r w:rsidR="004B275C">
        <w:rPr>
          <w:lang w:val="en-GB"/>
        </w:rPr>
        <w:t xml:space="preserve">in the company submission. </w:t>
      </w:r>
      <w:r w:rsidR="007A2FE6">
        <w:rPr>
          <w:lang w:val="en-GB"/>
        </w:rPr>
        <w:t>Only 6</w:t>
      </w:r>
      <w:r w:rsidRPr="007E5C56">
        <w:rPr>
          <w:lang w:val="en-GB"/>
        </w:rPr>
        <w:t xml:space="preserve"> of the </w:t>
      </w:r>
      <w:r w:rsidR="000F0E6E">
        <w:rPr>
          <w:lang w:val="en-GB"/>
        </w:rPr>
        <w:t xml:space="preserve">30 </w:t>
      </w:r>
      <w:r w:rsidRPr="007E5C56">
        <w:rPr>
          <w:lang w:val="en-GB"/>
        </w:rPr>
        <w:t xml:space="preserve">studies </w:t>
      </w:r>
      <w:r w:rsidR="007A2FE6">
        <w:rPr>
          <w:lang w:val="en-GB"/>
        </w:rPr>
        <w:t xml:space="preserve">directly </w:t>
      </w:r>
      <w:r w:rsidRPr="007E5C56">
        <w:rPr>
          <w:lang w:val="en-GB"/>
        </w:rPr>
        <w:t>compared the Spectra Optia system, or its predecessor the Cobe Spectra system, with manual red blood cell exchange.</w:t>
      </w:r>
    </w:p>
    <w:p w:rsidR="00CA45BA" w:rsidRPr="007E5C56" w:rsidRDefault="00A0460E" w:rsidP="00A0460E">
      <w:pPr>
        <w:pStyle w:val="Numberedlevel2text"/>
        <w:rPr>
          <w:lang w:val="en-GB"/>
        </w:rPr>
      </w:pPr>
      <w:r w:rsidRPr="007E5C56">
        <w:rPr>
          <w:lang w:val="en-GB"/>
        </w:rPr>
        <w:t xml:space="preserve">The </w:t>
      </w:r>
      <w:r w:rsidR="00565DCA">
        <w:rPr>
          <w:lang w:val="en-GB"/>
        </w:rPr>
        <w:t>External Assessment Centre</w:t>
      </w:r>
      <w:r w:rsidRPr="007E5C56">
        <w:rPr>
          <w:lang w:val="en-GB"/>
        </w:rPr>
        <w:t xml:space="preserve"> </w:t>
      </w:r>
      <w:r w:rsidR="000F0E6E">
        <w:rPr>
          <w:lang w:val="en-GB"/>
        </w:rPr>
        <w:t>carried out</w:t>
      </w:r>
      <w:r w:rsidRPr="007E5C56">
        <w:rPr>
          <w:lang w:val="en-GB"/>
        </w:rPr>
        <w:t xml:space="preserve"> an additional literature </w:t>
      </w:r>
      <w:r w:rsidR="000F0E6E">
        <w:rPr>
          <w:lang w:val="en-GB"/>
        </w:rPr>
        <w:t>search</w:t>
      </w:r>
      <w:r w:rsidRPr="007E5C56">
        <w:rPr>
          <w:lang w:val="en-GB"/>
        </w:rPr>
        <w:t xml:space="preserve"> </w:t>
      </w:r>
      <w:r w:rsidR="00565DCA">
        <w:rPr>
          <w:lang w:val="en-GB"/>
        </w:rPr>
        <w:t xml:space="preserve">which </w:t>
      </w:r>
      <w:r w:rsidRPr="007E5C56">
        <w:rPr>
          <w:lang w:val="en-GB"/>
        </w:rPr>
        <w:t xml:space="preserve">identified 31 studies </w:t>
      </w:r>
      <w:r w:rsidR="004F50ED" w:rsidRPr="007E5C56">
        <w:rPr>
          <w:lang w:val="en-GB"/>
        </w:rPr>
        <w:t>as being relevant to the decision problem</w:t>
      </w:r>
      <w:r w:rsidR="004F50ED">
        <w:rPr>
          <w:lang w:val="en-GB"/>
        </w:rPr>
        <w:t>,</w:t>
      </w:r>
      <w:r w:rsidR="004F50ED" w:rsidRPr="007E5C56">
        <w:rPr>
          <w:lang w:val="en-GB"/>
        </w:rPr>
        <w:t xml:space="preserve"> </w:t>
      </w:r>
      <w:r w:rsidR="00565DCA">
        <w:rPr>
          <w:lang w:val="en-GB"/>
        </w:rPr>
        <w:t>including</w:t>
      </w:r>
      <w:r w:rsidR="004F50ED" w:rsidRPr="007E5C56">
        <w:rPr>
          <w:lang w:val="en-GB"/>
        </w:rPr>
        <w:t xml:space="preserve"> </w:t>
      </w:r>
      <w:r w:rsidRPr="007E5C56">
        <w:rPr>
          <w:lang w:val="en-GB"/>
        </w:rPr>
        <w:t xml:space="preserve">27 </w:t>
      </w:r>
      <w:r w:rsidR="00565DCA">
        <w:rPr>
          <w:lang w:val="en-GB"/>
        </w:rPr>
        <w:t>that were also</w:t>
      </w:r>
      <w:r w:rsidRPr="007E5C56">
        <w:rPr>
          <w:lang w:val="en-GB"/>
        </w:rPr>
        <w:t xml:space="preserve"> identified by the company. It excluded 5 </w:t>
      </w:r>
      <w:r w:rsidR="000F0E6E">
        <w:rPr>
          <w:lang w:val="en-GB"/>
        </w:rPr>
        <w:t xml:space="preserve">of the 30 </w:t>
      </w:r>
      <w:r w:rsidRPr="007E5C56">
        <w:rPr>
          <w:lang w:val="en-GB"/>
        </w:rPr>
        <w:t xml:space="preserve">studies </w:t>
      </w:r>
      <w:r w:rsidR="000F0E6E">
        <w:rPr>
          <w:lang w:val="en-GB"/>
        </w:rPr>
        <w:t>presented</w:t>
      </w:r>
      <w:r w:rsidRPr="007E5C56">
        <w:rPr>
          <w:lang w:val="en-GB"/>
        </w:rPr>
        <w:t xml:space="preserve"> by the company but identified 4 additional studies. After excluding studies judged to be of very low quality or not of direct relevance to the decision problem, the </w:t>
      </w:r>
      <w:r w:rsidR="00565DCA">
        <w:rPr>
          <w:lang w:val="en-GB"/>
        </w:rPr>
        <w:t>External Assessment Centre</w:t>
      </w:r>
      <w:r w:rsidRPr="007E5C56">
        <w:rPr>
          <w:lang w:val="en-GB"/>
        </w:rPr>
        <w:t xml:space="preserve"> identified 12 studies that </w:t>
      </w:r>
      <w:r w:rsidRPr="007E5C56">
        <w:rPr>
          <w:lang w:val="en-GB"/>
        </w:rPr>
        <w:lastRenderedPageBreak/>
        <w:t>could potentially provide useful evidence for the evaluation. These included the 6 comparative studies identified by the company</w:t>
      </w:r>
      <w:r w:rsidR="00E134B0" w:rsidRPr="007E5C56">
        <w:rPr>
          <w:lang w:val="en-GB"/>
        </w:rPr>
        <w:t>.</w:t>
      </w:r>
    </w:p>
    <w:p w:rsidR="00E134B0" w:rsidRPr="007E5C56" w:rsidRDefault="00E134B0" w:rsidP="00E134B0">
      <w:pPr>
        <w:pStyle w:val="Heading3"/>
      </w:pPr>
      <w:r w:rsidRPr="007E5C56">
        <w:t>Comparative studies</w:t>
      </w:r>
    </w:p>
    <w:p w:rsidR="00E134B0" w:rsidRPr="00D5476A" w:rsidRDefault="00E134B0" w:rsidP="00E134B0">
      <w:pPr>
        <w:pStyle w:val="Numberedlevel2text"/>
        <w:rPr>
          <w:lang w:val="en-GB"/>
        </w:rPr>
      </w:pPr>
      <w:proofErr w:type="spellStart"/>
      <w:r w:rsidRPr="0051400A">
        <w:rPr>
          <w:lang w:val="en-GB"/>
        </w:rPr>
        <w:t>Cabibbo</w:t>
      </w:r>
      <w:proofErr w:type="spellEnd"/>
      <w:r w:rsidRPr="0051400A">
        <w:rPr>
          <w:lang w:val="en-GB"/>
        </w:rPr>
        <w:t xml:space="preserve"> et al. (2005) reported on a peer-reviewed retrospective observational study in 20 patients with sickle cell disease who had manual or automated red blood cell exchange. In total,</w:t>
      </w:r>
      <w:r w:rsidR="007A2FE6">
        <w:rPr>
          <w:lang w:val="en-GB"/>
        </w:rPr>
        <w:t xml:space="preserve"> the authors reported</w:t>
      </w:r>
      <w:r w:rsidRPr="0051400A">
        <w:rPr>
          <w:lang w:val="en-GB"/>
        </w:rPr>
        <w:t xml:space="preserve"> 206 automated exchange procedures in 13 patients </w:t>
      </w:r>
      <w:r w:rsidRPr="006734A8">
        <w:rPr>
          <w:lang w:val="en-GB"/>
        </w:rPr>
        <w:t>– around 30% (60/206) of which used the Cobe Spectra system and the rest used 1 of 2 other automated syste</w:t>
      </w:r>
      <w:r w:rsidRPr="00D5476A">
        <w:rPr>
          <w:lang w:val="en-GB"/>
        </w:rPr>
        <w:t>ms – and 188 manual exchange procedure</w:t>
      </w:r>
      <w:r w:rsidR="00492F1D">
        <w:rPr>
          <w:lang w:val="en-GB"/>
        </w:rPr>
        <w:t>s</w:t>
      </w:r>
      <w:r w:rsidR="0051400A" w:rsidRPr="00D5476A">
        <w:rPr>
          <w:lang w:val="en-GB"/>
        </w:rPr>
        <w:t xml:space="preserve"> </w:t>
      </w:r>
      <w:r w:rsidRPr="0051400A">
        <w:rPr>
          <w:lang w:val="en-GB"/>
        </w:rPr>
        <w:t xml:space="preserve">in 7 patients. The results reported procedure time, </w:t>
      </w:r>
      <w:r w:rsidR="00565DCA" w:rsidRPr="0051400A">
        <w:rPr>
          <w:lang w:val="en-GB"/>
        </w:rPr>
        <w:t>red blood cell (</w:t>
      </w:r>
      <w:r w:rsidRPr="0051400A">
        <w:rPr>
          <w:lang w:val="en-GB"/>
        </w:rPr>
        <w:t>RBC</w:t>
      </w:r>
      <w:r w:rsidR="00565DCA" w:rsidRPr="0051400A">
        <w:rPr>
          <w:lang w:val="en-GB"/>
        </w:rPr>
        <w:t>)</w:t>
      </w:r>
      <w:r w:rsidRPr="0051400A">
        <w:rPr>
          <w:lang w:val="en-GB"/>
        </w:rPr>
        <w:t xml:space="preserve"> units used, clinical improvement, iron overload and haemoglobin level of lower than 30% (HbS&lt;30%) achieved, but it was not possible to compare these outcomes with baseline results. The authors concluded that the need for chelation therapy was reduced with</w:t>
      </w:r>
      <w:r w:rsidRPr="006734A8">
        <w:rPr>
          <w:lang w:val="en-GB"/>
        </w:rPr>
        <w:t xml:space="preserve"> automated exchange but that alloimmunisation increased. No statistical analysis comparing automated and manual exc</w:t>
      </w:r>
      <w:r w:rsidRPr="00D5476A">
        <w:rPr>
          <w:lang w:val="en-GB"/>
        </w:rPr>
        <w:t xml:space="preserve">hange results was reported. </w:t>
      </w:r>
    </w:p>
    <w:p w:rsidR="00E134B0" w:rsidRPr="007E5C56" w:rsidRDefault="00E134B0" w:rsidP="00E134B0">
      <w:pPr>
        <w:pStyle w:val="Numberedlevel2text"/>
        <w:rPr>
          <w:lang w:val="en-GB"/>
        </w:rPr>
      </w:pPr>
      <w:proofErr w:type="spellStart"/>
      <w:r w:rsidRPr="007E5C56">
        <w:rPr>
          <w:lang w:val="en-GB"/>
        </w:rPr>
        <w:t>Dedeken</w:t>
      </w:r>
      <w:proofErr w:type="spellEnd"/>
      <w:r w:rsidRPr="007E5C56">
        <w:rPr>
          <w:lang w:val="en-GB"/>
        </w:rPr>
        <w:t xml:space="preserve"> et al. (2014) reported on a retrospective observational cohort study that was published as a conference abstract. In this study, 10 children (median age 11.8 years) who were having manual exchange (median 1.9 years duration) were switched to automated exchange (Spectra Optia, median 1.7 years). Results were reported separately for Spectra Optia use in years 1 and 2. Median HbS for </w:t>
      </w:r>
      <w:r w:rsidR="00130A69">
        <w:rPr>
          <w:lang w:val="en-GB"/>
        </w:rPr>
        <w:t>Spectra Optia</w:t>
      </w:r>
      <w:r w:rsidRPr="007E5C56">
        <w:rPr>
          <w:lang w:val="en-GB"/>
        </w:rPr>
        <w:t xml:space="preserve"> was 40% (range 28.5–42%) in year 1 and 46% (</w:t>
      </w:r>
      <w:r w:rsidR="00DF2659">
        <w:rPr>
          <w:lang w:val="en-GB"/>
        </w:rPr>
        <w:t xml:space="preserve">range </w:t>
      </w:r>
      <w:r w:rsidRPr="007E5C56">
        <w:rPr>
          <w:lang w:val="en-GB"/>
        </w:rPr>
        <w:t xml:space="preserve">31–48%) in year 2 compared with 33.5% across both years (range 25–42%) for manual exchange (p=0.0002). The median length of procedure for </w:t>
      </w:r>
      <w:r w:rsidR="00130A69">
        <w:rPr>
          <w:lang w:val="en-GB"/>
        </w:rPr>
        <w:t>Spectra Optia</w:t>
      </w:r>
      <w:r w:rsidRPr="007E5C56">
        <w:rPr>
          <w:lang w:val="en-GB"/>
        </w:rPr>
        <w:t xml:space="preserve"> was 87.3 minutes and 91.0 minutes in years 1 and 2 respectively, compared with 245 minutes for manual exchange (p=0.0002). The average interval between procedures for </w:t>
      </w:r>
      <w:r w:rsidR="00130A69">
        <w:rPr>
          <w:lang w:val="en-GB"/>
        </w:rPr>
        <w:t>Spectra Optia</w:t>
      </w:r>
      <w:r w:rsidRPr="007E5C56">
        <w:rPr>
          <w:lang w:val="en-GB"/>
        </w:rPr>
        <w:t xml:space="preserve"> was 34 days and 42 days for year 1 and year 2 respectively compared with 28 days for manual exchange (p=0.0002). </w:t>
      </w:r>
      <w:r w:rsidR="00130A69">
        <w:rPr>
          <w:lang w:val="en-GB"/>
        </w:rPr>
        <w:t>Spectra Optia</w:t>
      </w:r>
      <w:r w:rsidRPr="007E5C56">
        <w:rPr>
          <w:lang w:val="en-GB"/>
        </w:rPr>
        <w:t xml:space="preserve"> used 32.2 ml/kg and 30.0 </w:t>
      </w:r>
      <w:r w:rsidRPr="007E5C56">
        <w:rPr>
          <w:lang w:val="en-GB"/>
        </w:rPr>
        <w:lastRenderedPageBreak/>
        <w:t xml:space="preserve">ml/kg body weight of packed RBC in year 1 and year 2 respectively, compared with 18.3 ml/kg used in manual exchange (p&lt;0.0001). In terms of total RBC units used, </w:t>
      </w:r>
      <w:r w:rsidR="00130A69">
        <w:rPr>
          <w:lang w:val="en-GB"/>
        </w:rPr>
        <w:t>Spectra Optia</w:t>
      </w:r>
      <w:r w:rsidRPr="007E5C56">
        <w:rPr>
          <w:lang w:val="en-GB"/>
        </w:rPr>
        <w:t xml:space="preserve"> used 67.0 and 65.5 in year 1 and year 2 respectively, compared with 39.5 used in manual exchange (p&lt;0.0001). </w:t>
      </w:r>
    </w:p>
    <w:p w:rsidR="00E134B0" w:rsidRPr="007E5C56" w:rsidRDefault="00E134B0" w:rsidP="00E134B0">
      <w:pPr>
        <w:pStyle w:val="Numberedlevel2text"/>
        <w:rPr>
          <w:lang w:val="en-GB"/>
        </w:rPr>
      </w:pPr>
      <w:proofErr w:type="spellStart"/>
      <w:r w:rsidRPr="007E5C56">
        <w:rPr>
          <w:lang w:val="en-GB"/>
        </w:rPr>
        <w:t>Duclos</w:t>
      </w:r>
      <w:proofErr w:type="spellEnd"/>
      <w:r w:rsidRPr="007E5C56">
        <w:rPr>
          <w:lang w:val="en-GB"/>
        </w:rPr>
        <w:t xml:space="preserve"> et al. (2013) reported on a retrospective case-matched study that was published as a full article in a peer-reviewed journal. In the study, 5 children (average age 12 years) from different treating centres had exchange with the Cobe Spectra system (60 procedures). These were matched, through weight and age, with children (average age 11 years) from a different centre who had manual exchange (124 procedures). The authors recorded baseline patient data before the procedure, but post-procedural data were not measured. The transfused blood volume for treatment with the Cobe Spectra was higher than that with manual exchange, at 41 ml/kg (95% confidence interval [CI] 19.6–60) compared with 11.1 ml/kg (</w:t>
      </w:r>
      <w:r w:rsidR="00DF2659">
        <w:rPr>
          <w:lang w:val="en-GB"/>
        </w:rPr>
        <w:t xml:space="preserve">95% CI </w:t>
      </w:r>
      <w:r w:rsidRPr="007E5C56">
        <w:rPr>
          <w:lang w:val="en-GB"/>
        </w:rPr>
        <w:t>6.6–20).</w:t>
      </w:r>
    </w:p>
    <w:p w:rsidR="00E134B0" w:rsidRPr="007E5C56" w:rsidRDefault="00E134B0" w:rsidP="00E134B0">
      <w:pPr>
        <w:pStyle w:val="Numberedlevel2text"/>
        <w:rPr>
          <w:lang w:val="en-GB"/>
        </w:rPr>
      </w:pPr>
      <w:r w:rsidRPr="007E5C56">
        <w:rPr>
          <w:lang w:val="en-GB"/>
        </w:rPr>
        <w:t xml:space="preserve">Fasano et al. (2015) reported on a retrospective observational study that was published as a conference abstract and was not peer reviewed. The study aimed to compare the efficacy of different procedures in reducing ferritin and liver iron content. Three procedures were used: simple transfusion (top-up transfusion, 20 patients), partial transfusion (details of procedure not reported, 6 patients) and automated exchange (system presumed Spectra Optia as stated by company, 10 patients). To be eligible, the patients needed to have a minimum of 6 months’ haematological data, but </w:t>
      </w:r>
      <w:r w:rsidR="0086519D">
        <w:rPr>
          <w:lang w:val="en-GB"/>
        </w:rPr>
        <w:t xml:space="preserve">these </w:t>
      </w:r>
      <w:r w:rsidR="00281AD7">
        <w:rPr>
          <w:lang w:val="en-GB"/>
        </w:rPr>
        <w:t xml:space="preserve">data </w:t>
      </w:r>
      <w:r w:rsidR="0086519D">
        <w:rPr>
          <w:lang w:val="en-GB"/>
        </w:rPr>
        <w:t>were</w:t>
      </w:r>
      <w:r w:rsidRPr="007E5C56">
        <w:rPr>
          <w:lang w:val="en-GB"/>
        </w:rPr>
        <w:t xml:space="preserve"> not reported in the abstract</w:t>
      </w:r>
      <w:r w:rsidR="00EB4695">
        <w:rPr>
          <w:lang w:val="en-GB"/>
        </w:rPr>
        <w:t xml:space="preserve">. </w:t>
      </w:r>
      <w:r w:rsidR="008C4D8D">
        <w:rPr>
          <w:lang w:val="en-GB"/>
        </w:rPr>
        <w:t>Changes in ferritin and iron content were reported as well as average HbS and alloimmunisation rates. F</w:t>
      </w:r>
      <w:r w:rsidRPr="007E5C56">
        <w:rPr>
          <w:lang w:val="en-GB"/>
        </w:rPr>
        <w:t>or automated exchange</w:t>
      </w:r>
      <w:r w:rsidR="008C4D8D">
        <w:rPr>
          <w:lang w:val="en-GB"/>
        </w:rPr>
        <w:t>, the average HbS</w:t>
      </w:r>
      <w:r w:rsidRPr="007E5C56">
        <w:rPr>
          <w:lang w:val="en-GB"/>
        </w:rPr>
        <w:t xml:space="preserve"> was 36% with an average ferritin change of −61 ng/ml/month (</w:t>
      </w:r>
      <w:r w:rsidR="00DF2659">
        <w:rPr>
          <w:lang w:val="en-GB"/>
        </w:rPr>
        <w:t xml:space="preserve">range </w:t>
      </w:r>
      <w:r w:rsidRPr="007E5C56">
        <w:rPr>
          <w:lang w:val="en-GB"/>
        </w:rPr>
        <w:t xml:space="preserve">−161 to 17). </w:t>
      </w:r>
      <w:r w:rsidR="008C4D8D">
        <w:rPr>
          <w:lang w:val="en-GB"/>
        </w:rPr>
        <w:t>F</w:t>
      </w:r>
      <w:r w:rsidRPr="007E5C56">
        <w:rPr>
          <w:lang w:val="en-GB"/>
        </w:rPr>
        <w:t>or partial transfusion</w:t>
      </w:r>
      <w:r w:rsidR="008C4D8D">
        <w:rPr>
          <w:lang w:val="en-GB"/>
        </w:rPr>
        <w:t>, the average HbS</w:t>
      </w:r>
      <w:r w:rsidRPr="007E5C56">
        <w:rPr>
          <w:lang w:val="en-GB"/>
        </w:rPr>
        <w:t xml:space="preserve"> was </w:t>
      </w:r>
      <w:r w:rsidRPr="007E5C56">
        <w:rPr>
          <w:lang w:val="en-GB"/>
        </w:rPr>
        <w:lastRenderedPageBreak/>
        <w:t xml:space="preserve">34%, with an average ferritin change </w:t>
      </w:r>
      <w:proofErr w:type="gramStart"/>
      <w:r w:rsidRPr="007E5C56">
        <w:rPr>
          <w:lang w:val="en-GB"/>
        </w:rPr>
        <w:t>of 19 ng/ml/month (</w:t>
      </w:r>
      <w:r w:rsidR="00DF2659">
        <w:rPr>
          <w:lang w:val="en-GB"/>
        </w:rPr>
        <w:t xml:space="preserve">range </w:t>
      </w:r>
      <w:r w:rsidRPr="007E5C56">
        <w:rPr>
          <w:lang w:val="en-GB"/>
        </w:rPr>
        <w:t>−42 to 106)</w:t>
      </w:r>
      <w:proofErr w:type="gramEnd"/>
      <w:r w:rsidRPr="007E5C56">
        <w:rPr>
          <w:lang w:val="en-GB"/>
        </w:rPr>
        <w:t>.</w:t>
      </w:r>
    </w:p>
    <w:p w:rsidR="00E134B0" w:rsidRPr="007E5C56" w:rsidRDefault="00E134B0" w:rsidP="00E134B0">
      <w:pPr>
        <w:pStyle w:val="Numberedlevel2text"/>
        <w:rPr>
          <w:lang w:val="en-GB"/>
        </w:rPr>
      </w:pPr>
      <w:proofErr w:type="spellStart"/>
      <w:r w:rsidRPr="007E5C56">
        <w:rPr>
          <w:lang w:val="en-GB"/>
        </w:rPr>
        <w:t>Kuo</w:t>
      </w:r>
      <w:proofErr w:type="spellEnd"/>
      <w:r w:rsidRPr="007E5C56">
        <w:rPr>
          <w:lang w:val="en-GB"/>
        </w:rPr>
        <w:t xml:space="preserve"> et al. (2015) reported </w:t>
      </w:r>
      <w:r w:rsidR="008C4D8D">
        <w:rPr>
          <w:lang w:val="en-GB"/>
        </w:rPr>
        <w:t xml:space="preserve">in a letter </w:t>
      </w:r>
      <w:r w:rsidRPr="007E5C56">
        <w:rPr>
          <w:lang w:val="en-GB"/>
        </w:rPr>
        <w:t xml:space="preserve">on a retrospective cohort study </w:t>
      </w:r>
      <w:r w:rsidR="008C4D8D">
        <w:rPr>
          <w:lang w:val="en-GB"/>
        </w:rPr>
        <w:t>that</w:t>
      </w:r>
      <w:r w:rsidRPr="007E5C56">
        <w:rPr>
          <w:lang w:val="en-GB"/>
        </w:rPr>
        <w:t xml:space="preserve"> </w:t>
      </w:r>
      <w:r w:rsidR="00886E9D">
        <w:rPr>
          <w:lang w:val="en-GB"/>
        </w:rPr>
        <w:t>was</w:t>
      </w:r>
      <w:r w:rsidRPr="007E5C56">
        <w:rPr>
          <w:lang w:val="en-GB"/>
        </w:rPr>
        <w:t xml:space="preserve"> the only comparative study conducted in the UK, in 2 London centres. The aim of the study was to investigate ‘whether adult </w:t>
      </w:r>
      <w:r w:rsidR="0086519D">
        <w:rPr>
          <w:lang w:val="en-GB"/>
        </w:rPr>
        <w:t>sickle cell disease</w:t>
      </w:r>
      <w:r w:rsidRPr="007E5C56">
        <w:rPr>
          <w:lang w:val="en-GB"/>
        </w:rPr>
        <w:t xml:space="preserve"> patients on manual exchange differ from those on automated exchange in their ability to achieve pre-defined haematological targets, rate of complications, blood usage and clinical outcomes over a 1-year period’. The study investigated 1 group (n=30) who had </w:t>
      </w:r>
      <w:r w:rsidR="00130A69">
        <w:rPr>
          <w:lang w:val="en-GB"/>
        </w:rPr>
        <w:t>Spectra Optia</w:t>
      </w:r>
      <w:r w:rsidRPr="007E5C56">
        <w:rPr>
          <w:lang w:val="en-GB"/>
        </w:rPr>
        <w:t xml:space="preserve"> for chronic </w:t>
      </w:r>
      <w:r w:rsidR="0086519D">
        <w:rPr>
          <w:lang w:val="en-GB"/>
        </w:rPr>
        <w:t>sickle cell disease</w:t>
      </w:r>
      <w:r w:rsidRPr="007E5C56">
        <w:rPr>
          <w:lang w:val="en-GB"/>
        </w:rPr>
        <w:t xml:space="preserve"> in 1 centre, and another group (n=21) who had manual exchange in another. The patients at each centre were not matched but were well described with no differences reported in demographics, primary indications or chelation status. However, patients having manual exchange were significantly younger than </w:t>
      </w:r>
      <w:r w:rsidR="0086519D">
        <w:rPr>
          <w:lang w:val="en-GB"/>
        </w:rPr>
        <w:t>those</w:t>
      </w:r>
      <w:r w:rsidR="0086519D" w:rsidRPr="007E5C56">
        <w:rPr>
          <w:lang w:val="en-GB"/>
        </w:rPr>
        <w:t xml:space="preserve"> </w:t>
      </w:r>
      <w:r w:rsidRPr="007E5C56">
        <w:rPr>
          <w:lang w:val="en-GB"/>
        </w:rPr>
        <w:t xml:space="preserve">having automated exchange with </w:t>
      </w:r>
      <w:r w:rsidR="00130A69">
        <w:rPr>
          <w:lang w:val="en-GB"/>
        </w:rPr>
        <w:t>Spectra Optia</w:t>
      </w:r>
      <w:r w:rsidRPr="007E5C56">
        <w:rPr>
          <w:lang w:val="en-GB"/>
        </w:rPr>
        <w:t xml:space="preserve"> (median </w:t>
      </w:r>
      <w:r w:rsidR="008C4D8D">
        <w:rPr>
          <w:lang w:val="en-GB"/>
        </w:rPr>
        <w:t xml:space="preserve">23 years </w:t>
      </w:r>
      <w:r w:rsidR="00886E9D">
        <w:rPr>
          <w:lang w:val="en-GB"/>
        </w:rPr>
        <w:t>compared with</w:t>
      </w:r>
      <w:r w:rsidR="008C4D8D">
        <w:rPr>
          <w:lang w:val="en-GB"/>
        </w:rPr>
        <w:t xml:space="preserve"> </w:t>
      </w:r>
      <w:r w:rsidRPr="007E5C56">
        <w:rPr>
          <w:lang w:val="en-GB"/>
        </w:rPr>
        <w:t xml:space="preserve">31 years, p=0.035), and manual exchange </w:t>
      </w:r>
      <w:r w:rsidR="008C4D8D">
        <w:rPr>
          <w:lang w:val="en-GB"/>
        </w:rPr>
        <w:t xml:space="preserve">was </w:t>
      </w:r>
      <w:r w:rsidRPr="007E5C56">
        <w:rPr>
          <w:lang w:val="en-GB"/>
        </w:rPr>
        <w:t xml:space="preserve">administered through the peripheral venous route rather than central routes </w:t>
      </w:r>
      <w:r w:rsidR="008C4D8D">
        <w:rPr>
          <w:lang w:val="en-GB"/>
        </w:rPr>
        <w:t xml:space="preserve">more frequently </w:t>
      </w:r>
      <w:r w:rsidRPr="007E5C56">
        <w:rPr>
          <w:lang w:val="en-GB"/>
        </w:rPr>
        <w:t>(p&lt;0.0001). The outcomes reported in the study included:</w:t>
      </w:r>
    </w:p>
    <w:p w:rsidR="00E134B0" w:rsidRPr="007E5C56" w:rsidRDefault="00E134B0" w:rsidP="00E134B0">
      <w:pPr>
        <w:pStyle w:val="Bulletindent1"/>
      </w:pPr>
      <w:proofErr w:type="gramStart"/>
      <w:r w:rsidRPr="007E5C56">
        <w:t>mean</w:t>
      </w:r>
      <w:proofErr w:type="gramEnd"/>
      <w:r w:rsidRPr="007E5C56">
        <w:t xml:space="preserve"> pre-procedure HbS: 50% (95% CI 27% to</w:t>
      </w:r>
      <w:r w:rsidR="0086519D">
        <w:t xml:space="preserve"> </w:t>
      </w:r>
      <w:r w:rsidRPr="007E5C56">
        <w:t xml:space="preserve">76%) Spectra </w:t>
      </w:r>
      <w:r w:rsidR="00917FB7" w:rsidRPr="007E5C56">
        <w:t>Optia</w:t>
      </w:r>
      <w:r w:rsidRPr="007E5C56">
        <w:t xml:space="preserve"> compared with 55% (95% CI 16% to 72%) for manual exchange (p=0.162)</w:t>
      </w:r>
    </w:p>
    <w:p w:rsidR="00E134B0" w:rsidRPr="007E5C56" w:rsidRDefault="00E134B0" w:rsidP="00E134B0">
      <w:pPr>
        <w:pStyle w:val="Bulletindent1"/>
      </w:pPr>
      <w:r w:rsidRPr="007E5C56">
        <w:t xml:space="preserve">number of patients </w:t>
      </w:r>
      <w:r w:rsidR="00BA076F">
        <w:t>who</w:t>
      </w:r>
      <w:r w:rsidR="00BA076F" w:rsidRPr="007E5C56">
        <w:t xml:space="preserve"> </w:t>
      </w:r>
      <w:r w:rsidRPr="007E5C56">
        <w:t>had less than two-thirds of procedures within the HbS target: 19/30 Spectra Optia and 19/21 for manual exchange, no significant difference</w:t>
      </w:r>
      <w:r w:rsidR="003A51B1">
        <w:t xml:space="preserve"> </w:t>
      </w:r>
      <w:r w:rsidR="00C314B3">
        <w:t>(p=0.048)</w:t>
      </w:r>
    </w:p>
    <w:p w:rsidR="00E134B0" w:rsidRPr="007E5C56" w:rsidRDefault="00E134B0" w:rsidP="00BB5A40">
      <w:pPr>
        <w:pStyle w:val="Bulletindent1"/>
        <w:spacing w:after="240"/>
      </w:pPr>
      <w:proofErr w:type="gramStart"/>
      <w:r w:rsidRPr="007E5C56">
        <w:t>median</w:t>
      </w:r>
      <w:proofErr w:type="gramEnd"/>
      <w:r w:rsidRPr="007E5C56">
        <w:t xml:space="preserve"> post-procedure haematocrit: 0.31 (0.23</w:t>
      </w:r>
      <w:r w:rsidR="00934173">
        <w:t xml:space="preserve"> to </w:t>
      </w:r>
      <w:r w:rsidRPr="007E5C56">
        <w:t xml:space="preserve">0.35) for </w:t>
      </w:r>
      <w:r w:rsidR="00130A69">
        <w:t>Spectra Optia</w:t>
      </w:r>
      <w:r w:rsidRPr="007E5C56">
        <w:t xml:space="preserve"> and 0.31 (0.25 to 0.38) for manual exchange (p=0.931).</w:t>
      </w:r>
    </w:p>
    <w:p w:rsidR="00E134B0" w:rsidRPr="007E5C56" w:rsidRDefault="00E134B0" w:rsidP="00E134B0">
      <w:pPr>
        <w:pStyle w:val="Numberedlevel2text"/>
        <w:numPr>
          <w:ilvl w:val="0"/>
          <w:numId w:val="0"/>
        </w:numPr>
        <w:ind w:left="1134"/>
        <w:rPr>
          <w:lang w:val="en-GB"/>
        </w:rPr>
      </w:pPr>
      <w:r w:rsidRPr="007E5C56">
        <w:rPr>
          <w:lang w:val="en-GB"/>
        </w:rPr>
        <w:t>Resource use was also measured</w:t>
      </w:r>
      <w:r w:rsidR="00860FCF">
        <w:rPr>
          <w:lang w:val="en-GB"/>
        </w:rPr>
        <w:t>:</w:t>
      </w:r>
      <w:r w:rsidRPr="007E5C56">
        <w:rPr>
          <w:lang w:val="en-GB"/>
        </w:rPr>
        <w:t xml:space="preserve"> average packed RBC utilisation was 55 units per patient per year for </w:t>
      </w:r>
      <w:r w:rsidR="00130A69">
        <w:rPr>
          <w:lang w:val="en-GB"/>
        </w:rPr>
        <w:t>Spectra Optia</w:t>
      </w:r>
      <w:r w:rsidRPr="007E5C56">
        <w:rPr>
          <w:lang w:val="en-GB"/>
        </w:rPr>
        <w:t xml:space="preserve"> and 31 for </w:t>
      </w:r>
      <w:r w:rsidRPr="007E5C56">
        <w:rPr>
          <w:lang w:val="en-GB"/>
        </w:rPr>
        <w:lastRenderedPageBreak/>
        <w:t xml:space="preserve">manual exchange. Procedure time was 127 minutes for </w:t>
      </w:r>
      <w:r w:rsidR="00130A69">
        <w:rPr>
          <w:lang w:val="en-GB"/>
        </w:rPr>
        <w:t>Spectra Optia</w:t>
      </w:r>
      <w:r w:rsidRPr="007E5C56">
        <w:rPr>
          <w:lang w:val="en-GB"/>
        </w:rPr>
        <w:t xml:space="preserve"> and 241 for manual exchange, and mean procedure intervals were 6.66 weeks for </w:t>
      </w:r>
      <w:r w:rsidR="00130A69">
        <w:rPr>
          <w:lang w:val="en-GB"/>
        </w:rPr>
        <w:t>Spectra Optia</w:t>
      </w:r>
      <w:r w:rsidRPr="007E5C56">
        <w:rPr>
          <w:lang w:val="en-GB"/>
        </w:rPr>
        <w:t xml:space="preserve"> and 4.86 weeks for manual exchange. Peripheral venous access was only achieved in 1 of the 30 patients in</w:t>
      </w:r>
      <w:r w:rsidR="00BA076F">
        <w:rPr>
          <w:lang w:val="en-GB"/>
        </w:rPr>
        <w:t xml:space="preserve"> the</w:t>
      </w:r>
      <w:r w:rsidRPr="007E5C56">
        <w:rPr>
          <w:lang w:val="en-GB"/>
        </w:rPr>
        <w:t xml:space="preserve"> </w:t>
      </w:r>
      <w:r w:rsidR="00130A69">
        <w:rPr>
          <w:lang w:val="en-GB"/>
        </w:rPr>
        <w:t>Spectra Optia</w:t>
      </w:r>
      <w:r w:rsidRPr="007E5C56">
        <w:rPr>
          <w:lang w:val="en-GB"/>
        </w:rPr>
        <w:t xml:space="preserve"> arm, whereas it was achieved in 14 of 21 patients in the manual exchange arm. Top-up transfusions were needed in 11 patients in the manual exchange arm, but in no patients in the Spectra Optia arm. </w:t>
      </w:r>
    </w:p>
    <w:p w:rsidR="00E134B0" w:rsidRPr="007E5C56" w:rsidRDefault="00E134B0" w:rsidP="00C314B3">
      <w:pPr>
        <w:pStyle w:val="Numberedlevel2text"/>
      </w:pPr>
      <w:r w:rsidRPr="007E5C56">
        <w:t xml:space="preserve">Woods et al. (2014) reported on a retrospective observational study that was published as a conference abstract and was not peer reviewed. In this study data were collected from 38 patients in a single institution over 2 years. The number of procedures was not reported, but in the first year 5 patients had automated exchange (confirmed to be with </w:t>
      </w:r>
      <w:r w:rsidR="00130A69">
        <w:t>Spectra Optia</w:t>
      </w:r>
      <w:r w:rsidRPr="007E5C56">
        <w:t xml:space="preserve"> by the company), 17 had manual exchange and 16 had both. In the second year, 13 had automated </w:t>
      </w:r>
      <w:r w:rsidR="008C4D8D">
        <w:t>red blood cell exchange</w:t>
      </w:r>
      <w:r w:rsidR="008C4D8D" w:rsidRPr="007E5C56">
        <w:t xml:space="preserve"> </w:t>
      </w:r>
      <w:r w:rsidRPr="007E5C56">
        <w:t xml:space="preserve">and 25 had manual exchange, but results for this year were not presented separately. Patients were actively selected for </w:t>
      </w:r>
      <w:r w:rsidR="00130A69">
        <w:t>Spectra Optia</w:t>
      </w:r>
      <w:r w:rsidRPr="007E5C56">
        <w:t xml:space="preserve"> based on age and size, and could choose not to have </w:t>
      </w:r>
      <w:r w:rsidR="00130A69">
        <w:t>Spectra Optia</w:t>
      </w:r>
      <w:r w:rsidRPr="007E5C56">
        <w:t>. Outcomes reported in the study included: proportion of procedures achieving HbS targets (0.80 [95% CI 0.40 to 1.00]) for automated exchange and 0.50 [</w:t>
      </w:r>
      <w:r w:rsidR="00C314B3">
        <w:t xml:space="preserve">interquartile range </w:t>
      </w:r>
      <w:r w:rsidRPr="007E5C56">
        <w:t>0.28 to 0.90] for manual exchange, p=0.27; ferritin concentrations (875 ng/ml [</w:t>
      </w:r>
      <w:r w:rsidR="00C314B3">
        <w:t xml:space="preserve">interquartile range </w:t>
      </w:r>
      <w:r w:rsidRPr="007E5C56">
        <w:t>578–2659 ng/ml] for automated exchange and 1527 ng/ml [</w:t>
      </w:r>
      <w:r w:rsidR="00C314B3" w:rsidRPr="00C314B3">
        <w:rPr>
          <w:lang w:val="en-GB"/>
        </w:rPr>
        <w:t xml:space="preserve">interquartile </w:t>
      </w:r>
      <w:r w:rsidR="00C314B3">
        <w:t xml:space="preserve">range </w:t>
      </w:r>
      <w:r w:rsidRPr="007E5C56">
        <w:t>731–568 ng/ml] for manual exchange, p=0.56; and catheter complications (seen in 15 of 21 patients having automated exchange and in 1 of 17 having manual exchange).</w:t>
      </w:r>
    </w:p>
    <w:p w:rsidR="003E2690" w:rsidRPr="007E5C56" w:rsidRDefault="003E2690" w:rsidP="003E2690">
      <w:pPr>
        <w:pStyle w:val="Heading3"/>
      </w:pPr>
      <w:r w:rsidRPr="007E5C56">
        <w:t>Single-arm studies</w:t>
      </w:r>
    </w:p>
    <w:p w:rsidR="003E2690" w:rsidRPr="007E5C56" w:rsidRDefault="003E2690" w:rsidP="003E2690">
      <w:pPr>
        <w:pStyle w:val="Numberedlevel2text"/>
        <w:rPr>
          <w:lang w:val="en-GB"/>
        </w:rPr>
      </w:pPr>
      <w:proofErr w:type="spellStart"/>
      <w:r w:rsidRPr="007E5C56">
        <w:rPr>
          <w:lang w:val="en-GB"/>
        </w:rPr>
        <w:t>Quirolo</w:t>
      </w:r>
      <w:proofErr w:type="spellEnd"/>
      <w:r w:rsidRPr="007E5C56">
        <w:rPr>
          <w:lang w:val="en-GB"/>
        </w:rPr>
        <w:t xml:space="preserve"> et al. (2015) reported on a prospective multicentre study that was published in a peer-reviewed journal. The </w:t>
      </w:r>
      <w:r w:rsidR="004E6538">
        <w:rPr>
          <w:lang w:val="en-GB"/>
        </w:rPr>
        <w:t>External Assessment Centre</w:t>
      </w:r>
      <w:r w:rsidRPr="007E5C56">
        <w:rPr>
          <w:lang w:val="en-GB"/>
        </w:rPr>
        <w:t xml:space="preserve"> highlighted this study because it made within-cohort comparisons. </w:t>
      </w:r>
      <w:r w:rsidR="002E254C">
        <w:rPr>
          <w:lang w:val="en-GB"/>
        </w:rPr>
        <w:t>P</w:t>
      </w:r>
      <w:r w:rsidRPr="007E5C56">
        <w:rPr>
          <w:lang w:val="en-GB"/>
        </w:rPr>
        <w:t xml:space="preserve">atients (adults and children over 12 years </w:t>
      </w:r>
      <w:r w:rsidRPr="007E5C56">
        <w:rPr>
          <w:lang w:val="en-GB"/>
        </w:rPr>
        <w:lastRenderedPageBreak/>
        <w:t xml:space="preserve">age) were enrolled to have either standard exchange or automated exchange/deletion exchange with </w:t>
      </w:r>
      <w:r w:rsidR="00130A69">
        <w:rPr>
          <w:lang w:val="en-GB"/>
        </w:rPr>
        <w:t>Spectra Optia</w:t>
      </w:r>
      <w:r w:rsidRPr="007E5C56">
        <w:rPr>
          <w:lang w:val="en-GB"/>
        </w:rPr>
        <w:t>. 72 patients were enrolled in the study, 60 of whom were evaluated for efficacy. Only 1 procedure was reported per patient. The pre</w:t>
      </w:r>
      <w:r w:rsidR="0020661C">
        <w:rPr>
          <w:lang w:val="en-GB"/>
        </w:rPr>
        <w:t>-</w:t>
      </w:r>
      <w:r w:rsidRPr="007E5C56">
        <w:rPr>
          <w:lang w:val="en-GB"/>
        </w:rPr>
        <w:t xml:space="preserve">specified primary end point was </w:t>
      </w:r>
      <w:r w:rsidR="00130A69">
        <w:rPr>
          <w:lang w:val="en-GB"/>
        </w:rPr>
        <w:t xml:space="preserve">Spectra </w:t>
      </w:r>
      <w:proofErr w:type="spellStart"/>
      <w:r w:rsidR="00130A69">
        <w:rPr>
          <w:lang w:val="en-GB"/>
        </w:rPr>
        <w:t>Optia</w:t>
      </w:r>
      <w:r w:rsidRPr="007E5C56">
        <w:rPr>
          <w:lang w:val="en-GB"/>
        </w:rPr>
        <w:t>’s</w:t>
      </w:r>
      <w:proofErr w:type="spellEnd"/>
      <w:r w:rsidRPr="007E5C56">
        <w:rPr>
          <w:lang w:val="en-GB"/>
        </w:rPr>
        <w:t xml:space="preserve"> ability to accurately achieve targets on the fraction of a patient’s original red cells remaining (fraction cells remaining, FCR), which was defined as 0.90±0.17 (acceptable range 0.75–1.25). The mean procedure time </w:t>
      </w:r>
      <w:r w:rsidR="00C314B3">
        <w:rPr>
          <w:lang w:val="en-GB"/>
        </w:rPr>
        <w:t xml:space="preserve">(and standard deviation) </w:t>
      </w:r>
      <w:r w:rsidRPr="007E5C56">
        <w:rPr>
          <w:lang w:val="en-GB"/>
        </w:rPr>
        <w:t>for the evaluable population was 90±22 minutes. The longest procedure time was for automated exchange in adults (92±24 minutes), followed by depletion exchange procedures (86±16 minutes), and the shortest procedure time was in children (</w:t>
      </w:r>
      <w:r w:rsidR="001B05BA">
        <w:rPr>
          <w:lang w:val="en-GB"/>
        </w:rPr>
        <w:t>81</w:t>
      </w:r>
      <w:r w:rsidRPr="007E5C56">
        <w:rPr>
          <w:lang w:val="en-GB"/>
        </w:rPr>
        <w:t>±</w:t>
      </w:r>
      <w:r w:rsidR="001B05BA">
        <w:rPr>
          <w:lang w:val="en-GB"/>
        </w:rPr>
        <w:t>16</w:t>
      </w:r>
      <w:r w:rsidRPr="007E5C56">
        <w:rPr>
          <w:lang w:val="en-GB"/>
        </w:rPr>
        <w:t xml:space="preserve"> minutes). The mean volume of replacement blood used in all procedure types was 1895±670 ml; this was highest for adults (2118±702 ml), lower for depletion exchange procedures (1562±281 ml) and lowest in children (1449±260 ml). </w:t>
      </w:r>
    </w:p>
    <w:p w:rsidR="003E2690" w:rsidRPr="007E5C56" w:rsidRDefault="003E2690" w:rsidP="003E2690">
      <w:pPr>
        <w:pStyle w:val="Numberedlevel2text"/>
        <w:rPr>
          <w:lang w:val="en-GB"/>
        </w:rPr>
      </w:pPr>
      <w:proofErr w:type="spellStart"/>
      <w:r w:rsidRPr="007E5C56">
        <w:rPr>
          <w:lang w:val="en-GB"/>
        </w:rPr>
        <w:t>Bavle</w:t>
      </w:r>
      <w:proofErr w:type="spellEnd"/>
      <w:r w:rsidRPr="007E5C56">
        <w:rPr>
          <w:lang w:val="en-GB"/>
        </w:rPr>
        <w:t xml:space="preserve"> et al. (2014) reported on a retrospective analysis that was published as a full article in a peer-reviewed journal. The study analysed the physical growth of children with </w:t>
      </w:r>
      <w:r w:rsidR="0086519D">
        <w:rPr>
          <w:lang w:val="en-GB"/>
        </w:rPr>
        <w:t>sickle cell disease</w:t>
      </w:r>
      <w:r w:rsidRPr="007E5C56">
        <w:rPr>
          <w:lang w:val="en-GB"/>
        </w:rPr>
        <w:t xml:space="preserve"> (a secondary outcome in the decision problem) who had regular exchange. The study compared the height, weight and BMI of 36 patients </w:t>
      </w:r>
      <w:r w:rsidR="002E254C">
        <w:rPr>
          <w:lang w:val="en-GB"/>
        </w:rPr>
        <w:t xml:space="preserve">before and after </w:t>
      </w:r>
      <w:r w:rsidRPr="007E5C56">
        <w:rPr>
          <w:lang w:val="en-GB"/>
        </w:rPr>
        <w:t xml:space="preserve">long-term exchange with 2 control groups: all patients with </w:t>
      </w:r>
      <w:r w:rsidR="0086519D">
        <w:rPr>
          <w:lang w:val="en-GB"/>
        </w:rPr>
        <w:t>sickle cell disease were</w:t>
      </w:r>
      <w:r w:rsidRPr="007E5C56">
        <w:rPr>
          <w:lang w:val="en-GB"/>
        </w:rPr>
        <w:t xml:space="preserve"> from the Cooperative Study of Sickle Cell Disease (CSSCD), and a subset of 64 matched controls taken from CSSCD. The patients showed a significant increase in height, weight and BMI </w:t>
      </w:r>
      <w:r w:rsidR="002E254C">
        <w:rPr>
          <w:lang w:val="en-GB"/>
        </w:rPr>
        <w:t>after</w:t>
      </w:r>
      <w:r w:rsidRPr="007E5C56">
        <w:rPr>
          <w:lang w:val="en-GB"/>
        </w:rPr>
        <w:t xml:space="preserve"> long-term exchange (p≤0.0001). There was also a significant increase in weight, height and BMI compared with the matched controls from the CSSCD and the entire CSSCD cohort (p&lt;0.01). </w:t>
      </w:r>
    </w:p>
    <w:p w:rsidR="003E2690" w:rsidRPr="007E5C56" w:rsidRDefault="003E2690" w:rsidP="003E2690">
      <w:pPr>
        <w:pStyle w:val="Numberedlevel2text"/>
        <w:rPr>
          <w:lang w:val="en-GB"/>
        </w:rPr>
      </w:pPr>
      <w:proofErr w:type="spellStart"/>
      <w:r w:rsidRPr="007E5C56">
        <w:rPr>
          <w:lang w:val="en-GB"/>
        </w:rPr>
        <w:t>Kalff</w:t>
      </w:r>
      <w:proofErr w:type="spellEnd"/>
      <w:r w:rsidRPr="007E5C56">
        <w:rPr>
          <w:lang w:val="en-GB"/>
        </w:rPr>
        <w:t xml:space="preserve"> et al. (2010) reported on a retrospective case series that was published as a full article in a peer-reviewed journal. All patients had automated exchange in the same centre using the Cobe </w:t>
      </w:r>
      <w:r w:rsidRPr="007E5C56">
        <w:rPr>
          <w:lang w:val="en-GB"/>
        </w:rPr>
        <w:lastRenderedPageBreak/>
        <w:t xml:space="preserve">Spectra System. The study included 13 adult patients and evaluated the effectiveness of a regular exchange programme. Patients had </w:t>
      </w:r>
      <w:r w:rsidR="008C4D8D">
        <w:rPr>
          <w:lang w:val="en-GB"/>
        </w:rPr>
        <w:t>red blood cell exchange</w:t>
      </w:r>
      <w:r w:rsidR="008C4D8D" w:rsidRPr="007E5C56">
        <w:rPr>
          <w:lang w:val="en-GB"/>
        </w:rPr>
        <w:t xml:space="preserve"> </w:t>
      </w:r>
      <w:r w:rsidRPr="007E5C56">
        <w:rPr>
          <w:lang w:val="en-GB"/>
        </w:rPr>
        <w:t xml:space="preserve">through a peripheral venous cannula or arterio-venous fistula, </w:t>
      </w:r>
      <w:r w:rsidR="00281AD7">
        <w:rPr>
          <w:lang w:val="en-GB"/>
        </w:rPr>
        <w:t>initially</w:t>
      </w:r>
      <w:r w:rsidR="00281AD7" w:rsidRPr="007E5C56">
        <w:rPr>
          <w:lang w:val="en-GB"/>
        </w:rPr>
        <w:t xml:space="preserve"> </w:t>
      </w:r>
      <w:r w:rsidRPr="007E5C56">
        <w:rPr>
          <w:lang w:val="en-GB"/>
        </w:rPr>
        <w:t>every 4 weeks and then every 4–6 weeks. End points included pre- and post-procedure HbS (</w:t>
      </w:r>
      <w:r w:rsidR="00F224E8">
        <w:rPr>
          <w:lang w:val="en-GB"/>
        </w:rPr>
        <w:t xml:space="preserve">mean </w:t>
      </w:r>
      <w:r w:rsidRPr="007E5C56">
        <w:rPr>
          <w:lang w:val="en-GB"/>
        </w:rPr>
        <w:t>pre-procedure 47.4% [</w:t>
      </w:r>
      <w:r w:rsidR="000B79D5">
        <w:rPr>
          <w:lang w:val="en-GB"/>
        </w:rPr>
        <w:t xml:space="preserve">range </w:t>
      </w:r>
      <w:r w:rsidRPr="007E5C56">
        <w:rPr>
          <w:lang w:val="en-GB"/>
        </w:rPr>
        <w:t xml:space="preserve">40.7–59.3%], </w:t>
      </w:r>
      <w:r w:rsidR="00F224E8">
        <w:rPr>
          <w:lang w:val="en-GB"/>
        </w:rPr>
        <w:t xml:space="preserve">mean </w:t>
      </w:r>
      <w:r w:rsidRPr="007E5C56">
        <w:rPr>
          <w:lang w:val="en-GB"/>
        </w:rPr>
        <w:t>post-procedure 25.5% [</w:t>
      </w:r>
      <w:r w:rsidR="000B79D5">
        <w:rPr>
          <w:lang w:val="en-GB"/>
        </w:rPr>
        <w:t xml:space="preserve">range </w:t>
      </w:r>
      <w:r w:rsidRPr="007E5C56">
        <w:rPr>
          <w:lang w:val="en-GB"/>
        </w:rPr>
        <w:t>18.5–32.6%]), incidence of sickle cell-related acute events, and the progression of pre-existing related end-organ damage and development of new end-organ damage. The regular exchange programme reduced HbS levels to the target of &lt;30% immediately after the procedure in all but 2 patients. A total of 16 acute sickle-related events occurred in 5 patients in 846 cumulative months of patient follow-up. No patient experienced stroke or multi-organ crises, evidence of new end-organ damage or progression of pre-existing related end-organ damage. Ferritin levels were monitored in 11 patients</w:t>
      </w:r>
      <w:r w:rsidR="00EB4695">
        <w:rPr>
          <w:lang w:val="en-GB"/>
        </w:rPr>
        <w:t>.</w:t>
      </w:r>
      <w:r w:rsidR="008C4D8D">
        <w:rPr>
          <w:lang w:val="en-GB"/>
        </w:rPr>
        <w:t xml:space="preserve"> In </w:t>
      </w:r>
      <w:r w:rsidR="00886E9D">
        <w:rPr>
          <w:lang w:val="en-GB"/>
        </w:rPr>
        <w:t>patients</w:t>
      </w:r>
      <w:r w:rsidR="00886E9D" w:rsidRPr="007E5C56">
        <w:rPr>
          <w:lang w:val="en-GB"/>
        </w:rPr>
        <w:t xml:space="preserve"> </w:t>
      </w:r>
      <w:r w:rsidRPr="007E5C56">
        <w:rPr>
          <w:lang w:val="en-GB"/>
        </w:rPr>
        <w:t>with normal baseline levels</w:t>
      </w:r>
      <w:r w:rsidR="008C4D8D">
        <w:rPr>
          <w:lang w:val="en-GB"/>
        </w:rPr>
        <w:t xml:space="preserve">, these were maintained </w:t>
      </w:r>
      <w:r w:rsidR="003848BE">
        <w:rPr>
          <w:lang w:val="en-GB"/>
        </w:rPr>
        <w:t xml:space="preserve">whereas </w:t>
      </w:r>
      <w:r w:rsidR="008C4D8D">
        <w:rPr>
          <w:lang w:val="en-GB"/>
        </w:rPr>
        <w:t xml:space="preserve">in </w:t>
      </w:r>
      <w:r w:rsidR="003848BE">
        <w:rPr>
          <w:lang w:val="en-GB"/>
        </w:rPr>
        <w:t xml:space="preserve">patients </w:t>
      </w:r>
      <w:r w:rsidRPr="007E5C56">
        <w:rPr>
          <w:lang w:val="en-GB"/>
        </w:rPr>
        <w:t xml:space="preserve">with slightly higher baseline levels </w:t>
      </w:r>
      <w:r w:rsidR="008C4D8D">
        <w:rPr>
          <w:lang w:val="en-GB"/>
        </w:rPr>
        <w:t>they were reduced</w:t>
      </w:r>
      <w:r w:rsidR="00EB4695">
        <w:rPr>
          <w:lang w:val="en-GB"/>
        </w:rPr>
        <w:t xml:space="preserve"> </w:t>
      </w:r>
      <w:r w:rsidRPr="007E5C56">
        <w:rPr>
          <w:lang w:val="en-GB"/>
        </w:rPr>
        <w:t xml:space="preserve">without chelation therapy. </w:t>
      </w:r>
    </w:p>
    <w:p w:rsidR="003E2690" w:rsidRPr="007E5C56" w:rsidRDefault="003E2690" w:rsidP="003E2690">
      <w:pPr>
        <w:pStyle w:val="Numberedlevel2text"/>
        <w:rPr>
          <w:lang w:val="en-GB"/>
        </w:rPr>
      </w:pPr>
      <w:proofErr w:type="spellStart"/>
      <w:r w:rsidRPr="007E5C56">
        <w:rPr>
          <w:lang w:val="en-GB"/>
        </w:rPr>
        <w:t>Masera</w:t>
      </w:r>
      <w:proofErr w:type="spellEnd"/>
      <w:r w:rsidRPr="007E5C56">
        <w:rPr>
          <w:lang w:val="en-GB"/>
        </w:rPr>
        <w:t xml:space="preserve"> et al. (2007) reported on a retrospective review that was reported as a full article in a peer-reviewed journal. This was an 11-year review of routine data from a cohort of 34 patients with </w:t>
      </w:r>
      <w:r w:rsidR="0086519D">
        <w:rPr>
          <w:lang w:val="en-GB"/>
        </w:rPr>
        <w:t>sickle cell disease</w:t>
      </w:r>
      <w:r w:rsidRPr="007E5C56">
        <w:rPr>
          <w:lang w:val="en-GB"/>
        </w:rPr>
        <w:t xml:space="preserve"> in 1 hospital. The authors focused on 13 high-risk patients and reported efficacy, safety and cost outcomes of a periodic regimen of </w:t>
      </w:r>
      <w:proofErr w:type="spellStart"/>
      <w:r w:rsidRPr="007E5C56">
        <w:rPr>
          <w:lang w:val="en-GB"/>
        </w:rPr>
        <w:t>erythro</w:t>
      </w:r>
      <w:proofErr w:type="spellEnd"/>
      <w:r w:rsidRPr="007E5C56">
        <w:rPr>
          <w:lang w:val="en-GB"/>
        </w:rPr>
        <w:t xml:space="preserve">-exchange with the </w:t>
      </w:r>
      <w:proofErr w:type="spellStart"/>
      <w:r w:rsidRPr="007E5C56">
        <w:rPr>
          <w:lang w:val="en-GB"/>
        </w:rPr>
        <w:t>Cobe</w:t>
      </w:r>
      <w:proofErr w:type="spellEnd"/>
      <w:r w:rsidRPr="007E5C56">
        <w:rPr>
          <w:lang w:val="en-GB"/>
        </w:rPr>
        <w:t xml:space="preserve"> Spectra. Outcomes included change in HbS and ferritin levels, hospital admissions and painful crises. The authors reported a reduction in all these outcomes compared with data before </w:t>
      </w:r>
      <w:proofErr w:type="spellStart"/>
      <w:r w:rsidRPr="007E5C56">
        <w:rPr>
          <w:lang w:val="en-GB"/>
        </w:rPr>
        <w:t>erythro</w:t>
      </w:r>
      <w:proofErr w:type="spellEnd"/>
      <w:r w:rsidRPr="007E5C56">
        <w:rPr>
          <w:lang w:val="en-GB"/>
        </w:rPr>
        <w:t xml:space="preserve">-exchange was started, but the reported changes were not tested for statistical significance. </w:t>
      </w:r>
    </w:p>
    <w:p w:rsidR="003E2690" w:rsidRPr="007E5C56" w:rsidRDefault="003E2690" w:rsidP="003E2690">
      <w:pPr>
        <w:pStyle w:val="Numberedlevel2text"/>
        <w:rPr>
          <w:lang w:val="en-GB"/>
        </w:rPr>
      </w:pPr>
      <w:proofErr w:type="spellStart"/>
      <w:r w:rsidRPr="007E5C56">
        <w:rPr>
          <w:lang w:val="en-GB"/>
        </w:rPr>
        <w:t>Sarode</w:t>
      </w:r>
      <w:proofErr w:type="spellEnd"/>
      <w:r w:rsidRPr="007E5C56">
        <w:rPr>
          <w:lang w:val="en-GB"/>
        </w:rPr>
        <w:t xml:space="preserve"> et al. (2011) reported on a retrospective review that was published as a full article in a peer-reviewed journal. This study is a </w:t>
      </w:r>
      <w:r w:rsidRPr="007E5C56">
        <w:rPr>
          <w:lang w:val="en-GB"/>
        </w:rPr>
        <w:lastRenderedPageBreak/>
        <w:t>review of a 2-phase automated exchange method using isovolaemic haemodilution with conventional red blood cell exchange (C-RBCX), compared with the C-RBCX protocol alone. In the study, 14 patients having the automated exchange protocol (using the Cobe Spectra device) were compared with 6 historical controls having C-RBCX, and outcomes focused on resource use. The authors reported an increase in haematocrit (pre-procedure 27.8±2.4%, post-procedure 32.8±1.6%) and a decrease in HbS (pre-procedure 41.8±6.1%, post-procedure 9.8±2.4%) following the automated exchange protocol; the changes were not tested for statistical significance. C-RBCX procedures needed 39.5±4.6 ml/kg packed RBC, lasted 107.3±6.7 minutes and were done every 37±7.0 days, leading to 7 procedures per year.</w:t>
      </w:r>
    </w:p>
    <w:p w:rsidR="003E2690" w:rsidRPr="007E5C56" w:rsidRDefault="003E2690" w:rsidP="003E2690">
      <w:pPr>
        <w:pStyle w:val="Numberedlevel2text"/>
        <w:rPr>
          <w:lang w:val="en-GB"/>
        </w:rPr>
      </w:pPr>
      <w:r w:rsidRPr="007E5C56">
        <w:rPr>
          <w:lang w:val="en-GB"/>
        </w:rPr>
        <w:t xml:space="preserve">Shrestha et al. (2015) reported on a retrospective observational cohort study that was published as a full article in a peer-reviewed journal. The study was designed to compare 2 methods of vascular access (dual lumen port valves with temporary central venous and peripheral catheters) during automated exchange with the Spectra Cobe system. They reported outcomes including inlet speed, duration of procedures and rates of complications. Twenty-nine adults with </w:t>
      </w:r>
      <w:r w:rsidR="0086519D">
        <w:rPr>
          <w:lang w:val="en-GB"/>
        </w:rPr>
        <w:t>sickle cell disease</w:t>
      </w:r>
      <w:r w:rsidRPr="007E5C56">
        <w:rPr>
          <w:lang w:val="en-GB"/>
        </w:rPr>
        <w:t xml:space="preserve"> who had a total of 318 procedures were included for analysis. The authors reported a mean duration of 2</w:t>
      </w:r>
      <w:r w:rsidR="002E254C">
        <w:rPr>
          <w:lang w:val="en-GB"/>
        </w:rPr>
        <w:t>.0</w:t>
      </w:r>
      <w:r w:rsidRPr="007E5C56">
        <w:rPr>
          <w:lang w:val="en-GB"/>
        </w:rPr>
        <w:t>±1.6 hours for the procedure and a mean number of blood units used of 6.3. They also reported 87% and 95% success rates for the post-procedure haematocrit and HbS targets respectively.</w:t>
      </w:r>
    </w:p>
    <w:p w:rsidR="007F49BA" w:rsidRPr="007E5C56" w:rsidRDefault="007F49BA" w:rsidP="00B14B5C">
      <w:pPr>
        <w:pStyle w:val="Heading3"/>
      </w:pPr>
      <w:r w:rsidRPr="007E5C56">
        <w:t>Committee considerations</w:t>
      </w:r>
    </w:p>
    <w:p w:rsidR="007F49BA" w:rsidRDefault="0022422C" w:rsidP="00CA45BA">
      <w:pPr>
        <w:pStyle w:val="Numberedlevel2text"/>
        <w:rPr>
          <w:lang w:val="en-GB"/>
        </w:rPr>
      </w:pPr>
      <w:r w:rsidRPr="007E5C56">
        <w:rPr>
          <w:lang w:val="en-GB"/>
        </w:rPr>
        <w:t xml:space="preserve">The Committee considered that the clinical evidence was limited and not </w:t>
      </w:r>
      <w:r w:rsidR="009A001E">
        <w:rPr>
          <w:lang w:val="en-GB"/>
        </w:rPr>
        <w:t xml:space="preserve">of </w:t>
      </w:r>
      <w:r w:rsidRPr="007E5C56">
        <w:rPr>
          <w:lang w:val="en-GB"/>
        </w:rPr>
        <w:t xml:space="preserve">sufficient quantity or quality to evaluate all of the outcomes </w:t>
      </w:r>
      <w:r w:rsidR="009A001E">
        <w:rPr>
          <w:lang w:val="en-GB"/>
        </w:rPr>
        <w:t>defined</w:t>
      </w:r>
      <w:r w:rsidR="009A001E" w:rsidRPr="007E5C56">
        <w:rPr>
          <w:lang w:val="en-GB"/>
        </w:rPr>
        <w:t xml:space="preserve"> </w:t>
      </w:r>
      <w:r w:rsidRPr="007E5C56">
        <w:rPr>
          <w:lang w:val="en-GB"/>
        </w:rPr>
        <w:t xml:space="preserve">in the scope. However, it was advised that this was </w:t>
      </w:r>
      <w:r w:rsidR="0086519D">
        <w:rPr>
          <w:lang w:val="en-GB"/>
        </w:rPr>
        <w:t xml:space="preserve">partly </w:t>
      </w:r>
      <w:r w:rsidR="002C27A9">
        <w:rPr>
          <w:lang w:val="en-GB"/>
        </w:rPr>
        <w:t>because of</w:t>
      </w:r>
      <w:r w:rsidRPr="007E5C56">
        <w:rPr>
          <w:lang w:val="en-GB"/>
        </w:rPr>
        <w:t xml:space="preserve"> limitations in </w:t>
      </w:r>
      <w:r w:rsidR="002C27A9">
        <w:rPr>
          <w:lang w:val="en-GB"/>
        </w:rPr>
        <w:t xml:space="preserve">study </w:t>
      </w:r>
      <w:r w:rsidRPr="007E5C56">
        <w:rPr>
          <w:lang w:val="en-GB"/>
        </w:rPr>
        <w:t>methodolog</w:t>
      </w:r>
      <w:r w:rsidR="002C27A9">
        <w:rPr>
          <w:lang w:val="en-GB"/>
        </w:rPr>
        <w:t xml:space="preserve">ies, </w:t>
      </w:r>
      <w:r w:rsidR="0086519D">
        <w:rPr>
          <w:lang w:val="en-GB"/>
        </w:rPr>
        <w:t>consequent upon a</w:t>
      </w:r>
      <w:r w:rsidRPr="007E5C56">
        <w:rPr>
          <w:lang w:val="en-GB"/>
        </w:rPr>
        <w:t xml:space="preserve"> lack of clinical equipoise in treatment modalities and the </w:t>
      </w:r>
      <w:r w:rsidR="009A001E">
        <w:rPr>
          <w:lang w:val="en-GB"/>
        </w:rPr>
        <w:t xml:space="preserve">need for </w:t>
      </w:r>
      <w:r w:rsidR="00867BC4" w:rsidRPr="007E5C56">
        <w:rPr>
          <w:lang w:val="en-GB"/>
        </w:rPr>
        <w:t>personalised</w:t>
      </w:r>
      <w:r w:rsidRPr="007E5C56">
        <w:rPr>
          <w:lang w:val="en-GB"/>
        </w:rPr>
        <w:t xml:space="preserve"> treatment </w:t>
      </w:r>
      <w:r w:rsidR="009A001E">
        <w:rPr>
          <w:lang w:val="en-GB"/>
        </w:rPr>
        <w:t>in</w:t>
      </w:r>
      <w:r w:rsidRPr="007E5C56">
        <w:rPr>
          <w:lang w:val="en-GB"/>
        </w:rPr>
        <w:t xml:space="preserve"> </w:t>
      </w:r>
      <w:r w:rsidR="00867BC4" w:rsidRPr="007E5C56">
        <w:rPr>
          <w:lang w:val="en-GB"/>
        </w:rPr>
        <w:t>individual patients</w:t>
      </w:r>
      <w:r w:rsidR="008C4D8D">
        <w:rPr>
          <w:lang w:val="en-GB"/>
        </w:rPr>
        <w:t xml:space="preserve"> with </w:t>
      </w:r>
      <w:r w:rsidR="0086519D">
        <w:rPr>
          <w:lang w:val="en-GB"/>
        </w:rPr>
        <w:lastRenderedPageBreak/>
        <w:t>sickle cell disease</w:t>
      </w:r>
      <w:r w:rsidRPr="007E5C56">
        <w:rPr>
          <w:lang w:val="en-GB"/>
        </w:rPr>
        <w:t>.</w:t>
      </w:r>
      <w:r w:rsidR="00867BC4" w:rsidRPr="007E5C56">
        <w:rPr>
          <w:lang w:val="en-GB"/>
        </w:rPr>
        <w:t xml:space="preserve"> </w:t>
      </w:r>
      <w:r w:rsidR="0086519D">
        <w:rPr>
          <w:lang w:val="en-GB"/>
        </w:rPr>
        <w:t>Nonetheless, t</w:t>
      </w:r>
      <w:r w:rsidR="00867BC4" w:rsidRPr="007E5C56">
        <w:rPr>
          <w:lang w:val="en-GB"/>
        </w:rPr>
        <w:t xml:space="preserve">he Committee </w:t>
      </w:r>
      <w:r w:rsidR="0086519D">
        <w:rPr>
          <w:lang w:val="en-GB"/>
        </w:rPr>
        <w:t>concluded</w:t>
      </w:r>
      <w:r w:rsidR="0086519D" w:rsidRPr="007E5C56">
        <w:rPr>
          <w:lang w:val="en-GB"/>
        </w:rPr>
        <w:t xml:space="preserve"> </w:t>
      </w:r>
      <w:r w:rsidR="00867BC4" w:rsidRPr="007E5C56">
        <w:rPr>
          <w:lang w:val="en-GB"/>
        </w:rPr>
        <w:t xml:space="preserve">that the </w:t>
      </w:r>
      <w:r w:rsidRPr="007E5C56">
        <w:rPr>
          <w:lang w:val="en-GB"/>
        </w:rPr>
        <w:t xml:space="preserve">evidence together with expert advice was sufficient to </w:t>
      </w:r>
      <w:r w:rsidR="0086519D">
        <w:rPr>
          <w:lang w:val="en-GB"/>
        </w:rPr>
        <w:t>believe</w:t>
      </w:r>
      <w:r w:rsidR="009A001E" w:rsidRPr="007E5C56">
        <w:rPr>
          <w:lang w:val="en-GB"/>
        </w:rPr>
        <w:t xml:space="preserve"> </w:t>
      </w:r>
      <w:r w:rsidR="00867BC4" w:rsidRPr="007E5C56">
        <w:rPr>
          <w:lang w:val="en-GB"/>
        </w:rPr>
        <w:t xml:space="preserve">that </w:t>
      </w:r>
      <w:r w:rsidR="00130A69">
        <w:rPr>
          <w:lang w:val="en-GB"/>
        </w:rPr>
        <w:t>Spectra Optia</w:t>
      </w:r>
      <w:r w:rsidR="00867BC4" w:rsidRPr="007E5C56">
        <w:rPr>
          <w:lang w:val="en-GB"/>
        </w:rPr>
        <w:t xml:space="preserve"> offer</w:t>
      </w:r>
      <w:r w:rsidR="009A001E">
        <w:rPr>
          <w:lang w:val="en-GB"/>
        </w:rPr>
        <w:t>s</w:t>
      </w:r>
      <w:r w:rsidR="00867BC4" w:rsidRPr="007E5C56">
        <w:rPr>
          <w:lang w:val="en-GB"/>
        </w:rPr>
        <w:t xml:space="preserve"> significant </w:t>
      </w:r>
      <w:r w:rsidR="009A001E">
        <w:rPr>
          <w:lang w:val="en-GB"/>
        </w:rPr>
        <w:t xml:space="preserve">clinical </w:t>
      </w:r>
      <w:r w:rsidR="00867BC4" w:rsidRPr="007E5C56">
        <w:rPr>
          <w:lang w:val="en-GB"/>
        </w:rPr>
        <w:t>benefit</w:t>
      </w:r>
      <w:r w:rsidR="002C27A9">
        <w:rPr>
          <w:lang w:val="en-GB"/>
        </w:rPr>
        <w:t>s</w:t>
      </w:r>
      <w:r w:rsidR="00122802" w:rsidRPr="007E5C56">
        <w:rPr>
          <w:lang w:val="en-GB"/>
        </w:rPr>
        <w:t xml:space="preserve"> </w:t>
      </w:r>
      <w:r w:rsidR="002F51BA">
        <w:rPr>
          <w:lang w:val="en-GB"/>
        </w:rPr>
        <w:t xml:space="preserve">compared with </w:t>
      </w:r>
      <w:r w:rsidR="00122802" w:rsidRPr="007E5C56">
        <w:rPr>
          <w:lang w:val="en-GB"/>
        </w:rPr>
        <w:t xml:space="preserve">manual exchange </w:t>
      </w:r>
      <w:r w:rsidR="002F51BA">
        <w:rPr>
          <w:lang w:val="en-GB"/>
        </w:rPr>
        <w:t>or</w:t>
      </w:r>
      <w:r w:rsidR="00122802" w:rsidRPr="007E5C56">
        <w:rPr>
          <w:lang w:val="en-GB"/>
        </w:rPr>
        <w:t xml:space="preserve"> top-up transfusion.</w:t>
      </w:r>
      <w:r w:rsidR="00277B13">
        <w:rPr>
          <w:lang w:val="en-GB"/>
        </w:rPr>
        <w:t xml:space="preserve"> The Committee noted that automated exchange procedures are significantly shorter</w:t>
      </w:r>
      <w:r w:rsidR="009A001E">
        <w:rPr>
          <w:lang w:val="en-GB"/>
        </w:rPr>
        <w:t xml:space="preserve"> and have </w:t>
      </w:r>
      <w:r w:rsidR="00277B13">
        <w:rPr>
          <w:lang w:val="en-GB"/>
        </w:rPr>
        <w:t xml:space="preserve">a longer clinical </w:t>
      </w:r>
      <w:r w:rsidR="009A001E">
        <w:rPr>
          <w:lang w:val="en-GB"/>
        </w:rPr>
        <w:t xml:space="preserve">benefit </w:t>
      </w:r>
      <w:r w:rsidR="00277B13">
        <w:rPr>
          <w:lang w:val="en-GB"/>
        </w:rPr>
        <w:t>than manual exchange</w:t>
      </w:r>
      <w:r w:rsidR="009A001E">
        <w:rPr>
          <w:lang w:val="en-GB"/>
        </w:rPr>
        <w:t>,</w:t>
      </w:r>
      <w:r w:rsidR="00277B13">
        <w:rPr>
          <w:lang w:val="en-GB"/>
        </w:rPr>
        <w:t xml:space="preserve"> meaning that patients </w:t>
      </w:r>
      <w:r w:rsidR="002C27A9">
        <w:rPr>
          <w:lang w:val="en-GB"/>
        </w:rPr>
        <w:t xml:space="preserve">need </w:t>
      </w:r>
      <w:r w:rsidR="00886E9D">
        <w:rPr>
          <w:lang w:val="en-GB"/>
        </w:rPr>
        <w:t xml:space="preserve">the procedure </w:t>
      </w:r>
      <w:r w:rsidR="002C27A9">
        <w:rPr>
          <w:lang w:val="en-GB"/>
        </w:rPr>
        <w:t>less often</w:t>
      </w:r>
      <w:r w:rsidR="00277B13">
        <w:rPr>
          <w:lang w:val="en-GB"/>
        </w:rPr>
        <w:t>.</w:t>
      </w:r>
    </w:p>
    <w:p w:rsidR="0029372C" w:rsidRDefault="003D5516" w:rsidP="0029372C">
      <w:pPr>
        <w:pStyle w:val="Numberedlevel2text"/>
        <w:rPr>
          <w:lang w:val="en-GB"/>
        </w:rPr>
      </w:pPr>
      <w:r>
        <w:rPr>
          <w:lang w:val="en-GB"/>
        </w:rPr>
        <w:t>The Committee</w:t>
      </w:r>
      <w:r w:rsidR="006D4A38">
        <w:rPr>
          <w:lang w:val="en-GB"/>
        </w:rPr>
        <w:t xml:space="preserve"> noted that the evidence did not show</w:t>
      </w:r>
      <w:r w:rsidR="00C66AD3">
        <w:rPr>
          <w:lang w:val="en-GB"/>
        </w:rPr>
        <w:t xml:space="preserve"> a</w:t>
      </w:r>
      <w:r w:rsidR="00792655">
        <w:rPr>
          <w:lang w:val="en-GB"/>
        </w:rPr>
        <w:t>ny</w:t>
      </w:r>
      <w:r w:rsidR="00C66AD3">
        <w:rPr>
          <w:lang w:val="en-GB"/>
        </w:rPr>
        <w:t xml:space="preserve"> significant difference</w:t>
      </w:r>
      <w:r w:rsidR="00792655">
        <w:rPr>
          <w:lang w:val="en-GB"/>
        </w:rPr>
        <w:t>s</w:t>
      </w:r>
      <w:r w:rsidR="00C66AD3">
        <w:rPr>
          <w:lang w:val="en-GB"/>
        </w:rPr>
        <w:t xml:space="preserve"> </w:t>
      </w:r>
      <w:r w:rsidR="00886E9D">
        <w:rPr>
          <w:lang w:val="en-GB"/>
        </w:rPr>
        <w:t>in reducing</w:t>
      </w:r>
      <w:r w:rsidR="00C66AD3">
        <w:rPr>
          <w:lang w:val="en-GB"/>
        </w:rPr>
        <w:t xml:space="preserve"> iron</w:t>
      </w:r>
      <w:r w:rsidR="00886E9D">
        <w:rPr>
          <w:lang w:val="en-GB"/>
        </w:rPr>
        <w:t xml:space="preserve"> </w:t>
      </w:r>
      <w:r w:rsidR="00C66AD3">
        <w:rPr>
          <w:lang w:val="en-GB"/>
        </w:rPr>
        <w:t>overload</w:t>
      </w:r>
      <w:r w:rsidR="00886E9D">
        <w:rPr>
          <w:lang w:val="en-GB"/>
        </w:rPr>
        <w:t xml:space="preserve"> in </w:t>
      </w:r>
      <w:r w:rsidR="00C66AD3">
        <w:rPr>
          <w:lang w:val="en-GB"/>
        </w:rPr>
        <w:t xml:space="preserve">patients </w:t>
      </w:r>
      <w:r w:rsidR="00886E9D">
        <w:rPr>
          <w:lang w:val="en-GB"/>
        </w:rPr>
        <w:t xml:space="preserve">having </w:t>
      </w:r>
      <w:r w:rsidR="00C66AD3">
        <w:rPr>
          <w:lang w:val="en-GB"/>
        </w:rPr>
        <w:t xml:space="preserve">automated exchange with </w:t>
      </w:r>
      <w:r w:rsidR="00130A69">
        <w:rPr>
          <w:lang w:val="en-GB"/>
        </w:rPr>
        <w:t>Spectra Optia</w:t>
      </w:r>
      <w:r w:rsidR="00C66AD3">
        <w:rPr>
          <w:lang w:val="en-GB"/>
        </w:rPr>
        <w:t xml:space="preserve"> compared with </w:t>
      </w:r>
      <w:r w:rsidR="00886E9D">
        <w:rPr>
          <w:lang w:val="en-GB"/>
        </w:rPr>
        <w:t xml:space="preserve">patients having </w:t>
      </w:r>
      <w:r w:rsidR="00C66AD3">
        <w:rPr>
          <w:lang w:val="en-GB"/>
        </w:rPr>
        <w:t>manual exchange.</w:t>
      </w:r>
      <w:r w:rsidR="0086519D">
        <w:rPr>
          <w:lang w:val="en-GB"/>
        </w:rPr>
        <w:t xml:space="preserve"> </w:t>
      </w:r>
      <w:r w:rsidR="009A001E">
        <w:rPr>
          <w:lang w:val="en-GB"/>
        </w:rPr>
        <w:t>Nonetheless,</w:t>
      </w:r>
      <w:r w:rsidR="00C66AD3">
        <w:rPr>
          <w:lang w:val="en-GB"/>
        </w:rPr>
        <w:t xml:space="preserve"> </w:t>
      </w:r>
      <w:r w:rsidR="0051048C">
        <w:rPr>
          <w:lang w:val="en-GB"/>
        </w:rPr>
        <w:t>i</w:t>
      </w:r>
      <w:r w:rsidR="00C66AD3">
        <w:rPr>
          <w:lang w:val="en-GB"/>
        </w:rPr>
        <w:t>t</w:t>
      </w:r>
      <w:r>
        <w:rPr>
          <w:lang w:val="en-GB"/>
        </w:rPr>
        <w:t xml:space="preserve"> was advised by the clinical expert</w:t>
      </w:r>
      <w:r w:rsidR="00671E69">
        <w:rPr>
          <w:lang w:val="en-GB"/>
        </w:rPr>
        <w:t xml:space="preserve">s that </w:t>
      </w:r>
      <w:r>
        <w:rPr>
          <w:lang w:val="en-GB"/>
        </w:rPr>
        <w:t xml:space="preserve">exchange transfusion was the </w:t>
      </w:r>
      <w:r w:rsidR="002C27A9">
        <w:rPr>
          <w:lang w:val="en-GB"/>
        </w:rPr>
        <w:t xml:space="preserve">best </w:t>
      </w:r>
      <w:r>
        <w:rPr>
          <w:lang w:val="en-GB"/>
        </w:rPr>
        <w:t xml:space="preserve">treatment option </w:t>
      </w:r>
      <w:r w:rsidR="002E254C">
        <w:rPr>
          <w:lang w:val="en-GB"/>
        </w:rPr>
        <w:t xml:space="preserve">for </w:t>
      </w:r>
      <w:r w:rsidR="002B1CBE">
        <w:rPr>
          <w:lang w:val="en-GB"/>
        </w:rPr>
        <w:t xml:space="preserve">avoiding </w:t>
      </w:r>
      <w:r w:rsidR="002C27A9">
        <w:rPr>
          <w:lang w:val="en-GB"/>
        </w:rPr>
        <w:t>iron loading in people with sickle cell disease</w:t>
      </w:r>
      <w:r w:rsidR="00EB4695">
        <w:rPr>
          <w:lang w:val="en-GB"/>
        </w:rPr>
        <w:t>.</w:t>
      </w:r>
      <w:r w:rsidR="009258AE">
        <w:rPr>
          <w:lang w:val="en-GB"/>
        </w:rPr>
        <w:t xml:space="preserve"> </w:t>
      </w:r>
      <w:r w:rsidR="0029372C">
        <w:rPr>
          <w:lang w:val="en-GB"/>
        </w:rPr>
        <w:t>The Committee con</w:t>
      </w:r>
      <w:r w:rsidR="000E3489">
        <w:rPr>
          <w:lang w:val="en-GB"/>
        </w:rPr>
        <w:t xml:space="preserve">cluded </w:t>
      </w:r>
      <w:r w:rsidR="0029372C" w:rsidRPr="00C55CB6">
        <w:rPr>
          <w:lang w:val="en-GB"/>
        </w:rPr>
        <w:t>th</w:t>
      </w:r>
      <w:r w:rsidR="000E3489">
        <w:rPr>
          <w:lang w:val="en-GB"/>
        </w:rPr>
        <w:t xml:space="preserve">at </w:t>
      </w:r>
      <w:r w:rsidR="00886E9D">
        <w:rPr>
          <w:lang w:val="en-GB"/>
        </w:rPr>
        <w:t>long-term data should be collected</w:t>
      </w:r>
      <w:r w:rsidR="0029372C" w:rsidRPr="00C55CB6">
        <w:rPr>
          <w:lang w:val="en-GB"/>
        </w:rPr>
        <w:t xml:space="preserve"> on how auto</w:t>
      </w:r>
      <w:r w:rsidR="0029372C">
        <w:rPr>
          <w:lang w:val="en-GB"/>
        </w:rPr>
        <w:t xml:space="preserve">mated exchange </w:t>
      </w:r>
      <w:r w:rsidR="00886E9D">
        <w:rPr>
          <w:lang w:val="en-GB"/>
        </w:rPr>
        <w:t>affects</w:t>
      </w:r>
      <w:r w:rsidR="0029372C">
        <w:rPr>
          <w:lang w:val="en-GB"/>
        </w:rPr>
        <w:t xml:space="preserve"> iron overload status and the</w:t>
      </w:r>
      <w:r w:rsidR="0029372C" w:rsidRPr="007E5C56">
        <w:rPr>
          <w:lang w:val="en-GB"/>
        </w:rPr>
        <w:t xml:space="preserve"> </w:t>
      </w:r>
      <w:r w:rsidR="0029372C">
        <w:rPr>
          <w:lang w:val="en-GB"/>
        </w:rPr>
        <w:t xml:space="preserve">need </w:t>
      </w:r>
      <w:r w:rsidR="0029372C" w:rsidRPr="007E5C56">
        <w:rPr>
          <w:lang w:val="en-GB"/>
        </w:rPr>
        <w:t>f</w:t>
      </w:r>
      <w:r w:rsidR="0029372C">
        <w:rPr>
          <w:lang w:val="en-GB"/>
        </w:rPr>
        <w:t>or</w:t>
      </w:r>
      <w:r w:rsidR="0029372C" w:rsidRPr="007E5C56">
        <w:rPr>
          <w:lang w:val="en-GB"/>
        </w:rPr>
        <w:t xml:space="preserve"> chelation therapy</w:t>
      </w:r>
      <w:r w:rsidR="0029372C">
        <w:rPr>
          <w:lang w:val="en-GB"/>
        </w:rPr>
        <w:t>.</w:t>
      </w:r>
    </w:p>
    <w:p w:rsidR="00580265" w:rsidRPr="007E5C56" w:rsidRDefault="00580265" w:rsidP="0029372C">
      <w:pPr>
        <w:pStyle w:val="Numberedlevel2text"/>
        <w:rPr>
          <w:lang w:val="en-GB"/>
        </w:rPr>
      </w:pPr>
      <w:r>
        <w:rPr>
          <w:lang w:val="en-GB"/>
        </w:rPr>
        <w:t xml:space="preserve">The Committee was informed by the clinical </w:t>
      </w:r>
      <w:proofErr w:type="gramStart"/>
      <w:r>
        <w:rPr>
          <w:lang w:val="en-GB"/>
        </w:rPr>
        <w:t>experts that, i</w:t>
      </w:r>
      <w:r w:rsidRPr="00B44F29">
        <w:rPr>
          <w:lang w:val="en-GB"/>
        </w:rPr>
        <w:t>n practice, manual red blood cell exchange is</w:t>
      </w:r>
      <w:proofErr w:type="gramEnd"/>
      <w:r w:rsidRPr="00B44F29">
        <w:rPr>
          <w:lang w:val="en-GB"/>
        </w:rPr>
        <w:t xml:space="preserve"> not iron neutral. </w:t>
      </w:r>
      <w:r w:rsidR="004E4EE8">
        <w:rPr>
          <w:lang w:val="en-GB"/>
        </w:rPr>
        <w:t>It was advised that</w:t>
      </w:r>
      <w:r w:rsidR="0086519D">
        <w:rPr>
          <w:lang w:val="en-GB"/>
        </w:rPr>
        <w:t xml:space="preserve"> t</w:t>
      </w:r>
      <w:r w:rsidRPr="00B44F29">
        <w:rPr>
          <w:lang w:val="en-GB"/>
        </w:rPr>
        <w:t xml:space="preserve">he level of precision </w:t>
      </w:r>
      <w:r>
        <w:rPr>
          <w:lang w:val="en-GB"/>
        </w:rPr>
        <w:t>needed t</w:t>
      </w:r>
      <w:r w:rsidRPr="00B44F29">
        <w:rPr>
          <w:lang w:val="en-GB"/>
        </w:rPr>
        <w:t>o achieve absolute iron neutrality is not possible in a typical hospital setting or within a reasonable procedure time</w:t>
      </w:r>
      <w:r w:rsidR="004E4EE8">
        <w:rPr>
          <w:lang w:val="en-GB"/>
        </w:rPr>
        <w:t xml:space="preserve"> using this technique</w:t>
      </w:r>
      <w:r w:rsidRPr="00B44F29">
        <w:rPr>
          <w:lang w:val="en-GB"/>
        </w:rPr>
        <w:t xml:space="preserve">. </w:t>
      </w:r>
      <w:r>
        <w:rPr>
          <w:lang w:val="en-GB"/>
        </w:rPr>
        <w:t xml:space="preserve">However, during automated exchange with </w:t>
      </w:r>
      <w:r w:rsidR="00130A69">
        <w:rPr>
          <w:lang w:val="en-GB"/>
        </w:rPr>
        <w:t>Spectra Optia</w:t>
      </w:r>
      <w:r>
        <w:rPr>
          <w:lang w:val="en-GB"/>
        </w:rPr>
        <w:t>,</w:t>
      </w:r>
      <w:r w:rsidR="00F67A00">
        <w:rPr>
          <w:lang w:val="en-GB"/>
        </w:rPr>
        <w:t xml:space="preserve"> it is possible to</w:t>
      </w:r>
      <w:r>
        <w:rPr>
          <w:lang w:val="en-GB"/>
        </w:rPr>
        <w:t xml:space="preserve"> replac</w:t>
      </w:r>
      <w:r w:rsidR="00F67A00">
        <w:rPr>
          <w:lang w:val="en-GB"/>
        </w:rPr>
        <w:t>e</w:t>
      </w:r>
      <w:r>
        <w:rPr>
          <w:lang w:val="en-GB"/>
        </w:rPr>
        <w:t xml:space="preserve"> the precise volume of sickle cells removed with the appropriate </w:t>
      </w:r>
      <w:r w:rsidR="000A2351">
        <w:rPr>
          <w:lang w:val="en-GB"/>
        </w:rPr>
        <w:t xml:space="preserve">volume </w:t>
      </w:r>
      <w:r>
        <w:rPr>
          <w:lang w:val="en-GB"/>
        </w:rPr>
        <w:t xml:space="preserve">of packed red blood cells at a much faster rate, leading to iron neutrality. </w:t>
      </w:r>
    </w:p>
    <w:p w:rsidR="00451836" w:rsidRPr="002B1CBE" w:rsidRDefault="00451836" w:rsidP="00CA45BA">
      <w:pPr>
        <w:pStyle w:val="Numberedlevel2text"/>
        <w:rPr>
          <w:lang w:val="en-GB"/>
        </w:rPr>
      </w:pPr>
      <w:r w:rsidRPr="002B1CBE">
        <w:rPr>
          <w:lang w:val="en-GB"/>
        </w:rPr>
        <w:t xml:space="preserve">The Committee noted that optimal iron management is very important in people with sickle cell disease. To avoid the serious complications of iron overload, iron chelation therapy </w:t>
      </w:r>
      <w:r w:rsidR="002B1CBE">
        <w:rPr>
          <w:lang w:val="en-GB"/>
        </w:rPr>
        <w:t>can</w:t>
      </w:r>
      <w:r w:rsidR="002B1CBE" w:rsidRPr="002B1CBE">
        <w:rPr>
          <w:lang w:val="en-GB"/>
        </w:rPr>
        <w:t xml:space="preserve"> </w:t>
      </w:r>
      <w:r w:rsidRPr="002B1CBE">
        <w:rPr>
          <w:lang w:val="en-GB"/>
        </w:rPr>
        <w:t xml:space="preserve">be </w:t>
      </w:r>
      <w:r w:rsidR="005D1EBA">
        <w:rPr>
          <w:lang w:val="en-GB"/>
        </w:rPr>
        <w:t>used</w:t>
      </w:r>
      <w:r w:rsidRPr="002B1CBE">
        <w:rPr>
          <w:lang w:val="en-GB"/>
        </w:rPr>
        <w:t xml:space="preserve">. The Committee was advised that this treatment </w:t>
      </w:r>
      <w:r w:rsidR="002B1CBE">
        <w:rPr>
          <w:lang w:val="en-GB"/>
        </w:rPr>
        <w:t>is</w:t>
      </w:r>
      <w:r w:rsidR="002B1CBE" w:rsidRPr="002B1CBE">
        <w:rPr>
          <w:lang w:val="en-GB"/>
        </w:rPr>
        <w:t xml:space="preserve"> </w:t>
      </w:r>
      <w:r w:rsidRPr="002B1CBE">
        <w:rPr>
          <w:lang w:val="en-GB"/>
        </w:rPr>
        <w:t xml:space="preserve">poorly tolerated </w:t>
      </w:r>
      <w:r w:rsidR="00884B5B">
        <w:rPr>
          <w:lang w:val="en-GB"/>
        </w:rPr>
        <w:t>because of</w:t>
      </w:r>
      <w:r w:rsidR="002B1CBE">
        <w:rPr>
          <w:lang w:val="en-GB"/>
        </w:rPr>
        <w:t xml:space="preserve"> side effects and that</w:t>
      </w:r>
      <w:r w:rsidR="00ED3AAD" w:rsidRPr="002B1CBE">
        <w:rPr>
          <w:lang w:val="en-GB"/>
        </w:rPr>
        <w:t xml:space="preserve"> compliance is </w:t>
      </w:r>
      <w:r w:rsidR="004E4EE8">
        <w:rPr>
          <w:lang w:val="en-GB"/>
        </w:rPr>
        <w:t xml:space="preserve">therefore </w:t>
      </w:r>
      <w:r w:rsidR="00ED3AAD" w:rsidRPr="002B1CBE">
        <w:rPr>
          <w:lang w:val="en-GB"/>
        </w:rPr>
        <w:t>low</w:t>
      </w:r>
      <w:r w:rsidRPr="002B1CBE">
        <w:rPr>
          <w:lang w:val="en-GB"/>
        </w:rPr>
        <w:t xml:space="preserve">. Oral iron chelators are unpalatable and chalky and infusion pump </w:t>
      </w:r>
      <w:r w:rsidRPr="002B1CBE">
        <w:rPr>
          <w:lang w:val="en-GB"/>
        </w:rPr>
        <w:lastRenderedPageBreak/>
        <w:t xml:space="preserve">chelators must be </w:t>
      </w:r>
      <w:r w:rsidR="00ED3AAD" w:rsidRPr="002B1CBE">
        <w:rPr>
          <w:lang w:val="en-GB"/>
        </w:rPr>
        <w:t>administered in 3-weekly</w:t>
      </w:r>
      <w:r w:rsidR="002C27A9" w:rsidRPr="002B1CBE">
        <w:rPr>
          <w:lang w:val="en-GB"/>
        </w:rPr>
        <w:t>,</w:t>
      </w:r>
      <w:r w:rsidR="00ED3AAD" w:rsidRPr="002B1CBE">
        <w:rPr>
          <w:lang w:val="en-GB"/>
        </w:rPr>
        <w:t xml:space="preserve"> 12</w:t>
      </w:r>
      <w:r w:rsidR="002C27A9" w:rsidRPr="002B1CBE">
        <w:rPr>
          <w:lang w:val="en-GB"/>
        </w:rPr>
        <w:t>-</w:t>
      </w:r>
      <w:r w:rsidR="00ED3AAD" w:rsidRPr="002B1CBE">
        <w:rPr>
          <w:lang w:val="en-GB"/>
        </w:rPr>
        <w:t xml:space="preserve">hour treatments. Side effects of chelation therapies include significant gastrointestinal </w:t>
      </w:r>
      <w:r w:rsidR="002B1CBE">
        <w:rPr>
          <w:lang w:val="en-GB"/>
        </w:rPr>
        <w:t>symptom</w:t>
      </w:r>
      <w:r w:rsidR="002B1CBE" w:rsidRPr="002B1CBE">
        <w:rPr>
          <w:lang w:val="en-GB"/>
        </w:rPr>
        <w:t>s</w:t>
      </w:r>
      <w:r w:rsidR="00ED3AAD" w:rsidRPr="002B1CBE">
        <w:rPr>
          <w:lang w:val="en-GB"/>
        </w:rPr>
        <w:t>.</w:t>
      </w:r>
      <w:r w:rsidR="002B4E78">
        <w:rPr>
          <w:lang w:val="en-GB"/>
        </w:rPr>
        <w:t xml:space="preserve"> </w:t>
      </w:r>
      <w:r w:rsidR="00884B5B">
        <w:rPr>
          <w:lang w:val="en-GB"/>
        </w:rPr>
        <w:t xml:space="preserve">The Committee </w:t>
      </w:r>
      <w:r w:rsidR="004E4EE8">
        <w:rPr>
          <w:lang w:val="en-GB"/>
        </w:rPr>
        <w:t>accepted</w:t>
      </w:r>
      <w:r w:rsidR="00884B5B">
        <w:rPr>
          <w:lang w:val="en-GB"/>
        </w:rPr>
        <w:t xml:space="preserve"> expert advice that </w:t>
      </w:r>
      <w:r w:rsidR="00130A69">
        <w:rPr>
          <w:lang w:val="en-GB"/>
        </w:rPr>
        <w:t>Spectra Optia</w:t>
      </w:r>
      <w:r w:rsidR="00884B5B">
        <w:rPr>
          <w:lang w:val="en-GB"/>
        </w:rPr>
        <w:t xml:space="preserve"> is</w:t>
      </w:r>
      <w:r w:rsidR="0029372C" w:rsidRPr="0029372C">
        <w:rPr>
          <w:lang w:val="en-GB"/>
        </w:rPr>
        <w:t xml:space="preserve"> </w:t>
      </w:r>
      <w:r w:rsidR="0029372C" w:rsidRPr="00275AD9">
        <w:rPr>
          <w:lang w:val="en-GB"/>
        </w:rPr>
        <w:t>the only reliab</w:t>
      </w:r>
      <w:r w:rsidR="0029372C">
        <w:rPr>
          <w:lang w:val="en-GB"/>
        </w:rPr>
        <w:t>le</w:t>
      </w:r>
      <w:r w:rsidR="0029372C" w:rsidRPr="00275AD9">
        <w:rPr>
          <w:lang w:val="en-GB"/>
        </w:rPr>
        <w:t xml:space="preserve"> iron-neutral transfusion therapy </w:t>
      </w:r>
      <w:r w:rsidR="003C0B10">
        <w:rPr>
          <w:lang w:val="en-GB"/>
        </w:rPr>
        <w:t xml:space="preserve">currently </w:t>
      </w:r>
      <w:r w:rsidR="0029372C" w:rsidRPr="00275AD9">
        <w:rPr>
          <w:lang w:val="en-GB"/>
        </w:rPr>
        <w:t xml:space="preserve">available, and that this is particularly important </w:t>
      </w:r>
      <w:r w:rsidR="005D1EBA">
        <w:rPr>
          <w:lang w:val="en-GB"/>
        </w:rPr>
        <w:t>as</w:t>
      </w:r>
      <w:r w:rsidR="0029372C" w:rsidRPr="00275AD9">
        <w:rPr>
          <w:lang w:val="en-GB"/>
        </w:rPr>
        <w:t xml:space="preserve"> chelation therapy is </w:t>
      </w:r>
      <w:r w:rsidR="00886E9D">
        <w:rPr>
          <w:lang w:val="en-GB"/>
        </w:rPr>
        <w:t>costly</w:t>
      </w:r>
      <w:r w:rsidR="00886E9D" w:rsidRPr="00275AD9">
        <w:rPr>
          <w:lang w:val="en-GB"/>
        </w:rPr>
        <w:t xml:space="preserve"> </w:t>
      </w:r>
      <w:r w:rsidR="0029372C" w:rsidRPr="00275AD9">
        <w:rPr>
          <w:lang w:val="en-GB"/>
        </w:rPr>
        <w:t>and poorly tolerated</w:t>
      </w:r>
      <w:r w:rsidR="00884B5B">
        <w:rPr>
          <w:lang w:val="en-GB"/>
        </w:rPr>
        <w:t xml:space="preserve">. </w:t>
      </w:r>
    </w:p>
    <w:p w:rsidR="009258AE" w:rsidRPr="007E5C56" w:rsidRDefault="009258AE" w:rsidP="00CA45BA">
      <w:pPr>
        <w:pStyle w:val="Numberedlevel2text"/>
        <w:rPr>
          <w:lang w:val="en-GB"/>
        </w:rPr>
      </w:pPr>
      <w:r w:rsidRPr="002B1CBE">
        <w:rPr>
          <w:lang w:val="en-GB"/>
        </w:rPr>
        <w:t>The Committee was advised that venous access</w:t>
      </w:r>
      <w:r w:rsidR="00B76819" w:rsidRPr="002B1CBE">
        <w:rPr>
          <w:lang w:val="en-GB"/>
        </w:rPr>
        <w:t xml:space="preserve"> can be </w:t>
      </w:r>
      <w:r w:rsidR="005D1EBA">
        <w:rPr>
          <w:lang w:val="en-GB"/>
        </w:rPr>
        <w:t>difficult</w:t>
      </w:r>
      <w:r w:rsidR="005D1EBA" w:rsidRPr="002B1CBE">
        <w:rPr>
          <w:lang w:val="en-GB"/>
        </w:rPr>
        <w:t xml:space="preserve"> </w:t>
      </w:r>
      <w:r w:rsidR="00B76819" w:rsidRPr="002B1CBE">
        <w:rPr>
          <w:lang w:val="en-GB"/>
        </w:rPr>
        <w:t xml:space="preserve">for </w:t>
      </w:r>
      <w:r w:rsidR="00D07064" w:rsidRPr="002B1CBE">
        <w:rPr>
          <w:lang w:val="en-GB"/>
        </w:rPr>
        <w:t xml:space="preserve">patients </w:t>
      </w:r>
      <w:r w:rsidR="002C27A9" w:rsidRPr="002B1CBE">
        <w:rPr>
          <w:lang w:val="en-GB"/>
        </w:rPr>
        <w:t>having</w:t>
      </w:r>
      <w:r w:rsidR="00D07064" w:rsidRPr="002B1CBE">
        <w:rPr>
          <w:lang w:val="en-GB"/>
        </w:rPr>
        <w:t xml:space="preserve"> </w:t>
      </w:r>
      <w:r w:rsidR="00B76819" w:rsidRPr="002B1CBE">
        <w:rPr>
          <w:lang w:val="en-GB"/>
        </w:rPr>
        <w:t xml:space="preserve">exchange </w:t>
      </w:r>
      <w:proofErr w:type="gramStart"/>
      <w:r w:rsidR="00E4548D" w:rsidRPr="002B1CBE">
        <w:rPr>
          <w:lang w:val="en-GB"/>
        </w:rPr>
        <w:t>procedures</w:t>
      </w:r>
      <w:r w:rsidR="003C0B10">
        <w:rPr>
          <w:lang w:val="en-GB"/>
        </w:rPr>
        <w:t>,</w:t>
      </w:r>
      <w:proofErr w:type="gramEnd"/>
      <w:r w:rsidR="002C27A9" w:rsidRPr="002B1CBE">
        <w:rPr>
          <w:lang w:val="en-GB"/>
        </w:rPr>
        <w:t xml:space="preserve"> particularly in very young children (</w:t>
      </w:r>
      <w:r w:rsidR="00492F1D" w:rsidRPr="002B1CBE">
        <w:rPr>
          <w:lang w:val="en-GB"/>
        </w:rPr>
        <w:t xml:space="preserve">the clinical experts informed the Committee that </w:t>
      </w:r>
      <w:r w:rsidR="000C19B3">
        <w:rPr>
          <w:lang w:val="en-GB"/>
        </w:rPr>
        <w:t xml:space="preserve">most children </w:t>
      </w:r>
      <w:r w:rsidR="00760BE2">
        <w:rPr>
          <w:lang w:val="en-GB"/>
        </w:rPr>
        <w:t>having</w:t>
      </w:r>
      <w:r w:rsidR="000C19B3">
        <w:rPr>
          <w:lang w:val="en-GB"/>
        </w:rPr>
        <w:t xml:space="preserve"> </w:t>
      </w:r>
      <w:r w:rsidR="00130A69">
        <w:rPr>
          <w:lang w:val="en-GB"/>
        </w:rPr>
        <w:t>Spectra Optia</w:t>
      </w:r>
      <w:r w:rsidR="000C19B3">
        <w:rPr>
          <w:lang w:val="en-GB"/>
        </w:rPr>
        <w:t xml:space="preserve"> were over 10 years old). Experts advised that </w:t>
      </w:r>
      <w:r w:rsidR="008779D7">
        <w:rPr>
          <w:lang w:val="en-GB"/>
        </w:rPr>
        <w:t xml:space="preserve">safely achieving </w:t>
      </w:r>
      <w:r w:rsidR="00081ACE" w:rsidRPr="002B1CBE">
        <w:rPr>
          <w:lang w:val="en-GB"/>
        </w:rPr>
        <w:t xml:space="preserve">vascular access </w:t>
      </w:r>
      <w:r w:rsidR="00760BE2">
        <w:rPr>
          <w:lang w:val="en-GB"/>
        </w:rPr>
        <w:t>may depend</w:t>
      </w:r>
      <w:r w:rsidR="00081ACE" w:rsidRPr="002B1CBE">
        <w:rPr>
          <w:lang w:val="en-GB"/>
        </w:rPr>
        <w:t xml:space="preserve"> on the availability of appropriately trained staff </w:t>
      </w:r>
      <w:r w:rsidR="00326774" w:rsidRPr="002B1CBE">
        <w:rPr>
          <w:lang w:val="en-GB"/>
        </w:rPr>
        <w:t xml:space="preserve">and </w:t>
      </w:r>
      <w:r w:rsidR="00760BE2">
        <w:rPr>
          <w:lang w:val="en-GB"/>
        </w:rPr>
        <w:t xml:space="preserve">that </w:t>
      </w:r>
      <w:r w:rsidR="00326774" w:rsidRPr="002B1CBE">
        <w:rPr>
          <w:lang w:val="en-GB"/>
        </w:rPr>
        <w:t xml:space="preserve">this was an important </w:t>
      </w:r>
      <w:r w:rsidR="002B1CBE">
        <w:rPr>
          <w:lang w:val="en-GB"/>
        </w:rPr>
        <w:t xml:space="preserve">factor in the adoption of the </w:t>
      </w:r>
      <w:r w:rsidR="00326774" w:rsidRPr="002B1CBE">
        <w:rPr>
          <w:lang w:val="en-GB"/>
        </w:rPr>
        <w:t>Spectra Optia system.</w:t>
      </w:r>
      <w:r w:rsidR="00F6103E">
        <w:rPr>
          <w:lang w:val="en-GB"/>
        </w:rPr>
        <w:t xml:space="preserve"> A patient expert added that vascular access was a source of anxiety for patients before transfusion sessions. </w:t>
      </w:r>
      <w:r w:rsidR="003A7611">
        <w:rPr>
          <w:lang w:val="en-GB"/>
        </w:rPr>
        <w:t>The experts advised that access</w:t>
      </w:r>
      <w:r w:rsidR="008779D7">
        <w:rPr>
          <w:lang w:val="en-GB"/>
        </w:rPr>
        <w:t xml:space="preserve"> to a large central vein such as the femoral vein</w:t>
      </w:r>
      <w:r w:rsidR="003A7611">
        <w:rPr>
          <w:lang w:val="en-GB"/>
        </w:rPr>
        <w:t xml:space="preserve"> </w:t>
      </w:r>
      <w:r w:rsidR="008779D7">
        <w:rPr>
          <w:lang w:val="en-GB"/>
        </w:rPr>
        <w:t xml:space="preserve">(often guided by ultrasound) </w:t>
      </w:r>
      <w:r w:rsidR="003A7611">
        <w:rPr>
          <w:lang w:val="en-GB"/>
        </w:rPr>
        <w:t>is most common</w:t>
      </w:r>
      <w:r w:rsidR="008779D7">
        <w:rPr>
          <w:lang w:val="en-GB"/>
        </w:rPr>
        <w:t>ly required</w:t>
      </w:r>
      <w:r w:rsidR="003A7611">
        <w:rPr>
          <w:lang w:val="en-GB"/>
        </w:rPr>
        <w:t xml:space="preserve"> with </w:t>
      </w:r>
      <w:r w:rsidR="00130A69">
        <w:rPr>
          <w:lang w:val="en-GB"/>
        </w:rPr>
        <w:t>Spectra Optia</w:t>
      </w:r>
      <w:r w:rsidR="003A7611">
        <w:rPr>
          <w:lang w:val="en-GB"/>
        </w:rPr>
        <w:t xml:space="preserve">. </w:t>
      </w:r>
      <w:r w:rsidR="00DB265A" w:rsidRPr="002B1CBE">
        <w:rPr>
          <w:lang w:val="en-GB"/>
        </w:rPr>
        <w:t>The Committee w</w:t>
      </w:r>
      <w:r w:rsidR="00F6103E">
        <w:rPr>
          <w:lang w:val="en-GB"/>
        </w:rPr>
        <w:t>as</w:t>
      </w:r>
      <w:r w:rsidR="00DB265A" w:rsidRPr="002B1CBE">
        <w:rPr>
          <w:lang w:val="en-GB"/>
        </w:rPr>
        <w:t xml:space="preserve"> advised that </w:t>
      </w:r>
      <w:r w:rsidR="002B1CBE">
        <w:rPr>
          <w:lang w:val="en-GB"/>
        </w:rPr>
        <w:t>there is an inequity of access to speciali</w:t>
      </w:r>
      <w:r w:rsidR="00EB4695">
        <w:rPr>
          <w:lang w:val="en-GB"/>
        </w:rPr>
        <w:t>s</w:t>
      </w:r>
      <w:r w:rsidR="002B1CBE">
        <w:rPr>
          <w:lang w:val="en-GB"/>
        </w:rPr>
        <w:t xml:space="preserve">ed venous access teams </w:t>
      </w:r>
      <w:r w:rsidR="008779D7">
        <w:rPr>
          <w:lang w:val="en-GB"/>
        </w:rPr>
        <w:t>and that this may</w:t>
      </w:r>
      <w:r w:rsidR="002B1CBE">
        <w:rPr>
          <w:lang w:val="en-GB"/>
        </w:rPr>
        <w:t xml:space="preserve"> </w:t>
      </w:r>
      <w:r w:rsidR="00F6103E">
        <w:rPr>
          <w:lang w:val="en-GB"/>
        </w:rPr>
        <w:t xml:space="preserve">affect </w:t>
      </w:r>
      <w:r w:rsidR="002B1CBE">
        <w:rPr>
          <w:lang w:val="en-GB"/>
        </w:rPr>
        <w:t>uptake of the Spect</w:t>
      </w:r>
      <w:r w:rsidR="00EB4695">
        <w:rPr>
          <w:lang w:val="en-GB"/>
        </w:rPr>
        <w:t>r</w:t>
      </w:r>
      <w:r w:rsidR="002B1CBE">
        <w:rPr>
          <w:lang w:val="en-GB"/>
        </w:rPr>
        <w:t xml:space="preserve">a Optia </w:t>
      </w:r>
      <w:r w:rsidR="00EB4695">
        <w:rPr>
          <w:lang w:val="en-GB"/>
        </w:rPr>
        <w:t>s</w:t>
      </w:r>
      <w:r w:rsidR="002B1CBE">
        <w:rPr>
          <w:lang w:val="en-GB"/>
        </w:rPr>
        <w:t xml:space="preserve">ystem. </w:t>
      </w:r>
      <w:r w:rsidR="00550155">
        <w:rPr>
          <w:lang w:val="en-GB"/>
        </w:rPr>
        <w:t xml:space="preserve">The skills required to use Spectra Optia are transferable, so staff </w:t>
      </w:r>
      <w:r w:rsidR="008779D7">
        <w:rPr>
          <w:lang w:val="en-GB"/>
        </w:rPr>
        <w:t xml:space="preserve">are able to </w:t>
      </w:r>
      <w:r w:rsidR="00550155">
        <w:rPr>
          <w:lang w:val="en-GB"/>
        </w:rPr>
        <w:t>use</w:t>
      </w:r>
      <w:r w:rsidR="00DB265A">
        <w:rPr>
          <w:lang w:val="en-GB"/>
        </w:rPr>
        <w:t xml:space="preserve"> </w:t>
      </w:r>
      <w:r w:rsidR="00130A69">
        <w:rPr>
          <w:lang w:val="en-GB"/>
        </w:rPr>
        <w:t>Spectra Optia</w:t>
      </w:r>
      <w:r w:rsidR="00DB265A">
        <w:rPr>
          <w:lang w:val="en-GB"/>
        </w:rPr>
        <w:t xml:space="preserve"> for other clinical indications.</w:t>
      </w:r>
      <w:r w:rsidR="00B10257">
        <w:rPr>
          <w:lang w:val="en-GB"/>
        </w:rPr>
        <w:t xml:space="preserve"> </w:t>
      </w:r>
    </w:p>
    <w:p w:rsidR="007F49BA" w:rsidRPr="007E5C56" w:rsidRDefault="007F49BA" w:rsidP="00B14B5C">
      <w:pPr>
        <w:pStyle w:val="Numberedheading1"/>
        <w:rPr>
          <w:lang w:val="en-GB"/>
        </w:rPr>
      </w:pPr>
      <w:r w:rsidRPr="007E5C56">
        <w:rPr>
          <w:lang w:val="en-GB"/>
        </w:rPr>
        <w:t>NHS considerations</w:t>
      </w:r>
    </w:p>
    <w:p w:rsidR="007F49BA" w:rsidRPr="007E5C56" w:rsidRDefault="007F49BA" w:rsidP="00B14B5C">
      <w:pPr>
        <w:pStyle w:val="Heading2"/>
        <w:rPr>
          <w:lang w:val="en-GB"/>
        </w:rPr>
      </w:pPr>
      <w:r w:rsidRPr="007E5C56">
        <w:rPr>
          <w:lang w:val="en-GB"/>
        </w:rPr>
        <w:t>System impact</w:t>
      </w:r>
    </w:p>
    <w:p w:rsidR="00C624F1" w:rsidRDefault="00C624F1" w:rsidP="00B14B5C">
      <w:pPr>
        <w:pStyle w:val="Numberedlevel2text"/>
        <w:rPr>
          <w:lang w:val="en-GB"/>
        </w:rPr>
      </w:pPr>
      <w:r>
        <w:rPr>
          <w:lang w:val="en-GB"/>
        </w:rPr>
        <w:t>Adopting the Spectra Optia is claimed to have a range of system benefits including: a reduced need for chelation therapy</w:t>
      </w:r>
      <w:r w:rsidR="005A729C">
        <w:rPr>
          <w:lang w:val="en-GB"/>
        </w:rPr>
        <w:t>;</w:t>
      </w:r>
      <w:r>
        <w:rPr>
          <w:lang w:val="en-GB"/>
        </w:rPr>
        <w:t xml:space="preserve"> shorter</w:t>
      </w:r>
      <w:r w:rsidR="005A729C">
        <w:rPr>
          <w:lang w:val="en-GB"/>
        </w:rPr>
        <w:t>, less frequent exchange procedures;</w:t>
      </w:r>
      <w:r>
        <w:rPr>
          <w:lang w:val="en-GB"/>
        </w:rPr>
        <w:t xml:space="preserve"> reduced number of staff needed</w:t>
      </w:r>
      <w:r w:rsidR="005A729C">
        <w:rPr>
          <w:lang w:val="en-GB"/>
        </w:rPr>
        <w:t>;</w:t>
      </w:r>
      <w:r>
        <w:rPr>
          <w:lang w:val="en-GB"/>
        </w:rPr>
        <w:t xml:space="preserve"> reduced emergency </w:t>
      </w:r>
      <w:r w:rsidR="005A729C">
        <w:rPr>
          <w:lang w:val="en-GB"/>
        </w:rPr>
        <w:t xml:space="preserve">hospitalisations and more efficient use of donor blood. </w:t>
      </w:r>
      <w:r w:rsidR="001B0E97">
        <w:rPr>
          <w:lang w:val="en-GB"/>
        </w:rPr>
        <w:t xml:space="preserve">Published evidence was presented on procedure times and </w:t>
      </w:r>
      <w:r w:rsidR="00DB0228">
        <w:rPr>
          <w:lang w:val="en-GB"/>
        </w:rPr>
        <w:t xml:space="preserve">treatment intervals </w:t>
      </w:r>
      <w:r w:rsidR="001B0E97">
        <w:rPr>
          <w:lang w:val="en-GB"/>
        </w:rPr>
        <w:t>(see section 3</w:t>
      </w:r>
      <w:r w:rsidR="00155C80">
        <w:rPr>
          <w:lang w:val="en-GB"/>
        </w:rPr>
        <w:t>.</w:t>
      </w:r>
      <w:r w:rsidR="00DB0228">
        <w:rPr>
          <w:lang w:val="en-GB"/>
        </w:rPr>
        <w:t>16)</w:t>
      </w:r>
      <w:r w:rsidR="00155C80">
        <w:rPr>
          <w:lang w:val="en-GB"/>
        </w:rPr>
        <w:t xml:space="preserve"> </w:t>
      </w:r>
      <w:r w:rsidR="00DB0228">
        <w:rPr>
          <w:lang w:val="en-GB"/>
        </w:rPr>
        <w:t>but not for the other outcomes</w:t>
      </w:r>
      <w:r w:rsidR="00812784">
        <w:rPr>
          <w:lang w:val="en-GB"/>
        </w:rPr>
        <w:t>.</w:t>
      </w:r>
    </w:p>
    <w:p w:rsidR="006D7F22" w:rsidRDefault="00DB0228" w:rsidP="006D7F22">
      <w:pPr>
        <w:pStyle w:val="Numberedlevel2text"/>
        <w:rPr>
          <w:lang w:val="en-GB"/>
        </w:rPr>
      </w:pPr>
      <w:r>
        <w:rPr>
          <w:lang w:val="en-GB"/>
        </w:rPr>
        <w:lastRenderedPageBreak/>
        <w:t>Clinical e</w:t>
      </w:r>
      <w:r w:rsidR="0072770C">
        <w:rPr>
          <w:lang w:val="en-GB"/>
        </w:rPr>
        <w:t xml:space="preserve">xperts </w:t>
      </w:r>
      <w:r>
        <w:rPr>
          <w:lang w:val="en-GB"/>
        </w:rPr>
        <w:t>informed the Committee</w:t>
      </w:r>
      <w:r w:rsidR="0072770C">
        <w:rPr>
          <w:lang w:val="en-GB"/>
        </w:rPr>
        <w:t xml:space="preserve"> that </w:t>
      </w:r>
      <w:r w:rsidR="006D7F22">
        <w:rPr>
          <w:lang w:val="en-GB"/>
        </w:rPr>
        <w:t>Spectra Optia may be operated by 1 Band 5 nurse. In larger units with more than 1 machine, 1 nurse can manage 2 patients having exchange procedures at the same time. The company provides initial and refresher training at no additional cost. Operator competency may be more difficult to maintain in areas with low numbers of patients.</w:t>
      </w:r>
    </w:p>
    <w:p w:rsidR="00302E1E" w:rsidRPr="007D71C7" w:rsidRDefault="00130A69" w:rsidP="00302E1E">
      <w:pPr>
        <w:pStyle w:val="Numberedlevel2text"/>
      </w:pPr>
      <w:r w:rsidRPr="004641D6">
        <w:rPr>
          <w:lang w:val="en-GB"/>
        </w:rPr>
        <w:t>Spectra Optia</w:t>
      </w:r>
      <w:r w:rsidR="00371154" w:rsidRPr="004641D6">
        <w:rPr>
          <w:lang w:val="en-GB"/>
        </w:rPr>
        <w:t xml:space="preserve"> is a multifunctional device and is already in </w:t>
      </w:r>
      <w:r w:rsidR="00371154" w:rsidRPr="00C12095">
        <w:rPr>
          <w:lang w:val="en-GB"/>
        </w:rPr>
        <w:t xml:space="preserve">use at many hospitals for other indications. </w:t>
      </w:r>
      <w:r w:rsidR="00DC6453" w:rsidRPr="00C12095">
        <w:rPr>
          <w:lang w:val="en-GB"/>
        </w:rPr>
        <w:t>T</w:t>
      </w:r>
      <w:r w:rsidR="00371154" w:rsidRPr="007E3E98">
        <w:rPr>
          <w:lang w:val="en-GB"/>
        </w:rPr>
        <w:t>he low prevalence of sickle cell disease in some parts of the UK</w:t>
      </w:r>
      <w:r w:rsidR="00DC6453" w:rsidRPr="007E3E98">
        <w:rPr>
          <w:lang w:val="en-GB"/>
        </w:rPr>
        <w:t xml:space="preserve"> means</w:t>
      </w:r>
      <w:r w:rsidR="004C0668" w:rsidRPr="007E3E98">
        <w:rPr>
          <w:lang w:val="en-GB"/>
        </w:rPr>
        <w:t xml:space="preserve"> that</w:t>
      </w:r>
      <w:r w:rsidR="00371154" w:rsidRPr="007E3E98">
        <w:rPr>
          <w:lang w:val="en-GB"/>
        </w:rPr>
        <w:t xml:space="preserve"> </w:t>
      </w:r>
      <w:r w:rsidR="002C27A9" w:rsidRPr="007E3E98">
        <w:rPr>
          <w:lang w:val="en-GB"/>
        </w:rPr>
        <w:t xml:space="preserve">existing Spectra Optia </w:t>
      </w:r>
      <w:r w:rsidR="00371154" w:rsidRPr="007E3E98">
        <w:rPr>
          <w:lang w:val="en-GB"/>
        </w:rPr>
        <w:t xml:space="preserve">devices could be made available as part of a device-sharing scheme. The </w:t>
      </w:r>
      <w:r w:rsidR="004E6538" w:rsidRPr="007E3E98">
        <w:rPr>
          <w:lang w:val="en-GB"/>
        </w:rPr>
        <w:t>External Assessment Centre</w:t>
      </w:r>
      <w:r w:rsidR="00371154" w:rsidRPr="007E3E98">
        <w:rPr>
          <w:lang w:val="en-GB"/>
        </w:rPr>
        <w:t xml:space="preserve"> developed a scenario which explored the costs and benefits of this.</w:t>
      </w:r>
    </w:p>
    <w:p w:rsidR="007F49BA" w:rsidRPr="007E5C56" w:rsidRDefault="007F49BA" w:rsidP="00B14B5C">
      <w:pPr>
        <w:pStyle w:val="Heading3"/>
      </w:pPr>
      <w:r w:rsidRPr="007E5C56">
        <w:t>Committee considerations</w:t>
      </w:r>
    </w:p>
    <w:p w:rsidR="00E925F9" w:rsidRDefault="00E925F9" w:rsidP="00671E69">
      <w:pPr>
        <w:pStyle w:val="Numberedlevel2text"/>
        <w:rPr>
          <w:lang w:val="en-GB"/>
        </w:rPr>
      </w:pPr>
      <w:r>
        <w:rPr>
          <w:lang w:val="en-GB"/>
        </w:rPr>
        <w:t>The Committee discussed the current lack of consistency in services for people with sickle cell disease.</w:t>
      </w:r>
      <w:r w:rsidR="00BF04C0">
        <w:rPr>
          <w:lang w:val="en-GB"/>
        </w:rPr>
        <w:t xml:space="preserve"> </w:t>
      </w:r>
      <w:r w:rsidR="00BB53B9">
        <w:rPr>
          <w:lang w:val="en-GB"/>
        </w:rPr>
        <w:t xml:space="preserve">Most people with the disease live in major urban centres, so services in cities </w:t>
      </w:r>
      <w:r w:rsidR="006734A8">
        <w:rPr>
          <w:lang w:val="en-GB"/>
        </w:rPr>
        <w:t>must be able to provide for</w:t>
      </w:r>
      <w:r w:rsidR="00BB53B9">
        <w:rPr>
          <w:lang w:val="en-GB"/>
        </w:rPr>
        <w:t xml:space="preserve"> a large sickle cell population. In contrast, </w:t>
      </w:r>
      <w:r w:rsidR="00BF04C0">
        <w:rPr>
          <w:lang w:val="en-GB"/>
        </w:rPr>
        <w:t xml:space="preserve">in rural areas there may </w:t>
      </w:r>
      <w:r w:rsidR="00BB53B9">
        <w:rPr>
          <w:lang w:val="en-GB"/>
        </w:rPr>
        <w:t>be only a small number of people with</w:t>
      </w:r>
      <w:r w:rsidR="00BF04C0">
        <w:rPr>
          <w:lang w:val="en-GB"/>
        </w:rPr>
        <w:t xml:space="preserve"> sickle cell disease. </w:t>
      </w:r>
      <w:r w:rsidR="00BB53B9">
        <w:rPr>
          <w:lang w:val="en-GB"/>
        </w:rPr>
        <w:t xml:space="preserve">The clinical experts advised that </w:t>
      </w:r>
      <w:r w:rsidR="009F769B">
        <w:rPr>
          <w:lang w:val="en-GB"/>
        </w:rPr>
        <w:t xml:space="preserve">around </w:t>
      </w:r>
      <w:r w:rsidR="00BB53B9">
        <w:rPr>
          <w:lang w:val="en-GB"/>
        </w:rPr>
        <w:t>75%</w:t>
      </w:r>
      <w:r w:rsidR="009F769B">
        <w:rPr>
          <w:lang w:val="en-GB"/>
        </w:rPr>
        <w:t xml:space="preserve"> of </w:t>
      </w:r>
      <w:r w:rsidR="002B1CBE">
        <w:rPr>
          <w:lang w:val="en-GB"/>
        </w:rPr>
        <w:t xml:space="preserve">sickle cell </w:t>
      </w:r>
      <w:r w:rsidR="009F769B">
        <w:rPr>
          <w:lang w:val="en-GB"/>
        </w:rPr>
        <w:t xml:space="preserve">patients </w:t>
      </w:r>
      <w:r w:rsidR="002B1CBE">
        <w:rPr>
          <w:lang w:val="en-GB"/>
        </w:rPr>
        <w:t xml:space="preserve">are </w:t>
      </w:r>
      <w:r w:rsidR="009F769B">
        <w:rPr>
          <w:lang w:val="en-GB"/>
        </w:rPr>
        <w:t>based in London</w:t>
      </w:r>
      <w:r w:rsidR="00BB53B9">
        <w:rPr>
          <w:lang w:val="en-GB"/>
        </w:rPr>
        <w:t>,</w:t>
      </w:r>
      <w:r w:rsidR="009F769B">
        <w:rPr>
          <w:lang w:val="en-GB"/>
        </w:rPr>
        <w:t xml:space="preserve"> with significant populations</w:t>
      </w:r>
      <w:r w:rsidR="002B1CBE">
        <w:rPr>
          <w:lang w:val="en-GB"/>
        </w:rPr>
        <w:t xml:space="preserve"> </w:t>
      </w:r>
      <w:r w:rsidR="009F769B">
        <w:rPr>
          <w:lang w:val="en-GB"/>
        </w:rPr>
        <w:t xml:space="preserve">in </w:t>
      </w:r>
      <w:r w:rsidR="00BB53B9">
        <w:rPr>
          <w:lang w:val="en-GB"/>
        </w:rPr>
        <w:t xml:space="preserve">both </w:t>
      </w:r>
      <w:r w:rsidR="009F769B">
        <w:rPr>
          <w:lang w:val="en-GB"/>
        </w:rPr>
        <w:t>Manchester and Liverpool</w:t>
      </w:r>
      <w:r w:rsidR="00E86B90">
        <w:rPr>
          <w:lang w:val="en-GB"/>
        </w:rPr>
        <w:t xml:space="preserve">. </w:t>
      </w:r>
      <w:r w:rsidR="003C0B10">
        <w:rPr>
          <w:lang w:val="en-GB"/>
        </w:rPr>
        <w:t xml:space="preserve">The Committee was made aware that a review of services in England is being carried out by the clinical reference group </w:t>
      </w:r>
      <w:r w:rsidR="00F215B0">
        <w:rPr>
          <w:lang w:val="en-GB"/>
        </w:rPr>
        <w:t xml:space="preserve">advising on </w:t>
      </w:r>
      <w:proofErr w:type="spellStart"/>
      <w:r w:rsidR="003C0B10">
        <w:rPr>
          <w:lang w:val="en-GB"/>
        </w:rPr>
        <w:t>haemoglobinopathy</w:t>
      </w:r>
      <w:proofErr w:type="spellEnd"/>
      <w:r w:rsidR="003C0B10">
        <w:rPr>
          <w:lang w:val="en-GB"/>
        </w:rPr>
        <w:t xml:space="preserve"> (</w:t>
      </w:r>
      <w:hyperlink r:id="rId13" w:history="1">
        <w:r w:rsidR="003C0B10" w:rsidRPr="001B05BA">
          <w:rPr>
            <w:rStyle w:val="Hyperlink"/>
            <w:lang w:val="en-GB"/>
          </w:rPr>
          <w:t xml:space="preserve">F05 </w:t>
        </w:r>
        <w:proofErr w:type="spellStart"/>
        <w:r w:rsidR="003C0B10" w:rsidRPr="001B05BA">
          <w:rPr>
            <w:rStyle w:val="Hyperlink"/>
            <w:lang w:val="en-GB"/>
          </w:rPr>
          <w:t>Haemoglobinopathies</w:t>
        </w:r>
        <w:proofErr w:type="spellEnd"/>
      </w:hyperlink>
      <w:r w:rsidR="003C0B10">
        <w:rPr>
          <w:lang w:val="en-GB"/>
        </w:rPr>
        <w:t xml:space="preserve">) </w:t>
      </w:r>
      <w:r w:rsidR="002B1CBE">
        <w:rPr>
          <w:lang w:val="en-GB"/>
        </w:rPr>
        <w:t xml:space="preserve">to ensure that there is </w:t>
      </w:r>
      <w:r w:rsidR="004C0668">
        <w:rPr>
          <w:lang w:val="en-GB"/>
        </w:rPr>
        <w:t>1</w:t>
      </w:r>
      <w:r w:rsidR="002B1CBE">
        <w:rPr>
          <w:lang w:val="en-GB"/>
        </w:rPr>
        <w:t xml:space="preserve"> </w:t>
      </w:r>
      <w:r w:rsidR="009B215A">
        <w:rPr>
          <w:lang w:val="en-GB"/>
        </w:rPr>
        <w:t xml:space="preserve">designated </w:t>
      </w:r>
      <w:r w:rsidR="002B1CBE">
        <w:rPr>
          <w:lang w:val="en-GB"/>
        </w:rPr>
        <w:t>centre for each geographical area</w:t>
      </w:r>
      <w:r w:rsidR="00F97F50">
        <w:rPr>
          <w:lang w:val="en-GB"/>
        </w:rPr>
        <w:t>.</w:t>
      </w:r>
    </w:p>
    <w:p w:rsidR="00B14B5C" w:rsidRPr="005A729C" w:rsidRDefault="007D71C7" w:rsidP="00650BE7">
      <w:pPr>
        <w:pStyle w:val="Numberedlevel2text"/>
        <w:rPr>
          <w:lang w:val="en-GB"/>
        </w:rPr>
      </w:pPr>
      <w:r w:rsidRPr="00650BE7">
        <w:rPr>
          <w:lang w:val="en-GB"/>
        </w:rPr>
        <w:t xml:space="preserve">The Committee noted that </w:t>
      </w:r>
      <w:r w:rsidR="00BB53B9" w:rsidRPr="00650BE7">
        <w:rPr>
          <w:lang w:val="en-GB"/>
        </w:rPr>
        <w:t xml:space="preserve">automatic exchange </w:t>
      </w:r>
      <w:r w:rsidRPr="00650BE7">
        <w:rPr>
          <w:lang w:val="en-GB"/>
        </w:rPr>
        <w:t xml:space="preserve">with </w:t>
      </w:r>
      <w:r w:rsidR="00130A69" w:rsidRPr="00650BE7">
        <w:rPr>
          <w:lang w:val="en-GB"/>
        </w:rPr>
        <w:t>Spectra Optia</w:t>
      </w:r>
      <w:r w:rsidRPr="00650BE7">
        <w:rPr>
          <w:lang w:val="en-GB"/>
        </w:rPr>
        <w:t xml:space="preserve"> </w:t>
      </w:r>
      <w:r w:rsidR="00C814E3" w:rsidRPr="00E77DD1">
        <w:rPr>
          <w:lang w:val="en-GB"/>
        </w:rPr>
        <w:t>uses</w:t>
      </w:r>
      <w:r w:rsidR="00C814E3" w:rsidRPr="00C624F1">
        <w:rPr>
          <w:lang w:val="en-GB"/>
        </w:rPr>
        <w:t xml:space="preserve"> </w:t>
      </w:r>
      <w:r w:rsidRPr="00C624F1">
        <w:rPr>
          <w:lang w:val="en-GB"/>
        </w:rPr>
        <w:t>more packed red blood cell units than manual exchange</w:t>
      </w:r>
      <w:r w:rsidR="00C814E3" w:rsidRPr="004C2233">
        <w:rPr>
          <w:lang w:val="en-GB"/>
        </w:rPr>
        <w:t>, e</w:t>
      </w:r>
      <w:r w:rsidRPr="006D7F22">
        <w:rPr>
          <w:lang w:val="en-GB"/>
        </w:rPr>
        <w:t xml:space="preserve">ven </w:t>
      </w:r>
      <w:r w:rsidR="00C814E3" w:rsidRPr="006D7F22">
        <w:rPr>
          <w:lang w:val="en-GB"/>
        </w:rPr>
        <w:t xml:space="preserve">taking into account </w:t>
      </w:r>
      <w:r w:rsidRPr="006D7F22">
        <w:rPr>
          <w:lang w:val="en-GB"/>
        </w:rPr>
        <w:t xml:space="preserve">the longer </w:t>
      </w:r>
      <w:r w:rsidR="00BB53B9" w:rsidRPr="006D7F22">
        <w:rPr>
          <w:lang w:val="en-GB"/>
        </w:rPr>
        <w:t>interval between procedures</w:t>
      </w:r>
      <w:r w:rsidR="004678BE" w:rsidRPr="006D7F22">
        <w:rPr>
          <w:lang w:val="en-GB"/>
        </w:rPr>
        <w:t xml:space="preserve">. </w:t>
      </w:r>
      <w:r w:rsidR="00DB0228">
        <w:rPr>
          <w:lang w:val="en-GB"/>
        </w:rPr>
        <w:t>It was advised by clinical experts that, d</w:t>
      </w:r>
      <w:r w:rsidR="004641D6">
        <w:rPr>
          <w:lang w:val="en-GB"/>
        </w:rPr>
        <w:t>uring manual exchange</w:t>
      </w:r>
      <w:r w:rsidR="00DB0228">
        <w:rPr>
          <w:lang w:val="en-GB"/>
        </w:rPr>
        <w:t>,</w:t>
      </w:r>
      <w:r w:rsidR="004641D6">
        <w:rPr>
          <w:lang w:val="en-GB"/>
        </w:rPr>
        <w:t xml:space="preserve"> some donor blood may be removed from the patient and unless an extra cell separation process is performed, this donor blood is wasted. </w:t>
      </w:r>
      <w:r w:rsidR="004641D6">
        <w:rPr>
          <w:lang w:val="en-GB"/>
        </w:rPr>
        <w:lastRenderedPageBreak/>
        <w:t>Only sickle cells are removed by Spectra Optia so this may account for the difference, however, no studies have been conducted to investigate this.</w:t>
      </w:r>
    </w:p>
    <w:p w:rsidR="00765026" w:rsidRPr="004C0668" w:rsidRDefault="003643AE" w:rsidP="003643AE">
      <w:pPr>
        <w:pStyle w:val="Numberedlevel2text"/>
        <w:rPr>
          <w:lang w:val="en-GB"/>
        </w:rPr>
      </w:pPr>
      <w:r w:rsidRPr="004C0668">
        <w:rPr>
          <w:lang w:val="en-GB"/>
        </w:rPr>
        <w:t xml:space="preserve">The Committee noted </w:t>
      </w:r>
      <w:r w:rsidR="00CC3C10">
        <w:rPr>
          <w:lang w:val="en-GB"/>
        </w:rPr>
        <w:t xml:space="preserve">that </w:t>
      </w:r>
      <w:r w:rsidR="00CC3C10" w:rsidRPr="004C0668">
        <w:rPr>
          <w:lang w:val="en-GB"/>
        </w:rPr>
        <w:t xml:space="preserve">current levels of tariff remuneration </w:t>
      </w:r>
      <w:r w:rsidR="00CC3C10">
        <w:rPr>
          <w:lang w:val="en-GB"/>
        </w:rPr>
        <w:t xml:space="preserve">can act as a </w:t>
      </w:r>
      <w:r w:rsidRPr="004C0668">
        <w:rPr>
          <w:lang w:val="en-GB"/>
        </w:rPr>
        <w:t xml:space="preserve">disincentive </w:t>
      </w:r>
      <w:r w:rsidR="00CC3C10">
        <w:rPr>
          <w:lang w:val="en-GB"/>
        </w:rPr>
        <w:t xml:space="preserve">to </w:t>
      </w:r>
      <w:r w:rsidRPr="004C0668">
        <w:rPr>
          <w:lang w:val="en-GB"/>
        </w:rPr>
        <w:t>use this technology.</w:t>
      </w:r>
      <w:r w:rsidR="004C0668" w:rsidRPr="004C0668">
        <w:rPr>
          <w:lang w:val="en-GB"/>
        </w:rPr>
        <w:t xml:space="preserve"> </w:t>
      </w:r>
      <w:r w:rsidRPr="004C0668">
        <w:rPr>
          <w:lang w:val="en-GB"/>
        </w:rPr>
        <w:t>The Committee w</w:t>
      </w:r>
      <w:r w:rsidR="004C0668" w:rsidRPr="004C0668">
        <w:rPr>
          <w:lang w:val="en-GB"/>
        </w:rPr>
        <w:t>as</w:t>
      </w:r>
      <w:r w:rsidRPr="004C0668">
        <w:rPr>
          <w:lang w:val="en-GB"/>
        </w:rPr>
        <w:t xml:space="preserve"> </w:t>
      </w:r>
      <w:r w:rsidR="004C0EF1">
        <w:rPr>
          <w:lang w:val="en-GB"/>
        </w:rPr>
        <w:t xml:space="preserve">also </w:t>
      </w:r>
      <w:r w:rsidRPr="004C0668">
        <w:rPr>
          <w:lang w:val="en-GB"/>
        </w:rPr>
        <w:t xml:space="preserve">advised by </w:t>
      </w:r>
      <w:r w:rsidR="004C0668">
        <w:rPr>
          <w:lang w:val="en-GB"/>
        </w:rPr>
        <w:t xml:space="preserve">the clinical </w:t>
      </w:r>
      <w:r w:rsidRPr="004C0668">
        <w:rPr>
          <w:lang w:val="en-GB"/>
        </w:rPr>
        <w:t xml:space="preserve">experts that there is currently inequity of access to treatment </w:t>
      </w:r>
      <w:r w:rsidR="004C0668">
        <w:rPr>
          <w:lang w:val="en-GB"/>
        </w:rPr>
        <w:t xml:space="preserve">with </w:t>
      </w:r>
      <w:r w:rsidR="00130A69">
        <w:rPr>
          <w:lang w:val="en-GB"/>
        </w:rPr>
        <w:t xml:space="preserve">Spectra </w:t>
      </w:r>
      <w:r w:rsidR="004641D6">
        <w:rPr>
          <w:lang w:val="en-GB"/>
        </w:rPr>
        <w:t>Optia</w:t>
      </w:r>
      <w:r w:rsidR="004C0668">
        <w:rPr>
          <w:lang w:val="en-GB"/>
        </w:rPr>
        <w:t xml:space="preserve"> and that the devices are more often </w:t>
      </w:r>
      <w:r w:rsidRPr="004C0668">
        <w:rPr>
          <w:lang w:val="en-GB"/>
        </w:rPr>
        <w:t>used for other conditions and not necessarily offered to patients with sickle cell disease.</w:t>
      </w:r>
    </w:p>
    <w:p w:rsidR="007F49BA" w:rsidRPr="007E5C56" w:rsidRDefault="007F49BA" w:rsidP="00B14B5C">
      <w:pPr>
        <w:pStyle w:val="Numberedheading1"/>
        <w:rPr>
          <w:lang w:val="en-GB"/>
        </w:rPr>
      </w:pPr>
      <w:r w:rsidRPr="007E5C56">
        <w:rPr>
          <w:lang w:val="en-GB"/>
        </w:rPr>
        <w:t>Cost considerations</w:t>
      </w:r>
    </w:p>
    <w:p w:rsidR="007F49BA" w:rsidRPr="007E5C56" w:rsidRDefault="007F49BA" w:rsidP="00B14B5C">
      <w:pPr>
        <w:pStyle w:val="Heading2"/>
        <w:rPr>
          <w:lang w:val="en-GB"/>
        </w:rPr>
      </w:pPr>
      <w:r w:rsidRPr="007E5C56">
        <w:rPr>
          <w:lang w:val="en-GB"/>
        </w:rPr>
        <w:t>Cost evidence</w:t>
      </w:r>
    </w:p>
    <w:p w:rsidR="00B14B5C" w:rsidRDefault="00F01832" w:rsidP="00F01832">
      <w:pPr>
        <w:pStyle w:val="Numberedlevel2text"/>
        <w:rPr>
          <w:lang w:val="en-GB"/>
        </w:rPr>
      </w:pPr>
      <w:r w:rsidRPr="00F01832">
        <w:rPr>
          <w:lang w:val="en-GB"/>
        </w:rPr>
        <w:t xml:space="preserve">The company identified 7 studies from the clinical evidence search which incorporated an economic analysis. However, it was unable to draw any </w:t>
      </w:r>
      <w:r w:rsidR="00557805">
        <w:rPr>
          <w:lang w:val="en-GB"/>
        </w:rPr>
        <w:t>firm</w:t>
      </w:r>
      <w:r w:rsidR="00557805" w:rsidRPr="00F01832">
        <w:rPr>
          <w:lang w:val="en-GB"/>
        </w:rPr>
        <w:t xml:space="preserve"> </w:t>
      </w:r>
      <w:r w:rsidRPr="00F01832">
        <w:rPr>
          <w:lang w:val="en-GB"/>
        </w:rPr>
        <w:t xml:space="preserve">conclusions from these studies. The </w:t>
      </w:r>
      <w:r w:rsidR="004E6538">
        <w:rPr>
          <w:lang w:val="en-GB"/>
        </w:rPr>
        <w:t>External Assessment Centre</w:t>
      </w:r>
      <w:r w:rsidRPr="00F01832">
        <w:rPr>
          <w:lang w:val="en-GB"/>
        </w:rPr>
        <w:t xml:space="preserve"> did not identify any </w:t>
      </w:r>
      <w:r w:rsidR="00557805">
        <w:rPr>
          <w:lang w:val="en-GB"/>
        </w:rPr>
        <w:t>additional</w:t>
      </w:r>
      <w:r w:rsidRPr="00F01832">
        <w:rPr>
          <w:lang w:val="en-GB"/>
        </w:rPr>
        <w:t xml:space="preserve"> economic evidence and agreed with the company that these studies did not provide relevant information.</w:t>
      </w:r>
    </w:p>
    <w:p w:rsidR="00F01832" w:rsidRPr="00F01832" w:rsidRDefault="00F01832" w:rsidP="00F01832">
      <w:pPr>
        <w:pStyle w:val="Numberedlevel2text"/>
        <w:rPr>
          <w:lang w:val="en-GB"/>
        </w:rPr>
      </w:pPr>
      <w:r w:rsidRPr="00F01832">
        <w:rPr>
          <w:lang w:val="en-GB"/>
        </w:rPr>
        <w:t xml:space="preserve">The company presented an economic model comparing </w:t>
      </w:r>
      <w:r w:rsidR="00130A69">
        <w:rPr>
          <w:lang w:val="en-GB"/>
        </w:rPr>
        <w:t>Spectra Optia</w:t>
      </w:r>
      <w:r w:rsidRPr="00F01832">
        <w:rPr>
          <w:lang w:val="en-GB"/>
        </w:rPr>
        <w:t xml:space="preserve"> with manual exchange. It also included top-up transfusion as a comparator in the model, although this was not specified in the </w:t>
      </w:r>
      <w:r w:rsidR="00557805">
        <w:rPr>
          <w:lang w:val="en-GB"/>
        </w:rPr>
        <w:t xml:space="preserve">scope </w:t>
      </w:r>
      <w:r w:rsidRPr="00F01832">
        <w:rPr>
          <w:lang w:val="en-GB"/>
        </w:rPr>
        <w:t xml:space="preserve">decision problem. The population was considered as 12 subgroups based on a mixture of age, clinical indication and degree of iron overload to represent the heterogeneous case-mix of </w:t>
      </w:r>
      <w:r w:rsidR="006556F8">
        <w:rPr>
          <w:lang w:val="en-GB"/>
        </w:rPr>
        <w:t xml:space="preserve">patients with sickle cell disease </w:t>
      </w:r>
      <w:r w:rsidR="00557805">
        <w:rPr>
          <w:lang w:val="en-GB"/>
        </w:rPr>
        <w:t>and their differing</w:t>
      </w:r>
      <w:r w:rsidRPr="00F01832">
        <w:rPr>
          <w:lang w:val="en-GB"/>
        </w:rPr>
        <w:t xml:space="preserve"> clinical needs and associated costs. The population groups were:</w:t>
      </w:r>
    </w:p>
    <w:p w:rsidR="00F01832" w:rsidRPr="00F01832" w:rsidRDefault="00F01832" w:rsidP="00F01832">
      <w:pPr>
        <w:pStyle w:val="Bulletindent1"/>
      </w:pPr>
      <w:r w:rsidRPr="00F01832">
        <w:t>Children at high risk of primary stroke, with and without iron overload (mild, moderate and severe).</w:t>
      </w:r>
    </w:p>
    <w:p w:rsidR="00F01832" w:rsidRPr="00F01832" w:rsidRDefault="00F01832" w:rsidP="0086519D">
      <w:pPr>
        <w:pStyle w:val="Bulletindent1"/>
      </w:pPr>
      <w:r w:rsidRPr="00F01832">
        <w:t xml:space="preserve">Children having treatments to prevent complications of </w:t>
      </w:r>
      <w:r w:rsidR="0086519D" w:rsidRPr="0086519D">
        <w:t>sickle cell disease</w:t>
      </w:r>
      <w:r w:rsidRPr="00F01832">
        <w:t>, with and without iron overload.</w:t>
      </w:r>
    </w:p>
    <w:p w:rsidR="00F01832" w:rsidRPr="00F01832" w:rsidRDefault="00F01832" w:rsidP="0020661C">
      <w:pPr>
        <w:pStyle w:val="Bulletindent1"/>
        <w:spacing w:after="240"/>
      </w:pPr>
      <w:r w:rsidRPr="00F01832">
        <w:lastRenderedPageBreak/>
        <w:t xml:space="preserve">Adults having treatments to prevent complications of </w:t>
      </w:r>
      <w:r w:rsidR="0086519D" w:rsidRPr="0086519D">
        <w:t>sickle cell disease</w:t>
      </w:r>
      <w:r w:rsidRPr="00F01832">
        <w:t>, with and without iron overload.</w:t>
      </w:r>
    </w:p>
    <w:p w:rsidR="00F01832" w:rsidRPr="00A85D3D" w:rsidRDefault="00F01832" w:rsidP="00F01832">
      <w:pPr>
        <w:pStyle w:val="Numberedlevel2text"/>
        <w:numPr>
          <w:ilvl w:val="0"/>
          <w:numId w:val="0"/>
        </w:numPr>
        <w:ind w:left="1134"/>
        <w:rPr>
          <w:szCs w:val="24"/>
          <w:lang w:val="en-GB"/>
        </w:rPr>
      </w:pPr>
      <w:r w:rsidRPr="00F01832">
        <w:rPr>
          <w:lang w:val="en-GB"/>
        </w:rPr>
        <w:t xml:space="preserve">The structure was a simple costing model which simulated the ‘average’ cost of chronic </w:t>
      </w:r>
      <w:r w:rsidR="0086519D" w:rsidRPr="0086519D">
        <w:rPr>
          <w:lang w:val="en-GB"/>
        </w:rPr>
        <w:t>sickle cell disease</w:t>
      </w:r>
      <w:r w:rsidRPr="00F01832">
        <w:rPr>
          <w:lang w:val="en-GB"/>
        </w:rPr>
        <w:t xml:space="preserve"> treatment for 1 patient using 1 of 3 modalities: automated exchange with </w:t>
      </w:r>
      <w:r w:rsidR="00130A69">
        <w:rPr>
          <w:lang w:val="en-GB"/>
        </w:rPr>
        <w:t>Spectra Optia</w:t>
      </w:r>
      <w:r w:rsidRPr="00F01832">
        <w:rPr>
          <w:lang w:val="en-GB"/>
        </w:rPr>
        <w:t xml:space="preserve">, manual exchange or top-up transfusion. The time horizon of </w:t>
      </w:r>
      <w:r w:rsidRPr="00A85D3D">
        <w:rPr>
          <w:szCs w:val="24"/>
          <w:lang w:val="en-GB"/>
        </w:rPr>
        <w:t>the economic model was 5 years.</w:t>
      </w:r>
    </w:p>
    <w:p w:rsidR="009C54CE" w:rsidRDefault="002A13E1" w:rsidP="00A85D3D">
      <w:pPr>
        <w:pStyle w:val="Numberedheading2"/>
        <w:rPr>
          <w:sz w:val="24"/>
          <w:szCs w:val="24"/>
        </w:rPr>
      </w:pPr>
      <w:r>
        <w:rPr>
          <w:sz w:val="24"/>
          <w:szCs w:val="24"/>
        </w:rPr>
        <w:t>In the absence of published data, t</w:t>
      </w:r>
      <w:r w:rsidR="00DB1B32">
        <w:rPr>
          <w:sz w:val="24"/>
          <w:szCs w:val="24"/>
        </w:rPr>
        <w:t xml:space="preserve">he clinical parameters used in the company’s model </w:t>
      </w:r>
      <w:r w:rsidR="004C0668">
        <w:rPr>
          <w:sz w:val="24"/>
          <w:szCs w:val="24"/>
        </w:rPr>
        <w:t xml:space="preserve">(table 1) </w:t>
      </w:r>
      <w:r w:rsidR="00DB1B32">
        <w:rPr>
          <w:sz w:val="24"/>
          <w:szCs w:val="24"/>
        </w:rPr>
        <w:t>were based on clinical expert opinion, extrapolations from the clinical evidence and data from UK registries and NHS audits.</w:t>
      </w:r>
      <w:r w:rsidR="008F6F1F">
        <w:rPr>
          <w:sz w:val="24"/>
          <w:szCs w:val="24"/>
        </w:rPr>
        <w:t xml:space="preserve"> The cost of iron overload w</w:t>
      </w:r>
      <w:r>
        <w:rPr>
          <w:sz w:val="24"/>
          <w:szCs w:val="24"/>
        </w:rPr>
        <w:t>as</w:t>
      </w:r>
      <w:r w:rsidR="008F6F1F">
        <w:rPr>
          <w:sz w:val="24"/>
          <w:szCs w:val="24"/>
        </w:rPr>
        <w:t xml:space="preserve"> the main driver </w:t>
      </w:r>
      <w:r w:rsidR="00650BE7">
        <w:rPr>
          <w:sz w:val="24"/>
          <w:szCs w:val="24"/>
        </w:rPr>
        <w:t xml:space="preserve">for the cost of treatment </w:t>
      </w:r>
      <w:r w:rsidR="008F6F1F">
        <w:rPr>
          <w:sz w:val="24"/>
          <w:szCs w:val="24"/>
        </w:rPr>
        <w:t xml:space="preserve">in the company’s model. </w:t>
      </w:r>
    </w:p>
    <w:p w:rsidR="00AE1145" w:rsidRPr="00AE1145" w:rsidRDefault="009C16BE" w:rsidP="00216061">
      <w:pPr>
        <w:pStyle w:val="Heading3"/>
        <w:rPr>
          <w:lang w:val="en-US"/>
        </w:rPr>
      </w:pPr>
      <w:r>
        <w:rPr>
          <w:lang w:val="en-US"/>
        </w:rPr>
        <w:t>Table 1: Clinical parameters used in the company’s model</w:t>
      </w:r>
    </w:p>
    <w:tbl>
      <w:tblPr>
        <w:tblStyle w:val="TableGrid"/>
        <w:tblW w:w="0" w:type="auto"/>
        <w:tblLook w:val="04A0" w:firstRow="1" w:lastRow="0" w:firstColumn="1" w:lastColumn="0" w:noHBand="0" w:noVBand="1"/>
      </w:tblPr>
      <w:tblGrid>
        <w:gridCol w:w="1242"/>
        <w:gridCol w:w="2429"/>
        <w:gridCol w:w="2429"/>
        <w:gridCol w:w="2429"/>
      </w:tblGrid>
      <w:tr w:rsidR="007B2EE7" w:rsidRPr="00AE1145" w:rsidTr="007E3E98">
        <w:trPr>
          <w:tblHeader/>
        </w:trPr>
        <w:tc>
          <w:tcPr>
            <w:tcW w:w="1242" w:type="dxa"/>
          </w:tcPr>
          <w:p w:rsidR="007B2EE7" w:rsidRPr="00AE1145" w:rsidRDefault="007B2EE7" w:rsidP="00AE1145">
            <w:pPr>
              <w:pStyle w:val="NICEnormal"/>
              <w:spacing w:after="0"/>
              <w:rPr>
                <w:b/>
                <w:sz w:val="20"/>
                <w:szCs w:val="20"/>
                <w:lang w:val="en-US"/>
              </w:rPr>
            </w:pPr>
            <w:r w:rsidRPr="00AE1145">
              <w:rPr>
                <w:b/>
                <w:sz w:val="20"/>
                <w:szCs w:val="20"/>
                <w:lang w:val="en-US"/>
              </w:rPr>
              <w:t>Parameter</w:t>
            </w:r>
          </w:p>
        </w:tc>
        <w:tc>
          <w:tcPr>
            <w:tcW w:w="2429" w:type="dxa"/>
          </w:tcPr>
          <w:p w:rsidR="007B2EE7" w:rsidRPr="00AE1145" w:rsidRDefault="007B2EE7" w:rsidP="00AE1145">
            <w:pPr>
              <w:pStyle w:val="NICEnormal"/>
              <w:spacing w:after="0"/>
              <w:rPr>
                <w:b/>
                <w:sz w:val="20"/>
                <w:szCs w:val="20"/>
                <w:lang w:val="en-US"/>
              </w:rPr>
            </w:pPr>
            <w:r w:rsidRPr="00AE1145">
              <w:rPr>
                <w:b/>
                <w:sz w:val="20"/>
                <w:szCs w:val="20"/>
                <w:lang w:val="en-US"/>
              </w:rPr>
              <w:t>Spectra Optia</w:t>
            </w:r>
          </w:p>
        </w:tc>
        <w:tc>
          <w:tcPr>
            <w:tcW w:w="2429" w:type="dxa"/>
          </w:tcPr>
          <w:p w:rsidR="007B2EE7" w:rsidRPr="00AE1145" w:rsidRDefault="007B2EE7" w:rsidP="00AE1145">
            <w:pPr>
              <w:pStyle w:val="NICEnormal"/>
              <w:spacing w:after="0"/>
              <w:rPr>
                <w:b/>
                <w:sz w:val="20"/>
                <w:szCs w:val="20"/>
                <w:lang w:val="en-US"/>
              </w:rPr>
            </w:pPr>
            <w:r w:rsidRPr="00AE1145">
              <w:rPr>
                <w:b/>
                <w:sz w:val="20"/>
                <w:szCs w:val="20"/>
                <w:lang w:val="en-US"/>
              </w:rPr>
              <w:t>Manual exchange</w:t>
            </w:r>
          </w:p>
        </w:tc>
        <w:tc>
          <w:tcPr>
            <w:tcW w:w="2429" w:type="dxa"/>
          </w:tcPr>
          <w:p w:rsidR="007B2EE7" w:rsidRPr="00AE1145" w:rsidRDefault="007B2EE7" w:rsidP="00AE1145">
            <w:pPr>
              <w:pStyle w:val="NICEnormal"/>
              <w:spacing w:after="0"/>
              <w:rPr>
                <w:b/>
                <w:sz w:val="20"/>
                <w:szCs w:val="20"/>
                <w:lang w:val="en-US"/>
              </w:rPr>
            </w:pPr>
            <w:r w:rsidRPr="00AE1145">
              <w:rPr>
                <w:b/>
                <w:sz w:val="20"/>
                <w:szCs w:val="20"/>
                <w:lang w:val="en-US"/>
              </w:rPr>
              <w:t>Top-up transfusion</w:t>
            </w:r>
          </w:p>
        </w:tc>
      </w:tr>
      <w:tr w:rsidR="007B2EE7" w:rsidRPr="00AE1145" w:rsidTr="00AE1145">
        <w:tc>
          <w:tcPr>
            <w:tcW w:w="1242" w:type="dxa"/>
          </w:tcPr>
          <w:p w:rsidR="007B2EE7" w:rsidRPr="00AE1145" w:rsidRDefault="007B2EE7" w:rsidP="00AE1145">
            <w:pPr>
              <w:pStyle w:val="NICEnormal"/>
              <w:spacing w:after="0"/>
              <w:rPr>
                <w:sz w:val="20"/>
                <w:szCs w:val="20"/>
                <w:lang w:val="en-US"/>
              </w:rPr>
            </w:pPr>
            <w:r>
              <w:rPr>
                <w:sz w:val="20"/>
                <w:szCs w:val="20"/>
                <w:lang w:val="en-US"/>
              </w:rPr>
              <w:t>Patients with iron overload</w:t>
            </w:r>
          </w:p>
        </w:tc>
        <w:tc>
          <w:tcPr>
            <w:tcW w:w="2429" w:type="dxa"/>
          </w:tcPr>
          <w:p w:rsidR="007B2EE7" w:rsidRPr="00AE1145" w:rsidRDefault="007B2EE7" w:rsidP="00AE1145">
            <w:pPr>
              <w:pStyle w:val="NICEnormal"/>
              <w:spacing w:after="0"/>
              <w:rPr>
                <w:sz w:val="20"/>
                <w:szCs w:val="20"/>
                <w:lang w:val="en-US"/>
              </w:rPr>
            </w:pPr>
            <w:r>
              <w:rPr>
                <w:sz w:val="20"/>
                <w:szCs w:val="20"/>
                <w:lang w:val="en-US"/>
              </w:rPr>
              <w:t>0%</w:t>
            </w:r>
          </w:p>
        </w:tc>
        <w:tc>
          <w:tcPr>
            <w:tcW w:w="2429" w:type="dxa"/>
          </w:tcPr>
          <w:p w:rsidR="007B2EE7" w:rsidRPr="00AE1145" w:rsidRDefault="007B2EE7" w:rsidP="00AE1145">
            <w:pPr>
              <w:pStyle w:val="NICEnormal"/>
              <w:spacing w:after="0"/>
              <w:rPr>
                <w:sz w:val="20"/>
                <w:szCs w:val="20"/>
                <w:lang w:val="en-US"/>
              </w:rPr>
            </w:pPr>
            <w:r>
              <w:rPr>
                <w:sz w:val="20"/>
                <w:szCs w:val="20"/>
                <w:lang w:val="en-US"/>
              </w:rPr>
              <w:t>10%,</w:t>
            </w:r>
            <w:r w:rsidR="00D5476A">
              <w:rPr>
                <w:sz w:val="20"/>
                <w:szCs w:val="20"/>
                <w:lang w:val="en-US"/>
              </w:rPr>
              <w:t xml:space="preserve"> 30% and 50% after 24, 36 and 48</w:t>
            </w:r>
            <w:r>
              <w:rPr>
                <w:sz w:val="20"/>
                <w:szCs w:val="20"/>
                <w:lang w:val="en-US"/>
              </w:rPr>
              <w:t xml:space="preserve"> months</w:t>
            </w:r>
          </w:p>
        </w:tc>
        <w:tc>
          <w:tcPr>
            <w:tcW w:w="2429" w:type="dxa"/>
          </w:tcPr>
          <w:p w:rsidR="007B2EE7" w:rsidRPr="00AE1145" w:rsidRDefault="00D5476A" w:rsidP="00AE1145">
            <w:pPr>
              <w:pStyle w:val="NICEnormal"/>
              <w:spacing w:after="0"/>
              <w:rPr>
                <w:sz w:val="20"/>
                <w:szCs w:val="20"/>
                <w:lang w:val="en-US"/>
              </w:rPr>
            </w:pPr>
            <w:r>
              <w:rPr>
                <w:sz w:val="20"/>
                <w:szCs w:val="20"/>
                <w:lang w:val="en-US"/>
              </w:rPr>
              <w:t>90% after 12 months</w:t>
            </w:r>
          </w:p>
        </w:tc>
      </w:tr>
      <w:tr w:rsidR="007B2EE7" w:rsidRPr="00AE1145" w:rsidTr="00AE1145">
        <w:tc>
          <w:tcPr>
            <w:tcW w:w="1242" w:type="dxa"/>
          </w:tcPr>
          <w:p w:rsidR="007B2EE7" w:rsidRPr="00AE1145" w:rsidRDefault="007B2EE7" w:rsidP="00AE1145">
            <w:pPr>
              <w:pStyle w:val="NICEnormal"/>
              <w:spacing w:after="0"/>
              <w:rPr>
                <w:sz w:val="20"/>
                <w:szCs w:val="20"/>
                <w:lang w:val="en-US"/>
              </w:rPr>
            </w:pPr>
            <w:r>
              <w:rPr>
                <w:sz w:val="20"/>
                <w:szCs w:val="20"/>
                <w:lang w:val="en-US"/>
              </w:rPr>
              <w:t>Patients able to cease chelation therapy</w:t>
            </w:r>
          </w:p>
        </w:tc>
        <w:tc>
          <w:tcPr>
            <w:tcW w:w="2429" w:type="dxa"/>
          </w:tcPr>
          <w:p w:rsidR="007B2EE7" w:rsidRDefault="007B2EE7" w:rsidP="00AE1145">
            <w:pPr>
              <w:pStyle w:val="NICEnormal"/>
              <w:spacing w:after="0"/>
              <w:rPr>
                <w:sz w:val="20"/>
                <w:szCs w:val="20"/>
                <w:lang w:val="en-US"/>
              </w:rPr>
            </w:pPr>
            <w:r w:rsidRPr="00AE1145">
              <w:rPr>
                <w:i/>
                <w:sz w:val="20"/>
                <w:szCs w:val="20"/>
                <w:lang w:val="en-US"/>
              </w:rPr>
              <w:t>Mild iron overload:</w:t>
            </w:r>
            <w:r w:rsidRPr="007B2EE7">
              <w:rPr>
                <w:sz w:val="20"/>
                <w:szCs w:val="20"/>
                <w:lang w:val="en-US"/>
              </w:rPr>
              <w:t xml:space="preserve"> 50% and 100% </w:t>
            </w:r>
            <w:r>
              <w:rPr>
                <w:sz w:val="20"/>
                <w:szCs w:val="20"/>
                <w:lang w:val="en-US"/>
              </w:rPr>
              <w:t>after 12 and 24 months</w:t>
            </w:r>
          </w:p>
          <w:p w:rsidR="007B2EE7" w:rsidRPr="007B2EE7" w:rsidRDefault="007B2EE7" w:rsidP="00AE1145">
            <w:pPr>
              <w:pStyle w:val="NICEnormal"/>
              <w:spacing w:after="0"/>
              <w:rPr>
                <w:sz w:val="20"/>
                <w:szCs w:val="20"/>
                <w:lang w:val="en-US"/>
              </w:rPr>
            </w:pPr>
            <w:r w:rsidRPr="00AE1145">
              <w:rPr>
                <w:i/>
                <w:sz w:val="20"/>
                <w:szCs w:val="20"/>
                <w:lang w:val="en-US"/>
              </w:rPr>
              <w:t>Moderate iron overload:</w:t>
            </w:r>
            <w:r w:rsidRPr="007B2EE7">
              <w:rPr>
                <w:sz w:val="20"/>
                <w:szCs w:val="20"/>
                <w:lang w:val="en-US"/>
              </w:rPr>
              <w:t xml:space="preserve"> 5%, 15%, 30% and 50% after 12, 24, 36 and 48 months </w:t>
            </w:r>
          </w:p>
          <w:p w:rsidR="007B2EE7" w:rsidRPr="00AE1145" w:rsidRDefault="007B2EE7" w:rsidP="00AE1145">
            <w:pPr>
              <w:pStyle w:val="NICEnormal"/>
              <w:spacing w:after="0"/>
              <w:rPr>
                <w:sz w:val="20"/>
                <w:szCs w:val="20"/>
                <w:lang w:val="en-US"/>
              </w:rPr>
            </w:pPr>
            <w:r w:rsidRPr="00AE1145">
              <w:rPr>
                <w:i/>
                <w:sz w:val="20"/>
                <w:szCs w:val="20"/>
                <w:lang w:val="en-US"/>
              </w:rPr>
              <w:t>Severe iron overload:</w:t>
            </w:r>
            <w:r w:rsidRPr="007B2EE7">
              <w:rPr>
                <w:sz w:val="20"/>
                <w:szCs w:val="20"/>
                <w:lang w:val="en-US"/>
              </w:rPr>
              <w:t xml:space="preserve"> 5%, 15% and 30% after 24, 36 and 48 months </w:t>
            </w:r>
          </w:p>
        </w:tc>
        <w:tc>
          <w:tcPr>
            <w:tcW w:w="2429" w:type="dxa"/>
          </w:tcPr>
          <w:p w:rsidR="007B2EE7" w:rsidRPr="00AE1145" w:rsidRDefault="001E0CD8" w:rsidP="00AE1145">
            <w:pPr>
              <w:pStyle w:val="NICEnormal"/>
              <w:spacing w:after="0"/>
              <w:rPr>
                <w:sz w:val="20"/>
                <w:szCs w:val="20"/>
                <w:lang w:val="en-US"/>
              </w:rPr>
            </w:pPr>
            <w:r>
              <w:rPr>
                <w:sz w:val="20"/>
                <w:szCs w:val="20"/>
                <w:lang w:val="en-US"/>
              </w:rPr>
              <w:t>N/A, iron overload does not decrease in this arm.</w:t>
            </w:r>
          </w:p>
        </w:tc>
        <w:tc>
          <w:tcPr>
            <w:tcW w:w="2429" w:type="dxa"/>
          </w:tcPr>
          <w:p w:rsidR="007B2EE7" w:rsidRPr="00AE1145" w:rsidRDefault="001E0CD8" w:rsidP="00AE1145">
            <w:pPr>
              <w:pStyle w:val="NICEnormal"/>
              <w:spacing w:after="0"/>
              <w:rPr>
                <w:sz w:val="20"/>
                <w:szCs w:val="20"/>
                <w:lang w:val="en-US"/>
              </w:rPr>
            </w:pPr>
            <w:r w:rsidRPr="001E0CD8">
              <w:rPr>
                <w:sz w:val="20"/>
                <w:szCs w:val="20"/>
                <w:lang w:val="en-US"/>
              </w:rPr>
              <w:t>N/A, iron overload does not decrease in this arm.</w:t>
            </w:r>
          </w:p>
        </w:tc>
      </w:tr>
      <w:tr w:rsidR="007B2EE7" w:rsidRPr="00AE1145" w:rsidTr="00AE1145">
        <w:tc>
          <w:tcPr>
            <w:tcW w:w="1242" w:type="dxa"/>
          </w:tcPr>
          <w:p w:rsidR="007B2EE7" w:rsidRPr="00AE1145" w:rsidRDefault="00305824" w:rsidP="00AE1145">
            <w:pPr>
              <w:pStyle w:val="NICEnormal"/>
              <w:spacing w:after="0"/>
              <w:rPr>
                <w:sz w:val="20"/>
                <w:szCs w:val="20"/>
                <w:lang w:val="en-US"/>
              </w:rPr>
            </w:pPr>
            <w:r>
              <w:rPr>
                <w:sz w:val="20"/>
                <w:szCs w:val="20"/>
                <w:lang w:val="en-US"/>
              </w:rPr>
              <w:t>Yearly rate of hospital admissions</w:t>
            </w:r>
          </w:p>
        </w:tc>
        <w:tc>
          <w:tcPr>
            <w:tcW w:w="2429" w:type="dxa"/>
          </w:tcPr>
          <w:p w:rsidR="00305824" w:rsidRDefault="00305824" w:rsidP="00AE1145">
            <w:pPr>
              <w:pStyle w:val="NICEnormal"/>
              <w:spacing w:after="0"/>
              <w:rPr>
                <w:sz w:val="20"/>
                <w:szCs w:val="20"/>
                <w:lang w:val="en-US"/>
              </w:rPr>
            </w:pPr>
            <w:r w:rsidRPr="00AE1145">
              <w:rPr>
                <w:i/>
                <w:sz w:val="20"/>
                <w:szCs w:val="20"/>
                <w:lang w:val="en-US"/>
              </w:rPr>
              <w:t>Children and adults (complications):</w:t>
            </w:r>
            <w:r>
              <w:rPr>
                <w:sz w:val="20"/>
                <w:szCs w:val="20"/>
                <w:lang w:val="en-US"/>
              </w:rPr>
              <w:t xml:space="preserve"> 0.65</w:t>
            </w:r>
          </w:p>
          <w:p w:rsidR="00BA2B90" w:rsidRPr="00AE1145" w:rsidRDefault="00BA2B90" w:rsidP="00AE1145">
            <w:pPr>
              <w:pStyle w:val="NICEnormal"/>
              <w:spacing w:after="0"/>
              <w:rPr>
                <w:sz w:val="20"/>
                <w:szCs w:val="20"/>
                <w:lang w:val="en-US"/>
              </w:rPr>
            </w:pPr>
            <w:r w:rsidRPr="00E60981">
              <w:rPr>
                <w:i/>
                <w:sz w:val="20"/>
                <w:szCs w:val="20"/>
                <w:lang w:val="en-US"/>
              </w:rPr>
              <w:t>Children (stroke)</w:t>
            </w:r>
            <w:r>
              <w:rPr>
                <w:i/>
                <w:sz w:val="20"/>
                <w:szCs w:val="20"/>
                <w:lang w:val="en-US"/>
              </w:rPr>
              <w:t xml:space="preserve">: </w:t>
            </w:r>
            <w:r w:rsidRPr="00E60981">
              <w:rPr>
                <w:sz w:val="20"/>
                <w:szCs w:val="20"/>
                <w:lang w:val="en-US"/>
              </w:rPr>
              <w:t>0.01</w:t>
            </w:r>
          </w:p>
        </w:tc>
        <w:tc>
          <w:tcPr>
            <w:tcW w:w="2429" w:type="dxa"/>
          </w:tcPr>
          <w:p w:rsidR="00BA2B90" w:rsidRDefault="00305824" w:rsidP="00BA2B90">
            <w:pPr>
              <w:pStyle w:val="NICEnormal"/>
              <w:spacing w:after="0"/>
              <w:rPr>
                <w:sz w:val="20"/>
                <w:szCs w:val="20"/>
                <w:lang w:val="en-US"/>
              </w:rPr>
            </w:pPr>
            <w:r w:rsidRPr="00AE1145">
              <w:rPr>
                <w:i/>
                <w:sz w:val="20"/>
                <w:szCs w:val="20"/>
                <w:lang w:val="en-US"/>
              </w:rPr>
              <w:t>Children and adults (complications):</w:t>
            </w:r>
            <w:r>
              <w:rPr>
                <w:sz w:val="20"/>
                <w:szCs w:val="20"/>
                <w:lang w:val="en-US"/>
              </w:rPr>
              <w:t xml:space="preserve"> 1.1</w:t>
            </w:r>
          </w:p>
          <w:p w:rsidR="00BA2B90" w:rsidRDefault="00BA2B90" w:rsidP="00BA2B90">
            <w:pPr>
              <w:pStyle w:val="NICEnormal"/>
              <w:spacing w:after="0"/>
              <w:rPr>
                <w:sz w:val="20"/>
                <w:szCs w:val="20"/>
                <w:lang w:val="en-US"/>
              </w:rPr>
            </w:pPr>
            <w:r w:rsidRPr="00451903">
              <w:rPr>
                <w:i/>
                <w:sz w:val="20"/>
                <w:szCs w:val="20"/>
                <w:lang w:val="en-US"/>
              </w:rPr>
              <w:t>Children (stroke):</w:t>
            </w:r>
            <w:r>
              <w:rPr>
                <w:sz w:val="20"/>
                <w:szCs w:val="20"/>
                <w:lang w:val="en-US"/>
              </w:rPr>
              <w:t xml:space="preserve"> 0.02</w:t>
            </w:r>
          </w:p>
          <w:p w:rsidR="00305824" w:rsidRPr="00AE1145" w:rsidRDefault="00305824" w:rsidP="00AE1145">
            <w:pPr>
              <w:pStyle w:val="NICEnormal"/>
              <w:spacing w:after="0"/>
              <w:rPr>
                <w:sz w:val="20"/>
                <w:szCs w:val="20"/>
                <w:lang w:val="en-US"/>
              </w:rPr>
            </w:pPr>
          </w:p>
        </w:tc>
        <w:tc>
          <w:tcPr>
            <w:tcW w:w="2429" w:type="dxa"/>
          </w:tcPr>
          <w:p w:rsidR="007B2EE7" w:rsidRPr="00AE1145" w:rsidRDefault="00305824" w:rsidP="00AE1145">
            <w:pPr>
              <w:pStyle w:val="NICEnormal"/>
              <w:spacing w:after="0"/>
              <w:rPr>
                <w:sz w:val="20"/>
                <w:szCs w:val="20"/>
                <w:lang w:val="en-US"/>
              </w:rPr>
            </w:pPr>
            <w:r w:rsidRPr="00AE1145">
              <w:rPr>
                <w:i/>
                <w:sz w:val="20"/>
                <w:szCs w:val="20"/>
                <w:lang w:val="en-US"/>
              </w:rPr>
              <w:t>Children (stroke):</w:t>
            </w:r>
            <w:r>
              <w:rPr>
                <w:sz w:val="20"/>
                <w:szCs w:val="20"/>
                <w:lang w:val="en-US"/>
              </w:rPr>
              <w:t xml:space="preserve"> 0.07</w:t>
            </w:r>
          </w:p>
        </w:tc>
      </w:tr>
      <w:tr w:rsidR="007B2EE7" w:rsidRPr="00AE1145" w:rsidTr="00AE1145">
        <w:tc>
          <w:tcPr>
            <w:tcW w:w="1242" w:type="dxa"/>
          </w:tcPr>
          <w:p w:rsidR="007B2EE7" w:rsidRPr="00AE1145" w:rsidRDefault="00BA2B90" w:rsidP="00AE1145">
            <w:pPr>
              <w:pStyle w:val="NICEnormal"/>
              <w:spacing w:after="0"/>
              <w:rPr>
                <w:sz w:val="20"/>
                <w:szCs w:val="20"/>
                <w:lang w:val="en-US"/>
              </w:rPr>
            </w:pPr>
            <w:r>
              <w:rPr>
                <w:sz w:val="20"/>
                <w:szCs w:val="20"/>
                <w:lang w:val="en-US"/>
              </w:rPr>
              <w:t>Procedure time</w:t>
            </w:r>
          </w:p>
        </w:tc>
        <w:tc>
          <w:tcPr>
            <w:tcW w:w="2429" w:type="dxa"/>
          </w:tcPr>
          <w:p w:rsidR="007B2EE7" w:rsidRDefault="00BA2B90" w:rsidP="00AE1145">
            <w:pPr>
              <w:pStyle w:val="NICEnormal"/>
              <w:spacing w:after="0"/>
              <w:rPr>
                <w:sz w:val="20"/>
                <w:szCs w:val="20"/>
                <w:lang w:val="en-US"/>
              </w:rPr>
            </w:pPr>
            <w:r w:rsidRPr="00AE1145">
              <w:rPr>
                <w:i/>
                <w:sz w:val="20"/>
                <w:szCs w:val="20"/>
                <w:lang w:val="en-US"/>
              </w:rPr>
              <w:t>Adults:</w:t>
            </w:r>
            <w:r>
              <w:rPr>
                <w:sz w:val="20"/>
                <w:szCs w:val="20"/>
                <w:lang w:val="en-US"/>
              </w:rPr>
              <w:t xml:space="preserve"> 110 minutes</w:t>
            </w:r>
          </w:p>
          <w:p w:rsidR="00BA2B90" w:rsidRPr="00AE1145" w:rsidRDefault="00BA2B90" w:rsidP="00AE1145">
            <w:pPr>
              <w:pStyle w:val="NICEnormal"/>
              <w:spacing w:after="0"/>
              <w:rPr>
                <w:sz w:val="20"/>
                <w:szCs w:val="20"/>
                <w:lang w:val="en-US"/>
              </w:rPr>
            </w:pPr>
            <w:r w:rsidRPr="00AE1145">
              <w:rPr>
                <w:i/>
                <w:sz w:val="20"/>
                <w:szCs w:val="20"/>
                <w:lang w:val="en-US"/>
              </w:rPr>
              <w:t>Children:</w:t>
            </w:r>
            <w:r>
              <w:rPr>
                <w:sz w:val="20"/>
                <w:szCs w:val="20"/>
                <w:lang w:val="en-US"/>
              </w:rPr>
              <w:t xml:space="preserve"> 86 minutes</w:t>
            </w:r>
          </w:p>
        </w:tc>
        <w:tc>
          <w:tcPr>
            <w:tcW w:w="2429" w:type="dxa"/>
          </w:tcPr>
          <w:p w:rsidR="007B2EE7" w:rsidRPr="00AE1145" w:rsidRDefault="00BA2B90" w:rsidP="00AE1145">
            <w:pPr>
              <w:pStyle w:val="NICEnormal"/>
              <w:spacing w:after="0"/>
              <w:rPr>
                <w:sz w:val="20"/>
                <w:szCs w:val="20"/>
                <w:lang w:val="en-US"/>
              </w:rPr>
            </w:pPr>
            <w:r>
              <w:rPr>
                <w:sz w:val="20"/>
                <w:szCs w:val="20"/>
                <w:lang w:val="en-US"/>
              </w:rPr>
              <w:t>245 minutes</w:t>
            </w:r>
          </w:p>
        </w:tc>
        <w:tc>
          <w:tcPr>
            <w:tcW w:w="2429" w:type="dxa"/>
          </w:tcPr>
          <w:p w:rsidR="007B2EE7" w:rsidRDefault="00BA2B90" w:rsidP="00AE1145">
            <w:pPr>
              <w:pStyle w:val="NICEnormal"/>
              <w:spacing w:after="0"/>
              <w:rPr>
                <w:sz w:val="20"/>
                <w:szCs w:val="20"/>
                <w:lang w:val="en-US"/>
              </w:rPr>
            </w:pPr>
            <w:r w:rsidRPr="00AE1145">
              <w:rPr>
                <w:i/>
                <w:sz w:val="20"/>
                <w:szCs w:val="20"/>
                <w:lang w:val="en-US"/>
              </w:rPr>
              <w:t>Adults:</w:t>
            </w:r>
            <w:r>
              <w:rPr>
                <w:sz w:val="20"/>
                <w:szCs w:val="20"/>
                <w:lang w:val="en-US"/>
              </w:rPr>
              <w:t xml:space="preserve"> 300 minutes</w:t>
            </w:r>
          </w:p>
          <w:p w:rsidR="00BA2B90" w:rsidRPr="00AE1145" w:rsidRDefault="00BA2B90" w:rsidP="00AE1145">
            <w:pPr>
              <w:pStyle w:val="NICEnormal"/>
              <w:spacing w:after="0"/>
              <w:rPr>
                <w:sz w:val="20"/>
                <w:szCs w:val="20"/>
                <w:lang w:val="en-US"/>
              </w:rPr>
            </w:pPr>
            <w:r w:rsidRPr="00AE1145">
              <w:rPr>
                <w:i/>
                <w:sz w:val="20"/>
                <w:szCs w:val="20"/>
                <w:lang w:val="en-US"/>
              </w:rPr>
              <w:t>Children:</w:t>
            </w:r>
            <w:r>
              <w:rPr>
                <w:sz w:val="20"/>
                <w:szCs w:val="20"/>
                <w:lang w:val="en-US"/>
              </w:rPr>
              <w:t xml:space="preserve"> 180 minutes</w:t>
            </w:r>
          </w:p>
        </w:tc>
      </w:tr>
      <w:tr w:rsidR="007B2EE7" w:rsidRPr="00AE1145" w:rsidTr="00AE1145">
        <w:tc>
          <w:tcPr>
            <w:tcW w:w="1242" w:type="dxa"/>
          </w:tcPr>
          <w:p w:rsidR="007B2EE7" w:rsidRPr="00AE1145" w:rsidRDefault="00BA2B90" w:rsidP="00AE1145">
            <w:pPr>
              <w:pStyle w:val="NICEnormal"/>
              <w:spacing w:after="0"/>
              <w:rPr>
                <w:sz w:val="20"/>
                <w:szCs w:val="20"/>
                <w:lang w:val="en-US"/>
              </w:rPr>
            </w:pPr>
            <w:r>
              <w:rPr>
                <w:sz w:val="20"/>
                <w:szCs w:val="20"/>
                <w:lang w:val="en-US"/>
              </w:rPr>
              <w:t xml:space="preserve">Procedures </w:t>
            </w:r>
            <w:r>
              <w:rPr>
                <w:sz w:val="20"/>
                <w:szCs w:val="20"/>
                <w:lang w:val="en-US"/>
              </w:rPr>
              <w:lastRenderedPageBreak/>
              <w:t>per year</w:t>
            </w:r>
          </w:p>
        </w:tc>
        <w:tc>
          <w:tcPr>
            <w:tcW w:w="2429" w:type="dxa"/>
          </w:tcPr>
          <w:p w:rsidR="007B2EE7" w:rsidRPr="00AE1145" w:rsidRDefault="00BA2B90" w:rsidP="00AE1145">
            <w:pPr>
              <w:pStyle w:val="NICEnormal"/>
              <w:spacing w:after="0"/>
              <w:rPr>
                <w:sz w:val="20"/>
                <w:szCs w:val="20"/>
                <w:lang w:val="en-US"/>
              </w:rPr>
            </w:pPr>
            <w:r>
              <w:rPr>
                <w:sz w:val="20"/>
                <w:szCs w:val="20"/>
                <w:lang w:val="en-US"/>
              </w:rPr>
              <w:lastRenderedPageBreak/>
              <w:t>8.5</w:t>
            </w:r>
          </w:p>
        </w:tc>
        <w:tc>
          <w:tcPr>
            <w:tcW w:w="2429" w:type="dxa"/>
          </w:tcPr>
          <w:p w:rsidR="007B2EE7" w:rsidRPr="00AE1145" w:rsidRDefault="00BA2B90" w:rsidP="00AE1145">
            <w:pPr>
              <w:pStyle w:val="NICEnormal"/>
              <w:spacing w:after="0"/>
              <w:rPr>
                <w:sz w:val="20"/>
                <w:szCs w:val="20"/>
                <w:lang w:val="en-US"/>
              </w:rPr>
            </w:pPr>
            <w:r>
              <w:rPr>
                <w:sz w:val="20"/>
                <w:szCs w:val="20"/>
                <w:lang w:val="en-US"/>
              </w:rPr>
              <w:t>12</w:t>
            </w:r>
          </w:p>
        </w:tc>
        <w:tc>
          <w:tcPr>
            <w:tcW w:w="2429" w:type="dxa"/>
          </w:tcPr>
          <w:p w:rsidR="007B2EE7" w:rsidRPr="00AE1145" w:rsidRDefault="00BA2B90" w:rsidP="00AE1145">
            <w:pPr>
              <w:pStyle w:val="NICEnormal"/>
              <w:spacing w:after="0"/>
              <w:rPr>
                <w:sz w:val="20"/>
                <w:szCs w:val="20"/>
                <w:lang w:val="en-US"/>
              </w:rPr>
            </w:pPr>
            <w:r>
              <w:rPr>
                <w:sz w:val="20"/>
                <w:szCs w:val="20"/>
                <w:lang w:val="en-US"/>
              </w:rPr>
              <w:t>13</w:t>
            </w:r>
          </w:p>
        </w:tc>
      </w:tr>
      <w:tr w:rsidR="007B2EE7" w:rsidRPr="00AE1145" w:rsidTr="00AE1145">
        <w:tc>
          <w:tcPr>
            <w:tcW w:w="1242" w:type="dxa"/>
          </w:tcPr>
          <w:p w:rsidR="007B2EE7" w:rsidRPr="00BA2B90" w:rsidRDefault="00BA2B90" w:rsidP="00D5476A">
            <w:pPr>
              <w:pStyle w:val="NICEnormal"/>
              <w:spacing w:after="0"/>
              <w:rPr>
                <w:sz w:val="20"/>
                <w:szCs w:val="20"/>
                <w:lang w:val="en-US"/>
              </w:rPr>
            </w:pPr>
            <w:r>
              <w:rPr>
                <w:sz w:val="20"/>
                <w:szCs w:val="20"/>
                <w:lang w:val="en-US"/>
              </w:rPr>
              <w:lastRenderedPageBreak/>
              <w:t xml:space="preserve">Packed </w:t>
            </w:r>
            <w:r w:rsidR="00D5476A">
              <w:rPr>
                <w:sz w:val="20"/>
                <w:szCs w:val="20"/>
                <w:lang w:val="en-US"/>
              </w:rPr>
              <w:t>RBC units</w:t>
            </w:r>
            <w:r>
              <w:rPr>
                <w:sz w:val="20"/>
                <w:szCs w:val="20"/>
                <w:lang w:val="en-US"/>
              </w:rPr>
              <w:t xml:space="preserve"> per procedure</w:t>
            </w:r>
          </w:p>
        </w:tc>
        <w:tc>
          <w:tcPr>
            <w:tcW w:w="2429" w:type="dxa"/>
          </w:tcPr>
          <w:p w:rsidR="00BA2B90" w:rsidRPr="00BA2B90" w:rsidRDefault="00BA2B90" w:rsidP="00BA2B90">
            <w:pPr>
              <w:pStyle w:val="NICEnormal"/>
              <w:spacing w:after="0"/>
              <w:rPr>
                <w:sz w:val="20"/>
                <w:szCs w:val="20"/>
                <w:lang w:val="en-US"/>
              </w:rPr>
            </w:pPr>
            <w:r w:rsidRPr="00AE1145">
              <w:rPr>
                <w:i/>
                <w:sz w:val="20"/>
                <w:szCs w:val="20"/>
                <w:lang w:val="en-US"/>
              </w:rPr>
              <w:t>Adults:</w:t>
            </w:r>
            <w:r w:rsidRPr="00BA2B90">
              <w:rPr>
                <w:sz w:val="20"/>
                <w:szCs w:val="20"/>
                <w:lang w:val="en-US"/>
              </w:rPr>
              <w:t xml:space="preserve"> </w:t>
            </w:r>
            <w:r>
              <w:rPr>
                <w:sz w:val="20"/>
                <w:szCs w:val="20"/>
                <w:lang w:val="en-US"/>
              </w:rPr>
              <w:t>7</w:t>
            </w:r>
          </w:p>
          <w:p w:rsidR="007B2EE7" w:rsidRPr="00BA2B90" w:rsidRDefault="00BA2B90" w:rsidP="00BA2B90">
            <w:pPr>
              <w:pStyle w:val="NICEnormal"/>
              <w:spacing w:after="0"/>
              <w:rPr>
                <w:sz w:val="20"/>
                <w:szCs w:val="20"/>
                <w:lang w:val="en-US"/>
              </w:rPr>
            </w:pPr>
            <w:r w:rsidRPr="00AE1145">
              <w:rPr>
                <w:i/>
                <w:sz w:val="20"/>
                <w:szCs w:val="20"/>
                <w:lang w:val="en-US"/>
              </w:rPr>
              <w:t>Children:</w:t>
            </w:r>
            <w:r w:rsidRPr="00BA2B90">
              <w:rPr>
                <w:sz w:val="20"/>
                <w:szCs w:val="20"/>
                <w:lang w:val="en-US"/>
              </w:rPr>
              <w:t xml:space="preserve"> </w:t>
            </w:r>
            <w:r>
              <w:rPr>
                <w:sz w:val="20"/>
                <w:szCs w:val="20"/>
                <w:lang w:val="en-US"/>
              </w:rPr>
              <w:t>5</w:t>
            </w:r>
          </w:p>
        </w:tc>
        <w:tc>
          <w:tcPr>
            <w:tcW w:w="2429" w:type="dxa"/>
          </w:tcPr>
          <w:p w:rsidR="007B2EE7" w:rsidRPr="00BA2B90" w:rsidRDefault="00BA2B90" w:rsidP="00BA2B90">
            <w:pPr>
              <w:pStyle w:val="NICEnormal"/>
              <w:spacing w:after="0"/>
              <w:rPr>
                <w:sz w:val="20"/>
                <w:szCs w:val="20"/>
                <w:lang w:val="en-US"/>
              </w:rPr>
            </w:pPr>
            <w:r>
              <w:rPr>
                <w:sz w:val="20"/>
                <w:szCs w:val="20"/>
                <w:lang w:val="en-US"/>
              </w:rPr>
              <w:t>4</w:t>
            </w:r>
          </w:p>
        </w:tc>
        <w:tc>
          <w:tcPr>
            <w:tcW w:w="2429" w:type="dxa"/>
          </w:tcPr>
          <w:p w:rsidR="007B2EE7" w:rsidRPr="00BA2B90" w:rsidRDefault="00BA2B90" w:rsidP="00BA2B90">
            <w:pPr>
              <w:pStyle w:val="NICEnormal"/>
              <w:spacing w:after="0"/>
              <w:rPr>
                <w:sz w:val="20"/>
                <w:szCs w:val="20"/>
                <w:lang w:val="en-US"/>
              </w:rPr>
            </w:pPr>
            <w:r>
              <w:rPr>
                <w:sz w:val="20"/>
                <w:szCs w:val="20"/>
                <w:lang w:val="en-US"/>
              </w:rPr>
              <w:t>2</w:t>
            </w:r>
          </w:p>
        </w:tc>
      </w:tr>
      <w:tr w:rsidR="00BA2B90" w:rsidRPr="00AE1145" w:rsidTr="00AE1145">
        <w:tc>
          <w:tcPr>
            <w:tcW w:w="1242" w:type="dxa"/>
          </w:tcPr>
          <w:p w:rsidR="00BA2B90" w:rsidRDefault="001E0CD8" w:rsidP="00BA2B90">
            <w:pPr>
              <w:pStyle w:val="NICEnormal"/>
              <w:spacing w:after="0"/>
              <w:rPr>
                <w:sz w:val="20"/>
                <w:szCs w:val="20"/>
                <w:lang w:val="en-US"/>
              </w:rPr>
            </w:pPr>
            <w:r>
              <w:rPr>
                <w:sz w:val="20"/>
                <w:szCs w:val="20"/>
                <w:lang w:val="en-US"/>
              </w:rPr>
              <w:t>Staffing</w:t>
            </w:r>
          </w:p>
        </w:tc>
        <w:tc>
          <w:tcPr>
            <w:tcW w:w="2429" w:type="dxa"/>
          </w:tcPr>
          <w:p w:rsidR="00BA2B90" w:rsidRPr="00BA2B90" w:rsidRDefault="001E0CD8" w:rsidP="00BA2B90">
            <w:pPr>
              <w:pStyle w:val="NICEnormal"/>
              <w:spacing w:after="0"/>
              <w:rPr>
                <w:sz w:val="20"/>
                <w:szCs w:val="20"/>
                <w:lang w:val="en-US"/>
              </w:rPr>
            </w:pPr>
            <w:r>
              <w:rPr>
                <w:sz w:val="20"/>
                <w:szCs w:val="20"/>
                <w:lang w:val="en-US"/>
              </w:rPr>
              <w:t>1 grade-5</w:t>
            </w:r>
          </w:p>
        </w:tc>
        <w:tc>
          <w:tcPr>
            <w:tcW w:w="2429" w:type="dxa"/>
          </w:tcPr>
          <w:p w:rsidR="00BA2B90" w:rsidRDefault="001E0CD8" w:rsidP="00BA2B90">
            <w:pPr>
              <w:pStyle w:val="NICEnormal"/>
              <w:spacing w:after="0"/>
              <w:rPr>
                <w:sz w:val="20"/>
                <w:szCs w:val="20"/>
                <w:lang w:val="en-US"/>
              </w:rPr>
            </w:pPr>
            <w:r>
              <w:rPr>
                <w:sz w:val="20"/>
                <w:szCs w:val="20"/>
                <w:lang w:val="en-US"/>
              </w:rPr>
              <w:t>1.5 ‘highly qualified’</w:t>
            </w:r>
          </w:p>
        </w:tc>
        <w:tc>
          <w:tcPr>
            <w:tcW w:w="2429" w:type="dxa"/>
          </w:tcPr>
          <w:p w:rsidR="00BA2B90" w:rsidRDefault="001E0CD8" w:rsidP="00BA2B90">
            <w:pPr>
              <w:pStyle w:val="NICEnormal"/>
              <w:spacing w:after="0"/>
              <w:rPr>
                <w:sz w:val="20"/>
                <w:szCs w:val="20"/>
                <w:lang w:val="en-US"/>
              </w:rPr>
            </w:pPr>
            <w:r>
              <w:rPr>
                <w:sz w:val="20"/>
                <w:szCs w:val="20"/>
                <w:lang w:val="en-US"/>
              </w:rPr>
              <w:t>0.5 grade-5</w:t>
            </w:r>
          </w:p>
        </w:tc>
      </w:tr>
      <w:tr w:rsidR="004C0668" w:rsidRPr="00AE1145" w:rsidTr="0005553E">
        <w:tc>
          <w:tcPr>
            <w:tcW w:w="8529" w:type="dxa"/>
            <w:gridSpan w:val="4"/>
          </w:tcPr>
          <w:p w:rsidR="004C0668" w:rsidRDefault="004C0668" w:rsidP="00BA2B90">
            <w:pPr>
              <w:pStyle w:val="NICEnormal"/>
              <w:spacing w:after="0"/>
              <w:rPr>
                <w:sz w:val="20"/>
                <w:szCs w:val="20"/>
                <w:lang w:val="en-US"/>
              </w:rPr>
            </w:pPr>
            <w:r>
              <w:rPr>
                <w:sz w:val="20"/>
                <w:szCs w:val="20"/>
                <w:lang w:val="en-US"/>
              </w:rPr>
              <w:t>Abbreviations: RBC, red blood cell.</w:t>
            </w:r>
          </w:p>
        </w:tc>
      </w:tr>
    </w:tbl>
    <w:p w:rsidR="00CB5437" w:rsidRDefault="00CB5437" w:rsidP="00AE1145">
      <w:pPr>
        <w:pStyle w:val="Bulletindent1last"/>
        <w:numPr>
          <w:ilvl w:val="0"/>
          <w:numId w:val="0"/>
        </w:numPr>
        <w:ind w:left="1418" w:hanging="284"/>
      </w:pPr>
    </w:p>
    <w:p w:rsidR="00CB5437" w:rsidRPr="00CB5437" w:rsidRDefault="00BA2B90" w:rsidP="00BA2B90">
      <w:pPr>
        <w:pStyle w:val="Numberedheading2"/>
        <w:rPr>
          <w:sz w:val="24"/>
          <w:szCs w:val="24"/>
        </w:rPr>
      </w:pPr>
      <w:r w:rsidRPr="00BA2B90">
        <w:rPr>
          <w:sz w:val="24"/>
          <w:szCs w:val="24"/>
        </w:rPr>
        <w:t>Parameters relating to adverse events and alloimmunisation were not included as they were considered to be similar for all modalities.</w:t>
      </w:r>
      <w:r>
        <w:rPr>
          <w:sz w:val="24"/>
          <w:szCs w:val="24"/>
        </w:rPr>
        <w:t xml:space="preserve"> </w:t>
      </w:r>
      <w:r w:rsidR="00CB5437" w:rsidRPr="00CB5437">
        <w:rPr>
          <w:sz w:val="24"/>
          <w:szCs w:val="24"/>
        </w:rPr>
        <w:t>The cost of stroke was taken from Cherry et al. (2012)</w:t>
      </w:r>
      <w:r w:rsidR="00CB5437">
        <w:rPr>
          <w:sz w:val="24"/>
          <w:szCs w:val="24"/>
        </w:rPr>
        <w:t xml:space="preserve"> and set as a one-off payment of £21</w:t>
      </w:r>
      <w:r w:rsidR="00553056">
        <w:rPr>
          <w:sz w:val="24"/>
          <w:szCs w:val="24"/>
        </w:rPr>
        <w:t>,</w:t>
      </w:r>
      <w:r w:rsidR="00CB5437">
        <w:rPr>
          <w:sz w:val="24"/>
          <w:szCs w:val="24"/>
        </w:rPr>
        <w:t>807 at 2.5 years into the model. The cost per hospital admission included was £1354</w:t>
      </w:r>
      <w:r w:rsidR="00553056">
        <w:rPr>
          <w:sz w:val="24"/>
          <w:szCs w:val="24"/>
        </w:rPr>
        <w:t xml:space="preserve">, </w:t>
      </w:r>
      <w:r w:rsidR="00CB5437">
        <w:rPr>
          <w:sz w:val="24"/>
          <w:szCs w:val="24"/>
        </w:rPr>
        <w:t>taken from NHS reference costs</w:t>
      </w:r>
      <w:r w:rsidR="00056DA1">
        <w:rPr>
          <w:sz w:val="24"/>
          <w:szCs w:val="24"/>
        </w:rPr>
        <w:t>. Chelation therapy costs were calculated from B</w:t>
      </w:r>
      <w:r w:rsidR="00553056">
        <w:rPr>
          <w:sz w:val="24"/>
          <w:szCs w:val="24"/>
        </w:rPr>
        <w:t>ritish national formulary</w:t>
      </w:r>
      <w:r w:rsidR="00056DA1">
        <w:rPr>
          <w:sz w:val="24"/>
          <w:szCs w:val="24"/>
        </w:rPr>
        <w:t xml:space="preserve"> values using average body masses </w:t>
      </w:r>
      <w:r w:rsidR="004C0EF1">
        <w:rPr>
          <w:sz w:val="24"/>
          <w:szCs w:val="24"/>
        </w:rPr>
        <w:t xml:space="preserve">and taken </w:t>
      </w:r>
      <w:r w:rsidR="00056DA1">
        <w:rPr>
          <w:sz w:val="24"/>
          <w:szCs w:val="24"/>
        </w:rPr>
        <w:t>to be £21</w:t>
      </w:r>
      <w:r w:rsidR="00553056">
        <w:rPr>
          <w:sz w:val="24"/>
          <w:szCs w:val="24"/>
        </w:rPr>
        <w:t>,</w:t>
      </w:r>
      <w:r w:rsidR="00056DA1">
        <w:rPr>
          <w:sz w:val="24"/>
          <w:szCs w:val="24"/>
        </w:rPr>
        <w:t>022 per patient per year for adults and £9954 for children. The cost per packed red blood cell unit was £120 as listed in NHS reference prices. The Spectra Optia exchange set was the only consumable that was</w:t>
      </w:r>
      <w:r w:rsidR="00553056">
        <w:rPr>
          <w:sz w:val="24"/>
          <w:szCs w:val="24"/>
        </w:rPr>
        <w:t xml:space="preserve"> </w:t>
      </w:r>
      <w:r w:rsidR="00056DA1">
        <w:rPr>
          <w:sz w:val="24"/>
          <w:szCs w:val="24"/>
        </w:rPr>
        <w:t>n</w:t>
      </w:r>
      <w:r w:rsidR="00553056">
        <w:rPr>
          <w:sz w:val="24"/>
          <w:szCs w:val="24"/>
        </w:rPr>
        <w:t>o</w:t>
      </w:r>
      <w:r w:rsidR="00056DA1">
        <w:rPr>
          <w:sz w:val="24"/>
          <w:szCs w:val="24"/>
        </w:rPr>
        <w:t xml:space="preserve">t common across all modalities, </w:t>
      </w:r>
      <w:r w:rsidR="00553056">
        <w:rPr>
          <w:sz w:val="24"/>
          <w:szCs w:val="24"/>
        </w:rPr>
        <w:t xml:space="preserve">for which the company used its </w:t>
      </w:r>
      <w:r w:rsidR="00056DA1">
        <w:rPr>
          <w:sz w:val="24"/>
          <w:szCs w:val="24"/>
        </w:rPr>
        <w:t xml:space="preserve">list price </w:t>
      </w:r>
      <w:r w:rsidR="00553056">
        <w:rPr>
          <w:sz w:val="24"/>
          <w:szCs w:val="24"/>
        </w:rPr>
        <w:t>(</w:t>
      </w:r>
      <w:r w:rsidR="00056DA1">
        <w:rPr>
          <w:sz w:val="24"/>
          <w:szCs w:val="24"/>
        </w:rPr>
        <w:t>£167.84</w:t>
      </w:r>
      <w:r w:rsidR="00553056">
        <w:rPr>
          <w:sz w:val="24"/>
          <w:szCs w:val="24"/>
        </w:rPr>
        <w:t>)</w:t>
      </w:r>
      <w:r w:rsidR="00056DA1">
        <w:rPr>
          <w:sz w:val="24"/>
          <w:szCs w:val="24"/>
        </w:rPr>
        <w:t>.</w:t>
      </w:r>
    </w:p>
    <w:p w:rsidR="00CB5437" w:rsidRPr="00CB5437" w:rsidRDefault="00056DA1" w:rsidP="00CB5437">
      <w:pPr>
        <w:pStyle w:val="Numberedheading2"/>
        <w:rPr>
          <w:sz w:val="24"/>
          <w:szCs w:val="24"/>
        </w:rPr>
      </w:pPr>
      <w:r w:rsidRPr="00056DA1">
        <w:rPr>
          <w:sz w:val="24"/>
          <w:szCs w:val="24"/>
        </w:rPr>
        <w:t xml:space="preserve">The company </w:t>
      </w:r>
      <w:r w:rsidR="004C0EF1">
        <w:rPr>
          <w:sz w:val="24"/>
          <w:szCs w:val="24"/>
        </w:rPr>
        <w:t>performed</w:t>
      </w:r>
      <w:r w:rsidR="004C0EF1" w:rsidRPr="00056DA1">
        <w:rPr>
          <w:sz w:val="24"/>
          <w:szCs w:val="24"/>
        </w:rPr>
        <w:t xml:space="preserve"> </w:t>
      </w:r>
      <w:r w:rsidRPr="00056DA1">
        <w:rPr>
          <w:sz w:val="24"/>
          <w:szCs w:val="24"/>
        </w:rPr>
        <w:t>8 univariate deterministic analyses for each of the 12 subgroups. These tested sensitivities to</w:t>
      </w:r>
      <w:r w:rsidR="00553056">
        <w:rPr>
          <w:sz w:val="24"/>
          <w:szCs w:val="24"/>
        </w:rPr>
        <w:t>:</w:t>
      </w:r>
      <w:r w:rsidRPr="00056DA1">
        <w:rPr>
          <w:sz w:val="24"/>
          <w:szCs w:val="24"/>
        </w:rPr>
        <w:t xml:space="preserve"> stroke timing and severity, hospital admissions, cost of medication, staff grades, staff ratios, </w:t>
      </w:r>
      <w:r w:rsidR="00553056">
        <w:rPr>
          <w:sz w:val="24"/>
          <w:szCs w:val="24"/>
        </w:rPr>
        <w:t>red blood cell</w:t>
      </w:r>
      <w:r w:rsidRPr="00056DA1">
        <w:rPr>
          <w:sz w:val="24"/>
          <w:szCs w:val="24"/>
        </w:rPr>
        <w:t xml:space="preserve"> units, procedure </w:t>
      </w:r>
      <w:r w:rsidR="00553056">
        <w:rPr>
          <w:sz w:val="24"/>
          <w:szCs w:val="24"/>
        </w:rPr>
        <w:t>length</w:t>
      </w:r>
      <w:r w:rsidRPr="00056DA1">
        <w:rPr>
          <w:sz w:val="24"/>
          <w:szCs w:val="24"/>
        </w:rPr>
        <w:t xml:space="preserve"> and frequency, and </w:t>
      </w:r>
      <w:r w:rsidR="00500E0F">
        <w:rPr>
          <w:sz w:val="24"/>
          <w:szCs w:val="24"/>
        </w:rPr>
        <w:t xml:space="preserve">the </w:t>
      </w:r>
      <w:r w:rsidRPr="00056DA1">
        <w:rPr>
          <w:sz w:val="24"/>
          <w:szCs w:val="24"/>
        </w:rPr>
        <w:t xml:space="preserve">cost of consumables. Results were reported using tornado diagrams. Where a parameter change altered the ranking of modalities, threshold analyses were done to inform when the modality orderings changed. The values used for these analyses were informed by values taken from published clinical evidence, clinical advisers, and company and reference sources. The company also </w:t>
      </w:r>
      <w:r w:rsidR="00553056">
        <w:rPr>
          <w:sz w:val="24"/>
          <w:szCs w:val="24"/>
        </w:rPr>
        <w:t>did</w:t>
      </w:r>
      <w:r w:rsidRPr="00056DA1">
        <w:rPr>
          <w:sz w:val="24"/>
          <w:szCs w:val="24"/>
        </w:rPr>
        <w:t xml:space="preserve"> 4 scenario sensitivity analyses: use of depletion exchange protocol with </w:t>
      </w:r>
      <w:r w:rsidR="00130A69">
        <w:rPr>
          <w:sz w:val="24"/>
          <w:szCs w:val="24"/>
        </w:rPr>
        <w:t>Spectra Optia</w:t>
      </w:r>
      <w:r w:rsidRPr="00056DA1">
        <w:rPr>
          <w:sz w:val="24"/>
          <w:szCs w:val="24"/>
        </w:rPr>
        <w:t xml:space="preserve">, resulting in a </w:t>
      </w:r>
      <w:r w:rsidRPr="00056DA1">
        <w:rPr>
          <w:sz w:val="24"/>
          <w:szCs w:val="24"/>
        </w:rPr>
        <w:lastRenderedPageBreak/>
        <w:t>reduction in the number of packed</w:t>
      </w:r>
      <w:r w:rsidR="00553056">
        <w:rPr>
          <w:sz w:val="24"/>
          <w:szCs w:val="24"/>
        </w:rPr>
        <w:t xml:space="preserve"> red blood cell</w:t>
      </w:r>
      <w:r w:rsidRPr="00056DA1">
        <w:rPr>
          <w:sz w:val="24"/>
          <w:szCs w:val="24"/>
        </w:rPr>
        <w:t xml:space="preserve"> units used in automated exchange by 1; mild iron overload with low chelation costs; severe iron overload with high chelation costs; and an increased rate of patients ceasing chelation therapy for moderate and severe iron overload when having automated exchange.</w:t>
      </w:r>
    </w:p>
    <w:p w:rsidR="00CB5437" w:rsidRDefault="00056DA1" w:rsidP="00056DA1">
      <w:pPr>
        <w:pStyle w:val="Numberedheading2"/>
        <w:rPr>
          <w:sz w:val="24"/>
          <w:szCs w:val="24"/>
        </w:rPr>
      </w:pPr>
      <w:r w:rsidRPr="00056DA1">
        <w:rPr>
          <w:sz w:val="24"/>
          <w:szCs w:val="24"/>
        </w:rPr>
        <w:t xml:space="preserve">The </w:t>
      </w:r>
      <w:r>
        <w:rPr>
          <w:sz w:val="24"/>
          <w:szCs w:val="24"/>
        </w:rPr>
        <w:t xml:space="preserve">results of the </w:t>
      </w:r>
      <w:r w:rsidRPr="00056DA1">
        <w:rPr>
          <w:sz w:val="24"/>
          <w:szCs w:val="24"/>
        </w:rPr>
        <w:t xml:space="preserve">company’s base case showed that the Spectra Optia system was always cost saving compared with manual exchange, with savings over 5 years ranging from £360 per adult patient with severe iron overload to £52,516 per adult patient with mild iron overload. The absolute costs of </w:t>
      </w:r>
      <w:r w:rsidR="0086519D" w:rsidRPr="0020661C">
        <w:rPr>
          <w:sz w:val="24"/>
          <w:szCs w:val="24"/>
        </w:rPr>
        <w:t>sickle cell disease</w:t>
      </w:r>
      <w:r w:rsidRPr="00056DA1">
        <w:rPr>
          <w:sz w:val="24"/>
          <w:szCs w:val="24"/>
        </w:rPr>
        <w:t xml:space="preserve"> treatment over the 5-year time horizon varied from £48,093 for </w:t>
      </w:r>
      <w:r w:rsidR="00130A69">
        <w:rPr>
          <w:sz w:val="24"/>
          <w:szCs w:val="24"/>
        </w:rPr>
        <w:t>Spectra Optia</w:t>
      </w:r>
      <w:r w:rsidRPr="00056DA1">
        <w:rPr>
          <w:sz w:val="24"/>
          <w:szCs w:val="24"/>
        </w:rPr>
        <w:t xml:space="preserve"> in patients with no iron overload to £128,670 for manual exchange in patients with iron overload. </w:t>
      </w:r>
    </w:p>
    <w:p w:rsidR="00056DA1" w:rsidRPr="00526174" w:rsidRDefault="00056DA1" w:rsidP="00056DA1">
      <w:pPr>
        <w:pStyle w:val="Numberedheading2"/>
      </w:pPr>
      <w:r w:rsidRPr="00526174">
        <w:rPr>
          <w:sz w:val="24"/>
          <w:szCs w:val="24"/>
        </w:rPr>
        <w:t xml:space="preserve">The sensitivity analyses showed that the Spectra Optia system was sensitive to changes in procedural costs (in particular the need for packed </w:t>
      </w:r>
      <w:r w:rsidR="00553056">
        <w:rPr>
          <w:sz w:val="24"/>
          <w:szCs w:val="24"/>
        </w:rPr>
        <w:t>red blood cells</w:t>
      </w:r>
      <w:r w:rsidRPr="00526174">
        <w:rPr>
          <w:sz w:val="24"/>
          <w:szCs w:val="24"/>
        </w:rPr>
        <w:t xml:space="preserve">), and that top-up transfusion was sensitive to changes in chelation costs. Manual exchange had higher procedural costs than top-up transfusion (through staff time and grade, and greater need for </w:t>
      </w:r>
      <w:r w:rsidR="00553056">
        <w:rPr>
          <w:sz w:val="24"/>
          <w:szCs w:val="24"/>
        </w:rPr>
        <w:t>red blood cell</w:t>
      </w:r>
      <w:r w:rsidRPr="00526174">
        <w:rPr>
          <w:sz w:val="24"/>
          <w:szCs w:val="24"/>
        </w:rPr>
        <w:t xml:space="preserve"> units) and higher chelation costs than </w:t>
      </w:r>
      <w:r w:rsidR="00130A69">
        <w:rPr>
          <w:sz w:val="24"/>
          <w:szCs w:val="24"/>
        </w:rPr>
        <w:t>Spectra Optia</w:t>
      </w:r>
      <w:r w:rsidRPr="00526174">
        <w:rPr>
          <w:sz w:val="24"/>
          <w:szCs w:val="24"/>
        </w:rPr>
        <w:t>,</w:t>
      </w:r>
      <w:r w:rsidR="008539FD">
        <w:rPr>
          <w:sz w:val="24"/>
          <w:szCs w:val="24"/>
        </w:rPr>
        <w:t xml:space="preserve"> and</w:t>
      </w:r>
      <w:r w:rsidRPr="00526174">
        <w:rPr>
          <w:sz w:val="24"/>
          <w:szCs w:val="24"/>
        </w:rPr>
        <w:t xml:space="preserve"> was rarely the lowest cost modality. Stroke and emergency hospital admissions had little impact in the sensitivity analyses except in some extreme threshold scenarios.</w:t>
      </w:r>
    </w:p>
    <w:p w:rsidR="00526174" w:rsidRDefault="00526174" w:rsidP="00B14B5C">
      <w:pPr>
        <w:pStyle w:val="Heading3"/>
      </w:pPr>
      <w:r>
        <w:t>Additional work by the external assessment centre</w:t>
      </w:r>
    </w:p>
    <w:p w:rsidR="004567BF" w:rsidRDefault="004C0668" w:rsidP="004567BF">
      <w:pPr>
        <w:pStyle w:val="Numberedlevel2text"/>
        <w:rPr>
          <w:szCs w:val="24"/>
        </w:rPr>
      </w:pPr>
      <w:r>
        <w:rPr>
          <w:szCs w:val="24"/>
        </w:rPr>
        <w:t xml:space="preserve">Because </w:t>
      </w:r>
      <w:r w:rsidR="00BE3E13">
        <w:rPr>
          <w:szCs w:val="24"/>
        </w:rPr>
        <w:t>high</w:t>
      </w:r>
      <w:r w:rsidR="00BE3E13" w:rsidRPr="004567BF">
        <w:rPr>
          <w:szCs w:val="24"/>
        </w:rPr>
        <w:t xml:space="preserve"> </w:t>
      </w:r>
      <w:r w:rsidR="004567BF" w:rsidRPr="004567BF">
        <w:rPr>
          <w:szCs w:val="24"/>
        </w:rPr>
        <w:t>quality data to populate the company’s model</w:t>
      </w:r>
      <w:r w:rsidR="00446505">
        <w:rPr>
          <w:szCs w:val="24"/>
        </w:rPr>
        <w:t xml:space="preserve"> w</w:t>
      </w:r>
      <w:r>
        <w:rPr>
          <w:szCs w:val="24"/>
        </w:rPr>
        <w:t>ere</w:t>
      </w:r>
      <w:r w:rsidR="00446505">
        <w:rPr>
          <w:szCs w:val="24"/>
        </w:rPr>
        <w:t xml:space="preserve"> limited</w:t>
      </w:r>
      <w:r w:rsidR="004567BF" w:rsidRPr="004567BF">
        <w:rPr>
          <w:szCs w:val="24"/>
        </w:rPr>
        <w:t xml:space="preserve">, the </w:t>
      </w:r>
      <w:r w:rsidR="004E6538">
        <w:rPr>
          <w:szCs w:val="24"/>
        </w:rPr>
        <w:t>External Assessment Centre</w:t>
      </w:r>
      <w:r w:rsidR="004567BF" w:rsidRPr="004567BF">
        <w:rPr>
          <w:szCs w:val="24"/>
        </w:rPr>
        <w:t xml:space="preserve"> revised the input parameters of the model to better reflect the uncertainty around published values. However, </w:t>
      </w:r>
      <w:r w:rsidR="002A13E1">
        <w:rPr>
          <w:szCs w:val="24"/>
        </w:rPr>
        <w:t xml:space="preserve">it judged that </w:t>
      </w:r>
      <w:r w:rsidR="004567BF" w:rsidRPr="004567BF">
        <w:rPr>
          <w:szCs w:val="24"/>
        </w:rPr>
        <w:t xml:space="preserve">the </w:t>
      </w:r>
      <w:r w:rsidR="00500E0F">
        <w:rPr>
          <w:szCs w:val="24"/>
        </w:rPr>
        <w:t xml:space="preserve">limited </w:t>
      </w:r>
      <w:r w:rsidR="004567BF" w:rsidRPr="004567BF">
        <w:rPr>
          <w:szCs w:val="24"/>
        </w:rPr>
        <w:t xml:space="preserve">data remain a key </w:t>
      </w:r>
      <w:r w:rsidR="0086519D">
        <w:rPr>
          <w:szCs w:val="24"/>
        </w:rPr>
        <w:t xml:space="preserve">consideration </w:t>
      </w:r>
      <w:r w:rsidR="004567BF" w:rsidRPr="004567BF">
        <w:rPr>
          <w:szCs w:val="24"/>
        </w:rPr>
        <w:t>when interpreting the results.</w:t>
      </w:r>
    </w:p>
    <w:p w:rsidR="004567BF" w:rsidRDefault="004567BF" w:rsidP="004567BF">
      <w:pPr>
        <w:pStyle w:val="Numberedlevel2text"/>
        <w:rPr>
          <w:szCs w:val="24"/>
        </w:rPr>
      </w:pPr>
      <w:r>
        <w:rPr>
          <w:szCs w:val="24"/>
        </w:rPr>
        <w:t xml:space="preserve">The company’s base case assumes that 100% of the </w:t>
      </w:r>
      <w:r w:rsidR="000E7AF8">
        <w:rPr>
          <w:szCs w:val="24"/>
        </w:rPr>
        <w:t>device usage and costs</w:t>
      </w:r>
      <w:r>
        <w:rPr>
          <w:szCs w:val="24"/>
        </w:rPr>
        <w:t xml:space="preserve"> for </w:t>
      </w:r>
      <w:r w:rsidR="00130A69">
        <w:rPr>
          <w:szCs w:val="24"/>
        </w:rPr>
        <w:t>Spectra Optia</w:t>
      </w:r>
      <w:r>
        <w:rPr>
          <w:szCs w:val="24"/>
        </w:rPr>
        <w:t xml:space="preserve"> are attributed to </w:t>
      </w:r>
      <w:r w:rsidR="00553056">
        <w:rPr>
          <w:szCs w:val="24"/>
        </w:rPr>
        <w:t xml:space="preserve">treating </w:t>
      </w:r>
      <w:r w:rsidR="0086519D">
        <w:rPr>
          <w:szCs w:val="24"/>
        </w:rPr>
        <w:t xml:space="preserve">sickle cell </w:t>
      </w:r>
      <w:r w:rsidR="0086519D">
        <w:rPr>
          <w:szCs w:val="24"/>
        </w:rPr>
        <w:lastRenderedPageBreak/>
        <w:t>disease</w:t>
      </w:r>
      <w:r>
        <w:rPr>
          <w:szCs w:val="24"/>
        </w:rPr>
        <w:t xml:space="preserve">. The </w:t>
      </w:r>
      <w:r w:rsidR="004E6538">
        <w:rPr>
          <w:szCs w:val="24"/>
        </w:rPr>
        <w:t>External Assessment Centre</w:t>
      </w:r>
      <w:r>
        <w:rPr>
          <w:szCs w:val="24"/>
        </w:rPr>
        <w:t xml:space="preserve"> considered that </w:t>
      </w:r>
      <w:r w:rsidR="00553056">
        <w:rPr>
          <w:szCs w:val="24"/>
        </w:rPr>
        <w:t>because the device can</w:t>
      </w:r>
      <w:r>
        <w:rPr>
          <w:szCs w:val="24"/>
        </w:rPr>
        <w:t xml:space="preserve"> treat multiple indications</w:t>
      </w:r>
      <w:r w:rsidR="00553056">
        <w:rPr>
          <w:szCs w:val="24"/>
        </w:rPr>
        <w:t>,</w:t>
      </w:r>
      <w:r>
        <w:rPr>
          <w:szCs w:val="24"/>
        </w:rPr>
        <w:t xml:space="preserve"> and </w:t>
      </w:r>
      <w:r w:rsidR="00553056">
        <w:rPr>
          <w:szCs w:val="24"/>
        </w:rPr>
        <w:t xml:space="preserve">because of </w:t>
      </w:r>
      <w:r>
        <w:rPr>
          <w:szCs w:val="24"/>
        </w:rPr>
        <w:t xml:space="preserve">the low incidence of </w:t>
      </w:r>
      <w:r w:rsidR="0086519D">
        <w:rPr>
          <w:szCs w:val="24"/>
        </w:rPr>
        <w:t>sickle cell disease</w:t>
      </w:r>
      <w:r w:rsidR="00553056">
        <w:rPr>
          <w:szCs w:val="24"/>
        </w:rPr>
        <w:t xml:space="preserve">, </w:t>
      </w:r>
      <w:r>
        <w:rPr>
          <w:szCs w:val="24"/>
        </w:rPr>
        <w:t xml:space="preserve">it was feasible to consider that </w:t>
      </w:r>
      <w:r w:rsidR="008539FD">
        <w:rPr>
          <w:szCs w:val="24"/>
        </w:rPr>
        <w:t xml:space="preserve">a </w:t>
      </w:r>
      <w:r>
        <w:rPr>
          <w:szCs w:val="24"/>
        </w:rPr>
        <w:t xml:space="preserve">Spectra Optia device </w:t>
      </w:r>
      <w:r w:rsidR="008539FD">
        <w:rPr>
          <w:szCs w:val="24"/>
        </w:rPr>
        <w:t xml:space="preserve">can </w:t>
      </w:r>
      <w:r>
        <w:rPr>
          <w:szCs w:val="24"/>
        </w:rPr>
        <w:t xml:space="preserve">be shared across different indications. The </w:t>
      </w:r>
      <w:r w:rsidR="004E6538">
        <w:rPr>
          <w:szCs w:val="24"/>
        </w:rPr>
        <w:t>External Assessment Centre</w:t>
      </w:r>
      <w:r>
        <w:rPr>
          <w:szCs w:val="24"/>
        </w:rPr>
        <w:t xml:space="preserve"> calculated additional scenarios where</w:t>
      </w:r>
      <w:r w:rsidR="000E7AF8">
        <w:rPr>
          <w:szCs w:val="24"/>
        </w:rPr>
        <w:t xml:space="preserve"> only</w:t>
      </w:r>
      <w:r>
        <w:rPr>
          <w:szCs w:val="24"/>
        </w:rPr>
        <w:t xml:space="preserve"> 50% and 30% of the device</w:t>
      </w:r>
      <w:r w:rsidR="000E7AF8">
        <w:rPr>
          <w:szCs w:val="24"/>
        </w:rPr>
        <w:t>’</w:t>
      </w:r>
      <w:r>
        <w:rPr>
          <w:szCs w:val="24"/>
        </w:rPr>
        <w:t>s c</w:t>
      </w:r>
      <w:r w:rsidR="000E7AF8">
        <w:rPr>
          <w:szCs w:val="24"/>
        </w:rPr>
        <w:t xml:space="preserve">apacity was used to treat </w:t>
      </w:r>
      <w:r w:rsidR="0086519D">
        <w:rPr>
          <w:szCs w:val="24"/>
        </w:rPr>
        <w:t>sickle cell disease</w:t>
      </w:r>
      <w:r w:rsidR="00916188">
        <w:rPr>
          <w:szCs w:val="24"/>
        </w:rPr>
        <w:t xml:space="preserve"> in groups of 30 and 15 patients</w:t>
      </w:r>
      <w:r w:rsidR="000E7AF8">
        <w:rPr>
          <w:szCs w:val="24"/>
        </w:rPr>
        <w:t>. The company had also not included the capital</w:t>
      </w:r>
      <w:r w:rsidR="00553056">
        <w:rPr>
          <w:szCs w:val="24"/>
        </w:rPr>
        <w:t xml:space="preserve"> costs</w:t>
      </w:r>
      <w:r w:rsidR="00522098">
        <w:rPr>
          <w:szCs w:val="24"/>
        </w:rPr>
        <w:t xml:space="preserve"> (£52</w:t>
      </w:r>
      <w:r w:rsidR="00553056">
        <w:rPr>
          <w:szCs w:val="24"/>
        </w:rPr>
        <w:t>,</w:t>
      </w:r>
      <w:r w:rsidR="00522098">
        <w:rPr>
          <w:szCs w:val="24"/>
        </w:rPr>
        <w:t>052) and maintenance costs (£4572) for the device</w:t>
      </w:r>
      <w:r w:rsidR="00553056">
        <w:rPr>
          <w:szCs w:val="24"/>
        </w:rPr>
        <w:t xml:space="preserve">, which </w:t>
      </w:r>
      <w:r w:rsidR="00522098">
        <w:rPr>
          <w:szCs w:val="24"/>
        </w:rPr>
        <w:t xml:space="preserve">the </w:t>
      </w:r>
      <w:r w:rsidR="004E6538">
        <w:rPr>
          <w:szCs w:val="24"/>
        </w:rPr>
        <w:t>External Assessment Centre</w:t>
      </w:r>
      <w:r w:rsidR="00553056">
        <w:rPr>
          <w:szCs w:val="24"/>
        </w:rPr>
        <w:t xml:space="preserve"> added</w:t>
      </w:r>
      <w:r w:rsidR="00522098">
        <w:rPr>
          <w:szCs w:val="24"/>
        </w:rPr>
        <w:t xml:space="preserve">. The </w:t>
      </w:r>
      <w:r w:rsidR="004E6538">
        <w:rPr>
          <w:szCs w:val="24"/>
        </w:rPr>
        <w:t>External Assessment Centre</w:t>
      </w:r>
      <w:r w:rsidR="00522098">
        <w:rPr>
          <w:szCs w:val="24"/>
        </w:rPr>
        <w:t xml:space="preserve"> also extended the lifespan of the device from 5 to 7 years in the model.</w:t>
      </w:r>
    </w:p>
    <w:p w:rsidR="00522098" w:rsidRPr="00911C2E" w:rsidRDefault="00522098" w:rsidP="00522098">
      <w:pPr>
        <w:pStyle w:val="Numberedlevel2text"/>
      </w:pPr>
      <w:r>
        <w:t xml:space="preserve">The </w:t>
      </w:r>
      <w:r w:rsidR="004E6538">
        <w:t>External Assessment Centre</w:t>
      </w:r>
      <w:r>
        <w:t xml:space="preserve"> also noted that the cost of chelation therapy in the company’s model did not include diagnostic and monitoring costs. </w:t>
      </w:r>
      <w:r w:rsidR="0029369D">
        <w:t xml:space="preserve">The </w:t>
      </w:r>
      <w:r w:rsidR="00BE3E13">
        <w:t xml:space="preserve">estimate </w:t>
      </w:r>
      <w:r w:rsidR="009F6C11">
        <w:t xml:space="preserve">of </w:t>
      </w:r>
      <w:r w:rsidR="00244C9E" w:rsidRPr="00244C9E">
        <w:rPr>
          <w:highlight w:val="black"/>
        </w:rPr>
        <w:t>******</w:t>
      </w:r>
      <w:r w:rsidR="009F6C11">
        <w:t xml:space="preserve"> </w:t>
      </w:r>
      <w:r w:rsidR="00812784">
        <w:t>of</w:t>
      </w:r>
      <w:r w:rsidR="00244C9E">
        <w:t xml:space="preserve"> the</w:t>
      </w:r>
      <w:r w:rsidR="009F6C11">
        <w:t xml:space="preserve"> chelation therapy costs </w:t>
      </w:r>
      <w:r w:rsidR="00812784">
        <w:t xml:space="preserve">for the monitoring of iron overload </w:t>
      </w:r>
      <w:r w:rsidR="00BE3E13">
        <w:t xml:space="preserve">was </w:t>
      </w:r>
      <w:r w:rsidR="00244C9E">
        <w:t>provided in confidence to the Committee</w:t>
      </w:r>
      <w:r w:rsidR="009F6C11">
        <w:t>.</w:t>
      </w:r>
      <w:r w:rsidR="00BE3E13">
        <w:t xml:space="preserve"> </w:t>
      </w:r>
      <w:r>
        <w:t xml:space="preserve">The proportion of patients </w:t>
      </w:r>
      <w:r w:rsidR="00553056">
        <w:t>having</w:t>
      </w:r>
      <w:r>
        <w:t xml:space="preserve"> chelation therapy </w:t>
      </w:r>
      <w:r>
        <w:rPr>
          <w:lang w:val="en-GB"/>
        </w:rPr>
        <w:t>after</w:t>
      </w:r>
      <w:r w:rsidRPr="00A71ADE">
        <w:rPr>
          <w:lang w:val="en-GB"/>
        </w:rPr>
        <w:t xml:space="preserve"> top-up transfusion in years 2</w:t>
      </w:r>
      <w:r>
        <w:rPr>
          <w:lang w:val="en-GB"/>
        </w:rPr>
        <w:t>–</w:t>
      </w:r>
      <w:r w:rsidRPr="00A71ADE">
        <w:rPr>
          <w:lang w:val="en-GB"/>
        </w:rPr>
        <w:t>5 of the model</w:t>
      </w:r>
      <w:r>
        <w:rPr>
          <w:lang w:val="en-GB"/>
        </w:rPr>
        <w:t xml:space="preserve"> was 90%</w:t>
      </w:r>
      <w:r w:rsidR="00911C2E">
        <w:rPr>
          <w:lang w:val="en-GB"/>
        </w:rPr>
        <w:t>.</w:t>
      </w:r>
      <w:r>
        <w:rPr>
          <w:lang w:val="en-GB"/>
        </w:rPr>
        <w:t xml:space="preserve"> </w:t>
      </w:r>
      <w:r w:rsidRPr="00522098">
        <w:rPr>
          <w:lang w:val="en-GB"/>
        </w:rPr>
        <w:t xml:space="preserve">These patients entered the model with no iron overload. The </w:t>
      </w:r>
      <w:r w:rsidR="004E6538">
        <w:rPr>
          <w:lang w:val="en-GB"/>
        </w:rPr>
        <w:t>External Assessment Centre</w:t>
      </w:r>
      <w:r w:rsidRPr="00522098">
        <w:rPr>
          <w:lang w:val="en-GB"/>
        </w:rPr>
        <w:t xml:space="preserve"> revised this value to 75% based on 250 of 332 patients in the Haemoglobinopathy Registry Report having regular chelation therapy (Foster 2014).</w:t>
      </w:r>
    </w:p>
    <w:p w:rsidR="00911C2E" w:rsidRDefault="00911C2E" w:rsidP="00522098">
      <w:pPr>
        <w:pStyle w:val="Numberedlevel2text"/>
      </w:pPr>
      <w:r>
        <w:t xml:space="preserve">The company had also assumed that adults and children </w:t>
      </w:r>
      <w:r w:rsidR="00553056">
        <w:t xml:space="preserve">having </w:t>
      </w:r>
      <w:r>
        <w:t xml:space="preserve">manual exchange </w:t>
      </w:r>
      <w:r w:rsidR="00553056">
        <w:t xml:space="preserve">procedures </w:t>
      </w:r>
      <w:r>
        <w:t xml:space="preserve">would both </w:t>
      </w:r>
      <w:r w:rsidR="008539FD">
        <w:t xml:space="preserve">need </w:t>
      </w:r>
      <w:r>
        <w:t xml:space="preserve">4 units of packed red blood cells. The </w:t>
      </w:r>
      <w:r w:rsidR="004E6538">
        <w:t>External Assessment Centre</w:t>
      </w:r>
      <w:r>
        <w:t xml:space="preserve"> reduced this to 3 units in children. Similarly, the procedure time for manual exchange in children was reduced from 254 minutes to 208 minutes. The number of staff </w:t>
      </w:r>
      <w:r w:rsidR="00553056">
        <w:t>needed</w:t>
      </w:r>
      <w:r>
        <w:t xml:space="preserve"> per patient for manual exchange was also reduced from 1.5 to 1</w:t>
      </w:r>
      <w:r w:rsidR="00553056">
        <w:t>.0</w:t>
      </w:r>
      <w:r>
        <w:t>, following expert advice.</w:t>
      </w:r>
    </w:p>
    <w:p w:rsidR="00911C2E" w:rsidRDefault="00911C2E" w:rsidP="00522098">
      <w:pPr>
        <w:pStyle w:val="Numberedlevel2text"/>
      </w:pPr>
      <w:r>
        <w:t>Results from the economic modelling showed that:</w:t>
      </w:r>
    </w:p>
    <w:p w:rsidR="00911C2E" w:rsidRDefault="00911C2E" w:rsidP="00911C2E">
      <w:pPr>
        <w:pStyle w:val="Bulletindent1"/>
      </w:pPr>
      <w:r>
        <w:t xml:space="preserve">For 30 patients having automated exchange per year at 100% use of the device’s capacity, </w:t>
      </w:r>
      <w:r w:rsidR="00130A69">
        <w:t>Spectra Optia</w:t>
      </w:r>
      <w:r w:rsidR="00B641B8">
        <w:t xml:space="preserve"> is </w:t>
      </w:r>
      <w:r>
        <w:t xml:space="preserve">cost saving </w:t>
      </w:r>
      <w:r>
        <w:lastRenderedPageBreak/>
        <w:t xml:space="preserve">compared with manual exchange in all patients with mild iron overload and in adults without iron overload. </w:t>
      </w:r>
    </w:p>
    <w:p w:rsidR="00911C2E" w:rsidRDefault="00911C2E" w:rsidP="00911C2E">
      <w:pPr>
        <w:pStyle w:val="Bulletindent1"/>
      </w:pPr>
      <w:r>
        <w:t xml:space="preserve">For 30 patients having automated exchange per year at 50% use of the device’s capacity, </w:t>
      </w:r>
      <w:r w:rsidR="00130A69">
        <w:t>Spectra Optia</w:t>
      </w:r>
      <w:r w:rsidR="00B641B8">
        <w:t xml:space="preserve"> is</w:t>
      </w:r>
      <w:r>
        <w:t xml:space="preserve"> cost saving compared with manual exchange in all patients with no or only mild iron overload, and in adults with moderate iron overload. </w:t>
      </w:r>
    </w:p>
    <w:p w:rsidR="00911C2E" w:rsidRDefault="00911C2E" w:rsidP="00911C2E">
      <w:pPr>
        <w:pStyle w:val="Bulletindent1"/>
      </w:pPr>
      <w:r>
        <w:t xml:space="preserve">For 15 patients having automated exchange per year at 100% use of the device’s capacity, </w:t>
      </w:r>
      <w:r w:rsidR="00130A69">
        <w:t>Spectra Optia</w:t>
      </w:r>
      <w:r w:rsidR="00B641B8">
        <w:t xml:space="preserve"> is </w:t>
      </w:r>
      <w:r>
        <w:t xml:space="preserve">cost saving compared with manual exchange in all patients with mild iron overload. </w:t>
      </w:r>
    </w:p>
    <w:p w:rsidR="00911C2E" w:rsidRDefault="00911C2E" w:rsidP="00911C2E">
      <w:pPr>
        <w:pStyle w:val="Bulletindent1"/>
        <w:spacing w:after="240"/>
      </w:pPr>
      <w:r>
        <w:t xml:space="preserve">For 15 patients having automated exchange per year at 50% use of the device’s capacity, </w:t>
      </w:r>
      <w:r w:rsidR="00130A69">
        <w:t>Spectra Optia</w:t>
      </w:r>
      <w:r w:rsidR="00B641B8">
        <w:t xml:space="preserve"> is </w:t>
      </w:r>
      <w:r>
        <w:t xml:space="preserve">cost saving compared with manual exchange in all patients with mild iron overload, adults with no iron overload, and children with no iron overload </w:t>
      </w:r>
      <w:r w:rsidR="0051048C">
        <w:t xml:space="preserve">having treatment for the </w:t>
      </w:r>
      <w:r>
        <w:t xml:space="preserve">secondary prevention </w:t>
      </w:r>
      <w:r w:rsidR="0051048C">
        <w:t xml:space="preserve">of stroke </w:t>
      </w:r>
      <w:r>
        <w:t>only.</w:t>
      </w:r>
    </w:p>
    <w:p w:rsidR="00911C2E" w:rsidRDefault="00916188" w:rsidP="00CA1ED0">
      <w:pPr>
        <w:pStyle w:val="Numberedlevel2text"/>
        <w:rPr>
          <w:szCs w:val="24"/>
        </w:rPr>
      </w:pPr>
      <w:r>
        <w:rPr>
          <w:szCs w:val="24"/>
        </w:rPr>
        <w:t>At</w:t>
      </w:r>
      <w:r w:rsidR="00911C2E" w:rsidRPr="00911C2E">
        <w:rPr>
          <w:szCs w:val="24"/>
        </w:rPr>
        <w:t xml:space="preserve"> the </w:t>
      </w:r>
      <w:r w:rsidR="00EE198D">
        <w:rPr>
          <w:szCs w:val="24"/>
        </w:rPr>
        <w:t xml:space="preserve">Committee meeting, the </w:t>
      </w:r>
      <w:r w:rsidR="004E6538">
        <w:rPr>
          <w:szCs w:val="24"/>
        </w:rPr>
        <w:t>External Assessment Centre</w:t>
      </w:r>
      <w:r w:rsidR="00EE198D">
        <w:rPr>
          <w:szCs w:val="24"/>
        </w:rPr>
        <w:t xml:space="preserve"> w</w:t>
      </w:r>
      <w:r w:rsidR="00553056">
        <w:rPr>
          <w:szCs w:val="24"/>
        </w:rPr>
        <w:t>as</w:t>
      </w:r>
      <w:r w:rsidR="00EE198D">
        <w:rPr>
          <w:szCs w:val="24"/>
        </w:rPr>
        <w:t xml:space="preserve"> asked to make some additional changes</w:t>
      </w:r>
      <w:r w:rsidR="00553056">
        <w:rPr>
          <w:szCs w:val="24"/>
        </w:rPr>
        <w:t xml:space="preserve"> to the model</w:t>
      </w:r>
      <w:r w:rsidR="00EE198D">
        <w:rPr>
          <w:szCs w:val="24"/>
        </w:rPr>
        <w:t xml:space="preserve">. </w:t>
      </w:r>
      <w:r w:rsidR="00CA1ED0">
        <w:rPr>
          <w:szCs w:val="24"/>
        </w:rPr>
        <w:t xml:space="preserve">In the company’s model, 90% of patients </w:t>
      </w:r>
      <w:r w:rsidR="00CD1058">
        <w:rPr>
          <w:szCs w:val="24"/>
        </w:rPr>
        <w:t xml:space="preserve">were assumed to have </w:t>
      </w:r>
      <w:r w:rsidR="00CA1ED0">
        <w:rPr>
          <w:szCs w:val="24"/>
        </w:rPr>
        <w:t xml:space="preserve">iron overload when beginning treatment with </w:t>
      </w:r>
      <w:r w:rsidR="00130A69">
        <w:rPr>
          <w:szCs w:val="24"/>
        </w:rPr>
        <w:t>Spectra Optia</w:t>
      </w:r>
      <w:r w:rsidR="00CA1ED0">
        <w:rPr>
          <w:szCs w:val="24"/>
        </w:rPr>
        <w:t xml:space="preserve"> </w:t>
      </w:r>
      <w:r w:rsidR="00CD1058">
        <w:rPr>
          <w:szCs w:val="24"/>
        </w:rPr>
        <w:t xml:space="preserve">(and were therefore receiving chelation therapy) </w:t>
      </w:r>
      <w:r w:rsidR="00CA1ED0">
        <w:rPr>
          <w:szCs w:val="24"/>
        </w:rPr>
        <w:t xml:space="preserve">whereas </w:t>
      </w:r>
      <w:r w:rsidR="00B641B8">
        <w:rPr>
          <w:szCs w:val="24"/>
        </w:rPr>
        <w:t>o</w:t>
      </w:r>
      <w:r w:rsidR="00CA1ED0">
        <w:rPr>
          <w:szCs w:val="24"/>
        </w:rPr>
        <w:t xml:space="preserve">nly 80% </w:t>
      </w:r>
      <w:r w:rsidR="00CD1058">
        <w:rPr>
          <w:szCs w:val="24"/>
        </w:rPr>
        <w:t xml:space="preserve">were </w:t>
      </w:r>
      <w:r w:rsidR="00B641B8">
        <w:rPr>
          <w:szCs w:val="24"/>
        </w:rPr>
        <w:t>when</w:t>
      </w:r>
      <w:r w:rsidR="00CA1ED0">
        <w:rPr>
          <w:szCs w:val="24"/>
        </w:rPr>
        <w:t xml:space="preserve"> beginning manual exchange.</w:t>
      </w:r>
      <w:r>
        <w:rPr>
          <w:szCs w:val="24"/>
        </w:rPr>
        <w:t xml:space="preserve"> </w:t>
      </w:r>
      <w:r w:rsidR="00553056">
        <w:rPr>
          <w:szCs w:val="24"/>
        </w:rPr>
        <w:t>The company provided n</w:t>
      </w:r>
      <w:r>
        <w:rPr>
          <w:szCs w:val="24"/>
        </w:rPr>
        <w:t xml:space="preserve">o rationale for this difference so the </w:t>
      </w:r>
      <w:r w:rsidR="004E6538">
        <w:rPr>
          <w:szCs w:val="24"/>
        </w:rPr>
        <w:t>External Assessment Centre</w:t>
      </w:r>
      <w:r>
        <w:rPr>
          <w:szCs w:val="24"/>
        </w:rPr>
        <w:t xml:space="preserve"> set both starting chelation </w:t>
      </w:r>
      <w:r w:rsidR="00CD1058">
        <w:rPr>
          <w:szCs w:val="24"/>
        </w:rPr>
        <w:t xml:space="preserve">treatment </w:t>
      </w:r>
      <w:r>
        <w:rPr>
          <w:szCs w:val="24"/>
        </w:rPr>
        <w:t xml:space="preserve">rates </w:t>
      </w:r>
      <w:r w:rsidR="00CD1058">
        <w:rPr>
          <w:szCs w:val="24"/>
        </w:rPr>
        <w:t xml:space="preserve">at </w:t>
      </w:r>
      <w:r>
        <w:rPr>
          <w:szCs w:val="24"/>
        </w:rPr>
        <w:t>90%.</w:t>
      </w:r>
    </w:p>
    <w:p w:rsidR="00E10692" w:rsidRPr="00362DAF" w:rsidRDefault="00916188" w:rsidP="00911C2E">
      <w:pPr>
        <w:pStyle w:val="Numberedlevel2text"/>
        <w:rPr>
          <w:szCs w:val="24"/>
        </w:rPr>
      </w:pPr>
      <w:r w:rsidRPr="00362DAF">
        <w:t>Following discussion</w:t>
      </w:r>
      <w:r w:rsidR="00446505" w:rsidRPr="00362DAF">
        <w:t xml:space="preserve"> </w:t>
      </w:r>
      <w:r w:rsidR="00CD1058" w:rsidRPr="00362DAF">
        <w:t xml:space="preserve">about </w:t>
      </w:r>
      <w:r w:rsidRPr="00362DAF">
        <w:t xml:space="preserve">the </w:t>
      </w:r>
      <w:r w:rsidR="00BE3E13" w:rsidRPr="00362DAF">
        <w:t xml:space="preserve">availability of </w:t>
      </w:r>
      <w:r w:rsidR="00130A69" w:rsidRPr="00362DAF">
        <w:t>Spectra Optia</w:t>
      </w:r>
      <w:r w:rsidR="00553056" w:rsidRPr="00362DAF">
        <w:t xml:space="preserve">, </w:t>
      </w:r>
      <w:r w:rsidRPr="00362DAF">
        <w:t xml:space="preserve">the Committee decided that it would be most helpful if the </w:t>
      </w:r>
      <w:r w:rsidR="00553056" w:rsidRPr="00362DAF">
        <w:t xml:space="preserve">cost modelling </w:t>
      </w:r>
      <w:r w:rsidRPr="00362DAF">
        <w:t xml:space="preserve">could </w:t>
      </w:r>
      <w:r w:rsidR="00E10692" w:rsidRPr="00362DAF">
        <w:t xml:space="preserve">include </w:t>
      </w:r>
      <w:r w:rsidRPr="00362DAF">
        <w:t xml:space="preserve">a range of scenarios </w:t>
      </w:r>
      <w:r w:rsidR="00CD1058" w:rsidRPr="00362DAF">
        <w:t>reflecting</w:t>
      </w:r>
      <w:r w:rsidRPr="00362DAF">
        <w:t xml:space="preserve"> device</w:t>
      </w:r>
      <w:r w:rsidR="00E10692" w:rsidRPr="00362DAF">
        <w:t>-</w:t>
      </w:r>
      <w:r w:rsidRPr="00362DAF">
        <w:t>sharing schemes</w:t>
      </w:r>
      <w:r w:rsidR="00E10692" w:rsidRPr="00362DAF">
        <w:t>. The External Assessment Centre included s</w:t>
      </w:r>
      <w:r w:rsidRPr="00362DAF">
        <w:t xml:space="preserve">cenarios for 30 patients using the device at 100% </w:t>
      </w:r>
      <w:r w:rsidR="00E10692" w:rsidRPr="00362DAF">
        <w:t>capacity (and so 100% of</w:t>
      </w:r>
      <w:r w:rsidRPr="00362DAF">
        <w:t xml:space="preserve"> its capital cost</w:t>
      </w:r>
      <w:r w:rsidR="00E10692" w:rsidRPr="00362DAF">
        <w:t>)</w:t>
      </w:r>
      <w:r w:rsidRPr="00362DAF">
        <w:t>, 50%</w:t>
      </w:r>
      <w:r w:rsidR="00E10692" w:rsidRPr="00362DAF">
        <w:t xml:space="preserve"> capacity</w:t>
      </w:r>
      <w:r w:rsidRPr="00362DAF">
        <w:t xml:space="preserve"> and 0% </w:t>
      </w:r>
      <w:r w:rsidR="00E10692" w:rsidRPr="00362DAF">
        <w:t>capacity (</w:t>
      </w:r>
      <w:r w:rsidRPr="00362DAF">
        <w:t xml:space="preserve">for </w:t>
      </w:r>
      <w:proofErr w:type="spellStart"/>
      <w:r w:rsidRPr="00362DAF">
        <w:t>centres</w:t>
      </w:r>
      <w:proofErr w:type="spellEnd"/>
      <w:r w:rsidRPr="00362DAF">
        <w:t xml:space="preserve"> that already have the device but do not u</w:t>
      </w:r>
      <w:r w:rsidR="00E10692" w:rsidRPr="00362DAF">
        <w:t>se</w:t>
      </w:r>
      <w:r w:rsidRPr="00362DAF">
        <w:t xml:space="preserve"> it for red blood cell exchange</w:t>
      </w:r>
      <w:r w:rsidR="00E10692" w:rsidRPr="00362DAF">
        <w:t>)</w:t>
      </w:r>
      <w:r w:rsidRPr="00362DAF">
        <w:t>.</w:t>
      </w:r>
      <w:r w:rsidR="00362DAF" w:rsidRPr="00362DAF">
        <w:t xml:space="preserve"> </w:t>
      </w:r>
      <w:r w:rsidR="00362DAF" w:rsidRPr="00362DAF">
        <w:rPr>
          <w:szCs w:val="24"/>
        </w:rPr>
        <w:t xml:space="preserve">From </w:t>
      </w:r>
      <w:r w:rsidR="00E10692" w:rsidRPr="00362DAF">
        <w:rPr>
          <w:szCs w:val="24"/>
        </w:rPr>
        <w:t xml:space="preserve">the External Assessment Centre’s </w:t>
      </w:r>
      <w:r w:rsidR="00362DAF" w:rsidRPr="00362DAF">
        <w:rPr>
          <w:szCs w:val="24"/>
        </w:rPr>
        <w:lastRenderedPageBreak/>
        <w:t xml:space="preserve">subsequent </w:t>
      </w:r>
      <w:r w:rsidR="00CD1058" w:rsidRPr="00362DAF">
        <w:rPr>
          <w:szCs w:val="24"/>
        </w:rPr>
        <w:t>changes</w:t>
      </w:r>
      <w:r w:rsidR="00362DAF" w:rsidRPr="00362DAF">
        <w:rPr>
          <w:szCs w:val="24"/>
        </w:rPr>
        <w:t xml:space="preserve"> to the model</w:t>
      </w:r>
      <w:r w:rsidR="00362DAF">
        <w:rPr>
          <w:szCs w:val="24"/>
        </w:rPr>
        <w:t xml:space="preserve">, it can be concluded </w:t>
      </w:r>
      <w:r w:rsidR="00CD1058" w:rsidRPr="00362DAF">
        <w:rPr>
          <w:szCs w:val="24"/>
        </w:rPr>
        <w:t>that</w:t>
      </w:r>
      <w:r w:rsidR="00E10692" w:rsidRPr="00362DAF">
        <w:rPr>
          <w:szCs w:val="24"/>
        </w:rPr>
        <w:t xml:space="preserve"> </w:t>
      </w:r>
      <w:r w:rsidR="00130A69" w:rsidRPr="00362DAF">
        <w:rPr>
          <w:szCs w:val="24"/>
        </w:rPr>
        <w:t>Spectra Optia</w:t>
      </w:r>
      <w:r w:rsidR="007248FE" w:rsidRPr="00362DAF">
        <w:rPr>
          <w:szCs w:val="24"/>
        </w:rPr>
        <w:t xml:space="preserve"> is cost saving </w:t>
      </w:r>
      <w:r w:rsidR="001B7724" w:rsidRPr="00362DAF">
        <w:rPr>
          <w:szCs w:val="24"/>
        </w:rPr>
        <w:t>in the following scenarios:</w:t>
      </w:r>
      <w:r w:rsidR="007248FE" w:rsidRPr="00362DAF">
        <w:rPr>
          <w:szCs w:val="24"/>
        </w:rPr>
        <w:t xml:space="preserve"> </w:t>
      </w:r>
    </w:p>
    <w:p w:rsidR="00E10692" w:rsidRDefault="007248FE" w:rsidP="00AE1145">
      <w:pPr>
        <w:pStyle w:val="Bulletindent1"/>
      </w:pPr>
      <w:r>
        <w:t xml:space="preserve">0% capital cost attributed to </w:t>
      </w:r>
      <w:r w:rsidR="0086519D">
        <w:t>sickle cell disease</w:t>
      </w:r>
      <w:r w:rsidR="00E10692">
        <w:t xml:space="preserve">: </w:t>
      </w:r>
      <w:r w:rsidR="00130A69">
        <w:t>Spectra Optia</w:t>
      </w:r>
      <w:r w:rsidR="00E10692">
        <w:t xml:space="preserve"> is </w:t>
      </w:r>
      <w:r>
        <w:t xml:space="preserve">cost saving in all patients except </w:t>
      </w:r>
      <w:r w:rsidR="00557805">
        <w:t>when</w:t>
      </w:r>
      <w:r w:rsidR="001B7724">
        <w:t xml:space="preserve"> </w:t>
      </w:r>
      <w:r w:rsidR="00E10692">
        <w:t>compared with</w:t>
      </w:r>
      <w:r>
        <w:t xml:space="preserve"> top-up transfusion in </w:t>
      </w:r>
      <w:r w:rsidR="00E10692">
        <w:t xml:space="preserve">patients with </w:t>
      </w:r>
      <w:r>
        <w:t>severe iron overload</w:t>
      </w:r>
      <w:r w:rsidR="00E10692">
        <w:t>, and transfusion for preventing stroke in children with moderate iron</w:t>
      </w:r>
      <w:r>
        <w:t xml:space="preserve"> overload</w:t>
      </w:r>
      <w:r w:rsidR="00E10692">
        <w:t xml:space="preserve">. </w:t>
      </w:r>
    </w:p>
    <w:p w:rsidR="00E10692" w:rsidRDefault="007248FE" w:rsidP="00AE1145">
      <w:pPr>
        <w:pStyle w:val="Bulletindent1"/>
      </w:pPr>
      <w:r>
        <w:t xml:space="preserve">50% capital cost </w:t>
      </w:r>
      <w:r w:rsidR="00E10692">
        <w:t xml:space="preserve">attributed to </w:t>
      </w:r>
      <w:r w:rsidR="0086519D">
        <w:t>sickle cell disease</w:t>
      </w:r>
      <w:r w:rsidR="00E10692">
        <w:t xml:space="preserve">: </w:t>
      </w:r>
      <w:r w:rsidR="00130A69">
        <w:t>Spectra Optia</w:t>
      </w:r>
      <w:r w:rsidR="00E10692">
        <w:t xml:space="preserve"> </w:t>
      </w:r>
      <w:r>
        <w:t xml:space="preserve">is cost saving in all </w:t>
      </w:r>
      <w:r w:rsidR="00E10692">
        <w:t xml:space="preserve">patients with no or mild iron overload, and in </w:t>
      </w:r>
      <w:r>
        <w:t>some</w:t>
      </w:r>
      <w:r w:rsidR="00E10692">
        <w:t xml:space="preserve"> patients with</w:t>
      </w:r>
      <w:r>
        <w:t xml:space="preserve"> moderate and severe</w:t>
      </w:r>
      <w:r w:rsidR="00E10692">
        <w:t xml:space="preserve"> iron</w:t>
      </w:r>
      <w:r>
        <w:t xml:space="preserve"> overload. </w:t>
      </w:r>
    </w:p>
    <w:p w:rsidR="00916188" w:rsidRDefault="007248FE" w:rsidP="00AE1145">
      <w:pPr>
        <w:pStyle w:val="Bulletindent1"/>
      </w:pPr>
      <w:r>
        <w:t xml:space="preserve">100% </w:t>
      </w:r>
      <w:r w:rsidR="00E10692">
        <w:t xml:space="preserve">capital cost attributed to </w:t>
      </w:r>
      <w:r w:rsidR="0086519D">
        <w:t>sickle cell disease</w:t>
      </w:r>
      <w:r w:rsidR="00E10692">
        <w:t xml:space="preserve">: </w:t>
      </w:r>
      <w:r w:rsidR="00130A69">
        <w:t>Spectra Optia</w:t>
      </w:r>
      <w:r w:rsidR="00E10692">
        <w:t xml:space="preserve"> </w:t>
      </w:r>
      <w:r>
        <w:t xml:space="preserve">is cost saving in all </w:t>
      </w:r>
      <w:r w:rsidR="00E10692">
        <w:t xml:space="preserve">patients with </w:t>
      </w:r>
      <w:r>
        <w:t>mild</w:t>
      </w:r>
      <w:r w:rsidR="00E10692">
        <w:t xml:space="preserve"> iron </w:t>
      </w:r>
      <w:r>
        <w:t>overload</w:t>
      </w:r>
      <w:r w:rsidR="00E10692">
        <w:t xml:space="preserve">, in </w:t>
      </w:r>
      <w:r>
        <w:t xml:space="preserve">some patients with no </w:t>
      </w:r>
      <w:r w:rsidR="00E10692">
        <w:t xml:space="preserve">iron </w:t>
      </w:r>
      <w:r>
        <w:t>overload</w:t>
      </w:r>
      <w:r w:rsidR="00E10692">
        <w:t>,</w:t>
      </w:r>
      <w:r>
        <w:t xml:space="preserve"> and </w:t>
      </w:r>
      <w:r w:rsidR="00E10692">
        <w:t xml:space="preserve">in adults with </w:t>
      </w:r>
      <w:r>
        <w:t>moderate</w:t>
      </w:r>
      <w:r w:rsidR="00E10692">
        <w:t xml:space="preserve"> iron</w:t>
      </w:r>
      <w:r>
        <w:t xml:space="preserve"> overload. These results are summari</w:t>
      </w:r>
      <w:r w:rsidR="00FB1520">
        <w:t>s</w:t>
      </w:r>
      <w:r>
        <w:t>ed in the table</w:t>
      </w:r>
      <w:r w:rsidR="00321DE0">
        <w:t>s</w:t>
      </w:r>
      <w:r>
        <w:t xml:space="preserve"> below.</w:t>
      </w:r>
    </w:p>
    <w:p w:rsidR="007248FE" w:rsidRDefault="007B49E0" w:rsidP="006D1BF0">
      <w:pPr>
        <w:pStyle w:val="Heading3"/>
      </w:pPr>
      <w:r>
        <w:t xml:space="preserve">Table </w:t>
      </w:r>
      <w:r w:rsidR="00FB1520">
        <w:t>2</w:t>
      </w:r>
      <w:r w:rsidR="001B7724">
        <w:t>a</w:t>
      </w:r>
      <w:r>
        <w:t xml:space="preserve">: </w:t>
      </w:r>
      <w:r w:rsidR="00E10692">
        <w:t>External Assessment Centre’s revis</w:t>
      </w:r>
      <w:r w:rsidR="00AE1163">
        <w:t>ions to base case</w:t>
      </w:r>
      <w:r w:rsidR="001B7724">
        <w:t xml:space="preserve"> (automated vs manual)</w:t>
      </w:r>
    </w:p>
    <w:tbl>
      <w:tblPr>
        <w:tblStyle w:val="TableGrid"/>
        <w:tblW w:w="0" w:type="auto"/>
        <w:tblLayout w:type="fixed"/>
        <w:tblLook w:val="04A0" w:firstRow="1" w:lastRow="0" w:firstColumn="1" w:lastColumn="0" w:noHBand="0" w:noVBand="1"/>
      </w:tblPr>
      <w:tblGrid>
        <w:gridCol w:w="1694"/>
        <w:gridCol w:w="1694"/>
        <w:gridCol w:w="1695"/>
        <w:gridCol w:w="1694"/>
        <w:gridCol w:w="1695"/>
      </w:tblGrid>
      <w:tr w:rsidR="009C16BE" w:rsidRPr="005A66B1" w:rsidTr="00216061">
        <w:tc>
          <w:tcPr>
            <w:tcW w:w="1694" w:type="dxa"/>
            <w:shd w:val="clear" w:color="auto" w:fill="BFBFBF" w:themeFill="background1" w:themeFillShade="BF"/>
            <w:vAlign w:val="center"/>
          </w:tcPr>
          <w:p w:rsidR="009C16BE" w:rsidRPr="005A66B1" w:rsidRDefault="009C16BE" w:rsidP="005A66B1">
            <w:pPr>
              <w:pStyle w:val="NICEnormal"/>
              <w:spacing w:after="0" w:line="240" w:lineRule="auto"/>
              <w:rPr>
                <w:rFonts w:cs="Arial"/>
                <w:b/>
                <w:sz w:val="20"/>
                <w:szCs w:val="20"/>
              </w:rPr>
            </w:pPr>
            <w:r w:rsidRPr="005A66B1">
              <w:rPr>
                <w:rFonts w:cs="Arial"/>
                <w:b/>
                <w:sz w:val="20"/>
                <w:szCs w:val="20"/>
              </w:rPr>
              <w:t>Population</w:t>
            </w:r>
          </w:p>
        </w:tc>
        <w:tc>
          <w:tcPr>
            <w:tcW w:w="1694" w:type="dxa"/>
            <w:shd w:val="clear" w:color="auto" w:fill="BFBFBF" w:themeFill="background1" w:themeFillShade="BF"/>
            <w:vAlign w:val="center"/>
          </w:tcPr>
          <w:p w:rsidR="009C16BE" w:rsidRPr="005A66B1" w:rsidRDefault="009C16BE" w:rsidP="005A66B1">
            <w:pPr>
              <w:pStyle w:val="NICEnormal"/>
              <w:spacing w:after="0" w:line="240" w:lineRule="auto"/>
              <w:rPr>
                <w:rFonts w:cs="Arial"/>
                <w:b/>
                <w:sz w:val="20"/>
                <w:szCs w:val="20"/>
              </w:rPr>
            </w:pPr>
            <w:r w:rsidRPr="005A66B1">
              <w:rPr>
                <w:rFonts w:cs="Arial"/>
                <w:b/>
                <w:sz w:val="20"/>
                <w:szCs w:val="20"/>
              </w:rPr>
              <w:t>No overload</w:t>
            </w:r>
          </w:p>
        </w:tc>
        <w:tc>
          <w:tcPr>
            <w:tcW w:w="1695" w:type="dxa"/>
            <w:shd w:val="clear" w:color="auto" w:fill="BFBFBF" w:themeFill="background1" w:themeFillShade="BF"/>
            <w:vAlign w:val="center"/>
          </w:tcPr>
          <w:p w:rsidR="009C16BE" w:rsidRPr="005A66B1" w:rsidRDefault="009C16BE" w:rsidP="005A66B1">
            <w:pPr>
              <w:pStyle w:val="NICEnormal"/>
              <w:spacing w:after="0" w:line="240" w:lineRule="auto"/>
              <w:rPr>
                <w:rFonts w:cs="Arial"/>
                <w:b/>
                <w:sz w:val="20"/>
                <w:szCs w:val="20"/>
              </w:rPr>
            </w:pPr>
            <w:r w:rsidRPr="005A66B1">
              <w:rPr>
                <w:rFonts w:cs="Arial"/>
                <w:b/>
                <w:sz w:val="20"/>
                <w:szCs w:val="20"/>
              </w:rPr>
              <w:t>Mild overload</w:t>
            </w:r>
          </w:p>
        </w:tc>
        <w:tc>
          <w:tcPr>
            <w:tcW w:w="1694" w:type="dxa"/>
            <w:shd w:val="clear" w:color="auto" w:fill="BFBFBF" w:themeFill="background1" w:themeFillShade="BF"/>
            <w:vAlign w:val="center"/>
          </w:tcPr>
          <w:p w:rsidR="009C16BE" w:rsidRPr="005A66B1" w:rsidRDefault="009C16BE" w:rsidP="005A66B1">
            <w:pPr>
              <w:pStyle w:val="NICEnormal"/>
              <w:spacing w:after="0" w:line="240" w:lineRule="auto"/>
              <w:rPr>
                <w:rFonts w:cs="Arial"/>
                <w:b/>
                <w:sz w:val="20"/>
                <w:szCs w:val="20"/>
              </w:rPr>
            </w:pPr>
            <w:r w:rsidRPr="005A66B1">
              <w:rPr>
                <w:rFonts w:cs="Arial"/>
                <w:b/>
                <w:sz w:val="20"/>
                <w:szCs w:val="20"/>
              </w:rPr>
              <w:t>Moderate overload</w:t>
            </w:r>
          </w:p>
        </w:tc>
        <w:tc>
          <w:tcPr>
            <w:tcW w:w="1695" w:type="dxa"/>
            <w:shd w:val="clear" w:color="auto" w:fill="BFBFBF" w:themeFill="background1" w:themeFillShade="BF"/>
            <w:vAlign w:val="center"/>
          </w:tcPr>
          <w:p w:rsidR="009C16BE" w:rsidRPr="005A66B1" w:rsidRDefault="009C16BE" w:rsidP="005A66B1">
            <w:pPr>
              <w:pStyle w:val="NICEnormal"/>
              <w:spacing w:after="0" w:line="240" w:lineRule="auto"/>
              <w:rPr>
                <w:rFonts w:cs="Arial"/>
                <w:b/>
                <w:sz w:val="20"/>
                <w:szCs w:val="20"/>
              </w:rPr>
            </w:pPr>
            <w:r w:rsidRPr="005A66B1">
              <w:rPr>
                <w:rFonts w:cs="Arial"/>
                <w:b/>
                <w:sz w:val="20"/>
                <w:szCs w:val="20"/>
              </w:rPr>
              <w:t>Severe overload</w:t>
            </w:r>
          </w:p>
        </w:tc>
      </w:tr>
      <w:tr w:rsidR="005A66B1" w:rsidRPr="005A66B1" w:rsidTr="00216061">
        <w:tc>
          <w:tcPr>
            <w:tcW w:w="8472" w:type="dxa"/>
            <w:gridSpan w:val="5"/>
            <w:shd w:val="clear" w:color="auto" w:fill="808080" w:themeFill="background1" w:themeFillShade="80"/>
            <w:vAlign w:val="center"/>
          </w:tcPr>
          <w:p w:rsidR="005A66B1" w:rsidRPr="005A66B1" w:rsidRDefault="00E10692" w:rsidP="00E10692">
            <w:pPr>
              <w:pStyle w:val="NICEnormal"/>
              <w:spacing w:after="0" w:line="240" w:lineRule="auto"/>
              <w:jc w:val="center"/>
              <w:rPr>
                <w:rFonts w:cs="Arial"/>
                <w:b/>
                <w:sz w:val="20"/>
                <w:szCs w:val="20"/>
              </w:rPr>
            </w:pPr>
            <w:r>
              <w:rPr>
                <w:rFonts w:cs="Arial"/>
                <w:b/>
                <w:color w:val="FFFFFF" w:themeColor="background1"/>
                <w:sz w:val="20"/>
                <w:szCs w:val="20"/>
              </w:rPr>
              <w:t>0%</w:t>
            </w:r>
            <w:r w:rsidR="005A66B1" w:rsidRPr="00690582">
              <w:rPr>
                <w:rFonts w:cs="Arial"/>
                <w:b/>
                <w:color w:val="FFFFFF" w:themeColor="background1"/>
                <w:sz w:val="20"/>
                <w:szCs w:val="20"/>
              </w:rPr>
              <w:t xml:space="preserve"> capital costs</w:t>
            </w:r>
            <w:r>
              <w:rPr>
                <w:rFonts w:cs="Arial"/>
                <w:b/>
                <w:color w:val="FFFFFF" w:themeColor="background1"/>
                <w:sz w:val="20"/>
                <w:szCs w:val="20"/>
              </w:rPr>
              <w:t xml:space="preserve"> for SCD</w:t>
            </w:r>
          </w:p>
        </w:tc>
      </w:tr>
      <w:tr w:rsidR="009C16BE" w:rsidRPr="005A66B1" w:rsidTr="00216061">
        <w:tc>
          <w:tcPr>
            <w:tcW w:w="1694" w:type="dxa"/>
            <w:shd w:val="clear" w:color="auto" w:fill="BFBFBF" w:themeFill="background1" w:themeFillShade="BF"/>
            <w:vAlign w:val="center"/>
          </w:tcPr>
          <w:p w:rsidR="009C16BE" w:rsidRPr="005A66B1" w:rsidRDefault="009C16BE" w:rsidP="005A66B1">
            <w:pPr>
              <w:rPr>
                <w:rFonts w:ascii="Arial" w:hAnsi="Arial" w:cs="Arial"/>
                <w:sz w:val="20"/>
                <w:szCs w:val="20"/>
              </w:rPr>
            </w:pPr>
            <w:r w:rsidRPr="005A66B1">
              <w:rPr>
                <w:rFonts w:ascii="Arial" w:hAnsi="Arial" w:cs="Arial"/>
                <w:sz w:val="20"/>
                <w:szCs w:val="20"/>
              </w:rPr>
              <w:t>Adults</w:t>
            </w:r>
          </w:p>
        </w:tc>
        <w:tc>
          <w:tcPr>
            <w:tcW w:w="1694" w:type="dxa"/>
            <w:shd w:val="clear" w:color="auto" w:fill="auto"/>
            <w:vAlign w:val="center"/>
          </w:tcPr>
          <w:p w:rsidR="009C16BE" w:rsidRPr="005A66B1" w:rsidRDefault="009C16BE" w:rsidP="00E10692">
            <w:pPr>
              <w:rPr>
                <w:rFonts w:ascii="Arial" w:hAnsi="Arial" w:cs="Arial"/>
                <w:sz w:val="20"/>
                <w:szCs w:val="20"/>
              </w:rPr>
            </w:pPr>
            <w:r>
              <w:rPr>
                <w:rFonts w:ascii="Arial" w:hAnsi="Arial" w:cs="Arial"/>
                <w:sz w:val="20"/>
                <w:szCs w:val="20"/>
              </w:rPr>
              <w:t>−</w:t>
            </w:r>
            <w:r w:rsidRPr="005A66B1">
              <w:rPr>
                <w:rFonts w:ascii="Arial" w:hAnsi="Arial" w:cs="Arial"/>
                <w:sz w:val="20"/>
                <w:szCs w:val="20"/>
              </w:rPr>
              <w:t>£25,011</w:t>
            </w:r>
          </w:p>
        </w:tc>
        <w:tc>
          <w:tcPr>
            <w:tcW w:w="1695" w:type="dxa"/>
            <w:shd w:val="clear" w:color="auto" w:fill="auto"/>
            <w:vAlign w:val="center"/>
          </w:tcPr>
          <w:p w:rsidR="009C16BE" w:rsidRPr="005A66B1" w:rsidRDefault="009C16BE" w:rsidP="005A66B1">
            <w:pPr>
              <w:rPr>
                <w:rFonts w:ascii="Arial" w:hAnsi="Arial" w:cs="Arial"/>
                <w:sz w:val="20"/>
                <w:szCs w:val="20"/>
              </w:rPr>
            </w:pPr>
            <w:r>
              <w:rPr>
                <w:rFonts w:ascii="Arial" w:hAnsi="Arial" w:cs="Arial"/>
                <w:sz w:val="20"/>
                <w:szCs w:val="20"/>
              </w:rPr>
              <w:t>−</w:t>
            </w:r>
            <w:r w:rsidRPr="005A66B1">
              <w:rPr>
                <w:rFonts w:ascii="Arial" w:hAnsi="Arial" w:cs="Arial"/>
                <w:sz w:val="20"/>
                <w:szCs w:val="20"/>
              </w:rPr>
              <w:t>£96,512</w:t>
            </w:r>
          </w:p>
        </w:tc>
        <w:tc>
          <w:tcPr>
            <w:tcW w:w="1694" w:type="dxa"/>
            <w:shd w:val="clear" w:color="auto" w:fill="auto"/>
            <w:vAlign w:val="center"/>
          </w:tcPr>
          <w:p w:rsidR="009C16BE" w:rsidRPr="005A66B1" w:rsidRDefault="009C16BE" w:rsidP="005A66B1">
            <w:pPr>
              <w:rPr>
                <w:rFonts w:ascii="Arial" w:hAnsi="Arial" w:cs="Arial"/>
                <w:sz w:val="20"/>
                <w:szCs w:val="20"/>
              </w:rPr>
            </w:pPr>
            <w:r>
              <w:rPr>
                <w:rFonts w:ascii="Arial" w:hAnsi="Arial" w:cs="Arial"/>
                <w:sz w:val="20"/>
                <w:szCs w:val="20"/>
              </w:rPr>
              <w:t>−</w:t>
            </w:r>
            <w:r w:rsidRPr="005A66B1">
              <w:rPr>
                <w:rFonts w:ascii="Arial" w:hAnsi="Arial" w:cs="Arial"/>
                <w:sz w:val="20"/>
                <w:szCs w:val="20"/>
              </w:rPr>
              <w:t>£24,874</w:t>
            </w:r>
          </w:p>
        </w:tc>
        <w:tc>
          <w:tcPr>
            <w:tcW w:w="1695" w:type="dxa"/>
            <w:shd w:val="clear" w:color="auto" w:fill="auto"/>
            <w:vAlign w:val="center"/>
          </w:tcPr>
          <w:p w:rsidR="009C16BE" w:rsidRPr="005A66B1" w:rsidRDefault="009C16BE" w:rsidP="005A66B1">
            <w:pPr>
              <w:rPr>
                <w:rFonts w:ascii="Arial" w:hAnsi="Arial" w:cs="Arial"/>
                <w:sz w:val="20"/>
                <w:szCs w:val="20"/>
              </w:rPr>
            </w:pPr>
            <w:r>
              <w:rPr>
                <w:rFonts w:ascii="Arial" w:hAnsi="Arial" w:cs="Arial"/>
                <w:sz w:val="20"/>
                <w:szCs w:val="20"/>
              </w:rPr>
              <w:t>−</w:t>
            </w:r>
            <w:r w:rsidRPr="005A66B1">
              <w:rPr>
                <w:rFonts w:ascii="Arial" w:hAnsi="Arial" w:cs="Arial"/>
                <w:sz w:val="20"/>
                <w:szCs w:val="20"/>
              </w:rPr>
              <w:t>£10,867</w:t>
            </w:r>
          </w:p>
        </w:tc>
      </w:tr>
      <w:tr w:rsidR="009C16BE" w:rsidRPr="005A66B1" w:rsidTr="00216061">
        <w:tc>
          <w:tcPr>
            <w:tcW w:w="1694" w:type="dxa"/>
            <w:shd w:val="clear" w:color="auto" w:fill="BFBFBF" w:themeFill="background1" w:themeFillShade="BF"/>
            <w:vAlign w:val="center"/>
          </w:tcPr>
          <w:p w:rsidR="009C16BE" w:rsidRPr="005A66B1" w:rsidRDefault="009C16BE" w:rsidP="00690582">
            <w:pPr>
              <w:rPr>
                <w:rFonts w:ascii="Arial" w:hAnsi="Arial" w:cs="Arial"/>
                <w:sz w:val="20"/>
                <w:szCs w:val="20"/>
              </w:rPr>
            </w:pPr>
            <w:r>
              <w:rPr>
                <w:rFonts w:ascii="Arial" w:hAnsi="Arial" w:cs="Arial"/>
                <w:sz w:val="20"/>
                <w:szCs w:val="20"/>
              </w:rPr>
              <w:t>Children</w:t>
            </w:r>
            <w:r w:rsidRPr="005A66B1">
              <w:rPr>
                <w:rFonts w:ascii="Arial" w:hAnsi="Arial" w:cs="Arial"/>
                <w:sz w:val="20"/>
                <w:szCs w:val="20"/>
              </w:rPr>
              <w:t xml:space="preserve"> (</w:t>
            </w:r>
            <w:r>
              <w:rPr>
                <w:rFonts w:ascii="Arial" w:hAnsi="Arial" w:cs="Arial"/>
                <w:sz w:val="20"/>
                <w:szCs w:val="20"/>
              </w:rPr>
              <w:t>2° prevention</w:t>
            </w:r>
            <w:r w:rsidRPr="005A66B1">
              <w:rPr>
                <w:rFonts w:ascii="Arial" w:hAnsi="Arial" w:cs="Arial"/>
                <w:sz w:val="20"/>
                <w:szCs w:val="20"/>
              </w:rPr>
              <w:t>)</w:t>
            </w:r>
          </w:p>
        </w:tc>
        <w:tc>
          <w:tcPr>
            <w:tcW w:w="1694" w:type="dxa"/>
            <w:shd w:val="clear" w:color="auto" w:fill="auto"/>
            <w:vAlign w:val="center"/>
          </w:tcPr>
          <w:p w:rsidR="009C16BE" w:rsidRPr="005A66B1" w:rsidRDefault="009C16BE" w:rsidP="005A66B1">
            <w:pPr>
              <w:rPr>
                <w:rFonts w:ascii="Arial" w:hAnsi="Arial" w:cs="Arial"/>
                <w:sz w:val="20"/>
                <w:szCs w:val="20"/>
              </w:rPr>
            </w:pPr>
            <w:r>
              <w:rPr>
                <w:rFonts w:ascii="Arial" w:hAnsi="Arial" w:cs="Arial"/>
                <w:sz w:val="20"/>
                <w:szCs w:val="20"/>
              </w:rPr>
              <w:t>−</w:t>
            </w:r>
            <w:r w:rsidRPr="005A66B1">
              <w:rPr>
                <w:rFonts w:ascii="Arial" w:hAnsi="Arial" w:cs="Arial"/>
                <w:sz w:val="20"/>
                <w:szCs w:val="20"/>
              </w:rPr>
              <w:t>£12,439</w:t>
            </w:r>
          </w:p>
        </w:tc>
        <w:tc>
          <w:tcPr>
            <w:tcW w:w="1695" w:type="dxa"/>
            <w:shd w:val="clear" w:color="auto" w:fill="auto"/>
            <w:vAlign w:val="center"/>
          </w:tcPr>
          <w:p w:rsidR="009C16BE" w:rsidRPr="005A66B1" w:rsidRDefault="009C16BE" w:rsidP="005A66B1">
            <w:pPr>
              <w:rPr>
                <w:rFonts w:ascii="Arial" w:hAnsi="Arial" w:cs="Arial"/>
                <w:sz w:val="20"/>
                <w:szCs w:val="20"/>
              </w:rPr>
            </w:pPr>
            <w:r>
              <w:rPr>
                <w:rFonts w:ascii="Arial" w:hAnsi="Arial" w:cs="Arial"/>
                <w:sz w:val="20"/>
                <w:szCs w:val="20"/>
              </w:rPr>
              <w:t>−</w:t>
            </w:r>
            <w:r w:rsidRPr="005A66B1">
              <w:rPr>
                <w:rFonts w:ascii="Arial" w:hAnsi="Arial" w:cs="Arial"/>
                <w:sz w:val="20"/>
                <w:szCs w:val="20"/>
              </w:rPr>
              <w:t>£46,294</w:t>
            </w:r>
          </w:p>
        </w:tc>
        <w:tc>
          <w:tcPr>
            <w:tcW w:w="1694" w:type="dxa"/>
            <w:shd w:val="clear" w:color="auto" w:fill="auto"/>
            <w:vAlign w:val="center"/>
          </w:tcPr>
          <w:p w:rsidR="009C16BE" w:rsidRPr="005A66B1" w:rsidRDefault="009C16BE" w:rsidP="005A66B1">
            <w:pPr>
              <w:rPr>
                <w:rFonts w:ascii="Arial" w:hAnsi="Arial" w:cs="Arial"/>
                <w:sz w:val="20"/>
                <w:szCs w:val="20"/>
              </w:rPr>
            </w:pPr>
            <w:r>
              <w:rPr>
                <w:rFonts w:ascii="Arial" w:hAnsi="Arial" w:cs="Arial"/>
                <w:sz w:val="20"/>
                <w:szCs w:val="20"/>
              </w:rPr>
              <w:t>−</w:t>
            </w:r>
            <w:r w:rsidRPr="005A66B1">
              <w:rPr>
                <w:rFonts w:ascii="Arial" w:hAnsi="Arial" w:cs="Arial"/>
                <w:sz w:val="20"/>
                <w:szCs w:val="20"/>
              </w:rPr>
              <w:t>£12,374</w:t>
            </w:r>
          </w:p>
        </w:tc>
        <w:tc>
          <w:tcPr>
            <w:tcW w:w="1695" w:type="dxa"/>
            <w:shd w:val="clear" w:color="auto" w:fill="auto"/>
            <w:vAlign w:val="center"/>
          </w:tcPr>
          <w:p w:rsidR="009C16BE" w:rsidRPr="005A66B1" w:rsidRDefault="009C16BE" w:rsidP="005A66B1">
            <w:pPr>
              <w:rPr>
                <w:rFonts w:ascii="Arial" w:hAnsi="Arial" w:cs="Arial"/>
                <w:sz w:val="20"/>
                <w:szCs w:val="20"/>
              </w:rPr>
            </w:pPr>
            <w:r>
              <w:rPr>
                <w:rFonts w:ascii="Arial" w:hAnsi="Arial" w:cs="Arial"/>
                <w:sz w:val="20"/>
                <w:szCs w:val="20"/>
              </w:rPr>
              <w:t>−</w:t>
            </w:r>
            <w:r w:rsidRPr="005A66B1">
              <w:rPr>
                <w:rFonts w:ascii="Arial" w:hAnsi="Arial" w:cs="Arial"/>
                <w:sz w:val="20"/>
                <w:szCs w:val="20"/>
              </w:rPr>
              <w:t>£5,742</w:t>
            </w:r>
          </w:p>
        </w:tc>
      </w:tr>
      <w:tr w:rsidR="009C16BE" w:rsidRPr="005A66B1" w:rsidTr="00216061">
        <w:tc>
          <w:tcPr>
            <w:tcW w:w="1694" w:type="dxa"/>
            <w:shd w:val="clear" w:color="auto" w:fill="BFBFBF" w:themeFill="background1" w:themeFillShade="BF"/>
            <w:vAlign w:val="center"/>
          </w:tcPr>
          <w:p w:rsidR="009C16BE" w:rsidRPr="005A66B1" w:rsidRDefault="009C16BE" w:rsidP="00690582">
            <w:pPr>
              <w:rPr>
                <w:rFonts w:ascii="Arial" w:hAnsi="Arial" w:cs="Arial"/>
                <w:sz w:val="20"/>
                <w:szCs w:val="20"/>
              </w:rPr>
            </w:pPr>
            <w:r>
              <w:rPr>
                <w:rFonts w:ascii="Arial" w:hAnsi="Arial" w:cs="Arial"/>
                <w:sz w:val="20"/>
                <w:szCs w:val="20"/>
              </w:rPr>
              <w:t>Children</w:t>
            </w:r>
            <w:r w:rsidRPr="005A66B1">
              <w:rPr>
                <w:rFonts w:ascii="Arial" w:hAnsi="Arial" w:cs="Arial"/>
                <w:sz w:val="20"/>
                <w:szCs w:val="20"/>
              </w:rPr>
              <w:t xml:space="preserve"> (</w:t>
            </w:r>
            <w:r>
              <w:rPr>
                <w:rFonts w:ascii="Arial" w:hAnsi="Arial" w:cs="Arial"/>
                <w:sz w:val="20"/>
                <w:szCs w:val="20"/>
              </w:rPr>
              <w:t>1°</w:t>
            </w:r>
            <w:r w:rsidRPr="005A66B1">
              <w:rPr>
                <w:rFonts w:ascii="Arial" w:hAnsi="Arial" w:cs="Arial"/>
                <w:sz w:val="20"/>
                <w:szCs w:val="20"/>
              </w:rPr>
              <w:t xml:space="preserve"> prevention)</w:t>
            </w:r>
          </w:p>
        </w:tc>
        <w:tc>
          <w:tcPr>
            <w:tcW w:w="1694" w:type="dxa"/>
            <w:shd w:val="clear" w:color="auto" w:fill="auto"/>
            <w:vAlign w:val="center"/>
          </w:tcPr>
          <w:p w:rsidR="009C16BE" w:rsidRPr="005A66B1" w:rsidRDefault="009C16BE" w:rsidP="005A66B1">
            <w:pPr>
              <w:rPr>
                <w:rFonts w:ascii="Arial" w:hAnsi="Arial" w:cs="Arial"/>
                <w:sz w:val="20"/>
                <w:szCs w:val="20"/>
              </w:rPr>
            </w:pPr>
            <w:r>
              <w:rPr>
                <w:rFonts w:ascii="Arial" w:hAnsi="Arial" w:cs="Arial"/>
                <w:sz w:val="20"/>
                <w:szCs w:val="20"/>
              </w:rPr>
              <w:t>−</w:t>
            </w:r>
            <w:r w:rsidRPr="005A66B1">
              <w:rPr>
                <w:rFonts w:ascii="Arial" w:hAnsi="Arial" w:cs="Arial"/>
                <w:sz w:val="20"/>
                <w:szCs w:val="20"/>
              </w:rPr>
              <w:t>£10,005</w:t>
            </w:r>
          </w:p>
        </w:tc>
        <w:tc>
          <w:tcPr>
            <w:tcW w:w="1695" w:type="dxa"/>
            <w:shd w:val="clear" w:color="auto" w:fill="auto"/>
            <w:vAlign w:val="center"/>
          </w:tcPr>
          <w:p w:rsidR="009C16BE" w:rsidRPr="005A66B1" w:rsidRDefault="009C16BE" w:rsidP="005A66B1">
            <w:pPr>
              <w:rPr>
                <w:rFonts w:ascii="Arial" w:hAnsi="Arial" w:cs="Arial"/>
                <w:sz w:val="20"/>
                <w:szCs w:val="20"/>
              </w:rPr>
            </w:pPr>
            <w:r>
              <w:rPr>
                <w:rFonts w:ascii="Arial" w:hAnsi="Arial" w:cs="Arial"/>
                <w:sz w:val="20"/>
                <w:szCs w:val="20"/>
              </w:rPr>
              <w:t>−</w:t>
            </w:r>
            <w:r w:rsidRPr="005A66B1">
              <w:rPr>
                <w:rFonts w:ascii="Arial" w:hAnsi="Arial" w:cs="Arial"/>
                <w:sz w:val="20"/>
                <w:szCs w:val="20"/>
              </w:rPr>
              <w:t>£43,860</w:t>
            </w:r>
          </w:p>
        </w:tc>
        <w:tc>
          <w:tcPr>
            <w:tcW w:w="1694" w:type="dxa"/>
            <w:shd w:val="clear" w:color="auto" w:fill="auto"/>
            <w:vAlign w:val="center"/>
          </w:tcPr>
          <w:p w:rsidR="009C16BE" w:rsidRPr="005A66B1" w:rsidRDefault="009C16BE" w:rsidP="005A66B1">
            <w:pPr>
              <w:rPr>
                <w:rFonts w:ascii="Arial" w:hAnsi="Arial" w:cs="Arial"/>
                <w:sz w:val="20"/>
                <w:szCs w:val="20"/>
              </w:rPr>
            </w:pPr>
            <w:r>
              <w:rPr>
                <w:rFonts w:ascii="Arial" w:hAnsi="Arial" w:cs="Arial"/>
                <w:sz w:val="20"/>
                <w:szCs w:val="20"/>
              </w:rPr>
              <w:t>−</w:t>
            </w:r>
            <w:r w:rsidRPr="005A66B1">
              <w:rPr>
                <w:rFonts w:ascii="Arial" w:hAnsi="Arial" w:cs="Arial"/>
                <w:sz w:val="20"/>
                <w:szCs w:val="20"/>
              </w:rPr>
              <w:t>£9,940</w:t>
            </w:r>
          </w:p>
        </w:tc>
        <w:tc>
          <w:tcPr>
            <w:tcW w:w="1695" w:type="dxa"/>
            <w:shd w:val="clear" w:color="auto" w:fill="auto"/>
            <w:vAlign w:val="center"/>
          </w:tcPr>
          <w:p w:rsidR="009C16BE" w:rsidRPr="005A66B1" w:rsidRDefault="009C16BE" w:rsidP="005A66B1">
            <w:pPr>
              <w:rPr>
                <w:rFonts w:ascii="Arial" w:hAnsi="Arial" w:cs="Arial"/>
                <w:sz w:val="20"/>
                <w:szCs w:val="20"/>
              </w:rPr>
            </w:pPr>
            <w:r>
              <w:rPr>
                <w:rFonts w:ascii="Arial" w:hAnsi="Arial" w:cs="Arial"/>
                <w:sz w:val="20"/>
                <w:szCs w:val="20"/>
              </w:rPr>
              <w:t>−</w:t>
            </w:r>
            <w:r w:rsidRPr="005A66B1">
              <w:rPr>
                <w:rFonts w:ascii="Arial" w:hAnsi="Arial" w:cs="Arial"/>
                <w:sz w:val="20"/>
                <w:szCs w:val="20"/>
              </w:rPr>
              <w:t>£3,307</w:t>
            </w:r>
          </w:p>
        </w:tc>
      </w:tr>
      <w:tr w:rsidR="005A66B1" w:rsidRPr="005A66B1" w:rsidTr="00216061">
        <w:tc>
          <w:tcPr>
            <w:tcW w:w="8472" w:type="dxa"/>
            <w:gridSpan w:val="5"/>
            <w:shd w:val="clear" w:color="auto" w:fill="808080" w:themeFill="background1" w:themeFillShade="80"/>
            <w:vAlign w:val="center"/>
          </w:tcPr>
          <w:p w:rsidR="005A66B1" w:rsidRPr="005A66B1" w:rsidRDefault="005A66B1" w:rsidP="005A66B1">
            <w:pPr>
              <w:pStyle w:val="NICEnormal"/>
              <w:spacing w:after="0" w:line="240" w:lineRule="auto"/>
              <w:jc w:val="center"/>
              <w:rPr>
                <w:rFonts w:cs="Arial"/>
                <w:b/>
                <w:sz w:val="20"/>
                <w:szCs w:val="20"/>
              </w:rPr>
            </w:pPr>
            <w:r w:rsidRPr="00690582">
              <w:rPr>
                <w:rFonts w:cs="Arial"/>
                <w:b/>
                <w:color w:val="FFFFFF" w:themeColor="background1"/>
                <w:sz w:val="20"/>
                <w:szCs w:val="20"/>
              </w:rPr>
              <w:t>50% capital costs</w:t>
            </w:r>
            <w:r w:rsidR="00E10692">
              <w:rPr>
                <w:rFonts w:cs="Arial"/>
                <w:b/>
                <w:color w:val="FFFFFF" w:themeColor="background1"/>
                <w:sz w:val="20"/>
                <w:szCs w:val="20"/>
              </w:rPr>
              <w:t xml:space="preserve"> for SCD</w:t>
            </w:r>
          </w:p>
        </w:tc>
      </w:tr>
      <w:tr w:rsidR="009C16BE" w:rsidRPr="005A66B1" w:rsidTr="00216061">
        <w:tc>
          <w:tcPr>
            <w:tcW w:w="1694" w:type="dxa"/>
            <w:shd w:val="clear" w:color="auto" w:fill="BFBFBF" w:themeFill="background1" w:themeFillShade="BF"/>
            <w:vAlign w:val="center"/>
          </w:tcPr>
          <w:p w:rsidR="009C16BE" w:rsidRPr="005A66B1" w:rsidRDefault="009C16BE" w:rsidP="005A66B1">
            <w:pPr>
              <w:rPr>
                <w:rFonts w:ascii="Arial" w:hAnsi="Arial" w:cs="Arial"/>
                <w:sz w:val="20"/>
                <w:szCs w:val="20"/>
              </w:rPr>
            </w:pPr>
            <w:r w:rsidRPr="005A66B1">
              <w:rPr>
                <w:rFonts w:ascii="Arial" w:hAnsi="Arial" w:cs="Arial"/>
                <w:sz w:val="20"/>
                <w:szCs w:val="20"/>
              </w:rPr>
              <w:t>Adults</w:t>
            </w:r>
          </w:p>
        </w:tc>
        <w:tc>
          <w:tcPr>
            <w:tcW w:w="1694" w:type="dxa"/>
            <w:shd w:val="clear" w:color="auto" w:fill="auto"/>
            <w:vAlign w:val="center"/>
          </w:tcPr>
          <w:p w:rsidR="009C16BE" w:rsidRPr="005A66B1" w:rsidRDefault="009C16BE" w:rsidP="005A66B1">
            <w:pPr>
              <w:rPr>
                <w:rFonts w:ascii="Arial" w:hAnsi="Arial" w:cs="Arial"/>
                <w:sz w:val="20"/>
                <w:szCs w:val="20"/>
              </w:rPr>
            </w:pPr>
            <w:r>
              <w:rPr>
                <w:rFonts w:ascii="Arial" w:hAnsi="Arial" w:cs="Arial"/>
                <w:sz w:val="20"/>
                <w:szCs w:val="20"/>
              </w:rPr>
              <w:t>−</w:t>
            </w:r>
            <w:r w:rsidRPr="005A66B1">
              <w:rPr>
                <w:rFonts w:ascii="Arial" w:hAnsi="Arial" w:cs="Arial"/>
                <w:sz w:val="20"/>
                <w:szCs w:val="20"/>
              </w:rPr>
              <w:t>£16,555</w:t>
            </w:r>
          </w:p>
        </w:tc>
        <w:tc>
          <w:tcPr>
            <w:tcW w:w="1695" w:type="dxa"/>
            <w:shd w:val="clear" w:color="auto" w:fill="auto"/>
            <w:vAlign w:val="center"/>
          </w:tcPr>
          <w:p w:rsidR="009C16BE" w:rsidRPr="005A66B1" w:rsidRDefault="009C16BE" w:rsidP="005A66B1">
            <w:pPr>
              <w:rPr>
                <w:rFonts w:ascii="Arial" w:hAnsi="Arial" w:cs="Arial"/>
                <w:sz w:val="20"/>
                <w:szCs w:val="20"/>
              </w:rPr>
            </w:pPr>
            <w:r>
              <w:rPr>
                <w:rFonts w:ascii="Arial" w:hAnsi="Arial" w:cs="Arial"/>
                <w:sz w:val="20"/>
                <w:szCs w:val="20"/>
              </w:rPr>
              <w:t>−</w:t>
            </w:r>
            <w:r w:rsidRPr="005A66B1">
              <w:rPr>
                <w:rFonts w:ascii="Arial" w:hAnsi="Arial" w:cs="Arial"/>
                <w:sz w:val="20"/>
                <w:szCs w:val="20"/>
              </w:rPr>
              <w:t>£88,056</w:t>
            </w:r>
          </w:p>
        </w:tc>
        <w:tc>
          <w:tcPr>
            <w:tcW w:w="1694" w:type="dxa"/>
            <w:shd w:val="clear" w:color="auto" w:fill="auto"/>
            <w:vAlign w:val="center"/>
          </w:tcPr>
          <w:p w:rsidR="009C16BE" w:rsidRPr="005A66B1" w:rsidRDefault="009C16BE" w:rsidP="005A66B1">
            <w:pPr>
              <w:rPr>
                <w:rFonts w:ascii="Arial" w:hAnsi="Arial" w:cs="Arial"/>
                <w:sz w:val="20"/>
                <w:szCs w:val="20"/>
              </w:rPr>
            </w:pPr>
            <w:r>
              <w:rPr>
                <w:rFonts w:ascii="Arial" w:hAnsi="Arial" w:cs="Arial"/>
                <w:sz w:val="20"/>
                <w:szCs w:val="20"/>
              </w:rPr>
              <w:t>−</w:t>
            </w:r>
            <w:r w:rsidRPr="005A66B1">
              <w:rPr>
                <w:rFonts w:ascii="Arial" w:hAnsi="Arial" w:cs="Arial"/>
                <w:sz w:val="20"/>
                <w:szCs w:val="20"/>
              </w:rPr>
              <w:t>£16,418</w:t>
            </w:r>
          </w:p>
        </w:tc>
        <w:tc>
          <w:tcPr>
            <w:tcW w:w="1695" w:type="dxa"/>
            <w:shd w:val="clear" w:color="auto" w:fill="auto"/>
            <w:vAlign w:val="center"/>
          </w:tcPr>
          <w:p w:rsidR="009C16BE" w:rsidRPr="005A66B1" w:rsidRDefault="009C16BE" w:rsidP="005A66B1">
            <w:pPr>
              <w:rPr>
                <w:rFonts w:ascii="Arial" w:hAnsi="Arial" w:cs="Arial"/>
                <w:sz w:val="20"/>
                <w:szCs w:val="20"/>
              </w:rPr>
            </w:pPr>
            <w:r>
              <w:rPr>
                <w:rFonts w:ascii="Arial" w:hAnsi="Arial" w:cs="Arial"/>
                <w:sz w:val="20"/>
                <w:szCs w:val="20"/>
              </w:rPr>
              <w:t>−</w:t>
            </w:r>
            <w:r w:rsidRPr="005A66B1">
              <w:rPr>
                <w:rFonts w:ascii="Arial" w:hAnsi="Arial" w:cs="Arial"/>
                <w:sz w:val="20"/>
                <w:szCs w:val="20"/>
              </w:rPr>
              <w:t>£2,410</w:t>
            </w:r>
          </w:p>
        </w:tc>
      </w:tr>
      <w:tr w:rsidR="009C16BE" w:rsidRPr="005A66B1" w:rsidTr="00216061">
        <w:tc>
          <w:tcPr>
            <w:tcW w:w="1694" w:type="dxa"/>
            <w:shd w:val="clear" w:color="auto" w:fill="BFBFBF" w:themeFill="background1" w:themeFillShade="BF"/>
          </w:tcPr>
          <w:p w:rsidR="009C16BE" w:rsidRPr="00690582" w:rsidRDefault="009C16BE" w:rsidP="00690582">
            <w:pPr>
              <w:rPr>
                <w:rFonts w:ascii="Arial" w:hAnsi="Arial" w:cs="Arial"/>
                <w:sz w:val="20"/>
                <w:szCs w:val="20"/>
              </w:rPr>
            </w:pPr>
            <w:r>
              <w:rPr>
                <w:rFonts w:ascii="Arial" w:hAnsi="Arial" w:cs="Arial"/>
                <w:sz w:val="20"/>
                <w:szCs w:val="20"/>
              </w:rPr>
              <w:t>Children</w:t>
            </w:r>
            <w:r w:rsidRPr="00690582">
              <w:rPr>
                <w:rFonts w:ascii="Arial" w:hAnsi="Arial" w:cs="Arial"/>
                <w:sz w:val="20"/>
                <w:szCs w:val="20"/>
              </w:rPr>
              <w:t xml:space="preserve"> (2° prevention)</w:t>
            </w:r>
          </w:p>
        </w:tc>
        <w:tc>
          <w:tcPr>
            <w:tcW w:w="1694" w:type="dxa"/>
            <w:shd w:val="clear" w:color="auto" w:fill="auto"/>
            <w:vAlign w:val="center"/>
          </w:tcPr>
          <w:p w:rsidR="009C16BE" w:rsidRPr="005A66B1" w:rsidRDefault="009C16BE" w:rsidP="005A66B1">
            <w:pPr>
              <w:rPr>
                <w:rFonts w:ascii="Arial" w:hAnsi="Arial" w:cs="Arial"/>
                <w:sz w:val="20"/>
                <w:szCs w:val="20"/>
              </w:rPr>
            </w:pPr>
            <w:r>
              <w:rPr>
                <w:rFonts w:ascii="Arial" w:hAnsi="Arial" w:cs="Arial"/>
                <w:sz w:val="20"/>
                <w:szCs w:val="20"/>
              </w:rPr>
              <w:t>−</w:t>
            </w:r>
            <w:r w:rsidRPr="005A66B1">
              <w:rPr>
                <w:rFonts w:ascii="Arial" w:hAnsi="Arial" w:cs="Arial"/>
                <w:sz w:val="20"/>
                <w:szCs w:val="20"/>
              </w:rPr>
              <w:t>£3,983</w:t>
            </w:r>
          </w:p>
        </w:tc>
        <w:tc>
          <w:tcPr>
            <w:tcW w:w="1695" w:type="dxa"/>
            <w:shd w:val="clear" w:color="auto" w:fill="auto"/>
            <w:vAlign w:val="center"/>
          </w:tcPr>
          <w:p w:rsidR="009C16BE" w:rsidRPr="005A66B1" w:rsidRDefault="009C16BE" w:rsidP="005A66B1">
            <w:pPr>
              <w:rPr>
                <w:rFonts w:ascii="Arial" w:hAnsi="Arial" w:cs="Arial"/>
                <w:sz w:val="20"/>
                <w:szCs w:val="20"/>
              </w:rPr>
            </w:pPr>
            <w:r>
              <w:rPr>
                <w:rFonts w:ascii="Arial" w:hAnsi="Arial" w:cs="Arial"/>
                <w:sz w:val="20"/>
                <w:szCs w:val="20"/>
              </w:rPr>
              <w:t>−</w:t>
            </w:r>
            <w:r w:rsidRPr="005A66B1">
              <w:rPr>
                <w:rFonts w:ascii="Arial" w:hAnsi="Arial" w:cs="Arial"/>
                <w:sz w:val="20"/>
                <w:szCs w:val="20"/>
              </w:rPr>
              <w:t>£37,838</w:t>
            </w:r>
          </w:p>
        </w:tc>
        <w:tc>
          <w:tcPr>
            <w:tcW w:w="1694" w:type="dxa"/>
            <w:shd w:val="clear" w:color="auto" w:fill="auto"/>
            <w:vAlign w:val="center"/>
          </w:tcPr>
          <w:p w:rsidR="009C16BE" w:rsidRPr="005A66B1" w:rsidRDefault="009C16BE" w:rsidP="005A66B1">
            <w:pPr>
              <w:rPr>
                <w:rFonts w:ascii="Arial" w:hAnsi="Arial" w:cs="Arial"/>
                <w:sz w:val="20"/>
                <w:szCs w:val="20"/>
              </w:rPr>
            </w:pPr>
            <w:r>
              <w:rPr>
                <w:rFonts w:ascii="Arial" w:hAnsi="Arial" w:cs="Arial"/>
                <w:sz w:val="20"/>
                <w:szCs w:val="20"/>
              </w:rPr>
              <w:t>−</w:t>
            </w:r>
            <w:r w:rsidRPr="005A66B1">
              <w:rPr>
                <w:rFonts w:ascii="Arial" w:hAnsi="Arial" w:cs="Arial"/>
                <w:sz w:val="20"/>
                <w:szCs w:val="20"/>
              </w:rPr>
              <w:t>£3,918</w:t>
            </w:r>
          </w:p>
        </w:tc>
        <w:tc>
          <w:tcPr>
            <w:tcW w:w="1695" w:type="dxa"/>
            <w:shd w:val="clear" w:color="auto" w:fill="auto"/>
            <w:vAlign w:val="center"/>
          </w:tcPr>
          <w:p w:rsidR="009C16BE" w:rsidRPr="005A66B1" w:rsidRDefault="009C16BE" w:rsidP="005A66B1">
            <w:pPr>
              <w:rPr>
                <w:rFonts w:ascii="Arial" w:hAnsi="Arial" w:cs="Arial"/>
                <w:sz w:val="20"/>
                <w:szCs w:val="20"/>
              </w:rPr>
            </w:pPr>
            <w:r w:rsidRPr="005A66B1">
              <w:rPr>
                <w:rFonts w:ascii="Arial" w:hAnsi="Arial" w:cs="Arial"/>
                <w:sz w:val="20"/>
                <w:szCs w:val="20"/>
              </w:rPr>
              <w:t>£2,715</w:t>
            </w:r>
          </w:p>
        </w:tc>
      </w:tr>
      <w:tr w:rsidR="009C16BE" w:rsidRPr="005A66B1" w:rsidTr="00216061">
        <w:tc>
          <w:tcPr>
            <w:tcW w:w="1694" w:type="dxa"/>
            <w:shd w:val="clear" w:color="auto" w:fill="BFBFBF" w:themeFill="background1" w:themeFillShade="BF"/>
          </w:tcPr>
          <w:p w:rsidR="009C16BE" w:rsidRPr="00690582" w:rsidRDefault="009C16BE" w:rsidP="006028E0">
            <w:pPr>
              <w:rPr>
                <w:rFonts w:ascii="Arial" w:hAnsi="Arial" w:cs="Arial"/>
                <w:sz w:val="20"/>
                <w:szCs w:val="20"/>
              </w:rPr>
            </w:pPr>
            <w:r>
              <w:rPr>
                <w:rFonts w:ascii="Arial" w:hAnsi="Arial" w:cs="Arial"/>
                <w:sz w:val="20"/>
                <w:szCs w:val="20"/>
              </w:rPr>
              <w:t>Children</w:t>
            </w:r>
            <w:r w:rsidRPr="00690582">
              <w:rPr>
                <w:rFonts w:ascii="Arial" w:hAnsi="Arial" w:cs="Arial"/>
                <w:sz w:val="20"/>
                <w:szCs w:val="20"/>
              </w:rPr>
              <w:t xml:space="preserve"> (1° prevention)</w:t>
            </w:r>
          </w:p>
        </w:tc>
        <w:tc>
          <w:tcPr>
            <w:tcW w:w="1694" w:type="dxa"/>
            <w:shd w:val="clear" w:color="auto" w:fill="auto"/>
            <w:vAlign w:val="center"/>
          </w:tcPr>
          <w:p w:rsidR="009C16BE" w:rsidRPr="005A66B1" w:rsidRDefault="009C16BE" w:rsidP="005A66B1">
            <w:pPr>
              <w:rPr>
                <w:rFonts w:ascii="Arial" w:hAnsi="Arial" w:cs="Arial"/>
                <w:sz w:val="20"/>
                <w:szCs w:val="20"/>
              </w:rPr>
            </w:pPr>
            <w:r>
              <w:rPr>
                <w:rFonts w:ascii="Arial" w:hAnsi="Arial" w:cs="Arial"/>
                <w:sz w:val="20"/>
                <w:szCs w:val="20"/>
              </w:rPr>
              <w:t>−</w:t>
            </w:r>
            <w:r w:rsidRPr="005A66B1">
              <w:rPr>
                <w:rFonts w:ascii="Arial" w:hAnsi="Arial" w:cs="Arial"/>
                <w:sz w:val="20"/>
                <w:szCs w:val="20"/>
              </w:rPr>
              <w:t>£1,548</w:t>
            </w:r>
          </w:p>
        </w:tc>
        <w:tc>
          <w:tcPr>
            <w:tcW w:w="1695" w:type="dxa"/>
            <w:shd w:val="clear" w:color="auto" w:fill="auto"/>
            <w:vAlign w:val="center"/>
          </w:tcPr>
          <w:p w:rsidR="009C16BE" w:rsidRPr="005A66B1" w:rsidRDefault="009C16BE" w:rsidP="005A66B1">
            <w:pPr>
              <w:rPr>
                <w:rFonts w:ascii="Arial" w:hAnsi="Arial" w:cs="Arial"/>
                <w:sz w:val="20"/>
                <w:szCs w:val="20"/>
              </w:rPr>
            </w:pPr>
            <w:r>
              <w:rPr>
                <w:rFonts w:ascii="Arial" w:hAnsi="Arial" w:cs="Arial"/>
                <w:sz w:val="20"/>
                <w:szCs w:val="20"/>
              </w:rPr>
              <w:t>−</w:t>
            </w:r>
            <w:r w:rsidRPr="005A66B1">
              <w:rPr>
                <w:rFonts w:ascii="Arial" w:hAnsi="Arial" w:cs="Arial"/>
                <w:sz w:val="20"/>
                <w:szCs w:val="20"/>
              </w:rPr>
              <w:t>£35,404</w:t>
            </w:r>
          </w:p>
        </w:tc>
        <w:tc>
          <w:tcPr>
            <w:tcW w:w="1694" w:type="dxa"/>
            <w:shd w:val="clear" w:color="auto" w:fill="auto"/>
            <w:vAlign w:val="center"/>
          </w:tcPr>
          <w:p w:rsidR="009C16BE" w:rsidRPr="005A66B1" w:rsidRDefault="009C16BE" w:rsidP="005A66B1">
            <w:pPr>
              <w:rPr>
                <w:rFonts w:ascii="Arial" w:hAnsi="Arial" w:cs="Arial"/>
                <w:sz w:val="20"/>
                <w:szCs w:val="20"/>
              </w:rPr>
            </w:pPr>
            <w:r>
              <w:rPr>
                <w:rFonts w:ascii="Arial" w:hAnsi="Arial" w:cs="Arial"/>
                <w:sz w:val="20"/>
                <w:szCs w:val="20"/>
              </w:rPr>
              <w:t>−</w:t>
            </w:r>
            <w:r w:rsidRPr="005A66B1">
              <w:rPr>
                <w:rFonts w:ascii="Arial" w:hAnsi="Arial" w:cs="Arial"/>
                <w:sz w:val="20"/>
                <w:szCs w:val="20"/>
              </w:rPr>
              <w:t>£1,484</w:t>
            </w:r>
          </w:p>
        </w:tc>
        <w:tc>
          <w:tcPr>
            <w:tcW w:w="1695" w:type="dxa"/>
            <w:shd w:val="clear" w:color="auto" w:fill="auto"/>
            <w:vAlign w:val="center"/>
          </w:tcPr>
          <w:p w:rsidR="009C16BE" w:rsidRPr="005A66B1" w:rsidRDefault="009C16BE" w:rsidP="005A66B1">
            <w:pPr>
              <w:rPr>
                <w:rFonts w:ascii="Arial" w:hAnsi="Arial" w:cs="Arial"/>
                <w:sz w:val="20"/>
                <w:szCs w:val="20"/>
              </w:rPr>
            </w:pPr>
            <w:r w:rsidRPr="005A66B1">
              <w:rPr>
                <w:rFonts w:ascii="Arial" w:hAnsi="Arial" w:cs="Arial"/>
                <w:sz w:val="20"/>
                <w:szCs w:val="20"/>
              </w:rPr>
              <w:t>£5,149</w:t>
            </w:r>
          </w:p>
        </w:tc>
      </w:tr>
      <w:tr w:rsidR="005A66B1" w:rsidRPr="005A66B1" w:rsidTr="00216061">
        <w:tc>
          <w:tcPr>
            <w:tcW w:w="8472" w:type="dxa"/>
            <w:gridSpan w:val="5"/>
            <w:shd w:val="clear" w:color="auto" w:fill="808080" w:themeFill="background1" w:themeFillShade="80"/>
            <w:vAlign w:val="center"/>
          </w:tcPr>
          <w:p w:rsidR="005A66B1" w:rsidRPr="005A66B1" w:rsidRDefault="005A66B1" w:rsidP="005A66B1">
            <w:pPr>
              <w:jc w:val="center"/>
              <w:rPr>
                <w:rFonts w:ascii="Arial" w:hAnsi="Arial" w:cs="Arial"/>
                <w:b/>
                <w:sz w:val="20"/>
                <w:szCs w:val="20"/>
              </w:rPr>
            </w:pPr>
            <w:r w:rsidRPr="00690582">
              <w:rPr>
                <w:rFonts w:ascii="Arial" w:hAnsi="Arial" w:cs="Arial"/>
                <w:b/>
                <w:color w:val="FFFFFF" w:themeColor="background1"/>
                <w:sz w:val="20"/>
                <w:szCs w:val="20"/>
              </w:rPr>
              <w:t>100% capital costs</w:t>
            </w:r>
            <w:r w:rsidR="00764943">
              <w:rPr>
                <w:rFonts w:ascii="Arial" w:hAnsi="Arial" w:cs="Arial"/>
                <w:b/>
                <w:color w:val="FFFFFF" w:themeColor="background1"/>
                <w:sz w:val="20"/>
                <w:szCs w:val="20"/>
              </w:rPr>
              <w:t xml:space="preserve"> for SCD</w:t>
            </w:r>
          </w:p>
        </w:tc>
      </w:tr>
      <w:tr w:rsidR="00FB1520" w:rsidRPr="005A66B1" w:rsidTr="00216061">
        <w:tc>
          <w:tcPr>
            <w:tcW w:w="1694" w:type="dxa"/>
            <w:shd w:val="clear" w:color="auto" w:fill="BFBFBF" w:themeFill="background1" w:themeFillShade="BF"/>
            <w:vAlign w:val="center"/>
          </w:tcPr>
          <w:p w:rsidR="00FB1520" w:rsidRPr="005A66B1" w:rsidRDefault="00FB1520" w:rsidP="005A66B1">
            <w:pPr>
              <w:rPr>
                <w:rFonts w:ascii="Arial" w:hAnsi="Arial" w:cs="Arial"/>
                <w:sz w:val="20"/>
                <w:szCs w:val="20"/>
              </w:rPr>
            </w:pPr>
            <w:r w:rsidRPr="005A66B1">
              <w:rPr>
                <w:rFonts w:ascii="Arial" w:hAnsi="Arial" w:cs="Arial"/>
                <w:sz w:val="20"/>
                <w:szCs w:val="20"/>
              </w:rPr>
              <w:t>Adults</w:t>
            </w:r>
          </w:p>
        </w:tc>
        <w:tc>
          <w:tcPr>
            <w:tcW w:w="1694" w:type="dxa"/>
            <w:shd w:val="clear" w:color="auto" w:fill="auto"/>
            <w:vAlign w:val="center"/>
          </w:tcPr>
          <w:p w:rsidR="00FB1520" w:rsidRPr="005A66B1" w:rsidRDefault="00FB1520" w:rsidP="005A66B1">
            <w:pPr>
              <w:rPr>
                <w:rFonts w:ascii="Arial" w:hAnsi="Arial" w:cs="Arial"/>
                <w:sz w:val="20"/>
                <w:szCs w:val="20"/>
              </w:rPr>
            </w:pPr>
            <w:r>
              <w:rPr>
                <w:rFonts w:ascii="Arial" w:hAnsi="Arial" w:cs="Arial"/>
                <w:sz w:val="20"/>
                <w:szCs w:val="20"/>
              </w:rPr>
              <w:t>−</w:t>
            </w:r>
            <w:r w:rsidRPr="005A66B1">
              <w:rPr>
                <w:rFonts w:ascii="Arial" w:hAnsi="Arial" w:cs="Arial"/>
                <w:sz w:val="20"/>
                <w:szCs w:val="20"/>
              </w:rPr>
              <w:t>£8,099</w:t>
            </w:r>
          </w:p>
        </w:tc>
        <w:tc>
          <w:tcPr>
            <w:tcW w:w="1695" w:type="dxa"/>
            <w:shd w:val="clear" w:color="auto" w:fill="auto"/>
            <w:vAlign w:val="center"/>
          </w:tcPr>
          <w:p w:rsidR="00FB1520" w:rsidRPr="005A66B1" w:rsidRDefault="00FB1520" w:rsidP="005A66B1">
            <w:pPr>
              <w:rPr>
                <w:rFonts w:ascii="Arial" w:hAnsi="Arial" w:cs="Arial"/>
                <w:sz w:val="20"/>
                <w:szCs w:val="20"/>
              </w:rPr>
            </w:pPr>
            <w:r>
              <w:rPr>
                <w:rFonts w:ascii="Arial" w:hAnsi="Arial" w:cs="Arial"/>
                <w:sz w:val="20"/>
                <w:szCs w:val="20"/>
              </w:rPr>
              <w:t>−</w:t>
            </w:r>
            <w:r w:rsidRPr="005A66B1">
              <w:rPr>
                <w:rFonts w:ascii="Arial" w:hAnsi="Arial" w:cs="Arial"/>
                <w:sz w:val="20"/>
                <w:szCs w:val="20"/>
              </w:rPr>
              <w:t>£79,600</w:t>
            </w:r>
          </w:p>
        </w:tc>
        <w:tc>
          <w:tcPr>
            <w:tcW w:w="1694" w:type="dxa"/>
            <w:shd w:val="clear" w:color="auto" w:fill="auto"/>
            <w:vAlign w:val="center"/>
          </w:tcPr>
          <w:p w:rsidR="00FB1520" w:rsidRPr="005A66B1" w:rsidRDefault="00FB1520" w:rsidP="005A66B1">
            <w:pPr>
              <w:rPr>
                <w:rFonts w:ascii="Arial" w:hAnsi="Arial" w:cs="Arial"/>
                <w:sz w:val="20"/>
                <w:szCs w:val="20"/>
              </w:rPr>
            </w:pPr>
            <w:r>
              <w:rPr>
                <w:rFonts w:ascii="Arial" w:hAnsi="Arial" w:cs="Arial"/>
                <w:sz w:val="20"/>
                <w:szCs w:val="20"/>
              </w:rPr>
              <w:t>−</w:t>
            </w:r>
            <w:r w:rsidRPr="005A66B1">
              <w:rPr>
                <w:rFonts w:ascii="Arial" w:hAnsi="Arial" w:cs="Arial"/>
                <w:sz w:val="20"/>
                <w:szCs w:val="20"/>
              </w:rPr>
              <w:t>£7,961</w:t>
            </w:r>
          </w:p>
        </w:tc>
        <w:tc>
          <w:tcPr>
            <w:tcW w:w="1695" w:type="dxa"/>
            <w:shd w:val="clear" w:color="auto" w:fill="auto"/>
            <w:vAlign w:val="center"/>
          </w:tcPr>
          <w:p w:rsidR="00FB1520" w:rsidRPr="005A66B1" w:rsidRDefault="00FB1520" w:rsidP="005A66B1">
            <w:pPr>
              <w:rPr>
                <w:rFonts w:ascii="Arial" w:hAnsi="Arial" w:cs="Arial"/>
                <w:sz w:val="20"/>
                <w:szCs w:val="20"/>
              </w:rPr>
            </w:pPr>
            <w:r w:rsidRPr="005A66B1">
              <w:rPr>
                <w:rFonts w:ascii="Arial" w:hAnsi="Arial" w:cs="Arial"/>
                <w:sz w:val="20"/>
                <w:szCs w:val="20"/>
              </w:rPr>
              <w:t>£6,046</w:t>
            </w:r>
          </w:p>
        </w:tc>
      </w:tr>
      <w:tr w:rsidR="00FB1520" w:rsidRPr="005A66B1" w:rsidTr="00216061">
        <w:tc>
          <w:tcPr>
            <w:tcW w:w="1694" w:type="dxa"/>
            <w:shd w:val="clear" w:color="auto" w:fill="BFBFBF" w:themeFill="background1" w:themeFillShade="BF"/>
          </w:tcPr>
          <w:p w:rsidR="00FB1520" w:rsidRPr="00690582" w:rsidRDefault="00FB1520" w:rsidP="00E10692">
            <w:pPr>
              <w:rPr>
                <w:rFonts w:ascii="Arial" w:hAnsi="Arial" w:cs="Arial"/>
                <w:sz w:val="20"/>
                <w:szCs w:val="20"/>
              </w:rPr>
            </w:pPr>
            <w:r>
              <w:rPr>
                <w:rFonts w:ascii="Arial" w:hAnsi="Arial" w:cs="Arial"/>
                <w:sz w:val="20"/>
                <w:szCs w:val="20"/>
              </w:rPr>
              <w:t>Children</w:t>
            </w:r>
            <w:r w:rsidRPr="00690582">
              <w:rPr>
                <w:rFonts w:ascii="Arial" w:hAnsi="Arial" w:cs="Arial"/>
                <w:sz w:val="20"/>
                <w:szCs w:val="20"/>
              </w:rPr>
              <w:t xml:space="preserve"> (2° prevention)</w:t>
            </w:r>
          </w:p>
        </w:tc>
        <w:tc>
          <w:tcPr>
            <w:tcW w:w="1694" w:type="dxa"/>
            <w:shd w:val="clear" w:color="auto" w:fill="auto"/>
            <w:vAlign w:val="center"/>
          </w:tcPr>
          <w:p w:rsidR="00FB1520" w:rsidRPr="005A66B1" w:rsidRDefault="00FB1520" w:rsidP="005A66B1">
            <w:pPr>
              <w:rPr>
                <w:rFonts w:ascii="Arial" w:hAnsi="Arial" w:cs="Arial"/>
                <w:sz w:val="20"/>
                <w:szCs w:val="20"/>
              </w:rPr>
            </w:pPr>
            <w:r w:rsidRPr="005A66B1">
              <w:rPr>
                <w:rFonts w:ascii="Arial" w:hAnsi="Arial" w:cs="Arial"/>
                <w:sz w:val="20"/>
                <w:szCs w:val="20"/>
              </w:rPr>
              <w:t>£4,474</w:t>
            </w:r>
          </w:p>
        </w:tc>
        <w:tc>
          <w:tcPr>
            <w:tcW w:w="1695" w:type="dxa"/>
            <w:shd w:val="clear" w:color="auto" w:fill="auto"/>
            <w:vAlign w:val="center"/>
          </w:tcPr>
          <w:p w:rsidR="00FB1520" w:rsidRPr="005A66B1" w:rsidRDefault="00FB1520" w:rsidP="005A66B1">
            <w:pPr>
              <w:rPr>
                <w:rFonts w:ascii="Arial" w:hAnsi="Arial" w:cs="Arial"/>
                <w:sz w:val="20"/>
                <w:szCs w:val="20"/>
              </w:rPr>
            </w:pPr>
            <w:r>
              <w:rPr>
                <w:rFonts w:ascii="Arial" w:hAnsi="Arial" w:cs="Arial"/>
                <w:sz w:val="20"/>
                <w:szCs w:val="20"/>
              </w:rPr>
              <w:t>−</w:t>
            </w:r>
            <w:r w:rsidRPr="005A66B1">
              <w:rPr>
                <w:rFonts w:ascii="Arial" w:hAnsi="Arial" w:cs="Arial"/>
                <w:sz w:val="20"/>
                <w:szCs w:val="20"/>
              </w:rPr>
              <w:t>£29,382</w:t>
            </w:r>
          </w:p>
        </w:tc>
        <w:tc>
          <w:tcPr>
            <w:tcW w:w="1694" w:type="dxa"/>
            <w:shd w:val="clear" w:color="auto" w:fill="auto"/>
            <w:vAlign w:val="center"/>
          </w:tcPr>
          <w:p w:rsidR="00FB1520" w:rsidRPr="005A66B1" w:rsidRDefault="00FB1520" w:rsidP="005A66B1">
            <w:pPr>
              <w:rPr>
                <w:rFonts w:ascii="Arial" w:hAnsi="Arial" w:cs="Arial"/>
                <w:sz w:val="20"/>
                <w:szCs w:val="20"/>
              </w:rPr>
            </w:pPr>
            <w:r w:rsidRPr="005A66B1">
              <w:rPr>
                <w:rFonts w:ascii="Arial" w:hAnsi="Arial" w:cs="Arial"/>
                <w:sz w:val="20"/>
                <w:szCs w:val="20"/>
              </w:rPr>
              <w:t>£4,539</w:t>
            </w:r>
          </w:p>
        </w:tc>
        <w:tc>
          <w:tcPr>
            <w:tcW w:w="1695" w:type="dxa"/>
            <w:shd w:val="clear" w:color="auto" w:fill="auto"/>
            <w:vAlign w:val="center"/>
          </w:tcPr>
          <w:p w:rsidR="00FB1520" w:rsidRPr="005A66B1" w:rsidRDefault="00FB1520" w:rsidP="005A66B1">
            <w:pPr>
              <w:rPr>
                <w:rFonts w:ascii="Arial" w:hAnsi="Arial" w:cs="Arial"/>
                <w:sz w:val="20"/>
                <w:szCs w:val="20"/>
              </w:rPr>
            </w:pPr>
            <w:r w:rsidRPr="005A66B1">
              <w:rPr>
                <w:rFonts w:ascii="Arial" w:hAnsi="Arial" w:cs="Arial"/>
                <w:sz w:val="20"/>
                <w:szCs w:val="20"/>
              </w:rPr>
              <w:t>£11,171</w:t>
            </w:r>
          </w:p>
        </w:tc>
      </w:tr>
      <w:tr w:rsidR="00FB1520" w:rsidRPr="005A66B1" w:rsidTr="00216061">
        <w:tc>
          <w:tcPr>
            <w:tcW w:w="1694" w:type="dxa"/>
            <w:shd w:val="clear" w:color="auto" w:fill="BFBFBF" w:themeFill="background1" w:themeFillShade="BF"/>
          </w:tcPr>
          <w:p w:rsidR="00FB1520" w:rsidRPr="00690582" w:rsidRDefault="00FB1520" w:rsidP="006028E0">
            <w:pPr>
              <w:rPr>
                <w:rFonts w:ascii="Arial" w:hAnsi="Arial" w:cs="Arial"/>
                <w:sz w:val="20"/>
                <w:szCs w:val="20"/>
              </w:rPr>
            </w:pPr>
            <w:r>
              <w:rPr>
                <w:rFonts w:ascii="Arial" w:hAnsi="Arial" w:cs="Arial"/>
                <w:sz w:val="20"/>
                <w:szCs w:val="20"/>
              </w:rPr>
              <w:t>Children</w:t>
            </w:r>
            <w:r w:rsidRPr="00690582">
              <w:rPr>
                <w:rFonts w:ascii="Arial" w:hAnsi="Arial" w:cs="Arial"/>
                <w:sz w:val="20"/>
                <w:szCs w:val="20"/>
              </w:rPr>
              <w:t xml:space="preserve"> (1° prevention)</w:t>
            </w:r>
          </w:p>
        </w:tc>
        <w:tc>
          <w:tcPr>
            <w:tcW w:w="1694" w:type="dxa"/>
            <w:shd w:val="clear" w:color="auto" w:fill="auto"/>
            <w:vAlign w:val="center"/>
          </w:tcPr>
          <w:p w:rsidR="00FB1520" w:rsidRPr="005A66B1" w:rsidRDefault="00FB1520" w:rsidP="005A66B1">
            <w:pPr>
              <w:rPr>
                <w:rFonts w:ascii="Arial" w:hAnsi="Arial" w:cs="Arial"/>
                <w:sz w:val="20"/>
                <w:szCs w:val="20"/>
              </w:rPr>
            </w:pPr>
            <w:r w:rsidRPr="005A66B1">
              <w:rPr>
                <w:rFonts w:ascii="Arial" w:hAnsi="Arial" w:cs="Arial"/>
                <w:sz w:val="20"/>
                <w:szCs w:val="20"/>
              </w:rPr>
              <w:t>£6,908</w:t>
            </w:r>
          </w:p>
        </w:tc>
        <w:tc>
          <w:tcPr>
            <w:tcW w:w="1695" w:type="dxa"/>
            <w:shd w:val="clear" w:color="auto" w:fill="auto"/>
            <w:vAlign w:val="center"/>
          </w:tcPr>
          <w:p w:rsidR="00FB1520" w:rsidRPr="005A66B1" w:rsidRDefault="00FB1520" w:rsidP="005A66B1">
            <w:pPr>
              <w:rPr>
                <w:rFonts w:ascii="Arial" w:hAnsi="Arial" w:cs="Arial"/>
                <w:sz w:val="20"/>
                <w:szCs w:val="20"/>
              </w:rPr>
            </w:pPr>
            <w:r>
              <w:rPr>
                <w:rFonts w:ascii="Arial" w:hAnsi="Arial" w:cs="Arial"/>
                <w:sz w:val="20"/>
                <w:szCs w:val="20"/>
              </w:rPr>
              <w:t>−</w:t>
            </w:r>
            <w:r w:rsidRPr="005A66B1">
              <w:rPr>
                <w:rFonts w:ascii="Arial" w:hAnsi="Arial" w:cs="Arial"/>
                <w:sz w:val="20"/>
                <w:szCs w:val="20"/>
              </w:rPr>
              <w:t>£26,947</w:t>
            </w:r>
          </w:p>
        </w:tc>
        <w:tc>
          <w:tcPr>
            <w:tcW w:w="1694" w:type="dxa"/>
            <w:shd w:val="clear" w:color="auto" w:fill="auto"/>
            <w:vAlign w:val="center"/>
          </w:tcPr>
          <w:p w:rsidR="00FB1520" w:rsidRPr="005A66B1" w:rsidRDefault="00FB1520" w:rsidP="005A66B1">
            <w:pPr>
              <w:rPr>
                <w:rFonts w:ascii="Arial" w:hAnsi="Arial" w:cs="Arial"/>
                <w:sz w:val="20"/>
                <w:szCs w:val="20"/>
              </w:rPr>
            </w:pPr>
            <w:r w:rsidRPr="005A66B1">
              <w:rPr>
                <w:rFonts w:ascii="Arial" w:hAnsi="Arial" w:cs="Arial"/>
                <w:sz w:val="20"/>
                <w:szCs w:val="20"/>
              </w:rPr>
              <w:t>£6,973</w:t>
            </w:r>
          </w:p>
        </w:tc>
        <w:tc>
          <w:tcPr>
            <w:tcW w:w="1695" w:type="dxa"/>
            <w:shd w:val="clear" w:color="auto" w:fill="auto"/>
            <w:vAlign w:val="center"/>
          </w:tcPr>
          <w:p w:rsidR="00FB1520" w:rsidRPr="005A66B1" w:rsidRDefault="00FB1520" w:rsidP="005A66B1">
            <w:pPr>
              <w:rPr>
                <w:rFonts w:ascii="Arial" w:hAnsi="Arial" w:cs="Arial"/>
                <w:sz w:val="20"/>
                <w:szCs w:val="20"/>
              </w:rPr>
            </w:pPr>
            <w:r w:rsidRPr="005A66B1">
              <w:rPr>
                <w:rFonts w:ascii="Arial" w:hAnsi="Arial" w:cs="Arial"/>
                <w:sz w:val="20"/>
                <w:szCs w:val="20"/>
              </w:rPr>
              <w:t>£13,605</w:t>
            </w:r>
          </w:p>
        </w:tc>
      </w:tr>
      <w:tr w:rsidR="00E10692" w:rsidRPr="005A66B1" w:rsidTr="00216061">
        <w:tc>
          <w:tcPr>
            <w:tcW w:w="8472" w:type="dxa"/>
            <w:gridSpan w:val="5"/>
            <w:shd w:val="clear" w:color="auto" w:fill="BFBFBF" w:themeFill="background1" w:themeFillShade="BF"/>
            <w:vAlign w:val="center"/>
          </w:tcPr>
          <w:p w:rsidR="00E10692" w:rsidRDefault="00764943" w:rsidP="00BE3E13">
            <w:pPr>
              <w:rPr>
                <w:rFonts w:ascii="Arial" w:hAnsi="Arial" w:cs="Arial"/>
                <w:sz w:val="20"/>
                <w:szCs w:val="20"/>
              </w:rPr>
            </w:pPr>
            <w:r>
              <w:rPr>
                <w:rFonts w:ascii="Arial" w:hAnsi="Arial" w:cs="Arial"/>
                <w:sz w:val="20"/>
                <w:szCs w:val="20"/>
              </w:rPr>
              <w:t>Abbreviations: SCD, sickle cell disease</w:t>
            </w:r>
          </w:p>
          <w:p w:rsidR="004F3278" w:rsidRDefault="004F3278" w:rsidP="004F3278">
            <w:pPr>
              <w:rPr>
                <w:rFonts w:ascii="Arial" w:hAnsi="Arial" w:cs="Arial"/>
                <w:sz w:val="20"/>
                <w:szCs w:val="20"/>
              </w:rPr>
            </w:pPr>
            <w:r>
              <w:rPr>
                <w:rFonts w:ascii="Arial" w:hAnsi="Arial" w:cs="Arial"/>
                <w:sz w:val="20"/>
                <w:szCs w:val="20"/>
              </w:rPr>
              <w:t xml:space="preserve">Negative values indicate cost savings with </w:t>
            </w:r>
            <w:r w:rsidR="00130A69">
              <w:rPr>
                <w:rFonts w:ascii="Arial" w:hAnsi="Arial" w:cs="Arial"/>
                <w:sz w:val="20"/>
                <w:szCs w:val="20"/>
              </w:rPr>
              <w:t>Spectra Optia</w:t>
            </w:r>
            <w:r>
              <w:rPr>
                <w:rFonts w:ascii="Arial" w:hAnsi="Arial" w:cs="Arial"/>
                <w:sz w:val="20"/>
                <w:szCs w:val="20"/>
              </w:rPr>
              <w:t>.</w:t>
            </w:r>
          </w:p>
          <w:p w:rsidR="004F3278" w:rsidRPr="005A66B1" w:rsidRDefault="004F3278" w:rsidP="00BE3E13">
            <w:pPr>
              <w:rPr>
                <w:rFonts w:ascii="Arial" w:hAnsi="Arial" w:cs="Arial"/>
                <w:sz w:val="20"/>
                <w:szCs w:val="20"/>
              </w:rPr>
            </w:pPr>
          </w:p>
        </w:tc>
      </w:tr>
    </w:tbl>
    <w:p w:rsidR="001B7724" w:rsidRDefault="001B7724" w:rsidP="001B7724">
      <w:pPr>
        <w:pStyle w:val="Heading3"/>
      </w:pPr>
      <w:r>
        <w:t xml:space="preserve">Table </w:t>
      </w:r>
      <w:r w:rsidR="00FB1520">
        <w:t>2</w:t>
      </w:r>
      <w:r>
        <w:t>b: External Assessment Centre’s revis</w:t>
      </w:r>
      <w:r w:rsidR="00AE1163">
        <w:t>ions to base case</w:t>
      </w:r>
      <w:r>
        <w:t xml:space="preserve"> (automated vs top-up)</w:t>
      </w:r>
    </w:p>
    <w:tbl>
      <w:tblPr>
        <w:tblStyle w:val="TableGrid"/>
        <w:tblW w:w="0" w:type="auto"/>
        <w:tblLayout w:type="fixed"/>
        <w:tblLook w:val="04A0" w:firstRow="1" w:lastRow="0" w:firstColumn="1" w:lastColumn="0" w:noHBand="0" w:noVBand="1"/>
      </w:tblPr>
      <w:tblGrid>
        <w:gridCol w:w="1694"/>
        <w:gridCol w:w="1694"/>
        <w:gridCol w:w="1695"/>
        <w:gridCol w:w="1694"/>
        <w:gridCol w:w="1695"/>
      </w:tblGrid>
      <w:tr w:rsidR="00FB1520" w:rsidRPr="005A66B1" w:rsidTr="00216061">
        <w:tc>
          <w:tcPr>
            <w:tcW w:w="1694" w:type="dxa"/>
            <w:shd w:val="clear" w:color="auto" w:fill="BFBFBF" w:themeFill="background1" w:themeFillShade="BF"/>
            <w:vAlign w:val="center"/>
          </w:tcPr>
          <w:p w:rsidR="00FB1520" w:rsidRPr="005A66B1" w:rsidRDefault="00FB1520" w:rsidP="00FE06AB">
            <w:pPr>
              <w:pStyle w:val="NICEnormal"/>
              <w:spacing w:after="0" w:line="240" w:lineRule="auto"/>
              <w:rPr>
                <w:rFonts w:cs="Arial"/>
                <w:b/>
                <w:sz w:val="20"/>
                <w:szCs w:val="20"/>
              </w:rPr>
            </w:pPr>
            <w:r w:rsidRPr="005A66B1">
              <w:rPr>
                <w:rFonts w:cs="Arial"/>
                <w:b/>
                <w:sz w:val="20"/>
                <w:szCs w:val="20"/>
              </w:rPr>
              <w:t>Population</w:t>
            </w:r>
          </w:p>
        </w:tc>
        <w:tc>
          <w:tcPr>
            <w:tcW w:w="1694" w:type="dxa"/>
            <w:shd w:val="clear" w:color="auto" w:fill="BFBFBF" w:themeFill="background1" w:themeFillShade="BF"/>
            <w:vAlign w:val="center"/>
          </w:tcPr>
          <w:p w:rsidR="00FB1520" w:rsidRPr="005A66B1" w:rsidRDefault="00FB1520" w:rsidP="00FE06AB">
            <w:pPr>
              <w:pStyle w:val="NICEnormal"/>
              <w:spacing w:after="0" w:line="240" w:lineRule="auto"/>
              <w:rPr>
                <w:rFonts w:cs="Arial"/>
                <w:b/>
                <w:sz w:val="20"/>
                <w:szCs w:val="20"/>
              </w:rPr>
            </w:pPr>
            <w:r w:rsidRPr="005A66B1">
              <w:rPr>
                <w:rFonts w:cs="Arial"/>
                <w:b/>
                <w:sz w:val="20"/>
                <w:szCs w:val="20"/>
              </w:rPr>
              <w:t>No overload</w:t>
            </w:r>
          </w:p>
        </w:tc>
        <w:tc>
          <w:tcPr>
            <w:tcW w:w="1695" w:type="dxa"/>
            <w:shd w:val="clear" w:color="auto" w:fill="BFBFBF" w:themeFill="background1" w:themeFillShade="BF"/>
            <w:vAlign w:val="center"/>
          </w:tcPr>
          <w:p w:rsidR="00FB1520" w:rsidRPr="005A66B1" w:rsidRDefault="00FB1520" w:rsidP="00FE06AB">
            <w:pPr>
              <w:pStyle w:val="NICEnormal"/>
              <w:spacing w:after="0" w:line="240" w:lineRule="auto"/>
              <w:rPr>
                <w:rFonts w:cs="Arial"/>
                <w:b/>
                <w:sz w:val="20"/>
                <w:szCs w:val="20"/>
              </w:rPr>
            </w:pPr>
            <w:r w:rsidRPr="005A66B1">
              <w:rPr>
                <w:rFonts w:cs="Arial"/>
                <w:b/>
                <w:sz w:val="20"/>
                <w:szCs w:val="20"/>
              </w:rPr>
              <w:t>Mild overload</w:t>
            </w:r>
          </w:p>
        </w:tc>
        <w:tc>
          <w:tcPr>
            <w:tcW w:w="1694" w:type="dxa"/>
            <w:shd w:val="clear" w:color="auto" w:fill="BFBFBF" w:themeFill="background1" w:themeFillShade="BF"/>
            <w:vAlign w:val="center"/>
          </w:tcPr>
          <w:p w:rsidR="00FB1520" w:rsidRPr="005A66B1" w:rsidRDefault="00FB1520" w:rsidP="00FE06AB">
            <w:pPr>
              <w:pStyle w:val="NICEnormal"/>
              <w:spacing w:after="0" w:line="240" w:lineRule="auto"/>
              <w:rPr>
                <w:rFonts w:cs="Arial"/>
                <w:b/>
                <w:sz w:val="20"/>
                <w:szCs w:val="20"/>
              </w:rPr>
            </w:pPr>
            <w:r w:rsidRPr="005A66B1">
              <w:rPr>
                <w:rFonts w:cs="Arial"/>
                <w:b/>
                <w:sz w:val="20"/>
                <w:szCs w:val="20"/>
              </w:rPr>
              <w:t xml:space="preserve">Moderate </w:t>
            </w:r>
            <w:r w:rsidRPr="005A66B1">
              <w:rPr>
                <w:rFonts w:cs="Arial"/>
                <w:b/>
                <w:sz w:val="20"/>
                <w:szCs w:val="20"/>
              </w:rPr>
              <w:lastRenderedPageBreak/>
              <w:t>overload</w:t>
            </w:r>
          </w:p>
        </w:tc>
        <w:tc>
          <w:tcPr>
            <w:tcW w:w="1695" w:type="dxa"/>
            <w:shd w:val="clear" w:color="auto" w:fill="BFBFBF" w:themeFill="background1" w:themeFillShade="BF"/>
            <w:vAlign w:val="center"/>
          </w:tcPr>
          <w:p w:rsidR="00FB1520" w:rsidRPr="005A66B1" w:rsidRDefault="00FB1520" w:rsidP="00FE06AB">
            <w:pPr>
              <w:pStyle w:val="NICEnormal"/>
              <w:spacing w:after="0" w:line="240" w:lineRule="auto"/>
              <w:rPr>
                <w:rFonts w:cs="Arial"/>
                <w:b/>
                <w:sz w:val="20"/>
                <w:szCs w:val="20"/>
              </w:rPr>
            </w:pPr>
            <w:r w:rsidRPr="005A66B1">
              <w:rPr>
                <w:rFonts w:cs="Arial"/>
                <w:b/>
                <w:sz w:val="20"/>
                <w:szCs w:val="20"/>
              </w:rPr>
              <w:lastRenderedPageBreak/>
              <w:t xml:space="preserve">Severe </w:t>
            </w:r>
            <w:r w:rsidRPr="005A66B1">
              <w:rPr>
                <w:rFonts w:cs="Arial"/>
                <w:b/>
                <w:sz w:val="20"/>
                <w:szCs w:val="20"/>
              </w:rPr>
              <w:lastRenderedPageBreak/>
              <w:t>overload</w:t>
            </w:r>
          </w:p>
        </w:tc>
      </w:tr>
      <w:tr w:rsidR="001B7724" w:rsidRPr="005A66B1" w:rsidTr="00216061">
        <w:tc>
          <w:tcPr>
            <w:tcW w:w="8472" w:type="dxa"/>
            <w:gridSpan w:val="5"/>
            <w:shd w:val="clear" w:color="auto" w:fill="808080" w:themeFill="background1" w:themeFillShade="80"/>
            <w:vAlign w:val="center"/>
          </w:tcPr>
          <w:p w:rsidR="001B7724" w:rsidRPr="005A66B1" w:rsidRDefault="001B7724" w:rsidP="00FE06AB">
            <w:pPr>
              <w:pStyle w:val="NICEnormal"/>
              <w:spacing w:after="0" w:line="240" w:lineRule="auto"/>
              <w:jc w:val="center"/>
              <w:rPr>
                <w:rFonts w:cs="Arial"/>
                <w:b/>
                <w:sz w:val="20"/>
                <w:szCs w:val="20"/>
              </w:rPr>
            </w:pPr>
            <w:r>
              <w:rPr>
                <w:rFonts w:cs="Arial"/>
                <w:b/>
                <w:color w:val="FFFFFF" w:themeColor="background1"/>
                <w:sz w:val="20"/>
                <w:szCs w:val="20"/>
              </w:rPr>
              <w:lastRenderedPageBreak/>
              <w:t>0%</w:t>
            </w:r>
            <w:r w:rsidRPr="00690582">
              <w:rPr>
                <w:rFonts w:cs="Arial"/>
                <w:b/>
                <w:color w:val="FFFFFF" w:themeColor="background1"/>
                <w:sz w:val="20"/>
                <w:szCs w:val="20"/>
              </w:rPr>
              <w:t xml:space="preserve"> capital costs</w:t>
            </w:r>
            <w:r>
              <w:rPr>
                <w:rFonts w:cs="Arial"/>
                <w:b/>
                <w:color w:val="FFFFFF" w:themeColor="background1"/>
                <w:sz w:val="20"/>
                <w:szCs w:val="20"/>
              </w:rPr>
              <w:t xml:space="preserve"> for SCD</w:t>
            </w:r>
          </w:p>
        </w:tc>
      </w:tr>
      <w:tr w:rsidR="00FB1520" w:rsidRPr="005A66B1" w:rsidTr="00216061">
        <w:tc>
          <w:tcPr>
            <w:tcW w:w="1694" w:type="dxa"/>
            <w:shd w:val="clear" w:color="auto" w:fill="BFBFBF" w:themeFill="background1" w:themeFillShade="BF"/>
            <w:vAlign w:val="center"/>
          </w:tcPr>
          <w:p w:rsidR="00FB1520" w:rsidRPr="005A66B1" w:rsidRDefault="00FB1520" w:rsidP="00FE06AB">
            <w:pPr>
              <w:rPr>
                <w:rFonts w:ascii="Arial" w:hAnsi="Arial" w:cs="Arial"/>
                <w:sz w:val="20"/>
                <w:szCs w:val="20"/>
              </w:rPr>
            </w:pPr>
            <w:r>
              <w:rPr>
                <w:rFonts w:ascii="Arial" w:hAnsi="Arial" w:cs="Arial"/>
                <w:sz w:val="20"/>
                <w:szCs w:val="20"/>
              </w:rPr>
              <w:t>Adults</w:t>
            </w:r>
          </w:p>
        </w:tc>
        <w:tc>
          <w:tcPr>
            <w:tcW w:w="1694" w:type="dxa"/>
            <w:shd w:val="clear" w:color="auto" w:fill="auto"/>
            <w:vAlign w:val="center"/>
          </w:tcPr>
          <w:p w:rsidR="00FB1520" w:rsidRPr="005A66B1" w:rsidRDefault="00FB1520" w:rsidP="00FE06AB">
            <w:pPr>
              <w:rPr>
                <w:rFonts w:ascii="Arial" w:hAnsi="Arial" w:cs="Arial"/>
                <w:sz w:val="20"/>
                <w:szCs w:val="20"/>
              </w:rPr>
            </w:pPr>
            <w:r>
              <w:rPr>
                <w:rFonts w:ascii="Arial" w:hAnsi="Arial" w:cs="Arial"/>
                <w:sz w:val="20"/>
                <w:szCs w:val="20"/>
              </w:rPr>
              <w:t>−</w:t>
            </w:r>
            <w:r w:rsidRPr="005A66B1">
              <w:rPr>
                <w:rFonts w:ascii="Arial" w:hAnsi="Arial" w:cs="Arial"/>
                <w:sz w:val="20"/>
                <w:szCs w:val="20"/>
              </w:rPr>
              <w:t>£77,483</w:t>
            </w:r>
          </w:p>
        </w:tc>
        <w:tc>
          <w:tcPr>
            <w:tcW w:w="1695" w:type="dxa"/>
            <w:shd w:val="clear" w:color="auto" w:fill="auto"/>
            <w:vAlign w:val="center"/>
          </w:tcPr>
          <w:p w:rsidR="00FB1520" w:rsidRPr="005A66B1" w:rsidRDefault="00FB1520" w:rsidP="00FE06AB">
            <w:pPr>
              <w:rPr>
                <w:rFonts w:ascii="Arial" w:hAnsi="Arial" w:cs="Arial"/>
                <w:sz w:val="20"/>
                <w:szCs w:val="20"/>
              </w:rPr>
            </w:pPr>
            <w:r>
              <w:rPr>
                <w:rFonts w:ascii="Arial" w:hAnsi="Arial" w:cs="Arial"/>
                <w:sz w:val="20"/>
                <w:szCs w:val="20"/>
              </w:rPr>
              <w:t>−</w:t>
            </w:r>
            <w:r w:rsidRPr="005A66B1">
              <w:rPr>
                <w:rFonts w:ascii="Arial" w:hAnsi="Arial" w:cs="Arial"/>
                <w:sz w:val="20"/>
                <w:szCs w:val="20"/>
              </w:rPr>
              <w:t>£81,493</w:t>
            </w:r>
          </w:p>
        </w:tc>
        <w:tc>
          <w:tcPr>
            <w:tcW w:w="1694" w:type="dxa"/>
            <w:shd w:val="clear" w:color="auto" w:fill="auto"/>
            <w:vAlign w:val="center"/>
          </w:tcPr>
          <w:p w:rsidR="00FB1520" w:rsidRPr="005A66B1" w:rsidRDefault="00FB1520" w:rsidP="00FE06AB">
            <w:pPr>
              <w:rPr>
                <w:rFonts w:ascii="Arial" w:hAnsi="Arial" w:cs="Arial"/>
                <w:sz w:val="20"/>
                <w:szCs w:val="20"/>
              </w:rPr>
            </w:pPr>
            <w:r>
              <w:rPr>
                <w:rFonts w:ascii="Arial" w:hAnsi="Arial" w:cs="Arial"/>
                <w:sz w:val="20"/>
                <w:szCs w:val="20"/>
              </w:rPr>
              <w:t>−</w:t>
            </w:r>
            <w:r w:rsidRPr="005A66B1">
              <w:rPr>
                <w:rFonts w:ascii="Arial" w:hAnsi="Arial" w:cs="Arial"/>
                <w:sz w:val="20"/>
                <w:szCs w:val="20"/>
              </w:rPr>
              <w:t>£9,855</w:t>
            </w:r>
          </w:p>
        </w:tc>
        <w:tc>
          <w:tcPr>
            <w:tcW w:w="1695" w:type="dxa"/>
            <w:shd w:val="clear" w:color="auto" w:fill="auto"/>
            <w:vAlign w:val="center"/>
          </w:tcPr>
          <w:p w:rsidR="00FB1520" w:rsidRPr="005A66B1" w:rsidRDefault="00FB1520" w:rsidP="00FE06AB">
            <w:pPr>
              <w:rPr>
                <w:rFonts w:ascii="Arial" w:hAnsi="Arial" w:cs="Arial"/>
                <w:sz w:val="20"/>
                <w:szCs w:val="20"/>
              </w:rPr>
            </w:pPr>
            <w:r>
              <w:rPr>
                <w:rFonts w:ascii="Arial" w:hAnsi="Arial" w:cs="Arial"/>
                <w:sz w:val="20"/>
                <w:szCs w:val="20"/>
              </w:rPr>
              <w:t>(</w:t>
            </w:r>
            <w:r w:rsidRPr="005A66B1">
              <w:rPr>
                <w:rFonts w:ascii="Arial" w:hAnsi="Arial" w:cs="Arial"/>
                <w:sz w:val="20"/>
                <w:szCs w:val="20"/>
              </w:rPr>
              <w:t>£4,152</w:t>
            </w:r>
            <w:r>
              <w:rPr>
                <w:rFonts w:ascii="Arial" w:hAnsi="Arial" w:cs="Arial"/>
                <w:sz w:val="20"/>
                <w:szCs w:val="20"/>
              </w:rPr>
              <w:t>)</w:t>
            </w:r>
          </w:p>
        </w:tc>
      </w:tr>
      <w:tr w:rsidR="00FB1520" w:rsidRPr="005A66B1" w:rsidTr="00216061">
        <w:tc>
          <w:tcPr>
            <w:tcW w:w="1694" w:type="dxa"/>
            <w:shd w:val="clear" w:color="auto" w:fill="BFBFBF" w:themeFill="background1" w:themeFillShade="BF"/>
            <w:vAlign w:val="center"/>
          </w:tcPr>
          <w:p w:rsidR="00FB1520" w:rsidRPr="005A66B1" w:rsidRDefault="00FB1520" w:rsidP="00FE06AB">
            <w:pPr>
              <w:rPr>
                <w:rFonts w:ascii="Arial" w:hAnsi="Arial" w:cs="Arial"/>
                <w:sz w:val="20"/>
                <w:szCs w:val="20"/>
              </w:rPr>
            </w:pPr>
            <w:r w:rsidRPr="003643AE">
              <w:rPr>
                <w:rFonts w:ascii="Arial" w:hAnsi="Arial" w:cs="Arial"/>
                <w:sz w:val="20"/>
                <w:szCs w:val="20"/>
              </w:rPr>
              <w:t>Children (2° prevention)</w:t>
            </w:r>
          </w:p>
        </w:tc>
        <w:tc>
          <w:tcPr>
            <w:tcW w:w="1694" w:type="dxa"/>
            <w:shd w:val="clear" w:color="auto" w:fill="auto"/>
            <w:vAlign w:val="center"/>
          </w:tcPr>
          <w:p w:rsidR="00FB1520" w:rsidRPr="005A66B1" w:rsidRDefault="00FB1520" w:rsidP="00FE06AB">
            <w:pPr>
              <w:rPr>
                <w:rFonts w:ascii="Arial" w:hAnsi="Arial" w:cs="Arial"/>
                <w:sz w:val="20"/>
                <w:szCs w:val="20"/>
              </w:rPr>
            </w:pPr>
            <w:r>
              <w:rPr>
                <w:rFonts w:ascii="Arial" w:hAnsi="Arial" w:cs="Arial"/>
                <w:sz w:val="20"/>
                <w:szCs w:val="20"/>
              </w:rPr>
              <w:t>−</w:t>
            </w:r>
            <w:r w:rsidRPr="005A66B1">
              <w:rPr>
                <w:rFonts w:ascii="Arial" w:hAnsi="Arial" w:cs="Arial"/>
                <w:sz w:val="20"/>
                <w:szCs w:val="20"/>
              </w:rPr>
              <w:t>£35,424</w:t>
            </w:r>
          </w:p>
        </w:tc>
        <w:tc>
          <w:tcPr>
            <w:tcW w:w="1695" w:type="dxa"/>
            <w:shd w:val="clear" w:color="auto" w:fill="auto"/>
            <w:vAlign w:val="center"/>
          </w:tcPr>
          <w:p w:rsidR="00FB1520" w:rsidRPr="005A66B1" w:rsidRDefault="00FB1520" w:rsidP="00FE06AB">
            <w:pPr>
              <w:rPr>
                <w:rFonts w:ascii="Arial" w:hAnsi="Arial" w:cs="Arial"/>
                <w:sz w:val="20"/>
                <w:szCs w:val="20"/>
              </w:rPr>
            </w:pPr>
            <w:r>
              <w:rPr>
                <w:rFonts w:ascii="Arial" w:hAnsi="Arial" w:cs="Arial"/>
                <w:sz w:val="20"/>
                <w:szCs w:val="20"/>
              </w:rPr>
              <w:t>−</w:t>
            </w:r>
            <w:r w:rsidRPr="005A66B1">
              <w:rPr>
                <w:rFonts w:ascii="Arial" w:hAnsi="Arial" w:cs="Arial"/>
                <w:sz w:val="20"/>
                <w:szCs w:val="20"/>
              </w:rPr>
              <w:t>£37,322</w:t>
            </w:r>
          </w:p>
        </w:tc>
        <w:tc>
          <w:tcPr>
            <w:tcW w:w="1694" w:type="dxa"/>
            <w:shd w:val="clear" w:color="auto" w:fill="auto"/>
            <w:vAlign w:val="center"/>
          </w:tcPr>
          <w:p w:rsidR="00FB1520" w:rsidRPr="005A66B1" w:rsidRDefault="00FB1520" w:rsidP="00FE06AB">
            <w:pPr>
              <w:rPr>
                <w:rFonts w:ascii="Arial" w:hAnsi="Arial" w:cs="Arial"/>
                <w:sz w:val="20"/>
                <w:szCs w:val="20"/>
              </w:rPr>
            </w:pPr>
            <w:r>
              <w:rPr>
                <w:rFonts w:ascii="Arial" w:hAnsi="Arial" w:cs="Arial"/>
                <w:sz w:val="20"/>
                <w:szCs w:val="20"/>
              </w:rPr>
              <w:t>−</w:t>
            </w:r>
            <w:r w:rsidRPr="005A66B1">
              <w:rPr>
                <w:rFonts w:ascii="Arial" w:hAnsi="Arial" w:cs="Arial"/>
                <w:sz w:val="20"/>
                <w:szCs w:val="20"/>
              </w:rPr>
              <w:t>£3,402</w:t>
            </w:r>
          </w:p>
        </w:tc>
        <w:tc>
          <w:tcPr>
            <w:tcW w:w="1695" w:type="dxa"/>
            <w:shd w:val="clear" w:color="auto" w:fill="auto"/>
            <w:vAlign w:val="center"/>
          </w:tcPr>
          <w:p w:rsidR="00FB1520" w:rsidRPr="005A66B1" w:rsidRDefault="00FB1520" w:rsidP="00FE06AB">
            <w:pPr>
              <w:rPr>
                <w:rFonts w:ascii="Arial" w:hAnsi="Arial" w:cs="Arial"/>
                <w:sz w:val="20"/>
                <w:szCs w:val="20"/>
              </w:rPr>
            </w:pPr>
            <w:r>
              <w:rPr>
                <w:rFonts w:ascii="Arial" w:hAnsi="Arial" w:cs="Arial"/>
                <w:sz w:val="20"/>
                <w:szCs w:val="20"/>
              </w:rPr>
              <w:t>(</w:t>
            </w:r>
            <w:r w:rsidRPr="005A66B1">
              <w:rPr>
                <w:rFonts w:ascii="Arial" w:hAnsi="Arial" w:cs="Arial"/>
                <w:sz w:val="20"/>
                <w:szCs w:val="20"/>
              </w:rPr>
              <w:t>£3,230</w:t>
            </w:r>
            <w:r>
              <w:rPr>
                <w:rFonts w:ascii="Arial" w:hAnsi="Arial" w:cs="Arial"/>
                <w:sz w:val="20"/>
                <w:szCs w:val="20"/>
              </w:rPr>
              <w:t>)</w:t>
            </w:r>
          </w:p>
        </w:tc>
      </w:tr>
      <w:tr w:rsidR="00FB1520" w:rsidRPr="005A66B1" w:rsidTr="00216061">
        <w:tc>
          <w:tcPr>
            <w:tcW w:w="1694" w:type="dxa"/>
            <w:shd w:val="clear" w:color="auto" w:fill="BFBFBF" w:themeFill="background1" w:themeFillShade="BF"/>
            <w:vAlign w:val="center"/>
          </w:tcPr>
          <w:p w:rsidR="00FB1520" w:rsidRPr="005A66B1" w:rsidRDefault="00FB1520" w:rsidP="00FE06AB">
            <w:pPr>
              <w:rPr>
                <w:rFonts w:ascii="Arial" w:hAnsi="Arial" w:cs="Arial"/>
                <w:sz w:val="20"/>
                <w:szCs w:val="20"/>
              </w:rPr>
            </w:pPr>
            <w:r w:rsidRPr="003643AE">
              <w:rPr>
                <w:rFonts w:ascii="Arial" w:hAnsi="Arial" w:cs="Arial"/>
                <w:sz w:val="20"/>
                <w:szCs w:val="20"/>
              </w:rPr>
              <w:t>Children (1° prevention)</w:t>
            </w:r>
          </w:p>
        </w:tc>
        <w:tc>
          <w:tcPr>
            <w:tcW w:w="1694" w:type="dxa"/>
            <w:shd w:val="clear" w:color="auto" w:fill="auto"/>
            <w:vAlign w:val="center"/>
          </w:tcPr>
          <w:p w:rsidR="00FB1520" w:rsidRPr="005A66B1" w:rsidRDefault="00FB1520" w:rsidP="00FE06AB">
            <w:pPr>
              <w:rPr>
                <w:rFonts w:ascii="Arial" w:hAnsi="Arial" w:cs="Arial"/>
                <w:sz w:val="20"/>
                <w:szCs w:val="20"/>
              </w:rPr>
            </w:pPr>
            <w:r>
              <w:rPr>
                <w:rFonts w:ascii="Arial" w:hAnsi="Arial" w:cs="Arial"/>
                <w:sz w:val="20"/>
                <w:szCs w:val="20"/>
              </w:rPr>
              <w:t>−</w:t>
            </w:r>
            <w:r w:rsidRPr="005A66B1">
              <w:rPr>
                <w:rFonts w:ascii="Arial" w:hAnsi="Arial" w:cs="Arial"/>
                <w:sz w:val="20"/>
                <w:szCs w:val="20"/>
              </w:rPr>
              <w:t>£31,681</w:t>
            </w:r>
          </w:p>
        </w:tc>
        <w:tc>
          <w:tcPr>
            <w:tcW w:w="1695" w:type="dxa"/>
            <w:shd w:val="clear" w:color="auto" w:fill="auto"/>
            <w:vAlign w:val="center"/>
          </w:tcPr>
          <w:p w:rsidR="00FB1520" w:rsidRPr="005A66B1" w:rsidRDefault="00FB1520" w:rsidP="00FE06AB">
            <w:pPr>
              <w:rPr>
                <w:rFonts w:ascii="Arial" w:hAnsi="Arial" w:cs="Arial"/>
                <w:sz w:val="20"/>
                <w:szCs w:val="20"/>
              </w:rPr>
            </w:pPr>
            <w:r>
              <w:rPr>
                <w:rFonts w:ascii="Arial" w:hAnsi="Arial" w:cs="Arial"/>
                <w:sz w:val="20"/>
                <w:szCs w:val="20"/>
              </w:rPr>
              <w:t>−</w:t>
            </w:r>
            <w:r w:rsidRPr="005A66B1">
              <w:rPr>
                <w:rFonts w:ascii="Arial" w:hAnsi="Arial" w:cs="Arial"/>
                <w:sz w:val="20"/>
                <w:szCs w:val="20"/>
              </w:rPr>
              <w:t>£33,580</w:t>
            </w:r>
          </w:p>
        </w:tc>
        <w:tc>
          <w:tcPr>
            <w:tcW w:w="1694" w:type="dxa"/>
            <w:shd w:val="clear" w:color="auto" w:fill="auto"/>
            <w:vAlign w:val="center"/>
          </w:tcPr>
          <w:p w:rsidR="00FB1520" w:rsidRPr="005A66B1" w:rsidRDefault="00FB1520" w:rsidP="00FE06AB">
            <w:pPr>
              <w:rPr>
                <w:rFonts w:ascii="Arial" w:hAnsi="Arial" w:cs="Arial"/>
                <w:sz w:val="20"/>
                <w:szCs w:val="20"/>
              </w:rPr>
            </w:pPr>
            <w:r w:rsidRPr="005A66B1">
              <w:rPr>
                <w:rFonts w:ascii="Arial" w:hAnsi="Arial" w:cs="Arial"/>
                <w:sz w:val="20"/>
                <w:szCs w:val="20"/>
              </w:rPr>
              <w:t>£341</w:t>
            </w:r>
          </w:p>
        </w:tc>
        <w:tc>
          <w:tcPr>
            <w:tcW w:w="1695" w:type="dxa"/>
            <w:shd w:val="clear" w:color="auto" w:fill="auto"/>
            <w:vAlign w:val="center"/>
          </w:tcPr>
          <w:p w:rsidR="00FB1520" w:rsidRPr="005A66B1" w:rsidRDefault="00FB1520" w:rsidP="00FE06AB">
            <w:pPr>
              <w:rPr>
                <w:rFonts w:ascii="Arial" w:hAnsi="Arial" w:cs="Arial"/>
                <w:sz w:val="20"/>
                <w:szCs w:val="20"/>
              </w:rPr>
            </w:pPr>
            <w:r>
              <w:rPr>
                <w:rFonts w:ascii="Arial" w:hAnsi="Arial" w:cs="Arial"/>
                <w:sz w:val="20"/>
                <w:szCs w:val="20"/>
              </w:rPr>
              <w:t>(</w:t>
            </w:r>
            <w:r w:rsidRPr="005A66B1">
              <w:rPr>
                <w:rFonts w:ascii="Arial" w:hAnsi="Arial" w:cs="Arial"/>
                <w:sz w:val="20"/>
                <w:szCs w:val="20"/>
              </w:rPr>
              <w:t>£6,973</w:t>
            </w:r>
            <w:r>
              <w:rPr>
                <w:rFonts w:ascii="Arial" w:hAnsi="Arial" w:cs="Arial"/>
                <w:sz w:val="20"/>
                <w:szCs w:val="20"/>
              </w:rPr>
              <w:t>)</w:t>
            </w:r>
          </w:p>
        </w:tc>
      </w:tr>
      <w:tr w:rsidR="001B7724" w:rsidRPr="005A66B1" w:rsidTr="00216061">
        <w:tc>
          <w:tcPr>
            <w:tcW w:w="8472" w:type="dxa"/>
            <w:gridSpan w:val="5"/>
            <w:shd w:val="clear" w:color="auto" w:fill="808080" w:themeFill="background1" w:themeFillShade="80"/>
            <w:vAlign w:val="center"/>
          </w:tcPr>
          <w:p w:rsidR="001B7724" w:rsidRPr="005A66B1" w:rsidRDefault="001B7724" w:rsidP="00FE06AB">
            <w:pPr>
              <w:pStyle w:val="NICEnormal"/>
              <w:spacing w:after="0" w:line="240" w:lineRule="auto"/>
              <w:jc w:val="center"/>
              <w:rPr>
                <w:rFonts w:cs="Arial"/>
                <w:b/>
                <w:sz w:val="20"/>
                <w:szCs w:val="20"/>
              </w:rPr>
            </w:pPr>
            <w:r w:rsidRPr="00690582">
              <w:rPr>
                <w:rFonts w:cs="Arial"/>
                <w:b/>
                <w:color w:val="FFFFFF" w:themeColor="background1"/>
                <w:sz w:val="20"/>
                <w:szCs w:val="20"/>
              </w:rPr>
              <w:t>50% capital costs</w:t>
            </w:r>
            <w:r>
              <w:rPr>
                <w:rFonts w:cs="Arial"/>
                <w:b/>
                <w:color w:val="FFFFFF" w:themeColor="background1"/>
                <w:sz w:val="20"/>
                <w:szCs w:val="20"/>
              </w:rPr>
              <w:t xml:space="preserve"> for SCD</w:t>
            </w:r>
          </w:p>
        </w:tc>
      </w:tr>
      <w:tr w:rsidR="00FB1520" w:rsidRPr="005A66B1" w:rsidTr="00216061">
        <w:tc>
          <w:tcPr>
            <w:tcW w:w="1694" w:type="dxa"/>
            <w:shd w:val="clear" w:color="auto" w:fill="BFBFBF" w:themeFill="background1" w:themeFillShade="BF"/>
            <w:vAlign w:val="center"/>
          </w:tcPr>
          <w:p w:rsidR="00FB1520" w:rsidRPr="005A66B1" w:rsidRDefault="00FB1520" w:rsidP="00FE06AB">
            <w:pPr>
              <w:pStyle w:val="NICEnormal"/>
              <w:spacing w:after="0" w:line="240" w:lineRule="auto"/>
              <w:rPr>
                <w:rFonts w:cs="Arial"/>
                <w:sz w:val="20"/>
                <w:szCs w:val="20"/>
              </w:rPr>
            </w:pPr>
            <w:r>
              <w:rPr>
                <w:rFonts w:cs="Arial"/>
                <w:sz w:val="20"/>
                <w:szCs w:val="20"/>
              </w:rPr>
              <w:t>Adults</w:t>
            </w:r>
          </w:p>
        </w:tc>
        <w:tc>
          <w:tcPr>
            <w:tcW w:w="1694" w:type="dxa"/>
            <w:shd w:val="clear" w:color="auto" w:fill="auto"/>
            <w:vAlign w:val="center"/>
          </w:tcPr>
          <w:p w:rsidR="00FB1520" w:rsidRPr="005A66B1" w:rsidRDefault="00FB1520" w:rsidP="00FE06AB">
            <w:pPr>
              <w:rPr>
                <w:rFonts w:ascii="Arial" w:hAnsi="Arial" w:cs="Arial"/>
                <w:sz w:val="20"/>
                <w:szCs w:val="20"/>
              </w:rPr>
            </w:pPr>
            <w:r>
              <w:rPr>
                <w:rFonts w:ascii="Arial" w:hAnsi="Arial" w:cs="Arial"/>
                <w:sz w:val="20"/>
                <w:szCs w:val="20"/>
              </w:rPr>
              <w:t>−</w:t>
            </w:r>
            <w:r w:rsidRPr="005A66B1">
              <w:rPr>
                <w:rFonts w:ascii="Arial" w:hAnsi="Arial" w:cs="Arial"/>
                <w:sz w:val="20"/>
                <w:szCs w:val="20"/>
              </w:rPr>
              <w:t>£69,027</w:t>
            </w:r>
          </w:p>
        </w:tc>
        <w:tc>
          <w:tcPr>
            <w:tcW w:w="1695" w:type="dxa"/>
            <w:shd w:val="clear" w:color="auto" w:fill="auto"/>
            <w:vAlign w:val="center"/>
          </w:tcPr>
          <w:p w:rsidR="00FB1520" w:rsidRPr="005A66B1" w:rsidRDefault="00FB1520" w:rsidP="00FE06AB">
            <w:pPr>
              <w:rPr>
                <w:rFonts w:ascii="Arial" w:hAnsi="Arial" w:cs="Arial"/>
                <w:sz w:val="20"/>
                <w:szCs w:val="20"/>
              </w:rPr>
            </w:pPr>
            <w:r>
              <w:rPr>
                <w:rFonts w:ascii="Arial" w:hAnsi="Arial" w:cs="Arial"/>
                <w:sz w:val="20"/>
                <w:szCs w:val="20"/>
              </w:rPr>
              <w:t>−</w:t>
            </w:r>
            <w:r w:rsidRPr="005A66B1">
              <w:rPr>
                <w:rFonts w:ascii="Arial" w:hAnsi="Arial" w:cs="Arial"/>
                <w:sz w:val="20"/>
                <w:szCs w:val="20"/>
              </w:rPr>
              <w:t>£73,037</w:t>
            </w:r>
          </w:p>
        </w:tc>
        <w:tc>
          <w:tcPr>
            <w:tcW w:w="1694" w:type="dxa"/>
            <w:shd w:val="clear" w:color="auto" w:fill="auto"/>
            <w:vAlign w:val="center"/>
          </w:tcPr>
          <w:p w:rsidR="00FB1520" w:rsidRPr="005A66B1" w:rsidRDefault="00FB1520" w:rsidP="00FE06AB">
            <w:pPr>
              <w:rPr>
                <w:rFonts w:ascii="Arial" w:hAnsi="Arial" w:cs="Arial"/>
                <w:sz w:val="20"/>
                <w:szCs w:val="20"/>
              </w:rPr>
            </w:pPr>
            <w:r>
              <w:rPr>
                <w:rFonts w:ascii="Arial" w:hAnsi="Arial" w:cs="Arial"/>
                <w:sz w:val="20"/>
                <w:szCs w:val="20"/>
              </w:rPr>
              <w:t>−</w:t>
            </w:r>
            <w:r w:rsidRPr="005A66B1">
              <w:rPr>
                <w:rFonts w:ascii="Arial" w:hAnsi="Arial" w:cs="Arial"/>
                <w:sz w:val="20"/>
                <w:szCs w:val="20"/>
              </w:rPr>
              <w:t>£1,399</w:t>
            </w:r>
          </w:p>
        </w:tc>
        <w:tc>
          <w:tcPr>
            <w:tcW w:w="1695" w:type="dxa"/>
            <w:shd w:val="clear" w:color="auto" w:fill="auto"/>
            <w:vAlign w:val="center"/>
          </w:tcPr>
          <w:p w:rsidR="00FB1520" w:rsidRPr="005A66B1" w:rsidRDefault="00FB1520" w:rsidP="00FE06AB">
            <w:pPr>
              <w:rPr>
                <w:rFonts w:ascii="Arial" w:hAnsi="Arial" w:cs="Arial"/>
                <w:sz w:val="20"/>
                <w:szCs w:val="20"/>
              </w:rPr>
            </w:pPr>
            <w:r>
              <w:rPr>
                <w:rFonts w:ascii="Arial" w:hAnsi="Arial" w:cs="Arial"/>
                <w:sz w:val="20"/>
                <w:szCs w:val="20"/>
              </w:rPr>
              <w:t>(</w:t>
            </w:r>
            <w:r w:rsidRPr="005A66B1">
              <w:rPr>
                <w:rFonts w:ascii="Arial" w:hAnsi="Arial" w:cs="Arial"/>
                <w:sz w:val="20"/>
                <w:szCs w:val="20"/>
              </w:rPr>
              <w:t>£12,609</w:t>
            </w:r>
            <w:r>
              <w:rPr>
                <w:rFonts w:ascii="Arial" w:hAnsi="Arial" w:cs="Arial"/>
                <w:sz w:val="20"/>
                <w:szCs w:val="20"/>
              </w:rPr>
              <w:t>)</w:t>
            </w:r>
          </w:p>
        </w:tc>
      </w:tr>
      <w:tr w:rsidR="00FB1520" w:rsidRPr="005A66B1" w:rsidTr="00216061">
        <w:tc>
          <w:tcPr>
            <w:tcW w:w="1694" w:type="dxa"/>
            <w:shd w:val="clear" w:color="auto" w:fill="BFBFBF" w:themeFill="background1" w:themeFillShade="BF"/>
            <w:vAlign w:val="center"/>
          </w:tcPr>
          <w:p w:rsidR="00FB1520" w:rsidRPr="005A66B1" w:rsidRDefault="00FB1520" w:rsidP="00FE06AB">
            <w:pPr>
              <w:rPr>
                <w:rFonts w:ascii="Arial" w:hAnsi="Arial" w:cs="Arial"/>
                <w:sz w:val="20"/>
                <w:szCs w:val="20"/>
              </w:rPr>
            </w:pPr>
            <w:r w:rsidRPr="003643AE">
              <w:rPr>
                <w:rFonts w:ascii="Arial" w:hAnsi="Arial" w:cs="Arial"/>
                <w:sz w:val="20"/>
                <w:szCs w:val="20"/>
              </w:rPr>
              <w:t>Children (2° prevention)</w:t>
            </w:r>
          </w:p>
        </w:tc>
        <w:tc>
          <w:tcPr>
            <w:tcW w:w="1694" w:type="dxa"/>
            <w:shd w:val="clear" w:color="auto" w:fill="auto"/>
            <w:vAlign w:val="center"/>
          </w:tcPr>
          <w:p w:rsidR="00FB1520" w:rsidRPr="005A66B1" w:rsidRDefault="00FB1520" w:rsidP="00FE06AB">
            <w:pPr>
              <w:rPr>
                <w:rFonts w:ascii="Arial" w:hAnsi="Arial" w:cs="Arial"/>
                <w:sz w:val="20"/>
                <w:szCs w:val="20"/>
              </w:rPr>
            </w:pPr>
            <w:r>
              <w:rPr>
                <w:rFonts w:ascii="Arial" w:hAnsi="Arial" w:cs="Arial"/>
                <w:sz w:val="20"/>
                <w:szCs w:val="20"/>
              </w:rPr>
              <w:t>−</w:t>
            </w:r>
            <w:r w:rsidRPr="005A66B1">
              <w:rPr>
                <w:rFonts w:ascii="Arial" w:hAnsi="Arial" w:cs="Arial"/>
                <w:sz w:val="20"/>
                <w:szCs w:val="20"/>
              </w:rPr>
              <w:t>£26,967</w:t>
            </w:r>
          </w:p>
        </w:tc>
        <w:tc>
          <w:tcPr>
            <w:tcW w:w="1695" w:type="dxa"/>
            <w:shd w:val="clear" w:color="auto" w:fill="auto"/>
            <w:vAlign w:val="center"/>
          </w:tcPr>
          <w:p w:rsidR="00FB1520" w:rsidRPr="005A66B1" w:rsidRDefault="00FB1520" w:rsidP="00FE06AB">
            <w:pPr>
              <w:rPr>
                <w:rFonts w:ascii="Arial" w:hAnsi="Arial" w:cs="Arial"/>
                <w:sz w:val="20"/>
                <w:szCs w:val="20"/>
              </w:rPr>
            </w:pPr>
            <w:r>
              <w:rPr>
                <w:rFonts w:ascii="Arial" w:hAnsi="Arial" w:cs="Arial"/>
                <w:sz w:val="20"/>
                <w:szCs w:val="20"/>
              </w:rPr>
              <w:t>−</w:t>
            </w:r>
            <w:r w:rsidRPr="005A66B1">
              <w:rPr>
                <w:rFonts w:ascii="Arial" w:hAnsi="Arial" w:cs="Arial"/>
                <w:sz w:val="20"/>
                <w:szCs w:val="20"/>
              </w:rPr>
              <w:t>£28,866</w:t>
            </w:r>
          </w:p>
        </w:tc>
        <w:tc>
          <w:tcPr>
            <w:tcW w:w="1694" w:type="dxa"/>
            <w:shd w:val="clear" w:color="auto" w:fill="auto"/>
            <w:vAlign w:val="center"/>
          </w:tcPr>
          <w:p w:rsidR="00FB1520" w:rsidRPr="005A66B1" w:rsidRDefault="00FB1520" w:rsidP="00FE06AB">
            <w:pPr>
              <w:rPr>
                <w:rFonts w:ascii="Arial" w:hAnsi="Arial" w:cs="Arial"/>
                <w:sz w:val="20"/>
                <w:szCs w:val="20"/>
              </w:rPr>
            </w:pPr>
            <w:r w:rsidRPr="005A66B1">
              <w:rPr>
                <w:rFonts w:ascii="Arial" w:hAnsi="Arial" w:cs="Arial"/>
                <w:sz w:val="20"/>
                <w:szCs w:val="20"/>
              </w:rPr>
              <w:t>£5,054</w:t>
            </w:r>
          </w:p>
        </w:tc>
        <w:tc>
          <w:tcPr>
            <w:tcW w:w="1695" w:type="dxa"/>
            <w:shd w:val="clear" w:color="auto" w:fill="auto"/>
            <w:vAlign w:val="center"/>
          </w:tcPr>
          <w:p w:rsidR="00FB1520" w:rsidRPr="005A66B1" w:rsidRDefault="00FB1520" w:rsidP="00FE06AB">
            <w:pPr>
              <w:rPr>
                <w:rFonts w:ascii="Arial" w:hAnsi="Arial" w:cs="Arial"/>
                <w:sz w:val="20"/>
                <w:szCs w:val="20"/>
              </w:rPr>
            </w:pPr>
            <w:r>
              <w:rPr>
                <w:rFonts w:ascii="Arial" w:hAnsi="Arial" w:cs="Arial"/>
                <w:sz w:val="20"/>
                <w:szCs w:val="20"/>
              </w:rPr>
              <w:t>(</w:t>
            </w:r>
            <w:r w:rsidRPr="005A66B1">
              <w:rPr>
                <w:rFonts w:ascii="Arial" w:hAnsi="Arial" w:cs="Arial"/>
                <w:sz w:val="20"/>
                <w:szCs w:val="20"/>
              </w:rPr>
              <w:t>£11,687</w:t>
            </w:r>
            <w:r>
              <w:rPr>
                <w:rFonts w:ascii="Arial" w:hAnsi="Arial" w:cs="Arial"/>
                <w:sz w:val="20"/>
                <w:szCs w:val="20"/>
              </w:rPr>
              <w:t>)</w:t>
            </w:r>
          </w:p>
        </w:tc>
      </w:tr>
      <w:tr w:rsidR="00FB1520" w:rsidRPr="005A66B1" w:rsidTr="00216061">
        <w:tc>
          <w:tcPr>
            <w:tcW w:w="1694" w:type="dxa"/>
            <w:shd w:val="clear" w:color="auto" w:fill="BFBFBF" w:themeFill="background1" w:themeFillShade="BF"/>
            <w:vAlign w:val="center"/>
          </w:tcPr>
          <w:p w:rsidR="00FB1520" w:rsidRPr="005A66B1" w:rsidRDefault="00FB1520" w:rsidP="00FE06AB">
            <w:pPr>
              <w:pStyle w:val="NICEnormal"/>
              <w:spacing w:after="0" w:line="240" w:lineRule="auto"/>
              <w:rPr>
                <w:rFonts w:cs="Arial"/>
                <w:sz w:val="20"/>
                <w:szCs w:val="20"/>
              </w:rPr>
            </w:pPr>
            <w:r w:rsidRPr="003643AE">
              <w:rPr>
                <w:rFonts w:cs="Arial"/>
                <w:sz w:val="20"/>
                <w:szCs w:val="20"/>
              </w:rPr>
              <w:t>Children (1° prevention)</w:t>
            </w:r>
          </w:p>
        </w:tc>
        <w:tc>
          <w:tcPr>
            <w:tcW w:w="1694" w:type="dxa"/>
            <w:shd w:val="clear" w:color="auto" w:fill="auto"/>
            <w:vAlign w:val="center"/>
          </w:tcPr>
          <w:p w:rsidR="00FB1520" w:rsidRPr="005A66B1" w:rsidRDefault="00FB1520" w:rsidP="00FE06AB">
            <w:pPr>
              <w:rPr>
                <w:rFonts w:ascii="Arial" w:hAnsi="Arial" w:cs="Arial"/>
                <w:sz w:val="20"/>
                <w:szCs w:val="20"/>
              </w:rPr>
            </w:pPr>
            <w:r>
              <w:rPr>
                <w:rFonts w:ascii="Arial" w:hAnsi="Arial" w:cs="Arial"/>
                <w:sz w:val="20"/>
                <w:szCs w:val="20"/>
              </w:rPr>
              <w:t>−</w:t>
            </w:r>
            <w:r w:rsidRPr="005A66B1">
              <w:rPr>
                <w:rFonts w:ascii="Arial" w:hAnsi="Arial" w:cs="Arial"/>
                <w:sz w:val="20"/>
                <w:szCs w:val="20"/>
              </w:rPr>
              <w:t>£23,224</w:t>
            </w:r>
          </w:p>
        </w:tc>
        <w:tc>
          <w:tcPr>
            <w:tcW w:w="1695" w:type="dxa"/>
            <w:shd w:val="clear" w:color="auto" w:fill="auto"/>
            <w:vAlign w:val="center"/>
          </w:tcPr>
          <w:p w:rsidR="00FB1520" w:rsidRPr="005A66B1" w:rsidRDefault="00FB1520" w:rsidP="00FE06AB">
            <w:pPr>
              <w:rPr>
                <w:rFonts w:ascii="Arial" w:hAnsi="Arial" w:cs="Arial"/>
                <w:sz w:val="20"/>
                <w:szCs w:val="20"/>
              </w:rPr>
            </w:pPr>
            <w:r>
              <w:rPr>
                <w:rFonts w:ascii="Arial" w:hAnsi="Arial" w:cs="Arial"/>
                <w:sz w:val="20"/>
                <w:szCs w:val="20"/>
              </w:rPr>
              <w:t>−</w:t>
            </w:r>
            <w:r w:rsidRPr="005A66B1">
              <w:rPr>
                <w:rFonts w:ascii="Arial" w:hAnsi="Arial" w:cs="Arial"/>
                <w:sz w:val="20"/>
                <w:szCs w:val="20"/>
              </w:rPr>
              <w:t>£25,123</w:t>
            </w:r>
          </w:p>
        </w:tc>
        <w:tc>
          <w:tcPr>
            <w:tcW w:w="1694" w:type="dxa"/>
            <w:shd w:val="clear" w:color="auto" w:fill="auto"/>
            <w:vAlign w:val="center"/>
          </w:tcPr>
          <w:p w:rsidR="00FB1520" w:rsidRPr="005A66B1" w:rsidRDefault="00FB1520" w:rsidP="00FE06AB">
            <w:pPr>
              <w:rPr>
                <w:rFonts w:ascii="Arial" w:hAnsi="Arial" w:cs="Arial"/>
                <w:sz w:val="20"/>
                <w:szCs w:val="20"/>
              </w:rPr>
            </w:pPr>
            <w:r w:rsidRPr="005A66B1">
              <w:rPr>
                <w:rFonts w:ascii="Arial" w:hAnsi="Arial" w:cs="Arial"/>
                <w:sz w:val="20"/>
                <w:szCs w:val="20"/>
              </w:rPr>
              <w:t>£8,797</w:t>
            </w:r>
          </w:p>
        </w:tc>
        <w:tc>
          <w:tcPr>
            <w:tcW w:w="1695" w:type="dxa"/>
            <w:shd w:val="clear" w:color="auto" w:fill="auto"/>
            <w:vAlign w:val="center"/>
          </w:tcPr>
          <w:p w:rsidR="00FB1520" w:rsidRPr="005A66B1" w:rsidRDefault="00FB1520" w:rsidP="00FE06AB">
            <w:pPr>
              <w:rPr>
                <w:rFonts w:ascii="Arial" w:hAnsi="Arial" w:cs="Arial"/>
                <w:sz w:val="20"/>
                <w:szCs w:val="20"/>
              </w:rPr>
            </w:pPr>
            <w:r>
              <w:rPr>
                <w:rFonts w:ascii="Arial" w:hAnsi="Arial" w:cs="Arial"/>
                <w:sz w:val="20"/>
                <w:szCs w:val="20"/>
              </w:rPr>
              <w:t>(</w:t>
            </w:r>
            <w:r w:rsidRPr="005A66B1">
              <w:rPr>
                <w:rFonts w:ascii="Arial" w:hAnsi="Arial" w:cs="Arial"/>
                <w:sz w:val="20"/>
                <w:szCs w:val="20"/>
              </w:rPr>
              <w:t>£15,430</w:t>
            </w:r>
            <w:r>
              <w:rPr>
                <w:rFonts w:ascii="Arial" w:hAnsi="Arial" w:cs="Arial"/>
                <w:sz w:val="20"/>
                <w:szCs w:val="20"/>
              </w:rPr>
              <w:t>)</w:t>
            </w:r>
          </w:p>
        </w:tc>
      </w:tr>
      <w:tr w:rsidR="001B7724" w:rsidRPr="005A66B1" w:rsidTr="00216061">
        <w:tc>
          <w:tcPr>
            <w:tcW w:w="8472" w:type="dxa"/>
            <w:gridSpan w:val="5"/>
            <w:shd w:val="clear" w:color="auto" w:fill="808080" w:themeFill="background1" w:themeFillShade="80"/>
            <w:vAlign w:val="center"/>
          </w:tcPr>
          <w:p w:rsidR="001B7724" w:rsidRPr="005A66B1" w:rsidRDefault="001B7724" w:rsidP="00FE06AB">
            <w:pPr>
              <w:jc w:val="center"/>
              <w:rPr>
                <w:rFonts w:ascii="Arial" w:hAnsi="Arial" w:cs="Arial"/>
                <w:b/>
                <w:sz w:val="20"/>
                <w:szCs w:val="20"/>
              </w:rPr>
            </w:pPr>
            <w:r w:rsidRPr="00690582">
              <w:rPr>
                <w:rFonts w:ascii="Arial" w:hAnsi="Arial" w:cs="Arial"/>
                <w:b/>
                <w:color w:val="FFFFFF" w:themeColor="background1"/>
                <w:sz w:val="20"/>
                <w:szCs w:val="20"/>
              </w:rPr>
              <w:t>100% capital costs</w:t>
            </w:r>
            <w:r>
              <w:rPr>
                <w:rFonts w:ascii="Arial" w:hAnsi="Arial" w:cs="Arial"/>
                <w:b/>
                <w:color w:val="FFFFFF" w:themeColor="background1"/>
                <w:sz w:val="20"/>
                <w:szCs w:val="20"/>
              </w:rPr>
              <w:t xml:space="preserve"> for SCD</w:t>
            </w:r>
          </w:p>
        </w:tc>
      </w:tr>
      <w:tr w:rsidR="00FB1520" w:rsidRPr="005A66B1" w:rsidTr="00216061">
        <w:tc>
          <w:tcPr>
            <w:tcW w:w="1694" w:type="dxa"/>
            <w:shd w:val="clear" w:color="auto" w:fill="BFBFBF" w:themeFill="background1" w:themeFillShade="BF"/>
            <w:vAlign w:val="center"/>
          </w:tcPr>
          <w:p w:rsidR="00FB1520" w:rsidRPr="005A66B1" w:rsidRDefault="00FB1520" w:rsidP="00FE06AB">
            <w:pPr>
              <w:pStyle w:val="NICEnormal"/>
              <w:spacing w:after="0" w:line="240" w:lineRule="auto"/>
              <w:rPr>
                <w:rFonts w:cs="Arial"/>
                <w:sz w:val="20"/>
                <w:szCs w:val="20"/>
              </w:rPr>
            </w:pPr>
            <w:r>
              <w:rPr>
                <w:rFonts w:cs="Arial"/>
                <w:sz w:val="20"/>
                <w:szCs w:val="20"/>
              </w:rPr>
              <w:t>Adults</w:t>
            </w:r>
          </w:p>
        </w:tc>
        <w:tc>
          <w:tcPr>
            <w:tcW w:w="1694" w:type="dxa"/>
            <w:shd w:val="clear" w:color="auto" w:fill="auto"/>
            <w:vAlign w:val="center"/>
          </w:tcPr>
          <w:p w:rsidR="00FB1520" w:rsidRPr="005A66B1" w:rsidRDefault="00FB1520" w:rsidP="00FE06AB">
            <w:pPr>
              <w:rPr>
                <w:rFonts w:ascii="Arial" w:hAnsi="Arial" w:cs="Arial"/>
                <w:sz w:val="20"/>
                <w:szCs w:val="20"/>
              </w:rPr>
            </w:pPr>
            <w:r>
              <w:rPr>
                <w:rFonts w:ascii="Arial" w:hAnsi="Arial" w:cs="Arial"/>
                <w:sz w:val="20"/>
                <w:szCs w:val="20"/>
              </w:rPr>
              <w:t>−</w:t>
            </w:r>
            <w:r w:rsidRPr="005A66B1">
              <w:rPr>
                <w:rFonts w:ascii="Arial" w:hAnsi="Arial" w:cs="Arial"/>
                <w:sz w:val="20"/>
                <w:szCs w:val="20"/>
              </w:rPr>
              <w:t>£60,571</w:t>
            </w:r>
          </w:p>
        </w:tc>
        <w:tc>
          <w:tcPr>
            <w:tcW w:w="1695" w:type="dxa"/>
            <w:shd w:val="clear" w:color="auto" w:fill="auto"/>
            <w:vAlign w:val="center"/>
          </w:tcPr>
          <w:p w:rsidR="00FB1520" w:rsidRPr="005A66B1" w:rsidRDefault="00FB1520" w:rsidP="00FE06AB">
            <w:pPr>
              <w:rPr>
                <w:rFonts w:ascii="Arial" w:hAnsi="Arial" w:cs="Arial"/>
                <w:sz w:val="20"/>
                <w:szCs w:val="20"/>
              </w:rPr>
            </w:pPr>
            <w:r>
              <w:rPr>
                <w:rFonts w:ascii="Arial" w:hAnsi="Arial" w:cs="Arial"/>
                <w:sz w:val="20"/>
                <w:szCs w:val="20"/>
              </w:rPr>
              <w:t>−</w:t>
            </w:r>
            <w:r w:rsidRPr="005A66B1">
              <w:rPr>
                <w:rFonts w:ascii="Arial" w:hAnsi="Arial" w:cs="Arial"/>
                <w:sz w:val="20"/>
                <w:szCs w:val="20"/>
              </w:rPr>
              <w:t>£64,581</w:t>
            </w:r>
          </w:p>
        </w:tc>
        <w:tc>
          <w:tcPr>
            <w:tcW w:w="1694" w:type="dxa"/>
            <w:shd w:val="clear" w:color="auto" w:fill="auto"/>
            <w:vAlign w:val="center"/>
          </w:tcPr>
          <w:p w:rsidR="00FB1520" w:rsidRPr="005A66B1" w:rsidRDefault="00FB1520" w:rsidP="00FE06AB">
            <w:pPr>
              <w:rPr>
                <w:rFonts w:ascii="Arial" w:hAnsi="Arial" w:cs="Arial"/>
                <w:sz w:val="20"/>
                <w:szCs w:val="20"/>
              </w:rPr>
            </w:pPr>
            <w:r w:rsidRPr="005A66B1">
              <w:rPr>
                <w:rFonts w:ascii="Arial" w:hAnsi="Arial" w:cs="Arial"/>
                <w:sz w:val="20"/>
                <w:szCs w:val="20"/>
              </w:rPr>
              <w:t>£7,058</w:t>
            </w:r>
          </w:p>
        </w:tc>
        <w:tc>
          <w:tcPr>
            <w:tcW w:w="1695" w:type="dxa"/>
            <w:shd w:val="clear" w:color="auto" w:fill="auto"/>
            <w:vAlign w:val="center"/>
          </w:tcPr>
          <w:p w:rsidR="00FB1520" w:rsidRPr="005A66B1" w:rsidRDefault="00FB1520" w:rsidP="00FE06AB">
            <w:pPr>
              <w:rPr>
                <w:rFonts w:ascii="Arial" w:hAnsi="Arial" w:cs="Arial"/>
                <w:sz w:val="20"/>
                <w:szCs w:val="20"/>
              </w:rPr>
            </w:pPr>
            <w:r>
              <w:rPr>
                <w:rFonts w:ascii="Arial" w:hAnsi="Arial" w:cs="Arial"/>
                <w:sz w:val="20"/>
                <w:szCs w:val="20"/>
              </w:rPr>
              <w:t>(</w:t>
            </w:r>
            <w:r w:rsidRPr="005A66B1">
              <w:rPr>
                <w:rFonts w:ascii="Arial" w:hAnsi="Arial" w:cs="Arial"/>
                <w:sz w:val="20"/>
                <w:szCs w:val="20"/>
              </w:rPr>
              <w:t>£21,065</w:t>
            </w:r>
            <w:r>
              <w:rPr>
                <w:rFonts w:ascii="Arial" w:hAnsi="Arial" w:cs="Arial"/>
                <w:sz w:val="20"/>
                <w:szCs w:val="20"/>
              </w:rPr>
              <w:t>)</w:t>
            </w:r>
          </w:p>
        </w:tc>
      </w:tr>
      <w:tr w:rsidR="00FB1520" w:rsidRPr="005A66B1" w:rsidTr="00216061">
        <w:tc>
          <w:tcPr>
            <w:tcW w:w="1694" w:type="dxa"/>
            <w:shd w:val="clear" w:color="auto" w:fill="BFBFBF" w:themeFill="background1" w:themeFillShade="BF"/>
            <w:vAlign w:val="center"/>
          </w:tcPr>
          <w:p w:rsidR="00FB1520" w:rsidRPr="005A66B1" w:rsidRDefault="00FB1520" w:rsidP="00FE06AB">
            <w:pPr>
              <w:rPr>
                <w:rFonts w:ascii="Arial" w:hAnsi="Arial" w:cs="Arial"/>
                <w:sz w:val="20"/>
                <w:szCs w:val="20"/>
              </w:rPr>
            </w:pPr>
            <w:r w:rsidRPr="003643AE">
              <w:rPr>
                <w:rFonts w:ascii="Arial" w:hAnsi="Arial" w:cs="Arial"/>
                <w:sz w:val="20"/>
                <w:szCs w:val="20"/>
              </w:rPr>
              <w:t>Children (2° prevention)</w:t>
            </w:r>
          </w:p>
        </w:tc>
        <w:tc>
          <w:tcPr>
            <w:tcW w:w="1694" w:type="dxa"/>
            <w:shd w:val="clear" w:color="auto" w:fill="auto"/>
            <w:vAlign w:val="center"/>
          </w:tcPr>
          <w:p w:rsidR="00FB1520" w:rsidRPr="005A66B1" w:rsidRDefault="00FB1520" w:rsidP="00FE06AB">
            <w:pPr>
              <w:rPr>
                <w:rFonts w:ascii="Arial" w:hAnsi="Arial" w:cs="Arial"/>
                <w:sz w:val="20"/>
                <w:szCs w:val="20"/>
              </w:rPr>
            </w:pPr>
            <w:r>
              <w:rPr>
                <w:rFonts w:ascii="Arial" w:hAnsi="Arial" w:cs="Arial"/>
                <w:sz w:val="20"/>
                <w:szCs w:val="20"/>
              </w:rPr>
              <w:t>−</w:t>
            </w:r>
            <w:r w:rsidRPr="005A66B1">
              <w:rPr>
                <w:rFonts w:ascii="Arial" w:hAnsi="Arial" w:cs="Arial"/>
                <w:sz w:val="20"/>
                <w:szCs w:val="20"/>
              </w:rPr>
              <w:t>£18,511</w:t>
            </w:r>
          </w:p>
        </w:tc>
        <w:tc>
          <w:tcPr>
            <w:tcW w:w="1695" w:type="dxa"/>
            <w:shd w:val="clear" w:color="auto" w:fill="auto"/>
            <w:vAlign w:val="center"/>
          </w:tcPr>
          <w:p w:rsidR="00FB1520" w:rsidRPr="005A66B1" w:rsidRDefault="00FB1520" w:rsidP="00FE06AB">
            <w:pPr>
              <w:rPr>
                <w:rFonts w:ascii="Arial" w:hAnsi="Arial" w:cs="Arial"/>
                <w:sz w:val="20"/>
                <w:szCs w:val="20"/>
              </w:rPr>
            </w:pPr>
            <w:r>
              <w:rPr>
                <w:rFonts w:ascii="Arial" w:hAnsi="Arial" w:cs="Arial"/>
                <w:sz w:val="20"/>
                <w:szCs w:val="20"/>
              </w:rPr>
              <w:t>−</w:t>
            </w:r>
            <w:r w:rsidRPr="005A66B1">
              <w:rPr>
                <w:rFonts w:ascii="Arial" w:hAnsi="Arial" w:cs="Arial"/>
                <w:sz w:val="20"/>
                <w:szCs w:val="20"/>
              </w:rPr>
              <w:t>£20,409</w:t>
            </w:r>
          </w:p>
        </w:tc>
        <w:tc>
          <w:tcPr>
            <w:tcW w:w="1694" w:type="dxa"/>
            <w:shd w:val="clear" w:color="auto" w:fill="auto"/>
            <w:vAlign w:val="center"/>
          </w:tcPr>
          <w:p w:rsidR="00FB1520" w:rsidRPr="005A66B1" w:rsidRDefault="00FB1520" w:rsidP="00FE06AB">
            <w:pPr>
              <w:rPr>
                <w:rFonts w:ascii="Arial" w:hAnsi="Arial" w:cs="Arial"/>
                <w:sz w:val="20"/>
                <w:szCs w:val="20"/>
              </w:rPr>
            </w:pPr>
            <w:r w:rsidRPr="005A66B1">
              <w:rPr>
                <w:rFonts w:ascii="Arial" w:hAnsi="Arial" w:cs="Arial"/>
                <w:sz w:val="20"/>
                <w:szCs w:val="20"/>
              </w:rPr>
              <w:t>£13,511</w:t>
            </w:r>
          </w:p>
        </w:tc>
        <w:tc>
          <w:tcPr>
            <w:tcW w:w="1695" w:type="dxa"/>
            <w:shd w:val="clear" w:color="auto" w:fill="auto"/>
            <w:vAlign w:val="center"/>
          </w:tcPr>
          <w:p w:rsidR="00FB1520" w:rsidRPr="005A66B1" w:rsidRDefault="00FB1520" w:rsidP="00FE06AB">
            <w:pPr>
              <w:rPr>
                <w:rFonts w:ascii="Arial" w:hAnsi="Arial" w:cs="Arial"/>
                <w:sz w:val="20"/>
                <w:szCs w:val="20"/>
              </w:rPr>
            </w:pPr>
            <w:r>
              <w:rPr>
                <w:rFonts w:ascii="Arial" w:hAnsi="Arial" w:cs="Arial"/>
                <w:sz w:val="20"/>
                <w:szCs w:val="20"/>
              </w:rPr>
              <w:t>(</w:t>
            </w:r>
            <w:r w:rsidRPr="005A66B1">
              <w:rPr>
                <w:rFonts w:ascii="Arial" w:hAnsi="Arial" w:cs="Arial"/>
                <w:sz w:val="20"/>
                <w:szCs w:val="20"/>
              </w:rPr>
              <w:t>£20,143</w:t>
            </w:r>
            <w:r>
              <w:rPr>
                <w:rFonts w:ascii="Arial" w:hAnsi="Arial" w:cs="Arial"/>
                <w:sz w:val="20"/>
                <w:szCs w:val="20"/>
              </w:rPr>
              <w:t>)</w:t>
            </w:r>
          </w:p>
        </w:tc>
      </w:tr>
      <w:tr w:rsidR="00FB1520" w:rsidRPr="005A66B1" w:rsidTr="00216061">
        <w:tc>
          <w:tcPr>
            <w:tcW w:w="1694" w:type="dxa"/>
            <w:shd w:val="clear" w:color="auto" w:fill="BFBFBF" w:themeFill="background1" w:themeFillShade="BF"/>
            <w:vAlign w:val="center"/>
          </w:tcPr>
          <w:p w:rsidR="00FB1520" w:rsidRPr="005A66B1" w:rsidRDefault="00FB1520" w:rsidP="00FE06AB">
            <w:pPr>
              <w:pStyle w:val="NICEnormal"/>
              <w:spacing w:after="0" w:line="240" w:lineRule="auto"/>
              <w:rPr>
                <w:rFonts w:cs="Arial"/>
                <w:sz w:val="20"/>
                <w:szCs w:val="20"/>
              </w:rPr>
            </w:pPr>
            <w:r w:rsidRPr="003643AE">
              <w:rPr>
                <w:rFonts w:cs="Arial"/>
                <w:sz w:val="20"/>
                <w:szCs w:val="20"/>
              </w:rPr>
              <w:t>Children (1° prevention)</w:t>
            </w:r>
          </w:p>
        </w:tc>
        <w:tc>
          <w:tcPr>
            <w:tcW w:w="1694" w:type="dxa"/>
            <w:shd w:val="clear" w:color="auto" w:fill="auto"/>
            <w:vAlign w:val="center"/>
          </w:tcPr>
          <w:p w:rsidR="00FB1520" w:rsidRPr="005A66B1" w:rsidRDefault="00FB1520" w:rsidP="00FE06AB">
            <w:pPr>
              <w:rPr>
                <w:rFonts w:ascii="Arial" w:hAnsi="Arial" w:cs="Arial"/>
                <w:sz w:val="20"/>
                <w:szCs w:val="20"/>
              </w:rPr>
            </w:pPr>
            <w:r>
              <w:rPr>
                <w:rFonts w:ascii="Arial" w:hAnsi="Arial" w:cs="Arial"/>
                <w:sz w:val="20"/>
                <w:szCs w:val="20"/>
              </w:rPr>
              <w:t>−</w:t>
            </w:r>
            <w:r w:rsidRPr="005A66B1">
              <w:rPr>
                <w:rFonts w:ascii="Arial" w:hAnsi="Arial" w:cs="Arial"/>
                <w:sz w:val="20"/>
                <w:szCs w:val="20"/>
              </w:rPr>
              <w:t>£14,768</w:t>
            </w:r>
          </w:p>
        </w:tc>
        <w:tc>
          <w:tcPr>
            <w:tcW w:w="1695" w:type="dxa"/>
            <w:shd w:val="clear" w:color="auto" w:fill="auto"/>
            <w:vAlign w:val="center"/>
          </w:tcPr>
          <w:p w:rsidR="00FB1520" w:rsidRPr="005A66B1" w:rsidRDefault="00FB1520" w:rsidP="00FE06AB">
            <w:pPr>
              <w:rPr>
                <w:rFonts w:ascii="Arial" w:hAnsi="Arial" w:cs="Arial"/>
                <w:sz w:val="20"/>
                <w:szCs w:val="20"/>
              </w:rPr>
            </w:pPr>
            <w:r>
              <w:rPr>
                <w:rFonts w:ascii="Arial" w:hAnsi="Arial" w:cs="Arial"/>
                <w:sz w:val="20"/>
                <w:szCs w:val="20"/>
              </w:rPr>
              <w:t>−</w:t>
            </w:r>
            <w:r w:rsidRPr="005A66B1">
              <w:rPr>
                <w:rFonts w:ascii="Arial" w:hAnsi="Arial" w:cs="Arial"/>
                <w:sz w:val="20"/>
                <w:szCs w:val="20"/>
              </w:rPr>
              <w:t>£16,667</w:t>
            </w:r>
          </w:p>
        </w:tc>
        <w:tc>
          <w:tcPr>
            <w:tcW w:w="1694" w:type="dxa"/>
            <w:shd w:val="clear" w:color="auto" w:fill="auto"/>
            <w:vAlign w:val="center"/>
          </w:tcPr>
          <w:p w:rsidR="00FB1520" w:rsidRPr="005A66B1" w:rsidRDefault="00FB1520" w:rsidP="00FE06AB">
            <w:pPr>
              <w:rPr>
                <w:rFonts w:ascii="Arial" w:hAnsi="Arial" w:cs="Arial"/>
                <w:sz w:val="20"/>
                <w:szCs w:val="20"/>
              </w:rPr>
            </w:pPr>
            <w:r w:rsidRPr="005A66B1">
              <w:rPr>
                <w:rFonts w:ascii="Arial" w:hAnsi="Arial" w:cs="Arial"/>
                <w:sz w:val="20"/>
                <w:szCs w:val="20"/>
              </w:rPr>
              <w:t>£17,253</w:t>
            </w:r>
          </w:p>
        </w:tc>
        <w:tc>
          <w:tcPr>
            <w:tcW w:w="1695" w:type="dxa"/>
            <w:shd w:val="clear" w:color="auto" w:fill="auto"/>
            <w:vAlign w:val="center"/>
          </w:tcPr>
          <w:p w:rsidR="00FB1520" w:rsidRPr="005A66B1" w:rsidRDefault="00FB1520" w:rsidP="00FE06AB">
            <w:pPr>
              <w:rPr>
                <w:rFonts w:ascii="Arial" w:hAnsi="Arial" w:cs="Arial"/>
                <w:sz w:val="20"/>
                <w:szCs w:val="20"/>
              </w:rPr>
            </w:pPr>
            <w:r>
              <w:rPr>
                <w:rFonts w:ascii="Arial" w:hAnsi="Arial" w:cs="Arial"/>
                <w:sz w:val="20"/>
                <w:szCs w:val="20"/>
              </w:rPr>
              <w:t>(</w:t>
            </w:r>
            <w:r w:rsidRPr="005A66B1">
              <w:rPr>
                <w:rFonts w:ascii="Arial" w:hAnsi="Arial" w:cs="Arial"/>
                <w:sz w:val="20"/>
                <w:szCs w:val="20"/>
              </w:rPr>
              <w:t>£23,886</w:t>
            </w:r>
            <w:r>
              <w:rPr>
                <w:rFonts w:ascii="Arial" w:hAnsi="Arial" w:cs="Arial"/>
                <w:sz w:val="20"/>
                <w:szCs w:val="20"/>
              </w:rPr>
              <w:t>)</w:t>
            </w:r>
          </w:p>
        </w:tc>
      </w:tr>
      <w:tr w:rsidR="001B7724" w:rsidRPr="005A66B1" w:rsidTr="00216061">
        <w:tc>
          <w:tcPr>
            <w:tcW w:w="8472" w:type="dxa"/>
            <w:gridSpan w:val="5"/>
            <w:shd w:val="clear" w:color="auto" w:fill="BFBFBF" w:themeFill="background1" w:themeFillShade="BF"/>
            <w:vAlign w:val="center"/>
          </w:tcPr>
          <w:p w:rsidR="001B7724" w:rsidRDefault="001B7724" w:rsidP="00FE06AB">
            <w:pPr>
              <w:rPr>
                <w:rFonts w:ascii="Arial" w:hAnsi="Arial" w:cs="Arial"/>
                <w:sz w:val="20"/>
                <w:szCs w:val="20"/>
              </w:rPr>
            </w:pPr>
            <w:r>
              <w:rPr>
                <w:rFonts w:ascii="Arial" w:hAnsi="Arial" w:cs="Arial"/>
                <w:sz w:val="20"/>
                <w:szCs w:val="20"/>
              </w:rPr>
              <w:t>Abbreviations: SCD, sickle cell disease; TUT, top-up transfusion</w:t>
            </w:r>
          </w:p>
          <w:p w:rsidR="004F3278" w:rsidRDefault="004F3278" w:rsidP="00FE06AB">
            <w:pPr>
              <w:rPr>
                <w:rFonts w:ascii="Arial" w:hAnsi="Arial" w:cs="Arial"/>
                <w:sz w:val="20"/>
                <w:szCs w:val="20"/>
              </w:rPr>
            </w:pPr>
            <w:r>
              <w:rPr>
                <w:rFonts w:ascii="Arial" w:hAnsi="Arial" w:cs="Arial"/>
                <w:sz w:val="20"/>
                <w:szCs w:val="20"/>
              </w:rPr>
              <w:t xml:space="preserve">Results in brackets are considered clinically unlikely. Negative values indicate cost savings with </w:t>
            </w:r>
            <w:r w:rsidR="00130A69">
              <w:rPr>
                <w:rFonts w:ascii="Arial" w:hAnsi="Arial" w:cs="Arial"/>
                <w:sz w:val="20"/>
                <w:szCs w:val="20"/>
              </w:rPr>
              <w:t>Spectra Optia</w:t>
            </w:r>
            <w:r>
              <w:rPr>
                <w:rFonts w:ascii="Arial" w:hAnsi="Arial" w:cs="Arial"/>
                <w:sz w:val="20"/>
                <w:szCs w:val="20"/>
              </w:rPr>
              <w:t>.</w:t>
            </w:r>
          </w:p>
          <w:p w:rsidR="004F3278" w:rsidRPr="005A66B1" w:rsidRDefault="004F3278" w:rsidP="00FE06AB">
            <w:pPr>
              <w:rPr>
                <w:rFonts w:ascii="Arial" w:hAnsi="Arial" w:cs="Arial"/>
                <w:sz w:val="20"/>
                <w:szCs w:val="20"/>
              </w:rPr>
            </w:pPr>
          </w:p>
        </w:tc>
      </w:tr>
    </w:tbl>
    <w:p w:rsidR="00690582" w:rsidRDefault="00690582" w:rsidP="00690582">
      <w:pPr>
        <w:pStyle w:val="Numberedlevel2text"/>
        <w:numPr>
          <w:ilvl w:val="0"/>
          <w:numId w:val="0"/>
        </w:numPr>
        <w:ind w:left="1134"/>
        <w:rPr>
          <w:szCs w:val="24"/>
        </w:rPr>
      </w:pPr>
    </w:p>
    <w:p w:rsidR="00B9641E" w:rsidRDefault="00B9641E" w:rsidP="00690582">
      <w:pPr>
        <w:pStyle w:val="Numberedlevel2text"/>
        <w:rPr>
          <w:szCs w:val="24"/>
        </w:rPr>
      </w:pPr>
      <w:r>
        <w:rPr>
          <w:szCs w:val="24"/>
        </w:rPr>
        <w:t xml:space="preserve">The results show that </w:t>
      </w:r>
      <w:r w:rsidR="00130A69">
        <w:rPr>
          <w:szCs w:val="24"/>
        </w:rPr>
        <w:t>Spectra Optia</w:t>
      </w:r>
      <w:r>
        <w:rPr>
          <w:szCs w:val="24"/>
        </w:rPr>
        <w:t xml:space="preserve"> is cost saving compared with manual exchange and top</w:t>
      </w:r>
      <w:r w:rsidR="002661E4">
        <w:rPr>
          <w:szCs w:val="24"/>
        </w:rPr>
        <w:t>-</w:t>
      </w:r>
      <w:r>
        <w:rPr>
          <w:szCs w:val="24"/>
        </w:rPr>
        <w:t xml:space="preserve">up transfusion </w:t>
      </w:r>
      <w:r w:rsidR="002661E4">
        <w:rPr>
          <w:szCs w:val="24"/>
        </w:rPr>
        <w:t xml:space="preserve">in </w:t>
      </w:r>
      <w:r>
        <w:rPr>
          <w:szCs w:val="24"/>
        </w:rPr>
        <w:t>most patients with sickle cell disease. The highest cost savings are £96</w:t>
      </w:r>
      <w:r w:rsidR="002661E4">
        <w:rPr>
          <w:szCs w:val="24"/>
        </w:rPr>
        <w:t>,</w:t>
      </w:r>
      <w:r>
        <w:rPr>
          <w:szCs w:val="24"/>
        </w:rPr>
        <w:t>512 (</w:t>
      </w:r>
      <w:r w:rsidR="002661E4">
        <w:rPr>
          <w:szCs w:val="24"/>
        </w:rPr>
        <w:t xml:space="preserve">compared with </w:t>
      </w:r>
      <w:r>
        <w:rPr>
          <w:szCs w:val="24"/>
        </w:rPr>
        <w:t>manual</w:t>
      </w:r>
      <w:r w:rsidR="002661E4">
        <w:rPr>
          <w:szCs w:val="24"/>
        </w:rPr>
        <w:t xml:space="preserve"> exchange</w:t>
      </w:r>
      <w:r>
        <w:rPr>
          <w:szCs w:val="24"/>
        </w:rPr>
        <w:t>) and £81</w:t>
      </w:r>
      <w:r w:rsidR="002661E4">
        <w:rPr>
          <w:szCs w:val="24"/>
        </w:rPr>
        <w:t>,</w:t>
      </w:r>
      <w:r>
        <w:rPr>
          <w:szCs w:val="24"/>
        </w:rPr>
        <w:t>493 (</w:t>
      </w:r>
      <w:r w:rsidR="002661E4">
        <w:rPr>
          <w:szCs w:val="24"/>
        </w:rPr>
        <w:t xml:space="preserve">compared with </w:t>
      </w:r>
      <w:r>
        <w:rPr>
          <w:szCs w:val="24"/>
        </w:rPr>
        <w:t>top</w:t>
      </w:r>
      <w:r w:rsidR="002661E4">
        <w:rPr>
          <w:szCs w:val="24"/>
        </w:rPr>
        <w:t>-</w:t>
      </w:r>
      <w:r>
        <w:rPr>
          <w:szCs w:val="24"/>
        </w:rPr>
        <w:t>up</w:t>
      </w:r>
      <w:r w:rsidR="002661E4">
        <w:rPr>
          <w:szCs w:val="24"/>
        </w:rPr>
        <w:t xml:space="preserve"> transfusion</w:t>
      </w:r>
      <w:r>
        <w:rPr>
          <w:szCs w:val="24"/>
        </w:rPr>
        <w:t xml:space="preserve">) </w:t>
      </w:r>
      <w:r w:rsidR="00862440">
        <w:rPr>
          <w:szCs w:val="24"/>
        </w:rPr>
        <w:t xml:space="preserve">per patient </w:t>
      </w:r>
      <w:r>
        <w:rPr>
          <w:szCs w:val="24"/>
        </w:rPr>
        <w:t>per year for adult</w:t>
      </w:r>
      <w:r w:rsidR="002661E4">
        <w:rPr>
          <w:szCs w:val="24"/>
        </w:rPr>
        <w:t xml:space="preserve">s </w:t>
      </w:r>
      <w:r>
        <w:rPr>
          <w:szCs w:val="24"/>
        </w:rPr>
        <w:t xml:space="preserve">with mild </w:t>
      </w:r>
      <w:r w:rsidR="002661E4">
        <w:rPr>
          <w:szCs w:val="24"/>
        </w:rPr>
        <w:t xml:space="preserve">iron </w:t>
      </w:r>
      <w:r>
        <w:rPr>
          <w:szCs w:val="24"/>
        </w:rPr>
        <w:t xml:space="preserve">overload where an </w:t>
      </w:r>
      <w:r w:rsidR="00557805">
        <w:rPr>
          <w:szCs w:val="24"/>
        </w:rPr>
        <w:t>already functioning and purchased device</w:t>
      </w:r>
      <w:r>
        <w:rPr>
          <w:szCs w:val="24"/>
        </w:rPr>
        <w:t xml:space="preserve"> can be </w:t>
      </w:r>
      <w:r w:rsidR="00AE1163">
        <w:rPr>
          <w:szCs w:val="24"/>
        </w:rPr>
        <w:t>used</w:t>
      </w:r>
      <w:r>
        <w:rPr>
          <w:szCs w:val="24"/>
        </w:rPr>
        <w:t xml:space="preserve">. </w:t>
      </w:r>
      <w:r w:rsidR="002661E4">
        <w:rPr>
          <w:szCs w:val="24"/>
        </w:rPr>
        <w:t xml:space="preserve">The lowest cost savings are £1484 (compared with </w:t>
      </w:r>
      <w:r w:rsidR="006028E0">
        <w:rPr>
          <w:szCs w:val="24"/>
        </w:rPr>
        <w:t xml:space="preserve">manual exchange </w:t>
      </w:r>
      <w:r w:rsidR="002661E4">
        <w:rPr>
          <w:szCs w:val="24"/>
        </w:rPr>
        <w:t xml:space="preserve">for primary prevention in children </w:t>
      </w:r>
      <w:r w:rsidR="006028E0">
        <w:rPr>
          <w:szCs w:val="24"/>
        </w:rPr>
        <w:t>with moderate iron overload whe</w:t>
      </w:r>
      <w:r w:rsidR="002661E4">
        <w:rPr>
          <w:szCs w:val="24"/>
        </w:rPr>
        <w:t>n</w:t>
      </w:r>
      <w:r w:rsidR="006028E0">
        <w:rPr>
          <w:szCs w:val="24"/>
        </w:rPr>
        <w:t xml:space="preserve"> the device has been procured at 50% of the capital cost</w:t>
      </w:r>
      <w:r w:rsidR="002661E4">
        <w:rPr>
          <w:szCs w:val="24"/>
        </w:rPr>
        <w:t>) and £1399 (</w:t>
      </w:r>
      <w:r w:rsidR="006028E0">
        <w:rPr>
          <w:szCs w:val="24"/>
        </w:rPr>
        <w:t>compar</w:t>
      </w:r>
      <w:r w:rsidR="002661E4">
        <w:rPr>
          <w:szCs w:val="24"/>
        </w:rPr>
        <w:t>ed with</w:t>
      </w:r>
      <w:r w:rsidR="006028E0">
        <w:rPr>
          <w:szCs w:val="24"/>
        </w:rPr>
        <w:t xml:space="preserve"> top-up transfusion</w:t>
      </w:r>
      <w:r w:rsidR="005849C8">
        <w:rPr>
          <w:szCs w:val="24"/>
        </w:rPr>
        <w:t xml:space="preserve"> in adults with moderate iron overload</w:t>
      </w:r>
      <w:r w:rsidR="002661E4">
        <w:rPr>
          <w:szCs w:val="24"/>
        </w:rPr>
        <w:t xml:space="preserve">) </w:t>
      </w:r>
      <w:r w:rsidR="00862440">
        <w:rPr>
          <w:szCs w:val="24"/>
        </w:rPr>
        <w:t xml:space="preserve">per patient </w:t>
      </w:r>
      <w:r w:rsidR="002661E4">
        <w:rPr>
          <w:szCs w:val="24"/>
        </w:rPr>
        <w:t>per year</w:t>
      </w:r>
      <w:r w:rsidR="006028E0">
        <w:rPr>
          <w:szCs w:val="24"/>
        </w:rPr>
        <w:t>.</w:t>
      </w:r>
    </w:p>
    <w:p w:rsidR="006028E0" w:rsidRPr="00690582" w:rsidRDefault="00130A69" w:rsidP="00690582">
      <w:pPr>
        <w:pStyle w:val="Numberedlevel2text"/>
        <w:rPr>
          <w:szCs w:val="24"/>
        </w:rPr>
      </w:pPr>
      <w:r>
        <w:rPr>
          <w:szCs w:val="24"/>
        </w:rPr>
        <w:t>Spectra Optia</w:t>
      </w:r>
      <w:r w:rsidR="006028E0">
        <w:rPr>
          <w:szCs w:val="24"/>
        </w:rPr>
        <w:t xml:space="preserve"> is cost</w:t>
      </w:r>
      <w:r w:rsidR="002661E4">
        <w:rPr>
          <w:szCs w:val="24"/>
        </w:rPr>
        <w:t xml:space="preserve"> </w:t>
      </w:r>
      <w:r w:rsidR="006028E0">
        <w:rPr>
          <w:szCs w:val="24"/>
        </w:rPr>
        <w:t xml:space="preserve">incurring </w:t>
      </w:r>
      <w:r w:rsidR="002661E4">
        <w:rPr>
          <w:szCs w:val="24"/>
        </w:rPr>
        <w:t>compared with</w:t>
      </w:r>
      <w:r w:rsidR="006028E0">
        <w:rPr>
          <w:szCs w:val="24"/>
        </w:rPr>
        <w:t xml:space="preserve"> manual exchange for </w:t>
      </w:r>
      <w:r w:rsidR="002661E4">
        <w:rPr>
          <w:szCs w:val="24"/>
        </w:rPr>
        <w:t xml:space="preserve">children </w:t>
      </w:r>
      <w:r w:rsidR="00DA4A0F">
        <w:rPr>
          <w:szCs w:val="24"/>
        </w:rPr>
        <w:t>with severe iron overload</w:t>
      </w:r>
      <w:r w:rsidR="006028E0">
        <w:rPr>
          <w:szCs w:val="24"/>
        </w:rPr>
        <w:t xml:space="preserve"> </w:t>
      </w:r>
      <w:r w:rsidR="00DA4A0F">
        <w:rPr>
          <w:szCs w:val="24"/>
        </w:rPr>
        <w:t>if the device is procured at 50% of the capital cost. If the device is purchased at 100% of the capital cost</w:t>
      </w:r>
      <w:r w:rsidR="002661E4">
        <w:rPr>
          <w:szCs w:val="24"/>
        </w:rPr>
        <w:t>,</w:t>
      </w:r>
      <w:r w:rsidR="00DA4A0F">
        <w:rPr>
          <w:szCs w:val="24"/>
        </w:rPr>
        <w:t xml:space="preserve"> it is cost incurring</w:t>
      </w:r>
      <w:r w:rsidR="00C075BC">
        <w:rPr>
          <w:szCs w:val="24"/>
        </w:rPr>
        <w:t xml:space="preserve"> </w:t>
      </w:r>
      <w:r w:rsidR="002661E4">
        <w:rPr>
          <w:szCs w:val="24"/>
        </w:rPr>
        <w:t xml:space="preserve">(at £2715 to £13605 per patient per year) </w:t>
      </w:r>
      <w:r w:rsidR="00C075BC">
        <w:rPr>
          <w:szCs w:val="24"/>
        </w:rPr>
        <w:t xml:space="preserve">compared </w:t>
      </w:r>
      <w:r w:rsidR="002661E4">
        <w:rPr>
          <w:szCs w:val="24"/>
        </w:rPr>
        <w:t>with</w:t>
      </w:r>
      <w:r w:rsidR="00C075BC">
        <w:rPr>
          <w:szCs w:val="24"/>
        </w:rPr>
        <w:t xml:space="preserve"> manual exchange for </w:t>
      </w:r>
      <w:r w:rsidR="002661E4">
        <w:rPr>
          <w:szCs w:val="24"/>
        </w:rPr>
        <w:t xml:space="preserve">children with </w:t>
      </w:r>
      <w:r w:rsidR="00C075BC">
        <w:rPr>
          <w:szCs w:val="24"/>
        </w:rPr>
        <w:t xml:space="preserve">no </w:t>
      </w:r>
      <w:r w:rsidR="002661E4">
        <w:rPr>
          <w:szCs w:val="24"/>
        </w:rPr>
        <w:t xml:space="preserve">or moderate </w:t>
      </w:r>
      <w:r w:rsidR="00C075BC">
        <w:rPr>
          <w:szCs w:val="24"/>
        </w:rPr>
        <w:t>iron overload</w:t>
      </w:r>
      <w:r w:rsidR="002661E4">
        <w:rPr>
          <w:szCs w:val="24"/>
        </w:rPr>
        <w:t xml:space="preserve"> and for </w:t>
      </w:r>
      <w:r w:rsidR="00C075BC">
        <w:rPr>
          <w:szCs w:val="24"/>
        </w:rPr>
        <w:t>all patients with severe iron overload.</w:t>
      </w:r>
      <w:r w:rsidR="00DA4A0F">
        <w:rPr>
          <w:szCs w:val="24"/>
        </w:rPr>
        <w:t xml:space="preserve"> </w:t>
      </w:r>
      <w:r w:rsidR="002661E4">
        <w:rPr>
          <w:szCs w:val="24"/>
        </w:rPr>
        <w:t xml:space="preserve">Using </w:t>
      </w:r>
      <w:r>
        <w:rPr>
          <w:szCs w:val="24"/>
        </w:rPr>
        <w:t>Spectra Optia</w:t>
      </w:r>
      <w:r w:rsidR="002661E4">
        <w:rPr>
          <w:szCs w:val="24"/>
        </w:rPr>
        <w:t xml:space="preserve"> is also cost incurring compared with</w:t>
      </w:r>
      <w:r w:rsidR="00C075BC">
        <w:rPr>
          <w:szCs w:val="24"/>
        </w:rPr>
        <w:t xml:space="preserve"> top-up </w:t>
      </w:r>
      <w:r w:rsidR="002661E4">
        <w:rPr>
          <w:szCs w:val="24"/>
        </w:rPr>
        <w:lastRenderedPageBreak/>
        <w:t xml:space="preserve">transfusion </w:t>
      </w:r>
      <w:r w:rsidR="00C075BC">
        <w:rPr>
          <w:szCs w:val="24"/>
        </w:rPr>
        <w:t>in some patients with moderate and severe iron overload</w:t>
      </w:r>
      <w:r w:rsidR="00DC74D2">
        <w:rPr>
          <w:szCs w:val="24"/>
        </w:rPr>
        <w:t>.</w:t>
      </w:r>
      <w:r w:rsidR="002661E4">
        <w:rPr>
          <w:szCs w:val="24"/>
        </w:rPr>
        <w:t xml:space="preserve"> </w:t>
      </w:r>
      <w:r w:rsidR="00DC74D2">
        <w:rPr>
          <w:szCs w:val="24"/>
        </w:rPr>
        <w:t>However,</w:t>
      </w:r>
      <w:r w:rsidR="00C075BC">
        <w:rPr>
          <w:szCs w:val="24"/>
        </w:rPr>
        <w:t xml:space="preserve"> this comparator is considered to be a clinically poor treatment option for these patient groups</w:t>
      </w:r>
      <w:r w:rsidR="00DC74D2">
        <w:rPr>
          <w:szCs w:val="24"/>
        </w:rPr>
        <w:t xml:space="preserve"> and it is unlikely that it would be the preferred treatment option for people with iron overload</w:t>
      </w:r>
      <w:r w:rsidR="00C075BC">
        <w:rPr>
          <w:szCs w:val="24"/>
        </w:rPr>
        <w:t>.</w:t>
      </w:r>
    </w:p>
    <w:p w:rsidR="007F49BA" w:rsidRDefault="007F49BA" w:rsidP="00B14B5C">
      <w:pPr>
        <w:pStyle w:val="Heading3"/>
      </w:pPr>
      <w:r w:rsidRPr="007E5C56">
        <w:t>Committee considerations</w:t>
      </w:r>
    </w:p>
    <w:p w:rsidR="00771226" w:rsidRDefault="00321DE0" w:rsidP="00771226">
      <w:pPr>
        <w:pStyle w:val="Numberedlevel2text"/>
        <w:rPr>
          <w:szCs w:val="24"/>
        </w:rPr>
      </w:pPr>
      <w:r>
        <w:rPr>
          <w:szCs w:val="24"/>
        </w:rPr>
        <w:t xml:space="preserve">The </w:t>
      </w:r>
      <w:r w:rsidR="0086519D">
        <w:rPr>
          <w:szCs w:val="24"/>
        </w:rPr>
        <w:t>C</w:t>
      </w:r>
      <w:r>
        <w:rPr>
          <w:szCs w:val="24"/>
        </w:rPr>
        <w:t>ommittee co</w:t>
      </w:r>
      <w:r w:rsidR="001A3531">
        <w:rPr>
          <w:szCs w:val="24"/>
        </w:rPr>
        <w:t xml:space="preserve">nsidered that </w:t>
      </w:r>
      <w:r>
        <w:rPr>
          <w:szCs w:val="24"/>
        </w:rPr>
        <w:t xml:space="preserve">that </w:t>
      </w:r>
      <w:r w:rsidR="0086519D">
        <w:rPr>
          <w:szCs w:val="24"/>
        </w:rPr>
        <w:t>l</w:t>
      </w:r>
      <w:r w:rsidR="00F4384A">
        <w:rPr>
          <w:szCs w:val="24"/>
        </w:rPr>
        <w:t xml:space="preserve">ocal providers should </w:t>
      </w:r>
      <w:r w:rsidR="001A3531">
        <w:rPr>
          <w:szCs w:val="24"/>
        </w:rPr>
        <w:t xml:space="preserve">take into account </w:t>
      </w:r>
      <w:r w:rsidR="00B10D12">
        <w:rPr>
          <w:szCs w:val="24"/>
        </w:rPr>
        <w:t xml:space="preserve">existing </w:t>
      </w:r>
      <w:r w:rsidR="00F4384A">
        <w:rPr>
          <w:szCs w:val="24"/>
        </w:rPr>
        <w:t xml:space="preserve">available devices when planning services for people with </w:t>
      </w:r>
      <w:r w:rsidR="0086519D">
        <w:rPr>
          <w:szCs w:val="24"/>
        </w:rPr>
        <w:t>sickle cell disease</w:t>
      </w:r>
      <w:r w:rsidR="00DD0207">
        <w:rPr>
          <w:szCs w:val="24"/>
        </w:rPr>
        <w:t xml:space="preserve">; the potential for </w:t>
      </w:r>
      <w:r w:rsidR="00E6579B">
        <w:rPr>
          <w:szCs w:val="24"/>
        </w:rPr>
        <w:t>device</w:t>
      </w:r>
      <w:r w:rsidR="00DD0207">
        <w:rPr>
          <w:szCs w:val="24"/>
        </w:rPr>
        <w:t>-</w:t>
      </w:r>
      <w:r w:rsidR="00E6579B">
        <w:rPr>
          <w:szCs w:val="24"/>
        </w:rPr>
        <w:t xml:space="preserve">sharing schemes </w:t>
      </w:r>
      <w:r w:rsidR="00DD0207">
        <w:rPr>
          <w:szCs w:val="24"/>
        </w:rPr>
        <w:t xml:space="preserve">was </w:t>
      </w:r>
      <w:r w:rsidR="00E6579B">
        <w:rPr>
          <w:szCs w:val="24"/>
        </w:rPr>
        <w:t xml:space="preserve">discussed and these were represented in the </w:t>
      </w:r>
      <w:r w:rsidR="001A3531">
        <w:rPr>
          <w:szCs w:val="24"/>
        </w:rPr>
        <w:t xml:space="preserve">revised </w:t>
      </w:r>
      <w:r w:rsidR="00E6579B">
        <w:rPr>
          <w:szCs w:val="24"/>
        </w:rPr>
        <w:t>cost model</w:t>
      </w:r>
      <w:r w:rsidR="001A3531">
        <w:rPr>
          <w:szCs w:val="24"/>
        </w:rPr>
        <w:t>ling carried out by the External Assessmen</w:t>
      </w:r>
      <w:r w:rsidR="00244C9E">
        <w:rPr>
          <w:szCs w:val="24"/>
        </w:rPr>
        <w:t>t</w:t>
      </w:r>
      <w:r w:rsidR="001A3531">
        <w:rPr>
          <w:szCs w:val="24"/>
        </w:rPr>
        <w:t xml:space="preserve"> Centre</w:t>
      </w:r>
      <w:r w:rsidR="00F4384A">
        <w:rPr>
          <w:szCs w:val="24"/>
        </w:rPr>
        <w:t>.</w:t>
      </w:r>
      <w:r w:rsidR="001446B4">
        <w:rPr>
          <w:szCs w:val="24"/>
        </w:rPr>
        <w:t xml:space="preserve"> </w:t>
      </w:r>
    </w:p>
    <w:p w:rsidR="00E6579B" w:rsidRPr="00771226" w:rsidRDefault="00E6579B" w:rsidP="00771226">
      <w:pPr>
        <w:pStyle w:val="Numberedlevel2text"/>
        <w:rPr>
          <w:szCs w:val="24"/>
        </w:rPr>
      </w:pPr>
      <w:r>
        <w:rPr>
          <w:szCs w:val="24"/>
        </w:rPr>
        <w:t xml:space="preserve">The Committee noted that the levels of iron overload in patients included in the model </w:t>
      </w:r>
      <w:r w:rsidR="00DD0207">
        <w:rPr>
          <w:szCs w:val="24"/>
        </w:rPr>
        <w:t>were</w:t>
      </w:r>
      <w:r>
        <w:rPr>
          <w:szCs w:val="24"/>
        </w:rPr>
        <w:t xml:space="preserve"> not clearly defined. The company’s cost model stated that these </w:t>
      </w:r>
      <w:r w:rsidR="00DD0207">
        <w:rPr>
          <w:szCs w:val="24"/>
        </w:rPr>
        <w:t>were</w:t>
      </w:r>
      <w:r>
        <w:rPr>
          <w:szCs w:val="24"/>
        </w:rPr>
        <w:t xml:space="preserve"> based on serum ferritin levels but no ranges were provided </w:t>
      </w:r>
      <w:r w:rsidR="0018785B">
        <w:rPr>
          <w:szCs w:val="24"/>
        </w:rPr>
        <w:t xml:space="preserve">for </w:t>
      </w:r>
      <w:r>
        <w:rPr>
          <w:szCs w:val="24"/>
        </w:rPr>
        <w:t xml:space="preserve">the mild, moderate and severe categories used. The expert advisers informed the Committee that there were no routinely used </w:t>
      </w:r>
      <w:r w:rsidR="00321DE0">
        <w:rPr>
          <w:szCs w:val="24"/>
        </w:rPr>
        <w:t xml:space="preserve">and </w:t>
      </w:r>
      <w:r>
        <w:rPr>
          <w:szCs w:val="24"/>
        </w:rPr>
        <w:t>agreed values for this classification.</w:t>
      </w:r>
    </w:p>
    <w:p w:rsidR="00B14B5C" w:rsidRPr="00080364" w:rsidRDefault="00771226" w:rsidP="00B14B5C">
      <w:pPr>
        <w:pStyle w:val="Numberedlevel2text"/>
        <w:rPr>
          <w:lang w:val="en-GB"/>
        </w:rPr>
      </w:pPr>
      <w:r>
        <w:rPr>
          <w:szCs w:val="24"/>
        </w:rPr>
        <w:t>The C</w:t>
      </w:r>
      <w:r w:rsidR="00A85D3D">
        <w:rPr>
          <w:szCs w:val="24"/>
        </w:rPr>
        <w:t>ommittee</w:t>
      </w:r>
      <w:r w:rsidR="00A85D3D" w:rsidRPr="00A85D3D">
        <w:rPr>
          <w:szCs w:val="24"/>
        </w:rPr>
        <w:t xml:space="preserve"> noted that top-up transfusion was not </w:t>
      </w:r>
      <w:r w:rsidR="00321DE0">
        <w:rPr>
          <w:szCs w:val="24"/>
        </w:rPr>
        <w:t xml:space="preserve">included as </w:t>
      </w:r>
      <w:r w:rsidR="00A85D3D" w:rsidRPr="00A85D3D">
        <w:rPr>
          <w:szCs w:val="24"/>
        </w:rPr>
        <w:t xml:space="preserve">a comparator in the scope because it is generally used to treat </w:t>
      </w:r>
      <w:proofErr w:type="spellStart"/>
      <w:r w:rsidR="00A85D3D" w:rsidRPr="00A85D3D">
        <w:rPr>
          <w:szCs w:val="24"/>
        </w:rPr>
        <w:t>anaemia</w:t>
      </w:r>
      <w:proofErr w:type="spellEnd"/>
      <w:r w:rsidR="00A85D3D" w:rsidRPr="00A85D3D">
        <w:rPr>
          <w:szCs w:val="24"/>
        </w:rPr>
        <w:t xml:space="preserve"> and emergency crises in </w:t>
      </w:r>
      <w:r w:rsidR="00DD0207">
        <w:rPr>
          <w:szCs w:val="24"/>
        </w:rPr>
        <w:t xml:space="preserve">patients with </w:t>
      </w:r>
      <w:r w:rsidR="0086519D">
        <w:rPr>
          <w:szCs w:val="24"/>
        </w:rPr>
        <w:t>sickle cell disease</w:t>
      </w:r>
      <w:r w:rsidR="00A85D3D" w:rsidRPr="00A85D3D">
        <w:rPr>
          <w:szCs w:val="24"/>
        </w:rPr>
        <w:t>. Top-up transfusion is not suitable as a long-term regime because it is iron</w:t>
      </w:r>
      <w:r w:rsidR="00DD0207">
        <w:rPr>
          <w:szCs w:val="24"/>
        </w:rPr>
        <w:t xml:space="preserve"> </w:t>
      </w:r>
      <w:r w:rsidR="00A85D3D" w:rsidRPr="00A85D3D">
        <w:rPr>
          <w:szCs w:val="24"/>
        </w:rPr>
        <w:t xml:space="preserve">positive, and so </w:t>
      </w:r>
      <w:r w:rsidR="00A85D3D">
        <w:rPr>
          <w:szCs w:val="24"/>
        </w:rPr>
        <w:t>i</w:t>
      </w:r>
      <w:r w:rsidR="00A85D3D" w:rsidRPr="00A85D3D">
        <w:rPr>
          <w:szCs w:val="24"/>
        </w:rPr>
        <w:t xml:space="preserve">s not an appropriate </w:t>
      </w:r>
      <w:r w:rsidR="00A85D3D">
        <w:rPr>
          <w:szCs w:val="24"/>
        </w:rPr>
        <w:t xml:space="preserve">current standard </w:t>
      </w:r>
      <w:r w:rsidR="00A85D3D" w:rsidRPr="00A85D3D">
        <w:rPr>
          <w:szCs w:val="24"/>
        </w:rPr>
        <w:t xml:space="preserve">comparator for automated exchange. However, several clinical experts stated that top-up transfusion is sometimes used as a long-term therapy in hospitals where provision </w:t>
      </w:r>
      <w:r w:rsidR="00E51AC9">
        <w:rPr>
          <w:szCs w:val="24"/>
        </w:rPr>
        <w:t xml:space="preserve">of treatments </w:t>
      </w:r>
      <w:r w:rsidR="00A85D3D" w:rsidRPr="00A85D3D">
        <w:rPr>
          <w:szCs w:val="24"/>
        </w:rPr>
        <w:t xml:space="preserve">for </w:t>
      </w:r>
      <w:r w:rsidR="0086519D">
        <w:rPr>
          <w:szCs w:val="24"/>
        </w:rPr>
        <w:t>sickle cell disease</w:t>
      </w:r>
      <w:r w:rsidR="00A85D3D" w:rsidRPr="00A85D3D">
        <w:rPr>
          <w:szCs w:val="24"/>
        </w:rPr>
        <w:t xml:space="preserve"> is </w:t>
      </w:r>
      <w:r w:rsidR="00E51AC9">
        <w:rPr>
          <w:szCs w:val="24"/>
        </w:rPr>
        <w:t>limited</w:t>
      </w:r>
      <w:r w:rsidR="00862440">
        <w:rPr>
          <w:szCs w:val="24"/>
        </w:rPr>
        <w:t>,</w:t>
      </w:r>
      <w:r w:rsidR="00A85D3D">
        <w:rPr>
          <w:szCs w:val="24"/>
        </w:rPr>
        <w:t xml:space="preserve"> or in patients who have disease complications that preclude the use of exchange transfusions</w:t>
      </w:r>
      <w:r w:rsidR="00862440">
        <w:rPr>
          <w:szCs w:val="24"/>
        </w:rPr>
        <w:t xml:space="preserve"> (</w:t>
      </w:r>
      <w:r w:rsidR="007D71C7">
        <w:rPr>
          <w:szCs w:val="24"/>
        </w:rPr>
        <w:t>such as</w:t>
      </w:r>
      <w:r w:rsidR="00A85D3D">
        <w:rPr>
          <w:szCs w:val="24"/>
        </w:rPr>
        <w:t xml:space="preserve"> poor venous access</w:t>
      </w:r>
      <w:r w:rsidR="00862440">
        <w:rPr>
          <w:szCs w:val="24"/>
        </w:rPr>
        <w:t>)</w:t>
      </w:r>
      <w:r w:rsidR="00A85D3D" w:rsidRPr="00A85D3D">
        <w:rPr>
          <w:szCs w:val="24"/>
        </w:rPr>
        <w:t>.</w:t>
      </w:r>
    </w:p>
    <w:p w:rsidR="00080364" w:rsidRPr="003643AE" w:rsidRDefault="0051048C" w:rsidP="0051048C">
      <w:pPr>
        <w:pStyle w:val="Numberedlevel2text"/>
        <w:rPr>
          <w:lang w:val="en-GB"/>
        </w:rPr>
      </w:pPr>
      <w:r w:rsidRPr="0051048C">
        <w:rPr>
          <w:lang w:val="en-GB"/>
        </w:rPr>
        <w:t>The Committee noted that many values in the cost model</w:t>
      </w:r>
      <w:r>
        <w:rPr>
          <w:lang w:val="en-GB"/>
        </w:rPr>
        <w:t xml:space="preserve"> for Spectra Optia are based on estimates. In particular, </w:t>
      </w:r>
      <w:r w:rsidRPr="0051048C">
        <w:rPr>
          <w:lang w:val="en-GB"/>
        </w:rPr>
        <w:t xml:space="preserve">it was not possible </w:t>
      </w:r>
      <w:r w:rsidR="0018785B">
        <w:rPr>
          <w:lang w:val="en-GB"/>
        </w:rPr>
        <w:t xml:space="preserve">to </w:t>
      </w:r>
      <w:r w:rsidRPr="0051048C">
        <w:rPr>
          <w:lang w:val="en-GB"/>
        </w:rPr>
        <w:t xml:space="preserve">define the different categories of iron overload used in </w:t>
      </w:r>
      <w:r w:rsidRPr="0051048C">
        <w:rPr>
          <w:lang w:val="en-GB"/>
        </w:rPr>
        <w:lastRenderedPageBreak/>
        <w:t>the model in terms of serum ferritin levels (or any other k</w:t>
      </w:r>
      <w:r w:rsidR="009F6C11">
        <w:rPr>
          <w:lang w:val="en-GB"/>
        </w:rPr>
        <w:t>ind of measurement of iron).</w:t>
      </w:r>
    </w:p>
    <w:p w:rsidR="003643AE" w:rsidRPr="00DF2659" w:rsidRDefault="001A3531" w:rsidP="00C12095">
      <w:pPr>
        <w:pStyle w:val="Numberedlevel2text"/>
        <w:rPr>
          <w:lang w:val="en-GB"/>
        </w:rPr>
      </w:pPr>
      <w:r>
        <w:t>Despite these uncertainties, t</w:t>
      </w:r>
      <w:r w:rsidR="00580265">
        <w:t>he Committee</w:t>
      </w:r>
      <w:r w:rsidR="003643AE">
        <w:t xml:space="preserve"> concluded that </w:t>
      </w:r>
      <w:r w:rsidR="00130A69">
        <w:t>Spectra Optia</w:t>
      </w:r>
      <w:r w:rsidR="003643AE">
        <w:t xml:space="preserve"> would be cost saving for most patients compared with manual exchange and top-up transfusion. </w:t>
      </w:r>
    </w:p>
    <w:p w:rsidR="007F49BA" w:rsidRPr="007E3E98" w:rsidRDefault="007F49BA" w:rsidP="007E3E98">
      <w:pPr>
        <w:pStyle w:val="Numberedheading1"/>
        <w:rPr>
          <w:lang w:val="en-GB"/>
        </w:rPr>
      </w:pPr>
      <w:r w:rsidRPr="007E3E98">
        <w:rPr>
          <w:lang w:val="en-GB"/>
        </w:rPr>
        <w:t>Conclusions</w:t>
      </w:r>
    </w:p>
    <w:p w:rsidR="005D480A" w:rsidRPr="00275AD9" w:rsidRDefault="007F49BA" w:rsidP="00717783">
      <w:pPr>
        <w:pStyle w:val="Numberedlevel2text"/>
        <w:rPr>
          <w:lang w:val="en-GB"/>
        </w:rPr>
      </w:pPr>
      <w:r w:rsidRPr="007E5C56">
        <w:rPr>
          <w:lang w:val="en-GB"/>
        </w:rPr>
        <w:t xml:space="preserve">The Committee concluded that </w:t>
      </w:r>
      <w:r w:rsidR="00130A69">
        <w:rPr>
          <w:lang w:val="en-GB"/>
        </w:rPr>
        <w:t>Spectra Optia</w:t>
      </w:r>
      <w:r w:rsidR="00E6579B">
        <w:rPr>
          <w:lang w:val="en-GB"/>
        </w:rPr>
        <w:t xml:space="preserve"> </w:t>
      </w:r>
      <w:r w:rsidR="005D480A">
        <w:rPr>
          <w:lang w:val="en-GB"/>
        </w:rPr>
        <w:t xml:space="preserve">is effective </w:t>
      </w:r>
      <w:r w:rsidR="00E6579B">
        <w:rPr>
          <w:lang w:val="en-GB"/>
        </w:rPr>
        <w:t>for red blood cell exchange</w:t>
      </w:r>
      <w:r w:rsidR="005D480A">
        <w:rPr>
          <w:lang w:val="en-GB"/>
        </w:rPr>
        <w:t xml:space="preserve"> </w:t>
      </w:r>
      <w:r w:rsidR="00862440">
        <w:rPr>
          <w:lang w:val="en-GB"/>
        </w:rPr>
        <w:t>in managing</w:t>
      </w:r>
      <w:r w:rsidR="005D480A">
        <w:rPr>
          <w:lang w:val="en-GB"/>
        </w:rPr>
        <w:t xml:space="preserve"> sickle cell disease. It noted </w:t>
      </w:r>
      <w:r w:rsidR="00275AD9">
        <w:rPr>
          <w:lang w:val="en-GB"/>
        </w:rPr>
        <w:t xml:space="preserve">that </w:t>
      </w:r>
      <w:r w:rsidR="00862440">
        <w:rPr>
          <w:lang w:val="en-GB"/>
        </w:rPr>
        <w:t xml:space="preserve">automated exchange </w:t>
      </w:r>
      <w:r w:rsidR="002B7710">
        <w:rPr>
          <w:lang w:val="en-GB"/>
        </w:rPr>
        <w:t xml:space="preserve">with </w:t>
      </w:r>
      <w:r w:rsidR="00C00F2B">
        <w:rPr>
          <w:lang w:val="en-GB"/>
        </w:rPr>
        <w:t xml:space="preserve">Spectra Optia </w:t>
      </w:r>
      <w:r w:rsidR="00321DE0">
        <w:rPr>
          <w:lang w:val="en-GB"/>
        </w:rPr>
        <w:t xml:space="preserve">is </w:t>
      </w:r>
      <w:r w:rsidR="00AF1CF3">
        <w:rPr>
          <w:lang w:val="en-GB"/>
        </w:rPr>
        <w:t xml:space="preserve">needed </w:t>
      </w:r>
      <w:r w:rsidR="00321DE0">
        <w:rPr>
          <w:lang w:val="en-GB"/>
        </w:rPr>
        <w:t>less frequently</w:t>
      </w:r>
      <w:r w:rsidR="002B7710">
        <w:rPr>
          <w:lang w:val="en-GB"/>
        </w:rPr>
        <w:t xml:space="preserve"> and </w:t>
      </w:r>
      <w:r w:rsidR="00C00F2B">
        <w:rPr>
          <w:lang w:val="en-GB"/>
        </w:rPr>
        <w:t xml:space="preserve">is quicker </w:t>
      </w:r>
      <w:r w:rsidR="00275AD9">
        <w:rPr>
          <w:lang w:val="en-GB"/>
        </w:rPr>
        <w:t>than</w:t>
      </w:r>
      <w:r w:rsidR="00862440">
        <w:rPr>
          <w:lang w:val="en-GB"/>
        </w:rPr>
        <w:t xml:space="preserve"> </w:t>
      </w:r>
      <w:r w:rsidR="005D480A">
        <w:rPr>
          <w:lang w:val="en-GB"/>
        </w:rPr>
        <w:t xml:space="preserve">manual exchange. </w:t>
      </w:r>
      <w:r w:rsidR="005D480A" w:rsidRPr="00275AD9">
        <w:rPr>
          <w:lang w:val="en-GB"/>
        </w:rPr>
        <w:t xml:space="preserve">The Committee noted that automated exchange </w:t>
      </w:r>
      <w:r w:rsidR="00275AD9">
        <w:rPr>
          <w:lang w:val="en-GB"/>
        </w:rPr>
        <w:t>is</w:t>
      </w:r>
      <w:r w:rsidR="00275AD9" w:rsidRPr="00275AD9">
        <w:rPr>
          <w:lang w:val="en-GB"/>
        </w:rPr>
        <w:t xml:space="preserve"> </w:t>
      </w:r>
      <w:r w:rsidR="00321DE0">
        <w:rPr>
          <w:lang w:val="en-GB"/>
        </w:rPr>
        <w:t xml:space="preserve">considered by experts to be </w:t>
      </w:r>
      <w:r w:rsidR="005D480A" w:rsidRPr="00275AD9">
        <w:rPr>
          <w:lang w:val="en-GB"/>
        </w:rPr>
        <w:t xml:space="preserve">the only </w:t>
      </w:r>
      <w:r w:rsidR="00275AD9" w:rsidRPr="00275AD9">
        <w:rPr>
          <w:lang w:val="en-GB"/>
        </w:rPr>
        <w:t>reliab</w:t>
      </w:r>
      <w:r w:rsidR="00275AD9">
        <w:rPr>
          <w:lang w:val="en-GB"/>
        </w:rPr>
        <w:t>le</w:t>
      </w:r>
      <w:r w:rsidR="00275AD9" w:rsidRPr="00275AD9">
        <w:rPr>
          <w:lang w:val="en-GB"/>
        </w:rPr>
        <w:t xml:space="preserve"> </w:t>
      </w:r>
      <w:r w:rsidR="005D480A" w:rsidRPr="00275AD9">
        <w:rPr>
          <w:lang w:val="en-GB"/>
        </w:rPr>
        <w:t>iron</w:t>
      </w:r>
      <w:r w:rsidR="00862440" w:rsidRPr="00275AD9">
        <w:rPr>
          <w:lang w:val="en-GB"/>
        </w:rPr>
        <w:t>-</w:t>
      </w:r>
      <w:r w:rsidR="005D480A" w:rsidRPr="00275AD9">
        <w:rPr>
          <w:lang w:val="en-GB"/>
        </w:rPr>
        <w:t>neutral transfusion therapy available</w:t>
      </w:r>
      <w:r w:rsidR="00862440" w:rsidRPr="00275AD9">
        <w:rPr>
          <w:lang w:val="en-GB"/>
        </w:rPr>
        <w:t xml:space="preserve">, and that this is particularly important </w:t>
      </w:r>
      <w:r w:rsidR="00321DE0">
        <w:rPr>
          <w:lang w:val="en-GB"/>
        </w:rPr>
        <w:t>since</w:t>
      </w:r>
      <w:r w:rsidR="00321DE0" w:rsidRPr="00275AD9">
        <w:rPr>
          <w:lang w:val="en-GB"/>
        </w:rPr>
        <w:t xml:space="preserve"> </w:t>
      </w:r>
      <w:r w:rsidR="00862440" w:rsidRPr="00275AD9">
        <w:rPr>
          <w:lang w:val="en-GB"/>
        </w:rPr>
        <w:t xml:space="preserve">chelation therapy is </w:t>
      </w:r>
      <w:r w:rsidR="00C00F2B">
        <w:rPr>
          <w:lang w:val="en-GB"/>
        </w:rPr>
        <w:t>costly</w:t>
      </w:r>
      <w:r w:rsidR="00C00F2B" w:rsidRPr="00275AD9">
        <w:rPr>
          <w:lang w:val="en-GB"/>
        </w:rPr>
        <w:t xml:space="preserve"> </w:t>
      </w:r>
      <w:r w:rsidR="00862440" w:rsidRPr="00275AD9">
        <w:rPr>
          <w:lang w:val="en-GB"/>
        </w:rPr>
        <w:t xml:space="preserve">and </w:t>
      </w:r>
      <w:r w:rsidR="005D480A" w:rsidRPr="00275AD9">
        <w:rPr>
          <w:lang w:val="en-GB"/>
        </w:rPr>
        <w:t>poorly tolerated</w:t>
      </w:r>
      <w:r w:rsidR="00862440" w:rsidRPr="00275AD9">
        <w:rPr>
          <w:lang w:val="en-GB"/>
        </w:rPr>
        <w:t xml:space="preserve">. </w:t>
      </w:r>
      <w:r w:rsidR="00AF1CF3">
        <w:rPr>
          <w:lang w:val="en-GB"/>
        </w:rPr>
        <w:t>U</w:t>
      </w:r>
      <w:r w:rsidR="00275AD9">
        <w:rPr>
          <w:lang w:val="en-GB"/>
        </w:rPr>
        <w:t>s</w:t>
      </w:r>
      <w:r w:rsidR="00AF1CF3">
        <w:rPr>
          <w:lang w:val="en-GB"/>
        </w:rPr>
        <w:t>ing</w:t>
      </w:r>
      <w:r w:rsidR="00275AD9">
        <w:rPr>
          <w:lang w:val="en-GB"/>
        </w:rPr>
        <w:t xml:space="preserve"> </w:t>
      </w:r>
      <w:r w:rsidR="00130A69">
        <w:rPr>
          <w:lang w:val="en-GB"/>
        </w:rPr>
        <w:t>Spectra Optia</w:t>
      </w:r>
      <w:r w:rsidR="005D480A" w:rsidRPr="00275AD9">
        <w:rPr>
          <w:lang w:val="en-GB"/>
        </w:rPr>
        <w:t xml:space="preserve"> in patients with iron overload</w:t>
      </w:r>
      <w:r w:rsidR="00862440" w:rsidRPr="00275AD9">
        <w:rPr>
          <w:lang w:val="en-GB"/>
        </w:rPr>
        <w:t xml:space="preserve"> </w:t>
      </w:r>
      <w:r w:rsidR="005D480A" w:rsidRPr="00275AD9">
        <w:rPr>
          <w:lang w:val="en-GB"/>
        </w:rPr>
        <w:t>will not increase serum ferritin levels</w:t>
      </w:r>
      <w:r w:rsidR="00862440" w:rsidRPr="00275AD9">
        <w:rPr>
          <w:lang w:val="en-GB"/>
        </w:rPr>
        <w:t>,</w:t>
      </w:r>
      <w:r w:rsidR="00916853" w:rsidRPr="00275AD9">
        <w:rPr>
          <w:lang w:val="en-GB"/>
        </w:rPr>
        <w:t xml:space="preserve"> and may</w:t>
      </w:r>
      <w:r w:rsidR="00862440" w:rsidRPr="00275AD9">
        <w:rPr>
          <w:lang w:val="en-GB"/>
        </w:rPr>
        <w:t xml:space="preserve"> </w:t>
      </w:r>
      <w:r w:rsidR="00916853" w:rsidRPr="00275AD9">
        <w:rPr>
          <w:lang w:val="en-GB"/>
        </w:rPr>
        <w:t>decrease levels with prolonged treatment</w:t>
      </w:r>
      <w:r w:rsidR="005D480A" w:rsidRPr="00275AD9">
        <w:rPr>
          <w:lang w:val="en-GB"/>
        </w:rPr>
        <w:t>.</w:t>
      </w:r>
    </w:p>
    <w:p w:rsidR="00EB4695" w:rsidRDefault="00C00F2B" w:rsidP="00EB4695">
      <w:pPr>
        <w:pStyle w:val="Numberedlevel2text"/>
        <w:keepNext/>
        <w:rPr>
          <w:lang w:val="en-GB"/>
        </w:rPr>
      </w:pPr>
      <w:r>
        <w:rPr>
          <w:lang w:val="en-GB"/>
        </w:rPr>
        <w:t xml:space="preserve">Using </w:t>
      </w:r>
      <w:r w:rsidR="00130A69">
        <w:rPr>
          <w:lang w:val="en-GB"/>
        </w:rPr>
        <w:t>Spectra Optia</w:t>
      </w:r>
      <w:r w:rsidR="005D480A" w:rsidRPr="00275AD9">
        <w:rPr>
          <w:lang w:val="en-GB"/>
        </w:rPr>
        <w:t xml:space="preserve"> </w:t>
      </w:r>
      <w:r w:rsidR="00321DE0">
        <w:rPr>
          <w:lang w:val="en-GB"/>
        </w:rPr>
        <w:t xml:space="preserve">is likely to </w:t>
      </w:r>
      <w:r w:rsidR="00275AD9">
        <w:rPr>
          <w:lang w:val="en-GB"/>
        </w:rPr>
        <w:t>result in</w:t>
      </w:r>
      <w:r w:rsidR="005D480A" w:rsidRPr="00275AD9">
        <w:rPr>
          <w:lang w:val="en-GB"/>
        </w:rPr>
        <w:t xml:space="preserve"> significant cost savings in most patients</w:t>
      </w:r>
      <w:r w:rsidR="00275AD9">
        <w:rPr>
          <w:lang w:val="en-GB"/>
        </w:rPr>
        <w:t xml:space="preserve"> with sickle cell disease</w:t>
      </w:r>
      <w:r w:rsidR="005D480A" w:rsidRPr="00275AD9">
        <w:rPr>
          <w:lang w:val="en-GB"/>
        </w:rPr>
        <w:t xml:space="preserve">. </w:t>
      </w:r>
      <w:r w:rsidR="00AF1CF3">
        <w:rPr>
          <w:lang w:val="en-GB"/>
        </w:rPr>
        <w:t>There are u</w:t>
      </w:r>
      <w:r w:rsidR="00216061">
        <w:rPr>
          <w:lang w:val="en-GB"/>
        </w:rPr>
        <w:t xml:space="preserve">ncertainties in the cost model </w:t>
      </w:r>
      <w:r w:rsidR="00AF1CF3">
        <w:rPr>
          <w:lang w:val="en-GB"/>
        </w:rPr>
        <w:t>because of</w:t>
      </w:r>
      <w:r w:rsidR="0018785B">
        <w:rPr>
          <w:lang w:val="en-GB"/>
        </w:rPr>
        <w:t xml:space="preserve"> </w:t>
      </w:r>
      <w:r w:rsidR="00321DE0">
        <w:rPr>
          <w:lang w:val="en-GB"/>
        </w:rPr>
        <w:t>the absence of robust</w:t>
      </w:r>
      <w:r w:rsidR="00216061">
        <w:rPr>
          <w:lang w:val="en-GB"/>
        </w:rPr>
        <w:t xml:space="preserve"> </w:t>
      </w:r>
      <w:r w:rsidR="00321DE0">
        <w:rPr>
          <w:lang w:val="en-GB"/>
        </w:rPr>
        <w:t xml:space="preserve">published </w:t>
      </w:r>
      <w:r w:rsidR="00216061">
        <w:rPr>
          <w:lang w:val="en-GB"/>
        </w:rPr>
        <w:t xml:space="preserve">data estimates </w:t>
      </w:r>
      <w:r w:rsidR="00321DE0">
        <w:rPr>
          <w:lang w:val="en-GB"/>
        </w:rPr>
        <w:t>for some outcome measures</w:t>
      </w:r>
      <w:r w:rsidR="00AF1CF3">
        <w:rPr>
          <w:lang w:val="en-GB"/>
        </w:rPr>
        <w:t>,</w:t>
      </w:r>
      <w:r w:rsidR="00321DE0">
        <w:rPr>
          <w:lang w:val="en-GB"/>
        </w:rPr>
        <w:t xml:space="preserve"> and the need </w:t>
      </w:r>
      <w:r w:rsidR="00AF1CF3">
        <w:rPr>
          <w:lang w:val="en-GB"/>
        </w:rPr>
        <w:t xml:space="preserve">to </w:t>
      </w:r>
      <w:r w:rsidR="00321DE0">
        <w:rPr>
          <w:lang w:val="en-GB"/>
        </w:rPr>
        <w:t>incorporat</w:t>
      </w:r>
      <w:r w:rsidR="00AF1CF3">
        <w:rPr>
          <w:lang w:val="en-GB"/>
        </w:rPr>
        <w:t>e</w:t>
      </w:r>
      <w:r w:rsidR="00321DE0">
        <w:rPr>
          <w:lang w:val="en-GB"/>
        </w:rPr>
        <w:t xml:space="preserve"> </w:t>
      </w:r>
      <w:r w:rsidR="0020661C">
        <w:rPr>
          <w:lang w:val="en-GB"/>
        </w:rPr>
        <w:t>qualitative</w:t>
      </w:r>
      <w:r w:rsidR="00216061">
        <w:rPr>
          <w:lang w:val="en-GB"/>
        </w:rPr>
        <w:t xml:space="preserve"> information</w:t>
      </w:r>
      <w:r w:rsidR="00321DE0">
        <w:rPr>
          <w:lang w:val="en-GB"/>
        </w:rPr>
        <w:t xml:space="preserve"> advised by experts</w:t>
      </w:r>
      <w:r w:rsidR="00216061">
        <w:rPr>
          <w:lang w:val="en-GB"/>
        </w:rPr>
        <w:t xml:space="preserve">. </w:t>
      </w:r>
      <w:r w:rsidR="00275AD9">
        <w:rPr>
          <w:lang w:val="en-GB"/>
        </w:rPr>
        <w:t>Cost savings may</w:t>
      </w:r>
      <w:r w:rsidR="005D480A" w:rsidRPr="00275AD9">
        <w:rPr>
          <w:lang w:val="en-GB"/>
        </w:rPr>
        <w:t xml:space="preserve"> be maximised through device-sharing schemes</w:t>
      </w:r>
      <w:r w:rsidR="007963BD" w:rsidRPr="00275AD9">
        <w:rPr>
          <w:lang w:val="en-GB"/>
        </w:rPr>
        <w:t xml:space="preserve"> and </w:t>
      </w:r>
      <w:r>
        <w:rPr>
          <w:lang w:val="en-GB"/>
        </w:rPr>
        <w:t xml:space="preserve">by avoiding </w:t>
      </w:r>
      <w:r w:rsidR="00275AD9">
        <w:rPr>
          <w:lang w:val="en-GB"/>
        </w:rPr>
        <w:t xml:space="preserve">iron overload and the </w:t>
      </w:r>
      <w:r>
        <w:rPr>
          <w:lang w:val="en-GB"/>
        </w:rPr>
        <w:t xml:space="preserve">subsequent </w:t>
      </w:r>
      <w:r w:rsidR="00275AD9">
        <w:rPr>
          <w:lang w:val="en-GB"/>
        </w:rPr>
        <w:t>use</w:t>
      </w:r>
      <w:r w:rsidR="00AF1CF3">
        <w:rPr>
          <w:lang w:val="en-GB"/>
        </w:rPr>
        <w:t xml:space="preserve"> of</w:t>
      </w:r>
      <w:r w:rsidR="00275AD9">
        <w:rPr>
          <w:lang w:val="en-GB"/>
        </w:rPr>
        <w:t xml:space="preserve"> </w:t>
      </w:r>
      <w:r>
        <w:rPr>
          <w:lang w:val="en-GB"/>
        </w:rPr>
        <w:t xml:space="preserve">chelation therapy. </w:t>
      </w:r>
    </w:p>
    <w:p w:rsidR="00AB0F4B" w:rsidRPr="000F3A16" w:rsidRDefault="00AB0F4B" w:rsidP="00DF2659">
      <w:pPr>
        <w:pStyle w:val="Numberedlevel2text"/>
        <w:rPr>
          <w:lang w:val="en-GB"/>
        </w:rPr>
      </w:pPr>
      <w:r>
        <w:rPr>
          <w:lang w:val="en-GB"/>
        </w:rPr>
        <w:t>The Committee noted a need for high quality clinical data c</w:t>
      </w:r>
      <w:r w:rsidRPr="00C55CB6">
        <w:rPr>
          <w:lang w:val="en-GB"/>
        </w:rPr>
        <w:t xml:space="preserve">ollection on the outcomes of treatment with this technology. In particular, long-term data </w:t>
      </w:r>
      <w:r w:rsidR="00AF1CF3">
        <w:rPr>
          <w:lang w:val="en-GB"/>
        </w:rPr>
        <w:t xml:space="preserve">are </w:t>
      </w:r>
      <w:r w:rsidR="00AF1CF3" w:rsidRPr="00C55CB6">
        <w:rPr>
          <w:lang w:val="en-GB"/>
        </w:rPr>
        <w:t>need</w:t>
      </w:r>
      <w:r w:rsidR="00AF1CF3">
        <w:rPr>
          <w:lang w:val="en-GB"/>
        </w:rPr>
        <w:t>ed</w:t>
      </w:r>
      <w:r w:rsidR="00AF1CF3" w:rsidRPr="00C55CB6">
        <w:rPr>
          <w:lang w:val="en-GB"/>
        </w:rPr>
        <w:t xml:space="preserve"> </w:t>
      </w:r>
      <w:r w:rsidRPr="00C55CB6">
        <w:rPr>
          <w:lang w:val="en-GB"/>
        </w:rPr>
        <w:t>on how auto</w:t>
      </w:r>
      <w:r>
        <w:rPr>
          <w:lang w:val="en-GB"/>
        </w:rPr>
        <w:t>mated and manual exchange affects iron overload status and the</w:t>
      </w:r>
      <w:r w:rsidRPr="007E5C56">
        <w:rPr>
          <w:lang w:val="en-GB"/>
        </w:rPr>
        <w:t xml:space="preserve"> </w:t>
      </w:r>
      <w:r>
        <w:rPr>
          <w:lang w:val="en-GB"/>
        </w:rPr>
        <w:t xml:space="preserve">subsequent need </w:t>
      </w:r>
      <w:r w:rsidRPr="007E5C56">
        <w:rPr>
          <w:lang w:val="en-GB"/>
        </w:rPr>
        <w:t>f</w:t>
      </w:r>
      <w:r>
        <w:rPr>
          <w:lang w:val="en-GB"/>
        </w:rPr>
        <w:t>or</w:t>
      </w:r>
      <w:r w:rsidRPr="007E5C56">
        <w:rPr>
          <w:lang w:val="en-GB"/>
        </w:rPr>
        <w:t xml:space="preserve"> chelation therapy.</w:t>
      </w:r>
      <w:r>
        <w:rPr>
          <w:lang w:val="en-GB"/>
        </w:rPr>
        <w:t xml:space="preserve"> These data could be used to remove the current uncertainties related to the use of the Spectra Optia device.</w:t>
      </w:r>
    </w:p>
    <w:p w:rsidR="003643AE" w:rsidRPr="007E5C56" w:rsidRDefault="006D4A38" w:rsidP="003643AE">
      <w:pPr>
        <w:pStyle w:val="Numberedlevel2text"/>
        <w:keepNext/>
        <w:numPr>
          <w:ilvl w:val="0"/>
          <w:numId w:val="0"/>
        </w:numPr>
        <w:ind w:left="1134"/>
      </w:pPr>
      <w:r>
        <w:lastRenderedPageBreak/>
        <w:t>Peter Groves</w:t>
      </w:r>
      <w:r w:rsidR="00D932DA" w:rsidRPr="007E5C56">
        <w:br/>
      </w:r>
      <w:r w:rsidR="003643AE">
        <w:t>Vice</w:t>
      </w:r>
      <w:r w:rsidR="005E526A">
        <w:t xml:space="preserve"> </w:t>
      </w:r>
      <w:r w:rsidR="007F49BA" w:rsidRPr="007E5C56">
        <w:t>Chair, Medical Technologies Advisory Committee</w:t>
      </w:r>
      <w:r w:rsidR="00D932DA" w:rsidRPr="007E5C56">
        <w:br/>
      </w:r>
      <w:r w:rsidR="00AB0F4B">
        <w:t xml:space="preserve">October </w:t>
      </w:r>
      <w:r w:rsidR="00916853">
        <w:t>2015</w:t>
      </w:r>
    </w:p>
    <w:p w:rsidR="00C2235F" w:rsidRPr="007E5C56" w:rsidRDefault="00C2235F" w:rsidP="00717783">
      <w:pPr>
        <w:pStyle w:val="Numberedheading1"/>
        <w:rPr>
          <w:lang w:val="en-GB"/>
        </w:rPr>
      </w:pPr>
      <w:r w:rsidRPr="007E5C56">
        <w:rPr>
          <w:lang w:val="en-GB"/>
        </w:rPr>
        <w:br w:type="page"/>
      </w:r>
      <w:bookmarkStart w:id="2" w:name="_Toc298839763"/>
      <w:r w:rsidRPr="007E5C56">
        <w:rPr>
          <w:lang w:val="en-GB"/>
        </w:rPr>
        <w:lastRenderedPageBreak/>
        <w:t>Committee members and NICE lead team</w:t>
      </w:r>
      <w:bookmarkEnd w:id="2"/>
      <w:r w:rsidRPr="007E5C56">
        <w:rPr>
          <w:lang w:val="en-GB"/>
        </w:rPr>
        <w:t xml:space="preserve"> </w:t>
      </w:r>
    </w:p>
    <w:p w:rsidR="00C2235F" w:rsidRPr="007E5C56" w:rsidRDefault="00C2235F" w:rsidP="00C2235F">
      <w:pPr>
        <w:pStyle w:val="Heading2"/>
        <w:rPr>
          <w:lang w:val="en-GB"/>
        </w:rPr>
      </w:pPr>
      <w:bookmarkStart w:id="3" w:name="_Toc298839764"/>
      <w:r w:rsidRPr="007E5C56">
        <w:rPr>
          <w:lang w:val="en-GB"/>
        </w:rPr>
        <w:t>Medical Technologies Advisory Committee members</w:t>
      </w:r>
      <w:bookmarkEnd w:id="3"/>
      <w:r w:rsidRPr="007E5C56">
        <w:rPr>
          <w:lang w:val="en-GB"/>
        </w:rPr>
        <w:t xml:space="preserve"> </w:t>
      </w:r>
    </w:p>
    <w:p w:rsidR="00C2235F" w:rsidRPr="007E5C56" w:rsidRDefault="00C2235F" w:rsidP="00C2235F">
      <w:pPr>
        <w:pStyle w:val="NICEnormal"/>
      </w:pPr>
      <w:r w:rsidRPr="007E5C56">
        <w:t xml:space="preserve">The Medical Technologies Advisory Committee is a standing advisory committee of NICE. A list of the Committee members who took part in the discussions for this guidance appears below. </w:t>
      </w:r>
    </w:p>
    <w:p w:rsidR="00C2235F" w:rsidRPr="007E5C56" w:rsidRDefault="00C2235F" w:rsidP="00C2235F">
      <w:pPr>
        <w:pStyle w:val="NICEnormal"/>
      </w:pPr>
      <w:r w:rsidRPr="007E5C56">
        <w:t xml:space="preserve">Committee members are asked to declare any interests in the technology to be evaluated. If it is considered there is a conflict of interest, the member is excluded from participating further in that evaluation. </w:t>
      </w:r>
    </w:p>
    <w:p w:rsidR="00C2235F" w:rsidRPr="007E5C56" w:rsidRDefault="00C2235F" w:rsidP="00C2235F">
      <w:pPr>
        <w:pStyle w:val="NICEnormal"/>
      </w:pPr>
      <w:r w:rsidRPr="007E5C56">
        <w:t xml:space="preserve">The minutes of each Medical Technologies Advisory Committee meeting, which include the names of the members who attended and their declarations of interests, are posted on the NICE website. </w:t>
      </w:r>
    </w:p>
    <w:p w:rsidR="00A0460E" w:rsidRPr="007E5C56" w:rsidRDefault="00A0460E" w:rsidP="00A0460E">
      <w:pPr>
        <w:pStyle w:val="NICEnormal"/>
      </w:pPr>
      <w:r w:rsidRPr="007E5C56">
        <w:rPr>
          <w:b/>
        </w:rPr>
        <w:t>Professor Bruce Campbell (Chair</w:t>
      </w:r>
      <w:proofErr w:type="gramStart"/>
      <w:r w:rsidRPr="007E5C56">
        <w:rPr>
          <w:b/>
        </w:rPr>
        <w:t>)</w:t>
      </w:r>
      <w:proofErr w:type="gramEnd"/>
      <w:r w:rsidRPr="007E5C56">
        <w:rPr>
          <w:b/>
        </w:rPr>
        <w:br/>
      </w:r>
      <w:r w:rsidRPr="007E5C56">
        <w:t>Consultant Vascular Surgeon, Royal Devon and Exeter Hospital</w:t>
      </w:r>
    </w:p>
    <w:p w:rsidR="00A0460E" w:rsidRPr="007E5C56" w:rsidRDefault="00A0460E" w:rsidP="00A0460E">
      <w:pPr>
        <w:pStyle w:val="NICEnormal"/>
      </w:pPr>
      <w:r w:rsidRPr="007E5C56">
        <w:rPr>
          <w:b/>
        </w:rPr>
        <w:t>Dr Peter Groves (Vice Chair</w:t>
      </w:r>
      <w:proofErr w:type="gramStart"/>
      <w:r w:rsidRPr="007E5C56">
        <w:rPr>
          <w:b/>
        </w:rPr>
        <w:t>)</w:t>
      </w:r>
      <w:proofErr w:type="gramEnd"/>
      <w:r w:rsidRPr="007E5C56">
        <w:rPr>
          <w:b/>
        </w:rPr>
        <w:br/>
      </w:r>
      <w:r w:rsidRPr="007E5C56">
        <w:t>Consultant Cardiologist, Cardiff and Vale University Health Board</w:t>
      </w:r>
    </w:p>
    <w:p w:rsidR="00A0460E" w:rsidRPr="007E5C56" w:rsidRDefault="00A0460E" w:rsidP="00A0460E">
      <w:pPr>
        <w:pStyle w:val="NICEnormal"/>
      </w:pPr>
      <w:r w:rsidRPr="007E5C56">
        <w:rPr>
          <w:b/>
        </w:rPr>
        <w:t xml:space="preserve">Ms Susan Bennett </w:t>
      </w:r>
      <w:r w:rsidRPr="007E5C56">
        <w:rPr>
          <w:b/>
        </w:rPr>
        <w:br/>
      </w:r>
      <w:r w:rsidRPr="007E5C56">
        <w:t xml:space="preserve">Lay member </w:t>
      </w:r>
    </w:p>
    <w:p w:rsidR="00A0460E" w:rsidRPr="007E5C56" w:rsidRDefault="00A0460E" w:rsidP="00A0460E">
      <w:pPr>
        <w:pStyle w:val="NICEnormal"/>
      </w:pPr>
      <w:r w:rsidRPr="007E5C56">
        <w:rPr>
          <w:b/>
        </w:rPr>
        <w:t>Professor Nigel Brunskill</w:t>
      </w:r>
      <w:r w:rsidRPr="007E5C56">
        <w:rPr>
          <w:b/>
        </w:rPr>
        <w:br/>
      </w:r>
      <w:r w:rsidRPr="007E5C56">
        <w:t>Professor of Renal Medicine, University of Leicester</w:t>
      </w:r>
    </w:p>
    <w:p w:rsidR="00A0460E" w:rsidRPr="007E5C56" w:rsidRDefault="00A0460E" w:rsidP="00A0460E">
      <w:pPr>
        <w:pStyle w:val="NICEnormal"/>
      </w:pPr>
      <w:r w:rsidRPr="007E5C56">
        <w:rPr>
          <w:b/>
        </w:rPr>
        <w:t>Mr Matthew Campbell-Hill</w:t>
      </w:r>
      <w:r w:rsidRPr="007E5C56">
        <w:rPr>
          <w:b/>
        </w:rPr>
        <w:br/>
      </w:r>
      <w:r w:rsidRPr="007E5C56">
        <w:t xml:space="preserve">Lay member </w:t>
      </w:r>
    </w:p>
    <w:p w:rsidR="00A0460E" w:rsidRPr="007E5C56" w:rsidRDefault="00A0460E" w:rsidP="00A0460E">
      <w:pPr>
        <w:pStyle w:val="NICEnormal"/>
      </w:pPr>
      <w:r w:rsidRPr="007E5C56">
        <w:rPr>
          <w:b/>
        </w:rPr>
        <w:t>Professor Daniel Clark</w:t>
      </w:r>
      <w:r w:rsidRPr="007E5C56">
        <w:rPr>
          <w:b/>
        </w:rPr>
        <w:br/>
      </w:r>
      <w:r w:rsidRPr="007E5C56">
        <w:t xml:space="preserve">Head of Clinical Engineering, Nottingham University Hospitals NHS Trust </w:t>
      </w:r>
    </w:p>
    <w:p w:rsidR="00A0460E" w:rsidRPr="007E5C56" w:rsidRDefault="00A0460E" w:rsidP="00A0460E">
      <w:pPr>
        <w:pStyle w:val="NICEnormal"/>
      </w:pPr>
      <w:r w:rsidRPr="007E5C56">
        <w:rPr>
          <w:b/>
        </w:rPr>
        <w:t>Dr Fiona Denison</w:t>
      </w:r>
      <w:r w:rsidRPr="007E5C56">
        <w:rPr>
          <w:b/>
        </w:rPr>
        <w:br/>
      </w:r>
      <w:r w:rsidRPr="007E5C56">
        <w:t>Reader/Honorary Consultant in Maternal and Fetal Health, University of Edinburgh</w:t>
      </w:r>
    </w:p>
    <w:p w:rsidR="00A0460E" w:rsidRPr="007E5C56" w:rsidRDefault="00A0460E" w:rsidP="00A0460E">
      <w:pPr>
        <w:pStyle w:val="NICEnormal"/>
      </w:pPr>
      <w:r w:rsidRPr="007E5C56">
        <w:rPr>
          <w:b/>
        </w:rPr>
        <w:lastRenderedPageBreak/>
        <w:t>Professor Tony Freemont</w:t>
      </w:r>
      <w:r w:rsidRPr="007E5C56">
        <w:rPr>
          <w:b/>
        </w:rPr>
        <w:br/>
      </w:r>
      <w:r w:rsidRPr="007E5C56">
        <w:t xml:space="preserve">Professor of </w:t>
      </w:r>
      <w:proofErr w:type="spellStart"/>
      <w:r w:rsidRPr="007E5C56">
        <w:t>Osteoarticular</w:t>
      </w:r>
      <w:proofErr w:type="spellEnd"/>
      <w:r w:rsidRPr="007E5C56">
        <w:t xml:space="preserve"> Pathology, University of Manchester</w:t>
      </w:r>
    </w:p>
    <w:p w:rsidR="00A0460E" w:rsidRPr="007E5C56" w:rsidRDefault="00A0460E" w:rsidP="00A0460E">
      <w:pPr>
        <w:pStyle w:val="NICEnormal"/>
      </w:pPr>
      <w:r w:rsidRPr="007E5C56">
        <w:rPr>
          <w:b/>
        </w:rPr>
        <w:t xml:space="preserve">Professor Shaheen </w:t>
      </w:r>
      <w:proofErr w:type="spellStart"/>
      <w:r w:rsidRPr="007E5C56">
        <w:rPr>
          <w:b/>
        </w:rPr>
        <w:t>Hamdy</w:t>
      </w:r>
      <w:proofErr w:type="spellEnd"/>
      <w:r w:rsidRPr="007E5C56">
        <w:rPr>
          <w:b/>
        </w:rPr>
        <w:br/>
      </w:r>
      <w:r w:rsidRPr="007E5C56">
        <w:t xml:space="preserve">Professor of </w:t>
      </w:r>
      <w:proofErr w:type="spellStart"/>
      <w:r w:rsidRPr="007E5C56">
        <w:t>Neurogastroenterology</w:t>
      </w:r>
      <w:proofErr w:type="spellEnd"/>
      <w:r w:rsidRPr="007E5C56">
        <w:t>, University of Manchester</w:t>
      </w:r>
    </w:p>
    <w:p w:rsidR="00A0460E" w:rsidRPr="007E5C56" w:rsidRDefault="00A0460E" w:rsidP="00A0460E">
      <w:pPr>
        <w:pStyle w:val="NICEnormal"/>
      </w:pPr>
      <w:r w:rsidRPr="007E5C56">
        <w:rPr>
          <w:b/>
        </w:rPr>
        <w:t>Dr Jerry Hutchinson</w:t>
      </w:r>
      <w:r w:rsidRPr="007E5C56">
        <w:rPr>
          <w:b/>
        </w:rPr>
        <w:br/>
      </w:r>
      <w:r w:rsidRPr="007E5C56">
        <w:t>Independent Medical Technology Adviser</w:t>
      </w:r>
    </w:p>
    <w:p w:rsidR="00A0460E" w:rsidRPr="007E5C56" w:rsidRDefault="00A0460E" w:rsidP="00A0460E">
      <w:pPr>
        <w:pStyle w:val="NICEnormal"/>
      </w:pPr>
      <w:r w:rsidRPr="007E5C56">
        <w:rPr>
          <w:b/>
        </w:rPr>
        <w:t>Dr Cynthia Iglesias</w:t>
      </w:r>
      <w:r w:rsidRPr="007E5C56">
        <w:rPr>
          <w:b/>
        </w:rPr>
        <w:br/>
      </w:r>
      <w:r w:rsidRPr="007E5C56">
        <w:t>Health Economist, University of York</w:t>
      </w:r>
    </w:p>
    <w:p w:rsidR="00A0460E" w:rsidRPr="007E5C56" w:rsidRDefault="00A0460E" w:rsidP="00A0460E">
      <w:pPr>
        <w:pStyle w:val="NICEnormal"/>
      </w:pPr>
      <w:r w:rsidRPr="007E5C56">
        <w:rPr>
          <w:b/>
        </w:rPr>
        <w:t>Professor Mohammad Ilyas</w:t>
      </w:r>
      <w:r w:rsidRPr="007E5C56">
        <w:rPr>
          <w:b/>
        </w:rPr>
        <w:br/>
      </w:r>
      <w:r w:rsidRPr="007E5C56">
        <w:t>Professor of Pathology, University of Nottingham</w:t>
      </w:r>
    </w:p>
    <w:p w:rsidR="00A0460E" w:rsidRPr="007E5C56" w:rsidRDefault="00A0460E" w:rsidP="00A0460E">
      <w:pPr>
        <w:pStyle w:val="NICEnormal"/>
      </w:pPr>
      <w:r w:rsidRPr="007E5C56">
        <w:rPr>
          <w:b/>
        </w:rPr>
        <w:t>Dr Greg Irving</w:t>
      </w:r>
      <w:r w:rsidRPr="007E5C56">
        <w:rPr>
          <w:b/>
        </w:rPr>
        <w:br/>
      </w:r>
      <w:r w:rsidRPr="007E5C56">
        <w:t>GP and Clinical Lecturer, University of Cambridge</w:t>
      </w:r>
    </w:p>
    <w:p w:rsidR="00A0460E" w:rsidRPr="007E5C56" w:rsidRDefault="00A0460E" w:rsidP="00A0460E">
      <w:pPr>
        <w:pStyle w:val="NICEnormal"/>
      </w:pPr>
      <w:r w:rsidRPr="007E5C56">
        <w:rPr>
          <w:b/>
        </w:rPr>
        <w:t xml:space="preserve">Professor Eva </w:t>
      </w:r>
      <w:proofErr w:type="spellStart"/>
      <w:r w:rsidRPr="007E5C56">
        <w:rPr>
          <w:b/>
        </w:rPr>
        <w:t>Kaltenthaler</w:t>
      </w:r>
      <w:proofErr w:type="spellEnd"/>
      <w:r w:rsidRPr="007E5C56">
        <w:rPr>
          <w:b/>
        </w:rPr>
        <w:br/>
      </w:r>
      <w:r w:rsidRPr="007E5C56">
        <w:t>Professor of Health Technology Assessment, School of Health and Related Research (</w:t>
      </w:r>
      <w:proofErr w:type="spellStart"/>
      <w:r w:rsidRPr="007E5C56">
        <w:t>ScHARR</w:t>
      </w:r>
      <w:proofErr w:type="spellEnd"/>
      <w:r w:rsidRPr="007E5C56">
        <w:t xml:space="preserve">), University of Sheffield </w:t>
      </w:r>
    </w:p>
    <w:p w:rsidR="00A0460E" w:rsidRPr="007E5C56" w:rsidRDefault="00A0460E" w:rsidP="00A0460E">
      <w:pPr>
        <w:pStyle w:val="NICEnormal"/>
      </w:pPr>
      <w:r w:rsidRPr="007E5C56">
        <w:rPr>
          <w:b/>
        </w:rPr>
        <w:t>Dr Paul Knox</w:t>
      </w:r>
      <w:r w:rsidRPr="007E5C56">
        <w:rPr>
          <w:b/>
        </w:rPr>
        <w:br/>
      </w:r>
      <w:r w:rsidRPr="007E5C56">
        <w:t>Reader in Vision Science, University of Liverpool</w:t>
      </w:r>
    </w:p>
    <w:p w:rsidR="00A0460E" w:rsidRPr="007E5C56" w:rsidRDefault="00A0460E" w:rsidP="00A0460E">
      <w:pPr>
        <w:pStyle w:val="NICEnormal"/>
      </w:pPr>
      <w:r w:rsidRPr="007E5C56">
        <w:rPr>
          <w:b/>
        </w:rPr>
        <w:t>Dr Rory O’Connor</w:t>
      </w:r>
      <w:r w:rsidRPr="007E5C56">
        <w:rPr>
          <w:b/>
        </w:rPr>
        <w:br/>
      </w:r>
      <w:r w:rsidRPr="007E5C56">
        <w:t>Senior Lecturer and Honorary Consultant Physician in Rehabilitation Medicine, University of Leeds</w:t>
      </w:r>
    </w:p>
    <w:p w:rsidR="00A0460E" w:rsidRPr="007E5C56" w:rsidRDefault="00A0460E" w:rsidP="00A0460E">
      <w:pPr>
        <w:pStyle w:val="NICEnormal"/>
      </w:pPr>
      <w:r w:rsidRPr="007E5C56">
        <w:rPr>
          <w:b/>
        </w:rPr>
        <w:t>Mrs Karen Partington</w:t>
      </w:r>
      <w:r w:rsidRPr="007E5C56">
        <w:rPr>
          <w:b/>
        </w:rPr>
        <w:br/>
      </w:r>
      <w:r w:rsidRPr="007E5C56">
        <w:t>Chief Executive, Lancashire Teaching Hospitals NHS Foundation Trust</w:t>
      </w:r>
    </w:p>
    <w:p w:rsidR="00A0460E" w:rsidRPr="007E5C56" w:rsidRDefault="00A0460E" w:rsidP="00A0460E">
      <w:pPr>
        <w:pStyle w:val="NICEnormal"/>
      </w:pPr>
      <w:r w:rsidRPr="007E5C56">
        <w:rPr>
          <w:b/>
        </w:rPr>
        <w:t>Mr Brian Selman</w:t>
      </w:r>
      <w:r w:rsidRPr="007E5C56">
        <w:rPr>
          <w:b/>
        </w:rPr>
        <w:br/>
      </w:r>
      <w:r w:rsidRPr="007E5C56">
        <w:t>Managing Director, Selman and Company Limited</w:t>
      </w:r>
    </w:p>
    <w:p w:rsidR="00A0460E" w:rsidRPr="007E5C56" w:rsidRDefault="00A0460E" w:rsidP="00A0460E">
      <w:pPr>
        <w:pStyle w:val="NICEnormal"/>
      </w:pPr>
      <w:r w:rsidRPr="007E5C56">
        <w:rPr>
          <w:b/>
        </w:rPr>
        <w:t>Professor Wendy Tindale</w:t>
      </w:r>
      <w:r w:rsidRPr="007E5C56">
        <w:rPr>
          <w:b/>
        </w:rPr>
        <w:br/>
      </w:r>
      <w:r w:rsidRPr="007E5C56">
        <w:t>Scientific Director, Sheffield Teaching Hospitals NHS Foundation Trust</w:t>
      </w:r>
    </w:p>
    <w:p w:rsidR="00A0460E" w:rsidRPr="007E5C56" w:rsidRDefault="00A0460E" w:rsidP="00A0460E">
      <w:pPr>
        <w:pStyle w:val="NICEnormal"/>
      </w:pPr>
      <w:r w:rsidRPr="007E5C56">
        <w:rPr>
          <w:b/>
        </w:rPr>
        <w:lastRenderedPageBreak/>
        <w:t>Professor Allan Wailoo</w:t>
      </w:r>
      <w:r w:rsidRPr="007E5C56">
        <w:rPr>
          <w:b/>
        </w:rPr>
        <w:br/>
      </w:r>
      <w:r w:rsidRPr="007E5C56">
        <w:t>Professor of Health Economics, School of Health and Related Research (</w:t>
      </w:r>
      <w:proofErr w:type="spellStart"/>
      <w:r w:rsidRPr="007E5C56">
        <w:t>ScHARR</w:t>
      </w:r>
      <w:proofErr w:type="spellEnd"/>
      <w:r w:rsidRPr="007E5C56">
        <w:t>), University of Sheffield</w:t>
      </w:r>
    </w:p>
    <w:p w:rsidR="00A0460E" w:rsidRPr="007E5C56" w:rsidRDefault="00A0460E" w:rsidP="00A0460E">
      <w:pPr>
        <w:pStyle w:val="NICEnormal"/>
      </w:pPr>
      <w:r w:rsidRPr="007E5C56">
        <w:rPr>
          <w:b/>
        </w:rPr>
        <w:t>Mr John Wilkinson</w:t>
      </w:r>
      <w:r w:rsidRPr="007E5C56">
        <w:rPr>
          <w:b/>
        </w:rPr>
        <w:br/>
      </w:r>
      <w:r w:rsidRPr="007E5C56">
        <w:t xml:space="preserve">Director of Devices, Medicines and Healthcare Products Regulatory Agency </w:t>
      </w:r>
    </w:p>
    <w:p w:rsidR="00A0460E" w:rsidRPr="007E5C56" w:rsidRDefault="00A0460E" w:rsidP="00A0460E">
      <w:pPr>
        <w:pStyle w:val="NICEnormal"/>
      </w:pPr>
      <w:r w:rsidRPr="007E5C56">
        <w:rPr>
          <w:b/>
        </w:rPr>
        <w:t>Professor Janelle Yorke</w:t>
      </w:r>
      <w:r w:rsidRPr="007E5C56">
        <w:rPr>
          <w:b/>
        </w:rPr>
        <w:br/>
      </w:r>
      <w:r w:rsidRPr="007E5C56">
        <w:t>Lecturer and Researcher in Nursing, University of Manchester</w:t>
      </w:r>
    </w:p>
    <w:p w:rsidR="00A0460E" w:rsidRPr="007E5C56" w:rsidRDefault="00A0460E" w:rsidP="00A0460E">
      <w:pPr>
        <w:pStyle w:val="NICEnormal"/>
      </w:pPr>
      <w:r w:rsidRPr="007E5C56">
        <w:rPr>
          <w:b/>
        </w:rPr>
        <w:t>Dr Amber Young</w:t>
      </w:r>
      <w:r w:rsidRPr="007E5C56">
        <w:rPr>
          <w:b/>
        </w:rPr>
        <w:br/>
      </w:r>
      <w:r w:rsidRPr="007E5C56">
        <w:t>Consultant Paediatric Anaesthetist, Bristol Royal Hospital for Children</w:t>
      </w:r>
    </w:p>
    <w:p w:rsidR="00C2235F" w:rsidRPr="007E5C56" w:rsidRDefault="00C2235F" w:rsidP="00C2235F">
      <w:pPr>
        <w:pStyle w:val="Heading2"/>
        <w:rPr>
          <w:lang w:val="en-GB"/>
        </w:rPr>
      </w:pPr>
      <w:r w:rsidRPr="007E5C56">
        <w:rPr>
          <w:lang w:val="en-GB"/>
        </w:rPr>
        <w:br w:type="page"/>
      </w:r>
      <w:bookmarkStart w:id="4" w:name="_Toc298839765"/>
      <w:r w:rsidRPr="007E5C56">
        <w:rPr>
          <w:lang w:val="en-GB"/>
        </w:rPr>
        <w:lastRenderedPageBreak/>
        <w:t>NICE lead team</w:t>
      </w:r>
      <w:bookmarkEnd w:id="4"/>
    </w:p>
    <w:p w:rsidR="00C2235F" w:rsidRPr="007E5C56" w:rsidRDefault="00C2235F" w:rsidP="00C2235F">
      <w:pPr>
        <w:pStyle w:val="NICEnormalsinglespacing"/>
      </w:pPr>
      <w:r w:rsidRPr="007E5C56">
        <w:t>Each medical technology assessment is assigned a lead team of a NICE technical analyst and technical adviser, an expert adviser, a technical expert,</w:t>
      </w:r>
      <w:r w:rsidR="008C6B33" w:rsidRPr="007E5C56">
        <w:t xml:space="preserve"> a patient expert,</w:t>
      </w:r>
      <w:r w:rsidRPr="007E5C56">
        <w:t xml:space="preserve"> a non-expert member of the Medical Technologies Advisory Committee and a representative of the External Assessment Centre. </w:t>
      </w:r>
    </w:p>
    <w:p w:rsidR="009E0F3C" w:rsidRDefault="009E0F3C" w:rsidP="00ED7DF1">
      <w:pPr>
        <w:pStyle w:val="Heading4"/>
      </w:pPr>
      <w:r>
        <w:t>NICE Project Team</w:t>
      </w:r>
    </w:p>
    <w:p w:rsidR="00C2235F" w:rsidRDefault="00AE1145" w:rsidP="000035B1">
      <w:pPr>
        <w:pStyle w:val="NICEnormal"/>
      </w:pPr>
      <w:r>
        <w:rPr>
          <w:b/>
        </w:rPr>
        <w:t>Kimberley Carter</w:t>
      </w:r>
      <w:r w:rsidR="000035B1" w:rsidRPr="007E5C56">
        <w:rPr>
          <w:b/>
        </w:rPr>
        <w:br/>
      </w:r>
      <w:r w:rsidR="00C2235F" w:rsidRPr="007E5C56">
        <w:t xml:space="preserve">Technical </w:t>
      </w:r>
      <w:r w:rsidR="005E526A">
        <w:t>Lead</w:t>
      </w:r>
    </w:p>
    <w:p w:rsidR="005E526A" w:rsidRPr="00EB4695" w:rsidRDefault="005E526A" w:rsidP="00EB4695">
      <w:pPr>
        <w:pStyle w:val="NICEnormal"/>
        <w:spacing w:line="240" w:lineRule="auto"/>
        <w:rPr>
          <w:b/>
        </w:rPr>
      </w:pPr>
      <w:r w:rsidRPr="00EB4695">
        <w:rPr>
          <w:b/>
        </w:rPr>
        <w:t>Paul Dimmock</w:t>
      </w:r>
    </w:p>
    <w:p w:rsidR="005E526A" w:rsidRPr="007E5C56" w:rsidRDefault="005E526A" w:rsidP="00EB4695">
      <w:pPr>
        <w:pStyle w:val="NICEnormal"/>
        <w:spacing w:line="240" w:lineRule="auto"/>
      </w:pPr>
      <w:r>
        <w:t>Technical Analyst</w:t>
      </w:r>
    </w:p>
    <w:p w:rsidR="00C2235F" w:rsidRPr="007E5C56" w:rsidRDefault="00AE1145" w:rsidP="000035B1">
      <w:pPr>
        <w:pStyle w:val="NICEnormal"/>
      </w:pPr>
      <w:r>
        <w:rPr>
          <w:b/>
        </w:rPr>
        <w:t>Bernice Dillon</w:t>
      </w:r>
      <w:r w:rsidR="000035B1" w:rsidRPr="007E5C56">
        <w:rPr>
          <w:b/>
        </w:rPr>
        <w:br/>
      </w:r>
      <w:r w:rsidR="00C2235F" w:rsidRPr="007E5C56">
        <w:t>Technical Adviser</w:t>
      </w:r>
    </w:p>
    <w:p w:rsidR="009E0F3C" w:rsidRDefault="009E0F3C" w:rsidP="00ED7DF1">
      <w:pPr>
        <w:pStyle w:val="Heading4"/>
      </w:pPr>
      <w:r>
        <w:t>Expert Advisers</w:t>
      </w:r>
    </w:p>
    <w:p w:rsidR="00580265" w:rsidRDefault="00580265" w:rsidP="000035B1">
      <w:pPr>
        <w:pStyle w:val="NICEnormal"/>
      </w:pPr>
      <w:r>
        <w:rPr>
          <w:b/>
        </w:rPr>
        <w:t xml:space="preserve">Moji </w:t>
      </w:r>
      <w:proofErr w:type="spellStart"/>
      <w:r>
        <w:rPr>
          <w:b/>
        </w:rPr>
        <w:t>Awogbade</w:t>
      </w:r>
      <w:proofErr w:type="spellEnd"/>
      <w:r w:rsidRPr="007E5C56">
        <w:rPr>
          <w:b/>
        </w:rPr>
        <w:br/>
      </w:r>
      <w:r w:rsidR="00ED7DF1">
        <w:t>Consultant Haematologist</w:t>
      </w:r>
    </w:p>
    <w:p w:rsidR="00580265" w:rsidRDefault="00580265" w:rsidP="000035B1">
      <w:pPr>
        <w:pStyle w:val="NICEnormal"/>
        <w:rPr>
          <w:b/>
        </w:rPr>
      </w:pPr>
      <w:r>
        <w:rPr>
          <w:b/>
        </w:rPr>
        <w:t>Gavin Cho</w:t>
      </w:r>
      <w:r w:rsidRPr="007E5C56">
        <w:rPr>
          <w:b/>
        </w:rPr>
        <w:br/>
      </w:r>
      <w:r w:rsidR="00ED7DF1">
        <w:t>Consultant Haematologist</w:t>
      </w:r>
    </w:p>
    <w:p w:rsidR="00C2235F" w:rsidRPr="007E5C56" w:rsidRDefault="00AE1145" w:rsidP="000035B1">
      <w:pPr>
        <w:pStyle w:val="NICEnormal"/>
      </w:pPr>
      <w:r>
        <w:rPr>
          <w:b/>
        </w:rPr>
        <w:t>Jo Howard</w:t>
      </w:r>
      <w:r w:rsidR="000035B1" w:rsidRPr="007E5C56">
        <w:rPr>
          <w:b/>
        </w:rPr>
        <w:br/>
      </w:r>
      <w:r w:rsidR="00ED7DF1">
        <w:t>Consultant Haematologist</w:t>
      </w:r>
    </w:p>
    <w:p w:rsidR="00A71C4C" w:rsidRPr="007E5C56" w:rsidRDefault="00AE1145" w:rsidP="000035B1">
      <w:pPr>
        <w:pStyle w:val="NICEnormal"/>
      </w:pPr>
      <w:r>
        <w:rPr>
          <w:b/>
        </w:rPr>
        <w:t>Kelly Samuel</w:t>
      </w:r>
      <w:r w:rsidR="000035B1" w:rsidRPr="007E5C56">
        <w:rPr>
          <w:b/>
        </w:rPr>
        <w:br/>
      </w:r>
      <w:r w:rsidR="00A71C4C" w:rsidRPr="007E5C56">
        <w:t>Patient Expert</w:t>
      </w:r>
    </w:p>
    <w:p w:rsidR="009E0F3C" w:rsidRDefault="009E0F3C" w:rsidP="00ED7DF1">
      <w:pPr>
        <w:pStyle w:val="Heading4"/>
      </w:pPr>
      <w:r w:rsidRPr="007E5C56">
        <w:t>Non-Expert MTAC Member</w:t>
      </w:r>
    </w:p>
    <w:p w:rsidR="00C2235F" w:rsidRPr="007E5C56" w:rsidRDefault="00AE1145" w:rsidP="000035B1">
      <w:pPr>
        <w:pStyle w:val="NICEnormal"/>
      </w:pPr>
      <w:r>
        <w:rPr>
          <w:b/>
        </w:rPr>
        <w:t>Allan Wailoo</w:t>
      </w:r>
      <w:r w:rsidR="000035B1" w:rsidRPr="007E5C56">
        <w:rPr>
          <w:b/>
        </w:rPr>
        <w:br/>
      </w:r>
      <w:r w:rsidR="009E0F3C" w:rsidRPr="007E5C56">
        <w:t>Professor of Health Economics, School of Health and Related Research (</w:t>
      </w:r>
      <w:proofErr w:type="spellStart"/>
      <w:r w:rsidR="009E0F3C" w:rsidRPr="007E5C56">
        <w:t>ScHARR</w:t>
      </w:r>
      <w:proofErr w:type="spellEnd"/>
      <w:r w:rsidR="009E0F3C" w:rsidRPr="007E5C56">
        <w:t>), University of Sheffield</w:t>
      </w:r>
    </w:p>
    <w:p w:rsidR="009E0F3C" w:rsidRDefault="009E0F3C" w:rsidP="00ED7DF1">
      <w:pPr>
        <w:pStyle w:val="Heading4"/>
      </w:pPr>
      <w:r>
        <w:t>External Assessment Centre</w:t>
      </w:r>
    </w:p>
    <w:p w:rsidR="00C2235F" w:rsidRDefault="00AE1145" w:rsidP="000035B1">
      <w:pPr>
        <w:pStyle w:val="NICEnormal"/>
      </w:pPr>
      <w:r>
        <w:rPr>
          <w:b/>
        </w:rPr>
        <w:t>Iain Willits</w:t>
      </w:r>
      <w:r w:rsidR="000035B1" w:rsidRPr="007E5C56">
        <w:rPr>
          <w:b/>
        </w:rPr>
        <w:br/>
      </w:r>
      <w:r w:rsidR="00C2235F" w:rsidRPr="007E5C56">
        <w:t>External Assessment Centre</w:t>
      </w:r>
      <w:r w:rsidR="00C2235F" w:rsidRPr="007E5C56" w:rsidDel="00435F57">
        <w:t xml:space="preserve"> </w:t>
      </w:r>
      <w:r w:rsidR="00C2235F" w:rsidRPr="007E5C56">
        <w:t>Representative</w:t>
      </w:r>
    </w:p>
    <w:p w:rsidR="00580265" w:rsidRDefault="00580265" w:rsidP="00580265">
      <w:pPr>
        <w:pStyle w:val="NICEnormal"/>
      </w:pPr>
      <w:r>
        <w:rPr>
          <w:b/>
        </w:rPr>
        <w:lastRenderedPageBreak/>
        <w:t>Joyce Craig</w:t>
      </w:r>
      <w:r w:rsidRPr="007E5C56">
        <w:rPr>
          <w:b/>
        </w:rPr>
        <w:br/>
      </w:r>
      <w:r w:rsidRPr="007E5C56">
        <w:t>External Assessment Centre</w:t>
      </w:r>
      <w:r w:rsidRPr="007E5C56" w:rsidDel="00435F57">
        <w:t xml:space="preserve"> </w:t>
      </w:r>
      <w:r w:rsidRPr="007E5C56">
        <w:t>Representative</w:t>
      </w:r>
    </w:p>
    <w:p w:rsidR="00C2235F" w:rsidRPr="007E5C56" w:rsidRDefault="00C2235F" w:rsidP="00C2235F">
      <w:pPr>
        <w:pStyle w:val="NICEnormal"/>
      </w:pPr>
    </w:p>
    <w:p w:rsidR="00E04173" w:rsidRPr="007E5C56" w:rsidRDefault="00C2235F" w:rsidP="00717783">
      <w:pPr>
        <w:pStyle w:val="NICEnormal"/>
      </w:pPr>
      <w:r w:rsidRPr="007E5C56">
        <w:t xml:space="preserve"> </w:t>
      </w:r>
      <w:r w:rsidRPr="007E5C56">
        <w:br w:type="page"/>
      </w:r>
      <w:bookmarkStart w:id="5" w:name="_Toc298839766"/>
      <w:bookmarkStart w:id="6" w:name="_Toc298839767"/>
    </w:p>
    <w:p w:rsidR="00C2235F" w:rsidRPr="007E5C56" w:rsidRDefault="00C2235F" w:rsidP="00717783">
      <w:pPr>
        <w:pStyle w:val="Numberedheading1"/>
        <w:rPr>
          <w:lang w:val="en-GB"/>
        </w:rPr>
      </w:pPr>
      <w:r w:rsidRPr="007E5C56">
        <w:rPr>
          <w:lang w:val="en-GB"/>
        </w:rPr>
        <w:lastRenderedPageBreak/>
        <w:t>Sources of evidence considered by the</w:t>
      </w:r>
      <w:bookmarkEnd w:id="5"/>
      <w:bookmarkEnd w:id="6"/>
      <w:r w:rsidRPr="007E5C56">
        <w:rPr>
          <w:lang w:val="en-GB"/>
        </w:rPr>
        <w:t xml:space="preserve"> </w:t>
      </w:r>
      <w:bookmarkStart w:id="7" w:name="_Toc298839768"/>
      <w:r w:rsidRPr="007E5C56">
        <w:rPr>
          <w:lang w:val="en-GB"/>
        </w:rPr>
        <w:t>Committee</w:t>
      </w:r>
      <w:bookmarkEnd w:id="7"/>
    </w:p>
    <w:p w:rsidR="00C2235F" w:rsidRPr="007E5C56" w:rsidRDefault="00C2235F" w:rsidP="00717783">
      <w:pPr>
        <w:pStyle w:val="NICEnormal"/>
      </w:pPr>
      <w:r w:rsidRPr="007E5C56">
        <w:t xml:space="preserve">The External Assessment Centre report for this assessment was prepared by </w:t>
      </w:r>
      <w:r w:rsidR="00AE1145">
        <w:t>Newcastle and York</w:t>
      </w:r>
      <w:r w:rsidRPr="007E5C56">
        <w:t>:</w:t>
      </w:r>
    </w:p>
    <w:p w:rsidR="00C2235F" w:rsidRPr="007E5C56" w:rsidRDefault="005C187A" w:rsidP="005C187A">
      <w:pPr>
        <w:pStyle w:val="Bulletleft1last"/>
      </w:pPr>
      <w:bookmarkStart w:id="8" w:name="Text50"/>
      <w:r>
        <w:t>Willits I, Cole H, Jones R, Arber M, Jenks M, Craig J and Sims A,</w:t>
      </w:r>
      <w:r w:rsidRPr="005C187A">
        <w:t xml:space="preserve"> Spectra Optia Apheresis System for automated red blood cell exchange in patients with sickle cell disease</w:t>
      </w:r>
      <w:r>
        <w:t>, (August 2015)</w:t>
      </w:r>
      <w:bookmarkEnd w:id="8"/>
    </w:p>
    <w:p w:rsidR="00C2235F" w:rsidRPr="007E5C56" w:rsidRDefault="00C2235F" w:rsidP="00717783">
      <w:pPr>
        <w:pStyle w:val="NICEnormal"/>
      </w:pPr>
      <w:r w:rsidRPr="007E5C56">
        <w:t>Submissions from the following sponsor:</w:t>
      </w:r>
    </w:p>
    <w:p w:rsidR="00C2235F" w:rsidRPr="007E5C56" w:rsidRDefault="0012773B" w:rsidP="00A213FE">
      <w:pPr>
        <w:pStyle w:val="Bulletleft1last"/>
      </w:pPr>
      <w:r>
        <w:t>Terumo BCT</w:t>
      </w:r>
    </w:p>
    <w:p w:rsidR="00C2235F" w:rsidRPr="007E5C56" w:rsidRDefault="00C2235F" w:rsidP="00717783">
      <w:pPr>
        <w:pStyle w:val="NICEnormal"/>
      </w:pPr>
      <w:r w:rsidRPr="007E5C56">
        <w:t xml:space="preserve">The following individuals gave their expert personal view on </w:t>
      </w:r>
      <w:r w:rsidR="00130A69">
        <w:t>Spectra Optia</w:t>
      </w:r>
      <w:r w:rsidRPr="007E5C56">
        <w:t xml:space="preserve"> by providing their expert comments on the draft scope</w:t>
      </w:r>
      <w:r w:rsidR="008C6B33" w:rsidRPr="007E5C56">
        <w:t xml:space="preserve"> and</w:t>
      </w:r>
      <w:r w:rsidRPr="007E5C56">
        <w:t xml:space="preserve"> assessment report. </w:t>
      </w:r>
    </w:p>
    <w:p w:rsidR="0012773B" w:rsidRPr="005C187A" w:rsidRDefault="0012773B" w:rsidP="0012773B">
      <w:pPr>
        <w:pStyle w:val="Bulletleft1"/>
      </w:pPr>
      <w:r w:rsidRPr="005C187A">
        <w:t>Dr Michele Afif, ratified by the Royal College of Paediatrics and Child Health – clinical expert</w:t>
      </w:r>
    </w:p>
    <w:p w:rsidR="0012773B" w:rsidRPr="005C187A" w:rsidRDefault="0012773B" w:rsidP="0012773B">
      <w:pPr>
        <w:pStyle w:val="Bulletleft1"/>
      </w:pPr>
      <w:r w:rsidRPr="005C187A">
        <w:t xml:space="preserve">Dr Martin </w:t>
      </w:r>
      <w:proofErr w:type="spellStart"/>
      <w:r w:rsidRPr="005C187A">
        <w:t>Besser</w:t>
      </w:r>
      <w:proofErr w:type="spellEnd"/>
      <w:r w:rsidRPr="005C187A">
        <w:t>, ratified by the Royal College of Pathologists – clinical expert</w:t>
      </w:r>
    </w:p>
    <w:p w:rsidR="0012773B" w:rsidRPr="005C187A" w:rsidRDefault="0012773B" w:rsidP="0012773B">
      <w:pPr>
        <w:pStyle w:val="Bulletleft1"/>
      </w:pPr>
      <w:r w:rsidRPr="005C187A">
        <w:t>Dr Gavin Cho, ratified by the British Society for Haematology – clinical expert</w:t>
      </w:r>
    </w:p>
    <w:p w:rsidR="00C2235F" w:rsidRPr="005C187A" w:rsidRDefault="0012773B" w:rsidP="0012773B">
      <w:pPr>
        <w:pStyle w:val="Bulletleft1"/>
      </w:pPr>
      <w:r w:rsidRPr="005C187A">
        <w:t>Dr Jo Howard, ratified by the British Society for Haematology – clinical expert</w:t>
      </w:r>
    </w:p>
    <w:p w:rsidR="0012773B" w:rsidRPr="005C187A" w:rsidRDefault="0012773B" w:rsidP="0012773B">
      <w:pPr>
        <w:pStyle w:val="Bulletleft1"/>
      </w:pPr>
      <w:r w:rsidRPr="005C187A">
        <w:t>Dr Banu Kaya, ratified by the Royal College of Pathologists – clinical expert</w:t>
      </w:r>
    </w:p>
    <w:p w:rsidR="00C94B6D" w:rsidRPr="005C187A" w:rsidRDefault="00C94B6D" w:rsidP="0012773B">
      <w:pPr>
        <w:pStyle w:val="Bulletleft1"/>
      </w:pPr>
      <w:r w:rsidRPr="005C187A">
        <w:t xml:space="preserve">Dr Sally Nelson, NHS England – </w:t>
      </w:r>
      <w:r w:rsidR="005C187A">
        <w:t xml:space="preserve">commissioning </w:t>
      </w:r>
      <w:r w:rsidRPr="005C187A">
        <w:t>expert</w:t>
      </w:r>
    </w:p>
    <w:p w:rsidR="0012773B" w:rsidRPr="005C187A" w:rsidRDefault="0012773B" w:rsidP="0012773B">
      <w:pPr>
        <w:pStyle w:val="Bulletleft1"/>
      </w:pPr>
      <w:r w:rsidRPr="005C187A">
        <w:t>Dr Elizabeth Rhodes, ratified by the Royal College of Pathologists – clinical expert</w:t>
      </w:r>
    </w:p>
    <w:p w:rsidR="00C2235F" w:rsidRPr="005C187A" w:rsidRDefault="0012773B" w:rsidP="0012773B">
      <w:pPr>
        <w:pStyle w:val="Bulletleft1"/>
      </w:pPr>
      <w:r w:rsidRPr="005C187A">
        <w:t>Dr Kate Ryan, ratified by the Royal College of Pathologists – clinical expert</w:t>
      </w:r>
    </w:p>
    <w:p w:rsidR="00C94B6D" w:rsidRPr="005C187A" w:rsidRDefault="00C94B6D" w:rsidP="00717783">
      <w:pPr>
        <w:pStyle w:val="Bulletleft1"/>
      </w:pPr>
      <w:r w:rsidRPr="005C187A">
        <w:t>John James, the Sickle Cell Society – patient expert</w:t>
      </w:r>
    </w:p>
    <w:p w:rsidR="00C94B6D" w:rsidRDefault="00C94B6D" w:rsidP="00A213FE">
      <w:pPr>
        <w:pStyle w:val="NICEnormal"/>
      </w:pPr>
    </w:p>
    <w:p w:rsidR="00C2235F" w:rsidRPr="007E5C56" w:rsidRDefault="00C2235F" w:rsidP="00A213FE">
      <w:pPr>
        <w:pStyle w:val="NICEnormal"/>
      </w:pPr>
      <w:r w:rsidRPr="007E5C56">
        <w:lastRenderedPageBreak/>
        <w:t xml:space="preserve">The following individuals gave their expert personal view on </w:t>
      </w:r>
      <w:r w:rsidR="00130A69">
        <w:t>Spectra Optia</w:t>
      </w:r>
      <w:r w:rsidR="00810F6C" w:rsidRPr="007E5C56">
        <w:t xml:space="preserve"> </w:t>
      </w:r>
      <w:r w:rsidRPr="007E5C56">
        <w:t xml:space="preserve">in writing by completing a patient questionnaire or expert adviser questionnaire provided to the Committee. </w:t>
      </w:r>
    </w:p>
    <w:p w:rsidR="00C94B6D" w:rsidRDefault="00C94B6D" w:rsidP="005C187A">
      <w:pPr>
        <w:pStyle w:val="Bulletleft1"/>
      </w:pPr>
      <w:r>
        <w:t>Dr Michele Afif, ratified by the Royal College of Paediatrics and Child Health – clinical expert</w:t>
      </w:r>
    </w:p>
    <w:p w:rsidR="00C94B6D" w:rsidRDefault="00C94B6D" w:rsidP="005C187A">
      <w:pPr>
        <w:pStyle w:val="Bulletleft1"/>
      </w:pPr>
      <w:r>
        <w:t xml:space="preserve">Dr Moji </w:t>
      </w:r>
      <w:proofErr w:type="spellStart"/>
      <w:r>
        <w:t>Awogbade</w:t>
      </w:r>
      <w:proofErr w:type="spellEnd"/>
      <w:r>
        <w:t>, ratified by the Royal College of Pathologists – clinical expert</w:t>
      </w:r>
    </w:p>
    <w:p w:rsidR="00C94B6D" w:rsidRDefault="00C94B6D" w:rsidP="005C187A">
      <w:pPr>
        <w:pStyle w:val="Bulletleft1"/>
      </w:pPr>
      <w:r>
        <w:t xml:space="preserve">Dr Martin </w:t>
      </w:r>
      <w:proofErr w:type="spellStart"/>
      <w:r>
        <w:t>Besser</w:t>
      </w:r>
      <w:proofErr w:type="spellEnd"/>
      <w:r>
        <w:t>, ratified by the Royal College of Pathologists – clinical expert</w:t>
      </w:r>
    </w:p>
    <w:p w:rsidR="00C94B6D" w:rsidRDefault="00C94B6D" w:rsidP="005C187A">
      <w:pPr>
        <w:pStyle w:val="Bulletleft1"/>
      </w:pPr>
      <w:r>
        <w:t>Dr Gavin Cho, ratified by the British Society for Haematology – clinical expert</w:t>
      </w:r>
    </w:p>
    <w:p w:rsidR="00C94B6D" w:rsidRDefault="00C94B6D" w:rsidP="005C187A">
      <w:pPr>
        <w:pStyle w:val="Bulletleft1"/>
      </w:pPr>
      <w:r>
        <w:t>Dr Jo Howard, ratified by the British Society for Haematology – clinical expert</w:t>
      </w:r>
    </w:p>
    <w:p w:rsidR="00C94B6D" w:rsidRDefault="00C94B6D" w:rsidP="005C187A">
      <w:pPr>
        <w:pStyle w:val="Bulletleft1"/>
      </w:pPr>
      <w:r>
        <w:t>Dr Banu Kaya, ratified by the Royal College of Pathologists – clinical expert</w:t>
      </w:r>
    </w:p>
    <w:p w:rsidR="00C94B6D" w:rsidRDefault="00C94B6D" w:rsidP="005C187A">
      <w:pPr>
        <w:pStyle w:val="Bulletleft1"/>
      </w:pPr>
      <w:r>
        <w:t>Dr Elizabeth Rhodes, ratified by the Royal College of Pathologists – clinical expert</w:t>
      </w:r>
    </w:p>
    <w:p w:rsidR="00C94B6D" w:rsidRDefault="00C94B6D" w:rsidP="005C187A">
      <w:pPr>
        <w:pStyle w:val="Bulletleft1"/>
      </w:pPr>
      <w:r>
        <w:t>Dr Kate Ryan, ratified by the Royal College of Pathologists – clinical expert</w:t>
      </w:r>
    </w:p>
    <w:p w:rsidR="00C94B6D" w:rsidRDefault="00C94B6D" w:rsidP="005C187A">
      <w:pPr>
        <w:pStyle w:val="Bulletleft1"/>
      </w:pPr>
      <w:r>
        <w:t>Dr Farrukh Shah, ratified by the Royal College of Pathologists – clinical expert</w:t>
      </w:r>
    </w:p>
    <w:p w:rsidR="00C94B6D" w:rsidRDefault="00C94B6D" w:rsidP="005C187A">
      <w:pPr>
        <w:pStyle w:val="Bulletleft1"/>
      </w:pPr>
      <w:r>
        <w:t xml:space="preserve">Dr Sara </w:t>
      </w:r>
      <w:proofErr w:type="spellStart"/>
      <w:r>
        <w:t>Trompeter</w:t>
      </w:r>
      <w:proofErr w:type="spellEnd"/>
      <w:r>
        <w:t>, ratified by the British Society for Haematology – clinical expert</w:t>
      </w:r>
    </w:p>
    <w:p w:rsidR="00C94B6D" w:rsidRDefault="00C94B6D" w:rsidP="005C187A">
      <w:pPr>
        <w:pStyle w:val="Bulletleft1"/>
      </w:pPr>
      <w:proofErr w:type="spellStart"/>
      <w:r>
        <w:t>Chike</w:t>
      </w:r>
      <w:proofErr w:type="spellEnd"/>
      <w:r>
        <w:t xml:space="preserve"> </w:t>
      </w:r>
      <w:proofErr w:type="spellStart"/>
      <w:r>
        <w:t>Eduputa</w:t>
      </w:r>
      <w:proofErr w:type="spellEnd"/>
      <w:r>
        <w:t xml:space="preserve"> – patient expert</w:t>
      </w:r>
    </w:p>
    <w:p w:rsidR="00C94B6D" w:rsidRDefault="00C94B6D" w:rsidP="005C187A">
      <w:pPr>
        <w:pStyle w:val="Bulletleft1"/>
      </w:pPr>
      <w:r>
        <w:t>John James, the Sickle Cell Society – patient expert</w:t>
      </w:r>
    </w:p>
    <w:p w:rsidR="00810F6C" w:rsidRPr="007E5C56" w:rsidRDefault="00C94B6D" w:rsidP="00717783">
      <w:pPr>
        <w:pStyle w:val="Bulletleft1"/>
      </w:pPr>
      <w:r>
        <w:t>Kelly Samuel – patient expert</w:t>
      </w:r>
    </w:p>
    <w:p w:rsidR="00D607C1" w:rsidRPr="007E5C56" w:rsidRDefault="00D607C1" w:rsidP="00D607C1">
      <w:pPr>
        <w:pStyle w:val="Heading1"/>
        <w:rPr>
          <w:lang w:val="en-GB"/>
        </w:rPr>
      </w:pPr>
      <w:r w:rsidRPr="007E5C56">
        <w:rPr>
          <w:lang w:val="en-GB"/>
        </w:rPr>
        <w:br w:type="page"/>
      </w:r>
      <w:r w:rsidRPr="007E5C56">
        <w:rPr>
          <w:lang w:val="en-GB"/>
        </w:rPr>
        <w:lastRenderedPageBreak/>
        <w:t xml:space="preserve">About this guidance </w:t>
      </w:r>
      <w:r w:rsidRPr="007E5C56">
        <w:rPr>
          <w:highlight w:val="cyan"/>
          <w:lang w:val="en-GB"/>
        </w:rPr>
        <w:t>[NICE to complete on publication]</w:t>
      </w:r>
    </w:p>
    <w:p w:rsidR="00D607C1" w:rsidRPr="007E5C56" w:rsidRDefault="00D607C1" w:rsidP="00A213FE">
      <w:pPr>
        <w:pStyle w:val="NICEnormal"/>
      </w:pPr>
      <w:r w:rsidRPr="007E5C56">
        <w:t xml:space="preserve">This guidance was developed using the NICE </w:t>
      </w:r>
      <w:hyperlink r:id="rId14" w:history="1">
        <w:r w:rsidR="00B57246" w:rsidRPr="007E5C56">
          <w:rPr>
            <w:rStyle w:val="Hyperlink"/>
          </w:rPr>
          <w:t>medical technologies guidance</w:t>
        </w:r>
        <w:r w:rsidRPr="007E5C56">
          <w:rPr>
            <w:rStyle w:val="Hyperlink"/>
          </w:rPr>
          <w:t xml:space="preserve"> process</w:t>
        </w:r>
      </w:hyperlink>
      <w:r w:rsidRPr="007E5C56">
        <w:t xml:space="preserve">. </w:t>
      </w:r>
    </w:p>
    <w:p w:rsidR="00D607C1" w:rsidRPr="007E5C56" w:rsidRDefault="00D607C1" w:rsidP="00A213FE">
      <w:pPr>
        <w:pStyle w:val="NICEnormal"/>
      </w:pPr>
      <w:r w:rsidRPr="007E5C56">
        <w:t xml:space="preserve">It updates and replaces NICE medical technology guidance </w:t>
      </w:r>
      <w:r w:rsidR="0052468B" w:rsidRPr="007E5C56">
        <w:fldChar w:fldCharType="begin">
          <w:ffData>
            <w:name w:val="Text3"/>
            <w:enabled/>
            <w:calcOnExit w:val="0"/>
            <w:textInput>
              <w:default w:val="XXX"/>
            </w:textInput>
          </w:ffData>
        </w:fldChar>
      </w:r>
      <w:r w:rsidRPr="007E5C56">
        <w:instrText xml:space="preserve"> FORMTEXT </w:instrText>
      </w:r>
      <w:r w:rsidR="0052468B" w:rsidRPr="007E5C56">
        <w:fldChar w:fldCharType="separate"/>
      </w:r>
      <w:r w:rsidRPr="007E5C56">
        <w:t>XXX</w:t>
      </w:r>
      <w:r w:rsidR="0052468B" w:rsidRPr="007E5C56">
        <w:fldChar w:fldCharType="end"/>
      </w:r>
      <w:r w:rsidRPr="007E5C56">
        <w:t xml:space="preserve"> (published </w:t>
      </w:r>
      <w:r w:rsidR="0052468B" w:rsidRPr="007E5C56">
        <w:fldChar w:fldCharType="begin">
          <w:ffData>
            <w:name w:val=""/>
            <w:enabled/>
            <w:calcOnExit w:val="0"/>
            <w:textInput>
              <w:default w:val="[month year]"/>
            </w:textInput>
          </w:ffData>
        </w:fldChar>
      </w:r>
      <w:r w:rsidRPr="007E5C56">
        <w:instrText xml:space="preserve"> FORMTEXT </w:instrText>
      </w:r>
      <w:r w:rsidR="0052468B" w:rsidRPr="007E5C56">
        <w:fldChar w:fldCharType="separate"/>
      </w:r>
      <w:r w:rsidRPr="007E5C56">
        <w:t>[month year]</w:t>
      </w:r>
      <w:r w:rsidR="0052468B" w:rsidRPr="007E5C56">
        <w:fldChar w:fldCharType="end"/>
      </w:r>
      <w:r w:rsidRPr="007E5C56">
        <w:t xml:space="preserve">). </w:t>
      </w:r>
      <w:r w:rsidRPr="007E5C56">
        <w:rPr>
          <w:highlight w:val="cyan"/>
        </w:rPr>
        <w:t>[Amend as necessary. Delete if not relevant.]</w:t>
      </w:r>
    </w:p>
    <w:p w:rsidR="00D607C1" w:rsidRPr="007E5C56" w:rsidRDefault="00D607C1" w:rsidP="00A213FE">
      <w:pPr>
        <w:pStyle w:val="NICEnormal"/>
      </w:pPr>
      <w:r w:rsidRPr="007E5C56">
        <w:t xml:space="preserve">It has been incorporated into the NICE pathway on </w:t>
      </w:r>
      <w:r w:rsidR="0052468B" w:rsidRPr="007E5C56">
        <w:fldChar w:fldCharType="begin">
          <w:ffData>
            <w:name w:val=""/>
            <w:enabled/>
            <w:calcOnExit w:val="0"/>
            <w:textInput>
              <w:default w:val="XXX"/>
            </w:textInput>
          </w:ffData>
        </w:fldChar>
      </w:r>
      <w:r w:rsidRPr="007E5C56">
        <w:instrText xml:space="preserve"> FORMTEXT </w:instrText>
      </w:r>
      <w:r w:rsidR="0052468B" w:rsidRPr="007E5C56">
        <w:fldChar w:fldCharType="separate"/>
      </w:r>
      <w:r w:rsidRPr="007E5C56">
        <w:t>XXX</w:t>
      </w:r>
      <w:r w:rsidR="0052468B" w:rsidRPr="007E5C56">
        <w:fldChar w:fldCharType="end"/>
      </w:r>
      <w:r w:rsidRPr="007E5C56">
        <w:t xml:space="preserve">, along with other related guidance and products. </w:t>
      </w:r>
      <w:r w:rsidRPr="007E5C56">
        <w:rPr>
          <w:highlight w:val="cyan"/>
        </w:rPr>
        <w:t xml:space="preserve">[Amend as necessary. </w:t>
      </w:r>
      <w:proofErr w:type="gramStart"/>
      <w:r w:rsidR="00D025E4" w:rsidRPr="007E5C56">
        <w:rPr>
          <w:highlight w:val="cyan"/>
        </w:rPr>
        <w:t>Hyperlink to pathway from pathway name.</w:t>
      </w:r>
      <w:proofErr w:type="gramEnd"/>
      <w:r w:rsidR="00D025E4" w:rsidRPr="007E5C56">
        <w:rPr>
          <w:highlight w:val="cyan"/>
        </w:rPr>
        <w:t xml:space="preserve"> </w:t>
      </w:r>
      <w:r w:rsidRPr="007E5C56">
        <w:rPr>
          <w:highlight w:val="cyan"/>
        </w:rPr>
        <w:t>Delete if not relevant.]</w:t>
      </w:r>
    </w:p>
    <w:p w:rsidR="00D607C1" w:rsidRPr="007E5C56" w:rsidRDefault="00D607C1" w:rsidP="00A213FE">
      <w:pPr>
        <w:pStyle w:val="NICEnormal"/>
      </w:pPr>
      <w:bookmarkStart w:id="9" w:name="OLE_LINK2"/>
      <w:bookmarkStart w:id="10" w:name="OLE_LINK1"/>
      <w:r w:rsidRPr="007E5C56">
        <w:t xml:space="preserve">We have produced a summary of this guidance for </w:t>
      </w:r>
      <w:r w:rsidR="00EB76B0" w:rsidRPr="007E5C56">
        <w:t>the public</w:t>
      </w:r>
      <w:r w:rsidRPr="007E5C56">
        <w:t xml:space="preserve"> </w:t>
      </w:r>
      <w:r w:rsidRPr="007E5C56">
        <w:rPr>
          <w:highlight w:val="cyan"/>
        </w:rPr>
        <w:t>[add hyperlink to the UNG page]</w:t>
      </w:r>
      <w:r w:rsidRPr="007E5C56">
        <w:t xml:space="preserve">. Tools </w:t>
      </w:r>
      <w:r w:rsidR="00D025E4" w:rsidRPr="007E5C56">
        <w:t>[</w:t>
      </w:r>
      <w:r w:rsidR="00D025E4" w:rsidRPr="007E5C56">
        <w:rPr>
          <w:highlight w:val="cyan"/>
        </w:rPr>
        <w:t>add hyperlink to the guidance summary page</w:t>
      </w:r>
      <w:proofErr w:type="gramStart"/>
      <w:r w:rsidR="00D025E4" w:rsidRPr="007E5C56">
        <w:rPr>
          <w:highlight w:val="cyan"/>
        </w:rPr>
        <w:t>]</w:t>
      </w:r>
      <w:r w:rsidRPr="007E5C56">
        <w:t>to</w:t>
      </w:r>
      <w:proofErr w:type="gramEnd"/>
      <w:r w:rsidRPr="007E5C56">
        <w:t xml:space="preserve"> help you put the guidance into practice and information about the evidence it is based on  are also available. </w:t>
      </w:r>
      <w:r w:rsidRPr="007E5C56">
        <w:rPr>
          <w:highlight w:val="cyan"/>
        </w:rPr>
        <w:t>[</w:t>
      </w:r>
      <w:proofErr w:type="gramStart"/>
      <w:r w:rsidRPr="007E5C56">
        <w:rPr>
          <w:highlight w:val="cyan"/>
        </w:rPr>
        <w:t>delete</w:t>
      </w:r>
      <w:proofErr w:type="gramEnd"/>
      <w:r w:rsidRPr="007E5C56">
        <w:rPr>
          <w:highlight w:val="cyan"/>
        </w:rPr>
        <w:t xml:space="preserve"> any wording that isn’t relevant]</w:t>
      </w:r>
      <w:bookmarkEnd w:id="9"/>
      <w:bookmarkEnd w:id="10"/>
    </w:p>
    <w:p w:rsidR="00E20D4C" w:rsidRPr="007E5C56" w:rsidRDefault="00E20D4C" w:rsidP="000035B1">
      <w:pPr>
        <w:pStyle w:val="NICEnormal"/>
        <w:rPr>
          <w:b/>
        </w:rPr>
      </w:pPr>
      <w:r w:rsidRPr="007E5C56">
        <w:rPr>
          <w:b/>
        </w:rPr>
        <w:t>Related NICE guidance</w:t>
      </w:r>
    </w:p>
    <w:p w:rsidR="00E20D4C" w:rsidRPr="007E5C56" w:rsidRDefault="00E20D4C" w:rsidP="00E20D4C">
      <w:pPr>
        <w:pStyle w:val="NICEnormal"/>
      </w:pPr>
      <w:r w:rsidRPr="007E5C56">
        <w:t xml:space="preserve">For related NICE guidance, please see the </w:t>
      </w:r>
      <w:hyperlink r:id="rId15" w:history="1">
        <w:r w:rsidRPr="007E5C56">
          <w:rPr>
            <w:rStyle w:val="Hyperlink"/>
          </w:rPr>
          <w:t>NICE website</w:t>
        </w:r>
      </w:hyperlink>
      <w:r w:rsidRPr="007E5C56">
        <w:t>.</w:t>
      </w:r>
    </w:p>
    <w:p w:rsidR="00D607C1" w:rsidRPr="007E5C56" w:rsidRDefault="00D607C1" w:rsidP="000035B1">
      <w:pPr>
        <w:pStyle w:val="NICEnormal"/>
        <w:rPr>
          <w:b/>
        </w:rPr>
      </w:pPr>
      <w:r w:rsidRPr="007E5C56">
        <w:rPr>
          <w:b/>
        </w:rPr>
        <w:t>Your responsibility</w:t>
      </w:r>
    </w:p>
    <w:p w:rsidR="00D607C1" w:rsidRPr="007E5C56" w:rsidRDefault="00D607C1" w:rsidP="00A213FE">
      <w:pPr>
        <w:pStyle w:val="NICEnormal"/>
      </w:pPr>
      <w:r w:rsidRPr="007E5C56">
        <w:t>This guidance represents the views of NICE and was arrived at after careful consideration of the evidence available. Healthcare professionals are expected to take it fully into account when exercising their clinical judgement. However, the guidance does not override the individual responsibility of healthcare professionals to make decisions appropriate to the circumstances of the individual patient, in consultation with the patient and/or guardian or carer.</w:t>
      </w:r>
    </w:p>
    <w:p w:rsidR="00D607C1" w:rsidRPr="007E5C56" w:rsidRDefault="00D607C1" w:rsidP="00A213FE">
      <w:pPr>
        <w:pStyle w:val="NICEnormal"/>
        <w:rPr>
          <w:lang w:eastAsia="en-GB"/>
        </w:rPr>
      </w:pPr>
      <w:r w:rsidRPr="007E5C56">
        <w:t xml:space="preserve">Implementation of this guidance is the responsibility of local commissioners and/or providers. Commissioners and providers are reminded that it is their responsibility to implement the guidance, in their local context, in light of their duties </w:t>
      </w:r>
      <w:r w:rsidR="009E7708" w:rsidRPr="007E5C56">
        <w:t>to have due regard to the need to eliminate unlawful discrimination, advance equality of opportunity, and foster good relations</w:t>
      </w:r>
      <w:r w:rsidRPr="007E5C56">
        <w:t xml:space="preserve">. Nothing in this </w:t>
      </w:r>
      <w:r w:rsidRPr="007E5C56">
        <w:lastRenderedPageBreak/>
        <w:t>guidance should be interpreted in a way which would be inconsistent with compliance with those duties.</w:t>
      </w:r>
      <w:r w:rsidRPr="007E5C56">
        <w:rPr>
          <w:lang w:eastAsia="en-GB"/>
        </w:rPr>
        <w:t xml:space="preserve"> </w:t>
      </w:r>
    </w:p>
    <w:p w:rsidR="00D607C1" w:rsidRPr="007E5C56" w:rsidRDefault="00D607C1" w:rsidP="00E77312">
      <w:pPr>
        <w:pStyle w:val="NICEnormal"/>
        <w:rPr>
          <w:b/>
          <w:bCs/>
        </w:rPr>
      </w:pPr>
      <w:r w:rsidRPr="007E5C56">
        <w:rPr>
          <w:b/>
          <w:bCs/>
        </w:rPr>
        <w:t>Copyright</w:t>
      </w:r>
    </w:p>
    <w:p w:rsidR="00D607C1" w:rsidRPr="007E5C56" w:rsidRDefault="00D607C1" w:rsidP="00A213FE">
      <w:pPr>
        <w:pStyle w:val="NICEnormal"/>
      </w:pPr>
      <w:proofErr w:type="gramStart"/>
      <w:r w:rsidRPr="007E5C56">
        <w:t xml:space="preserve">© National Institute for Health and </w:t>
      </w:r>
      <w:r w:rsidR="00E3268C" w:rsidRPr="007E5C56">
        <w:t>Care</w:t>
      </w:r>
      <w:r w:rsidRPr="007E5C56">
        <w:t xml:space="preserve"> Excellence, </w:t>
      </w:r>
      <w:r w:rsidR="0052468B" w:rsidRPr="007E5C56">
        <w:fldChar w:fldCharType="begin">
          <w:ffData>
            <w:name w:val=""/>
            <w:enabled/>
            <w:calcOnExit w:val="0"/>
            <w:textInput>
              <w:default w:val="[YEAR]"/>
            </w:textInput>
          </w:ffData>
        </w:fldChar>
      </w:r>
      <w:r w:rsidRPr="007E5C56">
        <w:instrText xml:space="preserve"> FORMTEXT </w:instrText>
      </w:r>
      <w:r w:rsidR="0052468B" w:rsidRPr="007E5C56">
        <w:fldChar w:fldCharType="separate"/>
      </w:r>
      <w:r w:rsidRPr="007E5C56">
        <w:t>[YEAR]</w:t>
      </w:r>
      <w:r w:rsidR="0052468B" w:rsidRPr="007E5C56">
        <w:fldChar w:fldCharType="end"/>
      </w:r>
      <w:r w:rsidRPr="007E5C56">
        <w:t>.</w:t>
      </w:r>
      <w:proofErr w:type="gramEnd"/>
      <w:r w:rsidRPr="007E5C56">
        <w:t xml:space="preserve"> All rights reserved. NICE copyright material can be downloaded for private research and study, and may be reproduced for educational and not-for-profit purposes. No reproduction by or for commercial organisations, or for commercial purposes, is allowed without the written permission of NICE.</w:t>
      </w:r>
    </w:p>
    <w:p w:rsidR="00C2235F" w:rsidRPr="007E5C56" w:rsidRDefault="00C2235F" w:rsidP="00C8044F">
      <w:pPr>
        <w:pStyle w:val="NICEnormalsinglespacing"/>
      </w:pPr>
    </w:p>
    <w:sectPr w:rsidR="00C2235F" w:rsidRPr="007E5C56" w:rsidSect="009C6F32">
      <w:footerReference w:type="default" r:id="rId16"/>
      <w:pgSz w:w="11907" w:h="16840" w:code="9"/>
      <w:pgMar w:top="1440" w:right="1797" w:bottom="1440" w:left="1797"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406D751" w15:done="0"/>
  <w15:commentEx w15:paraId="157EF1D4" w15:done="0"/>
  <w15:commentEx w15:paraId="42101CB8" w15:done="0"/>
  <w15:commentEx w15:paraId="7F2A9C5A" w15:done="0"/>
  <w15:commentEx w15:paraId="20BD1CE9" w15:done="0"/>
  <w15:commentEx w15:paraId="120AE5FF" w15:done="0"/>
  <w15:commentEx w15:paraId="472628D3" w15:done="0"/>
  <w15:commentEx w15:paraId="1DF9018B" w15:done="0"/>
  <w15:commentEx w15:paraId="74BCF1A2" w15:done="0"/>
  <w15:commentEx w15:paraId="0F8EC04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CC5" w:rsidRDefault="00330CC5">
      <w:r>
        <w:separator/>
      </w:r>
    </w:p>
  </w:endnote>
  <w:endnote w:type="continuationSeparator" w:id="0">
    <w:p w:rsidR="00330CC5" w:rsidRDefault="00330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CC5" w:rsidRDefault="00330CC5" w:rsidP="00190DE6">
    <w:pPr>
      <w:pStyle w:val="Footer"/>
      <w:spacing w:after="0"/>
      <w:jc w:val="right"/>
    </w:pPr>
    <w:r>
      <w:t xml:space="preserve">Page </w:t>
    </w:r>
    <w:r>
      <w:fldChar w:fldCharType="begin"/>
    </w:r>
    <w:r>
      <w:instrText xml:space="preserve"> PAGE </w:instrText>
    </w:r>
    <w:r>
      <w:fldChar w:fldCharType="separate"/>
    </w:r>
    <w:r w:rsidR="00060D9D">
      <w:rPr>
        <w:noProof/>
      </w:rPr>
      <w:t>37</w:t>
    </w:r>
    <w:r>
      <w:rPr>
        <w:noProof/>
      </w:rPr>
      <w:fldChar w:fldCharType="end"/>
    </w:r>
    <w:r>
      <w:t xml:space="preserve"> of </w:t>
    </w:r>
    <w:r w:rsidR="00060D9D">
      <w:fldChar w:fldCharType="begin"/>
    </w:r>
    <w:r w:rsidR="00060D9D">
      <w:instrText xml:space="preserve"> NUMPAGES  </w:instrText>
    </w:r>
    <w:r w:rsidR="00060D9D">
      <w:fldChar w:fldCharType="separate"/>
    </w:r>
    <w:r w:rsidR="00060D9D">
      <w:rPr>
        <w:noProof/>
      </w:rPr>
      <w:t>37</w:t>
    </w:r>
    <w:r w:rsidR="00060D9D">
      <w:rPr>
        <w:noProof/>
      </w:rPr>
      <w:fldChar w:fldCharType="end"/>
    </w:r>
  </w:p>
  <w:p w:rsidR="00330CC5" w:rsidRDefault="00330CC5" w:rsidP="00190DE6">
    <w:pPr>
      <w:pStyle w:val="Footer"/>
      <w:spacing w:after="0"/>
    </w:pPr>
    <w:r>
      <w:t>NICE medical technology consultation document</w:t>
    </w:r>
    <w:r w:rsidRPr="00E8716F">
      <w:t xml:space="preserve">: </w:t>
    </w:r>
    <w:r w:rsidRPr="003508EB">
      <w:t>Spectra Optia for automated red blood cell exchange in patients with sickle cell disease</w:t>
    </w:r>
  </w:p>
  <w:p w:rsidR="00330CC5" w:rsidRDefault="00330CC5" w:rsidP="00E77312">
    <w:pPr>
      <w:pStyle w:val="Footer"/>
      <w:spacing w:after="0"/>
    </w:pPr>
    <w:r>
      <w:t>Issue date: October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CC5" w:rsidRDefault="00330CC5">
      <w:r>
        <w:separator/>
      </w:r>
    </w:p>
  </w:footnote>
  <w:footnote w:type="continuationSeparator" w:id="0">
    <w:p w:rsidR="00330CC5" w:rsidRDefault="00330C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nsid w:val="18DD126E"/>
    <w:multiLevelType w:val="hybridMultilevel"/>
    <w:tmpl w:val="55BA164C"/>
    <w:lvl w:ilvl="0" w:tplc="C2D2877C">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E82154F"/>
    <w:multiLevelType w:val="hybridMultilevel"/>
    <w:tmpl w:val="7C58E3B2"/>
    <w:lvl w:ilvl="0" w:tplc="6B96DAE0">
      <w:start w:val="1"/>
      <w:numFmt w:val="decimal"/>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22C22BA8"/>
    <w:multiLevelType w:val="hybridMultilevel"/>
    <w:tmpl w:val="22684520"/>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237F707D"/>
    <w:multiLevelType w:val="hybridMultilevel"/>
    <w:tmpl w:val="B01CC2F0"/>
    <w:lvl w:ilvl="0" w:tplc="E2649A9E">
      <w:start w:val="1"/>
      <w:numFmt w:val="upperLetter"/>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29CC3584"/>
    <w:multiLevelType w:val="multilevel"/>
    <w:tmpl w:val="91968F1C"/>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sz w:val="24"/>
        <w:szCs w:val="24"/>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9">
    <w:nsid w:val="2C9057BE"/>
    <w:multiLevelType w:val="hybridMultilevel"/>
    <w:tmpl w:val="D00ACD5C"/>
    <w:lvl w:ilvl="0" w:tplc="20582D18">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2D8A4AE1"/>
    <w:multiLevelType w:val="hybridMultilevel"/>
    <w:tmpl w:val="CBCC0C3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nsid w:val="34526E2E"/>
    <w:multiLevelType w:val="hybridMultilevel"/>
    <w:tmpl w:val="5EB82B2A"/>
    <w:lvl w:ilvl="0" w:tplc="C824C56C">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37BD105E"/>
    <w:multiLevelType w:val="hybridMultilevel"/>
    <w:tmpl w:val="47001F08"/>
    <w:lvl w:ilvl="0" w:tplc="50AA0F7C">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4">
    <w:nsid w:val="460854DE"/>
    <w:multiLevelType w:val="hybridMultilevel"/>
    <w:tmpl w:val="FA984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6">
    <w:nsid w:val="4ABD783C"/>
    <w:multiLevelType w:val="hybridMultilevel"/>
    <w:tmpl w:val="23A0264C"/>
    <w:lvl w:ilvl="0" w:tplc="DE0CF6EA">
      <w:start w:val="1"/>
      <w:numFmt w:val="upperRoman"/>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515A3F96"/>
    <w:multiLevelType w:val="hybridMultilevel"/>
    <w:tmpl w:val="44A27922"/>
    <w:lvl w:ilvl="0" w:tplc="D87233D4">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583F4288"/>
    <w:multiLevelType w:val="hybridMultilevel"/>
    <w:tmpl w:val="4C0E0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88F36E6"/>
    <w:multiLevelType w:val="hybridMultilevel"/>
    <w:tmpl w:val="14320908"/>
    <w:lvl w:ilvl="0" w:tplc="4EEC47A6">
      <w:start w:val="1"/>
      <w:numFmt w:val="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5EB16514"/>
    <w:multiLevelType w:val="hybridMultilevel"/>
    <w:tmpl w:val="0D1C6444"/>
    <w:lvl w:ilvl="0" w:tplc="25CE9C96">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3">
    <w:nsid w:val="765F6245"/>
    <w:multiLevelType w:val="hybridMultilevel"/>
    <w:tmpl w:val="8226756E"/>
    <w:lvl w:ilvl="0" w:tplc="EE7C94EE">
      <w:start w:val="1"/>
      <w:numFmt w:val="bullet"/>
      <w:pStyle w:val="Introtextbullet"/>
      <w:lvlText w:val=""/>
      <w:lvlJc w:val="left"/>
      <w:pPr>
        <w:tabs>
          <w:tab w:val="num" w:pos="567"/>
        </w:tabs>
        <w:ind w:left="567" w:hanging="567"/>
      </w:pPr>
      <w:rPr>
        <w:rFonts w:ascii="Symbol" w:hAnsi="Symbo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8"/>
  </w:num>
  <w:num w:numId="2">
    <w:abstractNumId w:val="1"/>
  </w:num>
  <w:num w:numId="3">
    <w:abstractNumId w:val="22"/>
  </w:num>
  <w:num w:numId="4">
    <w:abstractNumId w:val="13"/>
  </w:num>
  <w:num w:numId="5">
    <w:abstractNumId w:val="15"/>
  </w:num>
  <w:num w:numId="6">
    <w:abstractNumId w:val="0"/>
  </w:num>
  <w:num w:numId="7">
    <w:abstractNumId w:val="2"/>
  </w:num>
  <w:num w:numId="8">
    <w:abstractNumId w:val="8"/>
  </w:num>
  <w:num w:numId="9">
    <w:abstractNumId w:val="4"/>
  </w:num>
  <w:num w:numId="10">
    <w:abstractNumId w:val="6"/>
  </w:num>
  <w:num w:numId="11">
    <w:abstractNumId w:val="11"/>
  </w:num>
  <w:num w:numId="12">
    <w:abstractNumId w:val="9"/>
  </w:num>
  <w:num w:numId="13">
    <w:abstractNumId w:val="12"/>
  </w:num>
  <w:num w:numId="14">
    <w:abstractNumId w:val="17"/>
  </w:num>
  <w:num w:numId="15">
    <w:abstractNumId w:val="3"/>
  </w:num>
  <w:num w:numId="16">
    <w:abstractNumId w:val="21"/>
  </w:num>
  <w:num w:numId="17">
    <w:abstractNumId w:val="7"/>
  </w:num>
  <w:num w:numId="18">
    <w:abstractNumId w:val="16"/>
  </w:num>
  <w:num w:numId="19">
    <w:abstractNumId w:val="20"/>
  </w:num>
  <w:num w:numId="20">
    <w:abstractNumId w:val="5"/>
  </w:num>
  <w:num w:numId="21">
    <w:abstractNumId w:val="23"/>
  </w:num>
  <w:num w:numId="22">
    <w:abstractNumId w:val="8"/>
  </w:num>
  <w:num w:numId="23">
    <w:abstractNumId w:val="8"/>
  </w:num>
  <w:num w:numId="24">
    <w:abstractNumId w:val="8"/>
  </w:num>
  <w:num w:numId="25">
    <w:abstractNumId w:val="8"/>
  </w:num>
  <w:num w:numId="26">
    <w:abstractNumId w:val="8"/>
  </w:num>
  <w:num w:numId="27">
    <w:abstractNumId w:val="8"/>
  </w:num>
  <w:num w:numId="28">
    <w:abstractNumId w:val="2"/>
  </w:num>
  <w:num w:numId="29">
    <w:abstractNumId w:val="2"/>
  </w:num>
  <w:num w:numId="30">
    <w:abstractNumId w:val="2"/>
  </w:num>
  <w:num w:numId="31">
    <w:abstractNumId w:val="0"/>
  </w:num>
  <w:num w:numId="32">
    <w:abstractNumId w:val="10"/>
  </w:num>
  <w:num w:numId="33">
    <w:abstractNumId w:val="0"/>
  </w:num>
  <w:num w:numId="34">
    <w:abstractNumId w:val="8"/>
  </w:num>
  <w:num w:numId="35">
    <w:abstractNumId w:val="0"/>
  </w:num>
  <w:num w:numId="36">
    <w:abstractNumId w:val="8"/>
  </w:num>
  <w:num w:numId="37">
    <w:abstractNumId w:val="8"/>
  </w:num>
  <w:num w:numId="38">
    <w:abstractNumId w:val="8"/>
  </w:num>
  <w:num w:numId="39">
    <w:abstractNumId w:val="8"/>
  </w:num>
  <w:num w:numId="40">
    <w:abstractNumId w:val="8"/>
  </w:num>
  <w:num w:numId="41">
    <w:abstractNumId w:val="0"/>
  </w:num>
  <w:num w:numId="42">
    <w:abstractNumId w:val="8"/>
  </w:num>
  <w:num w:numId="43">
    <w:abstractNumId w:val="8"/>
  </w:num>
  <w:num w:numId="44">
    <w:abstractNumId w:val="8"/>
  </w:num>
  <w:num w:numId="45">
    <w:abstractNumId w:val="19"/>
  </w:num>
  <w:num w:numId="46">
    <w:abstractNumId w:val="14"/>
  </w:num>
  <w:num w:numId="47">
    <w:abstractNumId w:val="2"/>
  </w:num>
  <w:num w:numId="48">
    <w:abstractNumId w:val="8"/>
  </w:num>
  <w:num w:numId="49">
    <w:abstractNumId w:val="8"/>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rnice Dillon">
    <w15:presenceInfo w15:providerId="Windows Live" w15:userId="fe1924b1ec3c0c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formatting="1" w:enforcement="0"/>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587"/>
    <w:rsid w:val="000035B1"/>
    <w:rsid w:val="0000685D"/>
    <w:rsid w:val="000119FB"/>
    <w:rsid w:val="00012B4B"/>
    <w:rsid w:val="00016C1D"/>
    <w:rsid w:val="00024C4D"/>
    <w:rsid w:val="00026587"/>
    <w:rsid w:val="00034694"/>
    <w:rsid w:val="00041A14"/>
    <w:rsid w:val="00046E23"/>
    <w:rsid w:val="0004724C"/>
    <w:rsid w:val="0005553E"/>
    <w:rsid w:val="000563EF"/>
    <w:rsid w:val="00056DA1"/>
    <w:rsid w:val="00060D9D"/>
    <w:rsid w:val="00063433"/>
    <w:rsid w:val="00065B72"/>
    <w:rsid w:val="00066632"/>
    <w:rsid w:val="00070B9C"/>
    <w:rsid w:val="00080364"/>
    <w:rsid w:val="00081ACE"/>
    <w:rsid w:val="0008241D"/>
    <w:rsid w:val="000901B8"/>
    <w:rsid w:val="000949BD"/>
    <w:rsid w:val="000A2351"/>
    <w:rsid w:val="000A34FA"/>
    <w:rsid w:val="000A5B7B"/>
    <w:rsid w:val="000A5D67"/>
    <w:rsid w:val="000B24B7"/>
    <w:rsid w:val="000B35CE"/>
    <w:rsid w:val="000B79D5"/>
    <w:rsid w:val="000C19B3"/>
    <w:rsid w:val="000E3489"/>
    <w:rsid w:val="000E3B17"/>
    <w:rsid w:val="000E7AF8"/>
    <w:rsid w:val="000F0E6E"/>
    <w:rsid w:val="000F24BA"/>
    <w:rsid w:val="000F3A16"/>
    <w:rsid w:val="00101F34"/>
    <w:rsid w:val="00111733"/>
    <w:rsid w:val="0011312F"/>
    <w:rsid w:val="0011424E"/>
    <w:rsid w:val="001173E5"/>
    <w:rsid w:val="00122802"/>
    <w:rsid w:val="0012773B"/>
    <w:rsid w:val="00130A69"/>
    <w:rsid w:val="0013577E"/>
    <w:rsid w:val="00141A69"/>
    <w:rsid w:val="001446B4"/>
    <w:rsid w:val="00146371"/>
    <w:rsid w:val="0014669E"/>
    <w:rsid w:val="001512AE"/>
    <w:rsid w:val="00155C80"/>
    <w:rsid w:val="0016176D"/>
    <w:rsid w:val="00161AA0"/>
    <w:rsid w:val="0017510D"/>
    <w:rsid w:val="00181DD4"/>
    <w:rsid w:val="00183278"/>
    <w:rsid w:val="001847D3"/>
    <w:rsid w:val="00186B77"/>
    <w:rsid w:val="0018785B"/>
    <w:rsid w:val="00190DE6"/>
    <w:rsid w:val="001956FC"/>
    <w:rsid w:val="00195D95"/>
    <w:rsid w:val="001A3531"/>
    <w:rsid w:val="001B05BA"/>
    <w:rsid w:val="001B0E97"/>
    <w:rsid w:val="001B7724"/>
    <w:rsid w:val="001C44C8"/>
    <w:rsid w:val="001E0CD8"/>
    <w:rsid w:val="001E1B27"/>
    <w:rsid w:val="0020661C"/>
    <w:rsid w:val="00207305"/>
    <w:rsid w:val="00210F2D"/>
    <w:rsid w:val="002122ED"/>
    <w:rsid w:val="00216061"/>
    <w:rsid w:val="00216884"/>
    <w:rsid w:val="00221D00"/>
    <w:rsid w:val="0022422C"/>
    <w:rsid w:val="00231CF3"/>
    <w:rsid w:val="00235CAB"/>
    <w:rsid w:val="00244C9E"/>
    <w:rsid w:val="002600CE"/>
    <w:rsid w:val="00263384"/>
    <w:rsid w:val="00263D3A"/>
    <w:rsid w:val="00265C8E"/>
    <w:rsid w:val="002661E4"/>
    <w:rsid w:val="0026748D"/>
    <w:rsid w:val="00274D29"/>
    <w:rsid w:val="00275AD9"/>
    <w:rsid w:val="00277B13"/>
    <w:rsid w:val="00281AD7"/>
    <w:rsid w:val="00285274"/>
    <w:rsid w:val="0029369D"/>
    <w:rsid w:val="0029372C"/>
    <w:rsid w:val="002A13E1"/>
    <w:rsid w:val="002A6AFC"/>
    <w:rsid w:val="002B1CBE"/>
    <w:rsid w:val="002B4644"/>
    <w:rsid w:val="002B4E78"/>
    <w:rsid w:val="002B6C83"/>
    <w:rsid w:val="002B7710"/>
    <w:rsid w:val="002C12E4"/>
    <w:rsid w:val="002C27A9"/>
    <w:rsid w:val="002C5AFF"/>
    <w:rsid w:val="002C6396"/>
    <w:rsid w:val="002D040C"/>
    <w:rsid w:val="002D168F"/>
    <w:rsid w:val="002D18F5"/>
    <w:rsid w:val="002D47EB"/>
    <w:rsid w:val="002E254C"/>
    <w:rsid w:val="002E5876"/>
    <w:rsid w:val="002F51BA"/>
    <w:rsid w:val="00300A86"/>
    <w:rsid w:val="00302E1E"/>
    <w:rsid w:val="00305824"/>
    <w:rsid w:val="00307B50"/>
    <w:rsid w:val="00312877"/>
    <w:rsid w:val="0031664C"/>
    <w:rsid w:val="0031784B"/>
    <w:rsid w:val="0032041B"/>
    <w:rsid w:val="00321DE0"/>
    <w:rsid w:val="00321F4D"/>
    <w:rsid w:val="0032291B"/>
    <w:rsid w:val="00326774"/>
    <w:rsid w:val="00330CC5"/>
    <w:rsid w:val="003330E6"/>
    <w:rsid w:val="00337304"/>
    <w:rsid w:val="00346C58"/>
    <w:rsid w:val="003508EB"/>
    <w:rsid w:val="00353B23"/>
    <w:rsid w:val="00362DAF"/>
    <w:rsid w:val="003643AE"/>
    <w:rsid w:val="00365ED4"/>
    <w:rsid w:val="00371154"/>
    <w:rsid w:val="0037304B"/>
    <w:rsid w:val="00373ACA"/>
    <w:rsid w:val="003815B6"/>
    <w:rsid w:val="0038160B"/>
    <w:rsid w:val="003848BE"/>
    <w:rsid w:val="00397B4A"/>
    <w:rsid w:val="003A51B1"/>
    <w:rsid w:val="003A72CF"/>
    <w:rsid w:val="003A7611"/>
    <w:rsid w:val="003B272E"/>
    <w:rsid w:val="003B347B"/>
    <w:rsid w:val="003C0B10"/>
    <w:rsid w:val="003C36AC"/>
    <w:rsid w:val="003D0628"/>
    <w:rsid w:val="003D1838"/>
    <w:rsid w:val="003D4EBD"/>
    <w:rsid w:val="003D5516"/>
    <w:rsid w:val="003D7EB3"/>
    <w:rsid w:val="003E2690"/>
    <w:rsid w:val="00403073"/>
    <w:rsid w:val="004159C0"/>
    <w:rsid w:val="004240E3"/>
    <w:rsid w:val="00446505"/>
    <w:rsid w:val="00451836"/>
    <w:rsid w:val="004527FB"/>
    <w:rsid w:val="004567BF"/>
    <w:rsid w:val="004641D6"/>
    <w:rsid w:val="00464599"/>
    <w:rsid w:val="004678BE"/>
    <w:rsid w:val="00470274"/>
    <w:rsid w:val="00472E35"/>
    <w:rsid w:val="00480D18"/>
    <w:rsid w:val="004820E9"/>
    <w:rsid w:val="0048361F"/>
    <w:rsid w:val="0049016F"/>
    <w:rsid w:val="004908EC"/>
    <w:rsid w:val="00492F1D"/>
    <w:rsid w:val="004A2ACC"/>
    <w:rsid w:val="004A5FDA"/>
    <w:rsid w:val="004B275C"/>
    <w:rsid w:val="004B27FC"/>
    <w:rsid w:val="004B44E2"/>
    <w:rsid w:val="004B514C"/>
    <w:rsid w:val="004C0668"/>
    <w:rsid w:val="004C0EF1"/>
    <w:rsid w:val="004C2233"/>
    <w:rsid w:val="004C46F3"/>
    <w:rsid w:val="004C61F4"/>
    <w:rsid w:val="004E4EE8"/>
    <w:rsid w:val="004E6538"/>
    <w:rsid w:val="004F3278"/>
    <w:rsid w:val="004F381C"/>
    <w:rsid w:val="004F50ED"/>
    <w:rsid w:val="00500E0F"/>
    <w:rsid w:val="0051048C"/>
    <w:rsid w:val="0051400A"/>
    <w:rsid w:val="00521116"/>
    <w:rsid w:val="00521656"/>
    <w:rsid w:val="00522098"/>
    <w:rsid w:val="0052468B"/>
    <w:rsid w:val="00526174"/>
    <w:rsid w:val="00526C07"/>
    <w:rsid w:val="0053387C"/>
    <w:rsid w:val="00550155"/>
    <w:rsid w:val="0055078F"/>
    <w:rsid w:val="00553056"/>
    <w:rsid w:val="00553E0D"/>
    <w:rsid w:val="00557805"/>
    <w:rsid w:val="00561886"/>
    <w:rsid w:val="00561E7D"/>
    <w:rsid w:val="00565DCA"/>
    <w:rsid w:val="00580265"/>
    <w:rsid w:val="005849C8"/>
    <w:rsid w:val="005A16E1"/>
    <w:rsid w:val="005A4583"/>
    <w:rsid w:val="005A66B1"/>
    <w:rsid w:val="005A729C"/>
    <w:rsid w:val="005C051F"/>
    <w:rsid w:val="005C187A"/>
    <w:rsid w:val="005C3EDF"/>
    <w:rsid w:val="005C762E"/>
    <w:rsid w:val="005D098C"/>
    <w:rsid w:val="005D1EBA"/>
    <w:rsid w:val="005D480A"/>
    <w:rsid w:val="005E17F4"/>
    <w:rsid w:val="005E1C1E"/>
    <w:rsid w:val="005E3622"/>
    <w:rsid w:val="005E526A"/>
    <w:rsid w:val="005E5626"/>
    <w:rsid w:val="005E6171"/>
    <w:rsid w:val="005F613B"/>
    <w:rsid w:val="006028E0"/>
    <w:rsid w:val="0060511D"/>
    <w:rsid w:val="00606382"/>
    <w:rsid w:val="0060662A"/>
    <w:rsid w:val="00612789"/>
    <w:rsid w:val="00614BDA"/>
    <w:rsid w:val="00622092"/>
    <w:rsid w:val="00622D01"/>
    <w:rsid w:val="00630EDD"/>
    <w:rsid w:val="006331B4"/>
    <w:rsid w:val="006343F3"/>
    <w:rsid w:val="00634653"/>
    <w:rsid w:val="006362EA"/>
    <w:rsid w:val="00640505"/>
    <w:rsid w:val="00642906"/>
    <w:rsid w:val="006457EF"/>
    <w:rsid w:val="00650BE7"/>
    <w:rsid w:val="00653E79"/>
    <w:rsid w:val="006556F8"/>
    <w:rsid w:val="006632C6"/>
    <w:rsid w:val="00670ECE"/>
    <w:rsid w:val="00671E69"/>
    <w:rsid w:val="006734A8"/>
    <w:rsid w:val="00677CA3"/>
    <w:rsid w:val="006827B2"/>
    <w:rsid w:val="00682943"/>
    <w:rsid w:val="00690582"/>
    <w:rsid w:val="006A721F"/>
    <w:rsid w:val="006B049E"/>
    <w:rsid w:val="006B068C"/>
    <w:rsid w:val="006B3B0A"/>
    <w:rsid w:val="006C07A8"/>
    <w:rsid w:val="006C1C9C"/>
    <w:rsid w:val="006C476B"/>
    <w:rsid w:val="006C7A87"/>
    <w:rsid w:val="006D09B6"/>
    <w:rsid w:val="006D1BF0"/>
    <w:rsid w:val="006D4A38"/>
    <w:rsid w:val="006D72F3"/>
    <w:rsid w:val="006D73F1"/>
    <w:rsid w:val="006D7F22"/>
    <w:rsid w:val="006E1C2A"/>
    <w:rsid w:val="006E2575"/>
    <w:rsid w:val="006F1183"/>
    <w:rsid w:val="00703B75"/>
    <w:rsid w:val="00717245"/>
    <w:rsid w:val="00717783"/>
    <w:rsid w:val="007248FE"/>
    <w:rsid w:val="0072770C"/>
    <w:rsid w:val="00732519"/>
    <w:rsid w:val="007328B7"/>
    <w:rsid w:val="00742EAF"/>
    <w:rsid w:val="00753107"/>
    <w:rsid w:val="00760BE2"/>
    <w:rsid w:val="00764943"/>
    <w:rsid w:val="00765026"/>
    <w:rsid w:val="007650CD"/>
    <w:rsid w:val="00771226"/>
    <w:rsid w:val="007717F9"/>
    <w:rsid w:val="007728BA"/>
    <w:rsid w:val="00781489"/>
    <w:rsid w:val="00782810"/>
    <w:rsid w:val="00786E78"/>
    <w:rsid w:val="00790B32"/>
    <w:rsid w:val="007924E4"/>
    <w:rsid w:val="00792655"/>
    <w:rsid w:val="007963BD"/>
    <w:rsid w:val="007A2FE6"/>
    <w:rsid w:val="007A4EEE"/>
    <w:rsid w:val="007B2EE7"/>
    <w:rsid w:val="007B49E0"/>
    <w:rsid w:val="007C3052"/>
    <w:rsid w:val="007D2BEF"/>
    <w:rsid w:val="007D71C7"/>
    <w:rsid w:val="007E3E98"/>
    <w:rsid w:val="007E5C56"/>
    <w:rsid w:val="007E720E"/>
    <w:rsid w:val="007F1E0F"/>
    <w:rsid w:val="007F49BA"/>
    <w:rsid w:val="00810F6C"/>
    <w:rsid w:val="00812707"/>
    <w:rsid w:val="00812784"/>
    <w:rsid w:val="008245D1"/>
    <w:rsid w:val="008376D6"/>
    <w:rsid w:val="0084254B"/>
    <w:rsid w:val="00844AFB"/>
    <w:rsid w:val="008505C3"/>
    <w:rsid w:val="008539FD"/>
    <w:rsid w:val="00855D10"/>
    <w:rsid w:val="00857EC9"/>
    <w:rsid w:val="00860FCF"/>
    <w:rsid w:val="00862440"/>
    <w:rsid w:val="0086472B"/>
    <w:rsid w:val="0086519D"/>
    <w:rsid w:val="00867BC4"/>
    <w:rsid w:val="00873552"/>
    <w:rsid w:val="00873A64"/>
    <w:rsid w:val="008779D7"/>
    <w:rsid w:val="00880F99"/>
    <w:rsid w:val="00883A99"/>
    <w:rsid w:val="00884B5B"/>
    <w:rsid w:val="00886E9D"/>
    <w:rsid w:val="008A570C"/>
    <w:rsid w:val="008B0793"/>
    <w:rsid w:val="008B4199"/>
    <w:rsid w:val="008B5036"/>
    <w:rsid w:val="008B6AD8"/>
    <w:rsid w:val="008C4D8D"/>
    <w:rsid w:val="008C6B33"/>
    <w:rsid w:val="008D0130"/>
    <w:rsid w:val="008D38A9"/>
    <w:rsid w:val="008E0B61"/>
    <w:rsid w:val="008E3F6E"/>
    <w:rsid w:val="008E7585"/>
    <w:rsid w:val="008F6F1F"/>
    <w:rsid w:val="00911C2E"/>
    <w:rsid w:val="00916188"/>
    <w:rsid w:val="00916853"/>
    <w:rsid w:val="00917FB7"/>
    <w:rsid w:val="009258AE"/>
    <w:rsid w:val="0092657D"/>
    <w:rsid w:val="00927EA1"/>
    <w:rsid w:val="00934173"/>
    <w:rsid w:val="0093489E"/>
    <w:rsid w:val="00941946"/>
    <w:rsid w:val="0094366C"/>
    <w:rsid w:val="00944206"/>
    <w:rsid w:val="00951BFC"/>
    <w:rsid w:val="00953ADF"/>
    <w:rsid w:val="0095584D"/>
    <w:rsid w:val="00970967"/>
    <w:rsid w:val="00976B74"/>
    <w:rsid w:val="009917C9"/>
    <w:rsid w:val="009946B6"/>
    <w:rsid w:val="009A001E"/>
    <w:rsid w:val="009A32B0"/>
    <w:rsid w:val="009A7335"/>
    <w:rsid w:val="009A7DA0"/>
    <w:rsid w:val="009B1567"/>
    <w:rsid w:val="009B1C24"/>
    <w:rsid w:val="009B215A"/>
    <w:rsid w:val="009B48D9"/>
    <w:rsid w:val="009B621A"/>
    <w:rsid w:val="009C16BE"/>
    <w:rsid w:val="009C45D9"/>
    <w:rsid w:val="009C54CE"/>
    <w:rsid w:val="009C6F32"/>
    <w:rsid w:val="009C73D8"/>
    <w:rsid w:val="009C75B9"/>
    <w:rsid w:val="009D7BFF"/>
    <w:rsid w:val="009E0F3C"/>
    <w:rsid w:val="009E4A9C"/>
    <w:rsid w:val="009E5572"/>
    <w:rsid w:val="009E7708"/>
    <w:rsid w:val="009F2B10"/>
    <w:rsid w:val="009F4F18"/>
    <w:rsid w:val="009F6C11"/>
    <w:rsid w:val="009F769B"/>
    <w:rsid w:val="00A0460E"/>
    <w:rsid w:val="00A06657"/>
    <w:rsid w:val="00A10894"/>
    <w:rsid w:val="00A11EA8"/>
    <w:rsid w:val="00A213FE"/>
    <w:rsid w:val="00A2738C"/>
    <w:rsid w:val="00A4680A"/>
    <w:rsid w:val="00A51BF8"/>
    <w:rsid w:val="00A53579"/>
    <w:rsid w:val="00A64621"/>
    <w:rsid w:val="00A67D95"/>
    <w:rsid w:val="00A71C4C"/>
    <w:rsid w:val="00A72113"/>
    <w:rsid w:val="00A75421"/>
    <w:rsid w:val="00A76372"/>
    <w:rsid w:val="00A8026D"/>
    <w:rsid w:val="00A827FD"/>
    <w:rsid w:val="00A85D3D"/>
    <w:rsid w:val="00A86D3D"/>
    <w:rsid w:val="00A93644"/>
    <w:rsid w:val="00A97EF2"/>
    <w:rsid w:val="00AA6EB3"/>
    <w:rsid w:val="00AB0F4B"/>
    <w:rsid w:val="00AB1C81"/>
    <w:rsid w:val="00AB2948"/>
    <w:rsid w:val="00AB39FA"/>
    <w:rsid w:val="00AB4227"/>
    <w:rsid w:val="00AC3A7B"/>
    <w:rsid w:val="00AC6CA3"/>
    <w:rsid w:val="00AC74D8"/>
    <w:rsid w:val="00AD5DB1"/>
    <w:rsid w:val="00AD6933"/>
    <w:rsid w:val="00AD6B7B"/>
    <w:rsid w:val="00AE0205"/>
    <w:rsid w:val="00AE1145"/>
    <w:rsid w:val="00AE1163"/>
    <w:rsid w:val="00AE1E69"/>
    <w:rsid w:val="00AE5380"/>
    <w:rsid w:val="00AE590D"/>
    <w:rsid w:val="00AF1CF3"/>
    <w:rsid w:val="00B10257"/>
    <w:rsid w:val="00B10D12"/>
    <w:rsid w:val="00B14B5C"/>
    <w:rsid w:val="00B20B97"/>
    <w:rsid w:val="00B2245A"/>
    <w:rsid w:val="00B23B81"/>
    <w:rsid w:val="00B24F03"/>
    <w:rsid w:val="00B2513F"/>
    <w:rsid w:val="00B25E94"/>
    <w:rsid w:val="00B2758B"/>
    <w:rsid w:val="00B411FE"/>
    <w:rsid w:val="00B44F29"/>
    <w:rsid w:val="00B51A03"/>
    <w:rsid w:val="00B568C6"/>
    <w:rsid w:val="00B57246"/>
    <w:rsid w:val="00B602C0"/>
    <w:rsid w:val="00B6240E"/>
    <w:rsid w:val="00B62E5B"/>
    <w:rsid w:val="00B641B8"/>
    <w:rsid w:val="00B728BA"/>
    <w:rsid w:val="00B76819"/>
    <w:rsid w:val="00B82D4B"/>
    <w:rsid w:val="00B870B0"/>
    <w:rsid w:val="00B9641E"/>
    <w:rsid w:val="00BA003C"/>
    <w:rsid w:val="00BA076F"/>
    <w:rsid w:val="00BA2B90"/>
    <w:rsid w:val="00BA35AB"/>
    <w:rsid w:val="00BA5F58"/>
    <w:rsid w:val="00BB047B"/>
    <w:rsid w:val="00BB53B9"/>
    <w:rsid w:val="00BB5A40"/>
    <w:rsid w:val="00BB6398"/>
    <w:rsid w:val="00BB77B2"/>
    <w:rsid w:val="00BC074A"/>
    <w:rsid w:val="00BC59E1"/>
    <w:rsid w:val="00BD0372"/>
    <w:rsid w:val="00BD08D5"/>
    <w:rsid w:val="00BD3832"/>
    <w:rsid w:val="00BE3E13"/>
    <w:rsid w:val="00BE74B8"/>
    <w:rsid w:val="00BF04C0"/>
    <w:rsid w:val="00BF53D8"/>
    <w:rsid w:val="00BF69F9"/>
    <w:rsid w:val="00C00F2B"/>
    <w:rsid w:val="00C03F31"/>
    <w:rsid w:val="00C04048"/>
    <w:rsid w:val="00C075BC"/>
    <w:rsid w:val="00C12095"/>
    <w:rsid w:val="00C139CA"/>
    <w:rsid w:val="00C16D87"/>
    <w:rsid w:val="00C17DFD"/>
    <w:rsid w:val="00C2235F"/>
    <w:rsid w:val="00C314B3"/>
    <w:rsid w:val="00C32BD6"/>
    <w:rsid w:val="00C51429"/>
    <w:rsid w:val="00C55CB6"/>
    <w:rsid w:val="00C614E4"/>
    <w:rsid w:val="00C624F1"/>
    <w:rsid w:val="00C66AD3"/>
    <w:rsid w:val="00C801DD"/>
    <w:rsid w:val="00C8044F"/>
    <w:rsid w:val="00C812EC"/>
    <w:rsid w:val="00C814E3"/>
    <w:rsid w:val="00C856E2"/>
    <w:rsid w:val="00C87E68"/>
    <w:rsid w:val="00C94B6D"/>
    <w:rsid w:val="00CA1ED0"/>
    <w:rsid w:val="00CA359A"/>
    <w:rsid w:val="00CA45BA"/>
    <w:rsid w:val="00CA4A03"/>
    <w:rsid w:val="00CA76F9"/>
    <w:rsid w:val="00CB1666"/>
    <w:rsid w:val="00CB5437"/>
    <w:rsid w:val="00CB6BE0"/>
    <w:rsid w:val="00CC3C10"/>
    <w:rsid w:val="00CC4E50"/>
    <w:rsid w:val="00CD1058"/>
    <w:rsid w:val="00CD49C1"/>
    <w:rsid w:val="00CD587B"/>
    <w:rsid w:val="00D025E4"/>
    <w:rsid w:val="00D0434E"/>
    <w:rsid w:val="00D07064"/>
    <w:rsid w:val="00D16755"/>
    <w:rsid w:val="00D222A1"/>
    <w:rsid w:val="00D22BB0"/>
    <w:rsid w:val="00D3612A"/>
    <w:rsid w:val="00D37703"/>
    <w:rsid w:val="00D37F25"/>
    <w:rsid w:val="00D5476A"/>
    <w:rsid w:val="00D553A0"/>
    <w:rsid w:val="00D56E28"/>
    <w:rsid w:val="00D6058C"/>
    <w:rsid w:val="00D607C1"/>
    <w:rsid w:val="00D62215"/>
    <w:rsid w:val="00D72B0F"/>
    <w:rsid w:val="00D85DB9"/>
    <w:rsid w:val="00D932DA"/>
    <w:rsid w:val="00D97C2A"/>
    <w:rsid w:val="00DA4A0F"/>
    <w:rsid w:val="00DA76BC"/>
    <w:rsid w:val="00DB0228"/>
    <w:rsid w:val="00DB1B32"/>
    <w:rsid w:val="00DB265A"/>
    <w:rsid w:val="00DC6453"/>
    <w:rsid w:val="00DC74D2"/>
    <w:rsid w:val="00DD0207"/>
    <w:rsid w:val="00DD1613"/>
    <w:rsid w:val="00DE643F"/>
    <w:rsid w:val="00DF2659"/>
    <w:rsid w:val="00DF4946"/>
    <w:rsid w:val="00DF6658"/>
    <w:rsid w:val="00E04173"/>
    <w:rsid w:val="00E0748A"/>
    <w:rsid w:val="00E10692"/>
    <w:rsid w:val="00E134B0"/>
    <w:rsid w:val="00E1484D"/>
    <w:rsid w:val="00E1694C"/>
    <w:rsid w:val="00E20D4C"/>
    <w:rsid w:val="00E24FB4"/>
    <w:rsid w:val="00E3268C"/>
    <w:rsid w:val="00E4548D"/>
    <w:rsid w:val="00E4622C"/>
    <w:rsid w:val="00E46358"/>
    <w:rsid w:val="00E46D57"/>
    <w:rsid w:val="00E51AC9"/>
    <w:rsid w:val="00E51FFB"/>
    <w:rsid w:val="00E5239B"/>
    <w:rsid w:val="00E55294"/>
    <w:rsid w:val="00E64A63"/>
    <w:rsid w:val="00E6579B"/>
    <w:rsid w:val="00E771EB"/>
    <w:rsid w:val="00E77312"/>
    <w:rsid w:val="00E77DD1"/>
    <w:rsid w:val="00E86B90"/>
    <w:rsid w:val="00E925F9"/>
    <w:rsid w:val="00E93208"/>
    <w:rsid w:val="00E93D3C"/>
    <w:rsid w:val="00EA1179"/>
    <w:rsid w:val="00EA3C89"/>
    <w:rsid w:val="00EB4695"/>
    <w:rsid w:val="00EB76B0"/>
    <w:rsid w:val="00EC1127"/>
    <w:rsid w:val="00EC1CA0"/>
    <w:rsid w:val="00ED1D45"/>
    <w:rsid w:val="00ED3AAD"/>
    <w:rsid w:val="00ED7DF1"/>
    <w:rsid w:val="00EE198D"/>
    <w:rsid w:val="00EE3F5C"/>
    <w:rsid w:val="00F000DB"/>
    <w:rsid w:val="00F01832"/>
    <w:rsid w:val="00F03D6A"/>
    <w:rsid w:val="00F139AA"/>
    <w:rsid w:val="00F14BD2"/>
    <w:rsid w:val="00F215B0"/>
    <w:rsid w:val="00F224E8"/>
    <w:rsid w:val="00F23AAE"/>
    <w:rsid w:val="00F26A9F"/>
    <w:rsid w:val="00F35083"/>
    <w:rsid w:val="00F4384A"/>
    <w:rsid w:val="00F439CB"/>
    <w:rsid w:val="00F52BDF"/>
    <w:rsid w:val="00F53070"/>
    <w:rsid w:val="00F53821"/>
    <w:rsid w:val="00F6103E"/>
    <w:rsid w:val="00F671F1"/>
    <w:rsid w:val="00F67A00"/>
    <w:rsid w:val="00F71830"/>
    <w:rsid w:val="00F7722D"/>
    <w:rsid w:val="00F93749"/>
    <w:rsid w:val="00F97F50"/>
    <w:rsid w:val="00FA0A0A"/>
    <w:rsid w:val="00FB1520"/>
    <w:rsid w:val="00FB4507"/>
    <w:rsid w:val="00FB5B3A"/>
    <w:rsid w:val="00FC5108"/>
    <w:rsid w:val="00FE06AB"/>
    <w:rsid w:val="00FE5DAA"/>
    <w:rsid w:val="00FE71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9E0"/>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lang w:val="en-US"/>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lang w:val="en-US"/>
    </w:rPr>
  </w:style>
  <w:style w:type="paragraph" w:styleId="Heading3">
    <w:name w:val="heading 3"/>
    <w:basedOn w:val="Normal"/>
    <w:next w:val="NICEnormal"/>
    <w:link w:val="Heading3Char"/>
    <w:uiPriority w:val="9"/>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A8026D"/>
    <w:pPr>
      <w:spacing w:after="240" w:line="360" w:lineRule="auto"/>
    </w:pPr>
    <w:rPr>
      <w:rFonts w:ascii="Arial" w:hAnsi="Arial"/>
      <w:sz w:val="24"/>
      <w:szCs w:val="24"/>
      <w:lang w:eastAsia="en-US"/>
    </w:rPr>
  </w:style>
  <w:style w:type="character" w:customStyle="1" w:styleId="NICEnormalChar">
    <w:name w:val="NICE normal Char"/>
    <w:link w:val="NICEnormal"/>
    <w:rsid w:val="00A8026D"/>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D37703"/>
    <w:rPr>
      <w:rFonts w:ascii="Arial" w:hAnsi="Arial" w:cs="Arial"/>
      <w:b/>
      <w:bCs/>
      <w:i/>
      <w:iCs/>
      <w:sz w:val="28"/>
      <w:szCs w:val="28"/>
      <w:lang w:val="en-US" w:eastAsia="en-US" w:bidi="ar-SA"/>
    </w:rPr>
  </w:style>
  <w:style w:type="paragraph" w:customStyle="1" w:styleId="NICEnormalsinglespacing">
    <w:name w:val="NICE normal single spacing"/>
    <w:basedOn w:val="NICEnormal"/>
    <w:link w:val="NICEnormalsinglespacingChar"/>
    <w:rsid w:val="005C762E"/>
    <w:pPr>
      <w:spacing w:line="240" w:lineRule="auto"/>
    </w:pPr>
  </w:style>
  <w:style w:type="character" w:customStyle="1" w:styleId="NICEnormalsinglespacingChar">
    <w:name w:val="NICE normal single spacing Char"/>
    <w:link w:val="NICEnormalsinglespacing"/>
    <w:rsid w:val="00190DE6"/>
    <w:rPr>
      <w:rFonts w:ascii="Arial" w:hAnsi="Arial"/>
      <w:sz w:val="24"/>
      <w:szCs w:val="24"/>
      <w:lang w:val="en-US" w:eastAsia="en-US"/>
    </w:rPr>
  </w:style>
  <w:style w:type="paragraph" w:styleId="Title">
    <w:name w:val="Title"/>
    <w:basedOn w:val="Normal"/>
    <w:next w:val="NICEnormal"/>
    <w:qFormat/>
    <w:rsid w:val="00BB047B"/>
    <w:pPr>
      <w:keepNext/>
      <w:spacing w:before="240" w:after="240"/>
      <w:jc w:val="center"/>
      <w:outlineLvl w:val="0"/>
    </w:pPr>
    <w:rPr>
      <w:rFonts w:ascii="Arial" w:hAnsi="Arial" w:cs="Arial"/>
      <w:b/>
      <w:bCs/>
      <w:kern w:val="28"/>
      <w:sz w:val="40"/>
      <w:szCs w:val="32"/>
    </w:rPr>
  </w:style>
  <w:style w:type="paragraph" w:customStyle="1" w:styleId="Introtext">
    <w:name w:val="Intro text"/>
    <w:basedOn w:val="NICEnormalsinglespacing"/>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C51429"/>
    <w:pPr>
      <w:numPr>
        <w:numId w:val="8"/>
      </w:numPr>
    </w:pPr>
    <w:rPr>
      <w:rFonts w:cs="Times New Roman"/>
      <w:szCs w:val="24"/>
    </w:rPr>
  </w:style>
  <w:style w:type="character" w:customStyle="1" w:styleId="Numberedheading1CharChar">
    <w:name w:val="Numbered heading 1 Char Char"/>
    <w:link w:val="Numberedheading1"/>
    <w:rsid w:val="00C51429"/>
    <w:rPr>
      <w:rFonts w:ascii="Arial" w:hAnsi="Arial"/>
      <w:b/>
      <w:bCs/>
      <w:kern w:val="32"/>
      <w:sz w:val="32"/>
      <w:szCs w:val="24"/>
      <w:lang w:val="en-US" w:eastAsia="en-US"/>
    </w:rPr>
  </w:style>
  <w:style w:type="paragraph" w:customStyle="1" w:styleId="Numberedheading2">
    <w:name w:val="Numbered heading 2"/>
    <w:basedOn w:val="Heading2"/>
    <w:next w:val="NICEnormal"/>
    <w:link w:val="Numberedheading2Char"/>
    <w:rsid w:val="00C51429"/>
    <w:pPr>
      <w:numPr>
        <w:ilvl w:val="1"/>
        <w:numId w:val="8"/>
      </w:numPr>
    </w:pPr>
    <w:rPr>
      <w:b w:val="0"/>
      <w:bCs w:val="0"/>
      <w:i w:val="0"/>
      <w:iCs w:val="0"/>
    </w:rPr>
  </w:style>
  <w:style w:type="character" w:customStyle="1" w:styleId="Numberedheading2Char">
    <w:name w:val="Numbered heading 2 Char"/>
    <w:link w:val="Numberedheading2"/>
    <w:rsid w:val="00D37703"/>
    <w:rPr>
      <w:rFonts w:ascii="Arial" w:hAnsi="Arial" w:cs="Arial"/>
      <w:sz w:val="28"/>
      <w:szCs w:val="28"/>
      <w:lang w:val="en-US" w:eastAsia="en-US"/>
    </w:rPr>
  </w:style>
  <w:style w:type="paragraph" w:customStyle="1" w:styleId="Numberedheading3">
    <w:name w:val="Numbered heading 3"/>
    <w:basedOn w:val="Heading3"/>
    <w:next w:val="NICEnormal"/>
    <w:rsid w:val="00C51429"/>
    <w:pPr>
      <w:numPr>
        <w:ilvl w:val="2"/>
        <w:numId w:val="8"/>
      </w:numPr>
    </w:pPr>
    <w:rPr>
      <w:sz w:val="26"/>
    </w:rPr>
  </w:style>
  <w:style w:type="paragraph" w:customStyle="1" w:styleId="Numberedlevel4text">
    <w:name w:val="Numbered level 4 text"/>
    <w:basedOn w:val="NICEnormal"/>
    <w:next w:val="NICEnormal"/>
    <w:rsid w:val="0092657D"/>
    <w:pPr>
      <w:numPr>
        <w:ilvl w:val="3"/>
        <w:numId w:val="8"/>
      </w:numPr>
    </w:pPr>
  </w:style>
  <w:style w:type="paragraph" w:customStyle="1" w:styleId="Numberedlevel3text">
    <w:name w:val="Numbered level 3 text"/>
    <w:basedOn w:val="Numberedheading3"/>
    <w:rsid w:val="003A72CF"/>
    <w:pPr>
      <w:keepNext w:val="0"/>
      <w:spacing w:before="0" w:after="240"/>
      <w:outlineLvl w:val="9"/>
    </w:pPr>
    <w:rPr>
      <w:b w:val="0"/>
      <w:sz w:val="24"/>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Bulletleft1">
    <w:name w:val="Bullet left 1"/>
    <w:basedOn w:val="NICEnormal"/>
    <w:rsid w:val="00D37F25"/>
    <w:pPr>
      <w:numPr>
        <w:numId w:val="7"/>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rsid w:val="00D3612A"/>
    <w:pPr>
      <w:numPr>
        <w:numId w:val="6"/>
      </w:numPr>
      <w:spacing w:after="0"/>
    </w:p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umberedheading2"/>
    <w:link w:val="Numberedlevel2textChar"/>
    <w:rsid w:val="003A72CF"/>
    <w:pPr>
      <w:keepNext w:val="0"/>
      <w:spacing w:before="0" w:after="240"/>
      <w:outlineLvl w:val="9"/>
    </w:pPr>
    <w:rPr>
      <w:sz w:val="24"/>
    </w:rPr>
  </w:style>
  <w:style w:type="character" w:customStyle="1" w:styleId="Numberedlevel2textChar">
    <w:name w:val="Numbered level 2 text Char"/>
    <w:link w:val="Numberedlevel2text"/>
    <w:rsid w:val="00677CA3"/>
    <w:rPr>
      <w:rFonts w:ascii="Arial" w:hAnsi="Arial" w:cs="Arial"/>
      <w:sz w:val="24"/>
      <w:szCs w:val="28"/>
      <w:lang w:val="en-US" w:eastAsia="en-US"/>
    </w:rPr>
  </w:style>
  <w:style w:type="paragraph" w:customStyle="1" w:styleId="Bulletleft1last">
    <w:name w:val="Bullet left 1 last"/>
    <w:basedOn w:val="NICEnormal"/>
    <w:rsid w:val="00953ADF"/>
    <w:pPr>
      <w:numPr>
        <w:numId w:val="9"/>
      </w:numPr>
    </w:pPr>
    <w:rPr>
      <w:rFonts w:cs="Arial"/>
    </w:r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rsid w:val="00190DE6"/>
    <w:pPr>
      <w:tabs>
        <w:tab w:val="center" w:pos="4153"/>
        <w:tab w:val="right" w:pos="8306"/>
      </w:tabs>
    </w:pPr>
    <w:rPr>
      <w:sz w:val="20"/>
    </w:r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10"/>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customStyle="1" w:styleId="Tabletext">
    <w:name w:val="Table text"/>
    <w:basedOn w:val="NICEnormalsinglespacing"/>
    <w:rsid w:val="00BD0372"/>
    <w:pPr>
      <w:keepNext/>
      <w:spacing w:after="60"/>
    </w:pPr>
    <w:rPr>
      <w:sz w:val="22"/>
    </w:rPr>
  </w:style>
  <w:style w:type="paragraph" w:customStyle="1" w:styleId="Introtextbullet">
    <w:name w:val="Intro text bullet"/>
    <w:basedOn w:val="Introtext"/>
    <w:rsid w:val="00E0748A"/>
    <w:pPr>
      <w:numPr>
        <w:numId w:val="21"/>
      </w:numPr>
    </w:pPr>
  </w:style>
  <w:style w:type="paragraph" w:customStyle="1" w:styleId="Title1">
    <w:name w:val="Title 1"/>
    <w:basedOn w:val="Title"/>
    <w:qFormat/>
    <w:rsid w:val="003A72CF"/>
  </w:style>
  <w:style w:type="paragraph" w:customStyle="1" w:styleId="Title2">
    <w:name w:val="Title 2"/>
    <w:basedOn w:val="Normal"/>
    <w:qFormat/>
    <w:rsid w:val="003A72CF"/>
    <w:pPr>
      <w:keepNext/>
      <w:spacing w:before="240" w:after="240"/>
      <w:jc w:val="center"/>
      <w:outlineLvl w:val="0"/>
    </w:pPr>
    <w:rPr>
      <w:rFonts w:ascii="Arial" w:hAnsi="Arial" w:cs="Arial"/>
      <w:b/>
      <w:bCs/>
      <w:kern w:val="28"/>
      <w:sz w:val="32"/>
      <w:szCs w:val="32"/>
    </w:rPr>
  </w:style>
  <w:style w:type="paragraph" w:customStyle="1" w:styleId="Guidanceissuedate">
    <w:name w:val="Guidance issue date"/>
    <w:basedOn w:val="NICEnormal"/>
    <w:qFormat/>
    <w:rsid w:val="003A72CF"/>
  </w:style>
  <w:style w:type="paragraph" w:customStyle="1" w:styleId="Documentissuedate">
    <w:name w:val="Document issue date"/>
    <w:basedOn w:val="NICEnormal"/>
    <w:qFormat/>
    <w:rsid w:val="003A72CF"/>
  </w:style>
  <w:style w:type="character" w:styleId="Hyperlink">
    <w:name w:val="Hyperlink"/>
    <w:rsid w:val="007F49BA"/>
    <w:rPr>
      <w:color w:val="0000FF"/>
      <w:u w:val="single"/>
    </w:rPr>
  </w:style>
  <w:style w:type="character" w:styleId="CommentReference">
    <w:name w:val="annotation reference"/>
    <w:rsid w:val="00190DE6"/>
    <w:rPr>
      <w:sz w:val="16"/>
      <w:szCs w:val="16"/>
    </w:rPr>
  </w:style>
  <w:style w:type="paragraph" w:styleId="CommentText">
    <w:name w:val="annotation text"/>
    <w:basedOn w:val="Normal"/>
    <w:link w:val="CommentTextChar"/>
    <w:rsid w:val="00190DE6"/>
    <w:rPr>
      <w:sz w:val="20"/>
      <w:szCs w:val="20"/>
    </w:rPr>
  </w:style>
  <w:style w:type="character" w:customStyle="1" w:styleId="CommentTextChar">
    <w:name w:val="Comment Text Char"/>
    <w:link w:val="CommentText"/>
    <w:rsid w:val="00190DE6"/>
    <w:rPr>
      <w:lang w:eastAsia="en-US"/>
    </w:rPr>
  </w:style>
  <w:style w:type="paragraph" w:styleId="CommentSubject">
    <w:name w:val="annotation subject"/>
    <w:basedOn w:val="CommentText"/>
    <w:next w:val="CommentText"/>
    <w:link w:val="CommentSubjectChar"/>
    <w:rsid w:val="00190DE6"/>
    <w:rPr>
      <w:b/>
      <w:bCs/>
    </w:rPr>
  </w:style>
  <w:style w:type="character" w:customStyle="1" w:styleId="CommentSubjectChar">
    <w:name w:val="Comment Subject Char"/>
    <w:link w:val="CommentSubject"/>
    <w:rsid w:val="00190DE6"/>
    <w:rPr>
      <w:b/>
      <w:bCs/>
      <w:lang w:eastAsia="en-US"/>
    </w:rPr>
  </w:style>
  <w:style w:type="paragraph" w:styleId="BalloonText">
    <w:name w:val="Balloon Text"/>
    <w:basedOn w:val="Normal"/>
    <w:link w:val="BalloonTextChar"/>
    <w:rsid w:val="00190DE6"/>
    <w:rPr>
      <w:rFonts w:ascii="Tahoma" w:hAnsi="Tahoma"/>
      <w:sz w:val="16"/>
      <w:szCs w:val="16"/>
    </w:rPr>
  </w:style>
  <w:style w:type="character" w:customStyle="1" w:styleId="BalloonTextChar">
    <w:name w:val="Balloon Text Char"/>
    <w:link w:val="BalloonText"/>
    <w:rsid w:val="00190DE6"/>
    <w:rPr>
      <w:rFonts w:ascii="Tahoma" w:hAnsi="Tahoma" w:cs="Tahoma"/>
      <w:sz w:val="16"/>
      <w:szCs w:val="16"/>
      <w:lang w:eastAsia="en-US"/>
    </w:rPr>
  </w:style>
  <w:style w:type="paragraph" w:customStyle="1" w:styleId="NICEnormalbold">
    <w:name w:val="NICE normal bold"/>
    <w:basedOn w:val="NICEnormal"/>
    <w:qFormat/>
    <w:rsid w:val="00E20D4C"/>
    <w:pPr>
      <w:keepNext/>
      <w:spacing w:after="120" w:line="240" w:lineRule="auto"/>
    </w:pPr>
    <w:rPr>
      <w:b/>
      <w:noProof/>
    </w:rPr>
  </w:style>
  <w:style w:type="character" w:styleId="FollowedHyperlink">
    <w:name w:val="FollowedHyperlink"/>
    <w:rsid w:val="00D025E4"/>
    <w:rPr>
      <w:color w:val="800080"/>
      <w:u w:val="single"/>
    </w:rPr>
  </w:style>
  <w:style w:type="table" w:styleId="TableGrid">
    <w:name w:val="Table Grid"/>
    <w:basedOn w:val="TableNormal"/>
    <w:rsid w:val="00312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6ptleft">
    <w:name w:val="Title 16 pt left"/>
    <w:basedOn w:val="Normal"/>
    <w:rsid w:val="00026587"/>
    <w:pPr>
      <w:keepNext/>
      <w:spacing w:before="240" w:after="240"/>
      <w:outlineLvl w:val="0"/>
    </w:pPr>
    <w:rPr>
      <w:rFonts w:ascii="Arial" w:hAnsi="Arial" w:cs="Arial"/>
      <w:b/>
      <w:bCs/>
      <w:kern w:val="28"/>
      <w:sz w:val="32"/>
      <w:szCs w:val="32"/>
    </w:rPr>
  </w:style>
  <w:style w:type="paragraph" w:styleId="ListParagraph">
    <w:name w:val="List Paragraph"/>
    <w:basedOn w:val="Normal"/>
    <w:uiPriority w:val="34"/>
    <w:qFormat/>
    <w:rsid w:val="00C87E68"/>
    <w:pPr>
      <w:ind w:left="720"/>
      <w:contextualSpacing/>
    </w:pPr>
  </w:style>
  <w:style w:type="paragraph" w:styleId="Revision">
    <w:name w:val="Revision"/>
    <w:hidden/>
    <w:uiPriority w:val="99"/>
    <w:semiHidden/>
    <w:rsid w:val="002661E4"/>
    <w:rPr>
      <w:sz w:val="24"/>
      <w:szCs w:val="24"/>
      <w:lang w:eastAsia="en-US"/>
    </w:rPr>
  </w:style>
  <w:style w:type="character" w:customStyle="1" w:styleId="Heading3Char">
    <w:name w:val="Heading 3 Char"/>
    <w:basedOn w:val="DefaultParagraphFont"/>
    <w:link w:val="Heading3"/>
    <w:uiPriority w:val="9"/>
    <w:rsid w:val="00AE1163"/>
    <w:rPr>
      <w:rFonts w:ascii="Arial" w:hAnsi="Arial" w:cs="Arial"/>
      <w:b/>
      <w:bCs/>
      <w:sz w:val="24"/>
      <w:szCs w:val="24"/>
      <w:lang w:eastAsia="en-US"/>
    </w:rPr>
  </w:style>
  <w:style w:type="paragraph" w:styleId="NormalWeb">
    <w:name w:val="Normal (Web)"/>
    <w:basedOn w:val="Normal"/>
    <w:uiPriority w:val="99"/>
    <w:semiHidden/>
    <w:unhideWhenUsed/>
    <w:rsid w:val="00AE1163"/>
    <w:pPr>
      <w:spacing w:after="180"/>
    </w:pPr>
    <w:rPr>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9E0"/>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lang w:val="en-US"/>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lang w:val="en-US"/>
    </w:rPr>
  </w:style>
  <w:style w:type="paragraph" w:styleId="Heading3">
    <w:name w:val="heading 3"/>
    <w:basedOn w:val="Normal"/>
    <w:next w:val="NICEnormal"/>
    <w:link w:val="Heading3Char"/>
    <w:uiPriority w:val="9"/>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A8026D"/>
    <w:pPr>
      <w:spacing w:after="240" w:line="360" w:lineRule="auto"/>
    </w:pPr>
    <w:rPr>
      <w:rFonts w:ascii="Arial" w:hAnsi="Arial"/>
      <w:sz w:val="24"/>
      <w:szCs w:val="24"/>
      <w:lang w:eastAsia="en-US"/>
    </w:rPr>
  </w:style>
  <w:style w:type="character" w:customStyle="1" w:styleId="NICEnormalChar">
    <w:name w:val="NICE normal Char"/>
    <w:link w:val="NICEnormal"/>
    <w:rsid w:val="00A8026D"/>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D37703"/>
    <w:rPr>
      <w:rFonts w:ascii="Arial" w:hAnsi="Arial" w:cs="Arial"/>
      <w:b/>
      <w:bCs/>
      <w:i/>
      <w:iCs/>
      <w:sz w:val="28"/>
      <w:szCs w:val="28"/>
      <w:lang w:val="en-US" w:eastAsia="en-US" w:bidi="ar-SA"/>
    </w:rPr>
  </w:style>
  <w:style w:type="paragraph" w:customStyle="1" w:styleId="NICEnormalsinglespacing">
    <w:name w:val="NICE normal single spacing"/>
    <w:basedOn w:val="NICEnormal"/>
    <w:link w:val="NICEnormalsinglespacingChar"/>
    <w:rsid w:val="005C762E"/>
    <w:pPr>
      <w:spacing w:line="240" w:lineRule="auto"/>
    </w:pPr>
  </w:style>
  <w:style w:type="character" w:customStyle="1" w:styleId="NICEnormalsinglespacingChar">
    <w:name w:val="NICE normal single spacing Char"/>
    <w:link w:val="NICEnormalsinglespacing"/>
    <w:rsid w:val="00190DE6"/>
    <w:rPr>
      <w:rFonts w:ascii="Arial" w:hAnsi="Arial"/>
      <w:sz w:val="24"/>
      <w:szCs w:val="24"/>
      <w:lang w:val="en-US" w:eastAsia="en-US"/>
    </w:rPr>
  </w:style>
  <w:style w:type="paragraph" w:styleId="Title">
    <w:name w:val="Title"/>
    <w:basedOn w:val="Normal"/>
    <w:next w:val="NICEnormal"/>
    <w:qFormat/>
    <w:rsid w:val="00BB047B"/>
    <w:pPr>
      <w:keepNext/>
      <w:spacing w:before="240" w:after="240"/>
      <w:jc w:val="center"/>
      <w:outlineLvl w:val="0"/>
    </w:pPr>
    <w:rPr>
      <w:rFonts w:ascii="Arial" w:hAnsi="Arial" w:cs="Arial"/>
      <w:b/>
      <w:bCs/>
      <w:kern w:val="28"/>
      <w:sz w:val="40"/>
      <w:szCs w:val="32"/>
    </w:rPr>
  </w:style>
  <w:style w:type="paragraph" w:customStyle="1" w:styleId="Introtext">
    <w:name w:val="Intro text"/>
    <w:basedOn w:val="NICEnormalsinglespacing"/>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C51429"/>
    <w:pPr>
      <w:numPr>
        <w:numId w:val="8"/>
      </w:numPr>
    </w:pPr>
    <w:rPr>
      <w:rFonts w:cs="Times New Roman"/>
      <w:szCs w:val="24"/>
    </w:rPr>
  </w:style>
  <w:style w:type="character" w:customStyle="1" w:styleId="Numberedheading1CharChar">
    <w:name w:val="Numbered heading 1 Char Char"/>
    <w:link w:val="Numberedheading1"/>
    <w:rsid w:val="00C51429"/>
    <w:rPr>
      <w:rFonts w:ascii="Arial" w:hAnsi="Arial"/>
      <w:b/>
      <w:bCs/>
      <w:kern w:val="32"/>
      <w:sz w:val="32"/>
      <w:szCs w:val="24"/>
      <w:lang w:val="en-US" w:eastAsia="en-US"/>
    </w:rPr>
  </w:style>
  <w:style w:type="paragraph" w:customStyle="1" w:styleId="Numberedheading2">
    <w:name w:val="Numbered heading 2"/>
    <w:basedOn w:val="Heading2"/>
    <w:next w:val="NICEnormal"/>
    <w:link w:val="Numberedheading2Char"/>
    <w:rsid w:val="00C51429"/>
    <w:pPr>
      <w:numPr>
        <w:ilvl w:val="1"/>
        <w:numId w:val="8"/>
      </w:numPr>
    </w:pPr>
    <w:rPr>
      <w:b w:val="0"/>
      <w:bCs w:val="0"/>
      <w:i w:val="0"/>
      <w:iCs w:val="0"/>
    </w:rPr>
  </w:style>
  <w:style w:type="character" w:customStyle="1" w:styleId="Numberedheading2Char">
    <w:name w:val="Numbered heading 2 Char"/>
    <w:link w:val="Numberedheading2"/>
    <w:rsid w:val="00D37703"/>
    <w:rPr>
      <w:rFonts w:ascii="Arial" w:hAnsi="Arial" w:cs="Arial"/>
      <w:sz w:val="28"/>
      <w:szCs w:val="28"/>
      <w:lang w:val="en-US" w:eastAsia="en-US"/>
    </w:rPr>
  </w:style>
  <w:style w:type="paragraph" w:customStyle="1" w:styleId="Numberedheading3">
    <w:name w:val="Numbered heading 3"/>
    <w:basedOn w:val="Heading3"/>
    <w:next w:val="NICEnormal"/>
    <w:rsid w:val="00C51429"/>
    <w:pPr>
      <w:numPr>
        <w:ilvl w:val="2"/>
        <w:numId w:val="8"/>
      </w:numPr>
    </w:pPr>
    <w:rPr>
      <w:sz w:val="26"/>
    </w:rPr>
  </w:style>
  <w:style w:type="paragraph" w:customStyle="1" w:styleId="Numberedlevel4text">
    <w:name w:val="Numbered level 4 text"/>
    <w:basedOn w:val="NICEnormal"/>
    <w:next w:val="NICEnormal"/>
    <w:rsid w:val="0092657D"/>
    <w:pPr>
      <w:numPr>
        <w:ilvl w:val="3"/>
        <w:numId w:val="8"/>
      </w:numPr>
    </w:pPr>
  </w:style>
  <w:style w:type="paragraph" w:customStyle="1" w:styleId="Numberedlevel3text">
    <w:name w:val="Numbered level 3 text"/>
    <w:basedOn w:val="Numberedheading3"/>
    <w:rsid w:val="003A72CF"/>
    <w:pPr>
      <w:keepNext w:val="0"/>
      <w:spacing w:before="0" w:after="240"/>
      <w:outlineLvl w:val="9"/>
    </w:pPr>
    <w:rPr>
      <w:b w:val="0"/>
      <w:sz w:val="24"/>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Bulletleft1">
    <w:name w:val="Bullet left 1"/>
    <w:basedOn w:val="NICEnormal"/>
    <w:rsid w:val="00D37F25"/>
    <w:pPr>
      <w:numPr>
        <w:numId w:val="7"/>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rsid w:val="00D3612A"/>
    <w:pPr>
      <w:numPr>
        <w:numId w:val="6"/>
      </w:numPr>
      <w:spacing w:after="0"/>
    </w:p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umberedheading2"/>
    <w:link w:val="Numberedlevel2textChar"/>
    <w:rsid w:val="003A72CF"/>
    <w:pPr>
      <w:keepNext w:val="0"/>
      <w:spacing w:before="0" w:after="240"/>
      <w:outlineLvl w:val="9"/>
    </w:pPr>
    <w:rPr>
      <w:sz w:val="24"/>
    </w:rPr>
  </w:style>
  <w:style w:type="character" w:customStyle="1" w:styleId="Numberedlevel2textChar">
    <w:name w:val="Numbered level 2 text Char"/>
    <w:link w:val="Numberedlevel2text"/>
    <w:rsid w:val="00677CA3"/>
    <w:rPr>
      <w:rFonts w:ascii="Arial" w:hAnsi="Arial" w:cs="Arial"/>
      <w:sz w:val="24"/>
      <w:szCs w:val="28"/>
      <w:lang w:val="en-US" w:eastAsia="en-US"/>
    </w:rPr>
  </w:style>
  <w:style w:type="paragraph" w:customStyle="1" w:styleId="Bulletleft1last">
    <w:name w:val="Bullet left 1 last"/>
    <w:basedOn w:val="NICEnormal"/>
    <w:rsid w:val="00953ADF"/>
    <w:pPr>
      <w:numPr>
        <w:numId w:val="9"/>
      </w:numPr>
    </w:pPr>
    <w:rPr>
      <w:rFonts w:cs="Arial"/>
    </w:r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rsid w:val="00190DE6"/>
    <w:pPr>
      <w:tabs>
        <w:tab w:val="center" w:pos="4153"/>
        <w:tab w:val="right" w:pos="8306"/>
      </w:tabs>
    </w:pPr>
    <w:rPr>
      <w:sz w:val="20"/>
    </w:r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10"/>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customStyle="1" w:styleId="Tabletext">
    <w:name w:val="Table text"/>
    <w:basedOn w:val="NICEnormalsinglespacing"/>
    <w:rsid w:val="00BD0372"/>
    <w:pPr>
      <w:keepNext/>
      <w:spacing w:after="60"/>
    </w:pPr>
    <w:rPr>
      <w:sz w:val="22"/>
    </w:rPr>
  </w:style>
  <w:style w:type="paragraph" w:customStyle="1" w:styleId="Introtextbullet">
    <w:name w:val="Intro text bullet"/>
    <w:basedOn w:val="Introtext"/>
    <w:rsid w:val="00E0748A"/>
    <w:pPr>
      <w:numPr>
        <w:numId w:val="21"/>
      </w:numPr>
    </w:pPr>
  </w:style>
  <w:style w:type="paragraph" w:customStyle="1" w:styleId="Title1">
    <w:name w:val="Title 1"/>
    <w:basedOn w:val="Title"/>
    <w:qFormat/>
    <w:rsid w:val="003A72CF"/>
  </w:style>
  <w:style w:type="paragraph" w:customStyle="1" w:styleId="Title2">
    <w:name w:val="Title 2"/>
    <w:basedOn w:val="Normal"/>
    <w:qFormat/>
    <w:rsid w:val="003A72CF"/>
    <w:pPr>
      <w:keepNext/>
      <w:spacing w:before="240" w:after="240"/>
      <w:jc w:val="center"/>
      <w:outlineLvl w:val="0"/>
    </w:pPr>
    <w:rPr>
      <w:rFonts w:ascii="Arial" w:hAnsi="Arial" w:cs="Arial"/>
      <w:b/>
      <w:bCs/>
      <w:kern w:val="28"/>
      <w:sz w:val="32"/>
      <w:szCs w:val="32"/>
    </w:rPr>
  </w:style>
  <w:style w:type="paragraph" w:customStyle="1" w:styleId="Guidanceissuedate">
    <w:name w:val="Guidance issue date"/>
    <w:basedOn w:val="NICEnormal"/>
    <w:qFormat/>
    <w:rsid w:val="003A72CF"/>
  </w:style>
  <w:style w:type="paragraph" w:customStyle="1" w:styleId="Documentissuedate">
    <w:name w:val="Document issue date"/>
    <w:basedOn w:val="NICEnormal"/>
    <w:qFormat/>
    <w:rsid w:val="003A72CF"/>
  </w:style>
  <w:style w:type="character" w:styleId="Hyperlink">
    <w:name w:val="Hyperlink"/>
    <w:rsid w:val="007F49BA"/>
    <w:rPr>
      <w:color w:val="0000FF"/>
      <w:u w:val="single"/>
    </w:rPr>
  </w:style>
  <w:style w:type="character" w:styleId="CommentReference">
    <w:name w:val="annotation reference"/>
    <w:rsid w:val="00190DE6"/>
    <w:rPr>
      <w:sz w:val="16"/>
      <w:szCs w:val="16"/>
    </w:rPr>
  </w:style>
  <w:style w:type="paragraph" w:styleId="CommentText">
    <w:name w:val="annotation text"/>
    <w:basedOn w:val="Normal"/>
    <w:link w:val="CommentTextChar"/>
    <w:rsid w:val="00190DE6"/>
    <w:rPr>
      <w:sz w:val="20"/>
      <w:szCs w:val="20"/>
    </w:rPr>
  </w:style>
  <w:style w:type="character" w:customStyle="1" w:styleId="CommentTextChar">
    <w:name w:val="Comment Text Char"/>
    <w:link w:val="CommentText"/>
    <w:rsid w:val="00190DE6"/>
    <w:rPr>
      <w:lang w:eastAsia="en-US"/>
    </w:rPr>
  </w:style>
  <w:style w:type="paragraph" w:styleId="CommentSubject">
    <w:name w:val="annotation subject"/>
    <w:basedOn w:val="CommentText"/>
    <w:next w:val="CommentText"/>
    <w:link w:val="CommentSubjectChar"/>
    <w:rsid w:val="00190DE6"/>
    <w:rPr>
      <w:b/>
      <w:bCs/>
    </w:rPr>
  </w:style>
  <w:style w:type="character" w:customStyle="1" w:styleId="CommentSubjectChar">
    <w:name w:val="Comment Subject Char"/>
    <w:link w:val="CommentSubject"/>
    <w:rsid w:val="00190DE6"/>
    <w:rPr>
      <w:b/>
      <w:bCs/>
      <w:lang w:eastAsia="en-US"/>
    </w:rPr>
  </w:style>
  <w:style w:type="paragraph" w:styleId="BalloonText">
    <w:name w:val="Balloon Text"/>
    <w:basedOn w:val="Normal"/>
    <w:link w:val="BalloonTextChar"/>
    <w:rsid w:val="00190DE6"/>
    <w:rPr>
      <w:rFonts w:ascii="Tahoma" w:hAnsi="Tahoma"/>
      <w:sz w:val="16"/>
      <w:szCs w:val="16"/>
    </w:rPr>
  </w:style>
  <w:style w:type="character" w:customStyle="1" w:styleId="BalloonTextChar">
    <w:name w:val="Balloon Text Char"/>
    <w:link w:val="BalloonText"/>
    <w:rsid w:val="00190DE6"/>
    <w:rPr>
      <w:rFonts w:ascii="Tahoma" w:hAnsi="Tahoma" w:cs="Tahoma"/>
      <w:sz w:val="16"/>
      <w:szCs w:val="16"/>
      <w:lang w:eastAsia="en-US"/>
    </w:rPr>
  </w:style>
  <w:style w:type="paragraph" w:customStyle="1" w:styleId="NICEnormalbold">
    <w:name w:val="NICE normal bold"/>
    <w:basedOn w:val="NICEnormal"/>
    <w:qFormat/>
    <w:rsid w:val="00E20D4C"/>
    <w:pPr>
      <w:keepNext/>
      <w:spacing w:after="120" w:line="240" w:lineRule="auto"/>
    </w:pPr>
    <w:rPr>
      <w:b/>
      <w:noProof/>
    </w:rPr>
  </w:style>
  <w:style w:type="character" w:styleId="FollowedHyperlink">
    <w:name w:val="FollowedHyperlink"/>
    <w:rsid w:val="00D025E4"/>
    <w:rPr>
      <w:color w:val="800080"/>
      <w:u w:val="single"/>
    </w:rPr>
  </w:style>
  <w:style w:type="table" w:styleId="TableGrid">
    <w:name w:val="Table Grid"/>
    <w:basedOn w:val="TableNormal"/>
    <w:rsid w:val="00312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6ptleft">
    <w:name w:val="Title 16 pt left"/>
    <w:basedOn w:val="Normal"/>
    <w:rsid w:val="00026587"/>
    <w:pPr>
      <w:keepNext/>
      <w:spacing w:before="240" w:after="240"/>
      <w:outlineLvl w:val="0"/>
    </w:pPr>
    <w:rPr>
      <w:rFonts w:ascii="Arial" w:hAnsi="Arial" w:cs="Arial"/>
      <w:b/>
      <w:bCs/>
      <w:kern w:val="28"/>
      <w:sz w:val="32"/>
      <w:szCs w:val="32"/>
    </w:rPr>
  </w:style>
  <w:style w:type="paragraph" w:styleId="ListParagraph">
    <w:name w:val="List Paragraph"/>
    <w:basedOn w:val="Normal"/>
    <w:uiPriority w:val="34"/>
    <w:qFormat/>
    <w:rsid w:val="00C87E68"/>
    <w:pPr>
      <w:ind w:left="720"/>
      <w:contextualSpacing/>
    </w:pPr>
  </w:style>
  <w:style w:type="paragraph" w:styleId="Revision">
    <w:name w:val="Revision"/>
    <w:hidden/>
    <w:uiPriority w:val="99"/>
    <w:semiHidden/>
    <w:rsid w:val="002661E4"/>
    <w:rPr>
      <w:sz w:val="24"/>
      <w:szCs w:val="24"/>
      <w:lang w:eastAsia="en-US"/>
    </w:rPr>
  </w:style>
  <w:style w:type="character" w:customStyle="1" w:styleId="Heading3Char">
    <w:name w:val="Heading 3 Char"/>
    <w:basedOn w:val="DefaultParagraphFont"/>
    <w:link w:val="Heading3"/>
    <w:uiPriority w:val="9"/>
    <w:rsid w:val="00AE1163"/>
    <w:rPr>
      <w:rFonts w:ascii="Arial" w:hAnsi="Arial" w:cs="Arial"/>
      <w:b/>
      <w:bCs/>
      <w:sz w:val="24"/>
      <w:szCs w:val="24"/>
      <w:lang w:eastAsia="en-US"/>
    </w:rPr>
  </w:style>
  <w:style w:type="paragraph" w:styleId="NormalWeb">
    <w:name w:val="Normal (Web)"/>
    <w:basedOn w:val="Normal"/>
    <w:uiPriority w:val="99"/>
    <w:semiHidden/>
    <w:unhideWhenUsed/>
    <w:rsid w:val="00AE1163"/>
    <w:pPr>
      <w:spacing w:after="180"/>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171760">
      <w:bodyDiv w:val="1"/>
      <w:marLeft w:val="0"/>
      <w:marRight w:val="0"/>
      <w:marTop w:val="0"/>
      <w:marBottom w:val="0"/>
      <w:divBdr>
        <w:top w:val="none" w:sz="0" w:space="0" w:color="auto"/>
        <w:left w:val="none" w:sz="0" w:space="0" w:color="auto"/>
        <w:bottom w:val="none" w:sz="0" w:space="0" w:color="auto"/>
        <w:right w:val="none" w:sz="0" w:space="0" w:color="auto"/>
      </w:divBdr>
      <w:divsChild>
        <w:div w:id="1446120649">
          <w:marLeft w:val="0"/>
          <w:marRight w:val="0"/>
          <w:marTop w:val="0"/>
          <w:marBottom w:val="0"/>
          <w:divBdr>
            <w:top w:val="none" w:sz="0" w:space="0" w:color="auto"/>
            <w:left w:val="none" w:sz="0" w:space="0" w:color="auto"/>
            <w:bottom w:val="none" w:sz="0" w:space="0" w:color="auto"/>
            <w:right w:val="none" w:sz="0" w:space="0" w:color="auto"/>
          </w:divBdr>
          <w:divsChild>
            <w:div w:id="1217937595">
              <w:marLeft w:val="0"/>
              <w:marRight w:val="0"/>
              <w:marTop w:val="0"/>
              <w:marBottom w:val="0"/>
              <w:divBdr>
                <w:top w:val="none" w:sz="0" w:space="0" w:color="auto"/>
                <w:left w:val="none" w:sz="0" w:space="0" w:color="auto"/>
                <w:bottom w:val="none" w:sz="0" w:space="0" w:color="auto"/>
                <w:right w:val="none" w:sz="0" w:space="0" w:color="auto"/>
              </w:divBdr>
              <w:divsChild>
                <w:div w:id="1567498498">
                  <w:marLeft w:val="0"/>
                  <w:marRight w:val="0"/>
                  <w:marTop w:val="0"/>
                  <w:marBottom w:val="0"/>
                  <w:divBdr>
                    <w:top w:val="none" w:sz="0" w:space="0" w:color="auto"/>
                    <w:left w:val="none" w:sz="0" w:space="0" w:color="auto"/>
                    <w:bottom w:val="none" w:sz="0" w:space="0" w:color="auto"/>
                    <w:right w:val="none" w:sz="0" w:space="0" w:color="auto"/>
                  </w:divBdr>
                  <w:divsChild>
                    <w:div w:id="1569995569">
                      <w:marLeft w:val="0"/>
                      <w:marRight w:val="0"/>
                      <w:marTop w:val="0"/>
                      <w:marBottom w:val="0"/>
                      <w:divBdr>
                        <w:top w:val="none" w:sz="0" w:space="0" w:color="auto"/>
                        <w:left w:val="none" w:sz="0" w:space="0" w:color="auto"/>
                        <w:bottom w:val="none" w:sz="0" w:space="0" w:color="auto"/>
                        <w:right w:val="none" w:sz="0" w:space="0" w:color="auto"/>
                      </w:divBdr>
                      <w:divsChild>
                        <w:div w:id="2008557266">
                          <w:marLeft w:val="0"/>
                          <w:marRight w:val="0"/>
                          <w:marTop w:val="0"/>
                          <w:marBottom w:val="0"/>
                          <w:divBdr>
                            <w:top w:val="none" w:sz="0" w:space="0" w:color="auto"/>
                            <w:left w:val="none" w:sz="0" w:space="0" w:color="auto"/>
                            <w:bottom w:val="none" w:sz="0" w:space="0" w:color="auto"/>
                            <w:right w:val="none" w:sz="0" w:space="0" w:color="auto"/>
                          </w:divBdr>
                          <w:divsChild>
                            <w:div w:id="581063529">
                              <w:marLeft w:val="0"/>
                              <w:marRight w:val="0"/>
                              <w:marTop w:val="0"/>
                              <w:marBottom w:val="0"/>
                              <w:divBdr>
                                <w:top w:val="none" w:sz="0" w:space="0" w:color="auto"/>
                                <w:left w:val="none" w:sz="0" w:space="0" w:color="auto"/>
                                <w:bottom w:val="none" w:sz="0" w:space="0" w:color="auto"/>
                                <w:right w:val="none" w:sz="0" w:space="0" w:color="auto"/>
                              </w:divBdr>
                              <w:divsChild>
                                <w:div w:id="1071654735">
                                  <w:marLeft w:val="360"/>
                                  <w:marRight w:val="360"/>
                                  <w:marTop w:val="0"/>
                                  <w:marBottom w:val="0"/>
                                  <w:divBdr>
                                    <w:top w:val="none" w:sz="0" w:space="0" w:color="auto"/>
                                    <w:left w:val="none" w:sz="0" w:space="0" w:color="auto"/>
                                    <w:bottom w:val="none" w:sz="0" w:space="0" w:color="auto"/>
                                    <w:right w:val="none" w:sz="0" w:space="0" w:color="auto"/>
                                  </w:divBdr>
                                  <w:divsChild>
                                    <w:div w:id="452555982">
                                      <w:marLeft w:val="0"/>
                                      <w:marRight w:val="0"/>
                                      <w:marTop w:val="0"/>
                                      <w:marBottom w:val="0"/>
                                      <w:divBdr>
                                        <w:top w:val="none" w:sz="0" w:space="0" w:color="auto"/>
                                        <w:left w:val="none" w:sz="0" w:space="0" w:color="auto"/>
                                        <w:bottom w:val="none" w:sz="0" w:space="0" w:color="auto"/>
                                        <w:right w:val="none" w:sz="0" w:space="0" w:color="auto"/>
                                      </w:divBdr>
                                      <w:divsChild>
                                        <w:div w:id="1406218854">
                                          <w:marLeft w:val="0"/>
                                          <w:marRight w:val="0"/>
                                          <w:marTop w:val="0"/>
                                          <w:marBottom w:val="0"/>
                                          <w:divBdr>
                                            <w:top w:val="none" w:sz="0" w:space="0" w:color="auto"/>
                                            <w:left w:val="none" w:sz="0" w:space="0" w:color="auto"/>
                                            <w:bottom w:val="none" w:sz="0" w:space="0" w:color="auto"/>
                                            <w:right w:val="none" w:sz="0" w:space="0" w:color="auto"/>
                                          </w:divBdr>
                                          <w:divsChild>
                                            <w:div w:id="138629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ngland.nhs.uk/commissioning/spec-services/npc-crg/blood-and-infection-group-f/f05/"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www.england.nhs.uk/commissioning/spec-services/npc-crg/blood-and-infection-group-f/f0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ice.org.uk/guidance/cg143" TargetMode="External"/><Relationship Id="rId5" Type="http://schemas.openxmlformats.org/officeDocument/2006/relationships/settings" Target="settings.xml"/><Relationship Id="rId15" Type="http://schemas.openxmlformats.org/officeDocument/2006/relationships/hyperlink" Target="http://www.nice.org.uk/" TargetMode="External"/><Relationship Id="rId10" Type="http://schemas.openxmlformats.org/officeDocument/2006/relationships/hyperlink" Target="https://www.nice.org.uk/About/What-we-do/Our-Programmes/NICE-guidance/NICE-medical-technologies-guidance" TargetMode="External"/><Relationship Id="rId4" Type="http://schemas.microsoft.com/office/2007/relationships/stylesWithEffects" Target="stylesWithEffects.xml"/><Relationship Id="rId9" Type="http://schemas.openxmlformats.org/officeDocument/2006/relationships/hyperlink" Target="https://www.nice.org.uk/About/What-we-do/Our-Programmes/NICE-guidance/NICE-medical-technologies-guidance" TargetMode="External"/><Relationship Id="rId14" Type="http://schemas.openxmlformats.org/officeDocument/2006/relationships/hyperlink" Target="https://www.nice.org.uk/About/What-we-do/Our-Programmes/NICE-guidance/NICE-medical-technologies-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AF80B-C747-44F4-B6FB-426E1AADC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1E7938EC</Template>
  <TotalTime>0</TotalTime>
  <Pages>37</Pages>
  <Words>8624</Words>
  <Characters>49158</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[Guidance title], NICE medical technology guidance XX</vt:lpstr>
    </vt:vector>
  </TitlesOfParts>
  <Company>Happy</Company>
  <LinksUpToDate>false</LinksUpToDate>
  <CharactersWithSpaces>57667</CharactersWithSpaces>
  <SharedDoc>false</SharedDoc>
  <HLinks>
    <vt:vector size="24" baseType="variant">
      <vt:variant>
        <vt:i4>4128801</vt:i4>
      </vt:variant>
      <vt:variant>
        <vt:i4>147</vt:i4>
      </vt:variant>
      <vt:variant>
        <vt:i4>0</vt:i4>
      </vt:variant>
      <vt:variant>
        <vt:i4>5</vt:i4>
      </vt:variant>
      <vt:variant>
        <vt:lpwstr>http://www.nice.org.uk/</vt:lpwstr>
      </vt:variant>
      <vt:variant>
        <vt:lpwstr/>
      </vt:variant>
      <vt:variant>
        <vt:i4>5570632</vt:i4>
      </vt:variant>
      <vt:variant>
        <vt:i4>135</vt:i4>
      </vt:variant>
      <vt:variant>
        <vt:i4>0</vt:i4>
      </vt:variant>
      <vt:variant>
        <vt:i4>5</vt:i4>
      </vt:variant>
      <vt:variant>
        <vt:lpwstr>https://www.nice.org.uk/About/What-we-do/Our-Programmes/NICE-guidance/NICE-medical-technologies-guidance</vt:lpwstr>
      </vt:variant>
      <vt:variant>
        <vt:lpwstr/>
      </vt:variant>
      <vt:variant>
        <vt:i4>5570632</vt:i4>
      </vt:variant>
      <vt:variant>
        <vt:i4>12</vt:i4>
      </vt:variant>
      <vt:variant>
        <vt:i4>0</vt:i4>
      </vt:variant>
      <vt:variant>
        <vt:i4>5</vt:i4>
      </vt:variant>
      <vt:variant>
        <vt:lpwstr>https://www.nice.org.uk/About/What-we-do/Our-Programmes/NICE-guidance/NICE-medical-technologies-guidance</vt:lpwstr>
      </vt:variant>
      <vt:variant>
        <vt:lpwstr/>
      </vt:variant>
      <vt:variant>
        <vt:i4>5570632</vt:i4>
      </vt:variant>
      <vt:variant>
        <vt:i4>9</vt:i4>
      </vt:variant>
      <vt:variant>
        <vt:i4>0</vt:i4>
      </vt:variant>
      <vt:variant>
        <vt:i4>5</vt:i4>
      </vt:variant>
      <vt:variant>
        <vt:lpwstr>https://www.nice.org.uk/About/What-we-do/Our-Programmes/NICE-guidance/NICE-medical-technologies-guidance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title], NICE medical technology guidance XX</dc:title>
  <dc:creator>Kimberley Carter</dc:creator>
  <cp:lastModifiedBy>Joanne Heaney</cp:lastModifiedBy>
  <cp:revision>2</cp:revision>
  <cp:lastPrinted>2015-09-28T11:05:00Z</cp:lastPrinted>
  <dcterms:created xsi:type="dcterms:W3CDTF">2015-10-15T14:11:00Z</dcterms:created>
  <dcterms:modified xsi:type="dcterms:W3CDTF">2015-10-15T14:11:00Z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-1184817517</vt:i4>
  </property>
</Properties>
</file>