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8B44B" w14:textId="77777777" w:rsidR="007F5D9E" w:rsidRPr="0072045E" w:rsidRDefault="00174B27" w:rsidP="007A149F">
      <w:pPr>
        <w:spacing w:line="276" w:lineRule="auto"/>
        <w:jc w:val="center"/>
        <w:rPr>
          <w:rFonts w:ascii="Arial" w:hAnsi="Arial" w:cs="Arial"/>
          <w:b/>
        </w:rPr>
      </w:pPr>
      <w:bookmarkStart w:id="0" w:name="_Hlk57726275"/>
      <w:bookmarkEnd w:id="0"/>
      <w:r w:rsidRPr="0072045E">
        <w:rPr>
          <w:rFonts w:ascii="Arial" w:hAnsi="Arial" w:cs="Arial"/>
          <w:noProof/>
        </w:rPr>
        <w:drawing>
          <wp:anchor distT="0" distB="0" distL="114300" distR="114300" simplePos="0" relativeHeight="251657728" behindDoc="1" locked="0" layoutInCell="1" allowOverlap="1" wp14:anchorId="33DECCE5" wp14:editId="05672BC3">
            <wp:simplePos x="0" y="0"/>
            <wp:positionH relativeFrom="margin">
              <wp:posOffset>-737870</wp:posOffset>
            </wp:positionH>
            <wp:positionV relativeFrom="margin">
              <wp:posOffset>-640715</wp:posOffset>
            </wp:positionV>
            <wp:extent cx="2715260" cy="269240"/>
            <wp:effectExtent l="0" t="0" r="8890" b="0"/>
            <wp:wrapTight wrapText="bothSides">
              <wp:wrapPolygon edited="0">
                <wp:start x="0" y="0"/>
                <wp:lineTo x="0" y="19868"/>
                <wp:lineTo x="21519" y="19868"/>
                <wp:lineTo x="21519" y="12226"/>
                <wp:lineTo x="16821"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D9E" w:rsidRPr="0072045E">
        <w:rPr>
          <w:rFonts w:ascii="Arial" w:hAnsi="Arial" w:cs="Arial"/>
          <w:b/>
        </w:rPr>
        <w:t xml:space="preserve">NATIONAL INSTITUTE FOR HEALTH AND </w:t>
      </w:r>
      <w:r w:rsidR="00F423C6" w:rsidRPr="0072045E">
        <w:rPr>
          <w:rFonts w:ascii="Arial" w:hAnsi="Arial" w:cs="Arial"/>
          <w:b/>
        </w:rPr>
        <w:t>CARE</w:t>
      </w:r>
      <w:r w:rsidR="007F5D9E" w:rsidRPr="0072045E">
        <w:rPr>
          <w:rFonts w:ascii="Arial" w:hAnsi="Arial" w:cs="Arial"/>
          <w:b/>
        </w:rPr>
        <w:t xml:space="preserve"> EXCELLENCE</w:t>
      </w:r>
    </w:p>
    <w:p w14:paraId="40698281" w14:textId="77777777" w:rsidR="00DA563D" w:rsidRPr="0072045E" w:rsidRDefault="00DA563D" w:rsidP="007A149F">
      <w:pPr>
        <w:spacing w:line="276" w:lineRule="auto"/>
        <w:jc w:val="center"/>
        <w:rPr>
          <w:rFonts w:ascii="Arial" w:hAnsi="Arial" w:cs="Arial"/>
          <w:b/>
        </w:rPr>
      </w:pPr>
    </w:p>
    <w:p w14:paraId="2AC05FDD" w14:textId="77777777" w:rsidR="007F5D9E" w:rsidRPr="0072045E" w:rsidRDefault="007F5D9E" w:rsidP="007A149F">
      <w:pPr>
        <w:spacing w:after="360" w:line="276" w:lineRule="auto"/>
        <w:jc w:val="center"/>
        <w:rPr>
          <w:rFonts w:ascii="Arial" w:hAnsi="Arial" w:cs="Arial"/>
          <w:b/>
        </w:rPr>
      </w:pPr>
      <w:r w:rsidRPr="0072045E">
        <w:rPr>
          <w:rFonts w:ascii="Arial" w:hAnsi="Arial" w:cs="Arial"/>
          <w:b/>
        </w:rPr>
        <w:t>Diagnostics Assessment Programme</w:t>
      </w:r>
    </w:p>
    <w:p w14:paraId="312A6253" w14:textId="4B5C0B3C" w:rsidR="007F5D9E" w:rsidRPr="0072045E" w:rsidRDefault="00D21575" w:rsidP="007A149F">
      <w:pPr>
        <w:spacing w:after="120" w:line="276" w:lineRule="auto"/>
        <w:jc w:val="center"/>
        <w:rPr>
          <w:rFonts w:ascii="Arial" w:hAnsi="Arial" w:cs="Arial"/>
          <w:b/>
        </w:rPr>
      </w:pPr>
      <w:proofErr w:type="spellStart"/>
      <w:r w:rsidRPr="0072045E">
        <w:rPr>
          <w:rFonts w:ascii="Arial" w:hAnsi="Arial" w:cs="Arial"/>
          <w:b/>
        </w:rPr>
        <w:t>EarlyCDT</w:t>
      </w:r>
      <w:proofErr w:type="spellEnd"/>
      <w:r w:rsidR="00116938" w:rsidRPr="0072045E">
        <w:rPr>
          <w:rFonts w:ascii="Arial" w:hAnsi="Arial" w:cs="Arial"/>
          <w:b/>
        </w:rPr>
        <w:t xml:space="preserve"> </w:t>
      </w:r>
      <w:r w:rsidRPr="0072045E">
        <w:rPr>
          <w:rFonts w:ascii="Arial" w:hAnsi="Arial" w:cs="Arial"/>
          <w:b/>
        </w:rPr>
        <w:t xml:space="preserve">Lung for lung cancer risk classification of </w:t>
      </w:r>
      <w:r w:rsidR="00FA6717">
        <w:rPr>
          <w:rFonts w:ascii="Arial" w:hAnsi="Arial" w:cs="Arial"/>
          <w:b/>
        </w:rPr>
        <w:t xml:space="preserve">solid </w:t>
      </w:r>
      <w:r w:rsidR="001E13BD" w:rsidRPr="0072045E">
        <w:rPr>
          <w:rFonts w:ascii="Arial" w:hAnsi="Arial" w:cs="Arial"/>
          <w:b/>
        </w:rPr>
        <w:t xml:space="preserve">pulmonary nodules </w:t>
      </w:r>
    </w:p>
    <w:p w14:paraId="420AD71B" w14:textId="1D7FD005" w:rsidR="007F5D9E" w:rsidRPr="0072045E" w:rsidRDefault="00476175" w:rsidP="007A149F">
      <w:pPr>
        <w:spacing w:after="120" w:line="276" w:lineRule="auto"/>
        <w:jc w:val="center"/>
        <w:rPr>
          <w:rFonts w:ascii="Arial" w:hAnsi="Arial" w:cs="Arial"/>
          <w:b/>
        </w:rPr>
      </w:pPr>
      <w:r>
        <w:rPr>
          <w:rFonts w:ascii="Arial" w:hAnsi="Arial" w:cs="Arial"/>
          <w:b/>
        </w:rPr>
        <w:t>Final</w:t>
      </w:r>
      <w:r w:rsidRPr="0072045E">
        <w:rPr>
          <w:rFonts w:ascii="Arial" w:hAnsi="Arial" w:cs="Arial"/>
          <w:b/>
        </w:rPr>
        <w:t xml:space="preserve"> </w:t>
      </w:r>
      <w:r w:rsidR="00247DE0" w:rsidRPr="0072045E">
        <w:rPr>
          <w:rFonts w:ascii="Arial" w:hAnsi="Arial" w:cs="Arial"/>
          <w:b/>
        </w:rPr>
        <w:t>s</w:t>
      </w:r>
      <w:r w:rsidR="007F5D9E" w:rsidRPr="0072045E">
        <w:rPr>
          <w:rFonts w:ascii="Arial" w:hAnsi="Arial" w:cs="Arial"/>
          <w:b/>
        </w:rPr>
        <w:t>cope</w:t>
      </w:r>
    </w:p>
    <w:p w14:paraId="34EAEF31" w14:textId="2FA059E8" w:rsidR="007F5D9E" w:rsidRPr="0072045E" w:rsidRDefault="00E61B7D" w:rsidP="007A149F">
      <w:pPr>
        <w:pStyle w:val="StyleParagraphnonumbersCentered"/>
        <w:spacing w:before="0" w:after="360"/>
        <w:rPr>
          <w:rFonts w:cs="Arial"/>
          <w:szCs w:val="24"/>
        </w:rPr>
      </w:pPr>
      <w:r w:rsidRPr="0072045E">
        <w:rPr>
          <w:rFonts w:cs="Arial"/>
          <w:szCs w:val="24"/>
        </w:rPr>
        <w:t>February</w:t>
      </w:r>
      <w:r w:rsidR="00D21575" w:rsidRPr="0072045E">
        <w:rPr>
          <w:rFonts w:cs="Arial"/>
          <w:szCs w:val="24"/>
        </w:rPr>
        <w:t xml:space="preserve"> </w:t>
      </w:r>
      <w:r w:rsidR="00E45D6D" w:rsidRPr="0072045E">
        <w:rPr>
          <w:rFonts w:cs="Arial"/>
          <w:szCs w:val="24"/>
        </w:rPr>
        <w:t>2021</w:t>
      </w:r>
    </w:p>
    <w:p w14:paraId="33E6F01C" w14:textId="77777777" w:rsidR="007F5D9E" w:rsidRPr="0072045E" w:rsidRDefault="007F5D9E" w:rsidP="007A149F">
      <w:pPr>
        <w:pStyle w:val="Heading2"/>
        <w:spacing w:line="276" w:lineRule="auto"/>
        <w:rPr>
          <w:rFonts w:cs="Arial"/>
          <w:sz w:val="24"/>
          <w:szCs w:val="24"/>
        </w:rPr>
      </w:pPr>
      <w:bookmarkStart w:id="1" w:name="_Toc286147859"/>
      <w:r w:rsidRPr="0072045E">
        <w:rPr>
          <w:rFonts w:cs="Arial"/>
          <w:sz w:val="24"/>
          <w:szCs w:val="24"/>
        </w:rPr>
        <w:t>Introduction</w:t>
      </w:r>
      <w:bookmarkEnd w:id="1"/>
    </w:p>
    <w:p w14:paraId="2126917C" w14:textId="1FB12788" w:rsidR="00954992" w:rsidRPr="0072045E" w:rsidRDefault="00820121" w:rsidP="007A149F">
      <w:pPr>
        <w:pStyle w:val="Paragraphnonumbers"/>
        <w:rPr>
          <w:rFonts w:cs="Arial"/>
        </w:rPr>
      </w:pPr>
      <w:r w:rsidRPr="0072045E">
        <w:rPr>
          <w:rFonts w:cs="Arial"/>
        </w:rPr>
        <w:t>The</w:t>
      </w:r>
      <w:r w:rsidR="00FA5E7B" w:rsidRPr="0072045E">
        <w:rPr>
          <w:rFonts w:cs="Arial"/>
        </w:rPr>
        <w:t xml:space="preserve"> </w:t>
      </w:r>
      <w:proofErr w:type="spellStart"/>
      <w:r w:rsidR="00FA5E7B" w:rsidRPr="0072045E">
        <w:rPr>
          <w:rFonts w:cs="Arial"/>
        </w:rPr>
        <w:t>EarlyCDT</w:t>
      </w:r>
      <w:proofErr w:type="spellEnd"/>
      <w:r w:rsidR="00FA5E7B" w:rsidRPr="0072045E">
        <w:rPr>
          <w:rFonts w:cs="Arial"/>
        </w:rPr>
        <w:t xml:space="preserve"> lung </w:t>
      </w:r>
      <w:r w:rsidRPr="0072045E">
        <w:rPr>
          <w:rFonts w:cs="Arial"/>
        </w:rPr>
        <w:t xml:space="preserve">is manufactured by </w:t>
      </w:r>
      <w:proofErr w:type="spellStart"/>
      <w:r w:rsidR="00FA5E7B" w:rsidRPr="0072045E">
        <w:rPr>
          <w:rFonts w:cs="Arial"/>
        </w:rPr>
        <w:t>Oncimmune</w:t>
      </w:r>
      <w:proofErr w:type="spellEnd"/>
      <w:r w:rsidRPr="0072045E">
        <w:rPr>
          <w:rFonts w:cs="Arial"/>
        </w:rPr>
        <w:t xml:space="preserve">. </w:t>
      </w:r>
      <w:r w:rsidR="00D21575" w:rsidRPr="0072045E">
        <w:rPr>
          <w:rFonts w:cs="Arial"/>
        </w:rPr>
        <w:t xml:space="preserve">The </w:t>
      </w:r>
      <w:r w:rsidRPr="0072045E">
        <w:rPr>
          <w:rFonts w:cs="Arial"/>
        </w:rPr>
        <w:t>t</w:t>
      </w:r>
      <w:r w:rsidR="006D2794" w:rsidRPr="0072045E">
        <w:rPr>
          <w:rFonts w:cs="Arial"/>
        </w:rPr>
        <w:t xml:space="preserve">opic </w:t>
      </w:r>
      <w:r w:rsidRPr="0072045E">
        <w:rPr>
          <w:rFonts w:cs="Arial"/>
        </w:rPr>
        <w:t>s</w:t>
      </w:r>
      <w:r w:rsidR="006D2794" w:rsidRPr="0072045E">
        <w:rPr>
          <w:rFonts w:cs="Arial"/>
        </w:rPr>
        <w:t xml:space="preserve">election </w:t>
      </w:r>
      <w:r w:rsidRPr="0072045E">
        <w:rPr>
          <w:rFonts w:cs="Arial"/>
        </w:rPr>
        <w:t>o</w:t>
      </w:r>
      <w:r w:rsidR="006D2794" w:rsidRPr="0072045E">
        <w:rPr>
          <w:rFonts w:cs="Arial"/>
        </w:rPr>
        <w:t xml:space="preserve">versight </w:t>
      </w:r>
      <w:r w:rsidRPr="0072045E">
        <w:rPr>
          <w:rFonts w:cs="Arial"/>
        </w:rPr>
        <w:t>p</w:t>
      </w:r>
      <w:r w:rsidR="006D2794" w:rsidRPr="0072045E">
        <w:rPr>
          <w:rFonts w:cs="Arial"/>
        </w:rPr>
        <w:t xml:space="preserve">anel </w:t>
      </w:r>
      <w:r w:rsidRPr="0072045E">
        <w:rPr>
          <w:rFonts w:cs="Arial"/>
        </w:rPr>
        <w:t xml:space="preserve">selected and routed </w:t>
      </w:r>
      <w:r w:rsidR="00D21575" w:rsidRPr="0072045E">
        <w:rPr>
          <w:rFonts w:cs="Arial"/>
        </w:rPr>
        <w:t>th</w:t>
      </w:r>
      <w:r w:rsidRPr="0072045E">
        <w:rPr>
          <w:rFonts w:cs="Arial"/>
        </w:rPr>
        <w:t>e</w:t>
      </w:r>
      <w:r w:rsidR="00D21575" w:rsidRPr="0072045E">
        <w:rPr>
          <w:rFonts w:cs="Arial"/>
        </w:rPr>
        <w:t xml:space="preserve"> </w:t>
      </w:r>
      <w:proofErr w:type="spellStart"/>
      <w:r w:rsidR="00D21575" w:rsidRPr="0072045E">
        <w:rPr>
          <w:rFonts w:cs="Arial"/>
        </w:rPr>
        <w:t>EarlyCDT</w:t>
      </w:r>
      <w:proofErr w:type="spellEnd"/>
      <w:r w:rsidR="00D21575" w:rsidRPr="0072045E">
        <w:rPr>
          <w:rFonts w:cs="Arial"/>
        </w:rPr>
        <w:t xml:space="preserve">-Lung </w:t>
      </w:r>
      <w:r w:rsidRPr="0072045E">
        <w:rPr>
          <w:rFonts w:cs="Arial"/>
        </w:rPr>
        <w:t>test for guidance development</w:t>
      </w:r>
      <w:r w:rsidR="00D21575" w:rsidRPr="0072045E">
        <w:rPr>
          <w:rFonts w:cs="Arial"/>
        </w:rPr>
        <w:t xml:space="preserve"> by the Diagnostics Assessment Programme </w:t>
      </w:r>
      <w:proofErr w:type="gramStart"/>
      <w:r w:rsidR="00D21575" w:rsidRPr="0072045E">
        <w:rPr>
          <w:rFonts w:cs="Arial"/>
        </w:rPr>
        <w:t>on the basis of</w:t>
      </w:r>
      <w:proofErr w:type="gramEnd"/>
      <w:r w:rsidR="00D21575" w:rsidRPr="0072045E">
        <w:rPr>
          <w:rFonts w:cs="Arial"/>
        </w:rPr>
        <w:t xml:space="preserve"> a </w:t>
      </w:r>
      <w:r w:rsidR="008852DD" w:rsidRPr="0072045E">
        <w:rPr>
          <w:rFonts w:cs="Arial"/>
        </w:rPr>
        <w:t>MedTech</w:t>
      </w:r>
      <w:r w:rsidR="00350BAA" w:rsidRPr="0072045E">
        <w:rPr>
          <w:rFonts w:cs="Arial"/>
        </w:rPr>
        <w:t xml:space="preserve"> innovation briefing</w:t>
      </w:r>
      <w:r w:rsidR="00954992" w:rsidRPr="0072045E">
        <w:rPr>
          <w:rFonts w:cs="Arial"/>
        </w:rPr>
        <w:t>.</w:t>
      </w:r>
      <w:r w:rsidR="000F1533" w:rsidRPr="000F1533">
        <w:t xml:space="preserve"> </w:t>
      </w:r>
      <w:r w:rsidR="000F1533" w:rsidRPr="000F1533">
        <w:rPr>
          <w:rFonts w:cs="Arial"/>
        </w:rPr>
        <w:t xml:space="preserve">The final scope was informed by discussions at the scoping workshop held on </w:t>
      </w:r>
      <w:r w:rsidR="001969D0">
        <w:rPr>
          <w:rFonts w:cs="Arial"/>
        </w:rPr>
        <w:t>19 January 2021</w:t>
      </w:r>
      <w:r w:rsidR="000F1533" w:rsidRPr="000F1533">
        <w:rPr>
          <w:rFonts w:cs="Arial"/>
        </w:rPr>
        <w:t xml:space="preserve"> and the assessment subgroup meeting held on </w:t>
      </w:r>
      <w:r w:rsidR="001969D0">
        <w:rPr>
          <w:rFonts w:cs="Arial"/>
        </w:rPr>
        <w:t>3 February 2021</w:t>
      </w:r>
      <w:r w:rsidR="000F1533">
        <w:rPr>
          <w:rFonts w:cs="Arial"/>
        </w:rPr>
        <w:t>.</w:t>
      </w:r>
    </w:p>
    <w:p w14:paraId="5FA81477" w14:textId="049E5A2D" w:rsidR="00247DE0" w:rsidRPr="0072045E" w:rsidRDefault="00171BED" w:rsidP="007A149F">
      <w:pPr>
        <w:pStyle w:val="Paragraphnonumbers"/>
        <w:rPr>
          <w:rFonts w:cs="Arial"/>
        </w:rPr>
      </w:pPr>
      <w:r w:rsidRPr="0072045E">
        <w:rPr>
          <w:rFonts w:cs="Arial"/>
        </w:rPr>
        <w:t xml:space="preserve">A glossary of terms and a list of abbreviations are provided in appendices </w:t>
      </w:r>
      <w:r w:rsidR="001969D0">
        <w:rPr>
          <w:rFonts w:cs="Arial"/>
        </w:rPr>
        <w:t>A</w:t>
      </w:r>
      <w:r w:rsidRPr="0072045E">
        <w:rPr>
          <w:rFonts w:cs="Arial"/>
        </w:rPr>
        <w:t xml:space="preserve"> and </w:t>
      </w:r>
      <w:r w:rsidR="001969D0">
        <w:rPr>
          <w:rFonts w:cs="Arial"/>
        </w:rPr>
        <w:t>B</w:t>
      </w:r>
      <w:r w:rsidRPr="0072045E">
        <w:rPr>
          <w:rFonts w:cs="Arial"/>
        </w:rPr>
        <w:t>.</w:t>
      </w:r>
    </w:p>
    <w:p w14:paraId="4E2611F0" w14:textId="4D867B0E" w:rsidR="007F5D9E" w:rsidRPr="0072045E" w:rsidRDefault="00101629" w:rsidP="007A149F">
      <w:pPr>
        <w:pStyle w:val="Heading2"/>
        <w:spacing w:line="276" w:lineRule="auto"/>
        <w:rPr>
          <w:rFonts w:cs="Arial"/>
          <w:sz w:val="24"/>
          <w:szCs w:val="24"/>
        </w:rPr>
      </w:pPr>
      <w:bookmarkStart w:id="2" w:name="_Toc286147860"/>
      <w:r w:rsidRPr="0072045E">
        <w:rPr>
          <w:rFonts w:cs="Arial"/>
          <w:sz w:val="24"/>
          <w:szCs w:val="24"/>
        </w:rPr>
        <w:t>Description of the technology</w:t>
      </w:r>
      <w:bookmarkEnd w:id="2"/>
    </w:p>
    <w:p w14:paraId="6A8330E2" w14:textId="317E951C" w:rsidR="00D21575" w:rsidRPr="0072045E" w:rsidRDefault="00D21575" w:rsidP="007A149F">
      <w:pPr>
        <w:pStyle w:val="Paragraphnonumbers"/>
        <w:rPr>
          <w:rFonts w:cs="Arial"/>
        </w:rPr>
      </w:pPr>
      <w:bookmarkStart w:id="3" w:name="_Ref275266199"/>
      <w:bookmarkStart w:id="4" w:name="_Ref275780456"/>
      <w:r w:rsidRPr="0072045E">
        <w:rPr>
          <w:rFonts w:cs="Arial"/>
        </w:rPr>
        <w:t xml:space="preserve">This section describes the properties of the diagnostic technology based on information provided to NICE </w:t>
      </w:r>
      <w:r w:rsidR="00820121" w:rsidRPr="0072045E">
        <w:rPr>
          <w:rFonts w:cs="Arial"/>
        </w:rPr>
        <w:t>from the manufacturers and on information available in the public domain</w:t>
      </w:r>
      <w:r w:rsidRPr="0072045E">
        <w:rPr>
          <w:rFonts w:cs="Arial"/>
        </w:rPr>
        <w:t>. NICE has not carried out an independent evaluation of this description.</w:t>
      </w:r>
    </w:p>
    <w:p w14:paraId="0EA9AD1D" w14:textId="5840C7AA" w:rsidR="00D73313" w:rsidRPr="0072045E" w:rsidRDefault="009B4A8A" w:rsidP="007A149F">
      <w:pPr>
        <w:pStyle w:val="Heading3"/>
        <w:spacing w:line="276" w:lineRule="auto"/>
        <w:rPr>
          <w:rFonts w:cs="Arial"/>
          <w:szCs w:val="24"/>
        </w:rPr>
      </w:pPr>
      <w:bookmarkStart w:id="5" w:name="_Toc286147861"/>
      <w:r w:rsidRPr="0072045E">
        <w:rPr>
          <w:rFonts w:cs="Arial"/>
          <w:szCs w:val="24"/>
        </w:rPr>
        <w:t>Purpose of the medical technology</w:t>
      </w:r>
      <w:bookmarkEnd w:id="3"/>
      <w:bookmarkEnd w:id="5"/>
    </w:p>
    <w:p w14:paraId="41E6A5C5" w14:textId="3CE967D2" w:rsidR="00D65A92" w:rsidRPr="0072045E" w:rsidRDefault="00806567" w:rsidP="007A149F">
      <w:pPr>
        <w:pStyle w:val="Paragraphnonumbers"/>
        <w:rPr>
          <w:rFonts w:cs="Arial"/>
        </w:rPr>
      </w:pPr>
      <w:proofErr w:type="spellStart"/>
      <w:r w:rsidRPr="0072045E">
        <w:rPr>
          <w:rFonts w:cs="Arial"/>
          <w:color w:val="000000"/>
          <w:spacing w:val="8"/>
          <w:shd w:val="clear" w:color="auto" w:fill="FFFFFF"/>
        </w:rPr>
        <w:t>EarlyCDT</w:t>
      </w:r>
      <w:proofErr w:type="spellEnd"/>
      <w:r w:rsidRPr="0072045E">
        <w:rPr>
          <w:rFonts w:cs="Arial"/>
          <w:color w:val="000000"/>
          <w:spacing w:val="8"/>
          <w:shd w:val="clear" w:color="auto" w:fill="FFFFFF"/>
        </w:rPr>
        <w:t xml:space="preserve"> Lung is a blood test </w:t>
      </w:r>
      <w:r w:rsidR="00E470AF" w:rsidRPr="0072045E">
        <w:rPr>
          <w:rFonts w:cs="Arial"/>
          <w:color w:val="000000"/>
          <w:spacing w:val="8"/>
          <w:shd w:val="clear" w:color="auto" w:fill="FFFFFF"/>
        </w:rPr>
        <w:t>that c</w:t>
      </w:r>
      <w:r w:rsidR="00041C1E" w:rsidRPr="0072045E">
        <w:rPr>
          <w:rFonts w:cs="Arial"/>
          <w:color w:val="000000"/>
          <w:spacing w:val="8"/>
          <w:shd w:val="clear" w:color="auto" w:fill="FFFFFF"/>
        </w:rPr>
        <w:t>ould</w:t>
      </w:r>
      <w:r w:rsidR="00E470AF" w:rsidRPr="0072045E">
        <w:rPr>
          <w:rFonts w:cs="Arial"/>
          <w:color w:val="000000"/>
          <w:spacing w:val="8"/>
          <w:shd w:val="clear" w:color="auto" w:fill="FFFFFF"/>
        </w:rPr>
        <w:t xml:space="preserve"> be </w:t>
      </w:r>
      <w:r w:rsidRPr="0072045E">
        <w:rPr>
          <w:rFonts w:cs="Arial"/>
          <w:color w:val="000000"/>
          <w:spacing w:val="8"/>
          <w:shd w:val="clear" w:color="auto" w:fill="FFFFFF"/>
        </w:rPr>
        <w:t xml:space="preserve">used to assess the malignancy risk of </w:t>
      </w:r>
      <w:r w:rsidR="001969D0">
        <w:rPr>
          <w:rFonts w:cs="Arial"/>
          <w:color w:val="000000"/>
          <w:spacing w:val="8"/>
          <w:shd w:val="clear" w:color="auto" w:fill="FFFFFF"/>
        </w:rPr>
        <w:t>solid</w:t>
      </w:r>
      <w:r w:rsidR="001969D0" w:rsidRPr="0072045E">
        <w:rPr>
          <w:rFonts w:cs="Arial"/>
          <w:color w:val="000000"/>
          <w:spacing w:val="8"/>
          <w:shd w:val="clear" w:color="auto" w:fill="FFFFFF"/>
        </w:rPr>
        <w:t xml:space="preserve"> </w:t>
      </w:r>
      <w:r w:rsidR="00377B1E" w:rsidRPr="0072045E">
        <w:rPr>
          <w:rFonts w:cs="Arial"/>
        </w:rPr>
        <w:t xml:space="preserve">pulmonary nodules </w:t>
      </w:r>
      <w:r w:rsidRPr="0072045E">
        <w:rPr>
          <w:rFonts w:cs="Arial"/>
        </w:rPr>
        <w:t>found by chest CT or X-ray</w:t>
      </w:r>
      <w:r w:rsidR="00976D1F" w:rsidRPr="0072045E">
        <w:rPr>
          <w:rFonts w:cs="Arial"/>
        </w:rPr>
        <w:t>.</w:t>
      </w:r>
      <w:r w:rsidR="00727C1E" w:rsidRPr="0072045E">
        <w:rPr>
          <w:rFonts w:cs="Arial"/>
        </w:rPr>
        <w:t xml:space="preserve"> </w:t>
      </w:r>
      <w:proofErr w:type="spellStart"/>
      <w:r w:rsidRPr="0072045E">
        <w:rPr>
          <w:rFonts w:cs="Arial"/>
          <w:color w:val="000000"/>
          <w:spacing w:val="8"/>
          <w:shd w:val="clear" w:color="auto" w:fill="FFFFFF"/>
        </w:rPr>
        <w:t>EarlyCDT</w:t>
      </w:r>
      <w:proofErr w:type="spellEnd"/>
      <w:r w:rsidRPr="0072045E">
        <w:rPr>
          <w:rFonts w:cs="Arial"/>
          <w:color w:val="000000"/>
          <w:spacing w:val="8"/>
          <w:shd w:val="clear" w:color="auto" w:fill="FFFFFF"/>
        </w:rPr>
        <w:t xml:space="preserve"> Lung </w:t>
      </w:r>
      <w:r w:rsidR="00976D1F" w:rsidRPr="0072045E">
        <w:rPr>
          <w:rFonts w:cs="Arial"/>
        </w:rPr>
        <w:t>is non-invasive and c</w:t>
      </w:r>
      <w:r w:rsidR="004C3519" w:rsidRPr="0072045E">
        <w:rPr>
          <w:rFonts w:cs="Arial"/>
        </w:rPr>
        <w:t>ould</w:t>
      </w:r>
      <w:r w:rsidR="00976D1F" w:rsidRPr="0072045E">
        <w:rPr>
          <w:rFonts w:cs="Arial"/>
        </w:rPr>
        <w:t xml:space="preserve"> be used in addition to </w:t>
      </w:r>
      <w:r w:rsidR="004C3519" w:rsidRPr="0072045E">
        <w:rPr>
          <w:rFonts w:cs="Arial"/>
        </w:rPr>
        <w:t xml:space="preserve">the </w:t>
      </w:r>
      <w:r w:rsidR="00976D1F" w:rsidRPr="0072045E">
        <w:rPr>
          <w:rFonts w:cs="Arial"/>
        </w:rPr>
        <w:t>standard care for early detection of lung cancer</w:t>
      </w:r>
      <w:r w:rsidR="000F58FE" w:rsidRPr="0072045E">
        <w:rPr>
          <w:rFonts w:cs="Arial"/>
        </w:rPr>
        <w:t>.</w:t>
      </w:r>
      <w:r w:rsidR="00632E32" w:rsidRPr="0072045E">
        <w:rPr>
          <w:rFonts w:cs="Arial"/>
        </w:rPr>
        <w:t xml:space="preserve"> </w:t>
      </w:r>
      <w:r w:rsidR="00A37631" w:rsidRPr="0072045E">
        <w:rPr>
          <w:rFonts w:cs="Arial"/>
        </w:rPr>
        <w:t>I</w:t>
      </w:r>
      <w:r w:rsidR="00D65A92" w:rsidRPr="0072045E">
        <w:rPr>
          <w:rFonts w:cs="Arial"/>
        </w:rPr>
        <w:t>ncidental finding</w:t>
      </w:r>
      <w:r w:rsidR="00276665">
        <w:rPr>
          <w:rFonts w:cs="Arial"/>
        </w:rPr>
        <w:t>s</w:t>
      </w:r>
      <w:r w:rsidR="00D65A92" w:rsidRPr="0072045E">
        <w:rPr>
          <w:rFonts w:cs="Arial"/>
        </w:rPr>
        <w:t xml:space="preserve"> of </w:t>
      </w:r>
      <w:r w:rsidR="00377B1E" w:rsidRPr="0072045E">
        <w:rPr>
          <w:rFonts w:cs="Arial"/>
        </w:rPr>
        <w:t xml:space="preserve">pulmonary nodules </w:t>
      </w:r>
      <w:r w:rsidR="00D65A92" w:rsidRPr="0072045E">
        <w:rPr>
          <w:rFonts w:cs="Arial"/>
        </w:rPr>
        <w:t xml:space="preserve">in asymptomatic individuals </w:t>
      </w:r>
      <w:r w:rsidR="003D1DD8">
        <w:rPr>
          <w:rFonts w:cs="Arial"/>
        </w:rPr>
        <w:t>are</w:t>
      </w:r>
      <w:r w:rsidR="00D65A92" w:rsidRPr="0072045E">
        <w:rPr>
          <w:rFonts w:cs="Arial"/>
        </w:rPr>
        <w:t xml:space="preserve"> an increasingly common clinical dilemma encountered by </w:t>
      </w:r>
      <w:r w:rsidR="00A37631" w:rsidRPr="0072045E">
        <w:rPr>
          <w:rFonts w:cs="Arial"/>
        </w:rPr>
        <w:t>lung cancer clinicians</w:t>
      </w:r>
      <w:r w:rsidR="00D65A92" w:rsidRPr="0072045E">
        <w:rPr>
          <w:rFonts w:cs="Arial"/>
        </w:rPr>
        <w:t>.</w:t>
      </w:r>
      <w:r w:rsidR="00A37631" w:rsidRPr="0072045E">
        <w:rPr>
          <w:rFonts w:cs="Arial"/>
        </w:rPr>
        <w:t xml:space="preserve"> </w:t>
      </w:r>
      <w:proofErr w:type="spellStart"/>
      <w:r w:rsidR="005D2977" w:rsidRPr="0072045E">
        <w:rPr>
          <w:rFonts w:cs="Arial"/>
        </w:rPr>
        <w:t>EarlyCDT</w:t>
      </w:r>
      <w:proofErr w:type="spellEnd"/>
      <w:r w:rsidR="00A37631" w:rsidRPr="0072045E">
        <w:rPr>
          <w:rFonts w:cs="Arial"/>
        </w:rPr>
        <w:t xml:space="preserve"> </w:t>
      </w:r>
      <w:r w:rsidR="005D2977" w:rsidRPr="0072045E">
        <w:rPr>
          <w:rFonts w:cs="Arial"/>
        </w:rPr>
        <w:t xml:space="preserve">Lung could </w:t>
      </w:r>
      <w:r w:rsidR="00E470AF" w:rsidRPr="0072045E">
        <w:rPr>
          <w:rFonts w:cs="Arial"/>
        </w:rPr>
        <w:t>help</w:t>
      </w:r>
      <w:r w:rsidR="005D2977" w:rsidRPr="0072045E">
        <w:rPr>
          <w:rFonts w:cs="Arial"/>
        </w:rPr>
        <w:t xml:space="preserve"> identify malignant </w:t>
      </w:r>
      <w:r w:rsidR="00377B1E" w:rsidRPr="0072045E">
        <w:rPr>
          <w:rFonts w:cs="Arial"/>
        </w:rPr>
        <w:t xml:space="preserve">pulmonary nodules </w:t>
      </w:r>
      <w:r w:rsidR="005D2977" w:rsidRPr="0072045E">
        <w:rPr>
          <w:rFonts w:cs="Arial"/>
        </w:rPr>
        <w:t>that need immediate treatment or further tests such as PET</w:t>
      </w:r>
      <w:r w:rsidR="005D2977" w:rsidRPr="0072045E">
        <w:rPr>
          <w:rFonts w:ascii="Cambria Math" w:hAnsi="Cambria Math" w:cs="Cambria Math"/>
        </w:rPr>
        <w:t>‑</w:t>
      </w:r>
      <w:r w:rsidR="005D2977" w:rsidRPr="0072045E">
        <w:rPr>
          <w:rFonts w:cs="Arial"/>
        </w:rPr>
        <w:t xml:space="preserve">CT or a biopsy. </w:t>
      </w:r>
      <w:bookmarkStart w:id="6" w:name="_Hlk62132800"/>
      <w:r w:rsidR="00A37631" w:rsidRPr="0072045E">
        <w:rPr>
          <w:rFonts w:cs="Arial"/>
        </w:rPr>
        <w:t>The test</w:t>
      </w:r>
      <w:r w:rsidR="005D2977" w:rsidRPr="0072045E">
        <w:rPr>
          <w:rFonts w:cs="Arial"/>
        </w:rPr>
        <w:t xml:space="preserve"> could result in treatment being offered earlier, giving improved patient outcomes. </w:t>
      </w:r>
      <w:r w:rsidR="0081511D">
        <w:rPr>
          <w:rFonts w:cs="Arial"/>
        </w:rPr>
        <w:t xml:space="preserve">The company </w:t>
      </w:r>
      <w:r w:rsidR="00F330B4">
        <w:rPr>
          <w:rFonts w:cs="Arial"/>
        </w:rPr>
        <w:t>indicate</w:t>
      </w:r>
      <w:r w:rsidR="0081511D">
        <w:rPr>
          <w:rFonts w:cs="Arial"/>
        </w:rPr>
        <w:t xml:space="preserve"> that </w:t>
      </w:r>
      <w:proofErr w:type="spellStart"/>
      <w:r w:rsidR="0081511D">
        <w:rPr>
          <w:rFonts w:cs="Arial"/>
        </w:rPr>
        <w:t>EarlyCDT</w:t>
      </w:r>
      <w:proofErr w:type="spellEnd"/>
      <w:r w:rsidR="0081511D">
        <w:rPr>
          <w:rFonts w:cs="Arial"/>
        </w:rPr>
        <w:t xml:space="preserve"> Lung</w:t>
      </w:r>
      <w:r w:rsidR="005D2977" w:rsidRPr="0072045E">
        <w:rPr>
          <w:rFonts w:cs="Arial"/>
        </w:rPr>
        <w:t xml:space="preserve"> could also reduce</w:t>
      </w:r>
      <w:r w:rsidR="00F31B9F" w:rsidRPr="0072045E">
        <w:rPr>
          <w:rFonts w:cs="Arial"/>
        </w:rPr>
        <w:t xml:space="preserve"> the number of </w:t>
      </w:r>
      <w:r w:rsidR="00476175">
        <w:rPr>
          <w:rFonts w:cs="Arial"/>
        </w:rPr>
        <w:t>people on CT surveillance</w:t>
      </w:r>
      <w:r w:rsidR="00F31B9F" w:rsidRPr="0072045E">
        <w:rPr>
          <w:rFonts w:cs="Arial"/>
        </w:rPr>
        <w:t xml:space="preserve">, </w:t>
      </w:r>
      <w:r w:rsidR="005D2977" w:rsidRPr="0072045E">
        <w:rPr>
          <w:rFonts w:cs="Arial"/>
        </w:rPr>
        <w:t>patients waiting times and radiologist time, enabling efficient use of NHS resources</w:t>
      </w:r>
      <w:r w:rsidR="004D35B6" w:rsidRPr="0072045E">
        <w:rPr>
          <w:rFonts w:cs="Arial"/>
        </w:rPr>
        <w:t>.</w:t>
      </w:r>
      <w:bookmarkEnd w:id="6"/>
    </w:p>
    <w:p w14:paraId="0C51A8B0" w14:textId="77777777" w:rsidR="00AC405F" w:rsidRPr="0072045E" w:rsidRDefault="00D92183" w:rsidP="007A149F">
      <w:pPr>
        <w:pStyle w:val="Heading3"/>
        <w:spacing w:line="276" w:lineRule="auto"/>
        <w:rPr>
          <w:rFonts w:cs="Arial"/>
          <w:szCs w:val="24"/>
        </w:rPr>
      </w:pPr>
      <w:bookmarkStart w:id="7" w:name="_Toc286147862"/>
      <w:bookmarkStart w:id="8" w:name="_Hlk60837504"/>
      <w:r w:rsidRPr="0072045E">
        <w:rPr>
          <w:rFonts w:cs="Arial"/>
          <w:szCs w:val="24"/>
        </w:rPr>
        <w:lastRenderedPageBreak/>
        <w:t>Product properties</w:t>
      </w:r>
      <w:bookmarkEnd w:id="4"/>
      <w:bookmarkEnd w:id="7"/>
    </w:p>
    <w:p w14:paraId="621607A3" w14:textId="77777777" w:rsidR="00B7551C" w:rsidRDefault="004C34B9" w:rsidP="00651DD8">
      <w:pPr>
        <w:pStyle w:val="Paragraphnonumbers"/>
        <w:rPr>
          <w:rFonts w:cs="Arial"/>
        </w:rPr>
      </w:pPr>
      <w:bookmarkStart w:id="9" w:name="_Hlk59544358"/>
      <w:bookmarkStart w:id="10" w:name="_Hlk59544293"/>
      <w:bookmarkStart w:id="11" w:name="_Hlk59436103"/>
      <w:bookmarkEnd w:id="8"/>
      <w:r w:rsidRPr="0072045E">
        <w:rPr>
          <w:rFonts w:cs="Arial"/>
        </w:rPr>
        <w:t xml:space="preserve">The </w:t>
      </w:r>
      <w:bookmarkStart w:id="12" w:name="_Hlk62141133"/>
      <w:proofErr w:type="spellStart"/>
      <w:r w:rsidR="00DB77AE" w:rsidRPr="0072045E">
        <w:rPr>
          <w:rFonts w:cs="Arial"/>
        </w:rPr>
        <w:t>EarlyCDT</w:t>
      </w:r>
      <w:proofErr w:type="spellEnd"/>
      <w:r w:rsidR="00DB77AE" w:rsidRPr="0072045E">
        <w:rPr>
          <w:rFonts w:cs="Arial"/>
        </w:rPr>
        <w:t xml:space="preserve"> Lung </w:t>
      </w:r>
      <w:bookmarkEnd w:id="9"/>
      <w:bookmarkEnd w:id="10"/>
      <w:bookmarkEnd w:id="12"/>
      <w:r w:rsidR="00D65EBF">
        <w:rPr>
          <w:rFonts w:cs="Arial"/>
        </w:rPr>
        <w:t xml:space="preserve">test </w:t>
      </w:r>
      <w:r w:rsidR="00727C1E" w:rsidRPr="0072045E">
        <w:rPr>
          <w:rFonts w:cs="Arial"/>
        </w:rPr>
        <w:t>uses a standard enzyme-linked immunosorbent assay (ELISA)</w:t>
      </w:r>
      <w:r w:rsidR="00DB77AE" w:rsidRPr="0072045E">
        <w:rPr>
          <w:rFonts w:cs="Arial"/>
        </w:rPr>
        <w:t xml:space="preserve"> method</w:t>
      </w:r>
      <w:r w:rsidR="00EC4898" w:rsidRPr="0072045E">
        <w:rPr>
          <w:rFonts w:cs="Arial"/>
        </w:rPr>
        <w:t>.</w:t>
      </w:r>
      <w:r w:rsidR="00ED7080" w:rsidRPr="0072045E">
        <w:rPr>
          <w:rFonts w:cs="Arial"/>
        </w:rPr>
        <w:t xml:space="preserve"> It </w:t>
      </w:r>
      <w:r w:rsidR="00EC4898" w:rsidRPr="0072045E">
        <w:rPr>
          <w:rFonts w:cs="Arial"/>
        </w:rPr>
        <w:t xml:space="preserve">is manufactured by </w:t>
      </w:r>
      <w:proofErr w:type="spellStart"/>
      <w:r w:rsidR="00EC4898" w:rsidRPr="0072045E">
        <w:rPr>
          <w:rFonts w:cs="Arial"/>
        </w:rPr>
        <w:t>Oncimmune</w:t>
      </w:r>
      <w:proofErr w:type="spellEnd"/>
      <w:r w:rsidR="00EC4898" w:rsidRPr="0072045E">
        <w:rPr>
          <w:rFonts w:cs="Arial"/>
        </w:rPr>
        <w:t xml:space="preserve"> and </w:t>
      </w:r>
      <w:r w:rsidR="005A5E35" w:rsidRPr="0072045E">
        <w:rPr>
          <w:rFonts w:cs="Arial"/>
        </w:rPr>
        <w:t xml:space="preserve">is </w:t>
      </w:r>
      <w:r w:rsidR="00DB77AE" w:rsidRPr="0072045E">
        <w:rPr>
          <w:rFonts w:cs="Arial"/>
        </w:rPr>
        <w:t xml:space="preserve">available as a CE-IVD kit. </w:t>
      </w:r>
      <w:r w:rsidR="00B7551C">
        <w:rPr>
          <w:rFonts w:cs="Arial"/>
        </w:rPr>
        <w:t xml:space="preserve">The test is not currently in use in clinical practice in the NHS. </w:t>
      </w:r>
    </w:p>
    <w:p w14:paraId="4EE8EAC3" w14:textId="1B4285DC" w:rsidR="00651DD8" w:rsidRPr="0072045E" w:rsidRDefault="00B7551C" w:rsidP="00651DD8">
      <w:pPr>
        <w:pStyle w:val="Paragraphnonumbers"/>
        <w:rPr>
          <w:rFonts w:cs="Arial"/>
        </w:rPr>
      </w:pPr>
      <w:proofErr w:type="spellStart"/>
      <w:r>
        <w:rPr>
          <w:rFonts w:cs="Arial"/>
        </w:rPr>
        <w:t>EarlyCDT</w:t>
      </w:r>
      <w:proofErr w:type="spellEnd"/>
      <w:r>
        <w:rPr>
          <w:rFonts w:cs="Arial"/>
        </w:rPr>
        <w:t xml:space="preserve"> Lung</w:t>
      </w:r>
      <w:r w:rsidR="00ED7080" w:rsidRPr="0072045E">
        <w:rPr>
          <w:rFonts w:cs="Arial"/>
        </w:rPr>
        <w:t xml:space="preserve"> </w:t>
      </w:r>
      <w:r w:rsidR="00DB77AE" w:rsidRPr="0072045E">
        <w:rPr>
          <w:rFonts w:cs="Arial"/>
        </w:rPr>
        <w:t>measures the presence of autoantibodies to a panel of 7 lung cancer associated antigens</w:t>
      </w:r>
      <w:r w:rsidR="00727C1E" w:rsidRPr="0072045E">
        <w:rPr>
          <w:rFonts w:cs="Arial"/>
        </w:rPr>
        <w:t xml:space="preserve"> (p</w:t>
      </w:r>
      <w:r w:rsidR="00DB77AE" w:rsidRPr="0072045E">
        <w:rPr>
          <w:rFonts w:cs="Arial"/>
        </w:rPr>
        <w:t xml:space="preserve">53, NY-ESO-1, CAGE, GBU4-5, </w:t>
      </w:r>
      <w:proofErr w:type="spellStart"/>
      <w:r w:rsidR="00DB77AE" w:rsidRPr="0072045E">
        <w:rPr>
          <w:rFonts w:cs="Arial"/>
        </w:rPr>
        <w:t>HuD</w:t>
      </w:r>
      <w:proofErr w:type="spellEnd"/>
      <w:r w:rsidR="00DB77AE" w:rsidRPr="0072045E">
        <w:rPr>
          <w:rFonts w:cs="Arial"/>
        </w:rPr>
        <w:t>, MAGE A4 and SOX2</w:t>
      </w:r>
      <w:r w:rsidR="00727C1E" w:rsidRPr="0072045E">
        <w:rPr>
          <w:rFonts w:cs="Arial"/>
        </w:rPr>
        <w:t>)</w:t>
      </w:r>
      <w:r w:rsidR="00DB77AE" w:rsidRPr="0072045E">
        <w:rPr>
          <w:rFonts w:cs="Arial"/>
        </w:rPr>
        <w:t>.</w:t>
      </w:r>
      <w:bookmarkEnd w:id="11"/>
      <w:r w:rsidR="00AE10F2" w:rsidRPr="0072045E">
        <w:rPr>
          <w:rFonts w:cs="Arial"/>
        </w:rPr>
        <w:t xml:space="preserve"> </w:t>
      </w:r>
      <w:r w:rsidR="00D65EBF">
        <w:rPr>
          <w:rFonts w:cs="Arial"/>
        </w:rPr>
        <w:t xml:space="preserve">Each </w:t>
      </w:r>
      <w:proofErr w:type="spellStart"/>
      <w:r w:rsidR="004C34B9" w:rsidRPr="0072045E">
        <w:rPr>
          <w:rFonts w:cs="Arial"/>
        </w:rPr>
        <w:t>EarlyCDT</w:t>
      </w:r>
      <w:proofErr w:type="spellEnd"/>
      <w:r w:rsidR="004C34B9" w:rsidRPr="0072045E">
        <w:rPr>
          <w:rFonts w:cs="Arial"/>
        </w:rPr>
        <w:t xml:space="preserve"> Lung </w:t>
      </w:r>
      <w:r w:rsidR="00D65EBF">
        <w:rPr>
          <w:rFonts w:cs="Arial"/>
        </w:rPr>
        <w:t xml:space="preserve">test kit </w:t>
      </w:r>
      <w:r w:rsidR="0054418A" w:rsidRPr="0072045E">
        <w:rPr>
          <w:rFonts w:cs="Arial"/>
        </w:rPr>
        <w:t>contains reagents used for the measurement of autoantibodies in up to 10 patient s</w:t>
      </w:r>
      <w:r w:rsidR="00D65EBF">
        <w:rPr>
          <w:rFonts w:cs="Arial"/>
        </w:rPr>
        <w:t>amples</w:t>
      </w:r>
      <w:r w:rsidR="0054418A" w:rsidRPr="0072045E">
        <w:rPr>
          <w:rFonts w:cs="Arial"/>
        </w:rPr>
        <w:t xml:space="preserve"> </w:t>
      </w:r>
      <w:r w:rsidR="007841F7" w:rsidRPr="0072045E">
        <w:rPr>
          <w:rFonts w:cs="Arial"/>
        </w:rPr>
        <w:t>(</w:t>
      </w:r>
      <w:r w:rsidR="0054418A" w:rsidRPr="0072045E">
        <w:rPr>
          <w:rFonts w:cs="Arial"/>
        </w:rPr>
        <w:t>depending on usage</w:t>
      </w:r>
      <w:r w:rsidR="007841F7" w:rsidRPr="0072045E">
        <w:rPr>
          <w:rFonts w:cs="Arial"/>
        </w:rPr>
        <w:t>).</w:t>
      </w:r>
      <w:r w:rsidR="00DE6130" w:rsidRPr="0072045E">
        <w:rPr>
          <w:rFonts w:cs="Arial"/>
        </w:rPr>
        <w:t xml:space="preserve"> </w:t>
      </w:r>
      <w:r w:rsidR="00ED7080" w:rsidRPr="0072045E">
        <w:rPr>
          <w:rFonts w:cs="Arial"/>
        </w:rPr>
        <w:t xml:space="preserve">The </w:t>
      </w:r>
      <w:r w:rsidR="00F43A8C" w:rsidRPr="0072045E">
        <w:rPr>
          <w:rFonts w:cs="Arial"/>
        </w:rPr>
        <w:t>result</w:t>
      </w:r>
      <w:r w:rsidR="006D6F4A" w:rsidRPr="0072045E">
        <w:rPr>
          <w:rFonts w:cs="Arial"/>
        </w:rPr>
        <w:t xml:space="preserve"> of </w:t>
      </w:r>
      <w:bookmarkStart w:id="13" w:name="_Hlk62140324"/>
      <w:r w:rsidR="00F43A8C" w:rsidRPr="0072045E">
        <w:rPr>
          <w:rFonts w:cs="Arial"/>
        </w:rPr>
        <w:t xml:space="preserve">the </w:t>
      </w:r>
      <w:proofErr w:type="spellStart"/>
      <w:r w:rsidR="00ED7080" w:rsidRPr="0072045E">
        <w:rPr>
          <w:rFonts w:cs="Arial"/>
        </w:rPr>
        <w:t>EarlyCDT</w:t>
      </w:r>
      <w:proofErr w:type="spellEnd"/>
      <w:r w:rsidR="00ED7080" w:rsidRPr="0072045E">
        <w:rPr>
          <w:rFonts w:cs="Arial"/>
        </w:rPr>
        <w:t xml:space="preserve"> Lung </w:t>
      </w:r>
      <w:bookmarkEnd w:id="13"/>
      <w:r w:rsidR="00ED7080" w:rsidRPr="0072045E">
        <w:rPr>
          <w:rFonts w:cs="Arial"/>
        </w:rPr>
        <w:t>test</w:t>
      </w:r>
      <w:r w:rsidR="00F43A8C" w:rsidRPr="0072045E">
        <w:rPr>
          <w:rFonts w:cs="Arial"/>
        </w:rPr>
        <w:t xml:space="preserve"> can be interpreted </w:t>
      </w:r>
      <w:r w:rsidR="00F16EBE">
        <w:rPr>
          <w:rFonts w:cs="Arial"/>
        </w:rPr>
        <w:t>by</w:t>
      </w:r>
      <w:r w:rsidR="009F0430" w:rsidRPr="0072045E">
        <w:rPr>
          <w:rFonts w:cs="Arial"/>
        </w:rPr>
        <w:t xml:space="preserve"> </w:t>
      </w:r>
      <w:r w:rsidR="00F16EBE">
        <w:rPr>
          <w:rFonts w:cs="Arial"/>
        </w:rPr>
        <w:t>l</w:t>
      </w:r>
      <w:r w:rsidR="009F0430" w:rsidRPr="0072045E">
        <w:rPr>
          <w:rFonts w:cs="Arial"/>
        </w:rPr>
        <w:t xml:space="preserve">aboratory </w:t>
      </w:r>
      <w:r w:rsidR="00F16EBE">
        <w:rPr>
          <w:rFonts w:cs="Arial"/>
        </w:rPr>
        <w:t>staff and positive results would be reviewed</w:t>
      </w:r>
      <w:r w:rsidR="009F0430" w:rsidRPr="0072045E">
        <w:rPr>
          <w:rFonts w:cs="Arial"/>
        </w:rPr>
        <w:t xml:space="preserve"> by </w:t>
      </w:r>
      <w:r w:rsidR="00F16EBE">
        <w:rPr>
          <w:rFonts w:cs="Arial"/>
        </w:rPr>
        <w:t>the l</w:t>
      </w:r>
      <w:r w:rsidR="009F0430" w:rsidRPr="0072045E">
        <w:rPr>
          <w:rFonts w:cs="Arial"/>
        </w:rPr>
        <w:t>ung</w:t>
      </w:r>
      <w:r w:rsidR="00F16EBE">
        <w:rPr>
          <w:rFonts w:cs="Arial"/>
        </w:rPr>
        <w:t xml:space="preserve"> cancer multi-disciplinary team</w:t>
      </w:r>
      <w:r w:rsidR="009F0430" w:rsidRPr="0072045E">
        <w:rPr>
          <w:rFonts w:cs="Arial"/>
        </w:rPr>
        <w:t xml:space="preserve">. </w:t>
      </w:r>
      <w:r w:rsidR="00651DD8" w:rsidRPr="0072045E">
        <w:rPr>
          <w:rFonts w:cs="Arial"/>
        </w:rPr>
        <w:t xml:space="preserve">A blood sample is positive when at least one of the 7 autoantibodies is elevated above a pre-determined cut-off </w:t>
      </w:r>
      <w:r w:rsidR="0031404F">
        <w:rPr>
          <w:rFonts w:cs="Arial"/>
        </w:rPr>
        <w:t xml:space="preserve">threshold </w:t>
      </w:r>
      <w:r w:rsidR="00651DD8" w:rsidRPr="0072045E">
        <w:rPr>
          <w:rFonts w:cs="Arial"/>
          <w:bCs/>
          <w:iCs/>
        </w:rPr>
        <w:t>(</w:t>
      </w:r>
      <w:r w:rsidR="00651DD8" w:rsidRPr="0072045E">
        <w:rPr>
          <w:rFonts w:cs="Arial"/>
        </w:rPr>
        <w:t xml:space="preserve">table 1). </w:t>
      </w:r>
      <w:r w:rsidR="00651DD8" w:rsidRPr="0072045E">
        <w:rPr>
          <w:rFonts w:cs="Arial"/>
          <w:bCs/>
          <w:iCs/>
        </w:rPr>
        <w:t xml:space="preserve">The thresholds were set to give a high specificity with the aim of detecting nodules that are likely to be malignant (a rule-in test). </w:t>
      </w:r>
    </w:p>
    <w:p w14:paraId="58832670" w14:textId="0F0729F5" w:rsidR="00651DD8" w:rsidRPr="0072045E" w:rsidRDefault="00651DD8" w:rsidP="00651DD8">
      <w:pPr>
        <w:pStyle w:val="Caption"/>
        <w:keepNext/>
        <w:rPr>
          <w:rFonts w:ascii="Arial" w:hAnsi="Arial" w:cs="Arial"/>
          <w:sz w:val="24"/>
          <w:szCs w:val="24"/>
        </w:rPr>
      </w:pPr>
      <w:r w:rsidRPr="0072045E">
        <w:rPr>
          <w:rFonts w:ascii="Arial" w:hAnsi="Arial" w:cs="Arial"/>
          <w:sz w:val="24"/>
          <w:szCs w:val="24"/>
        </w:rPr>
        <w:t xml:space="preserve">Table </w:t>
      </w:r>
      <w:r w:rsidRPr="0072045E">
        <w:rPr>
          <w:rFonts w:ascii="Arial" w:hAnsi="Arial" w:cs="Arial"/>
          <w:sz w:val="24"/>
          <w:szCs w:val="24"/>
        </w:rPr>
        <w:fldChar w:fldCharType="begin"/>
      </w:r>
      <w:r w:rsidRPr="0072045E">
        <w:rPr>
          <w:rFonts w:ascii="Arial" w:hAnsi="Arial" w:cs="Arial"/>
          <w:sz w:val="24"/>
          <w:szCs w:val="24"/>
        </w:rPr>
        <w:instrText xml:space="preserve"> SEQ Table \* ARABIC </w:instrText>
      </w:r>
      <w:r w:rsidRPr="0072045E">
        <w:rPr>
          <w:rFonts w:ascii="Arial" w:hAnsi="Arial" w:cs="Arial"/>
          <w:sz w:val="24"/>
          <w:szCs w:val="24"/>
        </w:rPr>
        <w:fldChar w:fldCharType="separate"/>
      </w:r>
      <w:r w:rsidR="0019249A">
        <w:rPr>
          <w:rFonts w:ascii="Arial" w:hAnsi="Arial" w:cs="Arial"/>
          <w:noProof/>
          <w:sz w:val="24"/>
          <w:szCs w:val="24"/>
        </w:rPr>
        <w:t>1</w:t>
      </w:r>
      <w:r w:rsidRPr="0072045E">
        <w:rPr>
          <w:rFonts w:ascii="Arial" w:hAnsi="Arial" w:cs="Arial"/>
          <w:sz w:val="24"/>
          <w:szCs w:val="24"/>
        </w:rPr>
        <w:fldChar w:fldCharType="end"/>
      </w:r>
      <w:r w:rsidRPr="0072045E">
        <w:rPr>
          <w:rFonts w:ascii="Arial" w:hAnsi="Arial" w:cs="Arial"/>
          <w:sz w:val="24"/>
          <w:szCs w:val="24"/>
        </w:rPr>
        <w:t>: Recommended cut-offs for autoantibodies</w:t>
      </w:r>
    </w:p>
    <w:tbl>
      <w:tblPr>
        <w:tblStyle w:val="TableGrid"/>
        <w:tblW w:w="5328" w:type="pct"/>
        <w:tblLook w:val="04A0" w:firstRow="1" w:lastRow="0" w:firstColumn="1" w:lastColumn="0" w:noHBand="0" w:noVBand="1"/>
      </w:tblPr>
      <w:tblGrid>
        <w:gridCol w:w="1763"/>
        <w:gridCol w:w="1923"/>
        <w:gridCol w:w="1568"/>
        <w:gridCol w:w="1284"/>
        <w:gridCol w:w="1151"/>
        <w:gridCol w:w="1151"/>
      </w:tblGrid>
      <w:tr w:rsidR="00651DD8" w:rsidRPr="0072045E" w14:paraId="6D2B4562" w14:textId="77777777" w:rsidTr="00A27E29">
        <w:tc>
          <w:tcPr>
            <w:tcW w:w="997" w:type="pct"/>
          </w:tcPr>
          <w:p w14:paraId="3A666A3C" w14:textId="77777777" w:rsidR="00651DD8" w:rsidRPr="0072045E" w:rsidRDefault="00651DD8" w:rsidP="00A27E29">
            <w:pPr>
              <w:pStyle w:val="Paragraphnonumbers"/>
              <w:spacing w:before="0" w:after="0"/>
              <w:jc w:val="both"/>
              <w:rPr>
                <w:rFonts w:cs="Arial"/>
                <w:b/>
                <w:bCs/>
              </w:rPr>
            </w:pPr>
            <w:r w:rsidRPr="0072045E">
              <w:rPr>
                <w:rFonts w:cs="Arial"/>
                <w:b/>
                <w:bCs/>
              </w:rPr>
              <w:t>Autoantibody</w:t>
            </w:r>
          </w:p>
        </w:tc>
        <w:tc>
          <w:tcPr>
            <w:tcW w:w="1088" w:type="pct"/>
            <w:vMerge w:val="restart"/>
          </w:tcPr>
          <w:p w14:paraId="06064795" w14:textId="77777777" w:rsidR="00651DD8" w:rsidRPr="0072045E" w:rsidRDefault="00651DD8" w:rsidP="00A27E29">
            <w:pPr>
              <w:pStyle w:val="Paragraphnonumbers"/>
              <w:spacing w:before="0" w:after="0"/>
              <w:jc w:val="both"/>
              <w:rPr>
                <w:rFonts w:cs="Arial"/>
                <w:b/>
                <w:bCs/>
              </w:rPr>
            </w:pPr>
          </w:p>
          <w:p w14:paraId="39F4D30E" w14:textId="77777777" w:rsidR="00651DD8" w:rsidRPr="0072045E" w:rsidRDefault="00651DD8" w:rsidP="00A27E29">
            <w:pPr>
              <w:pStyle w:val="Paragraphnonumbers"/>
              <w:spacing w:before="0" w:after="0"/>
              <w:jc w:val="both"/>
              <w:rPr>
                <w:rFonts w:cs="Arial"/>
                <w:b/>
                <w:bCs/>
              </w:rPr>
            </w:pPr>
          </w:p>
          <w:p w14:paraId="00519535" w14:textId="77777777" w:rsidR="00651DD8" w:rsidRPr="0072045E" w:rsidRDefault="00651DD8" w:rsidP="00A27E29">
            <w:pPr>
              <w:pStyle w:val="Paragraphnonumbers"/>
              <w:spacing w:before="0" w:after="0"/>
              <w:rPr>
                <w:rFonts w:cs="Arial"/>
                <w:b/>
                <w:bCs/>
              </w:rPr>
            </w:pPr>
          </w:p>
          <w:p w14:paraId="54D5D2EB" w14:textId="77777777" w:rsidR="00651DD8" w:rsidRPr="0072045E" w:rsidRDefault="00651DD8" w:rsidP="00A27E29">
            <w:pPr>
              <w:pStyle w:val="Paragraphnonumbers"/>
              <w:spacing w:before="0" w:after="0"/>
              <w:rPr>
                <w:rFonts w:cs="Arial"/>
                <w:b/>
                <w:bCs/>
              </w:rPr>
            </w:pPr>
            <w:r w:rsidRPr="0072045E">
              <w:rPr>
                <w:rFonts w:cs="Arial"/>
                <w:b/>
                <w:bCs/>
              </w:rPr>
              <w:t>No significant level of autoantibodies detected</w:t>
            </w:r>
          </w:p>
        </w:tc>
        <w:tc>
          <w:tcPr>
            <w:tcW w:w="887" w:type="pct"/>
          </w:tcPr>
          <w:p w14:paraId="2A0951D9" w14:textId="77777777" w:rsidR="00651DD8" w:rsidRPr="0072045E" w:rsidRDefault="00651DD8" w:rsidP="00A27E29">
            <w:pPr>
              <w:pStyle w:val="Paragraphnonumbers"/>
              <w:spacing w:before="0" w:after="0"/>
              <w:jc w:val="both"/>
              <w:rPr>
                <w:rFonts w:cs="Arial"/>
                <w:b/>
                <w:bCs/>
              </w:rPr>
            </w:pPr>
            <w:r w:rsidRPr="0072045E">
              <w:rPr>
                <w:rFonts w:cs="Arial"/>
                <w:b/>
                <w:bCs/>
              </w:rPr>
              <w:t>Low cut-off value</w:t>
            </w:r>
          </w:p>
        </w:tc>
        <w:tc>
          <w:tcPr>
            <w:tcW w:w="726" w:type="pct"/>
            <w:vMerge w:val="restart"/>
          </w:tcPr>
          <w:p w14:paraId="4295B6D7" w14:textId="77777777" w:rsidR="00651DD8" w:rsidRPr="0072045E" w:rsidRDefault="00651DD8" w:rsidP="00A27E29">
            <w:pPr>
              <w:pStyle w:val="Paragraphnonumbers"/>
              <w:spacing w:before="0" w:after="0"/>
              <w:jc w:val="both"/>
              <w:rPr>
                <w:rFonts w:cs="Arial"/>
                <w:b/>
                <w:bCs/>
              </w:rPr>
            </w:pPr>
          </w:p>
          <w:p w14:paraId="04943B1D" w14:textId="77777777" w:rsidR="00651DD8" w:rsidRPr="0072045E" w:rsidRDefault="00651DD8" w:rsidP="00A27E29">
            <w:pPr>
              <w:pStyle w:val="Paragraphnonumbers"/>
              <w:spacing w:before="0" w:after="0"/>
              <w:jc w:val="both"/>
              <w:rPr>
                <w:rFonts w:cs="Arial"/>
                <w:b/>
                <w:bCs/>
              </w:rPr>
            </w:pPr>
          </w:p>
          <w:p w14:paraId="45AC7551" w14:textId="77777777" w:rsidR="00651DD8" w:rsidRPr="0072045E" w:rsidRDefault="00651DD8" w:rsidP="00A27E29">
            <w:pPr>
              <w:pStyle w:val="Paragraphnonumbers"/>
              <w:spacing w:before="0" w:after="0"/>
              <w:jc w:val="both"/>
              <w:rPr>
                <w:rFonts w:cs="Arial"/>
                <w:b/>
                <w:bCs/>
              </w:rPr>
            </w:pPr>
          </w:p>
          <w:p w14:paraId="041D7D98" w14:textId="77777777" w:rsidR="00651DD8" w:rsidRPr="0072045E" w:rsidRDefault="00651DD8" w:rsidP="00A27E29">
            <w:pPr>
              <w:pStyle w:val="Paragraphnonumbers"/>
              <w:spacing w:before="0" w:after="0"/>
              <w:jc w:val="both"/>
              <w:rPr>
                <w:rFonts w:cs="Arial"/>
                <w:b/>
                <w:bCs/>
              </w:rPr>
            </w:pPr>
            <w:r w:rsidRPr="0072045E">
              <w:rPr>
                <w:rFonts w:cs="Arial"/>
                <w:b/>
                <w:bCs/>
              </w:rPr>
              <w:t>Moderate level result</w:t>
            </w:r>
          </w:p>
        </w:tc>
        <w:tc>
          <w:tcPr>
            <w:tcW w:w="651" w:type="pct"/>
          </w:tcPr>
          <w:p w14:paraId="7A67E989" w14:textId="77777777" w:rsidR="00651DD8" w:rsidRPr="0072045E" w:rsidRDefault="00651DD8" w:rsidP="00A27E29">
            <w:pPr>
              <w:pStyle w:val="Paragraphnonumbers"/>
              <w:spacing w:before="0" w:after="0"/>
              <w:jc w:val="both"/>
              <w:rPr>
                <w:rFonts w:cs="Arial"/>
                <w:b/>
                <w:bCs/>
              </w:rPr>
            </w:pPr>
            <w:r w:rsidRPr="0072045E">
              <w:rPr>
                <w:rFonts w:cs="Arial"/>
                <w:b/>
                <w:bCs/>
              </w:rPr>
              <w:t>High cut-off value</w:t>
            </w:r>
          </w:p>
        </w:tc>
        <w:tc>
          <w:tcPr>
            <w:tcW w:w="651" w:type="pct"/>
            <w:vMerge w:val="restart"/>
          </w:tcPr>
          <w:p w14:paraId="7F772B3F" w14:textId="77777777" w:rsidR="00651DD8" w:rsidRPr="0072045E" w:rsidRDefault="00651DD8" w:rsidP="00A27E29">
            <w:pPr>
              <w:pStyle w:val="Paragraphnonumbers"/>
              <w:spacing w:before="0" w:after="0"/>
              <w:jc w:val="both"/>
              <w:rPr>
                <w:rFonts w:cs="Arial"/>
                <w:b/>
                <w:bCs/>
              </w:rPr>
            </w:pPr>
          </w:p>
          <w:p w14:paraId="19C3011B" w14:textId="77777777" w:rsidR="00651DD8" w:rsidRPr="0072045E" w:rsidRDefault="00651DD8" w:rsidP="00A27E29">
            <w:pPr>
              <w:pStyle w:val="Paragraphnonumbers"/>
              <w:spacing w:before="0" w:after="0"/>
              <w:jc w:val="both"/>
              <w:rPr>
                <w:rFonts w:cs="Arial"/>
                <w:b/>
                <w:bCs/>
              </w:rPr>
            </w:pPr>
          </w:p>
          <w:p w14:paraId="690E2DF7" w14:textId="77777777" w:rsidR="00651DD8" w:rsidRPr="0072045E" w:rsidRDefault="00651DD8" w:rsidP="00A27E29">
            <w:pPr>
              <w:pStyle w:val="Paragraphnonumbers"/>
              <w:spacing w:before="0" w:after="0"/>
              <w:jc w:val="both"/>
              <w:rPr>
                <w:rFonts w:cs="Arial"/>
                <w:b/>
                <w:bCs/>
              </w:rPr>
            </w:pPr>
          </w:p>
          <w:p w14:paraId="60064FAB" w14:textId="77777777" w:rsidR="00651DD8" w:rsidRPr="0072045E" w:rsidRDefault="00651DD8" w:rsidP="00A27E29">
            <w:pPr>
              <w:pStyle w:val="Paragraphnonumbers"/>
              <w:spacing w:before="0" w:after="0"/>
              <w:jc w:val="both"/>
              <w:rPr>
                <w:rFonts w:cs="Arial"/>
                <w:b/>
                <w:bCs/>
              </w:rPr>
            </w:pPr>
            <w:r w:rsidRPr="0072045E">
              <w:rPr>
                <w:rFonts w:cs="Arial"/>
                <w:b/>
                <w:bCs/>
              </w:rPr>
              <w:t>High level result</w:t>
            </w:r>
          </w:p>
        </w:tc>
      </w:tr>
      <w:tr w:rsidR="00651DD8" w:rsidRPr="0072045E" w14:paraId="06976669" w14:textId="77777777" w:rsidTr="00A27E29">
        <w:tc>
          <w:tcPr>
            <w:tcW w:w="997" w:type="pct"/>
          </w:tcPr>
          <w:p w14:paraId="3011C0E1" w14:textId="77777777" w:rsidR="00651DD8" w:rsidRPr="0072045E" w:rsidRDefault="00651DD8" w:rsidP="00A27E29">
            <w:pPr>
              <w:pStyle w:val="Paragraphnonumbers"/>
              <w:spacing w:before="0" w:after="0"/>
              <w:jc w:val="both"/>
              <w:rPr>
                <w:rFonts w:cs="Arial"/>
              </w:rPr>
            </w:pPr>
            <w:r w:rsidRPr="0072045E">
              <w:rPr>
                <w:rFonts w:cs="Arial"/>
              </w:rPr>
              <w:t xml:space="preserve">CAGE </w:t>
            </w:r>
          </w:p>
        </w:tc>
        <w:tc>
          <w:tcPr>
            <w:tcW w:w="1088" w:type="pct"/>
            <w:vMerge/>
          </w:tcPr>
          <w:p w14:paraId="34215061" w14:textId="77777777" w:rsidR="00651DD8" w:rsidRPr="0072045E" w:rsidRDefault="00651DD8" w:rsidP="00A27E29">
            <w:pPr>
              <w:pStyle w:val="Paragraphnonumbers"/>
              <w:spacing w:before="0" w:after="0"/>
              <w:jc w:val="both"/>
              <w:rPr>
                <w:rFonts w:cs="Arial"/>
              </w:rPr>
            </w:pPr>
          </w:p>
        </w:tc>
        <w:tc>
          <w:tcPr>
            <w:tcW w:w="887" w:type="pct"/>
          </w:tcPr>
          <w:p w14:paraId="7D156E81" w14:textId="77777777" w:rsidR="00651DD8" w:rsidRPr="0072045E" w:rsidRDefault="00651DD8" w:rsidP="00A27E29">
            <w:pPr>
              <w:pStyle w:val="Paragraphnonumbers"/>
              <w:spacing w:before="0" w:after="0"/>
              <w:jc w:val="both"/>
              <w:rPr>
                <w:rFonts w:cs="Arial"/>
              </w:rPr>
            </w:pPr>
            <w:r w:rsidRPr="0072045E">
              <w:rPr>
                <w:rFonts w:cs="Arial"/>
              </w:rPr>
              <w:t>4.25</w:t>
            </w:r>
          </w:p>
        </w:tc>
        <w:tc>
          <w:tcPr>
            <w:tcW w:w="726" w:type="pct"/>
            <w:vMerge/>
          </w:tcPr>
          <w:p w14:paraId="3A3D3FD4" w14:textId="77777777" w:rsidR="00651DD8" w:rsidRPr="0072045E" w:rsidRDefault="00651DD8" w:rsidP="00A27E29">
            <w:pPr>
              <w:pStyle w:val="Paragraphnonumbers"/>
              <w:spacing w:before="0" w:after="0"/>
              <w:jc w:val="both"/>
              <w:rPr>
                <w:rFonts w:cs="Arial"/>
              </w:rPr>
            </w:pPr>
          </w:p>
        </w:tc>
        <w:tc>
          <w:tcPr>
            <w:tcW w:w="651" w:type="pct"/>
          </w:tcPr>
          <w:p w14:paraId="5AC67052" w14:textId="77777777" w:rsidR="00651DD8" w:rsidRPr="0072045E" w:rsidRDefault="00651DD8" w:rsidP="00A27E29">
            <w:pPr>
              <w:pStyle w:val="Paragraphnonumbers"/>
              <w:spacing w:before="0" w:after="0"/>
              <w:jc w:val="both"/>
              <w:rPr>
                <w:rFonts w:cs="Arial"/>
              </w:rPr>
            </w:pPr>
            <w:r w:rsidRPr="0072045E">
              <w:rPr>
                <w:rFonts w:cs="Arial"/>
              </w:rPr>
              <w:t>5.27</w:t>
            </w:r>
          </w:p>
        </w:tc>
        <w:tc>
          <w:tcPr>
            <w:tcW w:w="651" w:type="pct"/>
            <w:vMerge/>
          </w:tcPr>
          <w:p w14:paraId="09CFDE7F" w14:textId="77777777" w:rsidR="00651DD8" w:rsidRPr="0072045E" w:rsidRDefault="00651DD8" w:rsidP="00A27E29">
            <w:pPr>
              <w:pStyle w:val="Paragraphnonumbers"/>
              <w:spacing w:before="0" w:after="0"/>
              <w:jc w:val="both"/>
              <w:rPr>
                <w:rFonts w:cs="Arial"/>
              </w:rPr>
            </w:pPr>
          </w:p>
        </w:tc>
      </w:tr>
      <w:tr w:rsidR="00651DD8" w:rsidRPr="0072045E" w14:paraId="5986B4BB" w14:textId="77777777" w:rsidTr="00A27E29">
        <w:tc>
          <w:tcPr>
            <w:tcW w:w="997" w:type="pct"/>
          </w:tcPr>
          <w:p w14:paraId="79408D6D" w14:textId="77777777" w:rsidR="00651DD8" w:rsidRPr="0072045E" w:rsidRDefault="00651DD8" w:rsidP="00A27E29">
            <w:pPr>
              <w:pStyle w:val="Paragraphnonumbers"/>
              <w:spacing w:before="0" w:after="0"/>
              <w:jc w:val="both"/>
              <w:rPr>
                <w:rFonts w:cs="Arial"/>
              </w:rPr>
            </w:pPr>
            <w:r w:rsidRPr="0072045E">
              <w:rPr>
                <w:rFonts w:cs="Arial"/>
              </w:rPr>
              <w:t>GBU4 5</w:t>
            </w:r>
          </w:p>
        </w:tc>
        <w:tc>
          <w:tcPr>
            <w:tcW w:w="1088" w:type="pct"/>
            <w:vMerge/>
          </w:tcPr>
          <w:p w14:paraId="3C7E9325" w14:textId="77777777" w:rsidR="00651DD8" w:rsidRPr="0072045E" w:rsidRDefault="00651DD8" w:rsidP="00A27E29">
            <w:pPr>
              <w:pStyle w:val="Paragraphnonumbers"/>
              <w:spacing w:before="0" w:after="0"/>
              <w:jc w:val="both"/>
              <w:rPr>
                <w:rFonts w:cs="Arial"/>
              </w:rPr>
            </w:pPr>
          </w:p>
        </w:tc>
        <w:tc>
          <w:tcPr>
            <w:tcW w:w="887" w:type="pct"/>
          </w:tcPr>
          <w:p w14:paraId="5EDFD8B8" w14:textId="77777777" w:rsidR="00651DD8" w:rsidRPr="0072045E" w:rsidRDefault="00651DD8" w:rsidP="00A27E29">
            <w:pPr>
              <w:pStyle w:val="Paragraphnonumbers"/>
              <w:spacing w:before="0" w:after="0"/>
              <w:jc w:val="both"/>
              <w:rPr>
                <w:rFonts w:cs="Arial"/>
              </w:rPr>
            </w:pPr>
            <w:r w:rsidRPr="0072045E">
              <w:rPr>
                <w:rFonts w:cs="Arial"/>
              </w:rPr>
              <w:t>4.36</w:t>
            </w:r>
          </w:p>
        </w:tc>
        <w:tc>
          <w:tcPr>
            <w:tcW w:w="726" w:type="pct"/>
            <w:vMerge/>
          </w:tcPr>
          <w:p w14:paraId="4C89E25C" w14:textId="77777777" w:rsidR="00651DD8" w:rsidRPr="0072045E" w:rsidRDefault="00651DD8" w:rsidP="00A27E29">
            <w:pPr>
              <w:pStyle w:val="Paragraphnonumbers"/>
              <w:spacing w:before="0" w:after="0"/>
              <w:jc w:val="both"/>
              <w:rPr>
                <w:rFonts w:cs="Arial"/>
              </w:rPr>
            </w:pPr>
          </w:p>
        </w:tc>
        <w:tc>
          <w:tcPr>
            <w:tcW w:w="651" w:type="pct"/>
          </w:tcPr>
          <w:p w14:paraId="60BDC341" w14:textId="77777777" w:rsidR="00651DD8" w:rsidRPr="0072045E" w:rsidRDefault="00651DD8" w:rsidP="00A27E29">
            <w:pPr>
              <w:pStyle w:val="Paragraphnonumbers"/>
              <w:spacing w:before="0" w:after="0"/>
              <w:jc w:val="both"/>
              <w:rPr>
                <w:rFonts w:cs="Arial"/>
              </w:rPr>
            </w:pPr>
            <w:r w:rsidRPr="0072045E">
              <w:rPr>
                <w:rFonts w:cs="Arial"/>
              </w:rPr>
              <w:t>5.92</w:t>
            </w:r>
          </w:p>
        </w:tc>
        <w:tc>
          <w:tcPr>
            <w:tcW w:w="651" w:type="pct"/>
            <w:vMerge/>
          </w:tcPr>
          <w:p w14:paraId="6AF87AAA" w14:textId="77777777" w:rsidR="00651DD8" w:rsidRPr="0072045E" w:rsidRDefault="00651DD8" w:rsidP="00A27E29">
            <w:pPr>
              <w:pStyle w:val="Paragraphnonumbers"/>
              <w:spacing w:before="0" w:after="0"/>
              <w:jc w:val="both"/>
              <w:rPr>
                <w:rFonts w:cs="Arial"/>
              </w:rPr>
            </w:pPr>
          </w:p>
        </w:tc>
      </w:tr>
      <w:tr w:rsidR="00651DD8" w:rsidRPr="0072045E" w14:paraId="1E98E03B" w14:textId="77777777" w:rsidTr="00A27E29">
        <w:tc>
          <w:tcPr>
            <w:tcW w:w="997" w:type="pct"/>
          </w:tcPr>
          <w:p w14:paraId="1FD05635" w14:textId="77777777" w:rsidR="00651DD8" w:rsidRPr="0072045E" w:rsidRDefault="00651DD8" w:rsidP="00A27E29">
            <w:pPr>
              <w:pStyle w:val="Paragraphnonumbers"/>
              <w:spacing w:before="0" w:after="0"/>
              <w:jc w:val="both"/>
              <w:rPr>
                <w:rFonts w:cs="Arial"/>
              </w:rPr>
            </w:pPr>
            <w:r w:rsidRPr="0072045E">
              <w:rPr>
                <w:rFonts w:cs="Arial"/>
              </w:rPr>
              <w:t>NYESO 1</w:t>
            </w:r>
          </w:p>
        </w:tc>
        <w:tc>
          <w:tcPr>
            <w:tcW w:w="1088" w:type="pct"/>
            <w:vMerge/>
          </w:tcPr>
          <w:p w14:paraId="1687F4CA" w14:textId="77777777" w:rsidR="00651DD8" w:rsidRPr="0072045E" w:rsidRDefault="00651DD8" w:rsidP="00A27E29">
            <w:pPr>
              <w:pStyle w:val="Paragraphnonumbers"/>
              <w:spacing w:before="0" w:after="0"/>
              <w:jc w:val="both"/>
              <w:rPr>
                <w:rFonts w:cs="Arial"/>
              </w:rPr>
            </w:pPr>
          </w:p>
        </w:tc>
        <w:tc>
          <w:tcPr>
            <w:tcW w:w="887" w:type="pct"/>
          </w:tcPr>
          <w:p w14:paraId="78C6B26F" w14:textId="77777777" w:rsidR="00651DD8" w:rsidRPr="0072045E" w:rsidRDefault="00651DD8" w:rsidP="00A27E29">
            <w:pPr>
              <w:pStyle w:val="Paragraphnonumbers"/>
              <w:spacing w:before="0" w:after="0"/>
              <w:jc w:val="both"/>
              <w:rPr>
                <w:rFonts w:cs="Arial"/>
              </w:rPr>
            </w:pPr>
            <w:r w:rsidRPr="0072045E">
              <w:rPr>
                <w:rFonts w:cs="Arial"/>
              </w:rPr>
              <w:t>3.02</w:t>
            </w:r>
          </w:p>
        </w:tc>
        <w:tc>
          <w:tcPr>
            <w:tcW w:w="726" w:type="pct"/>
            <w:vMerge/>
          </w:tcPr>
          <w:p w14:paraId="79B85058" w14:textId="77777777" w:rsidR="00651DD8" w:rsidRPr="0072045E" w:rsidRDefault="00651DD8" w:rsidP="00A27E29">
            <w:pPr>
              <w:pStyle w:val="Paragraphnonumbers"/>
              <w:spacing w:before="0" w:after="0"/>
              <w:jc w:val="both"/>
              <w:rPr>
                <w:rFonts w:cs="Arial"/>
              </w:rPr>
            </w:pPr>
          </w:p>
        </w:tc>
        <w:tc>
          <w:tcPr>
            <w:tcW w:w="651" w:type="pct"/>
          </w:tcPr>
          <w:p w14:paraId="2EEF4245" w14:textId="77777777" w:rsidR="00651DD8" w:rsidRPr="0072045E" w:rsidRDefault="00651DD8" w:rsidP="00A27E29">
            <w:pPr>
              <w:pStyle w:val="Paragraphnonumbers"/>
              <w:spacing w:before="0" w:after="0"/>
              <w:jc w:val="both"/>
              <w:rPr>
                <w:rFonts w:cs="Arial"/>
              </w:rPr>
            </w:pPr>
            <w:r w:rsidRPr="0072045E">
              <w:rPr>
                <w:rFonts w:cs="Arial"/>
              </w:rPr>
              <w:t>4.27</w:t>
            </w:r>
          </w:p>
        </w:tc>
        <w:tc>
          <w:tcPr>
            <w:tcW w:w="651" w:type="pct"/>
            <w:vMerge/>
          </w:tcPr>
          <w:p w14:paraId="2BCE261D" w14:textId="77777777" w:rsidR="00651DD8" w:rsidRPr="0072045E" w:rsidRDefault="00651DD8" w:rsidP="00A27E29">
            <w:pPr>
              <w:pStyle w:val="Paragraphnonumbers"/>
              <w:spacing w:before="0" w:after="0"/>
              <w:jc w:val="both"/>
              <w:rPr>
                <w:rFonts w:cs="Arial"/>
              </w:rPr>
            </w:pPr>
          </w:p>
        </w:tc>
      </w:tr>
      <w:tr w:rsidR="00651DD8" w:rsidRPr="0072045E" w14:paraId="5A560D45" w14:textId="77777777" w:rsidTr="00A27E29">
        <w:tc>
          <w:tcPr>
            <w:tcW w:w="997" w:type="pct"/>
          </w:tcPr>
          <w:p w14:paraId="69DF0C07" w14:textId="77777777" w:rsidR="00651DD8" w:rsidRPr="0072045E" w:rsidRDefault="00651DD8" w:rsidP="00A27E29">
            <w:pPr>
              <w:pStyle w:val="Paragraphnonumbers"/>
              <w:spacing w:before="0" w:after="0"/>
              <w:jc w:val="both"/>
              <w:rPr>
                <w:rFonts w:cs="Arial"/>
              </w:rPr>
            </w:pPr>
            <w:r w:rsidRPr="0072045E">
              <w:rPr>
                <w:rFonts w:cs="Arial"/>
              </w:rPr>
              <w:t>p53</w:t>
            </w:r>
          </w:p>
        </w:tc>
        <w:tc>
          <w:tcPr>
            <w:tcW w:w="1088" w:type="pct"/>
            <w:vMerge/>
          </w:tcPr>
          <w:p w14:paraId="2CDD4528" w14:textId="77777777" w:rsidR="00651DD8" w:rsidRPr="0072045E" w:rsidRDefault="00651DD8" w:rsidP="00A27E29">
            <w:pPr>
              <w:pStyle w:val="Paragraphnonumbers"/>
              <w:spacing w:before="0" w:after="0"/>
              <w:jc w:val="both"/>
              <w:rPr>
                <w:rFonts w:cs="Arial"/>
              </w:rPr>
            </w:pPr>
          </w:p>
        </w:tc>
        <w:tc>
          <w:tcPr>
            <w:tcW w:w="887" w:type="pct"/>
          </w:tcPr>
          <w:p w14:paraId="3FB2D67D" w14:textId="77777777" w:rsidR="00651DD8" w:rsidRPr="0072045E" w:rsidRDefault="00651DD8" w:rsidP="00A27E29">
            <w:pPr>
              <w:pStyle w:val="Paragraphnonumbers"/>
              <w:spacing w:before="0" w:after="0"/>
              <w:jc w:val="both"/>
              <w:rPr>
                <w:rFonts w:cs="Arial"/>
              </w:rPr>
            </w:pPr>
            <w:r w:rsidRPr="0072045E">
              <w:rPr>
                <w:rFonts w:cs="Arial"/>
              </w:rPr>
              <w:t>5.79</w:t>
            </w:r>
          </w:p>
        </w:tc>
        <w:tc>
          <w:tcPr>
            <w:tcW w:w="726" w:type="pct"/>
            <w:vMerge/>
          </w:tcPr>
          <w:p w14:paraId="4ADB53C6" w14:textId="77777777" w:rsidR="00651DD8" w:rsidRPr="0072045E" w:rsidRDefault="00651DD8" w:rsidP="00A27E29">
            <w:pPr>
              <w:pStyle w:val="Paragraphnonumbers"/>
              <w:spacing w:before="0" w:after="0"/>
              <w:jc w:val="both"/>
              <w:rPr>
                <w:rFonts w:cs="Arial"/>
              </w:rPr>
            </w:pPr>
          </w:p>
        </w:tc>
        <w:tc>
          <w:tcPr>
            <w:tcW w:w="651" w:type="pct"/>
          </w:tcPr>
          <w:p w14:paraId="5B29AF04" w14:textId="77777777" w:rsidR="00651DD8" w:rsidRPr="0072045E" w:rsidRDefault="00651DD8" w:rsidP="00A27E29">
            <w:pPr>
              <w:pStyle w:val="Paragraphnonumbers"/>
              <w:spacing w:before="0" w:after="0"/>
              <w:jc w:val="both"/>
              <w:rPr>
                <w:rFonts w:cs="Arial"/>
              </w:rPr>
            </w:pPr>
            <w:r w:rsidRPr="0072045E">
              <w:rPr>
                <w:rFonts w:cs="Arial"/>
              </w:rPr>
              <w:t>6.47</w:t>
            </w:r>
          </w:p>
        </w:tc>
        <w:tc>
          <w:tcPr>
            <w:tcW w:w="651" w:type="pct"/>
            <w:vMerge/>
          </w:tcPr>
          <w:p w14:paraId="692C0F5B" w14:textId="77777777" w:rsidR="00651DD8" w:rsidRPr="0072045E" w:rsidRDefault="00651DD8" w:rsidP="00A27E29">
            <w:pPr>
              <w:pStyle w:val="Paragraphnonumbers"/>
              <w:spacing w:before="0" w:after="0"/>
              <w:jc w:val="both"/>
              <w:rPr>
                <w:rFonts w:cs="Arial"/>
              </w:rPr>
            </w:pPr>
          </w:p>
        </w:tc>
      </w:tr>
      <w:tr w:rsidR="00651DD8" w:rsidRPr="0072045E" w14:paraId="01059F35" w14:textId="77777777" w:rsidTr="00A27E29">
        <w:tc>
          <w:tcPr>
            <w:tcW w:w="997" w:type="pct"/>
          </w:tcPr>
          <w:p w14:paraId="3247E988" w14:textId="77777777" w:rsidR="00651DD8" w:rsidRPr="0072045E" w:rsidRDefault="00651DD8" w:rsidP="00A27E29">
            <w:pPr>
              <w:pStyle w:val="Paragraphnonumbers"/>
              <w:spacing w:before="0" w:after="0"/>
              <w:jc w:val="both"/>
              <w:rPr>
                <w:rFonts w:cs="Arial"/>
              </w:rPr>
            </w:pPr>
            <w:r w:rsidRPr="0072045E">
              <w:rPr>
                <w:rFonts w:cs="Arial"/>
              </w:rPr>
              <w:t>SOX2</w:t>
            </w:r>
          </w:p>
        </w:tc>
        <w:tc>
          <w:tcPr>
            <w:tcW w:w="1088" w:type="pct"/>
            <w:vMerge/>
          </w:tcPr>
          <w:p w14:paraId="0BD6DB9A" w14:textId="77777777" w:rsidR="00651DD8" w:rsidRPr="0072045E" w:rsidRDefault="00651DD8" w:rsidP="00A27E29">
            <w:pPr>
              <w:pStyle w:val="Paragraphnonumbers"/>
              <w:spacing w:before="0" w:after="0"/>
              <w:jc w:val="both"/>
              <w:rPr>
                <w:rFonts w:cs="Arial"/>
              </w:rPr>
            </w:pPr>
          </w:p>
        </w:tc>
        <w:tc>
          <w:tcPr>
            <w:tcW w:w="887" w:type="pct"/>
          </w:tcPr>
          <w:p w14:paraId="4CB36A94" w14:textId="77777777" w:rsidR="00651DD8" w:rsidRPr="0072045E" w:rsidRDefault="00651DD8" w:rsidP="00A27E29">
            <w:pPr>
              <w:pStyle w:val="Paragraphnonumbers"/>
              <w:spacing w:before="0" w:after="0"/>
              <w:jc w:val="both"/>
              <w:rPr>
                <w:rFonts w:cs="Arial"/>
              </w:rPr>
            </w:pPr>
            <w:r w:rsidRPr="0072045E">
              <w:rPr>
                <w:rFonts w:cs="Arial"/>
              </w:rPr>
              <w:t>5.48</w:t>
            </w:r>
          </w:p>
        </w:tc>
        <w:tc>
          <w:tcPr>
            <w:tcW w:w="726" w:type="pct"/>
            <w:vMerge/>
          </w:tcPr>
          <w:p w14:paraId="1A0C7C1F" w14:textId="77777777" w:rsidR="00651DD8" w:rsidRPr="0072045E" w:rsidRDefault="00651DD8" w:rsidP="00A27E29">
            <w:pPr>
              <w:pStyle w:val="Paragraphnonumbers"/>
              <w:spacing w:before="0" w:after="0"/>
              <w:jc w:val="both"/>
              <w:rPr>
                <w:rFonts w:cs="Arial"/>
              </w:rPr>
            </w:pPr>
          </w:p>
        </w:tc>
        <w:tc>
          <w:tcPr>
            <w:tcW w:w="651" w:type="pct"/>
          </w:tcPr>
          <w:p w14:paraId="6C026842" w14:textId="77777777" w:rsidR="00651DD8" w:rsidRPr="0072045E" w:rsidRDefault="00651DD8" w:rsidP="00A27E29">
            <w:pPr>
              <w:pStyle w:val="Paragraphnonumbers"/>
              <w:spacing w:before="0" w:after="0"/>
              <w:jc w:val="both"/>
              <w:rPr>
                <w:rFonts w:cs="Arial"/>
              </w:rPr>
            </w:pPr>
            <w:r w:rsidRPr="0072045E">
              <w:rPr>
                <w:rFonts w:cs="Arial"/>
              </w:rPr>
              <w:t>5.58</w:t>
            </w:r>
          </w:p>
        </w:tc>
        <w:tc>
          <w:tcPr>
            <w:tcW w:w="651" w:type="pct"/>
            <w:vMerge/>
          </w:tcPr>
          <w:p w14:paraId="33669241" w14:textId="77777777" w:rsidR="00651DD8" w:rsidRPr="0072045E" w:rsidRDefault="00651DD8" w:rsidP="00A27E29">
            <w:pPr>
              <w:pStyle w:val="Paragraphnonumbers"/>
              <w:spacing w:before="0" w:after="0"/>
              <w:jc w:val="both"/>
              <w:rPr>
                <w:rFonts w:cs="Arial"/>
              </w:rPr>
            </w:pPr>
          </w:p>
        </w:tc>
      </w:tr>
      <w:tr w:rsidR="00651DD8" w:rsidRPr="0072045E" w14:paraId="2483ABB0" w14:textId="77777777" w:rsidTr="00A27E29">
        <w:tc>
          <w:tcPr>
            <w:tcW w:w="997" w:type="pct"/>
          </w:tcPr>
          <w:p w14:paraId="4FB974B1" w14:textId="77777777" w:rsidR="00651DD8" w:rsidRPr="0072045E" w:rsidRDefault="00651DD8" w:rsidP="00A27E29">
            <w:pPr>
              <w:pStyle w:val="Paragraphnonumbers"/>
              <w:spacing w:before="0" w:after="0"/>
              <w:jc w:val="both"/>
              <w:rPr>
                <w:rFonts w:cs="Arial"/>
              </w:rPr>
            </w:pPr>
            <w:r w:rsidRPr="0072045E">
              <w:rPr>
                <w:rFonts w:cs="Arial"/>
              </w:rPr>
              <w:t>MAGE A4</w:t>
            </w:r>
          </w:p>
        </w:tc>
        <w:tc>
          <w:tcPr>
            <w:tcW w:w="1088" w:type="pct"/>
            <w:vMerge/>
          </w:tcPr>
          <w:p w14:paraId="18BE8C3C" w14:textId="77777777" w:rsidR="00651DD8" w:rsidRPr="0072045E" w:rsidRDefault="00651DD8" w:rsidP="00A27E29">
            <w:pPr>
              <w:pStyle w:val="Paragraphnonumbers"/>
              <w:spacing w:before="0" w:after="0"/>
              <w:jc w:val="both"/>
              <w:rPr>
                <w:rFonts w:cs="Arial"/>
              </w:rPr>
            </w:pPr>
          </w:p>
        </w:tc>
        <w:tc>
          <w:tcPr>
            <w:tcW w:w="887" w:type="pct"/>
          </w:tcPr>
          <w:p w14:paraId="6116A83F" w14:textId="77777777" w:rsidR="00651DD8" w:rsidRPr="0072045E" w:rsidRDefault="00651DD8" w:rsidP="00A27E29">
            <w:pPr>
              <w:pStyle w:val="Paragraphnonumbers"/>
              <w:spacing w:before="0" w:after="0"/>
              <w:jc w:val="both"/>
              <w:rPr>
                <w:rFonts w:cs="Arial"/>
              </w:rPr>
            </w:pPr>
            <w:r w:rsidRPr="0072045E">
              <w:rPr>
                <w:rFonts w:cs="Arial"/>
              </w:rPr>
              <w:t>6.19</w:t>
            </w:r>
          </w:p>
        </w:tc>
        <w:tc>
          <w:tcPr>
            <w:tcW w:w="726" w:type="pct"/>
            <w:vMerge/>
          </w:tcPr>
          <w:p w14:paraId="3D41598B" w14:textId="77777777" w:rsidR="00651DD8" w:rsidRPr="0072045E" w:rsidRDefault="00651DD8" w:rsidP="00A27E29">
            <w:pPr>
              <w:pStyle w:val="Paragraphnonumbers"/>
              <w:spacing w:before="0" w:after="0"/>
              <w:jc w:val="both"/>
              <w:rPr>
                <w:rFonts w:cs="Arial"/>
              </w:rPr>
            </w:pPr>
          </w:p>
        </w:tc>
        <w:tc>
          <w:tcPr>
            <w:tcW w:w="651" w:type="pct"/>
          </w:tcPr>
          <w:p w14:paraId="0F150F7A" w14:textId="77777777" w:rsidR="00651DD8" w:rsidRPr="0072045E" w:rsidRDefault="00651DD8" w:rsidP="00A27E29">
            <w:pPr>
              <w:pStyle w:val="Paragraphnonumbers"/>
              <w:spacing w:before="0" w:after="0"/>
              <w:jc w:val="both"/>
              <w:rPr>
                <w:rFonts w:cs="Arial"/>
              </w:rPr>
            </w:pPr>
            <w:r w:rsidRPr="0072045E">
              <w:rPr>
                <w:rFonts w:cs="Arial"/>
              </w:rPr>
              <w:t>7.94</w:t>
            </w:r>
          </w:p>
        </w:tc>
        <w:tc>
          <w:tcPr>
            <w:tcW w:w="651" w:type="pct"/>
            <w:vMerge/>
          </w:tcPr>
          <w:p w14:paraId="35FF76F7" w14:textId="77777777" w:rsidR="00651DD8" w:rsidRPr="0072045E" w:rsidRDefault="00651DD8" w:rsidP="00A27E29">
            <w:pPr>
              <w:pStyle w:val="Paragraphnonumbers"/>
              <w:spacing w:before="0" w:after="0"/>
              <w:jc w:val="both"/>
              <w:rPr>
                <w:rFonts w:cs="Arial"/>
              </w:rPr>
            </w:pPr>
          </w:p>
        </w:tc>
      </w:tr>
      <w:tr w:rsidR="00651DD8" w:rsidRPr="0072045E" w14:paraId="01A56AB0" w14:textId="77777777" w:rsidTr="00A27E29">
        <w:tc>
          <w:tcPr>
            <w:tcW w:w="997" w:type="pct"/>
          </w:tcPr>
          <w:p w14:paraId="6A5E3D20" w14:textId="77777777" w:rsidR="00651DD8" w:rsidRPr="0072045E" w:rsidRDefault="00651DD8" w:rsidP="00A27E29">
            <w:pPr>
              <w:pStyle w:val="Paragraphnonumbers"/>
              <w:spacing w:before="0" w:after="0"/>
              <w:jc w:val="both"/>
              <w:rPr>
                <w:rFonts w:cs="Arial"/>
              </w:rPr>
            </w:pPr>
            <w:proofErr w:type="spellStart"/>
            <w:r w:rsidRPr="0072045E">
              <w:rPr>
                <w:rFonts w:cs="Arial"/>
              </w:rPr>
              <w:t>HuD</w:t>
            </w:r>
            <w:proofErr w:type="spellEnd"/>
          </w:p>
        </w:tc>
        <w:tc>
          <w:tcPr>
            <w:tcW w:w="1088" w:type="pct"/>
            <w:vMerge/>
          </w:tcPr>
          <w:p w14:paraId="3C5BEBB0" w14:textId="77777777" w:rsidR="00651DD8" w:rsidRPr="0072045E" w:rsidRDefault="00651DD8" w:rsidP="00A27E29">
            <w:pPr>
              <w:pStyle w:val="Paragraphnonumbers"/>
              <w:spacing w:before="0" w:after="0"/>
              <w:jc w:val="both"/>
              <w:rPr>
                <w:rFonts w:cs="Arial"/>
              </w:rPr>
            </w:pPr>
          </w:p>
        </w:tc>
        <w:tc>
          <w:tcPr>
            <w:tcW w:w="887" w:type="pct"/>
          </w:tcPr>
          <w:p w14:paraId="2D6D8A77" w14:textId="77777777" w:rsidR="00651DD8" w:rsidRPr="0072045E" w:rsidRDefault="00651DD8" w:rsidP="00A27E29">
            <w:pPr>
              <w:pStyle w:val="Paragraphnonumbers"/>
              <w:spacing w:before="0" w:after="0"/>
              <w:jc w:val="both"/>
              <w:rPr>
                <w:rFonts w:cs="Arial"/>
              </w:rPr>
            </w:pPr>
            <w:r w:rsidRPr="0072045E">
              <w:rPr>
                <w:rFonts w:cs="Arial"/>
              </w:rPr>
              <w:t>7.31</w:t>
            </w:r>
          </w:p>
        </w:tc>
        <w:tc>
          <w:tcPr>
            <w:tcW w:w="726" w:type="pct"/>
            <w:vMerge/>
          </w:tcPr>
          <w:p w14:paraId="5E65D4AA" w14:textId="77777777" w:rsidR="00651DD8" w:rsidRPr="0072045E" w:rsidRDefault="00651DD8" w:rsidP="00A27E29">
            <w:pPr>
              <w:pStyle w:val="Paragraphnonumbers"/>
              <w:spacing w:before="0" w:after="0"/>
              <w:jc w:val="both"/>
              <w:rPr>
                <w:rFonts w:cs="Arial"/>
              </w:rPr>
            </w:pPr>
          </w:p>
        </w:tc>
        <w:tc>
          <w:tcPr>
            <w:tcW w:w="651" w:type="pct"/>
          </w:tcPr>
          <w:p w14:paraId="039C6B02" w14:textId="77777777" w:rsidR="00651DD8" w:rsidRPr="0072045E" w:rsidRDefault="00651DD8" w:rsidP="00A27E29">
            <w:pPr>
              <w:pStyle w:val="Paragraphnonumbers"/>
              <w:spacing w:before="0" w:after="0"/>
              <w:jc w:val="both"/>
              <w:rPr>
                <w:rFonts w:cs="Arial"/>
              </w:rPr>
            </w:pPr>
            <w:r w:rsidRPr="0072045E">
              <w:rPr>
                <w:rFonts w:cs="Arial"/>
              </w:rPr>
              <w:t>8.15</w:t>
            </w:r>
          </w:p>
        </w:tc>
        <w:tc>
          <w:tcPr>
            <w:tcW w:w="651" w:type="pct"/>
            <w:vMerge/>
          </w:tcPr>
          <w:p w14:paraId="22C1D8C3" w14:textId="77777777" w:rsidR="00651DD8" w:rsidRPr="0072045E" w:rsidRDefault="00651DD8" w:rsidP="00A27E29">
            <w:pPr>
              <w:pStyle w:val="Paragraphnonumbers"/>
              <w:spacing w:before="0" w:after="0"/>
              <w:jc w:val="both"/>
              <w:rPr>
                <w:rFonts w:cs="Arial"/>
              </w:rPr>
            </w:pPr>
          </w:p>
        </w:tc>
      </w:tr>
    </w:tbl>
    <w:p w14:paraId="366B3BC4" w14:textId="77777777" w:rsidR="00ED7080" w:rsidRPr="0072045E" w:rsidRDefault="00ED7080" w:rsidP="00ED7080">
      <w:pPr>
        <w:pStyle w:val="Paragraphnonumbers"/>
        <w:rPr>
          <w:rFonts w:cs="Arial"/>
        </w:rPr>
      </w:pPr>
      <w:r w:rsidRPr="0072045E">
        <w:rPr>
          <w:rFonts w:cs="Arial"/>
        </w:rPr>
        <w:t xml:space="preserve">Results of </w:t>
      </w:r>
      <w:proofErr w:type="spellStart"/>
      <w:r w:rsidRPr="0072045E">
        <w:rPr>
          <w:rFonts w:cs="Arial"/>
        </w:rPr>
        <w:t>EarlyCDT</w:t>
      </w:r>
      <w:proofErr w:type="spellEnd"/>
      <w:r w:rsidRPr="0072045E">
        <w:rPr>
          <w:rFonts w:cs="Arial"/>
        </w:rPr>
        <w:t xml:space="preserve"> Lung tests are reported as: </w:t>
      </w:r>
    </w:p>
    <w:p w14:paraId="4AE09BAE" w14:textId="77777777" w:rsidR="00ED7080" w:rsidRPr="0072045E" w:rsidRDefault="00ED7080" w:rsidP="00ED7080">
      <w:pPr>
        <w:pStyle w:val="Bullets"/>
        <w:rPr>
          <w:rFonts w:cs="Arial"/>
          <w:b/>
          <w:bCs/>
        </w:rPr>
      </w:pPr>
      <w:r w:rsidRPr="0072045E">
        <w:rPr>
          <w:rFonts w:cs="Arial"/>
        </w:rPr>
        <w:t xml:space="preserve">No significant levels of autoantibodies detected (“flat”), </w:t>
      </w:r>
    </w:p>
    <w:p w14:paraId="25C13502" w14:textId="77777777" w:rsidR="00ED7080" w:rsidRPr="0072045E" w:rsidRDefault="00ED7080" w:rsidP="00ED7080">
      <w:pPr>
        <w:pStyle w:val="Bullets"/>
        <w:rPr>
          <w:rFonts w:cs="Arial"/>
          <w:b/>
          <w:bCs/>
        </w:rPr>
      </w:pPr>
      <w:r w:rsidRPr="0072045E">
        <w:rPr>
          <w:rFonts w:cs="Arial"/>
        </w:rPr>
        <w:t xml:space="preserve">positive-moderate, or </w:t>
      </w:r>
    </w:p>
    <w:p w14:paraId="001B5C8E" w14:textId="77777777" w:rsidR="00ED7080" w:rsidRPr="0072045E" w:rsidRDefault="00ED7080" w:rsidP="00ED7080">
      <w:pPr>
        <w:pStyle w:val="Bullets"/>
        <w:rPr>
          <w:rFonts w:cs="Arial"/>
          <w:b/>
          <w:bCs/>
        </w:rPr>
      </w:pPr>
      <w:r w:rsidRPr="0072045E">
        <w:rPr>
          <w:rFonts w:cs="Arial"/>
        </w:rPr>
        <w:t xml:space="preserve">positive-high. </w:t>
      </w:r>
    </w:p>
    <w:p w14:paraId="278AE3D9" w14:textId="00A4A1C7" w:rsidR="009E7A1C" w:rsidRPr="0072045E" w:rsidRDefault="003F25D3" w:rsidP="00472A57">
      <w:pPr>
        <w:pStyle w:val="Paragraphnonumbers"/>
        <w:rPr>
          <w:rFonts w:cs="Arial"/>
        </w:rPr>
      </w:pPr>
      <w:r w:rsidRPr="0072045E">
        <w:rPr>
          <w:rFonts w:cs="Arial"/>
        </w:rPr>
        <w:t xml:space="preserve">The positive-high cut-off of the </w:t>
      </w:r>
      <w:proofErr w:type="spellStart"/>
      <w:r w:rsidR="00885C83" w:rsidRPr="0072045E">
        <w:rPr>
          <w:rFonts w:cs="Arial"/>
        </w:rPr>
        <w:t>EarlyCDT</w:t>
      </w:r>
      <w:proofErr w:type="spellEnd"/>
      <w:r w:rsidR="00885C83" w:rsidRPr="0072045E">
        <w:rPr>
          <w:rFonts w:cs="Arial"/>
        </w:rPr>
        <w:t xml:space="preserve"> Lun</w:t>
      </w:r>
      <w:r w:rsidR="00F16EBE">
        <w:rPr>
          <w:rFonts w:cs="Arial"/>
        </w:rPr>
        <w:t>g</w:t>
      </w:r>
      <w:r w:rsidR="00885C83" w:rsidRPr="0072045E">
        <w:rPr>
          <w:rFonts w:cs="Arial"/>
        </w:rPr>
        <w:t xml:space="preserve"> test</w:t>
      </w:r>
      <w:r w:rsidRPr="0072045E">
        <w:rPr>
          <w:rFonts w:cs="Arial"/>
        </w:rPr>
        <w:t xml:space="preserve"> </w:t>
      </w:r>
      <w:r w:rsidR="00885C83" w:rsidRPr="0072045E">
        <w:rPr>
          <w:rFonts w:cs="Arial"/>
        </w:rPr>
        <w:t xml:space="preserve">is </w:t>
      </w:r>
      <w:r w:rsidRPr="0072045E">
        <w:rPr>
          <w:rFonts w:cs="Arial"/>
        </w:rPr>
        <w:t xml:space="preserve">set at </w:t>
      </w:r>
      <w:r w:rsidR="00F16EBE">
        <w:rPr>
          <w:rFonts w:cs="Arial"/>
        </w:rPr>
        <w:t>a</w:t>
      </w:r>
      <w:r w:rsidRPr="0072045E">
        <w:rPr>
          <w:rFonts w:cs="Arial"/>
        </w:rPr>
        <w:t xml:space="preserve"> specificity </w:t>
      </w:r>
      <w:r w:rsidR="00885C83" w:rsidRPr="0072045E">
        <w:rPr>
          <w:rFonts w:cs="Arial"/>
        </w:rPr>
        <w:t xml:space="preserve">of </w:t>
      </w:r>
      <w:r w:rsidRPr="0072045E">
        <w:rPr>
          <w:rFonts w:cs="Arial"/>
        </w:rPr>
        <w:t xml:space="preserve">98% </w:t>
      </w:r>
      <w:r w:rsidR="00F16EBE">
        <w:rPr>
          <w:rFonts w:cs="Arial"/>
        </w:rPr>
        <w:t>and</w:t>
      </w:r>
      <w:r w:rsidRPr="0072045E">
        <w:rPr>
          <w:rFonts w:cs="Arial"/>
        </w:rPr>
        <w:t xml:space="preserve"> the positive-moderate cut-off </w:t>
      </w:r>
      <w:r w:rsidR="00885C83" w:rsidRPr="0072045E">
        <w:rPr>
          <w:rFonts w:cs="Arial"/>
        </w:rPr>
        <w:t>at</w:t>
      </w:r>
      <w:r w:rsidRPr="0072045E">
        <w:rPr>
          <w:rFonts w:cs="Arial"/>
        </w:rPr>
        <w:t xml:space="preserve"> </w:t>
      </w:r>
      <w:r w:rsidR="00F16EBE">
        <w:rPr>
          <w:rFonts w:cs="Arial"/>
        </w:rPr>
        <w:t>a</w:t>
      </w:r>
      <w:r w:rsidRPr="0072045E">
        <w:rPr>
          <w:rFonts w:cs="Arial"/>
        </w:rPr>
        <w:t xml:space="preserve"> specificity </w:t>
      </w:r>
      <w:r w:rsidR="00885C83" w:rsidRPr="0072045E">
        <w:rPr>
          <w:rFonts w:cs="Arial"/>
        </w:rPr>
        <w:t>of</w:t>
      </w:r>
      <w:r w:rsidR="007445CE">
        <w:rPr>
          <w:rFonts w:cs="Arial"/>
        </w:rPr>
        <w:t xml:space="preserve"> </w:t>
      </w:r>
      <w:r w:rsidRPr="0072045E">
        <w:rPr>
          <w:rFonts w:cs="Arial"/>
        </w:rPr>
        <w:t>9</w:t>
      </w:r>
      <w:r w:rsidR="00A8624B">
        <w:rPr>
          <w:rFonts w:cs="Arial"/>
        </w:rPr>
        <w:t>3</w:t>
      </w:r>
      <w:r w:rsidRPr="0072045E">
        <w:rPr>
          <w:rFonts w:cs="Arial"/>
        </w:rPr>
        <w:t>%.</w:t>
      </w:r>
      <w:r w:rsidR="00885C83" w:rsidRPr="0072045E">
        <w:rPr>
          <w:rFonts w:cs="Arial"/>
        </w:rPr>
        <w:t xml:space="preserve"> </w:t>
      </w:r>
      <w:r w:rsidR="004E191B" w:rsidRPr="0072045E">
        <w:rPr>
          <w:rFonts w:cs="Arial"/>
        </w:rPr>
        <w:t>A patient</w:t>
      </w:r>
      <w:r w:rsidR="00651DD8" w:rsidRPr="0072045E">
        <w:rPr>
          <w:rFonts w:cs="Arial"/>
        </w:rPr>
        <w:t xml:space="preserve"> will have a pre-test</w:t>
      </w:r>
      <w:r w:rsidR="004E191B" w:rsidRPr="0072045E">
        <w:rPr>
          <w:rFonts w:cs="Arial"/>
        </w:rPr>
        <w:t xml:space="preserve"> risk of lung cancer predicted by their gender, age, smoking history, and other risk factors alone</w:t>
      </w:r>
      <w:r w:rsidR="00651DD8" w:rsidRPr="0072045E">
        <w:rPr>
          <w:rFonts w:cs="Arial"/>
        </w:rPr>
        <w:t>, calculated by the Brock nodule malignancy risk calculator.</w:t>
      </w:r>
      <w:r w:rsidR="004E191B" w:rsidRPr="0072045E">
        <w:rPr>
          <w:rFonts w:cs="Arial"/>
        </w:rPr>
        <w:t xml:space="preserve"> </w:t>
      </w:r>
      <w:r w:rsidR="00651DD8" w:rsidRPr="0072045E">
        <w:rPr>
          <w:rFonts w:cs="Arial"/>
        </w:rPr>
        <w:t xml:space="preserve">The </w:t>
      </w:r>
      <w:proofErr w:type="spellStart"/>
      <w:r w:rsidR="00651DD8" w:rsidRPr="0072045E">
        <w:rPr>
          <w:rFonts w:cs="Arial"/>
        </w:rPr>
        <w:t>EarlyCDT</w:t>
      </w:r>
      <w:proofErr w:type="spellEnd"/>
      <w:r w:rsidR="00651DD8" w:rsidRPr="0072045E">
        <w:rPr>
          <w:rFonts w:cs="Arial"/>
        </w:rPr>
        <w:t xml:space="preserve"> Lung test result updates this pre-test risk</w:t>
      </w:r>
      <w:r w:rsidR="00DE6130" w:rsidRPr="0072045E">
        <w:rPr>
          <w:rFonts w:cs="Arial"/>
        </w:rPr>
        <w:t xml:space="preserve"> </w:t>
      </w:r>
      <w:r w:rsidR="0087462A" w:rsidRPr="0072045E">
        <w:rPr>
          <w:rFonts w:cs="Arial"/>
        </w:rPr>
        <w:t xml:space="preserve">to </w:t>
      </w:r>
      <w:r w:rsidR="00F16EBE">
        <w:rPr>
          <w:rFonts w:cs="Arial"/>
        </w:rPr>
        <w:t>help</w:t>
      </w:r>
      <w:r w:rsidR="00962CEF" w:rsidRPr="0072045E">
        <w:rPr>
          <w:rFonts w:cs="Arial"/>
        </w:rPr>
        <w:t xml:space="preserve"> </w:t>
      </w:r>
      <w:r w:rsidR="00F16EBE">
        <w:rPr>
          <w:rFonts w:cs="Arial"/>
        </w:rPr>
        <w:t>c</w:t>
      </w:r>
      <w:r w:rsidR="00962CEF" w:rsidRPr="0072045E">
        <w:rPr>
          <w:rFonts w:cs="Arial"/>
        </w:rPr>
        <w:t xml:space="preserve">linicians </w:t>
      </w:r>
      <w:r w:rsidR="00F16EBE">
        <w:rPr>
          <w:rFonts w:cs="Arial"/>
        </w:rPr>
        <w:t>make</w:t>
      </w:r>
      <w:r w:rsidR="00962CEF" w:rsidRPr="0072045E">
        <w:rPr>
          <w:rFonts w:cs="Arial"/>
        </w:rPr>
        <w:t xml:space="preserve"> deci</w:t>
      </w:r>
      <w:r w:rsidR="00F16EBE">
        <w:rPr>
          <w:rFonts w:cs="Arial"/>
        </w:rPr>
        <w:t>sions about further testing</w:t>
      </w:r>
      <w:r w:rsidR="009E7A1C">
        <w:rPr>
          <w:rFonts w:cs="Arial"/>
        </w:rPr>
        <w:t xml:space="preserve"> or </w:t>
      </w:r>
      <w:r w:rsidR="00962CEF" w:rsidRPr="0072045E">
        <w:rPr>
          <w:rFonts w:cs="Arial"/>
        </w:rPr>
        <w:t>interv</w:t>
      </w:r>
      <w:r w:rsidR="00DE6130" w:rsidRPr="0072045E">
        <w:rPr>
          <w:rFonts w:cs="Arial"/>
        </w:rPr>
        <w:t>en</w:t>
      </w:r>
      <w:r w:rsidR="00962CEF" w:rsidRPr="0072045E">
        <w:rPr>
          <w:rFonts w:cs="Arial"/>
        </w:rPr>
        <w:t>tion.</w:t>
      </w:r>
      <w:r w:rsidR="00DE6130" w:rsidRPr="0072045E">
        <w:rPr>
          <w:rFonts w:cs="Arial"/>
        </w:rPr>
        <w:t xml:space="preserve"> </w:t>
      </w:r>
    </w:p>
    <w:p w14:paraId="332D431B" w14:textId="5A566F6A" w:rsidR="00EB2095" w:rsidRPr="0072045E" w:rsidRDefault="00EB2095" w:rsidP="007A149F">
      <w:pPr>
        <w:pStyle w:val="Paragraphnonumbers"/>
        <w:rPr>
          <w:rFonts w:cs="Arial"/>
        </w:rPr>
      </w:pPr>
      <w:r w:rsidRPr="0072045E">
        <w:rPr>
          <w:rFonts w:cs="Arial"/>
        </w:rPr>
        <w:t>A no significant level of autoantibodies detected result suggests the risk of having lung cancer is unchanged</w:t>
      </w:r>
      <w:r w:rsidR="00651DD8" w:rsidRPr="0072045E">
        <w:rPr>
          <w:rFonts w:cs="Arial"/>
        </w:rPr>
        <w:t xml:space="preserve"> from the pre-test risk</w:t>
      </w:r>
      <w:r w:rsidRPr="0072045E">
        <w:rPr>
          <w:rFonts w:cs="Arial"/>
        </w:rPr>
        <w:t xml:space="preserve">. This result would not rule out the possibility of having lung cancer. A </w:t>
      </w:r>
      <w:r w:rsidR="00651DD8" w:rsidRPr="0072045E">
        <w:rPr>
          <w:rFonts w:cs="Arial"/>
        </w:rPr>
        <w:t>positive-</w:t>
      </w:r>
      <w:r w:rsidRPr="0072045E">
        <w:rPr>
          <w:rFonts w:cs="Arial"/>
        </w:rPr>
        <w:t xml:space="preserve">moderate result </w:t>
      </w:r>
      <w:r w:rsidRPr="0072045E">
        <w:rPr>
          <w:rFonts w:cs="Arial"/>
        </w:rPr>
        <w:lastRenderedPageBreak/>
        <w:t>indicates that one or more autoantibodies were detected at an elevated level between the low and high cut off values</w:t>
      </w:r>
      <w:r w:rsidR="009E7A1C">
        <w:rPr>
          <w:rFonts w:cs="Arial"/>
        </w:rPr>
        <w:t xml:space="preserve">. </w:t>
      </w:r>
      <w:r w:rsidR="00DD42B5" w:rsidRPr="0072045E">
        <w:rPr>
          <w:rFonts w:cs="Arial"/>
        </w:rPr>
        <w:t xml:space="preserve">A </w:t>
      </w:r>
      <w:r w:rsidR="002809A2" w:rsidRPr="0072045E">
        <w:rPr>
          <w:rFonts w:cs="Arial"/>
        </w:rPr>
        <w:t>positive-high</w:t>
      </w:r>
      <w:r w:rsidR="007955AF" w:rsidRPr="0072045E">
        <w:rPr>
          <w:rFonts w:cs="Arial"/>
        </w:rPr>
        <w:t xml:space="preserve"> </w:t>
      </w:r>
      <w:r w:rsidR="00DD42B5" w:rsidRPr="0072045E">
        <w:rPr>
          <w:rFonts w:cs="Arial"/>
        </w:rPr>
        <w:t xml:space="preserve">result </w:t>
      </w:r>
      <w:r w:rsidR="007955AF" w:rsidRPr="0072045E">
        <w:rPr>
          <w:rFonts w:cs="Arial"/>
        </w:rPr>
        <w:t xml:space="preserve">indicates </w:t>
      </w:r>
      <w:r w:rsidR="00DD42B5" w:rsidRPr="0072045E">
        <w:rPr>
          <w:rFonts w:cs="Arial"/>
        </w:rPr>
        <w:t xml:space="preserve">that one or more autoantibodies were detected above the </w:t>
      </w:r>
      <w:r w:rsidR="00727C1E" w:rsidRPr="0072045E">
        <w:rPr>
          <w:rFonts w:cs="Arial"/>
        </w:rPr>
        <w:t xml:space="preserve">recommended </w:t>
      </w:r>
      <w:r w:rsidR="00DD42B5" w:rsidRPr="0072045E">
        <w:rPr>
          <w:rFonts w:cs="Arial"/>
        </w:rPr>
        <w:t xml:space="preserve">high </w:t>
      </w:r>
      <w:r w:rsidR="00E5782D" w:rsidRPr="0072045E">
        <w:rPr>
          <w:rFonts w:cs="Arial"/>
        </w:rPr>
        <w:t>cut</w:t>
      </w:r>
      <w:r w:rsidR="00651DD8" w:rsidRPr="0072045E">
        <w:rPr>
          <w:rFonts w:cs="Arial"/>
        </w:rPr>
        <w:t>-</w:t>
      </w:r>
      <w:r w:rsidR="00E5782D" w:rsidRPr="0072045E">
        <w:rPr>
          <w:rFonts w:cs="Arial"/>
        </w:rPr>
        <w:t>off</w:t>
      </w:r>
      <w:r w:rsidR="00DD42B5" w:rsidRPr="0072045E">
        <w:rPr>
          <w:rFonts w:cs="Arial"/>
        </w:rPr>
        <w:t xml:space="preserve">. </w:t>
      </w:r>
      <w:r w:rsidR="009E7A1C">
        <w:rPr>
          <w:rFonts w:cs="Arial"/>
        </w:rPr>
        <w:t>A positive result, either moderate or high,</w:t>
      </w:r>
      <w:r w:rsidR="009E7A1C" w:rsidRPr="0072045E">
        <w:rPr>
          <w:rFonts w:cs="Arial"/>
        </w:rPr>
        <w:t xml:space="preserve"> </w:t>
      </w:r>
      <w:r w:rsidR="00DD42B5" w:rsidRPr="0072045E">
        <w:rPr>
          <w:rFonts w:cs="Arial"/>
        </w:rPr>
        <w:t>suggest</w:t>
      </w:r>
      <w:r w:rsidR="00360B0A" w:rsidRPr="0072045E">
        <w:rPr>
          <w:rFonts w:cs="Arial"/>
        </w:rPr>
        <w:t>s</w:t>
      </w:r>
      <w:r w:rsidR="00DD42B5" w:rsidRPr="0072045E">
        <w:rPr>
          <w:rFonts w:cs="Arial"/>
        </w:rPr>
        <w:t xml:space="preserve"> that the likelihood of lung cancer is greater than </w:t>
      </w:r>
      <w:r w:rsidR="00360B0A" w:rsidRPr="0072045E">
        <w:rPr>
          <w:rFonts w:cs="Arial"/>
        </w:rPr>
        <w:t xml:space="preserve">that </w:t>
      </w:r>
      <w:r w:rsidR="00DD42B5" w:rsidRPr="0072045E">
        <w:rPr>
          <w:rFonts w:cs="Arial"/>
        </w:rPr>
        <w:t xml:space="preserve">predicted by </w:t>
      </w:r>
      <w:r w:rsidR="00FA6717">
        <w:rPr>
          <w:rFonts w:cs="Arial"/>
        </w:rPr>
        <w:t xml:space="preserve">the Brock nodule malignancy </w:t>
      </w:r>
      <w:r w:rsidR="00360B0A" w:rsidRPr="0072045E">
        <w:rPr>
          <w:rFonts w:cs="Arial"/>
        </w:rPr>
        <w:t>risk calculator</w:t>
      </w:r>
      <w:r w:rsidR="00DD42B5" w:rsidRPr="0072045E">
        <w:rPr>
          <w:rFonts w:cs="Arial"/>
        </w:rPr>
        <w:t>.</w:t>
      </w:r>
      <w:r w:rsidR="00CA3694" w:rsidRPr="0072045E">
        <w:rPr>
          <w:rFonts w:cs="Arial"/>
        </w:rPr>
        <w:t xml:space="preserve"> </w:t>
      </w:r>
      <w:r w:rsidR="001B15F8" w:rsidRPr="0072045E">
        <w:rPr>
          <w:rFonts w:cs="Arial"/>
        </w:rPr>
        <w:t xml:space="preserve">A </w:t>
      </w:r>
      <w:r w:rsidR="009E7A1C">
        <w:rPr>
          <w:rFonts w:cs="Arial"/>
        </w:rPr>
        <w:t>positive</w:t>
      </w:r>
      <w:r w:rsidR="001B15F8" w:rsidRPr="0072045E">
        <w:rPr>
          <w:rFonts w:cs="Arial"/>
        </w:rPr>
        <w:t xml:space="preserve"> result </w:t>
      </w:r>
      <w:r w:rsidR="009E7A1C">
        <w:rPr>
          <w:rFonts w:cs="Arial"/>
        </w:rPr>
        <w:t>does</w:t>
      </w:r>
      <w:r w:rsidR="009E7A1C" w:rsidRPr="0072045E">
        <w:rPr>
          <w:rFonts w:cs="Arial"/>
        </w:rPr>
        <w:t xml:space="preserve"> </w:t>
      </w:r>
      <w:r w:rsidR="001B15F8" w:rsidRPr="0072045E">
        <w:rPr>
          <w:rFonts w:cs="Arial"/>
        </w:rPr>
        <w:t>not</w:t>
      </w:r>
      <w:r w:rsidR="00DD42B5" w:rsidRPr="0072045E">
        <w:rPr>
          <w:rFonts w:cs="Arial"/>
        </w:rPr>
        <w:t xml:space="preserve"> mean that lung cancer is present. A physician may recommend additional testing, including a PET</w:t>
      </w:r>
      <w:r w:rsidR="00BE630B">
        <w:rPr>
          <w:rFonts w:cs="Arial"/>
        </w:rPr>
        <w:t>-CT</w:t>
      </w:r>
      <w:r w:rsidR="00DD42B5" w:rsidRPr="0072045E">
        <w:rPr>
          <w:rFonts w:cs="Arial"/>
        </w:rPr>
        <w:t xml:space="preserve"> scan, bronchoscopy, needle biopsy, or other testing. </w:t>
      </w:r>
    </w:p>
    <w:p w14:paraId="1A1971E0" w14:textId="50E98BB3" w:rsidR="00885C83" w:rsidRPr="0072045E" w:rsidRDefault="00885C83" w:rsidP="007A149F">
      <w:pPr>
        <w:pStyle w:val="Paragraphnonumbers"/>
        <w:rPr>
          <w:rFonts w:cs="Arial"/>
        </w:rPr>
      </w:pPr>
      <w:r w:rsidRPr="0072045E">
        <w:rPr>
          <w:rFonts w:cs="Arial"/>
        </w:rPr>
        <w:t xml:space="preserve">The adjustment to </w:t>
      </w:r>
      <w:r w:rsidR="009E7A1C">
        <w:rPr>
          <w:rFonts w:cs="Arial"/>
        </w:rPr>
        <w:t>percentage risk</w:t>
      </w:r>
      <w:r w:rsidRPr="0072045E">
        <w:rPr>
          <w:rFonts w:cs="Arial"/>
        </w:rPr>
        <w:t xml:space="preserve"> of nodule malignancy is based on a baseline (pre-</w:t>
      </w:r>
      <w:proofErr w:type="spellStart"/>
      <w:r w:rsidRPr="0072045E">
        <w:rPr>
          <w:rFonts w:cs="Arial"/>
        </w:rPr>
        <w:t>EarlyCDT</w:t>
      </w:r>
      <w:proofErr w:type="spellEnd"/>
      <w:r w:rsidRPr="0072045E">
        <w:rPr>
          <w:rFonts w:cs="Arial"/>
        </w:rPr>
        <w:t xml:space="preserve"> Lung) risk calculated by the Brock nodule malignancy risk calculator. </w:t>
      </w:r>
      <w:r w:rsidR="0055039D" w:rsidRPr="0072045E">
        <w:rPr>
          <w:rFonts w:cs="Arial"/>
        </w:rPr>
        <w:t xml:space="preserve">The </w:t>
      </w:r>
      <w:proofErr w:type="spellStart"/>
      <w:r w:rsidR="0055039D" w:rsidRPr="0072045E">
        <w:rPr>
          <w:rFonts w:cs="Arial"/>
        </w:rPr>
        <w:t>EarlyCDT</w:t>
      </w:r>
      <w:proofErr w:type="spellEnd"/>
      <w:r w:rsidR="0055039D" w:rsidRPr="0072045E">
        <w:rPr>
          <w:rFonts w:cs="Arial"/>
        </w:rPr>
        <w:t xml:space="preserve"> </w:t>
      </w:r>
      <w:r w:rsidR="00BE630B">
        <w:rPr>
          <w:rFonts w:cs="Arial"/>
        </w:rPr>
        <w:t>L</w:t>
      </w:r>
      <w:r w:rsidR="0055039D" w:rsidRPr="0072045E">
        <w:rPr>
          <w:rFonts w:cs="Arial"/>
        </w:rPr>
        <w:t xml:space="preserve">ung </w:t>
      </w:r>
      <w:r w:rsidR="00BE630B">
        <w:rPr>
          <w:rFonts w:cs="Arial"/>
        </w:rPr>
        <w:t xml:space="preserve">test kit </w:t>
      </w:r>
      <w:r w:rsidR="0055039D" w:rsidRPr="0072045E">
        <w:rPr>
          <w:rFonts w:cs="Arial"/>
        </w:rPr>
        <w:t>c</w:t>
      </w:r>
      <w:r w:rsidR="00DE6130" w:rsidRPr="0072045E">
        <w:rPr>
          <w:rFonts w:cs="Arial"/>
        </w:rPr>
        <w:t>o</w:t>
      </w:r>
      <w:r w:rsidR="0055039D" w:rsidRPr="0072045E">
        <w:rPr>
          <w:rFonts w:cs="Arial"/>
        </w:rPr>
        <w:t>me</w:t>
      </w:r>
      <w:r w:rsidR="00C57E57" w:rsidRPr="0072045E">
        <w:rPr>
          <w:rFonts w:cs="Arial"/>
        </w:rPr>
        <w:t>s</w:t>
      </w:r>
      <w:r w:rsidR="0055039D" w:rsidRPr="0072045E">
        <w:rPr>
          <w:rFonts w:cs="Arial"/>
        </w:rPr>
        <w:t xml:space="preserve"> with a graph show</w:t>
      </w:r>
      <w:r w:rsidR="00C57E57" w:rsidRPr="0072045E">
        <w:rPr>
          <w:rFonts w:cs="Arial"/>
        </w:rPr>
        <w:t>ing</w:t>
      </w:r>
      <w:r w:rsidR="0055039D" w:rsidRPr="0072045E">
        <w:rPr>
          <w:rFonts w:cs="Arial"/>
        </w:rPr>
        <w:t xml:space="preserve"> how the </w:t>
      </w:r>
      <w:r w:rsidR="00BE630B" w:rsidRPr="0072045E">
        <w:rPr>
          <w:rFonts w:cs="Arial"/>
        </w:rPr>
        <w:t>pre</w:t>
      </w:r>
      <w:r w:rsidR="00BE630B">
        <w:rPr>
          <w:rFonts w:cs="Arial"/>
        </w:rPr>
        <w:t>-</w:t>
      </w:r>
      <w:r w:rsidR="00C57E57" w:rsidRPr="0072045E">
        <w:rPr>
          <w:rFonts w:cs="Arial"/>
        </w:rPr>
        <w:t xml:space="preserve">test </w:t>
      </w:r>
      <w:r w:rsidR="0055039D" w:rsidRPr="0072045E">
        <w:rPr>
          <w:rFonts w:cs="Arial"/>
        </w:rPr>
        <w:t xml:space="preserve">risk scores </w:t>
      </w:r>
      <w:r w:rsidR="00C57E57" w:rsidRPr="0072045E">
        <w:rPr>
          <w:rFonts w:cs="Arial"/>
        </w:rPr>
        <w:t>would be</w:t>
      </w:r>
      <w:r w:rsidR="0055039D" w:rsidRPr="0072045E">
        <w:rPr>
          <w:rFonts w:cs="Arial"/>
        </w:rPr>
        <w:t xml:space="preserve"> affected when the test</w:t>
      </w:r>
      <w:r w:rsidR="00BE630B">
        <w:rPr>
          <w:rFonts w:cs="Arial"/>
        </w:rPr>
        <w:t xml:space="preserve"> result</w:t>
      </w:r>
      <w:r w:rsidR="0055039D" w:rsidRPr="0072045E">
        <w:rPr>
          <w:rFonts w:cs="Arial"/>
        </w:rPr>
        <w:t xml:space="preserve"> is applied</w:t>
      </w:r>
      <w:r w:rsidR="00FA6717">
        <w:rPr>
          <w:rFonts w:cs="Arial"/>
        </w:rPr>
        <w:t xml:space="preserve"> (</w:t>
      </w:r>
      <w:r w:rsidR="0055039D" w:rsidRPr="0072045E">
        <w:rPr>
          <w:rFonts w:cs="Arial"/>
        </w:rPr>
        <w:t>Figure 1</w:t>
      </w:r>
      <w:r w:rsidR="00FA6717">
        <w:rPr>
          <w:rFonts w:cs="Arial"/>
        </w:rPr>
        <w:t>)</w:t>
      </w:r>
      <w:r w:rsidR="0055039D" w:rsidRPr="0072045E">
        <w:rPr>
          <w:rFonts w:cs="Arial"/>
        </w:rPr>
        <w:t>.</w:t>
      </w:r>
      <w:r w:rsidR="007445CE" w:rsidRPr="007445CE">
        <w:rPr>
          <w:rFonts w:cs="Arial"/>
        </w:rPr>
        <w:t xml:space="preserve"> </w:t>
      </w:r>
    </w:p>
    <w:p w14:paraId="2C67E623" w14:textId="71DFBEE3" w:rsidR="007C5C60" w:rsidRPr="0072045E" w:rsidRDefault="007C5C60" w:rsidP="007C5C60">
      <w:pPr>
        <w:pStyle w:val="Caption"/>
        <w:keepNext/>
        <w:rPr>
          <w:rFonts w:ascii="Arial" w:hAnsi="Arial" w:cs="Arial"/>
          <w:sz w:val="24"/>
          <w:szCs w:val="24"/>
        </w:rPr>
      </w:pPr>
      <w:r w:rsidRPr="0072045E">
        <w:rPr>
          <w:rFonts w:ascii="Arial" w:hAnsi="Arial" w:cs="Arial"/>
          <w:sz w:val="24"/>
          <w:szCs w:val="24"/>
        </w:rPr>
        <w:t xml:space="preserve">Figure </w:t>
      </w:r>
      <w:r w:rsidRPr="0072045E">
        <w:rPr>
          <w:rFonts w:ascii="Arial" w:hAnsi="Arial" w:cs="Arial"/>
          <w:sz w:val="24"/>
          <w:szCs w:val="24"/>
        </w:rPr>
        <w:fldChar w:fldCharType="begin"/>
      </w:r>
      <w:r w:rsidRPr="0072045E">
        <w:rPr>
          <w:rFonts w:ascii="Arial" w:hAnsi="Arial" w:cs="Arial"/>
          <w:sz w:val="24"/>
          <w:szCs w:val="24"/>
        </w:rPr>
        <w:instrText xml:space="preserve"> SEQ Figure \* ARABIC </w:instrText>
      </w:r>
      <w:r w:rsidRPr="0072045E">
        <w:rPr>
          <w:rFonts w:ascii="Arial" w:hAnsi="Arial" w:cs="Arial"/>
          <w:sz w:val="24"/>
          <w:szCs w:val="24"/>
        </w:rPr>
        <w:fldChar w:fldCharType="separate"/>
      </w:r>
      <w:r w:rsidR="0019249A">
        <w:rPr>
          <w:rFonts w:ascii="Arial" w:hAnsi="Arial" w:cs="Arial"/>
          <w:noProof/>
          <w:sz w:val="24"/>
          <w:szCs w:val="24"/>
        </w:rPr>
        <w:t>1</w:t>
      </w:r>
      <w:r w:rsidRPr="0072045E">
        <w:rPr>
          <w:rFonts w:ascii="Arial" w:hAnsi="Arial" w:cs="Arial"/>
          <w:sz w:val="24"/>
          <w:szCs w:val="24"/>
        </w:rPr>
        <w:fldChar w:fldCharType="end"/>
      </w:r>
      <w:r w:rsidRPr="0072045E">
        <w:rPr>
          <w:rFonts w:ascii="Arial" w:hAnsi="Arial" w:cs="Arial"/>
          <w:sz w:val="24"/>
          <w:szCs w:val="24"/>
        </w:rPr>
        <w:t xml:space="preserve">: </w:t>
      </w:r>
      <w:proofErr w:type="spellStart"/>
      <w:r w:rsidRPr="0072045E">
        <w:rPr>
          <w:rFonts w:ascii="Arial" w:hAnsi="Arial" w:cs="Arial"/>
          <w:sz w:val="24"/>
          <w:szCs w:val="24"/>
        </w:rPr>
        <w:t>EarlyCDT</w:t>
      </w:r>
      <w:proofErr w:type="spellEnd"/>
      <w:r w:rsidRPr="0072045E">
        <w:rPr>
          <w:rFonts w:ascii="Arial" w:hAnsi="Arial" w:cs="Arial"/>
          <w:sz w:val="24"/>
          <w:szCs w:val="24"/>
        </w:rPr>
        <w:t xml:space="preserve"> Lung risk of malignancy pre-test and at positive moderate and high levels</w:t>
      </w:r>
    </w:p>
    <w:p w14:paraId="30684E3A" w14:textId="2069AEAC" w:rsidR="00885C83" w:rsidRPr="0072045E" w:rsidRDefault="007C5C60" w:rsidP="007C5C60">
      <w:pPr>
        <w:pStyle w:val="Paragraphnonumbers"/>
        <w:rPr>
          <w:rFonts w:cs="Arial"/>
        </w:rPr>
      </w:pPr>
      <w:r w:rsidRPr="0072045E">
        <w:rPr>
          <w:rFonts w:cs="Arial"/>
          <w:noProof/>
        </w:rPr>
        <w:drawing>
          <wp:inline distT="0" distB="0" distL="0" distR="0" wp14:anchorId="465DCC22" wp14:editId="5DCCB514">
            <wp:extent cx="5274310" cy="382270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822700"/>
                    </a:xfrm>
                    <a:prstGeom prst="rect">
                      <a:avLst/>
                    </a:prstGeom>
                  </pic:spPr>
                </pic:pic>
              </a:graphicData>
            </a:graphic>
          </wp:inline>
        </w:drawing>
      </w:r>
    </w:p>
    <w:p w14:paraId="0F33E605" w14:textId="7E5ECEE1" w:rsidR="00470D7E" w:rsidRPr="0072045E" w:rsidRDefault="00470D7E" w:rsidP="0000692B">
      <w:pPr>
        <w:pStyle w:val="Paragraphnonumbers"/>
      </w:pPr>
      <w:proofErr w:type="spellStart"/>
      <w:r>
        <w:t>Oncimmune</w:t>
      </w:r>
      <w:proofErr w:type="spellEnd"/>
      <w:r w:rsidR="00DA3970" w:rsidRPr="0072045E">
        <w:t xml:space="preserve"> has stated that </w:t>
      </w:r>
      <w:r w:rsidR="0031404F">
        <w:t xml:space="preserve">the </w:t>
      </w:r>
      <w:r w:rsidR="00BE630B">
        <w:t>black</w:t>
      </w:r>
      <w:r w:rsidR="00DA3970" w:rsidRPr="0072045E">
        <w:t xml:space="preserve"> dots represent </w:t>
      </w:r>
      <w:r w:rsidR="00BE630B">
        <w:t>the baseline risk of malignancy</w:t>
      </w:r>
      <w:r w:rsidR="00DA3970" w:rsidRPr="0072045E">
        <w:t>. The orange dot</w:t>
      </w:r>
      <w:r w:rsidR="00BE630B">
        <w:t xml:space="preserve">s </w:t>
      </w:r>
      <w:r w:rsidR="00DA3970" w:rsidRPr="0072045E">
        <w:t xml:space="preserve">represent the risk </w:t>
      </w:r>
      <w:r w:rsidR="00BE630B">
        <w:t>of malignancy across different baseline risks combined with a</w:t>
      </w:r>
      <w:r w:rsidR="00DA3970" w:rsidRPr="0072045E">
        <w:t xml:space="preserve"> </w:t>
      </w:r>
      <w:bookmarkStart w:id="14" w:name="_Hlk62458689"/>
      <w:r w:rsidR="00DA3970" w:rsidRPr="0072045E">
        <w:t xml:space="preserve">positive-moderate </w:t>
      </w:r>
      <w:bookmarkEnd w:id="14"/>
      <w:proofErr w:type="spellStart"/>
      <w:r w:rsidR="00DA3970" w:rsidRPr="0072045E">
        <w:t>EarlyCDT</w:t>
      </w:r>
      <w:proofErr w:type="spellEnd"/>
      <w:r w:rsidR="00DA3970" w:rsidRPr="0072045E">
        <w:t xml:space="preserve"> Lung result. The red dot</w:t>
      </w:r>
      <w:r w:rsidR="00BE630B">
        <w:t>s</w:t>
      </w:r>
      <w:r w:rsidR="00DA3970" w:rsidRPr="0072045E">
        <w:t xml:space="preserve"> represent the risk </w:t>
      </w:r>
      <w:r w:rsidR="00BE630B">
        <w:t xml:space="preserve">of malignancy across different baseline risks combined with </w:t>
      </w:r>
      <w:r w:rsidR="00DA3970" w:rsidRPr="0072045E">
        <w:t xml:space="preserve">a positive-high </w:t>
      </w:r>
      <w:proofErr w:type="spellStart"/>
      <w:r w:rsidR="00DA3970" w:rsidRPr="0072045E">
        <w:t>EarlyCDT</w:t>
      </w:r>
      <w:proofErr w:type="spellEnd"/>
      <w:r w:rsidR="00DA3970" w:rsidRPr="0072045E">
        <w:t xml:space="preserve"> Lung result. </w:t>
      </w:r>
      <w:r>
        <w:t xml:space="preserve">Mathematically, the </w:t>
      </w:r>
      <w:r>
        <w:lastRenderedPageBreak/>
        <w:t xml:space="preserve">post-test risk </w:t>
      </w:r>
      <w:r w:rsidR="00FA6717">
        <w:t>(</w:t>
      </w:r>
      <w:r>
        <w:t>r1</w:t>
      </w:r>
      <w:r w:rsidR="00FA6717">
        <w:t>)</w:t>
      </w:r>
      <w:r>
        <w:t xml:space="preserve"> is calculated from the baseline risk </w:t>
      </w:r>
      <w:r w:rsidR="00FA6717">
        <w:t>(</w:t>
      </w:r>
      <w:r>
        <w:t>r0</w:t>
      </w:r>
      <w:r w:rsidR="00FA6717">
        <w:t>)</w:t>
      </w:r>
      <w:r>
        <w:t xml:space="preserve">, </w:t>
      </w:r>
      <w:r w:rsidRPr="0072045E">
        <w:t>specificity and sensitivity (all on a scale of 0 to 1)</w:t>
      </w:r>
      <w:r>
        <w:t xml:space="preserve">. </w:t>
      </w:r>
    </w:p>
    <w:p w14:paraId="486ADFD7" w14:textId="63F118CE" w:rsidR="00DA3970" w:rsidRPr="003D1DD8" w:rsidRDefault="00DA3970" w:rsidP="0000692B">
      <w:pPr>
        <w:pStyle w:val="Paragraphnonumbers"/>
        <w:rPr>
          <w:rFonts w:cs="Arial"/>
          <w:color w:val="262626" w:themeColor="text1" w:themeTint="D9"/>
          <w:lang w:val="sv-SE"/>
        </w:rPr>
      </w:pPr>
      <w:r w:rsidRPr="003D1DD8">
        <w:rPr>
          <w:rFonts w:cs="Arial"/>
          <w:color w:val="262626" w:themeColor="text1" w:themeTint="D9"/>
          <w:shd w:val="clear" w:color="auto" w:fill="FFFFFF"/>
          <w:lang w:val="sv-SE"/>
        </w:rPr>
        <w:t>z=(r0/(1-r0))*(sens/(1-spec))</w:t>
      </w:r>
    </w:p>
    <w:p w14:paraId="314C7C4D" w14:textId="77777777" w:rsidR="00470D7E" w:rsidRPr="003D1DD8" w:rsidRDefault="00DA3970" w:rsidP="00470D7E">
      <w:pPr>
        <w:pStyle w:val="Paragraphnonumbers"/>
        <w:rPr>
          <w:lang w:val="sv-SE"/>
        </w:rPr>
      </w:pPr>
      <w:r w:rsidRPr="003D1DD8">
        <w:rPr>
          <w:rFonts w:cs="Arial"/>
          <w:color w:val="262626" w:themeColor="text1" w:themeTint="D9"/>
          <w:shd w:val="clear" w:color="auto" w:fill="FFFFFF"/>
          <w:lang w:val="sv-SE"/>
        </w:rPr>
        <w:t>r1=z/(1+z)</w:t>
      </w:r>
      <w:r w:rsidR="00470D7E" w:rsidRPr="003D1DD8">
        <w:rPr>
          <w:lang w:val="sv-SE"/>
        </w:rPr>
        <w:t xml:space="preserve"> </w:t>
      </w:r>
    </w:p>
    <w:p w14:paraId="7AACD5E6" w14:textId="2318D760" w:rsidR="00FC57AF" w:rsidRDefault="00470D7E" w:rsidP="0000692B">
      <w:pPr>
        <w:pStyle w:val="Paragraphnonumbers"/>
      </w:pPr>
      <w:r w:rsidRPr="0072045E">
        <w:t xml:space="preserve">The </w:t>
      </w:r>
      <w:r>
        <w:t>calculation of post-test mortality risk</w:t>
      </w:r>
      <w:r w:rsidRPr="0072045E">
        <w:t xml:space="preserve"> from </w:t>
      </w:r>
      <w:r>
        <w:t xml:space="preserve">the baseline risk and the </w:t>
      </w:r>
      <w:proofErr w:type="spellStart"/>
      <w:r>
        <w:t>EarlyCDT</w:t>
      </w:r>
      <w:proofErr w:type="spellEnd"/>
      <w:r>
        <w:t xml:space="preserve"> Lung test result is described in more </w:t>
      </w:r>
      <w:r w:rsidRPr="0072045E">
        <w:t xml:space="preserve">in </w:t>
      </w:r>
      <w:hyperlink r:id="rId10" w:history="1">
        <w:r w:rsidRPr="0072045E">
          <w:rPr>
            <w:rStyle w:val="Hyperlink"/>
            <w:rFonts w:cs="Arial"/>
          </w:rPr>
          <w:t>Healey et al</w:t>
        </w:r>
      </w:hyperlink>
      <w:r w:rsidRPr="0072045E">
        <w:t xml:space="preserve">. </w:t>
      </w:r>
      <w:r>
        <w:t>(2017).</w:t>
      </w:r>
    </w:p>
    <w:p w14:paraId="0B0B4B34" w14:textId="466ABE89" w:rsidR="00752848" w:rsidRPr="0072045E" w:rsidRDefault="00752848" w:rsidP="00752848">
      <w:pPr>
        <w:pStyle w:val="Paragraphnonumbers"/>
        <w:rPr>
          <w:rFonts w:cs="Arial"/>
          <w:color w:val="262626" w:themeColor="text1" w:themeTint="D9"/>
        </w:rPr>
      </w:pPr>
      <w:r>
        <w:rPr>
          <w:rFonts w:cs="Arial"/>
          <w:color w:val="262626" w:themeColor="text1" w:themeTint="D9"/>
        </w:rPr>
        <w:t>T</w:t>
      </w:r>
      <w:r w:rsidRPr="00752848">
        <w:rPr>
          <w:rFonts w:cs="Arial"/>
          <w:color w:val="262626" w:themeColor="text1" w:themeTint="D9"/>
        </w:rPr>
        <w:t xml:space="preserve">he </w:t>
      </w:r>
      <w:proofErr w:type="spellStart"/>
      <w:r w:rsidRPr="00752848">
        <w:rPr>
          <w:rFonts w:cs="Arial"/>
          <w:color w:val="262626" w:themeColor="text1" w:themeTint="D9"/>
        </w:rPr>
        <w:t>EarlyCDT</w:t>
      </w:r>
      <w:proofErr w:type="spellEnd"/>
      <w:r w:rsidRPr="00752848">
        <w:rPr>
          <w:rFonts w:cs="Arial"/>
          <w:color w:val="262626" w:themeColor="text1" w:themeTint="D9"/>
        </w:rPr>
        <w:t xml:space="preserve"> Lung</w:t>
      </w:r>
      <w:r>
        <w:rPr>
          <w:rFonts w:cs="Arial"/>
          <w:color w:val="262626" w:themeColor="text1" w:themeTint="D9"/>
        </w:rPr>
        <w:t xml:space="preserve"> test</w:t>
      </w:r>
      <w:r w:rsidRPr="00752848">
        <w:rPr>
          <w:rFonts w:cs="Arial"/>
          <w:color w:val="262626" w:themeColor="text1" w:themeTint="D9"/>
        </w:rPr>
        <w:t xml:space="preserve"> should not</w:t>
      </w:r>
      <w:r>
        <w:rPr>
          <w:rFonts w:cs="Arial"/>
          <w:color w:val="262626" w:themeColor="text1" w:themeTint="D9"/>
        </w:rPr>
        <w:t xml:space="preserve"> be used in people </w:t>
      </w:r>
      <w:r w:rsidRPr="00752848">
        <w:rPr>
          <w:rFonts w:cs="Arial"/>
          <w:color w:val="262626" w:themeColor="text1" w:themeTint="D9"/>
        </w:rPr>
        <w:t>with a previous history of cancer of any type</w:t>
      </w:r>
      <w:r>
        <w:rPr>
          <w:rFonts w:cs="Arial"/>
          <w:color w:val="262626" w:themeColor="text1" w:themeTint="D9"/>
        </w:rPr>
        <w:t xml:space="preserve">, except </w:t>
      </w:r>
      <w:r w:rsidR="00C261B0">
        <w:rPr>
          <w:rFonts w:cs="Arial"/>
          <w:color w:val="262626" w:themeColor="text1" w:themeTint="D9"/>
        </w:rPr>
        <w:t xml:space="preserve">for </w:t>
      </w:r>
      <w:r w:rsidRPr="00752848">
        <w:rPr>
          <w:rFonts w:cs="Arial"/>
          <w:color w:val="262626" w:themeColor="text1" w:themeTint="D9"/>
        </w:rPr>
        <w:t>basal cell</w:t>
      </w:r>
      <w:r w:rsidR="00C261B0">
        <w:rPr>
          <w:rFonts w:cs="Arial"/>
          <w:color w:val="262626" w:themeColor="text1" w:themeTint="D9"/>
        </w:rPr>
        <w:t xml:space="preserve"> </w:t>
      </w:r>
      <w:r w:rsidRPr="00752848">
        <w:rPr>
          <w:rFonts w:cs="Arial"/>
          <w:color w:val="262626" w:themeColor="text1" w:themeTint="D9"/>
        </w:rPr>
        <w:t>carcinoma.</w:t>
      </w:r>
      <w:r w:rsidR="00C261B0">
        <w:rPr>
          <w:rFonts w:cs="Arial"/>
          <w:color w:val="262626" w:themeColor="text1" w:themeTint="D9"/>
        </w:rPr>
        <w:t xml:space="preserve"> It should also not be used </w:t>
      </w:r>
      <w:r w:rsidRPr="00752848">
        <w:rPr>
          <w:rFonts w:cs="Arial"/>
          <w:color w:val="262626" w:themeColor="text1" w:themeTint="D9"/>
        </w:rPr>
        <w:t>in p</w:t>
      </w:r>
      <w:r w:rsidR="00C261B0">
        <w:rPr>
          <w:rFonts w:cs="Arial"/>
          <w:color w:val="262626" w:themeColor="text1" w:themeTint="D9"/>
        </w:rPr>
        <w:t>eople</w:t>
      </w:r>
      <w:r w:rsidRPr="00752848">
        <w:rPr>
          <w:rFonts w:cs="Arial"/>
          <w:color w:val="262626" w:themeColor="text1" w:themeTint="D9"/>
        </w:rPr>
        <w:t xml:space="preserve"> known to have diseases that</w:t>
      </w:r>
      <w:r w:rsidR="00C261B0">
        <w:rPr>
          <w:rFonts w:cs="Arial"/>
          <w:color w:val="262626" w:themeColor="text1" w:themeTint="D9"/>
        </w:rPr>
        <w:t xml:space="preserve"> </w:t>
      </w:r>
      <w:r w:rsidRPr="00752848">
        <w:rPr>
          <w:rFonts w:cs="Arial"/>
          <w:color w:val="262626" w:themeColor="text1" w:themeTint="D9"/>
        </w:rPr>
        <w:t>result in an elevated level of serum total protein, for example</w:t>
      </w:r>
      <w:r w:rsidR="00C261B0">
        <w:rPr>
          <w:rFonts w:cs="Arial"/>
          <w:color w:val="262626" w:themeColor="text1" w:themeTint="D9"/>
        </w:rPr>
        <w:t>,</w:t>
      </w:r>
      <w:r w:rsidRPr="00752848">
        <w:rPr>
          <w:rFonts w:cs="Arial"/>
          <w:color w:val="262626" w:themeColor="text1" w:themeTint="D9"/>
        </w:rPr>
        <w:t xml:space="preserve"> myeloma, amyloidosis,</w:t>
      </w:r>
      <w:r w:rsidR="00C261B0">
        <w:rPr>
          <w:rFonts w:cs="Arial"/>
          <w:color w:val="262626" w:themeColor="text1" w:themeTint="D9"/>
        </w:rPr>
        <w:t xml:space="preserve"> and </w:t>
      </w:r>
      <w:r w:rsidRPr="00752848">
        <w:rPr>
          <w:rFonts w:cs="Arial"/>
          <w:color w:val="262626" w:themeColor="text1" w:themeTint="D9"/>
        </w:rPr>
        <w:t>monoclonal gammopathy of undetermined significance.</w:t>
      </w:r>
    </w:p>
    <w:p w14:paraId="150AF916" w14:textId="63A8EB0D" w:rsidR="001C60B7" w:rsidRDefault="00E94096" w:rsidP="001C60B7">
      <w:pPr>
        <w:pStyle w:val="Heading3"/>
        <w:rPr>
          <w:rStyle w:val="Strong"/>
          <w:rFonts w:cs="Arial"/>
          <w:b/>
          <w:bCs/>
          <w:i/>
          <w:iCs/>
          <w:szCs w:val="24"/>
        </w:rPr>
      </w:pPr>
      <w:bookmarkStart w:id="15" w:name="_Toc286147863"/>
      <w:r w:rsidRPr="0072045E">
        <w:rPr>
          <w:rStyle w:val="Strong"/>
          <w:rFonts w:cs="Arial"/>
          <w:b/>
          <w:bCs/>
          <w:i/>
          <w:iCs/>
          <w:szCs w:val="24"/>
        </w:rPr>
        <w:t>Potential alternative technologies</w:t>
      </w:r>
      <w:bookmarkEnd w:id="15"/>
    </w:p>
    <w:p w14:paraId="3E7812F8" w14:textId="7FE2541D" w:rsidR="007815A9" w:rsidRDefault="00B23C7F" w:rsidP="003D1DD8">
      <w:pPr>
        <w:pStyle w:val="Paragraphnonumbers"/>
      </w:pPr>
      <w:r>
        <w:t xml:space="preserve">There </w:t>
      </w:r>
      <w:r w:rsidR="0070760D">
        <w:t xml:space="preserve">is </w:t>
      </w:r>
      <w:r>
        <w:t>a</w:t>
      </w:r>
      <w:r w:rsidR="00B81BEA">
        <w:t xml:space="preserve"> </w:t>
      </w:r>
      <w:r w:rsidR="007815A9">
        <w:t xml:space="preserve">lot of </w:t>
      </w:r>
      <w:r w:rsidR="00B81BEA">
        <w:t xml:space="preserve">ongoing </w:t>
      </w:r>
      <w:r w:rsidR="007815A9" w:rsidRPr="007815A9">
        <w:t>research</w:t>
      </w:r>
      <w:r w:rsidR="0070760D">
        <w:t xml:space="preserve"> and developments</w:t>
      </w:r>
      <w:r w:rsidR="007815A9" w:rsidRPr="007815A9">
        <w:t xml:space="preserve"> </w:t>
      </w:r>
      <w:proofErr w:type="gramStart"/>
      <w:r w:rsidR="007815A9" w:rsidRPr="007815A9">
        <w:t>in</w:t>
      </w:r>
      <w:r w:rsidR="007815A9">
        <w:t xml:space="preserve"> the area of</w:t>
      </w:r>
      <w:proofErr w:type="gramEnd"/>
      <w:r w:rsidR="007815A9" w:rsidRPr="007815A9">
        <w:t xml:space="preserve"> </w:t>
      </w:r>
      <w:r w:rsidR="00B81BEA">
        <w:t xml:space="preserve">risk assessment of pulmonary nodules, including artificial intelligence based </w:t>
      </w:r>
      <w:r w:rsidR="007815A9">
        <w:t>radiomics</w:t>
      </w:r>
      <w:r w:rsidR="00B81BEA">
        <w:t xml:space="preserve"> methods</w:t>
      </w:r>
      <w:r w:rsidR="007815A9">
        <w:t xml:space="preserve"> and </w:t>
      </w:r>
      <w:r w:rsidR="00B81BEA">
        <w:t>genomics-</w:t>
      </w:r>
      <w:r w:rsidR="007815A9" w:rsidRPr="007815A9">
        <w:t>based tests</w:t>
      </w:r>
      <w:r w:rsidR="00B81BEA">
        <w:t>. However,</w:t>
      </w:r>
      <w:r>
        <w:t xml:space="preserve"> t</w:t>
      </w:r>
      <w:r w:rsidR="007815A9" w:rsidRPr="007815A9">
        <w:t xml:space="preserve">hese </w:t>
      </w:r>
      <w:r w:rsidR="00B81BEA">
        <w:t>technologies</w:t>
      </w:r>
      <w:r w:rsidR="000B42B7">
        <w:t xml:space="preserve"> are</w:t>
      </w:r>
      <w:r w:rsidR="007815A9" w:rsidRPr="007815A9">
        <w:t xml:space="preserve"> </w:t>
      </w:r>
      <w:r w:rsidR="0070760D">
        <w:t xml:space="preserve">too </w:t>
      </w:r>
      <w:r w:rsidR="007815A9" w:rsidRPr="007815A9">
        <w:t>early</w:t>
      </w:r>
      <w:r w:rsidR="0070760D">
        <w:t xml:space="preserve"> in their</w:t>
      </w:r>
      <w:r w:rsidR="007815A9" w:rsidRPr="007815A9">
        <w:t xml:space="preserve"> stage </w:t>
      </w:r>
      <w:r w:rsidR="008E7C91">
        <w:t>of</w:t>
      </w:r>
      <w:r w:rsidR="007815A9" w:rsidRPr="007815A9">
        <w:t xml:space="preserve"> development to be considered </w:t>
      </w:r>
      <w:r>
        <w:t>with</w:t>
      </w:r>
      <w:r w:rsidR="007815A9" w:rsidRPr="007815A9">
        <w:t>in th</w:t>
      </w:r>
      <w:r w:rsidR="0070760D">
        <w:t>is assessment.</w:t>
      </w:r>
    </w:p>
    <w:p w14:paraId="233C8726" w14:textId="756698C6" w:rsidR="00802ADA" w:rsidRPr="0072045E" w:rsidRDefault="001D55A3" w:rsidP="007A149F">
      <w:pPr>
        <w:pStyle w:val="Heading2"/>
        <w:spacing w:line="276" w:lineRule="auto"/>
        <w:rPr>
          <w:rFonts w:cs="Arial"/>
          <w:sz w:val="24"/>
          <w:szCs w:val="24"/>
        </w:rPr>
      </w:pPr>
      <w:bookmarkStart w:id="16" w:name="_Toc286147864"/>
      <w:r w:rsidRPr="0072045E">
        <w:rPr>
          <w:rFonts w:cs="Arial"/>
          <w:sz w:val="24"/>
          <w:szCs w:val="24"/>
        </w:rPr>
        <w:t>Target condition</w:t>
      </w:r>
      <w:r w:rsidR="007E12CA" w:rsidRPr="0072045E">
        <w:rPr>
          <w:rFonts w:cs="Arial"/>
          <w:sz w:val="24"/>
          <w:szCs w:val="24"/>
        </w:rPr>
        <w:t>s</w:t>
      </w:r>
      <w:r w:rsidRPr="0072045E">
        <w:rPr>
          <w:rFonts w:cs="Arial"/>
          <w:sz w:val="24"/>
          <w:szCs w:val="24"/>
        </w:rPr>
        <w:t xml:space="preserve"> </w:t>
      </w:r>
      <w:bookmarkEnd w:id="16"/>
    </w:p>
    <w:p w14:paraId="7BFFE913" w14:textId="55C4D8B0" w:rsidR="00C3662F" w:rsidRPr="0072045E" w:rsidRDefault="00C3662F" w:rsidP="007A149F">
      <w:pPr>
        <w:pStyle w:val="Heading3"/>
        <w:spacing w:line="276" w:lineRule="auto"/>
        <w:rPr>
          <w:rFonts w:cs="Arial"/>
          <w:szCs w:val="24"/>
        </w:rPr>
      </w:pPr>
      <w:r w:rsidRPr="0072045E">
        <w:rPr>
          <w:rFonts w:cs="Arial"/>
          <w:szCs w:val="24"/>
        </w:rPr>
        <w:t xml:space="preserve">Lung </w:t>
      </w:r>
      <w:r w:rsidR="002B479E" w:rsidRPr="0072045E">
        <w:rPr>
          <w:rFonts w:cs="Arial"/>
          <w:szCs w:val="24"/>
        </w:rPr>
        <w:t>c</w:t>
      </w:r>
      <w:r w:rsidRPr="0072045E">
        <w:rPr>
          <w:rFonts w:cs="Arial"/>
          <w:szCs w:val="24"/>
        </w:rPr>
        <w:t>ancer</w:t>
      </w:r>
    </w:p>
    <w:p w14:paraId="7B1B5B4D" w14:textId="24909414" w:rsidR="00DA441C" w:rsidRPr="0072045E" w:rsidRDefault="00DA441C" w:rsidP="007A149F">
      <w:pPr>
        <w:pStyle w:val="Paragraphnonumbers"/>
        <w:rPr>
          <w:rFonts w:cs="Arial"/>
        </w:rPr>
      </w:pPr>
      <w:r w:rsidRPr="0072045E">
        <w:rPr>
          <w:rFonts w:cs="Arial"/>
        </w:rPr>
        <w:t>Lung cancer is the third most common cancer in England and is the leading cause of cancer death. In 2017, there were almost 39,000 new cases of lung cancer and just over 28,000 related deaths (</w:t>
      </w:r>
      <w:hyperlink r:id="rId11" w:history="1">
        <w:r w:rsidRPr="0072045E">
          <w:rPr>
            <w:rStyle w:val="Hyperlink"/>
            <w:rFonts w:cs="Arial"/>
          </w:rPr>
          <w:t>National Cancer Registration and Analysis Service</w:t>
        </w:r>
      </w:hyperlink>
      <w:r w:rsidRPr="0072045E">
        <w:rPr>
          <w:rFonts w:cs="Arial"/>
        </w:rPr>
        <w:t>). There are many risk factors for lung cancer, including age, genetics, lifestyle (especially smoking) and occupation. Most lung cancers are associated with smoking. An estimated 89% of lung cancers are preventable (</w:t>
      </w:r>
      <w:hyperlink r:id="rId12" w:history="1">
        <w:r w:rsidRPr="0072045E">
          <w:rPr>
            <w:rStyle w:val="Hyperlink"/>
            <w:rFonts w:cs="Arial"/>
          </w:rPr>
          <w:t>NICE guideline on diagnosis and management of lung cancer 2019</w:t>
        </w:r>
      </w:hyperlink>
      <w:r w:rsidRPr="0072045E">
        <w:rPr>
          <w:rFonts w:cs="Arial"/>
        </w:rPr>
        <w:t>). Of the lung cancer that is preventable, 86% is linked to smoking, 13% to occupational exposure, 9% to dietary factors and 7.8% to air pollution.</w:t>
      </w:r>
      <w:r w:rsidR="00CA4FF4" w:rsidRPr="0072045E">
        <w:rPr>
          <w:rFonts w:cs="Arial"/>
        </w:rPr>
        <w:t xml:space="preserve"> </w:t>
      </w:r>
      <w:hyperlink r:id="rId13" w:history="1">
        <w:r w:rsidR="00CA4FF4" w:rsidRPr="0072045E">
          <w:rPr>
            <w:rStyle w:val="Hyperlink"/>
            <w:rFonts w:cs="Arial"/>
          </w:rPr>
          <w:t>NICE impact on lung cancer</w:t>
        </w:r>
        <w:r w:rsidR="00D26B9E" w:rsidRPr="0072045E">
          <w:rPr>
            <w:rStyle w:val="Hyperlink"/>
            <w:rFonts w:cs="Arial"/>
          </w:rPr>
          <w:t xml:space="preserve"> 2019</w:t>
        </w:r>
      </w:hyperlink>
      <w:r w:rsidR="00D26B9E" w:rsidRPr="0072045E">
        <w:rPr>
          <w:rFonts w:cs="Arial"/>
        </w:rPr>
        <w:t xml:space="preserve"> </w:t>
      </w:r>
      <w:r w:rsidR="00CA4FF4" w:rsidRPr="0072045E">
        <w:rPr>
          <w:rFonts w:cs="Arial"/>
        </w:rPr>
        <w:t>recommends public awareness campaigns to boost recognition of the signs and symptoms of lung cancer, including in those who have never smoked.</w:t>
      </w:r>
    </w:p>
    <w:p w14:paraId="5F8060AD" w14:textId="2B07ED52" w:rsidR="00427823" w:rsidRPr="0072045E" w:rsidRDefault="00427823" w:rsidP="007A149F">
      <w:pPr>
        <w:pStyle w:val="Paragraphnonumbers"/>
        <w:rPr>
          <w:rFonts w:cs="Arial"/>
        </w:rPr>
      </w:pPr>
      <w:r w:rsidRPr="0072045E">
        <w:rPr>
          <w:rFonts w:cs="Arial"/>
        </w:rPr>
        <w:t>Lung cancer has 2 main types: non-small-cell lung cancer (NSCLC) and small-cell lung cancer (SCLC). NSCLC is the most common type of lung cancer, accounting for 87% of cases</w:t>
      </w:r>
      <w:bookmarkStart w:id="17" w:name="_Hlk58233050"/>
      <w:r w:rsidRPr="0072045E">
        <w:rPr>
          <w:rFonts w:cs="Arial"/>
        </w:rPr>
        <w:t xml:space="preserve"> (</w:t>
      </w:r>
      <w:hyperlink r:id="rId14" w:history="1">
        <w:r w:rsidRPr="0072045E">
          <w:rPr>
            <w:rStyle w:val="Hyperlink"/>
            <w:rFonts w:cs="Arial"/>
          </w:rPr>
          <w:t>Cancer research UK</w:t>
        </w:r>
      </w:hyperlink>
      <w:r w:rsidRPr="0072045E">
        <w:rPr>
          <w:rFonts w:cs="Arial"/>
        </w:rPr>
        <w:t>)</w:t>
      </w:r>
      <w:bookmarkEnd w:id="17"/>
      <w:r w:rsidRPr="0072045E">
        <w:rPr>
          <w:rFonts w:cs="Arial"/>
        </w:rPr>
        <w:t xml:space="preserve">. NSCLCs can be broken down into 2 major sub-types: adenocarcinoma </w:t>
      </w:r>
      <w:r w:rsidR="001F1F30" w:rsidRPr="0072045E">
        <w:rPr>
          <w:rFonts w:cs="Arial"/>
        </w:rPr>
        <w:t xml:space="preserve">(45%) </w:t>
      </w:r>
      <w:r w:rsidRPr="0072045E">
        <w:rPr>
          <w:rFonts w:cs="Arial"/>
        </w:rPr>
        <w:t xml:space="preserve">and squamous </w:t>
      </w:r>
      <w:r w:rsidRPr="0072045E">
        <w:rPr>
          <w:rFonts w:cs="Arial"/>
        </w:rPr>
        <w:lastRenderedPageBreak/>
        <w:t>cell carcinoma</w:t>
      </w:r>
      <w:r w:rsidR="001F1F30" w:rsidRPr="0072045E">
        <w:rPr>
          <w:rFonts w:cs="Arial"/>
        </w:rPr>
        <w:t xml:space="preserve"> (45%). Large cell carcinoma makes up the</w:t>
      </w:r>
      <w:r w:rsidR="006E5649" w:rsidRPr="0072045E">
        <w:rPr>
          <w:rFonts w:cs="Arial"/>
        </w:rPr>
        <w:t xml:space="preserve"> remaining</w:t>
      </w:r>
      <w:r w:rsidR="001F1F30" w:rsidRPr="0072045E">
        <w:rPr>
          <w:rFonts w:cs="Arial"/>
        </w:rPr>
        <w:t xml:space="preserve"> 10% of NSCLC</w:t>
      </w:r>
      <w:r w:rsidRPr="0072045E">
        <w:rPr>
          <w:rFonts w:cs="Arial"/>
        </w:rPr>
        <w:t xml:space="preserve">. SCLC is less common, accounting for around 12% of lung cancers. </w:t>
      </w:r>
      <w:r w:rsidR="001F1F30" w:rsidRPr="0072045E">
        <w:rPr>
          <w:rFonts w:cs="Arial"/>
        </w:rPr>
        <w:t>Between 5% and 15% of people with NSCLC are diagnosed on routine chest radiographic examination, but most present with symptoms and signs related either to the site of the growth of the primary tumour, or to the effects of thoracic or metastatic spread</w:t>
      </w:r>
      <w:r w:rsidR="004F7F55" w:rsidRPr="0072045E">
        <w:rPr>
          <w:rFonts w:cs="Arial"/>
        </w:rPr>
        <w:t xml:space="preserve">. </w:t>
      </w:r>
      <w:r w:rsidR="004971FE" w:rsidRPr="0072045E">
        <w:rPr>
          <w:rFonts w:cs="Arial"/>
        </w:rPr>
        <w:t>SCLC is</w:t>
      </w:r>
      <w:r w:rsidR="001F1F30" w:rsidRPr="0072045E">
        <w:rPr>
          <w:rFonts w:cs="Arial"/>
        </w:rPr>
        <w:t xml:space="preserve"> usually caused by smoking. SCLCs are classed as neuroendocrine tumours; rare tumours that develop in cells of the neuroendocrine system (</w:t>
      </w:r>
      <w:hyperlink r:id="rId15" w:history="1">
        <w:r w:rsidR="001F1F30" w:rsidRPr="0072045E">
          <w:rPr>
            <w:rStyle w:val="Hyperlink"/>
            <w:rFonts w:cs="Arial"/>
          </w:rPr>
          <w:t>Cancer Research UK</w:t>
        </w:r>
      </w:hyperlink>
      <w:r w:rsidR="001F1F30" w:rsidRPr="0072045E">
        <w:rPr>
          <w:rFonts w:cs="Arial"/>
        </w:rPr>
        <w:t xml:space="preserve">). </w:t>
      </w:r>
      <w:r w:rsidRPr="0072045E">
        <w:rPr>
          <w:rFonts w:cs="Arial"/>
        </w:rPr>
        <w:t xml:space="preserve">SCLC is an aggressive cancer which spreads at an early stage and so is nearly always advanced at the time of diagnosis, leading to limited curative intent treatment options. </w:t>
      </w:r>
    </w:p>
    <w:p w14:paraId="7A7F8F9E" w14:textId="5FBB6829" w:rsidR="006D144D" w:rsidRPr="0072045E" w:rsidRDefault="006D144D" w:rsidP="007A149F">
      <w:pPr>
        <w:pStyle w:val="Paragraphnonumbers"/>
        <w:rPr>
          <w:rFonts w:cs="Arial"/>
        </w:rPr>
      </w:pPr>
      <w:r w:rsidRPr="0072045E">
        <w:rPr>
          <w:rFonts w:cs="Arial"/>
        </w:rPr>
        <w:t xml:space="preserve">Survival of lung cancer is hugely </w:t>
      </w:r>
      <w:r w:rsidR="00BF62D1" w:rsidRPr="0072045E">
        <w:rPr>
          <w:rFonts w:cs="Arial"/>
        </w:rPr>
        <w:t xml:space="preserve">influenced by </w:t>
      </w:r>
      <w:r w:rsidR="00EE753B" w:rsidRPr="0072045E">
        <w:rPr>
          <w:rFonts w:cs="Arial"/>
        </w:rPr>
        <w:t xml:space="preserve">stage at </w:t>
      </w:r>
      <w:r w:rsidR="00BF62D1" w:rsidRPr="0072045E">
        <w:rPr>
          <w:rFonts w:cs="Arial"/>
        </w:rPr>
        <w:t>diagnosis</w:t>
      </w:r>
      <w:r w:rsidR="00EE753B" w:rsidRPr="0072045E">
        <w:rPr>
          <w:rFonts w:cs="Arial"/>
        </w:rPr>
        <w:t xml:space="preserve">. </w:t>
      </w:r>
      <w:r w:rsidR="00BF62D1" w:rsidRPr="0072045E">
        <w:rPr>
          <w:rFonts w:cs="Arial"/>
        </w:rPr>
        <w:t xml:space="preserve">When diagnosed at </w:t>
      </w:r>
      <w:r w:rsidR="00815094" w:rsidRPr="0072045E">
        <w:rPr>
          <w:rFonts w:cs="Arial"/>
        </w:rPr>
        <w:t>an</w:t>
      </w:r>
      <w:r w:rsidR="00BF62D1" w:rsidRPr="0072045E">
        <w:rPr>
          <w:rFonts w:cs="Arial"/>
        </w:rPr>
        <w:t xml:space="preserve"> earlie</w:t>
      </w:r>
      <w:r w:rsidR="00E51A54" w:rsidRPr="0072045E">
        <w:rPr>
          <w:rFonts w:cs="Arial"/>
        </w:rPr>
        <w:t>r</w:t>
      </w:r>
      <w:r w:rsidR="00BF62D1" w:rsidRPr="0072045E">
        <w:rPr>
          <w:rFonts w:cs="Arial"/>
        </w:rPr>
        <w:t xml:space="preserve"> stage, almost 6 in 10 (57%) people with lung cancer survive for </w:t>
      </w:r>
      <w:r w:rsidR="00815094" w:rsidRPr="0072045E">
        <w:rPr>
          <w:rFonts w:cs="Arial"/>
        </w:rPr>
        <w:t>5-</w:t>
      </w:r>
      <w:r w:rsidR="00BF62D1" w:rsidRPr="0072045E">
        <w:rPr>
          <w:rFonts w:cs="Arial"/>
        </w:rPr>
        <w:t xml:space="preserve">years or more, compared with </w:t>
      </w:r>
      <w:r w:rsidR="006A698F" w:rsidRPr="0072045E">
        <w:rPr>
          <w:rFonts w:cs="Arial"/>
        </w:rPr>
        <w:t>less than</w:t>
      </w:r>
      <w:r w:rsidR="00BF62D1" w:rsidRPr="0072045E">
        <w:rPr>
          <w:rFonts w:cs="Arial"/>
        </w:rPr>
        <w:t xml:space="preserve"> 5</w:t>
      </w:r>
      <w:r w:rsidR="006A698F" w:rsidRPr="0072045E">
        <w:rPr>
          <w:rFonts w:cs="Arial"/>
        </w:rPr>
        <w:t>%</w:t>
      </w:r>
      <w:r w:rsidR="00BF62D1" w:rsidRPr="0072045E">
        <w:rPr>
          <w:rFonts w:cs="Arial"/>
        </w:rPr>
        <w:t xml:space="preserve"> when the disease is diagnosed at </w:t>
      </w:r>
      <w:r w:rsidR="00EE753B" w:rsidRPr="0072045E">
        <w:rPr>
          <w:rFonts w:cs="Arial"/>
        </w:rPr>
        <w:t>a</w:t>
      </w:r>
      <w:r w:rsidR="00BF62D1" w:rsidRPr="0072045E">
        <w:rPr>
          <w:rFonts w:cs="Arial"/>
        </w:rPr>
        <w:t xml:space="preserve"> late stage</w:t>
      </w:r>
      <w:r w:rsidR="00624A8C" w:rsidRPr="0072045E">
        <w:rPr>
          <w:rFonts w:cs="Arial"/>
        </w:rPr>
        <w:t xml:space="preserve"> (</w:t>
      </w:r>
      <w:hyperlink r:id="rId16" w:anchor="heading-Two" w:history="1">
        <w:r w:rsidR="00624A8C" w:rsidRPr="0072045E">
          <w:rPr>
            <w:rStyle w:val="Hyperlink"/>
            <w:rFonts w:cs="Arial"/>
          </w:rPr>
          <w:t xml:space="preserve">Cancer </w:t>
        </w:r>
        <w:r w:rsidR="00925A54" w:rsidRPr="0072045E">
          <w:rPr>
            <w:rStyle w:val="Hyperlink"/>
            <w:rFonts w:cs="Arial"/>
          </w:rPr>
          <w:t>R</w:t>
        </w:r>
        <w:r w:rsidR="00624A8C" w:rsidRPr="0072045E">
          <w:rPr>
            <w:rStyle w:val="Hyperlink"/>
            <w:rFonts w:cs="Arial"/>
          </w:rPr>
          <w:t>esearch UK</w:t>
        </w:r>
      </w:hyperlink>
      <w:r w:rsidR="00624A8C" w:rsidRPr="0072045E">
        <w:rPr>
          <w:rFonts w:cs="Arial"/>
        </w:rPr>
        <w:t>)</w:t>
      </w:r>
      <w:r w:rsidR="00BF62D1" w:rsidRPr="0072045E">
        <w:rPr>
          <w:rFonts w:cs="Arial"/>
        </w:rPr>
        <w:t xml:space="preserve">. </w:t>
      </w:r>
      <w:r w:rsidR="00E51A54" w:rsidRPr="0072045E">
        <w:rPr>
          <w:rFonts w:cs="Arial"/>
        </w:rPr>
        <w:t>P</w:t>
      </w:r>
      <w:r w:rsidR="00F14AE8" w:rsidRPr="0072045E">
        <w:rPr>
          <w:rFonts w:cs="Arial"/>
        </w:rPr>
        <w:t xml:space="preserve">rognosis for people with </w:t>
      </w:r>
      <w:r w:rsidR="00E51A54" w:rsidRPr="0072045E">
        <w:rPr>
          <w:rFonts w:cs="Arial"/>
        </w:rPr>
        <w:t xml:space="preserve">SCLC </w:t>
      </w:r>
      <w:r w:rsidR="00F14AE8" w:rsidRPr="0072045E">
        <w:rPr>
          <w:rFonts w:cs="Arial"/>
        </w:rPr>
        <w:t>is poor. Without treatment, it has an aggressive clinical course with a life expectancy of approximately 3.5 months for limited-stage disease and 6 weeks for extensive-stage disease</w:t>
      </w:r>
      <w:r w:rsidR="00F94FCF" w:rsidRPr="0072045E">
        <w:rPr>
          <w:rFonts w:cs="Arial"/>
        </w:rPr>
        <w:t xml:space="preserve"> (</w:t>
      </w:r>
      <w:hyperlink r:id="rId17" w:history="1">
        <w:r w:rsidR="00F94FCF" w:rsidRPr="0072045E">
          <w:rPr>
            <w:rStyle w:val="Hyperlink"/>
            <w:rFonts w:cs="Arial"/>
          </w:rPr>
          <w:t>NICE guidance</w:t>
        </w:r>
        <w:r w:rsidR="00CF2328" w:rsidRPr="0072045E">
          <w:rPr>
            <w:rStyle w:val="Hyperlink"/>
            <w:rFonts w:cs="Arial"/>
          </w:rPr>
          <w:t xml:space="preserve"> on </w:t>
        </w:r>
        <w:r w:rsidR="00F94FCF" w:rsidRPr="0072045E">
          <w:rPr>
            <w:rStyle w:val="Hyperlink"/>
            <w:rFonts w:cs="Arial"/>
          </w:rPr>
          <w:t>Topotecan for the treatment of relapsed small-cell lung cancer</w:t>
        </w:r>
        <w:r w:rsidR="00BD23B3" w:rsidRPr="0072045E">
          <w:rPr>
            <w:rStyle w:val="Hyperlink"/>
            <w:rFonts w:cs="Arial"/>
          </w:rPr>
          <w:t xml:space="preserve"> 2009</w:t>
        </w:r>
      </w:hyperlink>
      <w:r w:rsidR="005234A8" w:rsidRPr="0072045E">
        <w:rPr>
          <w:rStyle w:val="Hyperlink"/>
          <w:rFonts w:cs="Arial"/>
        </w:rPr>
        <w:t>, revised 2013</w:t>
      </w:r>
      <w:r w:rsidR="00F94FCF" w:rsidRPr="0072045E">
        <w:rPr>
          <w:rFonts w:cs="Arial"/>
        </w:rPr>
        <w:t>)</w:t>
      </w:r>
      <w:r w:rsidR="00F14AE8" w:rsidRPr="0072045E">
        <w:rPr>
          <w:rFonts w:cs="Arial"/>
        </w:rPr>
        <w:t xml:space="preserve">. </w:t>
      </w:r>
      <w:r w:rsidR="00F94FCF" w:rsidRPr="0072045E">
        <w:rPr>
          <w:rFonts w:cs="Arial"/>
        </w:rPr>
        <w:t>The guidance states that t</w:t>
      </w:r>
      <w:r w:rsidR="00F14AE8" w:rsidRPr="0072045E">
        <w:rPr>
          <w:rFonts w:cs="Arial"/>
        </w:rPr>
        <w:t xml:space="preserve">he median survival with treatment is approximately 14–18 months for </w:t>
      </w:r>
      <w:r w:rsidR="0088723A" w:rsidRPr="0072045E">
        <w:rPr>
          <w:rFonts w:cs="Arial"/>
        </w:rPr>
        <w:t>limited stage</w:t>
      </w:r>
      <w:r w:rsidR="00F14AE8" w:rsidRPr="0072045E">
        <w:rPr>
          <w:rFonts w:cs="Arial"/>
        </w:rPr>
        <w:t xml:space="preserve"> disease and 9–12 months for extensive-stage disease. Approximately 20–40% of patients with limited-stage disease and less than 5% of patients with extensive-stage disease survive for 2 years. Survivors often continue to relapse up to, and occasionally after, 5 years</w:t>
      </w:r>
      <w:r w:rsidR="00F94FCF" w:rsidRPr="0072045E">
        <w:rPr>
          <w:rFonts w:cs="Arial"/>
        </w:rPr>
        <w:t>.</w:t>
      </w:r>
    </w:p>
    <w:p w14:paraId="492D88C7" w14:textId="1A4A4F40" w:rsidR="00AD0BBC" w:rsidRPr="0072045E" w:rsidRDefault="00377B1E" w:rsidP="007A149F">
      <w:pPr>
        <w:pStyle w:val="Paragraphnonumbers"/>
        <w:rPr>
          <w:rFonts w:cs="Arial"/>
        </w:rPr>
      </w:pPr>
      <w:bookmarkStart w:id="18" w:name="_Hlk61271094"/>
      <w:r w:rsidRPr="0072045E">
        <w:rPr>
          <w:rFonts w:cs="Arial"/>
        </w:rPr>
        <w:t xml:space="preserve">Pulmonary nodules </w:t>
      </w:r>
      <w:bookmarkEnd w:id="18"/>
      <w:r w:rsidR="00AD0BBC" w:rsidRPr="0072045E">
        <w:rPr>
          <w:rFonts w:cs="Arial"/>
        </w:rPr>
        <w:t>are small growths found inside the lung</w:t>
      </w:r>
      <w:r w:rsidR="009455B5" w:rsidRPr="0072045E">
        <w:rPr>
          <w:rFonts w:cs="Arial"/>
        </w:rPr>
        <w:t xml:space="preserve"> (</w:t>
      </w:r>
      <w:hyperlink r:id="rId18" w:history="1">
        <w:r w:rsidR="001471DE">
          <w:rPr>
            <w:rStyle w:val="Hyperlink"/>
            <w:rFonts w:cs="Arial"/>
          </w:rPr>
          <w:t>British Thoracic Society Guidelines for the investigation and management of pulmonary nodules 2015</w:t>
        </w:r>
      </w:hyperlink>
      <w:r w:rsidR="009455B5" w:rsidRPr="00D85D88">
        <w:t>)</w:t>
      </w:r>
      <w:r w:rsidR="00AD0BBC" w:rsidRPr="0072045E">
        <w:rPr>
          <w:rFonts w:cs="Arial"/>
        </w:rPr>
        <w:t xml:space="preserve">. </w:t>
      </w:r>
      <w:r w:rsidR="00815667" w:rsidRPr="0072045E">
        <w:rPr>
          <w:rFonts w:cs="Arial"/>
        </w:rPr>
        <w:t>They</w:t>
      </w:r>
      <w:r w:rsidR="00AD0BBC" w:rsidRPr="0072045E">
        <w:rPr>
          <w:rFonts w:cs="Arial"/>
        </w:rPr>
        <w:t xml:space="preserve"> may </w:t>
      </w:r>
      <w:r w:rsidR="0020116F" w:rsidRPr="0072045E">
        <w:rPr>
          <w:rFonts w:cs="Arial"/>
        </w:rPr>
        <w:t>not lead to</w:t>
      </w:r>
      <w:r w:rsidR="00AD0BBC" w:rsidRPr="0072045E">
        <w:rPr>
          <w:rFonts w:cs="Arial"/>
        </w:rPr>
        <w:t xml:space="preserve"> symptoms and often are found during tests to diagnose another condition. While most </w:t>
      </w:r>
      <w:r w:rsidR="00926C10" w:rsidRPr="0072045E">
        <w:rPr>
          <w:rFonts w:cs="Arial"/>
        </w:rPr>
        <w:t>pulmonary nodules</w:t>
      </w:r>
      <w:r w:rsidR="007F12AF" w:rsidRPr="0072045E">
        <w:rPr>
          <w:rFonts w:cs="Arial"/>
        </w:rPr>
        <w:t xml:space="preserve"> </w:t>
      </w:r>
      <w:r w:rsidR="00AD0BBC" w:rsidRPr="0072045E">
        <w:rPr>
          <w:rFonts w:cs="Arial"/>
        </w:rPr>
        <w:t xml:space="preserve">are benign and are </w:t>
      </w:r>
      <w:r w:rsidR="001C4DAC" w:rsidRPr="0072045E">
        <w:rPr>
          <w:rFonts w:cs="Arial"/>
        </w:rPr>
        <w:t>small</w:t>
      </w:r>
      <w:r w:rsidR="001471DE">
        <w:rPr>
          <w:rFonts w:cs="Arial"/>
        </w:rPr>
        <w:t>,</w:t>
      </w:r>
      <w:r w:rsidR="001C4DAC" w:rsidRPr="0072045E">
        <w:rPr>
          <w:rFonts w:cs="Arial"/>
        </w:rPr>
        <w:t xml:space="preserve"> </w:t>
      </w:r>
      <w:r w:rsidR="00AD0BBC" w:rsidRPr="0072045E">
        <w:rPr>
          <w:rFonts w:cs="Arial"/>
        </w:rPr>
        <w:t>some may develop into cancerous tumo</w:t>
      </w:r>
      <w:r w:rsidR="00815094" w:rsidRPr="0072045E">
        <w:rPr>
          <w:rFonts w:cs="Arial"/>
        </w:rPr>
        <w:t>u</w:t>
      </w:r>
      <w:r w:rsidR="00AD0BBC" w:rsidRPr="0072045E">
        <w:rPr>
          <w:rFonts w:cs="Arial"/>
        </w:rPr>
        <w:t>rs</w:t>
      </w:r>
      <w:r w:rsidR="001C4DAC" w:rsidRPr="0072045E">
        <w:rPr>
          <w:rFonts w:cs="Arial"/>
        </w:rPr>
        <w:t xml:space="preserve">. </w:t>
      </w:r>
      <w:r w:rsidR="00AD6C48" w:rsidRPr="0072045E">
        <w:rPr>
          <w:rFonts w:cs="Arial"/>
        </w:rPr>
        <w:t>These are associated with both SCLC and NSCLC. Pulmonary nodules</w:t>
      </w:r>
      <w:r w:rsidR="000868B3" w:rsidRPr="0072045E">
        <w:rPr>
          <w:rFonts w:cs="Arial"/>
        </w:rPr>
        <w:t xml:space="preserve"> can</w:t>
      </w:r>
      <w:r w:rsidR="001C4DAC" w:rsidRPr="0072045E">
        <w:rPr>
          <w:rFonts w:cs="Arial"/>
        </w:rPr>
        <w:t xml:space="preserve"> </w:t>
      </w:r>
      <w:r w:rsidR="00AD0BBC" w:rsidRPr="0072045E">
        <w:rPr>
          <w:rFonts w:cs="Arial"/>
        </w:rPr>
        <w:t xml:space="preserve">grow over time, causing breathing problems and other symptoms. If a </w:t>
      </w:r>
      <w:r w:rsidR="00815667" w:rsidRPr="0072045E">
        <w:rPr>
          <w:rFonts w:cs="Arial"/>
        </w:rPr>
        <w:t>pulmonary</w:t>
      </w:r>
      <w:r w:rsidR="00AD0BBC" w:rsidRPr="0072045E">
        <w:rPr>
          <w:rFonts w:cs="Arial"/>
        </w:rPr>
        <w:t xml:space="preserve"> nodule is discovered during an imaging test, </w:t>
      </w:r>
      <w:r w:rsidR="00815667" w:rsidRPr="0072045E">
        <w:rPr>
          <w:rFonts w:cs="Arial"/>
        </w:rPr>
        <w:t>a clinician</w:t>
      </w:r>
      <w:r w:rsidR="00AD0BBC" w:rsidRPr="0072045E">
        <w:rPr>
          <w:rFonts w:cs="Arial"/>
        </w:rPr>
        <w:t xml:space="preserve"> may want to monitor it to see whether it grows or changes shape. Getting a fast and accurate diagnosis is critical. P</w:t>
      </w:r>
      <w:r w:rsidR="00815667" w:rsidRPr="0072045E">
        <w:rPr>
          <w:rFonts w:cs="Arial"/>
        </w:rPr>
        <w:t xml:space="preserve">eople </w:t>
      </w:r>
      <w:r w:rsidR="00AD0BBC" w:rsidRPr="0072045E">
        <w:rPr>
          <w:rFonts w:cs="Arial"/>
        </w:rPr>
        <w:t>have more treatment options when the disease is diagnosed in its early stages than when it has advanced.</w:t>
      </w:r>
    </w:p>
    <w:p w14:paraId="0F11332D" w14:textId="763A280A" w:rsidR="00965A5A" w:rsidRPr="0072045E" w:rsidRDefault="00965A5A" w:rsidP="007A149F">
      <w:pPr>
        <w:pStyle w:val="Heading3"/>
        <w:spacing w:line="276" w:lineRule="auto"/>
        <w:rPr>
          <w:rFonts w:cs="Arial"/>
          <w:szCs w:val="24"/>
        </w:rPr>
      </w:pPr>
      <w:r w:rsidRPr="0072045E">
        <w:rPr>
          <w:rFonts w:cs="Arial"/>
          <w:szCs w:val="24"/>
        </w:rPr>
        <w:t>Diagnostic and</w:t>
      </w:r>
      <w:r w:rsidR="00354DC9" w:rsidRPr="0072045E">
        <w:rPr>
          <w:rFonts w:cs="Arial"/>
          <w:szCs w:val="24"/>
        </w:rPr>
        <w:t xml:space="preserve"> care pathway for lung cancer </w:t>
      </w:r>
    </w:p>
    <w:p w14:paraId="039E815F" w14:textId="2C617B06" w:rsidR="00172F52" w:rsidRPr="0072045E" w:rsidRDefault="00172F52" w:rsidP="007A149F">
      <w:pPr>
        <w:pStyle w:val="Heading4"/>
        <w:numPr>
          <w:ilvl w:val="0"/>
          <w:numId w:val="0"/>
        </w:numPr>
        <w:spacing w:line="276" w:lineRule="auto"/>
        <w:ind w:left="864" w:hanging="864"/>
        <w:rPr>
          <w:rFonts w:cs="Arial"/>
          <w:szCs w:val="24"/>
        </w:rPr>
      </w:pPr>
      <w:bookmarkStart w:id="19" w:name="_Hlk59546240"/>
      <w:r w:rsidRPr="0072045E">
        <w:rPr>
          <w:rFonts w:cs="Arial"/>
          <w:szCs w:val="24"/>
        </w:rPr>
        <w:t>3.</w:t>
      </w:r>
      <w:r w:rsidR="00840752" w:rsidRPr="0072045E">
        <w:rPr>
          <w:rFonts w:cs="Arial"/>
          <w:szCs w:val="24"/>
        </w:rPr>
        <w:t>2</w:t>
      </w:r>
      <w:r w:rsidRPr="0072045E">
        <w:rPr>
          <w:rFonts w:cs="Arial"/>
          <w:szCs w:val="24"/>
        </w:rPr>
        <w:t>.1 Diagnosis</w:t>
      </w:r>
    </w:p>
    <w:bookmarkEnd w:id="19"/>
    <w:p w14:paraId="7334F80C" w14:textId="5E6E92D0" w:rsidR="00C8721D" w:rsidRPr="0072045E" w:rsidRDefault="0089611B" w:rsidP="007A149F">
      <w:pPr>
        <w:pStyle w:val="Paragraphnonumbers"/>
        <w:rPr>
          <w:rFonts w:cs="Arial"/>
        </w:rPr>
      </w:pPr>
      <w:r w:rsidRPr="0072045E">
        <w:rPr>
          <w:rFonts w:cs="Arial"/>
        </w:rPr>
        <w:t>Lung cancer is often diagnosed at a</w:t>
      </w:r>
      <w:r w:rsidR="00C13A20" w:rsidRPr="0072045E">
        <w:rPr>
          <w:rFonts w:cs="Arial"/>
        </w:rPr>
        <w:t xml:space="preserve"> more</w:t>
      </w:r>
      <w:r w:rsidRPr="0072045E">
        <w:rPr>
          <w:rFonts w:cs="Arial"/>
        </w:rPr>
        <w:t xml:space="preserve"> advanced stage than other common cancers. </w:t>
      </w:r>
      <w:hyperlink r:id="rId19" w:history="1">
        <w:r w:rsidRPr="0072045E">
          <w:rPr>
            <w:rStyle w:val="Hyperlink"/>
            <w:rFonts w:cs="Arial"/>
          </w:rPr>
          <w:t>National Cancer Registration and Analysis Service</w:t>
        </w:r>
      </w:hyperlink>
      <w:r w:rsidRPr="0072045E">
        <w:rPr>
          <w:rFonts w:cs="Arial"/>
        </w:rPr>
        <w:t xml:space="preserve"> data show that almost half of all lung cancers are diagnosed at stage 4. Late </w:t>
      </w:r>
      <w:r w:rsidRPr="0072045E">
        <w:rPr>
          <w:rFonts w:cs="Arial"/>
        </w:rPr>
        <w:lastRenderedPageBreak/>
        <w:t>diagnosis, where curative treatment is not possible, is a contributing factor to poor survival rates for people with lung cancer. Early detection is key to improving outcomes. Diagnosis of lung cancer requires more than one investigation. Initial investigations involve history taking, an assessment of clinical symptoms and signs to exclude other illnesses, such as chest infections.</w:t>
      </w:r>
      <w:r w:rsidR="00C8721D" w:rsidRPr="0072045E">
        <w:rPr>
          <w:rFonts w:cs="Arial"/>
        </w:rPr>
        <w:t xml:space="preserve"> </w:t>
      </w:r>
    </w:p>
    <w:p w14:paraId="3BD6E6C1" w14:textId="2073D618" w:rsidR="00C13A20" w:rsidRPr="0072045E" w:rsidRDefault="0019249A" w:rsidP="007A149F">
      <w:pPr>
        <w:pStyle w:val="Paragraphnonumbers"/>
        <w:rPr>
          <w:rFonts w:cs="Arial"/>
        </w:rPr>
      </w:pPr>
      <w:hyperlink r:id="rId20" w:anchor="lung-and-pleural-cancers" w:history="1">
        <w:r w:rsidR="00AD6C48" w:rsidRPr="0072045E">
          <w:rPr>
            <w:rStyle w:val="Hyperlink"/>
            <w:rFonts w:cs="Arial"/>
          </w:rPr>
          <w:t>NICE guidance on suspected cancer: recognition and referral 2020</w:t>
        </w:r>
      </w:hyperlink>
      <w:r w:rsidR="00AD6C48" w:rsidRPr="0072045E">
        <w:rPr>
          <w:rFonts w:cs="Arial"/>
        </w:rPr>
        <w:t xml:space="preserve"> recommends that people with unexplained symptoms are offered an urgent chest X-ray within 2 weeks to assess the risk of lung cancer. </w:t>
      </w:r>
      <w:hyperlink r:id="rId21" w:history="1">
        <w:r w:rsidR="00A72F12" w:rsidRPr="0072045E">
          <w:rPr>
            <w:rStyle w:val="Hyperlink"/>
            <w:rFonts w:cs="Arial"/>
          </w:rPr>
          <w:t>NICE guid</w:t>
        </w:r>
        <w:r w:rsidR="00CF2328" w:rsidRPr="0072045E">
          <w:rPr>
            <w:rStyle w:val="Hyperlink"/>
            <w:rFonts w:cs="Arial"/>
          </w:rPr>
          <w:t xml:space="preserve">ance on </w:t>
        </w:r>
        <w:r w:rsidR="00A72F12" w:rsidRPr="0072045E">
          <w:rPr>
            <w:rStyle w:val="Hyperlink"/>
            <w:rFonts w:cs="Arial"/>
          </w:rPr>
          <w:t>diagnosis and management</w:t>
        </w:r>
        <w:r w:rsidR="00CF2328" w:rsidRPr="0072045E">
          <w:rPr>
            <w:rStyle w:val="Hyperlink"/>
            <w:rFonts w:cs="Arial"/>
          </w:rPr>
          <w:t xml:space="preserve"> lung cancer</w:t>
        </w:r>
        <w:r w:rsidR="00A72F12" w:rsidRPr="0072045E">
          <w:rPr>
            <w:rStyle w:val="Hyperlink"/>
            <w:rFonts w:cs="Arial"/>
          </w:rPr>
          <w:t xml:space="preserve"> 2019</w:t>
        </w:r>
      </w:hyperlink>
      <w:r w:rsidR="00C8721D" w:rsidRPr="0072045E">
        <w:rPr>
          <w:rFonts w:cs="Arial"/>
        </w:rPr>
        <w:t xml:space="preserve"> </w:t>
      </w:r>
      <w:r w:rsidR="00AD6C48" w:rsidRPr="0072045E">
        <w:rPr>
          <w:rFonts w:cs="Arial"/>
        </w:rPr>
        <w:t>also m</w:t>
      </w:r>
      <w:r w:rsidR="00C8721D" w:rsidRPr="0072045E">
        <w:rPr>
          <w:rFonts w:cs="Arial"/>
        </w:rPr>
        <w:t xml:space="preserve">akes </w:t>
      </w:r>
      <w:r w:rsidR="00D06CE0" w:rsidRPr="0072045E">
        <w:rPr>
          <w:rFonts w:cs="Arial"/>
        </w:rPr>
        <w:t>several</w:t>
      </w:r>
      <w:r w:rsidR="00C8721D" w:rsidRPr="0072045E">
        <w:rPr>
          <w:rFonts w:cs="Arial"/>
        </w:rPr>
        <w:t xml:space="preserve"> recommendations that optimise the diagnostic pathway and allow flexibility for managing </w:t>
      </w:r>
      <w:r w:rsidR="00935E5E" w:rsidRPr="0072045E">
        <w:rPr>
          <w:rFonts w:cs="Arial"/>
        </w:rPr>
        <w:t xml:space="preserve">symptoms of lung cancer in </w:t>
      </w:r>
      <w:r w:rsidR="00C8721D" w:rsidRPr="0072045E">
        <w:rPr>
          <w:rFonts w:cs="Arial"/>
        </w:rPr>
        <w:t>a range of people. The guideline recommends that patients with suspected lung cancer should be urgently referred for a chest X</w:t>
      </w:r>
      <w:r w:rsidR="00C8721D" w:rsidRPr="0072045E">
        <w:rPr>
          <w:rFonts w:ascii="Cambria Math" w:hAnsi="Cambria Math" w:cs="Cambria Math"/>
        </w:rPr>
        <w:t>‑</w:t>
      </w:r>
      <w:r w:rsidR="00C8721D" w:rsidRPr="0072045E">
        <w:rPr>
          <w:rFonts w:cs="Arial"/>
        </w:rPr>
        <w:t xml:space="preserve">ray. If the results suggest lung cancer, a contrast-enhanced CT scan of the chest, upper abdomen and lower neck is performed. </w:t>
      </w:r>
    </w:p>
    <w:p w14:paraId="2A000128" w14:textId="5F5062D9" w:rsidR="00C8721D" w:rsidRPr="0072045E" w:rsidRDefault="00C8721D" w:rsidP="007A149F">
      <w:pPr>
        <w:pStyle w:val="Paragraphnonumbers"/>
        <w:rPr>
          <w:rFonts w:cs="Arial"/>
        </w:rPr>
      </w:pPr>
      <w:r w:rsidRPr="0072045E">
        <w:rPr>
          <w:rFonts w:cs="Arial"/>
        </w:rPr>
        <w:t>Further investigations to confirm a diagnosis and to provide information on the stage of the disease are then carried out. These investigations generally include a biopsy for histological confirmation and subtyping</w:t>
      </w:r>
      <w:r w:rsidR="00B81BEA">
        <w:rPr>
          <w:rFonts w:cs="Arial"/>
        </w:rPr>
        <w:t>, and a</w:t>
      </w:r>
      <w:r w:rsidRPr="0072045E">
        <w:rPr>
          <w:rFonts w:cs="Arial"/>
        </w:rPr>
        <w:t xml:space="preserve"> positron emission tomography-computed tomography (PET-CT)</w:t>
      </w:r>
      <w:r w:rsidR="00B81BEA">
        <w:rPr>
          <w:rFonts w:cs="Arial"/>
        </w:rPr>
        <w:t xml:space="preserve"> scan for staging</w:t>
      </w:r>
      <w:r w:rsidRPr="0072045E">
        <w:rPr>
          <w:rFonts w:cs="Arial"/>
        </w:rPr>
        <w:t xml:space="preserve">. </w:t>
      </w:r>
      <w:r w:rsidR="00774983" w:rsidRPr="0072045E">
        <w:rPr>
          <w:rFonts w:cs="Arial"/>
        </w:rPr>
        <w:t xml:space="preserve">This is recommended as a first test after CT </w:t>
      </w:r>
      <w:r w:rsidR="005F3FBC">
        <w:rPr>
          <w:rFonts w:cs="Arial"/>
        </w:rPr>
        <w:t xml:space="preserve">scan </w:t>
      </w:r>
      <w:r w:rsidR="005E2477" w:rsidRPr="0072045E">
        <w:rPr>
          <w:rFonts w:cs="Arial"/>
        </w:rPr>
        <w:t>(</w:t>
      </w:r>
      <w:hyperlink r:id="rId22" w:history="1">
        <w:r w:rsidR="002E5BFC">
          <w:rPr>
            <w:rStyle w:val="Hyperlink"/>
            <w:rFonts w:cs="Arial"/>
          </w:rPr>
          <w:t>British Thoracic Society Guidelines for the investigation and management of pulmonary nodules 2015</w:t>
        </w:r>
      </w:hyperlink>
      <w:r w:rsidR="005E2477" w:rsidRPr="0072045E">
        <w:rPr>
          <w:rFonts w:cs="Arial"/>
        </w:rPr>
        <w:t>)</w:t>
      </w:r>
      <w:r w:rsidR="00774983" w:rsidRPr="0072045E">
        <w:rPr>
          <w:rFonts w:cs="Arial"/>
        </w:rPr>
        <w:t xml:space="preserve">. Other methods that can diagnose and stage the disease </w:t>
      </w:r>
      <w:r w:rsidR="00A72F12" w:rsidRPr="0072045E">
        <w:rPr>
          <w:rFonts w:cs="Arial"/>
        </w:rPr>
        <w:t>are</w:t>
      </w:r>
      <w:r w:rsidR="00C10B96" w:rsidRPr="0072045E">
        <w:rPr>
          <w:rFonts w:cs="Arial"/>
        </w:rPr>
        <w:t xml:space="preserve"> </w:t>
      </w:r>
      <w:r w:rsidR="00774983" w:rsidRPr="0072045E">
        <w:rPr>
          <w:rFonts w:cs="Arial"/>
        </w:rPr>
        <w:t>MRI, endobronchial ultrasound-guided transbronchial needle aspiration (EBUS-TBNA) and endoscopic ultrasound-guide</w:t>
      </w:r>
      <w:r w:rsidR="00BC1053" w:rsidRPr="0072045E">
        <w:rPr>
          <w:rFonts w:cs="Arial"/>
        </w:rPr>
        <w:t>d</w:t>
      </w:r>
      <w:r w:rsidR="00774983" w:rsidRPr="0072045E">
        <w:rPr>
          <w:rFonts w:cs="Arial"/>
        </w:rPr>
        <w:t xml:space="preserve"> fine-needle aspiration (EUS-FNA)</w:t>
      </w:r>
      <w:r w:rsidR="00213F84" w:rsidRPr="0072045E">
        <w:rPr>
          <w:rFonts w:cs="Arial"/>
        </w:rPr>
        <w:t xml:space="preserve"> (</w:t>
      </w:r>
      <w:hyperlink r:id="rId23" w:history="1">
        <w:r w:rsidR="00213F84" w:rsidRPr="0072045E">
          <w:rPr>
            <w:rStyle w:val="Hyperlink"/>
            <w:rFonts w:cs="Arial"/>
          </w:rPr>
          <w:t>NICE guideline on diagnosis and management of lung cancer 2019</w:t>
        </w:r>
      </w:hyperlink>
      <w:r w:rsidR="00213F84" w:rsidRPr="0072045E">
        <w:rPr>
          <w:rFonts w:cs="Arial"/>
        </w:rPr>
        <w:t>)</w:t>
      </w:r>
      <w:r w:rsidR="00774983" w:rsidRPr="0072045E">
        <w:rPr>
          <w:rFonts w:cs="Arial"/>
        </w:rPr>
        <w:t>. This helps with diagnosis and choosing the best treatment</w:t>
      </w:r>
      <w:r w:rsidR="00D26B9E" w:rsidRPr="0072045E">
        <w:rPr>
          <w:rFonts w:cs="Arial"/>
        </w:rPr>
        <w:t xml:space="preserve"> (</w:t>
      </w:r>
      <w:hyperlink r:id="rId24" w:history="1">
        <w:r w:rsidR="00D26B9E" w:rsidRPr="0072045E">
          <w:rPr>
            <w:rStyle w:val="Hyperlink"/>
            <w:rFonts w:cs="Arial"/>
          </w:rPr>
          <w:t>NICE impact on lung cancer 2019</w:t>
        </w:r>
      </w:hyperlink>
      <w:r w:rsidR="00D26B9E" w:rsidRPr="0072045E">
        <w:rPr>
          <w:rFonts w:cs="Arial"/>
        </w:rPr>
        <w:t>)</w:t>
      </w:r>
      <w:r w:rsidR="00774983" w:rsidRPr="0072045E">
        <w:rPr>
          <w:rFonts w:cs="Arial"/>
        </w:rPr>
        <w:t>.</w:t>
      </w:r>
    </w:p>
    <w:p w14:paraId="7A2B7D7F" w14:textId="1A40F54C" w:rsidR="00075DF7" w:rsidRPr="0072045E" w:rsidRDefault="0023056B" w:rsidP="0097637C">
      <w:pPr>
        <w:pStyle w:val="Heading4"/>
        <w:numPr>
          <w:ilvl w:val="0"/>
          <w:numId w:val="0"/>
        </w:numPr>
        <w:spacing w:line="276" w:lineRule="auto"/>
        <w:ind w:left="864" w:hanging="864"/>
        <w:rPr>
          <w:rFonts w:cs="Arial"/>
          <w:szCs w:val="24"/>
        </w:rPr>
      </w:pPr>
      <w:r w:rsidRPr="0072045E">
        <w:rPr>
          <w:rFonts w:cs="Arial"/>
          <w:szCs w:val="24"/>
        </w:rPr>
        <w:t xml:space="preserve">3.2.2 </w:t>
      </w:r>
      <w:r w:rsidR="00075DF7" w:rsidRPr="0072045E">
        <w:rPr>
          <w:rFonts w:cs="Arial"/>
          <w:szCs w:val="24"/>
        </w:rPr>
        <w:t xml:space="preserve">Diagnostic pathway for </w:t>
      </w:r>
      <w:r w:rsidR="006322CF">
        <w:rPr>
          <w:rFonts w:cs="Arial"/>
          <w:szCs w:val="24"/>
        </w:rPr>
        <w:t>solid</w:t>
      </w:r>
      <w:r w:rsidR="006322CF" w:rsidRPr="0072045E">
        <w:rPr>
          <w:rFonts w:cs="Arial"/>
          <w:szCs w:val="24"/>
        </w:rPr>
        <w:t xml:space="preserve"> </w:t>
      </w:r>
      <w:r w:rsidR="00075DF7" w:rsidRPr="0072045E">
        <w:rPr>
          <w:rFonts w:cs="Arial"/>
          <w:szCs w:val="24"/>
        </w:rPr>
        <w:t>pulmonary nodules</w:t>
      </w:r>
    </w:p>
    <w:p w14:paraId="717A76A8" w14:textId="4D40DB9B" w:rsidR="00075DF7" w:rsidRDefault="00075DF7" w:rsidP="00075DF7">
      <w:pPr>
        <w:pStyle w:val="Paragraphnonumbers"/>
        <w:rPr>
          <w:rFonts w:cs="Arial"/>
          <w:iCs/>
        </w:rPr>
      </w:pPr>
      <w:r w:rsidRPr="0072045E">
        <w:rPr>
          <w:rFonts w:cs="Arial"/>
        </w:rPr>
        <w:t xml:space="preserve">Pulmonary nodules are managed in accordance with the </w:t>
      </w:r>
      <w:hyperlink r:id="rId25" w:history="1">
        <w:r w:rsidR="002E5BFC">
          <w:rPr>
            <w:rStyle w:val="Hyperlink"/>
            <w:rFonts w:cs="Arial"/>
          </w:rPr>
          <w:t>British Thoracic Society Guidelines for the investigation and management of pulmonary nodules (2015</w:t>
        </w:r>
      </w:hyperlink>
      <w:r w:rsidR="00BC1053" w:rsidRPr="0072045E">
        <w:rPr>
          <w:rStyle w:val="Hyperlink"/>
          <w:rFonts w:cs="Arial"/>
        </w:rPr>
        <w:t>)</w:t>
      </w:r>
      <w:r w:rsidR="008D6CF2" w:rsidRPr="003D1DD8">
        <w:t xml:space="preserve">. </w:t>
      </w:r>
      <w:r w:rsidRPr="0072045E">
        <w:rPr>
          <w:rFonts w:cs="Arial"/>
          <w:iCs/>
        </w:rPr>
        <w:t xml:space="preserve">These are small growths in the lung, often found incidentally when having a chest X-ray or CT scan. They may be malignant or benign. </w:t>
      </w:r>
      <w:r w:rsidR="006F6382" w:rsidRPr="0072045E">
        <w:rPr>
          <w:rFonts w:cs="Arial"/>
          <w:iCs/>
        </w:rPr>
        <w:t xml:space="preserve">The guideline recommends the same diagnostic approach for nodules detected incidentally and for those detected through screening. </w:t>
      </w:r>
      <w:r w:rsidRPr="0072045E">
        <w:rPr>
          <w:rFonts w:cs="Arial"/>
          <w:iCs/>
        </w:rPr>
        <w:t xml:space="preserve">Figure </w:t>
      </w:r>
      <w:r w:rsidR="006322CF">
        <w:rPr>
          <w:rFonts w:cs="Arial"/>
          <w:iCs/>
        </w:rPr>
        <w:t>2</w:t>
      </w:r>
      <w:r w:rsidR="006322CF" w:rsidRPr="0072045E">
        <w:rPr>
          <w:rFonts w:cs="Arial"/>
          <w:iCs/>
        </w:rPr>
        <w:t xml:space="preserve"> </w:t>
      </w:r>
      <w:r w:rsidRPr="0072045E">
        <w:rPr>
          <w:rFonts w:cs="Arial"/>
          <w:iCs/>
        </w:rPr>
        <w:t xml:space="preserve">provides a recommended pathway for the </w:t>
      </w:r>
      <w:r w:rsidR="006322CF">
        <w:rPr>
          <w:rFonts w:cs="Arial"/>
          <w:iCs/>
        </w:rPr>
        <w:t>i</w:t>
      </w:r>
      <w:r w:rsidRPr="0072045E">
        <w:rPr>
          <w:rFonts w:cs="Arial"/>
          <w:iCs/>
        </w:rPr>
        <w:t xml:space="preserve">nitial approach to solid pulmonary nodules. </w:t>
      </w:r>
    </w:p>
    <w:p w14:paraId="23242974" w14:textId="28D2DF54" w:rsidR="00E85668" w:rsidRPr="0072045E" w:rsidRDefault="00E85668" w:rsidP="00075DF7">
      <w:pPr>
        <w:pStyle w:val="Paragraphnonumbers"/>
        <w:rPr>
          <w:rFonts w:cs="Arial"/>
          <w:iCs/>
        </w:rPr>
      </w:pPr>
      <w:r>
        <w:rPr>
          <w:rFonts w:cs="Arial"/>
          <w:iCs/>
        </w:rPr>
        <w:t>In America, the</w:t>
      </w:r>
      <w:r w:rsidRPr="00E85668">
        <w:t xml:space="preserve"> </w:t>
      </w:r>
      <w:hyperlink r:id="rId26" w:history="1">
        <w:proofErr w:type="spellStart"/>
        <w:r w:rsidRPr="00E85668">
          <w:rPr>
            <w:rStyle w:val="Hyperlink"/>
            <w:rFonts w:cs="Arial"/>
            <w:iCs/>
          </w:rPr>
          <w:t>Fleischner</w:t>
        </w:r>
        <w:proofErr w:type="spellEnd"/>
        <w:r w:rsidRPr="00E85668">
          <w:rPr>
            <w:rStyle w:val="Hyperlink"/>
            <w:rFonts w:cs="Arial"/>
            <w:iCs/>
          </w:rPr>
          <w:t xml:space="preserve"> Society Guidelines for management of solid nodules</w:t>
        </w:r>
      </w:hyperlink>
      <w:r>
        <w:rPr>
          <w:rFonts w:cs="Arial"/>
          <w:iCs/>
        </w:rPr>
        <w:t xml:space="preserve"> (2005) are widely used, but these are not often followed in the UK.</w:t>
      </w:r>
    </w:p>
    <w:p w14:paraId="0226FF40" w14:textId="0A5B0982" w:rsidR="00075DF7" w:rsidRPr="0072045E" w:rsidRDefault="00075DF7" w:rsidP="00D85D88">
      <w:pPr>
        <w:pStyle w:val="Tabletitle"/>
        <w:keepNext/>
        <w:rPr>
          <w:rFonts w:cs="Arial"/>
          <w:sz w:val="24"/>
          <w:szCs w:val="24"/>
        </w:rPr>
      </w:pPr>
      <w:r w:rsidRPr="0072045E">
        <w:rPr>
          <w:rFonts w:cs="Arial"/>
          <w:sz w:val="24"/>
          <w:szCs w:val="24"/>
        </w:rPr>
        <w:lastRenderedPageBreak/>
        <w:t xml:space="preserve">Figure </w:t>
      </w:r>
      <w:r w:rsidR="007C5C60" w:rsidRPr="0072045E">
        <w:rPr>
          <w:rFonts w:cs="Arial"/>
          <w:sz w:val="24"/>
          <w:szCs w:val="24"/>
        </w:rPr>
        <w:fldChar w:fldCharType="begin"/>
      </w:r>
      <w:r w:rsidR="007C5C60" w:rsidRPr="0072045E">
        <w:rPr>
          <w:rFonts w:cs="Arial"/>
          <w:sz w:val="24"/>
          <w:szCs w:val="24"/>
        </w:rPr>
        <w:instrText xml:space="preserve"> SEQ Figure \* ARABIC </w:instrText>
      </w:r>
      <w:r w:rsidR="007C5C60" w:rsidRPr="0072045E">
        <w:rPr>
          <w:rFonts w:cs="Arial"/>
          <w:sz w:val="24"/>
          <w:szCs w:val="24"/>
        </w:rPr>
        <w:fldChar w:fldCharType="separate"/>
      </w:r>
      <w:r w:rsidR="0019249A">
        <w:rPr>
          <w:rFonts w:cs="Arial"/>
          <w:noProof/>
          <w:sz w:val="24"/>
          <w:szCs w:val="24"/>
        </w:rPr>
        <w:t>2</w:t>
      </w:r>
      <w:r w:rsidR="007C5C60" w:rsidRPr="0072045E">
        <w:rPr>
          <w:rFonts w:cs="Arial"/>
          <w:sz w:val="24"/>
          <w:szCs w:val="24"/>
        </w:rPr>
        <w:fldChar w:fldCharType="end"/>
      </w:r>
      <w:r w:rsidRPr="0072045E">
        <w:rPr>
          <w:rFonts w:cs="Arial"/>
          <w:sz w:val="24"/>
          <w:szCs w:val="24"/>
        </w:rPr>
        <w:t>: Initial approach to solid pulmonary nodules (</w:t>
      </w:r>
      <w:hyperlink r:id="rId27" w:history="1">
        <w:r w:rsidR="001C681D" w:rsidRPr="0072045E">
          <w:rPr>
            <w:rStyle w:val="Hyperlink"/>
            <w:rFonts w:cs="Arial"/>
            <w:sz w:val="24"/>
            <w:szCs w:val="24"/>
          </w:rPr>
          <w:t xml:space="preserve">British Thoracic </w:t>
        </w:r>
        <w:r w:rsidR="0023056B" w:rsidRPr="0072045E">
          <w:rPr>
            <w:rStyle w:val="Hyperlink"/>
            <w:rFonts w:cs="Arial"/>
            <w:sz w:val="24"/>
            <w:szCs w:val="24"/>
          </w:rPr>
          <w:t>Society guidelines</w:t>
        </w:r>
        <w:r w:rsidR="008D6CF2" w:rsidRPr="0072045E">
          <w:rPr>
            <w:rStyle w:val="Hyperlink"/>
            <w:rFonts w:cs="Arial"/>
            <w:sz w:val="24"/>
            <w:szCs w:val="24"/>
          </w:rPr>
          <w:t xml:space="preserve"> 2015</w:t>
        </w:r>
      </w:hyperlink>
      <w:r w:rsidRPr="0072045E">
        <w:rPr>
          <w:rFonts w:cs="Arial"/>
          <w:sz w:val="24"/>
          <w:szCs w:val="24"/>
        </w:rPr>
        <w:t>)</w:t>
      </w:r>
    </w:p>
    <w:p w14:paraId="2D1AE33D" w14:textId="1ED2FBB4" w:rsidR="00075DF7" w:rsidRPr="0072045E" w:rsidRDefault="00A8624B" w:rsidP="00075DF7">
      <w:pPr>
        <w:pStyle w:val="Paragraphnonumbers"/>
        <w:rPr>
          <w:rFonts w:cs="Arial"/>
          <w:iCs/>
        </w:rPr>
      </w:pPr>
      <w:r w:rsidRPr="00A8624B">
        <w:rPr>
          <w:noProof/>
        </w:rPr>
        <w:drawing>
          <wp:inline distT="0" distB="0" distL="0" distR="0" wp14:anchorId="1F0EF08D" wp14:editId="1C19C418">
            <wp:extent cx="5274310" cy="5329555"/>
            <wp:effectExtent l="0" t="0" r="254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74310" cy="5329555"/>
                    </a:xfrm>
                    <a:prstGeom prst="rect">
                      <a:avLst/>
                    </a:prstGeom>
                  </pic:spPr>
                </pic:pic>
              </a:graphicData>
            </a:graphic>
          </wp:inline>
        </w:drawing>
      </w:r>
    </w:p>
    <w:p w14:paraId="3729572A" w14:textId="4C35B56E" w:rsidR="008E212C" w:rsidRPr="0072045E" w:rsidRDefault="00A84369" w:rsidP="00075DF7">
      <w:pPr>
        <w:pStyle w:val="Paragraphnonumbers"/>
        <w:rPr>
          <w:rFonts w:cs="Arial"/>
          <w:iCs/>
        </w:rPr>
      </w:pPr>
      <w:r w:rsidRPr="0072045E">
        <w:rPr>
          <w:rFonts w:cs="Arial"/>
          <w:iCs/>
        </w:rPr>
        <w:t>For nodules smaller than 5 mm (or 80 mm</w:t>
      </w:r>
      <w:r w:rsidRPr="0072045E">
        <w:rPr>
          <w:rFonts w:cs="Arial"/>
          <w:iCs/>
          <w:vertAlign w:val="superscript"/>
        </w:rPr>
        <w:t>3</w:t>
      </w:r>
      <w:r w:rsidRPr="0072045E">
        <w:rPr>
          <w:rFonts w:cs="Arial"/>
          <w:iCs/>
        </w:rPr>
        <w:t xml:space="preserve">), the British Thoracic Society recommend that </w:t>
      </w:r>
      <w:r w:rsidR="00CB4BA5" w:rsidRPr="0072045E">
        <w:rPr>
          <w:rFonts w:cs="Arial"/>
          <w:iCs/>
        </w:rPr>
        <w:t>people should be</w:t>
      </w:r>
      <w:r w:rsidRPr="0072045E">
        <w:rPr>
          <w:rFonts w:cs="Arial"/>
          <w:iCs/>
        </w:rPr>
        <w:t xml:space="preserve"> discharged with no follow up.</w:t>
      </w:r>
      <w:r w:rsidR="000D33B6" w:rsidRPr="0072045E">
        <w:rPr>
          <w:rFonts w:cs="Arial"/>
          <w:iCs/>
        </w:rPr>
        <w:t xml:space="preserve"> </w:t>
      </w:r>
      <w:r w:rsidR="007653FE" w:rsidRPr="0072045E">
        <w:rPr>
          <w:rFonts w:cs="Arial"/>
          <w:iCs/>
        </w:rPr>
        <w:t xml:space="preserve">Those that have nodules </w:t>
      </w:r>
      <w:r w:rsidR="00C03813" w:rsidRPr="0072045E">
        <w:rPr>
          <w:rFonts w:cs="Arial"/>
          <w:iCs/>
        </w:rPr>
        <w:t xml:space="preserve">between 5mm </w:t>
      </w:r>
      <w:r w:rsidR="007519FB" w:rsidRPr="0072045E">
        <w:rPr>
          <w:rFonts w:cs="Arial"/>
          <w:iCs/>
        </w:rPr>
        <w:t xml:space="preserve">and </w:t>
      </w:r>
      <w:r w:rsidR="007653FE" w:rsidRPr="0072045E">
        <w:rPr>
          <w:rFonts w:cs="Arial"/>
          <w:iCs/>
        </w:rPr>
        <w:t xml:space="preserve">8mm diameter or </w:t>
      </w:r>
      <w:r w:rsidR="006322CF" w:rsidRPr="0072045E">
        <w:rPr>
          <w:rFonts w:cs="Arial"/>
          <w:iCs/>
        </w:rPr>
        <w:t>80mm</w:t>
      </w:r>
      <w:r w:rsidR="006322CF" w:rsidRPr="0072045E">
        <w:rPr>
          <w:rFonts w:cs="Arial"/>
          <w:iCs/>
          <w:vertAlign w:val="superscript"/>
        </w:rPr>
        <w:t>3</w:t>
      </w:r>
      <w:r w:rsidR="006322CF" w:rsidRPr="0072045E">
        <w:rPr>
          <w:rFonts w:cs="Arial"/>
          <w:iCs/>
        </w:rPr>
        <w:t xml:space="preserve"> </w:t>
      </w:r>
      <w:r w:rsidR="006322CF">
        <w:rPr>
          <w:rFonts w:cs="Arial"/>
          <w:iCs/>
        </w:rPr>
        <w:t>and</w:t>
      </w:r>
      <w:r w:rsidR="006322CF" w:rsidRPr="0072045E">
        <w:rPr>
          <w:rFonts w:cs="Arial"/>
          <w:iCs/>
        </w:rPr>
        <w:t xml:space="preserve"> &lt;300mm</w:t>
      </w:r>
      <w:r w:rsidR="006322CF" w:rsidRPr="0072045E">
        <w:rPr>
          <w:rFonts w:cs="Arial"/>
          <w:iCs/>
          <w:vertAlign w:val="superscript"/>
        </w:rPr>
        <w:t>3</w:t>
      </w:r>
      <w:r w:rsidR="006322CF" w:rsidRPr="0072045E">
        <w:rPr>
          <w:rFonts w:cs="Arial"/>
          <w:iCs/>
        </w:rPr>
        <w:t xml:space="preserve"> </w:t>
      </w:r>
      <w:r w:rsidR="007653FE" w:rsidRPr="0072045E">
        <w:rPr>
          <w:rFonts w:cs="Arial"/>
          <w:iCs/>
        </w:rPr>
        <w:t xml:space="preserve">volume are offered CT surveillance. </w:t>
      </w:r>
      <w:r w:rsidR="00A24A97" w:rsidRPr="0072045E">
        <w:rPr>
          <w:rFonts w:cs="Arial"/>
          <w:iCs/>
        </w:rPr>
        <w:t>For p</w:t>
      </w:r>
      <w:r w:rsidR="000D33B6" w:rsidRPr="0072045E">
        <w:rPr>
          <w:rFonts w:cs="Arial"/>
          <w:iCs/>
        </w:rPr>
        <w:t xml:space="preserve">eople with nodules of </w:t>
      </w:r>
      <w:r w:rsidR="00BC17DB" w:rsidRPr="0072045E">
        <w:rPr>
          <w:rFonts w:cs="Arial"/>
          <w:iCs/>
        </w:rPr>
        <w:t>&gt;</w:t>
      </w:r>
      <w:r w:rsidR="000D33B6" w:rsidRPr="0072045E">
        <w:rPr>
          <w:rFonts w:cs="Arial"/>
          <w:iCs/>
        </w:rPr>
        <w:t>8mm diameter</w:t>
      </w:r>
      <w:r w:rsidR="00C80BA8" w:rsidRPr="0072045E">
        <w:rPr>
          <w:rFonts w:cs="Arial"/>
          <w:iCs/>
        </w:rPr>
        <w:t xml:space="preserve"> the Brock model is used to assess risk.</w:t>
      </w:r>
      <w:r w:rsidR="00F2119F" w:rsidRPr="0072045E">
        <w:rPr>
          <w:rFonts w:cs="Arial"/>
          <w:iCs/>
        </w:rPr>
        <w:t xml:space="preserve"> The </w:t>
      </w:r>
      <w:hyperlink r:id="rId29" w:history="1">
        <w:r w:rsidR="00F2119F" w:rsidRPr="0072045E">
          <w:rPr>
            <w:rStyle w:val="Hyperlink"/>
            <w:rFonts w:cs="Arial"/>
            <w:iCs/>
          </w:rPr>
          <w:t>Brock model</w:t>
        </w:r>
      </w:hyperlink>
      <w:r w:rsidR="00F2119F" w:rsidRPr="0072045E">
        <w:rPr>
          <w:rFonts w:cs="Arial"/>
          <w:iCs/>
        </w:rPr>
        <w:t xml:space="preserve"> utilises key inputs including nodule size, location in the lung, age, smoking status, family history of lung cancer, sex, and nodule count. </w:t>
      </w:r>
      <w:r w:rsidR="007653FE" w:rsidRPr="0072045E">
        <w:rPr>
          <w:rFonts w:cs="Arial"/>
          <w:iCs/>
        </w:rPr>
        <w:t>For nodules</w:t>
      </w:r>
      <w:r w:rsidR="00A24A97" w:rsidRPr="0072045E">
        <w:rPr>
          <w:rFonts w:cs="Arial"/>
          <w:iCs/>
        </w:rPr>
        <w:t xml:space="preserve"> with</w:t>
      </w:r>
      <w:r w:rsidR="007653FE" w:rsidRPr="0072045E">
        <w:rPr>
          <w:rFonts w:cs="Arial"/>
          <w:iCs/>
        </w:rPr>
        <w:t xml:space="preserve"> &lt;</w:t>
      </w:r>
      <w:r w:rsidR="000D33B6" w:rsidRPr="0072045E">
        <w:rPr>
          <w:rFonts w:cs="Arial"/>
          <w:iCs/>
        </w:rPr>
        <w:t xml:space="preserve">10% risk of malignancy using the </w:t>
      </w:r>
      <w:r w:rsidR="00A24A97" w:rsidRPr="0072045E">
        <w:rPr>
          <w:rFonts w:cs="Arial"/>
          <w:iCs/>
        </w:rPr>
        <w:t>B</w:t>
      </w:r>
      <w:r w:rsidR="000D33B6" w:rsidRPr="0072045E">
        <w:rPr>
          <w:rFonts w:cs="Arial"/>
          <w:iCs/>
        </w:rPr>
        <w:t>rock model</w:t>
      </w:r>
      <w:r w:rsidR="00A24A97" w:rsidRPr="0072045E">
        <w:rPr>
          <w:rFonts w:cs="Arial"/>
          <w:iCs/>
        </w:rPr>
        <w:t>,</w:t>
      </w:r>
      <w:r w:rsidR="000D33B6" w:rsidRPr="0072045E">
        <w:rPr>
          <w:rFonts w:cs="Arial"/>
          <w:iCs/>
        </w:rPr>
        <w:t xml:space="preserve"> CT surveillance</w:t>
      </w:r>
      <w:r w:rsidR="007653FE" w:rsidRPr="0072045E">
        <w:rPr>
          <w:rFonts w:cs="Arial"/>
          <w:iCs/>
        </w:rPr>
        <w:t xml:space="preserve"> is offered</w:t>
      </w:r>
      <w:r w:rsidR="000D33B6" w:rsidRPr="0072045E">
        <w:rPr>
          <w:rFonts w:cs="Arial"/>
          <w:iCs/>
        </w:rPr>
        <w:t>.</w:t>
      </w:r>
      <w:r w:rsidR="000D33B6" w:rsidRPr="0072045E">
        <w:rPr>
          <w:rFonts w:cs="Arial"/>
        </w:rPr>
        <w:t xml:space="preserve"> </w:t>
      </w:r>
      <w:r w:rsidR="000D33B6" w:rsidRPr="0072045E">
        <w:rPr>
          <w:rFonts w:cs="Arial"/>
          <w:iCs/>
        </w:rPr>
        <w:t xml:space="preserve">This involves repeat scanning at 3 months and 1 to 2 years to assess nodule volume doubling time. </w:t>
      </w:r>
    </w:p>
    <w:p w14:paraId="329116F4" w14:textId="4903989F" w:rsidR="00CB4BA5" w:rsidRPr="0072045E" w:rsidRDefault="007653FE" w:rsidP="00075DF7">
      <w:pPr>
        <w:pStyle w:val="Paragraphnonumbers"/>
        <w:rPr>
          <w:rFonts w:cs="Arial"/>
          <w:iCs/>
        </w:rPr>
      </w:pPr>
      <w:r w:rsidRPr="0072045E">
        <w:rPr>
          <w:rFonts w:cs="Arial"/>
          <w:iCs/>
        </w:rPr>
        <w:t xml:space="preserve">People with ≥10% risk of malignancy using the </w:t>
      </w:r>
      <w:r w:rsidR="001C0194" w:rsidRPr="0072045E">
        <w:rPr>
          <w:rFonts w:cs="Arial"/>
          <w:iCs/>
        </w:rPr>
        <w:t xml:space="preserve">Brock model are offered PET-CT with risk assessment using the </w:t>
      </w:r>
      <w:r w:rsidR="00A24A97" w:rsidRPr="0072045E">
        <w:rPr>
          <w:rFonts w:cs="Arial"/>
          <w:iCs/>
        </w:rPr>
        <w:t>H</w:t>
      </w:r>
      <w:r w:rsidR="001C0194" w:rsidRPr="0072045E">
        <w:rPr>
          <w:rFonts w:cs="Arial"/>
          <w:iCs/>
        </w:rPr>
        <w:t xml:space="preserve">erder model (provided size is greater </w:t>
      </w:r>
      <w:r w:rsidR="001C0194" w:rsidRPr="0072045E">
        <w:rPr>
          <w:rFonts w:cs="Arial"/>
          <w:iCs/>
        </w:rPr>
        <w:lastRenderedPageBreak/>
        <w:t xml:space="preserve">than local PET-CT threshold). </w:t>
      </w:r>
      <w:r w:rsidR="001C0194" w:rsidRPr="0072045E">
        <w:rPr>
          <w:rFonts w:cs="Arial"/>
        </w:rPr>
        <w:t>T</w:t>
      </w:r>
      <w:r w:rsidR="001C0194" w:rsidRPr="0072045E">
        <w:rPr>
          <w:rFonts w:cs="Arial"/>
          <w:iCs/>
        </w:rPr>
        <w:t xml:space="preserve">he </w:t>
      </w:r>
      <w:hyperlink r:id="rId30" w:history="1">
        <w:r w:rsidR="001C0194" w:rsidRPr="0072045E">
          <w:rPr>
            <w:rStyle w:val="Hyperlink"/>
            <w:rFonts w:cs="Arial"/>
            <w:iCs/>
          </w:rPr>
          <w:t>Herder model</w:t>
        </w:r>
      </w:hyperlink>
      <w:r w:rsidR="001C0194" w:rsidRPr="0072045E">
        <w:rPr>
          <w:rFonts w:cs="Arial"/>
        </w:rPr>
        <w:t xml:space="preserve"> </w:t>
      </w:r>
      <w:r w:rsidR="001C0194" w:rsidRPr="0072045E">
        <w:rPr>
          <w:rFonts w:cs="Arial"/>
          <w:iCs/>
        </w:rPr>
        <w:t>predicts the risk of malignancy in solid pulmonary nodules using patient characteristics, nodules characteristics, and the degree of F-fluorodeoxyglucose uptake on PET-CT (</w:t>
      </w:r>
      <w:hyperlink r:id="rId31" w:history="1">
        <w:r w:rsidR="001C0194" w:rsidRPr="0072045E">
          <w:rPr>
            <w:rStyle w:val="Hyperlink"/>
            <w:rFonts w:cs="Arial"/>
            <w:iCs/>
          </w:rPr>
          <w:t>Al-Ameri et al. 2015</w:t>
        </w:r>
      </w:hyperlink>
      <w:r w:rsidR="001C0194" w:rsidRPr="0072045E">
        <w:rPr>
          <w:rStyle w:val="Hyperlink"/>
          <w:rFonts w:cs="Arial"/>
          <w:iCs/>
        </w:rPr>
        <w:t>).</w:t>
      </w:r>
      <w:r w:rsidR="001C0194" w:rsidRPr="0072045E">
        <w:rPr>
          <w:rFonts w:cs="Arial"/>
        </w:rPr>
        <w:t xml:space="preserve"> </w:t>
      </w:r>
      <w:r w:rsidR="00A24A97" w:rsidRPr="0072045E">
        <w:rPr>
          <w:rFonts w:cs="Arial"/>
        </w:rPr>
        <w:t xml:space="preserve">Those that have &lt;10% risk of malignancy using the Herder model are offered CT surveillance. </w:t>
      </w:r>
      <w:r w:rsidR="001C0194" w:rsidRPr="0072045E">
        <w:rPr>
          <w:rFonts w:cs="Arial"/>
        </w:rPr>
        <w:t xml:space="preserve">For people with 10-70% risk of malignancy using the Herder model, </w:t>
      </w:r>
      <w:r w:rsidR="001C0194" w:rsidRPr="0072045E">
        <w:rPr>
          <w:rFonts w:cs="Arial"/>
          <w:bCs/>
        </w:rPr>
        <w:t>image guided biopsy, excision biopsy or CT surveillance guided by individual risk and patient preference is used.</w:t>
      </w:r>
      <w:r w:rsidR="001C0194" w:rsidRPr="0072045E">
        <w:rPr>
          <w:rFonts w:cs="Arial"/>
          <w:iCs/>
        </w:rPr>
        <w:t xml:space="preserve"> People with risk over 70% are considered for excision or non-surgical treatment (see figure </w:t>
      </w:r>
      <w:r w:rsidR="006322CF">
        <w:rPr>
          <w:rFonts w:cs="Arial"/>
          <w:iCs/>
        </w:rPr>
        <w:t>2</w:t>
      </w:r>
      <w:r w:rsidR="006322CF" w:rsidRPr="0072045E">
        <w:rPr>
          <w:rFonts w:cs="Arial"/>
          <w:iCs/>
        </w:rPr>
        <w:t xml:space="preserve"> </w:t>
      </w:r>
      <w:r w:rsidR="001C0194" w:rsidRPr="0072045E">
        <w:rPr>
          <w:rFonts w:cs="Arial"/>
          <w:iCs/>
        </w:rPr>
        <w:t>for more information).</w:t>
      </w:r>
    </w:p>
    <w:p w14:paraId="1234E614" w14:textId="451A8626" w:rsidR="00AF119D" w:rsidRPr="0072045E" w:rsidRDefault="0023056B" w:rsidP="004E5AF5">
      <w:pPr>
        <w:pStyle w:val="Heading4"/>
        <w:numPr>
          <w:ilvl w:val="0"/>
          <w:numId w:val="0"/>
        </w:numPr>
        <w:spacing w:line="276" w:lineRule="auto"/>
        <w:ind w:left="864" w:hanging="864"/>
        <w:rPr>
          <w:rFonts w:cs="Arial"/>
          <w:szCs w:val="24"/>
        </w:rPr>
      </w:pPr>
      <w:r w:rsidRPr="0072045E">
        <w:rPr>
          <w:rFonts w:cs="Arial"/>
          <w:szCs w:val="24"/>
        </w:rPr>
        <w:t xml:space="preserve">3.2.3 </w:t>
      </w:r>
      <w:r w:rsidR="00AF119D" w:rsidRPr="0072045E">
        <w:rPr>
          <w:rFonts w:cs="Arial"/>
          <w:iCs/>
          <w:szCs w:val="24"/>
        </w:rPr>
        <w:t>Position of the technology in the current diagnostic pathway</w:t>
      </w:r>
    </w:p>
    <w:p w14:paraId="732DCB25" w14:textId="45D010C2" w:rsidR="001969D0" w:rsidRDefault="00AF119D" w:rsidP="001969D0">
      <w:pPr>
        <w:pStyle w:val="Paragraphnonumbers"/>
        <w:keepNext/>
        <w:rPr>
          <w:rFonts w:cs="Arial"/>
          <w:iCs/>
        </w:rPr>
      </w:pPr>
      <w:r w:rsidRPr="0072045E">
        <w:rPr>
          <w:rFonts w:cs="Arial"/>
          <w:iCs/>
        </w:rPr>
        <w:t xml:space="preserve">The </w:t>
      </w:r>
      <w:r w:rsidR="006322CF">
        <w:rPr>
          <w:rFonts w:cs="Arial"/>
          <w:iCs/>
        </w:rPr>
        <w:t xml:space="preserve">company </w:t>
      </w:r>
      <w:r w:rsidRPr="0072045E">
        <w:rPr>
          <w:rFonts w:cs="Arial"/>
          <w:iCs/>
        </w:rPr>
        <w:t xml:space="preserve">proposed position of </w:t>
      </w:r>
      <w:proofErr w:type="spellStart"/>
      <w:r w:rsidRPr="0072045E">
        <w:rPr>
          <w:rFonts w:cs="Arial"/>
          <w:iCs/>
        </w:rPr>
        <w:t>EarlyCDT</w:t>
      </w:r>
      <w:proofErr w:type="spellEnd"/>
      <w:r w:rsidRPr="0072045E">
        <w:rPr>
          <w:rFonts w:cs="Arial"/>
          <w:iCs/>
        </w:rPr>
        <w:t xml:space="preserve"> Lung test within the current </w:t>
      </w:r>
      <w:r w:rsidRPr="0072045E">
        <w:rPr>
          <w:rFonts w:cs="Arial"/>
        </w:rPr>
        <w:t xml:space="preserve">British Thoracic Society </w:t>
      </w:r>
      <w:r w:rsidRPr="0072045E">
        <w:rPr>
          <w:rFonts w:cs="Arial"/>
          <w:iCs/>
        </w:rPr>
        <w:t xml:space="preserve">pathway for solid pulmonary nodules </w:t>
      </w:r>
      <w:r w:rsidR="00E96481" w:rsidRPr="0072045E">
        <w:rPr>
          <w:rFonts w:cs="Arial"/>
          <w:iCs/>
        </w:rPr>
        <w:t>is shown in fi</w:t>
      </w:r>
      <w:r w:rsidR="00A94D0B" w:rsidRPr="0072045E">
        <w:rPr>
          <w:rFonts w:cs="Arial"/>
          <w:iCs/>
        </w:rPr>
        <w:t>gure</w:t>
      </w:r>
      <w:r w:rsidRPr="0072045E">
        <w:rPr>
          <w:rFonts w:cs="Arial"/>
          <w:iCs/>
        </w:rPr>
        <w:t xml:space="preserve"> </w:t>
      </w:r>
      <w:r w:rsidR="006322CF">
        <w:rPr>
          <w:rFonts w:cs="Arial"/>
          <w:iCs/>
        </w:rPr>
        <w:t>3</w:t>
      </w:r>
      <w:r w:rsidR="00E96481" w:rsidRPr="0072045E">
        <w:rPr>
          <w:rFonts w:cs="Arial"/>
          <w:iCs/>
        </w:rPr>
        <w:t>.</w:t>
      </w:r>
      <w:r w:rsidR="001969D0" w:rsidRPr="001969D0">
        <w:rPr>
          <w:rFonts w:cs="Arial"/>
          <w:iCs/>
        </w:rPr>
        <w:t xml:space="preserve"> </w:t>
      </w:r>
      <w:proofErr w:type="spellStart"/>
      <w:r w:rsidR="001969D0">
        <w:rPr>
          <w:rFonts w:cs="Arial"/>
          <w:iCs/>
        </w:rPr>
        <w:t>Oncimmune</w:t>
      </w:r>
      <w:proofErr w:type="spellEnd"/>
      <w:r w:rsidR="001969D0">
        <w:rPr>
          <w:rFonts w:cs="Arial"/>
          <w:iCs/>
        </w:rPr>
        <w:t xml:space="preserve"> indicate that</w:t>
      </w:r>
      <w:r w:rsidR="001969D0" w:rsidRPr="0072045E">
        <w:rPr>
          <w:rFonts w:cs="Arial"/>
          <w:iCs/>
        </w:rPr>
        <w:t xml:space="preserve"> </w:t>
      </w:r>
      <w:proofErr w:type="spellStart"/>
      <w:r w:rsidR="001969D0" w:rsidRPr="0072045E">
        <w:rPr>
          <w:rFonts w:cs="Arial"/>
          <w:iCs/>
        </w:rPr>
        <w:t>EarlyCDT</w:t>
      </w:r>
      <w:proofErr w:type="spellEnd"/>
      <w:r w:rsidR="001969D0" w:rsidRPr="0072045E">
        <w:rPr>
          <w:rFonts w:cs="Arial"/>
          <w:iCs/>
        </w:rPr>
        <w:t xml:space="preserve"> Lung </w:t>
      </w:r>
      <w:r w:rsidR="001969D0">
        <w:rPr>
          <w:rFonts w:cs="Arial"/>
          <w:iCs/>
        </w:rPr>
        <w:t>test could</w:t>
      </w:r>
      <w:r w:rsidR="001969D0" w:rsidRPr="0072045E">
        <w:rPr>
          <w:rFonts w:cs="Arial"/>
          <w:iCs/>
        </w:rPr>
        <w:t xml:space="preserve"> be used to assess people with</w:t>
      </w:r>
      <w:r w:rsidR="001969D0">
        <w:rPr>
          <w:rFonts w:cs="Arial"/>
          <w:iCs/>
        </w:rPr>
        <w:t xml:space="preserve"> </w:t>
      </w:r>
      <w:r w:rsidR="001969D0" w:rsidRPr="00B76A64">
        <w:rPr>
          <w:rFonts w:cs="Arial"/>
          <w:iCs/>
        </w:rPr>
        <w:t>solid non-calcified pulmonary nodules</w:t>
      </w:r>
      <w:r w:rsidR="001969D0">
        <w:rPr>
          <w:rFonts w:cs="Arial"/>
          <w:iCs/>
        </w:rPr>
        <w:t xml:space="preserve"> who have no previous imaging and</w:t>
      </w:r>
      <w:r w:rsidR="001969D0" w:rsidRPr="00637B44">
        <w:rPr>
          <w:rFonts w:cs="Arial"/>
          <w:iCs/>
        </w:rPr>
        <w:t xml:space="preserve"> </w:t>
      </w:r>
      <w:r w:rsidR="001969D0">
        <w:rPr>
          <w:rFonts w:cs="Arial"/>
          <w:iCs/>
        </w:rPr>
        <w:t xml:space="preserve">no </w:t>
      </w:r>
      <w:r w:rsidR="001969D0" w:rsidRPr="00637B44">
        <w:rPr>
          <w:rFonts w:cs="Arial"/>
          <w:iCs/>
        </w:rPr>
        <w:t xml:space="preserve">previous </w:t>
      </w:r>
      <w:r w:rsidR="001969D0">
        <w:rPr>
          <w:rFonts w:cs="Arial"/>
          <w:iCs/>
        </w:rPr>
        <w:t xml:space="preserve">history of </w:t>
      </w:r>
      <w:r w:rsidR="001969D0" w:rsidRPr="00637B44">
        <w:rPr>
          <w:rFonts w:cs="Arial"/>
          <w:iCs/>
        </w:rPr>
        <w:t>cancer</w:t>
      </w:r>
      <w:r w:rsidR="001969D0">
        <w:rPr>
          <w:rFonts w:cs="Arial"/>
          <w:iCs/>
        </w:rPr>
        <w:t xml:space="preserve">. They have </w:t>
      </w:r>
      <w:r w:rsidR="001969D0" w:rsidRPr="001B1DED">
        <w:rPr>
          <w:rFonts w:cs="Arial"/>
          <w:iCs/>
        </w:rPr>
        <w:t>define</w:t>
      </w:r>
      <w:r w:rsidR="001969D0">
        <w:rPr>
          <w:rFonts w:cs="Arial"/>
          <w:iCs/>
        </w:rPr>
        <w:t>d</w:t>
      </w:r>
      <w:r w:rsidR="001969D0" w:rsidRPr="001B1DED">
        <w:rPr>
          <w:rFonts w:cs="Arial"/>
          <w:iCs/>
        </w:rPr>
        <w:t xml:space="preserve"> different routes for when PET-CT is available in a timely manner and when it is not.</w:t>
      </w:r>
      <w:r w:rsidR="001969D0">
        <w:rPr>
          <w:rFonts w:cs="Arial"/>
          <w:iCs/>
        </w:rPr>
        <w:t xml:space="preserve"> The company propose using </w:t>
      </w:r>
      <w:proofErr w:type="spellStart"/>
      <w:r w:rsidR="001969D0">
        <w:rPr>
          <w:rFonts w:cs="Arial"/>
          <w:iCs/>
        </w:rPr>
        <w:t>EarlyCDT</w:t>
      </w:r>
      <w:proofErr w:type="spellEnd"/>
      <w:r w:rsidR="001969D0">
        <w:rPr>
          <w:rFonts w:cs="Arial"/>
          <w:iCs/>
        </w:rPr>
        <w:t xml:space="preserve"> Lung in people with: </w:t>
      </w:r>
    </w:p>
    <w:p w14:paraId="3ED74FE4" w14:textId="77777777" w:rsidR="001969D0" w:rsidRDefault="001969D0" w:rsidP="001969D0">
      <w:pPr>
        <w:pStyle w:val="Bullets"/>
      </w:pPr>
      <w:r>
        <w:t xml:space="preserve">Nodules </w:t>
      </w:r>
      <w:r w:rsidRPr="00637B44">
        <w:t>5-8mm in diameter or 80-300mm</w:t>
      </w:r>
      <w:r w:rsidRPr="00637B44">
        <w:rPr>
          <w:vertAlign w:val="superscript"/>
        </w:rPr>
        <w:t>3</w:t>
      </w:r>
      <w:r w:rsidRPr="00637B44">
        <w:t xml:space="preserve"> in volume </w:t>
      </w:r>
    </w:p>
    <w:p w14:paraId="6520A4A2" w14:textId="77777777" w:rsidR="001969D0" w:rsidRDefault="001969D0" w:rsidP="001969D0">
      <w:pPr>
        <w:pStyle w:val="Bullets"/>
      </w:pPr>
      <w:r>
        <w:t xml:space="preserve">Nodules </w:t>
      </w:r>
      <w:r w:rsidRPr="0072045E">
        <w:t xml:space="preserve">&gt;8mm </w:t>
      </w:r>
      <w:r w:rsidRPr="00637B44">
        <w:t xml:space="preserve">in diameter or </w:t>
      </w:r>
      <w:r>
        <w:t>&gt;</w:t>
      </w:r>
      <w:r w:rsidRPr="00637B44">
        <w:t>300mm</w:t>
      </w:r>
      <w:r w:rsidRPr="00637B44">
        <w:rPr>
          <w:vertAlign w:val="superscript"/>
        </w:rPr>
        <w:t>3</w:t>
      </w:r>
      <w:r w:rsidRPr="00637B44">
        <w:t xml:space="preserve"> in volume </w:t>
      </w:r>
      <w:r>
        <w:t>with</w:t>
      </w:r>
    </w:p>
    <w:p w14:paraId="3058CDA5" w14:textId="77777777" w:rsidR="001969D0" w:rsidRPr="00356D33" w:rsidRDefault="001969D0" w:rsidP="001969D0">
      <w:pPr>
        <w:pStyle w:val="Paragraphnonumbers"/>
        <w:numPr>
          <w:ilvl w:val="1"/>
          <w:numId w:val="48"/>
        </w:numPr>
        <w:spacing w:before="0" w:after="0"/>
        <w:rPr>
          <w:rFonts w:cs="Arial"/>
          <w:iCs/>
        </w:rPr>
      </w:pPr>
      <w:r w:rsidRPr="00356D33">
        <w:rPr>
          <w:rFonts w:cs="Arial"/>
          <w:iCs/>
        </w:rPr>
        <w:t>&lt;10% risk of malignancy using the Brock model</w:t>
      </w:r>
      <w:r>
        <w:rPr>
          <w:rFonts w:cs="Arial"/>
          <w:iCs/>
        </w:rPr>
        <w:t xml:space="preserve"> </w:t>
      </w:r>
    </w:p>
    <w:p w14:paraId="59D5F0E8" w14:textId="77777777" w:rsidR="001969D0" w:rsidRPr="0072045E" w:rsidRDefault="001969D0" w:rsidP="001969D0">
      <w:pPr>
        <w:pStyle w:val="Paragraphnonumbers"/>
        <w:numPr>
          <w:ilvl w:val="1"/>
          <w:numId w:val="48"/>
        </w:numPr>
        <w:spacing w:before="0" w:after="0"/>
        <w:ind w:left="1434" w:hanging="357"/>
        <w:rPr>
          <w:rFonts w:cs="Arial"/>
          <w:iCs/>
        </w:rPr>
      </w:pPr>
      <w:r w:rsidRPr="00466661">
        <w:rPr>
          <w:rFonts w:cs="Arial"/>
          <w:iCs/>
        </w:rPr>
        <w:t>10%- 70% risk of malignancy using</w:t>
      </w:r>
      <w:r>
        <w:rPr>
          <w:rFonts w:cs="Arial"/>
          <w:iCs/>
        </w:rPr>
        <w:t xml:space="preserve"> the Brock model</w:t>
      </w:r>
    </w:p>
    <w:p w14:paraId="7F87D66F" w14:textId="77777777" w:rsidR="001969D0" w:rsidRPr="0072045E" w:rsidRDefault="001969D0" w:rsidP="001969D0">
      <w:pPr>
        <w:pStyle w:val="Bullets"/>
      </w:pPr>
      <w:r w:rsidRPr="0072045E">
        <w:t>Nodules &gt;8mm (300mm</w:t>
      </w:r>
      <w:r w:rsidRPr="0072045E">
        <w:rPr>
          <w:vertAlign w:val="superscript"/>
        </w:rPr>
        <w:t>3</w:t>
      </w:r>
      <w:r w:rsidRPr="0072045E">
        <w:t xml:space="preserve">) in diameter with </w:t>
      </w:r>
    </w:p>
    <w:p w14:paraId="193A5E95" w14:textId="77777777" w:rsidR="001969D0" w:rsidRPr="0072045E" w:rsidRDefault="001969D0" w:rsidP="001969D0">
      <w:pPr>
        <w:pStyle w:val="Paragraphnonumbers"/>
        <w:numPr>
          <w:ilvl w:val="1"/>
          <w:numId w:val="48"/>
        </w:numPr>
        <w:spacing w:before="0" w:after="0"/>
        <w:rPr>
          <w:rFonts w:cs="Arial"/>
          <w:iCs/>
        </w:rPr>
      </w:pPr>
      <w:r w:rsidRPr="0072045E">
        <w:rPr>
          <w:rFonts w:cs="Arial"/>
          <w:iCs/>
        </w:rPr>
        <w:t>&lt;10% risk of malignancy using the Herder model</w:t>
      </w:r>
    </w:p>
    <w:p w14:paraId="6F4B3026" w14:textId="77777777" w:rsidR="001969D0" w:rsidRDefault="001969D0" w:rsidP="001969D0">
      <w:pPr>
        <w:pStyle w:val="ListParagraph"/>
        <w:numPr>
          <w:ilvl w:val="1"/>
          <w:numId w:val="48"/>
        </w:numPr>
        <w:spacing w:line="276" w:lineRule="auto"/>
        <w:rPr>
          <w:rFonts w:ascii="Arial" w:hAnsi="Arial" w:cs="Arial"/>
          <w:iCs/>
        </w:rPr>
      </w:pPr>
      <w:r w:rsidRPr="0072045E">
        <w:rPr>
          <w:rFonts w:ascii="Arial" w:hAnsi="Arial" w:cs="Arial"/>
          <w:iCs/>
        </w:rPr>
        <w:t>10%- 70% risk of malignancy using the Herder model</w:t>
      </w:r>
    </w:p>
    <w:p w14:paraId="341CDAEB" w14:textId="77777777" w:rsidR="001969D0" w:rsidRDefault="001969D0" w:rsidP="001969D0">
      <w:pPr>
        <w:pStyle w:val="Paragraphnonumbers"/>
      </w:pPr>
      <w:r>
        <w:t xml:space="preserve">Clinical experts have indicated that PET-CT is widely available in a timely manner within the NHS and is always done when appropriate. Therefore, the suggestion of using </w:t>
      </w:r>
      <w:proofErr w:type="spellStart"/>
      <w:r>
        <w:t>EarlyCDT</w:t>
      </w:r>
      <w:proofErr w:type="spellEnd"/>
      <w:r>
        <w:t xml:space="preserve"> Lung in a pathway where PET-CT is not available in a timely manner should not be included in the assessment.</w:t>
      </w:r>
    </w:p>
    <w:p w14:paraId="4A1FDC92" w14:textId="77777777" w:rsidR="001969D0" w:rsidRDefault="001969D0" w:rsidP="001969D0">
      <w:pPr>
        <w:pStyle w:val="Paragraphnonumbers"/>
      </w:pPr>
      <w:r>
        <w:t xml:space="preserve">Clinical experts noted that </w:t>
      </w:r>
      <w:proofErr w:type="spellStart"/>
      <w:r>
        <w:t>EarlyCDT</w:t>
      </w:r>
      <w:proofErr w:type="spellEnd"/>
      <w:r>
        <w:t xml:space="preserve"> Lung could be done at the same time as PET-CT or after risk assessment with the Herder model (which incorporates the results of the PET-CT scan). These options can be explored in the assessment.</w:t>
      </w:r>
      <w:r w:rsidRPr="00237F32">
        <w:t xml:space="preserve"> </w:t>
      </w:r>
      <w:r>
        <w:t xml:space="preserve">In addition, PET-CT is not done for nodules &lt;8mm in diameter and for nodules with &lt;10% of malignancy. Clinical experts have noted that there may be less value from using in </w:t>
      </w:r>
      <w:proofErr w:type="spellStart"/>
      <w:r>
        <w:t>EarlyCDT</w:t>
      </w:r>
      <w:proofErr w:type="spellEnd"/>
      <w:r>
        <w:t xml:space="preserve"> Lung in these low-risk groups because it may not change decision making about further testing. This can also be explored in the assessment. </w:t>
      </w:r>
    </w:p>
    <w:p w14:paraId="1AEC9AF3" w14:textId="77EFEB39" w:rsidR="001969D0" w:rsidRDefault="001969D0" w:rsidP="001969D0">
      <w:pPr>
        <w:pStyle w:val="Paragraphnonumbers"/>
      </w:pPr>
      <w:r>
        <w:t xml:space="preserve">Therefore, relevant groups for the use of </w:t>
      </w:r>
      <w:proofErr w:type="spellStart"/>
      <w:r>
        <w:t>EarlyCDT</w:t>
      </w:r>
      <w:proofErr w:type="spellEnd"/>
      <w:r>
        <w:t xml:space="preserve"> Lung include people with:</w:t>
      </w:r>
    </w:p>
    <w:p w14:paraId="020113BA" w14:textId="77777777" w:rsidR="001969D0" w:rsidRDefault="001969D0" w:rsidP="001969D0">
      <w:pPr>
        <w:pStyle w:val="Bullets"/>
      </w:pPr>
      <w:r>
        <w:t xml:space="preserve">Nodules </w:t>
      </w:r>
      <w:r w:rsidRPr="00637B44">
        <w:t>5-8mm in diameter or 80-300mm</w:t>
      </w:r>
      <w:r w:rsidRPr="00637B44">
        <w:rPr>
          <w:vertAlign w:val="superscript"/>
        </w:rPr>
        <w:t>3</w:t>
      </w:r>
      <w:r w:rsidRPr="00637B44">
        <w:t xml:space="preserve"> in volume </w:t>
      </w:r>
    </w:p>
    <w:p w14:paraId="7E5E89ED" w14:textId="77777777" w:rsidR="001969D0" w:rsidRDefault="001969D0" w:rsidP="001969D0">
      <w:pPr>
        <w:pStyle w:val="Bullets"/>
      </w:pPr>
      <w:r>
        <w:lastRenderedPageBreak/>
        <w:t xml:space="preserve">Nodules </w:t>
      </w:r>
      <w:r w:rsidRPr="0072045E">
        <w:t xml:space="preserve">&gt;8mm </w:t>
      </w:r>
      <w:r w:rsidRPr="00637B44">
        <w:t xml:space="preserve">in diameter or </w:t>
      </w:r>
      <w:r>
        <w:t>&gt;</w:t>
      </w:r>
      <w:r w:rsidRPr="00637B44">
        <w:t>300mm</w:t>
      </w:r>
      <w:r w:rsidRPr="00637B44">
        <w:rPr>
          <w:vertAlign w:val="superscript"/>
        </w:rPr>
        <w:t>3</w:t>
      </w:r>
      <w:r w:rsidRPr="00637B44">
        <w:t xml:space="preserve"> in volume </w:t>
      </w:r>
      <w:r>
        <w:t>with</w:t>
      </w:r>
    </w:p>
    <w:p w14:paraId="0BDE549F" w14:textId="77777777" w:rsidR="001969D0" w:rsidRPr="00356D33" w:rsidRDefault="001969D0" w:rsidP="001969D0">
      <w:pPr>
        <w:pStyle w:val="Paragraphnonumbers"/>
        <w:numPr>
          <w:ilvl w:val="1"/>
          <w:numId w:val="48"/>
        </w:numPr>
        <w:spacing w:before="0" w:after="0"/>
        <w:rPr>
          <w:rFonts w:cs="Arial"/>
          <w:iCs/>
        </w:rPr>
      </w:pPr>
      <w:r w:rsidRPr="00356D33">
        <w:rPr>
          <w:rFonts w:cs="Arial"/>
          <w:iCs/>
        </w:rPr>
        <w:t>&lt;10% risk of malignancy using the Brock model</w:t>
      </w:r>
      <w:r>
        <w:rPr>
          <w:rFonts w:cs="Arial"/>
          <w:iCs/>
        </w:rPr>
        <w:t xml:space="preserve"> </w:t>
      </w:r>
    </w:p>
    <w:p w14:paraId="6B610431" w14:textId="77777777" w:rsidR="001969D0" w:rsidRPr="0072045E" w:rsidRDefault="001969D0" w:rsidP="001969D0">
      <w:pPr>
        <w:pStyle w:val="Paragraphnonumbers"/>
        <w:numPr>
          <w:ilvl w:val="1"/>
          <w:numId w:val="48"/>
        </w:numPr>
        <w:spacing w:before="0" w:after="0"/>
        <w:ind w:left="1434" w:hanging="357"/>
        <w:rPr>
          <w:rFonts w:cs="Arial"/>
          <w:iCs/>
        </w:rPr>
      </w:pPr>
      <w:r>
        <w:rPr>
          <w:rFonts w:cs="Arial"/>
          <w:iCs/>
        </w:rPr>
        <w:t>≥</w:t>
      </w:r>
      <w:r w:rsidRPr="00466661">
        <w:rPr>
          <w:rFonts w:cs="Arial"/>
          <w:iCs/>
        </w:rPr>
        <w:t>10%</w:t>
      </w:r>
      <w:r>
        <w:rPr>
          <w:rFonts w:cs="Arial"/>
          <w:iCs/>
        </w:rPr>
        <w:t xml:space="preserve"> </w:t>
      </w:r>
      <w:r w:rsidRPr="00466661">
        <w:rPr>
          <w:rFonts w:cs="Arial"/>
          <w:iCs/>
        </w:rPr>
        <w:t>risk of malignancy using</w:t>
      </w:r>
      <w:r>
        <w:rPr>
          <w:rFonts w:cs="Arial"/>
          <w:iCs/>
        </w:rPr>
        <w:t xml:space="preserve"> the Brock model</w:t>
      </w:r>
    </w:p>
    <w:p w14:paraId="03EAC0FE" w14:textId="5BAF6368" w:rsidR="001969D0" w:rsidRPr="0072045E" w:rsidRDefault="001969D0" w:rsidP="001969D0">
      <w:pPr>
        <w:pStyle w:val="Bullets"/>
      </w:pPr>
      <w:r w:rsidRPr="0072045E">
        <w:t>Nodules &gt;8mm in diameter</w:t>
      </w:r>
      <w:r w:rsidR="009232A6">
        <w:t xml:space="preserve"> or </w:t>
      </w:r>
      <w:r w:rsidR="009232A6" w:rsidRPr="0072045E">
        <w:t>300mm</w:t>
      </w:r>
      <w:r w:rsidR="009232A6" w:rsidRPr="0072045E">
        <w:rPr>
          <w:vertAlign w:val="superscript"/>
        </w:rPr>
        <w:t>3</w:t>
      </w:r>
      <w:r w:rsidR="009232A6">
        <w:t xml:space="preserve"> in volume</w:t>
      </w:r>
      <w:r w:rsidRPr="0072045E">
        <w:t xml:space="preserve"> with </w:t>
      </w:r>
    </w:p>
    <w:p w14:paraId="5FFA870B" w14:textId="77777777" w:rsidR="001969D0" w:rsidRPr="0072045E" w:rsidRDefault="001969D0" w:rsidP="001969D0">
      <w:pPr>
        <w:pStyle w:val="Paragraphnonumbers"/>
        <w:numPr>
          <w:ilvl w:val="1"/>
          <w:numId w:val="48"/>
        </w:numPr>
        <w:spacing w:before="0" w:after="0"/>
        <w:rPr>
          <w:rFonts w:cs="Arial"/>
          <w:iCs/>
        </w:rPr>
      </w:pPr>
      <w:r w:rsidRPr="0072045E">
        <w:rPr>
          <w:rFonts w:cs="Arial"/>
          <w:iCs/>
        </w:rPr>
        <w:t>&lt;10% risk of malignancy using the Herder model</w:t>
      </w:r>
    </w:p>
    <w:p w14:paraId="291BA8BC" w14:textId="77777777" w:rsidR="001969D0" w:rsidRDefault="001969D0" w:rsidP="003D1DD8">
      <w:pPr>
        <w:pStyle w:val="ListParagraph"/>
        <w:numPr>
          <w:ilvl w:val="1"/>
          <w:numId w:val="48"/>
        </w:numPr>
        <w:spacing w:after="360" w:line="276" w:lineRule="auto"/>
        <w:ind w:left="1434" w:hanging="357"/>
        <w:rPr>
          <w:rFonts w:ascii="Arial" w:hAnsi="Arial" w:cs="Arial"/>
          <w:iCs/>
        </w:rPr>
      </w:pPr>
      <w:r w:rsidRPr="0072045E">
        <w:rPr>
          <w:rFonts w:ascii="Arial" w:hAnsi="Arial" w:cs="Arial"/>
          <w:iCs/>
        </w:rPr>
        <w:t>10%- 70% risk of malignancy using the Herder model</w:t>
      </w:r>
    </w:p>
    <w:p w14:paraId="53C0E4B4" w14:textId="42068020" w:rsidR="00A94D0B" w:rsidRPr="0072045E" w:rsidRDefault="00A94D0B" w:rsidP="0097637C">
      <w:pPr>
        <w:pStyle w:val="Caption"/>
        <w:keepNext/>
        <w:rPr>
          <w:rFonts w:ascii="Arial" w:hAnsi="Arial" w:cs="Arial"/>
          <w:sz w:val="24"/>
          <w:szCs w:val="24"/>
        </w:rPr>
      </w:pPr>
      <w:r w:rsidRPr="0072045E">
        <w:rPr>
          <w:rFonts w:ascii="Arial" w:hAnsi="Arial" w:cs="Arial"/>
          <w:sz w:val="24"/>
          <w:szCs w:val="24"/>
        </w:rPr>
        <w:t xml:space="preserve">Figure </w:t>
      </w:r>
      <w:r w:rsidR="007C5C60" w:rsidRPr="00E85A5E">
        <w:rPr>
          <w:rFonts w:ascii="Arial" w:hAnsi="Arial" w:cs="Arial"/>
          <w:sz w:val="24"/>
          <w:szCs w:val="24"/>
        </w:rPr>
        <w:fldChar w:fldCharType="begin"/>
      </w:r>
      <w:r w:rsidR="007C5C60" w:rsidRPr="0072045E">
        <w:rPr>
          <w:rFonts w:ascii="Arial" w:hAnsi="Arial" w:cs="Arial"/>
          <w:sz w:val="24"/>
          <w:szCs w:val="24"/>
        </w:rPr>
        <w:instrText xml:space="preserve"> SEQ Figure \* ARABIC </w:instrText>
      </w:r>
      <w:r w:rsidR="007C5C60" w:rsidRPr="00E85A5E">
        <w:rPr>
          <w:rFonts w:ascii="Arial" w:hAnsi="Arial" w:cs="Arial"/>
          <w:sz w:val="24"/>
          <w:szCs w:val="24"/>
        </w:rPr>
        <w:fldChar w:fldCharType="separate"/>
      </w:r>
      <w:r w:rsidR="0019249A">
        <w:rPr>
          <w:rFonts w:ascii="Arial" w:hAnsi="Arial" w:cs="Arial"/>
          <w:noProof/>
          <w:sz w:val="24"/>
          <w:szCs w:val="24"/>
        </w:rPr>
        <w:t>3</w:t>
      </w:r>
      <w:r w:rsidR="007C5C60" w:rsidRPr="00E85A5E">
        <w:rPr>
          <w:rFonts w:ascii="Arial" w:hAnsi="Arial" w:cs="Arial"/>
          <w:sz w:val="24"/>
          <w:szCs w:val="24"/>
        </w:rPr>
        <w:fldChar w:fldCharType="end"/>
      </w:r>
      <w:r w:rsidRPr="0072045E">
        <w:rPr>
          <w:rFonts w:ascii="Arial" w:hAnsi="Arial" w:cs="Arial"/>
          <w:sz w:val="24"/>
          <w:szCs w:val="24"/>
        </w:rPr>
        <w:t xml:space="preserve">: </w:t>
      </w:r>
      <w:r w:rsidR="008E7C91">
        <w:rPr>
          <w:rFonts w:ascii="Arial" w:hAnsi="Arial" w:cs="Arial"/>
          <w:sz w:val="24"/>
          <w:szCs w:val="24"/>
        </w:rPr>
        <w:t>The company’s</w:t>
      </w:r>
      <w:r w:rsidR="001969D0">
        <w:rPr>
          <w:rFonts w:ascii="Arial" w:hAnsi="Arial" w:cs="Arial"/>
          <w:sz w:val="24"/>
          <w:szCs w:val="24"/>
        </w:rPr>
        <w:t xml:space="preserve"> </w:t>
      </w:r>
      <w:r w:rsidR="00637B44">
        <w:rPr>
          <w:rFonts w:ascii="Arial" w:hAnsi="Arial" w:cs="Arial"/>
          <w:sz w:val="24"/>
          <w:szCs w:val="24"/>
        </w:rPr>
        <w:t>p</w:t>
      </w:r>
      <w:r w:rsidRPr="0072045E">
        <w:rPr>
          <w:rFonts w:ascii="Arial" w:hAnsi="Arial" w:cs="Arial"/>
          <w:sz w:val="24"/>
          <w:szCs w:val="24"/>
        </w:rPr>
        <w:t xml:space="preserve">roposed position of </w:t>
      </w:r>
      <w:proofErr w:type="spellStart"/>
      <w:r w:rsidRPr="0072045E">
        <w:rPr>
          <w:rFonts w:ascii="Arial" w:hAnsi="Arial" w:cs="Arial"/>
          <w:sz w:val="24"/>
          <w:szCs w:val="24"/>
        </w:rPr>
        <w:t>EarlyCDT</w:t>
      </w:r>
      <w:proofErr w:type="spellEnd"/>
      <w:r w:rsidRPr="0072045E">
        <w:rPr>
          <w:rFonts w:ascii="Arial" w:hAnsi="Arial" w:cs="Arial"/>
          <w:sz w:val="24"/>
          <w:szCs w:val="24"/>
        </w:rPr>
        <w:t xml:space="preserve"> Lung within the current BTS pathway for lung cancer</w:t>
      </w:r>
    </w:p>
    <w:p w14:paraId="7D787925" w14:textId="282F75FF" w:rsidR="001969D0" w:rsidRDefault="009D47A9" w:rsidP="008E7C91">
      <w:pPr>
        <w:pStyle w:val="Paragraphnonumbers"/>
        <w:keepNext/>
        <w:rPr>
          <w:rFonts w:cs="Arial"/>
        </w:rPr>
      </w:pPr>
      <w:r w:rsidRPr="009D47A9">
        <w:rPr>
          <w:noProof/>
        </w:rPr>
        <w:drawing>
          <wp:inline distT="0" distB="0" distL="0" distR="0" wp14:anchorId="4FC0E014" wp14:editId="46D2C178">
            <wp:extent cx="5274310" cy="619950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4310" cy="6199505"/>
                    </a:xfrm>
                    <a:prstGeom prst="rect">
                      <a:avLst/>
                    </a:prstGeom>
                    <a:noFill/>
                    <a:ln>
                      <a:noFill/>
                    </a:ln>
                  </pic:spPr>
                </pic:pic>
              </a:graphicData>
            </a:graphic>
          </wp:inline>
        </w:drawing>
      </w:r>
    </w:p>
    <w:p w14:paraId="71BB8392" w14:textId="77777777" w:rsidR="009D47A9" w:rsidRPr="005E0779" w:rsidRDefault="009D47A9" w:rsidP="003D1DD8"/>
    <w:p w14:paraId="6F8B5689" w14:textId="62E354D0" w:rsidR="00374366" w:rsidRPr="0072045E" w:rsidRDefault="00374366" w:rsidP="007A149F">
      <w:pPr>
        <w:pStyle w:val="Heading4"/>
        <w:numPr>
          <w:ilvl w:val="0"/>
          <w:numId w:val="0"/>
        </w:numPr>
        <w:spacing w:line="276" w:lineRule="auto"/>
        <w:ind w:left="864" w:hanging="864"/>
        <w:rPr>
          <w:rFonts w:cs="Arial"/>
          <w:szCs w:val="24"/>
        </w:rPr>
      </w:pPr>
      <w:bookmarkStart w:id="20" w:name="_Hlk54085326"/>
      <w:r w:rsidRPr="0072045E">
        <w:rPr>
          <w:rFonts w:cs="Arial"/>
          <w:szCs w:val="24"/>
        </w:rPr>
        <w:lastRenderedPageBreak/>
        <w:t>3.</w:t>
      </w:r>
      <w:r w:rsidR="00840752" w:rsidRPr="0072045E">
        <w:rPr>
          <w:rFonts w:cs="Arial"/>
          <w:szCs w:val="24"/>
        </w:rPr>
        <w:t>2</w:t>
      </w:r>
      <w:r w:rsidRPr="0072045E">
        <w:rPr>
          <w:rFonts w:cs="Arial"/>
          <w:szCs w:val="24"/>
        </w:rPr>
        <w:t>.</w:t>
      </w:r>
      <w:r w:rsidR="009A1BD3" w:rsidRPr="0072045E">
        <w:rPr>
          <w:rFonts w:cs="Arial"/>
          <w:szCs w:val="24"/>
        </w:rPr>
        <w:t>4</w:t>
      </w:r>
      <w:r w:rsidRPr="0072045E">
        <w:rPr>
          <w:rFonts w:cs="Arial"/>
          <w:szCs w:val="24"/>
        </w:rPr>
        <w:tab/>
        <w:t>Treatment</w:t>
      </w:r>
      <w:r w:rsidR="00273877" w:rsidRPr="0072045E">
        <w:rPr>
          <w:rFonts w:cs="Arial"/>
          <w:szCs w:val="24"/>
        </w:rPr>
        <w:t xml:space="preserve"> </w:t>
      </w:r>
      <w:r w:rsidR="00AB4431" w:rsidRPr="0072045E">
        <w:rPr>
          <w:rFonts w:cs="Arial"/>
          <w:szCs w:val="24"/>
        </w:rPr>
        <w:t xml:space="preserve">pathway </w:t>
      </w:r>
      <w:r w:rsidR="00273877" w:rsidRPr="0072045E">
        <w:rPr>
          <w:rFonts w:cs="Arial"/>
          <w:szCs w:val="24"/>
        </w:rPr>
        <w:t>for lung cancer</w:t>
      </w:r>
    </w:p>
    <w:bookmarkEnd w:id="20"/>
    <w:p w14:paraId="51CFF4D9" w14:textId="3B966AD1" w:rsidR="00353E0E" w:rsidRPr="0072045E" w:rsidRDefault="00427823" w:rsidP="007A149F">
      <w:pPr>
        <w:pStyle w:val="Paragraphnonumbers"/>
        <w:rPr>
          <w:rFonts w:cs="Arial"/>
          <w:iCs/>
        </w:rPr>
      </w:pPr>
      <w:r w:rsidRPr="0072045E">
        <w:rPr>
          <w:rFonts w:cs="Arial"/>
        </w:rPr>
        <w:t>Treatment for lung cancer includes surgery, chemotherapy, radiotherapy, immunotherapy and other targeted therapy drugs</w:t>
      </w:r>
      <w:r w:rsidR="00341C15" w:rsidRPr="0072045E">
        <w:rPr>
          <w:rFonts w:cs="Arial"/>
        </w:rPr>
        <w:t xml:space="preserve"> </w:t>
      </w:r>
      <w:r w:rsidR="007F12AF" w:rsidRPr="0072045E">
        <w:rPr>
          <w:rFonts w:cs="Arial"/>
        </w:rPr>
        <w:t>(</w:t>
      </w:r>
      <w:bookmarkStart w:id="21" w:name="_Hlk60820652"/>
      <w:r w:rsidR="00723293" w:rsidRPr="0072045E">
        <w:fldChar w:fldCharType="begin"/>
      </w:r>
      <w:r w:rsidR="00723293" w:rsidRPr="0072045E">
        <w:rPr>
          <w:rFonts w:cs="Arial"/>
        </w:rPr>
        <w:instrText xml:space="preserve"> HYPERLINK "https://www.nice.org.uk/guidance/NG122/chapter/Rationale-and-impact" \l "first-line-treatment-for-limited-stage-disease-small-cell-lung-cancer-2" </w:instrText>
      </w:r>
      <w:r w:rsidR="00723293" w:rsidRPr="0072045E">
        <w:fldChar w:fldCharType="separate"/>
      </w:r>
      <w:r w:rsidR="00341C15" w:rsidRPr="0072045E">
        <w:rPr>
          <w:rStyle w:val="Hyperlink"/>
          <w:rFonts w:cs="Arial"/>
        </w:rPr>
        <w:t xml:space="preserve">NICE </w:t>
      </w:r>
      <w:r w:rsidR="00F37725" w:rsidRPr="0072045E">
        <w:rPr>
          <w:rStyle w:val="Hyperlink"/>
          <w:rFonts w:cs="Arial"/>
        </w:rPr>
        <w:t xml:space="preserve">guidance on </w:t>
      </w:r>
      <w:r w:rsidR="00341C15" w:rsidRPr="0072045E">
        <w:rPr>
          <w:rStyle w:val="Hyperlink"/>
          <w:rFonts w:cs="Arial"/>
        </w:rPr>
        <w:t xml:space="preserve">diagnosis and management </w:t>
      </w:r>
      <w:r w:rsidR="00976F7C" w:rsidRPr="0072045E">
        <w:rPr>
          <w:rStyle w:val="Hyperlink"/>
          <w:rFonts w:cs="Arial"/>
        </w:rPr>
        <w:t xml:space="preserve"> of lung cancer </w:t>
      </w:r>
      <w:r w:rsidR="00341C15" w:rsidRPr="0072045E">
        <w:rPr>
          <w:rStyle w:val="Hyperlink"/>
          <w:rFonts w:cs="Arial"/>
        </w:rPr>
        <w:t>2019</w:t>
      </w:r>
      <w:r w:rsidR="00723293" w:rsidRPr="0072045E">
        <w:rPr>
          <w:rStyle w:val="Hyperlink"/>
          <w:rFonts w:cs="Arial"/>
        </w:rPr>
        <w:fldChar w:fldCharType="end"/>
      </w:r>
      <w:bookmarkEnd w:id="21"/>
      <w:r w:rsidR="007F12AF" w:rsidRPr="0072045E">
        <w:rPr>
          <w:rStyle w:val="Hyperlink"/>
          <w:rFonts w:cs="Arial"/>
        </w:rPr>
        <w:t>)</w:t>
      </w:r>
      <w:r w:rsidRPr="0072045E">
        <w:rPr>
          <w:rFonts w:cs="Arial"/>
        </w:rPr>
        <w:t xml:space="preserve">. People may be offered one or more different treatments depending on the stage and type of lung cancer as well as their general health. </w:t>
      </w:r>
      <w:r w:rsidR="00CA44FC" w:rsidRPr="0072045E">
        <w:rPr>
          <w:rFonts w:cs="Arial"/>
          <w:iCs/>
        </w:rPr>
        <w:t xml:space="preserve">After diagnosis, treatment for lung cancer is based on several factors, such as overall health, the type, size, </w:t>
      </w:r>
      <w:r w:rsidR="006A6002" w:rsidRPr="0072045E">
        <w:rPr>
          <w:rFonts w:cs="Arial"/>
          <w:iCs/>
        </w:rPr>
        <w:t>position,</w:t>
      </w:r>
      <w:r w:rsidR="00CA44FC" w:rsidRPr="0072045E">
        <w:rPr>
          <w:rFonts w:cs="Arial"/>
          <w:iCs/>
        </w:rPr>
        <w:t xml:space="preserve"> and stage of cancer. </w:t>
      </w:r>
    </w:p>
    <w:p w14:paraId="78C72CBC" w14:textId="4CB07CF1" w:rsidR="00A22FB3" w:rsidRPr="0072045E" w:rsidRDefault="00CE566B" w:rsidP="007A149F">
      <w:pPr>
        <w:pStyle w:val="Heading4"/>
        <w:numPr>
          <w:ilvl w:val="0"/>
          <w:numId w:val="0"/>
        </w:numPr>
        <w:spacing w:line="276" w:lineRule="auto"/>
        <w:ind w:left="864" w:hanging="864"/>
        <w:rPr>
          <w:rFonts w:cs="Arial"/>
          <w:szCs w:val="24"/>
        </w:rPr>
      </w:pPr>
      <w:bookmarkStart w:id="22" w:name="_Hlk54085749"/>
      <w:r w:rsidRPr="0072045E">
        <w:rPr>
          <w:rFonts w:cs="Arial"/>
          <w:szCs w:val="24"/>
        </w:rPr>
        <w:t>3.</w:t>
      </w:r>
      <w:r w:rsidR="00840752" w:rsidRPr="0072045E">
        <w:rPr>
          <w:rFonts w:cs="Arial"/>
          <w:szCs w:val="24"/>
        </w:rPr>
        <w:t>2</w:t>
      </w:r>
      <w:r w:rsidRPr="0072045E">
        <w:rPr>
          <w:rFonts w:cs="Arial"/>
          <w:szCs w:val="24"/>
        </w:rPr>
        <w:t>.</w:t>
      </w:r>
      <w:r w:rsidR="00E14D98" w:rsidRPr="0072045E">
        <w:rPr>
          <w:rFonts w:cs="Arial"/>
          <w:szCs w:val="24"/>
        </w:rPr>
        <w:t>4</w:t>
      </w:r>
      <w:r w:rsidRPr="0072045E">
        <w:rPr>
          <w:rFonts w:cs="Arial"/>
          <w:szCs w:val="24"/>
        </w:rPr>
        <w:t>.1</w:t>
      </w:r>
      <w:r w:rsidR="00A81912" w:rsidRPr="0072045E">
        <w:rPr>
          <w:rFonts w:cs="Arial"/>
          <w:szCs w:val="24"/>
        </w:rPr>
        <w:t xml:space="preserve"> </w:t>
      </w:r>
      <w:r w:rsidR="00273877" w:rsidRPr="0072045E">
        <w:rPr>
          <w:rFonts w:cs="Arial"/>
          <w:szCs w:val="24"/>
        </w:rPr>
        <w:t>N</w:t>
      </w:r>
      <w:r w:rsidR="008B3C91" w:rsidRPr="0072045E">
        <w:rPr>
          <w:rFonts w:cs="Arial"/>
          <w:szCs w:val="24"/>
        </w:rPr>
        <w:t>on-small-cell lung cancer</w:t>
      </w:r>
    </w:p>
    <w:p w14:paraId="75953EB7" w14:textId="19380F29" w:rsidR="00FC70FB" w:rsidRPr="0072045E" w:rsidRDefault="00F82201" w:rsidP="007A149F">
      <w:pPr>
        <w:pStyle w:val="Paragraphnonumbers"/>
        <w:rPr>
          <w:rFonts w:cs="Arial"/>
          <w:iCs/>
        </w:rPr>
      </w:pPr>
      <w:r w:rsidRPr="0072045E">
        <w:rPr>
          <w:rFonts w:cs="Arial"/>
          <w:iCs/>
        </w:rPr>
        <w:t>Possible treatment for adults with NSCL</w:t>
      </w:r>
      <w:r w:rsidR="00010C94" w:rsidRPr="0072045E">
        <w:rPr>
          <w:rFonts w:cs="Arial"/>
          <w:iCs/>
        </w:rPr>
        <w:t>C</w:t>
      </w:r>
      <w:r w:rsidRPr="0072045E">
        <w:rPr>
          <w:rFonts w:cs="Arial"/>
          <w:iCs/>
        </w:rPr>
        <w:t xml:space="preserve"> lung cancer includes </w:t>
      </w:r>
      <w:r w:rsidR="00CF4789" w:rsidRPr="0072045E">
        <w:rPr>
          <w:rFonts w:cs="Arial"/>
          <w:iCs/>
        </w:rPr>
        <w:t xml:space="preserve">treatment with curative intent, </w:t>
      </w:r>
      <w:bookmarkStart w:id="23" w:name="_Hlk59461299"/>
      <w:r w:rsidR="00CF4789" w:rsidRPr="0072045E">
        <w:rPr>
          <w:rFonts w:cs="Arial"/>
          <w:iCs/>
        </w:rPr>
        <w:t>systemic anti-cancer therapy for advanced disease</w:t>
      </w:r>
      <w:bookmarkEnd w:id="23"/>
      <w:r w:rsidR="00CF4789" w:rsidRPr="0072045E">
        <w:rPr>
          <w:rFonts w:cs="Arial"/>
          <w:iCs/>
        </w:rPr>
        <w:t xml:space="preserve">, ablation procedure for primary and secondary lung cancers and photodynamic therapy for localised inoperable </w:t>
      </w:r>
      <w:r w:rsidR="006219E4" w:rsidRPr="0072045E">
        <w:rPr>
          <w:rFonts w:cs="Arial"/>
          <w:iCs/>
        </w:rPr>
        <w:t>endobronchial</w:t>
      </w:r>
      <w:r w:rsidR="00CF4789" w:rsidRPr="0072045E">
        <w:rPr>
          <w:rFonts w:cs="Arial"/>
          <w:iCs/>
        </w:rPr>
        <w:t xml:space="preserve"> cancer</w:t>
      </w:r>
      <w:r w:rsidR="00FC70FB" w:rsidRPr="0072045E">
        <w:rPr>
          <w:rFonts w:cs="Arial"/>
          <w:iCs/>
        </w:rPr>
        <w:t xml:space="preserve"> (see figure </w:t>
      </w:r>
      <w:r w:rsidR="002E5BFC">
        <w:rPr>
          <w:rFonts w:cs="Arial"/>
          <w:iCs/>
        </w:rPr>
        <w:t>4</w:t>
      </w:r>
      <w:r w:rsidR="00FC70FB" w:rsidRPr="0072045E">
        <w:rPr>
          <w:rFonts w:cs="Arial"/>
          <w:iCs/>
        </w:rPr>
        <w:t>)</w:t>
      </w:r>
      <w:r w:rsidR="009644D4" w:rsidRPr="0072045E">
        <w:rPr>
          <w:rFonts w:cs="Arial"/>
          <w:iCs/>
        </w:rPr>
        <w:t>.</w:t>
      </w:r>
    </w:p>
    <w:p w14:paraId="698E25B3" w14:textId="689C9B7A" w:rsidR="00FC70FB" w:rsidRPr="0072045E" w:rsidRDefault="00FC70FB" w:rsidP="0097637C">
      <w:pPr>
        <w:pStyle w:val="Tabletitle"/>
        <w:rPr>
          <w:rFonts w:cs="Arial"/>
          <w:sz w:val="24"/>
          <w:szCs w:val="24"/>
        </w:rPr>
      </w:pPr>
      <w:r w:rsidRPr="0072045E">
        <w:rPr>
          <w:rFonts w:cs="Arial"/>
          <w:sz w:val="24"/>
          <w:szCs w:val="24"/>
        </w:rPr>
        <w:t xml:space="preserve">Figure </w:t>
      </w:r>
      <w:r w:rsidR="007C5C60" w:rsidRPr="0072045E">
        <w:rPr>
          <w:rFonts w:cs="Arial"/>
          <w:sz w:val="24"/>
          <w:szCs w:val="24"/>
        </w:rPr>
        <w:fldChar w:fldCharType="begin"/>
      </w:r>
      <w:r w:rsidR="007C5C60" w:rsidRPr="0072045E">
        <w:rPr>
          <w:rFonts w:cs="Arial"/>
          <w:sz w:val="24"/>
          <w:szCs w:val="24"/>
        </w:rPr>
        <w:instrText xml:space="preserve"> SEQ Figure \* ARABIC </w:instrText>
      </w:r>
      <w:r w:rsidR="007C5C60" w:rsidRPr="0072045E">
        <w:rPr>
          <w:rFonts w:cs="Arial"/>
          <w:sz w:val="24"/>
          <w:szCs w:val="24"/>
        </w:rPr>
        <w:fldChar w:fldCharType="separate"/>
      </w:r>
      <w:r w:rsidR="0019249A">
        <w:rPr>
          <w:rFonts w:cs="Arial"/>
          <w:noProof/>
          <w:sz w:val="24"/>
          <w:szCs w:val="24"/>
        </w:rPr>
        <w:t>4</w:t>
      </w:r>
      <w:r w:rsidR="007C5C60" w:rsidRPr="0072045E">
        <w:rPr>
          <w:rFonts w:cs="Arial"/>
          <w:sz w:val="24"/>
          <w:szCs w:val="24"/>
        </w:rPr>
        <w:fldChar w:fldCharType="end"/>
      </w:r>
      <w:r w:rsidRPr="0072045E">
        <w:rPr>
          <w:rFonts w:cs="Arial"/>
          <w:sz w:val="24"/>
          <w:szCs w:val="24"/>
        </w:rPr>
        <w:t>: Treatment pathway for adults with non-small-cell lung cancer</w:t>
      </w:r>
      <w:r w:rsidR="002515A7" w:rsidRPr="0072045E">
        <w:rPr>
          <w:rFonts w:cs="Arial"/>
          <w:sz w:val="24"/>
          <w:szCs w:val="24"/>
        </w:rPr>
        <w:t xml:space="preserve"> </w:t>
      </w:r>
      <w:r w:rsidR="002515A7" w:rsidRPr="0072045E">
        <w:rPr>
          <w:rFonts w:cs="Arial"/>
          <w:iCs/>
          <w:sz w:val="24"/>
          <w:szCs w:val="24"/>
        </w:rPr>
        <w:t>(</w:t>
      </w:r>
      <w:hyperlink r:id="rId33" w:history="1">
        <w:r w:rsidR="002515A7" w:rsidRPr="0072045E">
          <w:rPr>
            <w:rStyle w:val="Hyperlink"/>
            <w:rFonts w:cs="Arial"/>
            <w:iCs/>
            <w:sz w:val="24"/>
            <w:szCs w:val="24"/>
          </w:rPr>
          <w:t>NICE guidance on pathway for non-small cell lung cancer on treatment with curative intent</w:t>
        </w:r>
      </w:hyperlink>
      <w:r w:rsidR="002515A7" w:rsidRPr="0072045E">
        <w:rPr>
          <w:rFonts w:cs="Arial"/>
          <w:sz w:val="24"/>
          <w:szCs w:val="24"/>
        </w:rPr>
        <w:t>)</w:t>
      </w:r>
    </w:p>
    <w:p w14:paraId="5B98EFFA" w14:textId="4AA46946" w:rsidR="00FC70FB" w:rsidRPr="0072045E" w:rsidRDefault="00FC70FB" w:rsidP="0097637C">
      <w:pPr>
        <w:rPr>
          <w:rFonts w:ascii="Arial" w:hAnsi="Arial" w:cs="Arial"/>
          <w:iCs/>
        </w:rPr>
      </w:pPr>
      <w:r w:rsidRPr="0072045E">
        <w:rPr>
          <w:rFonts w:ascii="Arial" w:hAnsi="Arial" w:cs="Arial"/>
          <w:noProof/>
        </w:rPr>
        <w:drawing>
          <wp:inline distT="0" distB="0" distL="0" distR="0" wp14:anchorId="20677D8B" wp14:editId="4B9ED34D">
            <wp:extent cx="5274310" cy="22098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4310" cy="2209800"/>
                    </a:xfrm>
                    <a:prstGeom prst="rect">
                      <a:avLst/>
                    </a:prstGeom>
                    <a:noFill/>
                    <a:ln>
                      <a:noFill/>
                    </a:ln>
                  </pic:spPr>
                </pic:pic>
              </a:graphicData>
            </a:graphic>
          </wp:inline>
        </w:drawing>
      </w:r>
    </w:p>
    <w:p w14:paraId="3AEC8F6B" w14:textId="3A3BB499" w:rsidR="00FC70FB" w:rsidRPr="0072045E" w:rsidRDefault="00FC70FB" w:rsidP="007A149F">
      <w:pPr>
        <w:pStyle w:val="Paragraphnonumbers"/>
        <w:rPr>
          <w:rFonts w:cs="Arial"/>
          <w:iCs/>
        </w:rPr>
      </w:pPr>
      <w:r w:rsidRPr="0072045E">
        <w:rPr>
          <w:rFonts w:cs="Arial"/>
          <w:iCs/>
        </w:rPr>
        <w:t xml:space="preserve">Possible treatment </w:t>
      </w:r>
      <w:r w:rsidR="000231A7" w:rsidRPr="0072045E">
        <w:rPr>
          <w:rFonts w:cs="Arial"/>
          <w:iCs/>
        </w:rPr>
        <w:t xml:space="preserve">with curative intent for people with NSCLC </w:t>
      </w:r>
      <w:r w:rsidRPr="0072045E">
        <w:rPr>
          <w:rFonts w:cs="Arial"/>
          <w:iCs/>
        </w:rPr>
        <w:t xml:space="preserve">includes surgery, radiotherapy, chemoradiotherapy and multimodality treatment </w:t>
      </w:r>
      <w:bookmarkStart w:id="24" w:name="_Hlk59693203"/>
      <w:bookmarkStart w:id="25" w:name="_Hlk59456653"/>
      <w:r w:rsidRPr="0072045E">
        <w:rPr>
          <w:rFonts w:cs="Arial"/>
          <w:iCs/>
        </w:rPr>
        <w:t>(</w:t>
      </w:r>
      <w:hyperlink r:id="rId35" w:history="1">
        <w:r w:rsidRPr="0072045E">
          <w:rPr>
            <w:rStyle w:val="Hyperlink"/>
            <w:rFonts w:cs="Arial"/>
            <w:iCs/>
          </w:rPr>
          <w:t xml:space="preserve">NICE pathway </w:t>
        </w:r>
        <w:r w:rsidR="008B6361" w:rsidRPr="0072045E">
          <w:rPr>
            <w:rStyle w:val="Hyperlink"/>
            <w:rFonts w:cs="Arial"/>
            <w:iCs/>
          </w:rPr>
          <w:t xml:space="preserve">on </w:t>
        </w:r>
        <w:r w:rsidRPr="0072045E">
          <w:rPr>
            <w:rStyle w:val="Hyperlink"/>
            <w:rFonts w:cs="Arial"/>
            <w:iCs/>
          </w:rPr>
          <w:t>non-small cell lung cancer on treatment with curative intent</w:t>
        </w:r>
      </w:hyperlink>
      <w:r w:rsidRPr="0072045E">
        <w:rPr>
          <w:rFonts w:cs="Arial"/>
        </w:rPr>
        <w:t>)</w:t>
      </w:r>
      <w:bookmarkEnd w:id="24"/>
      <w:r w:rsidRPr="0072045E">
        <w:rPr>
          <w:rFonts w:cs="Arial"/>
        </w:rPr>
        <w:t xml:space="preserve">. </w:t>
      </w:r>
      <w:bookmarkStart w:id="26" w:name="_Hlk59454185"/>
      <w:bookmarkEnd w:id="25"/>
    </w:p>
    <w:p w14:paraId="2046DD0E" w14:textId="6E878B86" w:rsidR="00FC70FB" w:rsidRPr="0072045E" w:rsidRDefault="00FC70FB" w:rsidP="00F37725">
      <w:pPr>
        <w:pStyle w:val="Paragraphnonumbers"/>
        <w:rPr>
          <w:rFonts w:cs="Arial"/>
          <w:iCs/>
        </w:rPr>
      </w:pPr>
      <w:r w:rsidRPr="0072045E">
        <w:rPr>
          <w:rFonts w:cs="Arial"/>
          <w:iCs/>
        </w:rPr>
        <w:t xml:space="preserve">Surgery </w:t>
      </w:r>
      <w:r w:rsidR="00010C94" w:rsidRPr="0072045E">
        <w:rPr>
          <w:rFonts w:cs="Arial"/>
          <w:iCs/>
        </w:rPr>
        <w:t xml:space="preserve">for </w:t>
      </w:r>
      <w:r w:rsidRPr="0072045E">
        <w:rPr>
          <w:rFonts w:cs="Arial"/>
          <w:iCs/>
        </w:rPr>
        <w:t xml:space="preserve">NSCLC has proven to be effective, with </w:t>
      </w:r>
      <w:hyperlink r:id="rId36" w:history="1">
        <w:r w:rsidRPr="0072045E">
          <w:rPr>
            <w:rStyle w:val="Hyperlink"/>
            <w:rFonts w:cs="Arial"/>
            <w:iCs/>
          </w:rPr>
          <w:t>National Cancer Registration and Analysis Service (NCRAS)</w:t>
        </w:r>
      </w:hyperlink>
      <w:r w:rsidRPr="0072045E">
        <w:rPr>
          <w:rFonts w:cs="Arial"/>
          <w:iCs/>
        </w:rPr>
        <w:t xml:space="preserve"> data showing that 45% of people with NSCLC were still alive 5 years post-surgery. Five-year survival rates for people with NSCLC who do not have surgery was 3%. </w:t>
      </w:r>
      <w:bookmarkEnd w:id="26"/>
      <w:r w:rsidRPr="0072045E">
        <w:rPr>
          <w:rFonts w:cs="Arial"/>
          <w:iCs/>
        </w:rPr>
        <w:t xml:space="preserve">Over the last 10 years, surgery rates </w:t>
      </w:r>
      <w:r w:rsidR="002B36AF" w:rsidRPr="0072045E">
        <w:rPr>
          <w:rFonts w:cs="Arial"/>
          <w:iCs/>
        </w:rPr>
        <w:t>for</w:t>
      </w:r>
      <w:r w:rsidRPr="0072045E">
        <w:rPr>
          <w:rFonts w:cs="Arial"/>
          <w:iCs/>
        </w:rPr>
        <w:t xml:space="preserve"> NSCLC have doubled, from around 9% in 2006 to over 18% in 2017, exceeding the target of 17% set by the </w:t>
      </w:r>
      <w:hyperlink r:id="rId37" w:history="1">
        <w:r w:rsidRPr="0072045E">
          <w:rPr>
            <w:rStyle w:val="Hyperlink"/>
            <w:rFonts w:cs="Arial"/>
            <w:iCs/>
          </w:rPr>
          <w:t>National Lung Cancer Audit  2019</w:t>
        </w:r>
      </w:hyperlink>
      <w:r w:rsidRPr="0072045E">
        <w:rPr>
          <w:rFonts w:cs="Arial"/>
          <w:iCs/>
        </w:rPr>
        <w:t xml:space="preserve">. </w:t>
      </w:r>
      <w:bookmarkStart w:id="27" w:name="_Hlk59454257"/>
      <w:r w:rsidRPr="0072045E">
        <w:rPr>
          <w:rFonts w:cs="Arial"/>
          <w:iCs/>
        </w:rPr>
        <w:t xml:space="preserve">NICE recommends that people with NSCLC, who are well enough and for whom treatment with curative intent is suitable, should be offered a </w:t>
      </w:r>
      <w:r w:rsidRPr="0072045E">
        <w:rPr>
          <w:rFonts w:cs="Arial"/>
          <w:iCs/>
        </w:rPr>
        <w:lastRenderedPageBreak/>
        <w:t>lobectomy (either open or thoracoscopic) (</w:t>
      </w:r>
      <w:hyperlink r:id="rId38" w:anchor="first-line-treatment-for-limited-stage-disease-small-cell-lung-cancer-2" w:history="1">
        <w:r w:rsidR="005B7B2B" w:rsidRPr="0072045E">
          <w:rPr>
            <w:rStyle w:val="Hyperlink"/>
            <w:rFonts w:cs="Arial"/>
          </w:rPr>
          <w:t>NICE guidance on diagnosis and management of lung cancer 2019</w:t>
        </w:r>
      </w:hyperlink>
      <w:r w:rsidR="005B7B2B" w:rsidRPr="003D1DD8">
        <w:t xml:space="preserve">). </w:t>
      </w:r>
      <w:r w:rsidRPr="0072045E">
        <w:rPr>
          <w:rFonts w:cs="Arial"/>
          <w:iCs/>
        </w:rPr>
        <w:t xml:space="preserve">An open lobectomy (thoracotomy) is the removal of a lobe of the lung through a cut made around the side of the chest. </w:t>
      </w:r>
      <w:bookmarkStart w:id="28" w:name="_Hlk54088872"/>
      <w:bookmarkEnd w:id="27"/>
    </w:p>
    <w:bookmarkEnd w:id="28"/>
    <w:p w14:paraId="3276EE1A" w14:textId="1D124931" w:rsidR="002E5BFC" w:rsidRDefault="002E5BFC" w:rsidP="007A149F">
      <w:pPr>
        <w:pStyle w:val="Paragraphnonumbers"/>
        <w:rPr>
          <w:rFonts w:cs="Arial"/>
        </w:rPr>
      </w:pPr>
      <w:r>
        <w:rPr>
          <w:rFonts w:cs="Arial"/>
        </w:rPr>
        <w:t>F</w:t>
      </w:r>
      <w:r w:rsidR="00747BD4" w:rsidRPr="0072045E">
        <w:rPr>
          <w:rFonts w:cs="Arial"/>
        </w:rPr>
        <w:t xml:space="preserve">or people with stage I–IIA (T1a–T2b, N0, M0) NSCLC who decline lobectomy or in whom it is contraindicated, </w:t>
      </w:r>
      <w:r w:rsidRPr="003D1DD8">
        <w:t xml:space="preserve">the guidance </w:t>
      </w:r>
      <w:r w:rsidRPr="0072045E">
        <w:rPr>
          <w:rFonts w:cs="Arial"/>
        </w:rPr>
        <w:t xml:space="preserve">recommends </w:t>
      </w:r>
      <w:r>
        <w:rPr>
          <w:rFonts w:cs="Arial"/>
        </w:rPr>
        <w:t xml:space="preserve">offering </w:t>
      </w:r>
      <w:r w:rsidR="00747BD4" w:rsidRPr="0072045E">
        <w:rPr>
          <w:rFonts w:cs="Arial"/>
        </w:rPr>
        <w:t xml:space="preserve">radical radiotherapy with stereotactic ablative radiotherapy (SABR) or </w:t>
      </w:r>
      <w:proofErr w:type="spellStart"/>
      <w:r w:rsidR="00747BD4" w:rsidRPr="0072045E">
        <w:rPr>
          <w:rFonts w:cs="Arial"/>
        </w:rPr>
        <w:t>sublobar</w:t>
      </w:r>
      <w:proofErr w:type="spellEnd"/>
      <w:r w:rsidR="00747BD4" w:rsidRPr="0072045E">
        <w:rPr>
          <w:rFonts w:cs="Arial"/>
        </w:rPr>
        <w:t xml:space="preserve"> resection. For eligible people with stage IIIA </w:t>
      </w:r>
      <w:r>
        <w:rPr>
          <w:rFonts w:cs="Arial"/>
        </w:rPr>
        <w:t xml:space="preserve">or IIIB </w:t>
      </w:r>
      <w:r w:rsidR="00747BD4" w:rsidRPr="0072045E">
        <w:rPr>
          <w:rFonts w:cs="Arial"/>
        </w:rPr>
        <w:t xml:space="preserve">NSCLC who cannot tolerate or who decline chemoradiotherapy (with or without surgery), radical radiotherapy </w:t>
      </w:r>
      <w:r>
        <w:rPr>
          <w:rFonts w:cs="Arial"/>
        </w:rPr>
        <w:t xml:space="preserve">should be </w:t>
      </w:r>
      <w:r w:rsidRPr="0072045E">
        <w:rPr>
          <w:rFonts w:cs="Arial"/>
        </w:rPr>
        <w:t>consider</w:t>
      </w:r>
      <w:r>
        <w:rPr>
          <w:rFonts w:cs="Arial"/>
        </w:rPr>
        <w:t>ed</w:t>
      </w:r>
      <w:r w:rsidRPr="0072045E">
        <w:rPr>
          <w:rFonts w:cs="Arial"/>
        </w:rPr>
        <w:t xml:space="preserve"> </w:t>
      </w:r>
      <w:r w:rsidR="00747BD4" w:rsidRPr="0072045E">
        <w:rPr>
          <w:rFonts w:cs="Arial"/>
        </w:rPr>
        <w:t xml:space="preserve">(either conventional or </w:t>
      </w:r>
      <w:proofErr w:type="spellStart"/>
      <w:r w:rsidR="00747BD4" w:rsidRPr="0072045E">
        <w:rPr>
          <w:rFonts w:cs="Arial"/>
        </w:rPr>
        <w:t>hyperfractionated</w:t>
      </w:r>
      <w:proofErr w:type="spellEnd"/>
      <w:r w:rsidR="00747BD4" w:rsidRPr="0072045E">
        <w:rPr>
          <w:rFonts w:cs="Arial"/>
        </w:rPr>
        <w:t xml:space="preserve">). </w:t>
      </w:r>
    </w:p>
    <w:p w14:paraId="74886046" w14:textId="65AA6F08" w:rsidR="006256B0" w:rsidRDefault="005E34A6" w:rsidP="007A149F">
      <w:pPr>
        <w:pStyle w:val="Paragraphnonumbers"/>
        <w:rPr>
          <w:rFonts w:cs="Arial"/>
        </w:rPr>
      </w:pPr>
      <w:r w:rsidRPr="0072045E">
        <w:rPr>
          <w:rFonts w:cs="Arial"/>
          <w:iCs/>
        </w:rPr>
        <w:t>For more advanced NSCLC</w:t>
      </w:r>
      <w:r>
        <w:rPr>
          <w:rFonts w:cs="Arial"/>
          <w:iCs/>
        </w:rPr>
        <w:t>,</w:t>
      </w:r>
      <w:r w:rsidRPr="0072045E">
        <w:rPr>
          <w:rFonts w:cs="Arial"/>
          <w:iCs/>
        </w:rPr>
        <w:t xml:space="preserve"> surgery or radiotherapy alone is often not appropriate as the cancer has spread too far for it to be possible or effective. </w:t>
      </w:r>
      <w:r w:rsidR="00747BD4" w:rsidRPr="0072045E">
        <w:rPr>
          <w:rFonts w:cs="Arial"/>
        </w:rPr>
        <w:t>C</w:t>
      </w:r>
      <w:r w:rsidR="00EB5328" w:rsidRPr="0072045E">
        <w:rPr>
          <w:rFonts w:cs="Arial"/>
        </w:rPr>
        <w:t>hemotherapy should be offered to people with stage III or IV NSCLC with the aim of improving survival, disease control and quality of life. Treatment with curative intent is not possible for these people. First-line chemotherapy should be a combination of a single third-generation drug (docetaxel, gemcitabine, paclitaxel or vinorelbine) and a platinum drug</w:t>
      </w:r>
      <w:r w:rsidR="00747BD4" w:rsidRPr="0072045E">
        <w:rPr>
          <w:rFonts w:cs="Arial"/>
        </w:rPr>
        <w:t>.</w:t>
      </w:r>
      <w:r w:rsidR="002E5BFC">
        <w:rPr>
          <w:rFonts w:cs="Arial"/>
        </w:rPr>
        <w:t xml:space="preserve"> </w:t>
      </w:r>
      <w:r w:rsidR="00EB5328" w:rsidRPr="0072045E">
        <w:rPr>
          <w:rFonts w:cs="Arial"/>
        </w:rPr>
        <w:t>People who are unable to tolerate a platinum combination may be offered single-agent chemotherapy with a third-generation drug.</w:t>
      </w:r>
      <w:r w:rsidR="00203123" w:rsidRPr="0072045E">
        <w:rPr>
          <w:rFonts w:cs="Arial"/>
        </w:rPr>
        <w:t xml:space="preserve"> Chemotherapy is</w:t>
      </w:r>
      <w:r w:rsidR="007D214D" w:rsidRPr="0072045E">
        <w:rPr>
          <w:rFonts w:cs="Arial"/>
        </w:rPr>
        <w:t xml:space="preserve"> followed by durvalumab</w:t>
      </w:r>
      <w:r w:rsidR="00AC15B7">
        <w:rPr>
          <w:rFonts w:cs="Arial"/>
        </w:rPr>
        <w:t xml:space="preserve"> (use</w:t>
      </w:r>
      <w:r w:rsidR="002E5BFC">
        <w:rPr>
          <w:rFonts w:cs="Arial"/>
        </w:rPr>
        <w:t>d</w:t>
      </w:r>
      <w:r w:rsidR="00AC15B7">
        <w:rPr>
          <w:rFonts w:cs="Arial"/>
        </w:rPr>
        <w:t xml:space="preserve"> within the Cancer Drugs Fund)</w:t>
      </w:r>
      <w:r w:rsidR="007D214D" w:rsidRPr="0072045E">
        <w:rPr>
          <w:rFonts w:cs="Arial"/>
        </w:rPr>
        <w:t xml:space="preserve"> (</w:t>
      </w:r>
      <w:hyperlink r:id="rId39" w:history="1">
        <w:r w:rsidR="007D214D" w:rsidRPr="0072045E">
          <w:rPr>
            <w:rStyle w:val="Hyperlink"/>
            <w:rFonts w:cs="Arial"/>
          </w:rPr>
          <w:t>NICE technology appraisal guidance on durvalumab for treating locally advanced unresectable NSCLC after platinum-based chemoradiation</w:t>
        </w:r>
      </w:hyperlink>
      <w:r w:rsidR="007D214D" w:rsidRPr="0072045E">
        <w:rPr>
          <w:rFonts w:cs="Arial"/>
          <w:iCs/>
        </w:rPr>
        <w:t>)</w:t>
      </w:r>
      <w:r w:rsidR="00B53F0D" w:rsidRPr="0072045E">
        <w:rPr>
          <w:rFonts w:cs="Arial"/>
        </w:rPr>
        <w:t>.</w:t>
      </w:r>
      <w:r w:rsidR="00747BD4" w:rsidRPr="0072045E">
        <w:rPr>
          <w:rFonts w:cs="Arial"/>
        </w:rPr>
        <w:t xml:space="preserve"> </w:t>
      </w:r>
    </w:p>
    <w:p w14:paraId="75A7E48E" w14:textId="7FCC1A03" w:rsidR="00E10320" w:rsidRPr="0072045E" w:rsidRDefault="007D214D" w:rsidP="007A149F">
      <w:pPr>
        <w:pStyle w:val="Paragraphnonumbers"/>
        <w:rPr>
          <w:rFonts w:cs="Arial"/>
        </w:rPr>
      </w:pPr>
      <w:r w:rsidRPr="0072045E">
        <w:rPr>
          <w:rFonts w:cs="Arial"/>
          <w:iCs/>
        </w:rPr>
        <w:t xml:space="preserve">The </w:t>
      </w:r>
      <w:hyperlink r:id="rId40" w:history="1">
        <w:r w:rsidRPr="0072045E">
          <w:rPr>
            <w:rStyle w:val="Hyperlink"/>
            <w:rFonts w:cs="Arial"/>
            <w:iCs/>
          </w:rPr>
          <w:t>National Lung Cancer Audit 2019</w:t>
        </w:r>
      </w:hyperlink>
      <w:r w:rsidRPr="0072045E">
        <w:rPr>
          <w:rFonts w:cs="Arial"/>
          <w:iCs/>
        </w:rPr>
        <w:t xml:space="preserve"> reports that 34% of people with stage </w:t>
      </w:r>
      <w:r w:rsidR="005E34A6">
        <w:rPr>
          <w:rFonts w:cs="Arial"/>
          <w:iCs/>
        </w:rPr>
        <w:t>III</w:t>
      </w:r>
      <w:r w:rsidR="005E34A6" w:rsidRPr="0072045E">
        <w:rPr>
          <w:rFonts w:cs="Arial"/>
          <w:iCs/>
        </w:rPr>
        <w:t xml:space="preserve">A </w:t>
      </w:r>
      <w:r w:rsidRPr="0072045E">
        <w:rPr>
          <w:rFonts w:cs="Arial"/>
          <w:iCs/>
        </w:rPr>
        <w:t>NSCLC and good performance status received treatment with chemotherapy and either radical radiotherapy or surgery in 2017.</w:t>
      </w:r>
      <w:r w:rsidR="00E10320" w:rsidRPr="0072045E">
        <w:rPr>
          <w:rFonts w:cs="Arial"/>
        </w:rPr>
        <w:t xml:space="preserve"> </w:t>
      </w:r>
      <w:bookmarkStart w:id="29" w:name="_Hlk60744345"/>
    </w:p>
    <w:bookmarkEnd w:id="29"/>
    <w:p w14:paraId="03EEFB50" w14:textId="38462C3B" w:rsidR="001C4DFB" w:rsidRPr="0072045E" w:rsidRDefault="00185FA3" w:rsidP="007A149F">
      <w:pPr>
        <w:pStyle w:val="Paragraphnonumbers"/>
        <w:rPr>
          <w:rFonts w:cs="Arial"/>
          <w:color w:val="0000FF"/>
        </w:rPr>
      </w:pPr>
      <w:r w:rsidRPr="0072045E">
        <w:rPr>
          <w:rFonts w:cs="Arial"/>
          <w:iCs/>
        </w:rPr>
        <w:fldChar w:fldCharType="begin"/>
      </w:r>
      <w:r w:rsidRPr="0072045E">
        <w:rPr>
          <w:rFonts w:cs="Arial"/>
          <w:iCs/>
        </w:rPr>
        <w:instrText xml:space="preserve"> HYPERLINK "https://www.nice.org.uk/guidance/NG122/chapter/Rationale-and-impact" \l "first-line-treatment-for-limited-stage-disease-small-cell-lung-cancer-2" </w:instrText>
      </w:r>
      <w:r w:rsidRPr="0072045E">
        <w:rPr>
          <w:rFonts w:cs="Arial"/>
          <w:iCs/>
        </w:rPr>
        <w:fldChar w:fldCharType="separate"/>
      </w:r>
      <w:r w:rsidR="00F73C4D" w:rsidRPr="0072045E">
        <w:rPr>
          <w:rStyle w:val="Hyperlink"/>
          <w:rFonts w:cs="Arial"/>
          <w:iCs/>
        </w:rPr>
        <w:t xml:space="preserve">NICE guidance </w:t>
      </w:r>
      <w:r w:rsidR="00373ED0" w:rsidRPr="0072045E">
        <w:rPr>
          <w:rStyle w:val="Hyperlink"/>
          <w:rFonts w:cs="Arial"/>
          <w:iCs/>
        </w:rPr>
        <w:t xml:space="preserve">on </w:t>
      </w:r>
      <w:r w:rsidR="00F73C4D" w:rsidRPr="0072045E">
        <w:rPr>
          <w:rStyle w:val="Hyperlink"/>
          <w:rFonts w:cs="Arial"/>
        </w:rPr>
        <w:t xml:space="preserve">diagnosis and management </w:t>
      </w:r>
      <w:r w:rsidR="00373ED0" w:rsidRPr="0072045E">
        <w:rPr>
          <w:rStyle w:val="Hyperlink"/>
          <w:rFonts w:cs="Arial"/>
        </w:rPr>
        <w:t xml:space="preserve">for lung cancer </w:t>
      </w:r>
      <w:r w:rsidR="00F73C4D" w:rsidRPr="00282429">
        <w:rPr>
          <w:rStyle w:val="Hyperlink"/>
          <w:rFonts w:cs="Arial"/>
        </w:rPr>
        <w:t>2019</w:t>
      </w:r>
      <w:r w:rsidRPr="0072045E">
        <w:rPr>
          <w:rFonts w:cs="Arial"/>
          <w:iCs/>
        </w:rPr>
        <w:fldChar w:fldCharType="end"/>
      </w:r>
      <w:r w:rsidR="00275791" w:rsidRPr="0072045E">
        <w:rPr>
          <w:rStyle w:val="Hyperlink"/>
          <w:rFonts w:cs="Arial"/>
          <w:u w:val="none"/>
        </w:rPr>
        <w:t xml:space="preserve"> </w:t>
      </w:r>
      <w:r w:rsidRPr="0072045E">
        <w:rPr>
          <w:rStyle w:val="Hyperlink"/>
          <w:rFonts w:cs="Arial"/>
          <w:color w:val="auto"/>
          <w:u w:val="none"/>
        </w:rPr>
        <w:t xml:space="preserve">sets </w:t>
      </w:r>
      <w:r w:rsidR="00275791" w:rsidRPr="0072045E">
        <w:rPr>
          <w:rStyle w:val="Hyperlink"/>
          <w:rFonts w:cs="Arial"/>
          <w:color w:val="auto"/>
          <w:u w:val="none"/>
        </w:rPr>
        <w:t xml:space="preserve">out treatment options for </w:t>
      </w:r>
      <w:r w:rsidR="004961AD" w:rsidRPr="0072045E">
        <w:rPr>
          <w:rStyle w:val="Hyperlink"/>
          <w:rFonts w:cs="Arial"/>
          <w:color w:val="auto"/>
          <w:u w:val="none"/>
        </w:rPr>
        <w:t xml:space="preserve">advanced stage </w:t>
      </w:r>
      <w:r w:rsidR="002446F4" w:rsidRPr="0072045E">
        <w:rPr>
          <w:rStyle w:val="Hyperlink"/>
          <w:rFonts w:cs="Arial"/>
          <w:color w:val="auto"/>
          <w:u w:val="none"/>
        </w:rPr>
        <w:t xml:space="preserve">of </w:t>
      </w:r>
      <w:r w:rsidR="00CC1D77" w:rsidRPr="0072045E">
        <w:rPr>
          <w:rStyle w:val="Hyperlink"/>
          <w:rFonts w:cs="Arial"/>
          <w:color w:val="auto"/>
          <w:u w:val="none"/>
        </w:rPr>
        <w:t xml:space="preserve">NSCLC </w:t>
      </w:r>
      <w:r w:rsidR="00275791" w:rsidRPr="0072045E">
        <w:rPr>
          <w:rStyle w:val="Hyperlink"/>
          <w:rFonts w:cs="Arial"/>
          <w:color w:val="auto"/>
          <w:u w:val="none"/>
        </w:rPr>
        <w:t xml:space="preserve">lung cancer. </w:t>
      </w:r>
      <w:r w:rsidR="004961AD" w:rsidRPr="0072045E">
        <w:rPr>
          <w:rStyle w:val="Hyperlink"/>
          <w:rFonts w:cs="Arial"/>
          <w:color w:val="auto"/>
          <w:u w:val="none"/>
        </w:rPr>
        <w:t>T</w:t>
      </w:r>
      <w:r w:rsidR="00275791" w:rsidRPr="0072045E">
        <w:rPr>
          <w:rStyle w:val="Hyperlink"/>
          <w:rFonts w:cs="Arial"/>
          <w:color w:val="auto"/>
          <w:u w:val="none"/>
        </w:rPr>
        <w:t xml:space="preserve">hese are determined by whether the cancer is squamous or </w:t>
      </w:r>
      <w:r w:rsidRPr="0072045E">
        <w:rPr>
          <w:rStyle w:val="Hyperlink"/>
          <w:rFonts w:cs="Arial"/>
          <w:color w:val="auto"/>
          <w:u w:val="none"/>
        </w:rPr>
        <w:t>non-squamous</w:t>
      </w:r>
      <w:r w:rsidR="00275791" w:rsidRPr="0072045E">
        <w:rPr>
          <w:rStyle w:val="Hyperlink"/>
          <w:rFonts w:cs="Arial"/>
          <w:color w:val="auto"/>
          <w:u w:val="none"/>
        </w:rPr>
        <w:t xml:space="preserve">. </w:t>
      </w:r>
      <w:r w:rsidR="008B6361" w:rsidRPr="0072045E">
        <w:rPr>
          <w:rStyle w:val="Hyperlink"/>
          <w:rFonts w:cs="Arial"/>
          <w:color w:val="auto"/>
          <w:u w:val="none"/>
        </w:rPr>
        <w:t xml:space="preserve">For squamous disease there are further treatment decisions based on whether the individual is PD-L1&lt; 50%, and PD-L1≥ 50%, and their response to </w:t>
      </w:r>
      <w:r w:rsidR="002B36AF" w:rsidRPr="0072045E">
        <w:rPr>
          <w:rStyle w:val="Hyperlink"/>
          <w:rFonts w:cs="Arial"/>
          <w:color w:val="auto"/>
          <w:u w:val="none"/>
        </w:rPr>
        <w:t xml:space="preserve">those </w:t>
      </w:r>
      <w:r w:rsidR="008B6361" w:rsidRPr="0072045E">
        <w:rPr>
          <w:rStyle w:val="Hyperlink"/>
          <w:rFonts w:cs="Arial"/>
          <w:color w:val="auto"/>
          <w:u w:val="none"/>
        </w:rPr>
        <w:t>treatments</w:t>
      </w:r>
      <w:r w:rsidR="002B36AF" w:rsidRPr="0072045E">
        <w:rPr>
          <w:rStyle w:val="Hyperlink"/>
          <w:rFonts w:cs="Arial"/>
          <w:color w:val="auto"/>
          <w:u w:val="none"/>
        </w:rPr>
        <w:t>,</w:t>
      </w:r>
      <w:r w:rsidR="008B6361" w:rsidRPr="0072045E">
        <w:rPr>
          <w:rStyle w:val="Hyperlink"/>
          <w:rFonts w:cs="Arial"/>
          <w:color w:val="auto"/>
          <w:u w:val="none"/>
        </w:rPr>
        <w:t xml:space="preserve"> for further information see</w:t>
      </w:r>
      <w:r w:rsidR="008B6361" w:rsidRPr="0072045E">
        <w:rPr>
          <w:rStyle w:val="Hyperlink"/>
          <w:rFonts w:cs="Arial"/>
          <w:u w:val="none"/>
        </w:rPr>
        <w:t xml:space="preserve"> </w:t>
      </w:r>
      <w:hyperlink r:id="rId41" w:history="1">
        <w:r w:rsidR="008B6361" w:rsidRPr="0072045E">
          <w:rPr>
            <w:rStyle w:val="Hyperlink"/>
            <w:rFonts w:cs="Arial"/>
          </w:rPr>
          <w:t>Systemic anti-cancer therapy: management options for people with squamous non-small-cell carcinoma – October 2020 update</w:t>
        </w:r>
      </w:hyperlink>
      <w:r w:rsidR="00EE265D" w:rsidRPr="0072045E">
        <w:rPr>
          <w:rStyle w:val="Hyperlink"/>
          <w:rFonts w:cs="Arial"/>
          <w:u w:val="none"/>
        </w:rPr>
        <w:t xml:space="preserve">. </w:t>
      </w:r>
      <w:r w:rsidR="00EE265D" w:rsidRPr="0072045E">
        <w:rPr>
          <w:rStyle w:val="Hyperlink"/>
          <w:rFonts w:cs="Arial"/>
          <w:color w:val="auto"/>
          <w:u w:val="none"/>
        </w:rPr>
        <w:t>For non-squamous</w:t>
      </w:r>
      <w:r w:rsidR="008B6361" w:rsidRPr="0072045E">
        <w:rPr>
          <w:rStyle w:val="Hyperlink"/>
          <w:rFonts w:cs="Arial"/>
          <w:color w:val="auto"/>
          <w:u w:val="none"/>
        </w:rPr>
        <w:t xml:space="preserve"> </w:t>
      </w:r>
      <w:r w:rsidR="00EE265D" w:rsidRPr="00282429">
        <w:rPr>
          <w:rStyle w:val="Hyperlink"/>
          <w:rFonts w:cs="Arial"/>
          <w:color w:val="auto"/>
          <w:u w:val="none"/>
        </w:rPr>
        <w:t>t</w:t>
      </w:r>
      <w:r w:rsidR="00275791" w:rsidRPr="0072045E">
        <w:rPr>
          <w:rStyle w:val="Hyperlink"/>
          <w:rFonts w:cs="Arial"/>
          <w:color w:val="auto"/>
          <w:u w:val="none"/>
        </w:rPr>
        <w:t xml:space="preserve">here are further treatment </w:t>
      </w:r>
      <w:r w:rsidR="00EE265D" w:rsidRPr="0072045E">
        <w:rPr>
          <w:rStyle w:val="Hyperlink"/>
          <w:rFonts w:cs="Arial"/>
          <w:color w:val="auto"/>
          <w:u w:val="none"/>
        </w:rPr>
        <w:t>decisions</w:t>
      </w:r>
      <w:r w:rsidR="00275791" w:rsidRPr="0072045E">
        <w:rPr>
          <w:rStyle w:val="Hyperlink"/>
          <w:rFonts w:cs="Arial"/>
          <w:color w:val="auto"/>
          <w:u w:val="none"/>
        </w:rPr>
        <w:t xml:space="preserve"> determined by </w:t>
      </w:r>
      <w:r w:rsidR="00EE265D" w:rsidRPr="0072045E">
        <w:rPr>
          <w:rStyle w:val="Hyperlink"/>
          <w:rFonts w:cs="Arial"/>
          <w:color w:val="auto"/>
          <w:u w:val="none"/>
        </w:rPr>
        <w:t>the type of lung cancer,</w:t>
      </w:r>
      <w:r w:rsidR="00275791" w:rsidRPr="0072045E">
        <w:rPr>
          <w:rStyle w:val="Hyperlink"/>
          <w:rFonts w:cs="Arial"/>
          <w:color w:val="auto"/>
          <w:u w:val="none"/>
        </w:rPr>
        <w:t xml:space="preserve"> ROS1</w:t>
      </w:r>
      <w:r w:rsidR="008A665D" w:rsidRPr="0072045E">
        <w:rPr>
          <w:rStyle w:val="Hyperlink"/>
          <w:rFonts w:cs="Arial"/>
          <w:color w:val="auto"/>
          <w:u w:val="none"/>
        </w:rPr>
        <w:t xml:space="preserve"> status</w:t>
      </w:r>
      <w:r w:rsidR="00275791" w:rsidRPr="0072045E">
        <w:rPr>
          <w:rStyle w:val="Hyperlink"/>
          <w:rFonts w:cs="Arial"/>
          <w:color w:val="auto"/>
          <w:u w:val="none"/>
        </w:rPr>
        <w:t xml:space="preserve">, </w:t>
      </w:r>
      <w:r w:rsidR="00EE265D" w:rsidRPr="0072045E">
        <w:rPr>
          <w:rStyle w:val="Hyperlink"/>
          <w:rFonts w:cs="Arial"/>
          <w:color w:val="auto"/>
          <w:u w:val="none"/>
        </w:rPr>
        <w:t xml:space="preserve">EGFR-TK mutation, </w:t>
      </w:r>
      <w:r w:rsidR="00275791" w:rsidRPr="0072045E">
        <w:rPr>
          <w:rStyle w:val="Hyperlink"/>
          <w:rFonts w:cs="Arial"/>
          <w:color w:val="auto"/>
          <w:u w:val="none"/>
        </w:rPr>
        <w:t>NTRK fu</w:t>
      </w:r>
      <w:r w:rsidR="008A665D" w:rsidRPr="0072045E">
        <w:rPr>
          <w:rStyle w:val="Hyperlink"/>
          <w:rFonts w:cs="Arial"/>
          <w:color w:val="auto"/>
          <w:u w:val="none"/>
        </w:rPr>
        <w:t>sion and ALK status (</w:t>
      </w:r>
      <w:r w:rsidR="00EE265D" w:rsidRPr="0072045E">
        <w:rPr>
          <w:rStyle w:val="Hyperlink"/>
          <w:rFonts w:cs="Arial"/>
          <w:color w:val="auto"/>
          <w:u w:val="none"/>
        </w:rPr>
        <w:t xml:space="preserve">for further information see </w:t>
      </w:r>
      <w:hyperlink r:id="rId42" w:history="1">
        <w:r w:rsidR="00EE265D" w:rsidRPr="0072045E">
          <w:rPr>
            <w:rStyle w:val="Hyperlink"/>
            <w:rFonts w:cs="Arial"/>
          </w:rPr>
          <w:t xml:space="preserve">NICE pathway </w:t>
        </w:r>
        <w:r w:rsidR="00373ED0" w:rsidRPr="0072045E">
          <w:rPr>
            <w:rStyle w:val="Hyperlink"/>
            <w:rFonts w:cs="Arial"/>
          </w:rPr>
          <w:t>on a</w:t>
        </w:r>
        <w:r w:rsidR="00EE265D" w:rsidRPr="0072045E">
          <w:rPr>
            <w:rStyle w:val="Hyperlink"/>
            <w:rFonts w:cs="Arial"/>
          </w:rPr>
          <w:t>dvanced non-squamous (stages IIIB and IV) non-small-cell lung cancer: systemic anti-cancer therapy</w:t>
        </w:r>
      </w:hyperlink>
      <w:r w:rsidR="008A665D" w:rsidRPr="0072045E">
        <w:rPr>
          <w:rStyle w:val="Hyperlink"/>
          <w:rFonts w:cs="Arial"/>
          <w:u w:val="none"/>
        </w:rPr>
        <w:t>)</w:t>
      </w:r>
      <w:r w:rsidRPr="0072045E">
        <w:rPr>
          <w:rStyle w:val="Hyperlink"/>
          <w:rFonts w:cs="Arial"/>
          <w:u w:val="none"/>
        </w:rPr>
        <w:t>.</w:t>
      </w:r>
    </w:p>
    <w:bookmarkEnd w:id="22"/>
    <w:p w14:paraId="31A89E6A" w14:textId="3CA2DCEE" w:rsidR="00650DBD" w:rsidRPr="0072045E" w:rsidRDefault="00650DBD" w:rsidP="007A149F">
      <w:pPr>
        <w:pStyle w:val="Heading4"/>
        <w:numPr>
          <w:ilvl w:val="0"/>
          <w:numId w:val="0"/>
        </w:numPr>
        <w:spacing w:line="276" w:lineRule="auto"/>
        <w:ind w:left="864" w:hanging="864"/>
        <w:rPr>
          <w:rFonts w:cs="Arial"/>
          <w:szCs w:val="24"/>
        </w:rPr>
      </w:pPr>
      <w:r w:rsidRPr="0072045E">
        <w:rPr>
          <w:rFonts w:cs="Arial"/>
          <w:szCs w:val="24"/>
        </w:rPr>
        <w:lastRenderedPageBreak/>
        <w:t>3.</w:t>
      </w:r>
      <w:r w:rsidR="00840752" w:rsidRPr="0072045E">
        <w:rPr>
          <w:rFonts w:cs="Arial"/>
          <w:szCs w:val="24"/>
        </w:rPr>
        <w:t>2</w:t>
      </w:r>
      <w:r w:rsidR="00EC43AB" w:rsidRPr="0072045E">
        <w:rPr>
          <w:rFonts w:cs="Arial"/>
          <w:szCs w:val="24"/>
        </w:rPr>
        <w:t>.</w:t>
      </w:r>
      <w:r w:rsidR="00E14D98" w:rsidRPr="0072045E">
        <w:rPr>
          <w:rFonts w:cs="Arial"/>
          <w:szCs w:val="24"/>
        </w:rPr>
        <w:t>4</w:t>
      </w:r>
      <w:r w:rsidRPr="0072045E">
        <w:rPr>
          <w:rFonts w:cs="Arial"/>
          <w:szCs w:val="24"/>
        </w:rPr>
        <w:t>.</w:t>
      </w:r>
      <w:r w:rsidR="00A22FB3" w:rsidRPr="0072045E">
        <w:rPr>
          <w:rFonts w:cs="Arial"/>
          <w:szCs w:val="24"/>
        </w:rPr>
        <w:t>2</w:t>
      </w:r>
      <w:r w:rsidRPr="0072045E">
        <w:rPr>
          <w:rFonts w:cs="Arial"/>
          <w:szCs w:val="24"/>
        </w:rPr>
        <w:t xml:space="preserve">   </w:t>
      </w:r>
      <w:r w:rsidR="00273877" w:rsidRPr="0072045E">
        <w:rPr>
          <w:rFonts w:cs="Arial"/>
          <w:szCs w:val="24"/>
        </w:rPr>
        <w:t>S</w:t>
      </w:r>
      <w:r w:rsidRPr="0072045E">
        <w:rPr>
          <w:rFonts w:cs="Arial"/>
          <w:szCs w:val="24"/>
        </w:rPr>
        <w:t>mall cell lung cancer</w:t>
      </w:r>
    </w:p>
    <w:p w14:paraId="5B1D97D8" w14:textId="7A23AF05" w:rsidR="00B30D12" w:rsidRPr="0072045E" w:rsidRDefault="001E5EFF" w:rsidP="007A149F">
      <w:pPr>
        <w:pStyle w:val="Paragraphnonumbers"/>
        <w:rPr>
          <w:rFonts w:cs="Arial"/>
          <w:iCs/>
        </w:rPr>
      </w:pPr>
      <w:r w:rsidRPr="0072045E">
        <w:rPr>
          <w:rFonts w:cs="Arial"/>
          <w:iCs/>
        </w:rPr>
        <w:t xml:space="preserve">Treatment for adults </w:t>
      </w:r>
      <w:r w:rsidR="00274C85" w:rsidRPr="0072045E">
        <w:rPr>
          <w:rFonts w:cs="Arial"/>
        </w:rPr>
        <w:t>with SCLC</w:t>
      </w:r>
      <w:r w:rsidRPr="0072045E">
        <w:rPr>
          <w:rFonts w:cs="Arial"/>
        </w:rPr>
        <w:t xml:space="preserve"> involves</w:t>
      </w:r>
      <w:r w:rsidR="00274C85" w:rsidRPr="0072045E">
        <w:rPr>
          <w:rFonts w:cs="Arial"/>
        </w:rPr>
        <w:t xml:space="preserve"> </w:t>
      </w:r>
      <w:r w:rsidR="00274C85" w:rsidRPr="0072045E">
        <w:rPr>
          <w:rFonts w:cs="Arial"/>
          <w:iCs/>
        </w:rPr>
        <w:t>fi</w:t>
      </w:r>
      <w:r w:rsidR="009451FB" w:rsidRPr="0072045E">
        <w:rPr>
          <w:rFonts w:cs="Arial"/>
          <w:iCs/>
        </w:rPr>
        <w:t>r</w:t>
      </w:r>
      <w:r w:rsidR="00274C85" w:rsidRPr="0072045E">
        <w:rPr>
          <w:rFonts w:cs="Arial"/>
          <w:iCs/>
        </w:rPr>
        <w:t>st line treatment for early stage and limited stage disease, first line treatment for extensive stage disease and ablation procedure</w:t>
      </w:r>
      <w:r w:rsidR="00B30D12" w:rsidRPr="0072045E">
        <w:rPr>
          <w:rFonts w:cs="Arial"/>
          <w:iCs/>
        </w:rPr>
        <w:t xml:space="preserve"> (see figure </w:t>
      </w:r>
      <w:r w:rsidR="006256B0">
        <w:rPr>
          <w:rFonts w:cs="Arial"/>
          <w:iCs/>
        </w:rPr>
        <w:t>5</w:t>
      </w:r>
      <w:r w:rsidR="00B30D12" w:rsidRPr="0072045E">
        <w:rPr>
          <w:rFonts w:cs="Arial"/>
          <w:iCs/>
        </w:rPr>
        <w:t>).</w:t>
      </w:r>
      <w:r w:rsidRPr="0072045E">
        <w:rPr>
          <w:rFonts w:cs="Arial"/>
          <w:iCs/>
        </w:rPr>
        <w:t xml:space="preserve"> </w:t>
      </w:r>
    </w:p>
    <w:p w14:paraId="5D9B5F76" w14:textId="0900C4E7" w:rsidR="00B30D12" w:rsidRPr="0072045E" w:rsidRDefault="00B30D12" w:rsidP="0097637C">
      <w:pPr>
        <w:pStyle w:val="Tabletitle"/>
        <w:rPr>
          <w:rFonts w:cs="Arial"/>
          <w:sz w:val="24"/>
          <w:szCs w:val="24"/>
        </w:rPr>
      </w:pPr>
      <w:r w:rsidRPr="0072045E">
        <w:rPr>
          <w:rFonts w:cs="Arial"/>
          <w:sz w:val="24"/>
          <w:szCs w:val="24"/>
        </w:rPr>
        <w:t xml:space="preserve">Figure </w:t>
      </w:r>
      <w:r w:rsidR="007C5C60" w:rsidRPr="0072045E">
        <w:rPr>
          <w:rFonts w:cs="Arial"/>
          <w:sz w:val="24"/>
          <w:szCs w:val="24"/>
        </w:rPr>
        <w:fldChar w:fldCharType="begin"/>
      </w:r>
      <w:r w:rsidR="007C5C60" w:rsidRPr="0072045E">
        <w:rPr>
          <w:rFonts w:cs="Arial"/>
          <w:sz w:val="24"/>
          <w:szCs w:val="24"/>
        </w:rPr>
        <w:instrText xml:space="preserve"> SEQ Figure \* ARABIC </w:instrText>
      </w:r>
      <w:r w:rsidR="007C5C60" w:rsidRPr="0072045E">
        <w:rPr>
          <w:rFonts w:cs="Arial"/>
          <w:sz w:val="24"/>
          <w:szCs w:val="24"/>
        </w:rPr>
        <w:fldChar w:fldCharType="separate"/>
      </w:r>
      <w:r w:rsidR="0019249A">
        <w:rPr>
          <w:rFonts w:cs="Arial"/>
          <w:noProof/>
          <w:sz w:val="24"/>
          <w:szCs w:val="24"/>
        </w:rPr>
        <w:t>5</w:t>
      </w:r>
      <w:r w:rsidR="007C5C60" w:rsidRPr="0072045E">
        <w:rPr>
          <w:rFonts w:cs="Arial"/>
          <w:sz w:val="24"/>
          <w:szCs w:val="24"/>
        </w:rPr>
        <w:fldChar w:fldCharType="end"/>
      </w:r>
      <w:r w:rsidRPr="0072045E">
        <w:rPr>
          <w:rFonts w:cs="Arial"/>
          <w:sz w:val="24"/>
          <w:szCs w:val="24"/>
        </w:rPr>
        <w:t>: Treatment pathway for adults with small-cell lung cancer</w:t>
      </w:r>
      <w:r w:rsidR="001E13BD" w:rsidRPr="0072045E">
        <w:rPr>
          <w:rFonts w:cs="Arial"/>
          <w:sz w:val="24"/>
          <w:szCs w:val="24"/>
        </w:rPr>
        <w:t xml:space="preserve"> (</w:t>
      </w:r>
      <w:hyperlink r:id="rId43" w:anchor="path=view%3A/pathways/lung-cancer/treating-small-cell-lung-cancer.xml&amp;content=view-index" w:history="1">
        <w:r w:rsidR="001E13BD" w:rsidRPr="0072045E">
          <w:rPr>
            <w:rStyle w:val="Hyperlink"/>
            <w:rFonts w:cs="Arial"/>
            <w:sz w:val="24"/>
            <w:szCs w:val="24"/>
          </w:rPr>
          <w:t>NICE pathway for treating SCLC</w:t>
        </w:r>
      </w:hyperlink>
      <w:r w:rsidR="001E13BD" w:rsidRPr="0072045E">
        <w:rPr>
          <w:rStyle w:val="Hyperlink"/>
          <w:rFonts w:cs="Arial"/>
          <w:sz w:val="24"/>
          <w:szCs w:val="24"/>
        </w:rPr>
        <w:t>)</w:t>
      </w:r>
    </w:p>
    <w:p w14:paraId="2360CDBF" w14:textId="69B27736" w:rsidR="00B30D12" w:rsidRPr="0072045E" w:rsidRDefault="00B30D12" w:rsidP="0097637C">
      <w:pPr>
        <w:rPr>
          <w:rFonts w:ascii="Arial" w:hAnsi="Arial" w:cs="Arial"/>
          <w:iCs/>
        </w:rPr>
      </w:pPr>
      <w:r w:rsidRPr="0072045E">
        <w:rPr>
          <w:rFonts w:ascii="Arial" w:hAnsi="Arial" w:cs="Arial"/>
          <w:noProof/>
        </w:rPr>
        <w:drawing>
          <wp:inline distT="0" distB="0" distL="0" distR="0" wp14:anchorId="7E9449E6" wp14:editId="3AAF43BE">
            <wp:extent cx="5274310" cy="40659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4310" cy="4065905"/>
                    </a:xfrm>
                    <a:prstGeom prst="rect">
                      <a:avLst/>
                    </a:prstGeom>
                    <a:noFill/>
                    <a:ln>
                      <a:noFill/>
                    </a:ln>
                  </pic:spPr>
                </pic:pic>
              </a:graphicData>
            </a:graphic>
          </wp:inline>
        </w:drawing>
      </w:r>
    </w:p>
    <w:p w14:paraId="4E36A469" w14:textId="45120330" w:rsidR="00DA47D9" w:rsidRPr="0072045E" w:rsidRDefault="00B9259A" w:rsidP="007A149F">
      <w:pPr>
        <w:pStyle w:val="Paragraphnonumbers"/>
        <w:rPr>
          <w:rFonts w:cs="Arial"/>
        </w:rPr>
      </w:pPr>
      <w:r w:rsidRPr="0072045E">
        <w:rPr>
          <w:rFonts w:cs="Arial"/>
        </w:rPr>
        <w:t xml:space="preserve">Around 30% of small cell lung cancer (SCLC) cases are detected at stage I-III. For those detected early enough, </w:t>
      </w:r>
      <w:r w:rsidR="003F3645" w:rsidRPr="0072045E">
        <w:rPr>
          <w:rFonts w:cs="Arial"/>
        </w:rPr>
        <w:t>surgery is considered as a treatment</w:t>
      </w:r>
      <w:r w:rsidR="006256B0">
        <w:rPr>
          <w:rFonts w:cs="Arial"/>
        </w:rPr>
        <w:t>.</w:t>
      </w:r>
      <w:r w:rsidR="003F3645" w:rsidRPr="0072045E">
        <w:rPr>
          <w:rFonts w:cs="Arial"/>
        </w:rPr>
        <w:t xml:space="preserve"> </w:t>
      </w:r>
      <w:r w:rsidRPr="0072045E">
        <w:rPr>
          <w:rFonts w:cs="Arial"/>
        </w:rPr>
        <w:t xml:space="preserve">NICE </w:t>
      </w:r>
      <w:r w:rsidR="003F3645" w:rsidRPr="0072045E">
        <w:rPr>
          <w:rFonts w:cs="Arial"/>
        </w:rPr>
        <w:t xml:space="preserve">also </w:t>
      </w:r>
      <w:r w:rsidRPr="0072045E">
        <w:rPr>
          <w:rFonts w:cs="Arial"/>
        </w:rPr>
        <w:t xml:space="preserve">recommends that twice-daily radiotherapy with concurrent chemotherapy should be offered to people with limited-stage disease SCLC </w:t>
      </w:r>
      <w:bookmarkStart w:id="30" w:name="_Hlk59693315"/>
      <w:r w:rsidRPr="0072045E">
        <w:rPr>
          <w:rFonts w:cs="Arial"/>
        </w:rPr>
        <w:t>(</w:t>
      </w:r>
      <w:hyperlink r:id="rId45" w:anchor="path=view%3A/pathways/lung-cancer/treating-small-cell-lung-cancer.xml&amp;content=view-index" w:history="1">
        <w:r w:rsidRPr="00282429">
          <w:rPr>
            <w:rStyle w:val="Hyperlink"/>
            <w:rFonts w:cs="Arial"/>
          </w:rPr>
          <w:t>NICE pathway for treating SCLC</w:t>
        </w:r>
      </w:hyperlink>
      <w:r w:rsidRPr="0072045E">
        <w:rPr>
          <w:rStyle w:val="Hyperlink"/>
          <w:rFonts w:cs="Arial"/>
        </w:rPr>
        <w:t>)</w:t>
      </w:r>
      <w:bookmarkEnd w:id="30"/>
      <w:r w:rsidRPr="00282429">
        <w:rPr>
          <w:rFonts w:cs="Arial"/>
        </w:rPr>
        <w:t>. In 2017, 42% of people with stage I– III SCLC with a performance status of 0–2 received treatment with chemotherapy and radical radiotherapy or occasionally surgery</w:t>
      </w:r>
      <w:r w:rsidR="00F41E0B" w:rsidRPr="00282429">
        <w:rPr>
          <w:rFonts w:cs="Arial"/>
        </w:rPr>
        <w:t xml:space="preserve"> (</w:t>
      </w:r>
      <w:hyperlink r:id="rId46" w:history="1">
        <w:r w:rsidR="00F41E0B" w:rsidRPr="00282429">
          <w:rPr>
            <w:rStyle w:val="Hyperlink"/>
            <w:rFonts w:cs="Arial"/>
            <w:iCs/>
          </w:rPr>
          <w:t>National Lung Cancer Audit</w:t>
        </w:r>
      </w:hyperlink>
      <w:r w:rsidR="00F41E0B" w:rsidRPr="0072045E">
        <w:rPr>
          <w:rFonts w:cs="Arial"/>
          <w:iCs/>
        </w:rPr>
        <w:t>)</w:t>
      </w:r>
      <w:r w:rsidRPr="00282429">
        <w:rPr>
          <w:rFonts w:cs="Arial"/>
        </w:rPr>
        <w:t>. For SCLCs that are detected at a late stage, chemotherapy and radiotherapy can be used to improve quality of life and chances of medium-term survival</w:t>
      </w:r>
      <w:bookmarkStart w:id="31" w:name="_Hlk60745307"/>
      <w:r w:rsidRPr="00282429">
        <w:rPr>
          <w:rFonts w:cs="Arial"/>
        </w:rPr>
        <w:t xml:space="preserve">. </w:t>
      </w:r>
      <w:hyperlink r:id="rId47" w:anchor="first-line-treatment-for-limited-stage-disease-small-cell-lung-cancer-2" w:history="1">
        <w:r w:rsidRPr="00282429">
          <w:rPr>
            <w:rStyle w:val="Hyperlink"/>
            <w:rFonts w:cs="Arial"/>
          </w:rPr>
          <w:t>NICE</w:t>
        </w:r>
        <w:r w:rsidR="00E149D2" w:rsidRPr="00282429">
          <w:rPr>
            <w:rStyle w:val="Hyperlink"/>
            <w:rFonts w:cs="Arial"/>
          </w:rPr>
          <w:t xml:space="preserve"> guidance on</w:t>
        </w:r>
        <w:r w:rsidRPr="00282429">
          <w:rPr>
            <w:rStyle w:val="Hyperlink"/>
            <w:rFonts w:cs="Arial"/>
          </w:rPr>
          <w:t xml:space="preserve"> </w:t>
        </w:r>
        <w:r w:rsidR="00D26B9E" w:rsidRPr="0072045E">
          <w:rPr>
            <w:rStyle w:val="Hyperlink"/>
            <w:rFonts w:cs="Arial"/>
          </w:rPr>
          <w:t xml:space="preserve">diagnosis and management </w:t>
        </w:r>
        <w:r w:rsidR="00E149D2" w:rsidRPr="0072045E">
          <w:rPr>
            <w:rStyle w:val="Hyperlink"/>
            <w:rFonts w:cs="Arial"/>
          </w:rPr>
          <w:t xml:space="preserve">of lung cancer </w:t>
        </w:r>
        <w:r w:rsidR="00D26B9E" w:rsidRPr="0072045E">
          <w:rPr>
            <w:rStyle w:val="Hyperlink"/>
            <w:rFonts w:cs="Arial"/>
          </w:rPr>
          <w:t>2019</w:t>
        </w:r>
      </w:hyperlink>
      <w:r w:rsidR="00D26B9E" w:rsidRPr="0072045E">
        <w:rPr>
          <w:rFonts w:cs="Arial"/>
        </w:rPr>
        <w:t xml:space="preserve"> </w:t>
      </w:r>
      <w:bookmarkEnd w:id="31"/>
      <w:r w:rsidRPr="00282429">
        <w:rPr>
          <w:rFonts w:cs="Arial"/>
        </w:rPr>
        <w:t>recommends that people with limited-stage SCLC should be offered 4 to 6 cycles of cisplatin-based combination chemotherapy</w:t>
      </w:r>
      <w:r w:rsidR="008A6D84" w:rsidRPr="0072045E">
        <w:rPr>
          <w:rFonts w:cs="Arial"/>
        </w:rPr>
        <w:t xml:space="preserve"> and p</w:t>
      </w:r>
      <w:r w:rsidRPr="0072045E">
        <w:rPr>
          <w:rFonts w:cs="Arial"/>
        </w:rPr>
        <w:t xml:space="preserve">eople with extensive-stage SCLC should be offered a platinum-based combination chemotherapy. </w:t>
      </w:r>
      <w:bookmarkStart w:id="32" w:name="_Hlk60763680"/>
      <w:r w:rsidR="006256B0" w:rsidRPr="00282429">
        <w:rPr>
          <w:rFonts w:cs="Arial"/>
        </w:rPr>
        <w:t>NICE</w:t>
      </w:r>
      <w:r w:rsidR="006256B0" w:rsidRPr="0072045E">
        <w:rPr>
          <w:rFonts w:cs="Arial"/>
        </w:rPr>
        <w:t xml:space="preserve"> also recommends </w:t>
      </w:r>
      <w:r w:rsidR="006256B0" w:rsidRPr="0072045E">
        <w:rPr>
          <w:rFonts w:cs="Arial"/>
        </w:rPr>
        <w:lastRenderedPageBreak/>
        <w:t>atezolizumab with carboplatin and etoposide as an option for untreated extensive-stage small-cell lung cancer in adults, only if people have an Eastern Cooperative Oncology Group (ECOG) performance status of 0 or 1 (</w:t>
      </w:r>
      <w:hyperlink r:id="rId48" w:history="1">
        <w:r w:rsidR="006256B0" w:rsidRPr="0072045E">
          <w:rPr>
            <w:rStyle w:val="Hyperlink"/>
            <w:rFonts w:cs="Arial"/>
          </w:rPr>
          <w:t>NICE technology appraisal on Atezolizumab with carboplatin and etoposide for untreated extensive-stage small-cell lung cancer 2020)</w:t>
        </w:r>
      </w:hyperlink>
      <w:r w:rsidR="006256B0" w:rsidRPr="0072045E">
        <w:rPr>
          <w:rFonts w:cs="Arial"/>
        </w:rPr>
        <w:t>.</w:t>
      </w:r>
    </w:p>
    <w:p w14:paraId="13AF8A9B" w14:textId="5BC42861" w:rsidR="001D427C" w:rsidRPr="00384306" w:rsidRDefault="00DA47D9" w:rsidP="007A149F">
      <w:pPr>
        <w:pStyle w:val="Paragraphnonumbers"/>
        <w:rPr>
          <w:rFonts w:cs="Arial"/>
        </w:rPr>
      </w:pPr>
      <w:r w:rsidRPr="0072045E">
        <w:rPr>
          <w:rFonts w:cs="Arial"/>
        </w:rPr>
        <w:t>Where the cancer has relapsed after first line treatment and a second line treatment is required it is recommended to offer people assessment by a thoracic oncologist. For those in whom chemotherapy is suitable</w:t>
      </w:r>
      <w:r w:rsidR="006256B0">
        <w:rPr>
          <w:rFonts w:cs="Arial"/>
        </w:rPr>
        <w:t>,</w:t>
      </w:r>
      <w:r w:rsidRPr="0072045E">
        <w:rPr>
          <w:rFonts w:cs="Arial"/>
        </w:rPr>
        <w:t xml:space="preserve"> treatment with an anthracycline-containing regimen or further treatment with a platinum-based regimen to a maximum of 6 cycles</w:t>
      </w:r>
      <w:r w:rsidR="002B36AF" w:rsidRPr="0072045E">
        <w:rPr>
          <w:rFonts w:cs="Arial"/>
        </w:rPr>
        <w:t xml:space="preserve"> is recommended</w:t>
      </w:r>
      <w:r w:rsidRPr="0072045E">
        <w:rPr>
          <w:rFonts w:cs="Arial"/>
        </w:rPr>
        <w:t xml:space="preserve">. For palliation of local symptoms radiotherapy should be offered. Oral </w:t>
      </w:r>
      <w:r w:rsidR="00DB255B" w:rsidRPr="0072045E">
        <w:rPr>
          <w:rFonts w:cs="Arial"/>
        </w:rPr>
        <w:t>Topotecan</w:t>
      </w:r>
      <w:r w:rsidRPr="0072045E">
        <w:rPr>
          <w:rFonts w:cs="Arial"/>
        </w:rPr>
        <w:t xml:space="preserve"> is recommended as an option in people for whom </w:t>
      </w:r>
      <w:r w:rsidR="002D1C36" w:rsidRPr="0072045E">
        <w:rPr>
          <w:rFonts w:cs="Arial"/>
        </w:rPr>
        <w:t xml:space="preserve">retreatment with the first line regimen is not considered appropriate and the combination of cyclophosphamide, doxorubicin and vincristine is contraindicated. </w:t>
      </w:r>
      <w:r w:rsidR="005E34A6">
        <w:rPr>
          <w:rFonts w:cs="Arial"/>
        </w:rPr>
        <w:t>P</w:t>
      </w:r>
      <w:r w:rsidR="002D1C36" w:rsidRPr="0072045E">
        <w:rPr>
          <w:rFonts w:cs="Arial"/>
        </w:rPr>
        <w:t xml:space="preserve">alliative care should be provided by general and specialist care providers in line with the </w:t>
      </w:r>
      <w:hyperlink r:id="rId49" w:tgtFrame="_top" w:history="1">
        <w:r w:rsidR="002D1C36" w:rsidRPr="00384306">
          <w:rPr>
            <w:rStyle w:val="Hyperlink"/>
            <w:rFonts w:cs="Arial"/>
          </w:rPr>
          <w:t>NICE guidance on improving supportive and palliative care for adults with cancer</w:t>
        </w:r>
      </w:hyperlink>
      <w:r w:rsidR="002D1C36" w:rsidRPr="0072045E">
        <w:rPr>
          <w:rFonts w:cs="Arial"/>
        </w:rPr>
        <w:t>.</w:t>
      </w:r>
    </w:p>
    <w:p w14:paraId="35AFA873" w14:textId="78C639DA" w:rsidR="00AE6A48" w:rsidRPr="0072045E" w:rsidRDefault="00AE6A48" w:rsidP="007A149F">
      <w:pPr>
        <w:pStyle w:val="Heading3"/>
        <w:spacing w:line="276" w:lineRule="auto"/>
        <w:rPr>
          <w:rFonts w:cs="Arial"/>
          <w:szCs w:val="24"/>
        </w:rPr>
      </w:pPr>
      <w:bookmarkStart w:id="33" w:name="_Hlk63688814"/>
      <w:bookmarkStart w:id="34" w:name="_Hlk54100166"/>
      <w:bookmarkStart w:id="35" w:name="_Toc286147867"/>
      <w:bookmarkEnd w:id="32"/>
      <w:r w:rsidRPr="0072045E">
        <w:rPr>
          <w:rFonts w:cs="Arial"/>
          <w:szCs w:val="24"/>
        </w:rPr>
        <w:t>Patient issues and preferences</w:t>
      </w:r>
    </w:p>
    <w:p w14:paraId="328A1F2E" w14:textId="00C0680A" w:rsidR="002157DC" w:rsidRDefault="002157DC" w:rsidP="002157DC">
      <w:pPr>
        <w:pStyle w:val="Paragraphnonumbers"/>
        <w:rPr>
          <w:rFonts w:cs="Arial"/>
        </w:rPr>
      </w:pPr>
      <w:r w:rsidRPr="0072045E">
        <w:rPr>
          <w:rFonts w:cs="Arial"/>
        </w:rPr>
        <w:t xml:space="preserve">Lung cancer is </w:t>
      </w:r>
      <w:bookmarkStart w:id="36" w:name="_Hlk63945851"/>
      <w:r w:rsidR="006E4C5E">
        <w:rPr>
          <w:rFonts w:cs="Arial"/>
        </w:rPr>
        <w:t>the most common</w:t>
      </w:r>
      <w:bookmarkEnd w:id="36"/>
      <w:r w:rsidRPr="0072045E">
        <w:rPr>
          <w:rFonts w:cs="Arial"/>
        </w:rPr>
        <w:t xml:space="preserve"> cause of cancer-related death in the UK </w:t>
      </w:r>
      <w:bookmarkStart w:id="37" w:name="_Hlk63945874"/>
      <w:r w:rsidR="006E4C5E">
        <w:rPr>
          <w:rFonts w:cs="Arial"/>
        </w:rPr>
        <w:t xml:space="preserve">because around </w:t>
      </w:r>
      <w:r w:rsidR="006E4C5E" w:rsidRPr="006E4C5E">
        <w:rPr>
          <w:rFonts w:cs="Arial"/>
        </w:rPr>
        <w:t>three-quarters of lung cancer cases are diagnosed at a late stage</w:t>
      </w:r>
      <w:bookmarkEnd w:id="37"/>
      <w:r w:rsidRPr="0072045E">
        <w:rPr>
          <w:rFonts w:cs="Arial"/>
        </w:rPr>
        <w:t xml:space="preserve">. </w:t>
      </w:r>
      <w:r w:rsidR="00AA5E04">
        <w:rPr>
          <w:rFonts w:cs="Arial"/>
        </w:rPr>
        <w:t>T</w:t>
      </w:r>
      <w:r w:rsidRPr="0072045E">
        <w:rPr>
          <w:rFonts w:cs="Arial"/>
        </w:rPr>
        <w:t>reatment</w:t>
      </w:r>
      <w:r w:rsidR="00AA5E04">
        <w:rPr>
          <w:rFonts w:cs="Arial"/>
        </w:rPr>
        <w:t xml:space="preserve"> </w:t>
      </w:r>
      <w:bookmarkStart w:id="38" w:name="_Hlk63945916"/>
      <w:r w:rsidR="00AA5E04">
        <w:rPr>
          <w:rFonts w:cs="Arial"/>
        </w:rPr>
        <w:t>options have increased in recent years and</w:t>
      </w:r>
      <w:r w:rsidRPr="0072045E">
        <w:rPr>
          <w:rFonts w:cs="Arial"/>
        </w:rPr>
        <w:t xml:space="preserve"> </w:t>
      </w:r>
      <w:bookmarkEnd w:id="38"/>
      <w:r w:rsidRPr="0072045E">
        <w:rPr>
          <w:rFonts w:cs="Arial"/>
        </w:rPr>
        <w:t>include surgery, radiotherapy, chemotherapy, and immunotherapy</w:t>
      </w:r>
      <w:r w:rsidR="00AA5E04">
        <w:rPr>
          <w:rFonts w:cs="Arial"/>
        </w:rPr>
        <w:t>.</w:t>
      </w:r>
      <w:r w:rsidRPr="0072045E">
        <w:rPr>
          <w:rFonts w:cs="Arial"/>
        </w:rPr>
        <w:t xml:space="preserve"> </w:t>
      </w:r>
      <w:bookmarkStart w:id="39" w:name="_Hlk63945949"/>
      <w:r w:rsidR="001D7046">
        <w:rPr>
          <w:rFonts w:cs="Arial"/>
        </w:rPr>
        <w:t xml:space="preserve">Treatment can improve survival but </w:t>
      </w:r>
      <w:bookmarkEnd w:id="39"/>
      <w:r w:rsidR="005E34A6">
        <w:rPr>
          <w:rFonts w:cs="Arial"/>
        </w:rPr>
        <w:t>can have</w:t>
      </w:r>
      <w:r w:rsidRPr="0072045E">
        <w:rPr>
          <w:rFonts w:cs="Arial"/>
        </w:rPr>
        <w:t xml:space="preserve"> many side effects (</w:t>
      </w:r>
      <w:hyperlink r:id="rId50" w:history="1">
        <w:r w:rsidRPr="00384306">
          <w:rPr>
            <w:rStyle w:val="Hyperlink"/>
            <w:rFonts w:cs="Arial"/>
          </w:rPr>
          <w:t>NICE impact on lung cancer</w:t>
        </w:r>
      </w:hyperlink>
      <w:r w:rsidRPr="00D85D88">
        <w:t>)</w:t>
      </w:r>
      <w:r w:rsidRPr="00384306">
        <w:rPr>
          <w:rFonts w:cs="Arial"/>
        </w:rPr>
        <w:t xml:space="preserve">. </w:t>
      </w:r>
      <w:r w:rsidRPr="0072045E">
        <w:rPr>
          <w:rFonts w:cs="Arial"/>
        </w:rPr>
        <w:t xml:space="preserve">Progress of the disease, severity of its symptoms, and side effects of treatment </w:t>
      </w:r>
      <w:r w:rsidR="005E34A6">
        <w:rPr>
          <w:rFonts w:cs="Arial"/>
        </w:rPr>
        <w:t xml:space="preserve">can </w:t>
      </w:r>
      <w:r w:rsidRPr="0072045E">
        <w:rPr>
          <w:rFonts w:cs="Arial"/>
        </w:rPr>
        <w:t xml:space="preserve">decrease the quality of life in </w:t>
      </w:r>
      <w:r w:rsidR="003F1254">
        <w:rPr>
          <w:rFonts w:cs="Arial"/>
        </w:rPr>
        <w:t xml:space="preserve">some </w:t>
      </w:r>
      <w:r w:rsidRPr="0072045E">
        <w:rPr>
          <w:rFonts w:cs="Arial"/>
        </w:rPr>
        <w:t>people with the disease.</w:t>
      </w:r>
    </w:p>
    <w:p w14:paraId="44217DDD" w14:textId="20EE6DC9" w:rsidR="00037531" w:rsidRDefault="001861B4" w:rsidP="002157DC">
      <w:pPr>
        <w:pStyle w:val="Paragraphnonumbers"/>
        <w:rPr>
          <w:rFonts w:cs="Arial"/>
        </w:rPr>
      </w:pPr>
      <w:r>
        <w:rPr>
          <w:rFonts w:cs="Arial"/>
        </w:rPr>
        <w:t>A patient expert noted that p</w:t>
      </w:r>
      <w:r w:rsidR="00037531">
        <w:rPr>
          <w:rFonts w:cs="Arial"/>
        </w:rPr>
        <w:t xml:space="preserve">eople with lung cancer </w:t>
      </w:r>
      <w:r>
        <w:rPr>
          <w:rFonts w:cs="Arial"/>
        </w:rPr>
        <w:t xml:space="preserve">may feel stigmatised </w:t>
      </w:r>
      <w:r w:rsidR="00037531">
        <w:rPr>
          <w:rFonts w:cs="Arial"/>
        </w:rPr>
        <w:t>because of the link between smoking and lung cancer</w:t>
      </w:r>
      <w:r>
        <w:rPr>
          <w:rFonts w:cs="Arial"/>
        </w:rPr>
        <w:t xml:space="preserve">; both </w:t>
      </w:r>
      <w:r w:rsidR="00037531">
        <w:rPr>
          <w:rFonts w:cs="Arial"/>
        </w:rPr>
        <w:t>smokers and non-smokers</w:t>
      </w:r>
      <w:r w:rsidR="00A23EC3">
        <w:rPr>
          <w:rFonts w:cs="Arial"/>
        </w:rPr>
        <w:t xml:space="preserve"> may perceive that they are blamed for </w:t>
      </w:r>
      <w:r w:rsidR="009232A6">
        <w:rPr>
          <w:rFonts w:cs="Arial"/>
        </w:rPr>
        <w:t xml:space="preserve">causing their </w:t>
      </w:r>
      <w:r w:rsidR="00A23EC3">
        <w:rPr>
          <w:rFonts w:cs="Arial"/>
        </w:rPr>
        <w:t xml:space="preserve">cancer. </w:t>
      </w:r>
    </w:p>
    <w:p w14:paraId="5FE26093" w14:textId="11A99BA9" w:rsidR="009232A6" w:rsidRDefault="008D60A1" w:rsidP="007A149F">
      <w:pPr>
        <w:pStyle w:val="Paragraphnonumbers"/>
        <w:rPr>
          <w:rFonts w:cs="Arial"/>
        </w:rPr>
      </w:pPr>
      <w:r>
        <w:rPr>
          <w:rFonts w:cs="Arial"/>
        </w:rPr>
        <w:t xml:space="preserve">Surveillance of indeterminate pulmonary nodules is done by </w:t>
      </w:r>
      <w:hyperlink r:id="rId51" w:history="1">
        <w:r w:rsidR="002157DC" w:rsidRPr="008D60A1">
          <w:rPr>
            <w:rStyle w:val="Hyperlink"/>
            <w:rFonts w:cs="Arial"/>
          </w:rPr>
          <w:t>CT scans</w:t>
        </w:r>
      </w:hyperlink>
      <w:r>
        <w:rPr>
          <w:rFonts w:cs="Arial"/>
        </w:rPr>
        <w:t>. These</w:t>
      </w:r>
      <w:r w:rsidRPr="008D60A1">
        <w:rPr>
          <w:rFonts w:cs="Arial"/>
        </w:rPr>
        <w:t xml:space="preserve"> are quick, </w:t>
      </w:r>
      <w:proofErr w:type="gramStart"/>
      <w:r w:rsidRPr="008D60A1">
        <w:rPr>
          <w:rFonts w:cs="Arial"/>
        </w:rPr>
        <w:t>painless</w:t>
      </w:r>
      <w:proofErr w:type="gramEnd"/>
      <w:r w:rsidRPr="008D60A1">
        <w:rPr>
          <w:rFonts w:cs="Arial"/>
        </w:rPr>
        <w:t xml:space="preserve"> and generally safe</w:t>
      </w:r>
      <w:r>
        <w:rPr>
          <w:rFonts w:cs="Arial"/>
        </w:rPr>
        <w:t>, b</w:t>
      </w:r>
      <w:r w:rsidRPr="008D60A1">
        <w:rPr>
          <w:rFonts w:cs="Arial"/>
        </w:rPr>
        <w:t>ut there</w:t>
      </w:r>
      <w:r>
        <w:rPr>
          <w:rFonts w:cs="Arial"/>
        </w:rPr>
        <w:t xml:space="preserve"> is</w:t>
      </w:r>
      <w:r w:rsidRPr="008D60A1">
        <w:rPr>
          <w:rFonts w:cs="Arial"/>
        </w:rPr>
        <w:t xml:space="preserve"> a small risk </w:t>
      </w:r>
      <w:r>
        <w:rPr>
          <w:rFonts w:cs="Arial"/>
        </w:rPr>
        <w:t>of</w:t>
      </w:r>
      <w:r w:rsidRPr="008D60A1">
        <w:rPr>
          <w:rFonts w:cs="Arial"/>
        </w:rPr>
        <w:t xml:space="preserve"> allergic reaction to the contrast dye used</w:t>
      </w:r>
      <w:r>
        <w:rPr>
          <w:rFonts w:cs="Arial"/>
        </w:rPr>
        <w:t>. CT scans also involve</w:t>
      </w:r>
      <w:r w:rsidRPr="008D60A1">
        <w:rPr>
          <w:rFonts w:cs="Arial"/>
        </w:rPr>
        <w:t xml:space="preserve"> expos</w:t>
      </w:r>
      <w:r>
        <w:rPr>
          <w:rFonts w:cs="Arial"/>
        </w:rPr>
        <w:t>ure</w:t>
      </w:r>
      <w:r w:rsidRPr="008D60A1">
        <w:rPr>
          <w:rFonts w:cs="Arial"/>
        </w:rPr>
        <w:t xml:space="preserve"> to X-ray radiation</w:t>
      </w:r>
      <w:r>
        <w:rPr>
          <w:rFonts w:cs="Arial"/>
        </w:rPr>
        <w:t xml:space="preserve">, which </w:t>
      </w:r>
      <w:r w:rsidRPr="008D60A1">
        <w:rPr>
          <w:rFonts w:cs="Arial"/>
        </w:rPr>
        <w:t xml:space="preserve">could slightly increase </w:t>
      </w:r>
      <w:r>
        <w:rPr>
          <w:rFonts w:cs="Arial"/>
        </w:rPr>
        <w:t>the risk</w:t>
      </w:r>
      <w:r w:rsidRPr="008D60A1">
        <w:rPr>
          <w:rFonts w:cs="Arial"/>
        </w:rPr>
        <w:t xml:space="preserve"> of developing cancer</w:t>
      </w:r>
      <w:r>
        <w:rPr>
          <w:rFonts w:cs="Arial"/>
        </w:rPr>
        <w:t xml:space="preserve"> in the future</w:t>
      </w:r>
      <w:r w:rsidRPr="008D60A1">
        <w:rPr>
          <w:rFonts w:cs="Arial"/>
        </w:rPr>
        <w:t>, although this risk is thought to be very small (less than 1 in 2,000).</w:t>
      </w:r>
      <w:r w:rsidRPr="002157DC" w:rsidDel="008D60A1">
        <w:rPr>
          <w:rFonts w:cs="Arial"/>
        </w:rPr>
        <w:t xml:space="preserve"> </w:t>
      </w:r>
      <w:r w:rsidRPr="008D60A1">
        <w:rPr>
          <w:rFonts w:cs="Arial"/>
        </w:rPr>
        <w:t xml:space="preserve">The </w:t>
      </w:r>
      <w:r w:rsidR="000C130C">
        <w:rPr>
          <w:rFonts w:cs="Arial"/>
        </w:rPr>
        <w:t xml:space="preserve">potential </w:t>
      </w:r>
      <w:r w:rsidRPr="008D60A1">
        <w:rPr>
          <w:rFonts w:cs="Arial"/>
        </w:rPr>
        <w:t xml:space="preserve">benefits of having a CT scan </w:t>
      </w:r>
      <w:r w:rsidR="000C130C">
        <w:rPr>
          <w:rFonts w:cs="Arial"/>
        </w:rPr>
        <w:t>to monitor pulmonary nodules are likely to outweigh the risks</w:t>
      </w:r>
      <w:r w:rsidRPr="008D60A1">
        <w:rPr>
          <w:rFonts w:cs="Arial"/>
        </w:rPr>
        <w:t>.</w:t>
      </w:r>
      <w:r>
        <w:rPr>
          <w:rFonts w:cs="Arial"/>
        </w:rPr>
        <w:t xml:space="preserve"> </w:t>
      </w:r>
      <w:r w:rsidR="00A23EC3">
        <w:rPr>
          <w:rFonts w:cs="Arial"/>
        </w:rPr>
        <w:t xml:space="preserve">Some people feel that 2 years of CT surveillance negatively affects their mental wellbeing, whereas others feel reassured </w:t>
      </w:r>
      <w:bookmarkStart w:id="40" w:name="_Hlk63946163"/>
      <w:r w:rsidR="001D7046">
        <w:rPr>
          <w:rFonts w:cs="Arial"/>
        </w:rPr>
        <w:t xml:space="preserve">that </w:t>
      </w:r>
      <w:r w:rsidR="00EB7815">
        <w:rPr>
          <w:rFonts w:cs="Arial"/>
        </w:rPr>
        <w:t>it</w:t>
      </w:r>
      <w:r w:rsidR="001D7046">
        <w:rPr>
          <w:rFonts w:cs="Arial"/>
        </w:rPr>
        <w:t xml:space="preserve"> could help to diagnose cancer at an earlier stage or </w:t>
      </w:r>
      <w:r w:rsidR="00EB7815">
        <w:rPr>
          <w:rFonts w:cs="Arial"/>
        </w:rPr>
        <w:t>could help to rule out cancer</w:t>
      </w:r>
      <w:bookmarkEnd w:id="40"/>
      <w:r w:rsidR="00EB7815">
        <w:rPr>
          <w:rFonts w:cs="Arial"/>
        </w:rPr>
        <w:t xml:space="preserve"> </w:t>
      </w:r>
      <w:r w:rsidR="00A23EC3">
        <w:rPr>
          <w:rFonts w:cs="Arial"/>
        </w:rPr>
        <w:t>if the CT scan</w:t>
      </w:r>
      <w:r w:rsidR="00EB7815">
        <w:rPr>
          <w:rFonts w:cs="Arial"/>
        </w:rPr>
        <w:t>s</w:t>
      </w:r>
      <w:r w:rsidR="00A23EC3">
        <w:rPr>
          <w:rFonts w:cs="Arial"/>
        </w:rPr>
        <w:t xml:space="preserve"> shows no growth in the size of the nodule. </w:t>
      </w:r>
      <w:r w:rsidR="009232A6">
        <w:rPr>
          <w:rFonts w:cs="Arial"/>
        </w:rPr>
        <w:t xml:space="preserve">CT scans would probably need to be done at the hospital and may lead to patient </w:t>
      </w:r>
      <w:r w:rsidR="009232A6">
        <w:rPr>
          <w:rFonts w:cs="Arial"/>
        </w:rPr>
        <w:lastRenderedPageBreak/>
        <w:t xml:space="preserve">concerns over travel and parking. </w:t>
      </w:r>
      <w:r w:rsidR="002157DC" w:rsidRPr="002157DC">
        <w:rPr>
          <w:rFonts w:cs="Arial"/>
        </w:rPr>
        <w:t xml:space="preserve">The </w:t>
      </w:r>
      <w:proofErr w:type="spellStart"/>
      <w:r w:rsidR="002157DC" w:rsidRPr="002157DC">
        <w:rPr>
          <w:rFonts w:cs="Arial"/>
        </w:rPr>
        <w:t>EarlyCDT</w:t>
      </w:r>
      <w:proofErr w:type="spellEnd"/>
      <w:r w:rsidR="002157DC" w:rsidRPr="002157DC">
        <w:rPr>
          <w:rFonts w:cs="Arial"/>
        </w:rPr>
        <w:t xml:space="preserve"> Lung test may reduce the number of CT scans needed. </w:t>
      </w:r>
    </w:p>
    <w:p w14:paraId="6FE728E0" w14:textId="2053C4D0" w:rsidR="00681D70" w:rsidRDefault="009232A6" w:rsidP="007A149F">
      <w:pPr>
        <w:pStyle w:val="Paragraphnonumbers"/>
        <w:rPr>
          <w:rFonts w:cs="Arial"/>
        </w:rPr>
      </w:pPr>
      <w:r>
        <w:rPr>
          <w:rFonts w:cs="Arial"/>
        </w:rPr>
        <w:t xml:space="preserve">The </w:t>
      </w:r>
      <w:proofErr w:type="spellStart"/>
      <w:r>
        <w:rPr>
          <w:rFonts w:cs="Arial"/>
        </w:rPr>
        <w:t>EarlyCDT</w:t>
      </w:r>
      <w:proofErr w:type="spellEnd"/>
      <w:r>
        <w:rPr>
          <w:rFonts w:cs="Arial"/>
        </w:rPr>
        <w:t xml:space="preserve"> Lung test is a blood test</w:t>
      </w:r>
      <w:r w:rsidR="00155C6D">
        <w:rPr>
          <w:rFonts w:cs="Arial"/>
        </w:rPr>
        <w:t>; if it is shown to be an accurate and effective test, it is likely to be acceptable to most people due to the ease and familiarity</w:t>
      </w:r>
      <w:r>
        <w:rPr>
          <w:rFonts w:cs="Arial"/>
        </w:rPr>
        <w:t xml:space="preserve"> </w:t>
      </w:r>
      <w:r w:rsidR="00155C6D">
        <w:rPr>
          <w:rFonts w:cs="Arial"/>
        </w:rPr>
        <w:t>of a blood test</w:t>
      </w:r>
      <w:r>
        <w:rPr>
          <w:rFonts w:cs="Arial"/>
        </w:rPr>
        <w:t>.</w:t>
      </w:r>
    </w:p>
    <w:p w14:paraId="262170AA" w14:textId="2AE691B8" w:rsidR="003F1254" w:rsidRPr="00252B4C" w:rsidRDefault="003F1254" w:rsidP="003F1254">
      <w:pPr>
        <w:pStyle w:val="Paragraphnonumbers"/>
      </w:pPr>
      <w:r w:rsidRPr="0072045E">
        <w:t xml:space="preserve">The </w:t>
      </w:r>
      <w:proofErr w:type="spellStart"/>
      <w:r w:rsidRPr="0072045E">
        <w:t>EarlyCDT</w:t>
      </w:r>
      <w:proofErr w:type="spellEnd"/>
      <w:r w:rsidRPr="0072045E">
        <w:t xml:space="preserve"> Lung test could result in treatment being offered earlier</w:t>
      </w:r>
      <w:r w:rsidR="00037531">
        <w:t xml:space="preserve"> and treatment could be less </w:t>
      </w:r>
      <w:r w:rsidR="00075E11">
        <w:t>aggressive</w:t>
      </w:r>
      <w:r w:rsidRPr="0072045E">
        <w:t xml:space="preserve">, giving improved patient outcomes. </w:t>
      </w:r>
      <w:r>
        <w:t xml:space="preserve">However, it could potentially result in </w:t>
      </w:r>
      <w:r w:rsidRPr="0072045E">
        <w:t>overdiagnosis</w:t>
      </w:r>
      <w:r w:rsidR="00405F75">
        <w:t>,</w:t>
      </w:r>
      <w:r w:rsidRPr="0072045E">
        <w:t xml:space="preserve"> leading to overtreatment</w:t>
      </w:r>
      <w:r>
        <w:t xml:space="preserve"> of benign and indolent cancers. This </w:t>
      </w:r>
      <w:r w:rsidRPr="0072045E">
        <w:t xml:space="preserve">would put </w:t>
      </w:r>
      <w:r w:rsidR="00A23EC3">
        <w:t xml:space="preserve">some </w:t>
      </w:r>
      <w:r w:rsidRPr="0072045E">
        <w:t xml:space="preserve">people at risk of having </w:t>
      </w:r>
      <w:r>
        <w:t>unneces</w:t>
      </w:r>
      <w:r w:rsidR="00337FE7">
        <w:t>s</w:t>
      </w:r>
      <w:r>
        <w:t xml:space="preserve">ary </w:t>
      </w:r>
      <w:r w:rsidR="007205FF">
        <w:t xml:space="preserve">treatment or </w:t>
      </w:r>
      <w:r w:rsidRPr="0072045E">
        <w:t>intervention</w:t>
      </w:r>
      <w:r>
        <w:t>,</w:t>
      </w:r>
      <w:r w:rsidRPr="0072045E">
        <w:t xml:space="preserve"> which bring with </w:t>
      </w:r>
      <w:r w:rsidR="007205FF">
        <w:t>them</w:t>
      </w:r>
      <w:r w:rsidRPr="0072045E">
        <w:t xml:space="preserve"> a risk of </w:t>
      </w:r>
      <w:r w:rsidR="00A17E87">
        <w:t>side effects.</w:t>
      </w:r>
    </w:p>
    <w:bookmarkEnd w:id="33"/>
    <w:bookmarkEnd w:id="34"/>
    <w:p w14:paraId="0EADA3C6" w14:textId="101FD8C0" w:rsidR="007F3D70" w:rsidRPr="0072045E" w:rsidRDefault="008D22A0" w:rsidP="007A149F">
      <w:pPr>
        <w:pStyle w:val="Heading2"/>
        <w:numPr>
          <w:ilvl w:val="0"/>
          <w:numId w:val="20"/>
        </w:numPr>
        <w:spacing w:line="276" w:lineRule="auto"/>
        <w:rPr>
          <w:rFonts w:cs="Arial"/>
          <w:sz w:val="24"/>
          <w:szCs w:val="24"/>
        </w:rPr>
      </w:pPr>
      <w:r w:rsidRPr="0072045E">
        <w:rPr>
          <w:rFonts w:cs="Arial"/>
          <w:sz w:val="24"/>
          <w:szCs w:val="24"/>
        </w:rPr>
        <w:t>Comparator</w:t>
      </w:r>
    </w:p>
    <w:p w14:paraId="5FCB7B46" w14:textId="51D52695" w:rsidR="00833CE7" w:rsidRPr="0072045E" w:rsidRDefault="00833CE7" w:rsidP="00833CE7">
      <w:pPr>
        <w:pStyle w:val="Paragraphnonumbers"/>
        <w:rPr>
          <w:rFonts w:cs="Arial"/>
        </w:rPr>
      </w:pPr>
      <w:r w:rsidRPr="0072045E">
        <w:rPr>
          <w:rFonts w:cs="Arial"/>
        </w:rPr>
        <w:t>In the UK, the Brock model</w:t>
      </w:r>
      <w:r w:rsidR="000C7E11">
        <w:rPr>
          <w:rFonts w:cs="Arial"/>
        </w:rPr>
        <w:t xml:space="preserve"> </w:t>
      </w:r>
      <w:r w:rsidRPr="0072045E">
        <w:rPr>
          <w:rFonts w:cs="Arial"/>
        </w:rPr>
        <w:t xml:space="preserve">and the Herder model </w:t>
      </w:r>
      <w:r w:rsidR="00FA5F23">
        <w:rPr>
          <w:rFonts w:cs="Arial"/>
        </w:rPr>
        <w:t>are</w:t>
      </w:r>
      <w:r w:rsidR="00FA5F23" w:rsidRPr="0072045E">
        <w:rPr>
          <w:rFonts w:cs="Arial"/>
        </w:rPr>
        <w:t xml:space="preserve"> </w:t>
      </w:r>
      <w:r w:rsidRPr="0072045E">
        <w:rPr>
          <w:rFonts w:cs="Arial"/>
        </w:rPr>
        <w:t xml:space="preserve">used to estimate </w:t>
      </w:r>
      <w:r w:rsidR="00B912B3">
        <w:rPr>
          <w:rFonts w:cs="Arial"/>
        </w:rPr>
        <w:t xml:space="preserve">pulmonary nodule </w:t>
      </w:r>
      <w:r w:rsidRPr="0072045E">
        <w:rPr>
          <w:rFonts w:cs="Arial"/>
        </w:rPr>
        <w:t>risk of malignancy</w:t>
      </w:r>
      <w:r w:rsidR="00B912B3" w:rsidRPr="00B912B3">
        <w:rPr>
          <w:rFonts w:cs="Arial"/>
        </w:rPr>
        <w:t xml:space="preserve"> </w:t>
      </w:r>
      <w:r w:rsidR="00B912B3">
        <w:rPr>
          <w:rFonts w:cs="Arial"/>
        </w:rPr>
        <w:t>as part of current clinical practice</w:t>
      </w:r>
      <w:r w:rsidRPr="0072045E">
        <w:rPr>
          <w:rFonts w:cs="Arial"/>
        </w:rPr>
        <w:t>.</w:t>
      </w:r>
    </w:p>
    <w:p w14:paraId="6754DC1C" w14:textId="1CA309FA" w:rsidR="000F58AB" w:rsidRPr="0072045E" w:rsidRDefault="00D92183" w:rsidP="009729F6">
      <w:pPr>
        <w:pStyle w:val="Heading2"/>
        <w:numPr>
          <w:ilvl w:val="0"/>
          <w:numId w:val="19"/>
        </w:numPr>
        <w:spacing w:line="276" w:lineRule="auto"/>
        <w:rPr>
          <w:rFonts w:cs="Arial"/>
          <w:sz w:val="24"/>
          <w:szCs w:val="24"/>
        </w:rPr>
      </w:pPr>
      <w:r w:rsidRPr="0072045E">
        <w:rPr>
          <w:rFonts w:cs="Arial"/>
          <w:sz w:val="24"/>
          <w:szCs w:val="24"/>
        </w:rPr>
        <w:t xml:space="preserve">Scope of the </w:t>
      </w:r>
      <w:bookmarkEnd w:id="35"/>
      <w:r w:rsidR="007C3D08" w:rsidRPr="0072045E">
        <w:rPr>
          <w:rFonts w:cs="Arial"/>
          <w:sz w:val="24"/>
          <w:szCs w:val="24"/>
        </w:rPr>
        <w:t>assessment</w:t>
      </w:r>
    </w:p>
    <w:p w14:paraId="640F0547" w14:textId="76BF1130" w:rsidR="00DA6105" w:rsidRPr="00384306" w:rsidRDefault="00DA6105" w:rsidP="0097637C">
      <w:pPr>
        <w:pStyle w:val="Tabletitle"/>
        <w:rPr>
          <w:rFonts w:cs="Arial"/>
          <w:sz w:val="24"/>
          <w:szCs w:val="24"/>
        </w:rPr>
      </w:pPr>
      <w:r w:rsidRPr="0072045E">
        <w:rPr>
          <w:rFonts w:cs="Arial"/>
          <w:sz w:val="24"/>
          <w:szCs w:val="24"/>
        </w:rPr>
        <w:t xml:space="preserve"> </w:t>
      </w:r>
      <w:r w:rsidR="001934FC" w:rsidRPr="0072045E">
        <w:rPr>
          <w:rFonts w:cs="Arial"/>
          <w:sz w:val="24"/>
          <w:szCs w:val="24"/>
        </w:rPr>
        <w:t xml:space="preserve"> </w:t>
      </w:r>
      <w:r w:rsidRPr="0072045E">
        <w:rPr>
          <w:rFonts w:cs="Arial"/>
          <w:sz w:val="24"/>
          <w:szCs w:val="24"/>
        </w:rPr>
        <w:t xml:space="preserve">Table </w:t>
      </w:r>
      <w:r w:rsidR="00A94D0B" w:rsidRPr="00384306">
        <w:rPr>
          <w:rFonts w:cs="Arial"/>
          <w:sz w:val="24"/>
          <w:szCs w:val="24"/>
        </w:rPr>
        <w:fldChar w:fldCharType="begin"/>
      </w:r>
      <w:r w:rsidR="00A94D0B" w:rsidRPr="0072045E">
        <w:rPr>
          <w:rFonts w:cs="Arial"/>
          <w:sz w:val="24"/>
          <w:szCs w:val="24"/>
        </w:rPr>
        <w:instrText xml:space="preserve"> SEQ Table \* ARABIC </w:instrText>
      </w:r>
      <w:r w:rsidR="00A94D0B" w:rsidRPr="00384306">
        <w:rPr>
          <w:rFonts w:cs="Arial"/>
          <w:sz w:val="24"/>
          <w:szCs w:val="24"/>
        </w:rPr>
        <w:fldChar w:fldCharType="separate"/>
      </w:r>
      <w:r w:rsidR="0019249A">
        <w:rPr>
          <w:rFonts w:cs="Arial"/>
          <w:noProof/>
          <w:sz w:val="24"/>
          <w:szCs w:val="24"/>
        </w:rPr>
        <w:t>2</w:t>
      </w:r>
      <w:r w:rsidR="00A94D0B" w:rsidRPr="00384306">
        <w:rPr>
          <w:rFonts w:cs="Arial"/>
          <w:noProof/>
          <w:sz w:val="24"/>
          <w:szCs w:val="24"/>
        </w:rPr>
        <w:fldChar w:fldCharType="end"/>
      </w:r>
      <w:r w:rsidRPr="0072045E">
        <w:rPr>
          <w:rFonts w:cs="Arial"/>
          <w:sz w:val="24"/>
          <w:szCs w:val="24"/>
        </w:rPr>
        <w:t>: Scope of the assessment</w:t>
      </w:r>
    </w:p>
    <w:tbl>
      <w:tblPr>
        <w:tblW w:w="84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287"/>
      </w:tblGrid>
      <w:tr w:rsidR="009A0A10" w:rsidRPr="0072045E" w14:paraId="3551FBA8" w14:textId="77777777" w:rsidTr="009A0A10">
        <w:trPr>
          <w:trHeight w:val="710"/>
        </w:trPr>
        <w:tc>
          <w:tcPr>
            <w:tcW w:w="2127" w:type="dxa"/>
          </w:tcPr>
          <w:p w14:paraId="3264D941" w14:textId="77777777" w:rsidR="009A0A10" w:rsidRPr="0072045E" w:rsidRDefault="009A0A10" w:rsidP="007A149F">
            <w:pPr>
              <w:pStyle w:val="StyleTabletextBold"/>
              <w:jc w:val="both"/>
              <w:rPr>
                <w:rFonts w:cs="Arial"/>
                <w:sz w:val="24"/>
                <w:szCs w:val="24"/>
              </w:rPr>
            </w:pPr>
            <w:r w:rsidRPr="0072045E">
              <w:rPr>
                <w:rFonts w:cs="Arial"/>
                <w:sz w:val="24"/>
                <w:szCs w:val="24"/>
              </w:rPr>
              <w:t>Decision question</w:t>
            </w:r>
          </w:p>
        </w:tc>
        <w:tc>
          <w:tcPr>
            <w:tcW w:w="6287" w:type="dxa"/>
          </w:tcPr>
          <w:p w14:paraId="61EF530D" w14:textId="57698910" w:rsidR="009A0A10" w:rsidRPr="0072045E" w:rsidRDefault="009A0A10" w:rsidP="007A149F">
            <w:pPr>
              <w:pStyle w:val="Tabletext"/>
              <w:rPr>
                <w:rFonts w:cs="Arial"/>
                <w:sz w:val="24"/>
                <w:szCs w:val="24"/>
              </w:rPr>
            </w:pPr>
            <w:r w:rsidRPr="0072045E">
              <w:rPr>
                <w:rFonts w:cs="Arial"/>
                <w:sz w:val="24"/>
                <w:szCs w:val="24"/>
              </w:rPr>
              <w:t xml:space="preserve">What is the clinical and cost effectiveness of </w:t>
            </w:r>
            <w:proofErr w:type="spellStart"/>
            <w:r w:rsidRPr="0072045E">
              <w:rPr>
                <w:rFonts w:cs="Arial"/>
                <w:sz w:val="24"/>
                <w:szCs w:val="24"/>
              </w:rPr>
              <w:t>Early</w:t>
            </w:r>
            <w:r w:rsidR="008B3F3D" w:rsidRPr="0072045E">
              <w:rPr>
                <w:rFonts w:cs="Arial"/>
                <w:sz w:val="24"/>
                <w:szCs w:val="24"/>
              </w:rPr>
              <w:t>CDT</w:t>
            </w:r>
            <w:proofErr w:type="spellEnd"/>
            <w:r w:rsidR="00C26040" w:rsidRPr="0072045E">
              <w:rPr>
                <w:rFonts w:cs="Arial"/>
                <w:sz w:val="24"/>
                <w:szCs w:val="24"/>
              </w:rPr>
              <w:t xml:space="preserve"> </w:t>
            </w:r>
            <w:r w:rsidRPr="0072045E">
              <w:rPr>
                <w:rFonts w:cs="Arial"/>
                <w:sz w:val="24"/>
                <w:szCs w:val="24"/>
              </w:rPr>
              <w:t>Lung</w:t>
            </w:r>
            <w:r w:rsidR="00C26040" w:rsidRPr="0072045E">
              <w:rPr>
                <w:rFonts w:cs="Arial"/>
                <w:sz w:val="24"/>
                <w:szCs w:val="24"/>
              </w:rPr>
              <w:t xml:space="preserve"> </w:t>
            </w:r>
            <w:r w:rsidR="00075620" w:rsidRPr="0072045E">
              <w:rPr>
                <w:rFonts w:cs="Arial"/>
                <w:sz w:val="24"/>
                <w:szCs w:val="24"/>
              </w:rPr>
              <w:t>test for</w:t>
            </w:r>
            <w:r w:rsidRPr="0072045E">
              <w:rPr>
                <w:rFonts w:cs="Arial"/>
                <w:sz w:val="24"/>
                <w:szCs w:val="24"/>
              </w:rPr>
              <w:t xml:space="preserve"> the investigation and diagnosis of </w:t>
            </w:r>
            <w:r w:rsidR="005D2548" w:rsidRPr="0072045E">
              <w:rPr>
                <w:rFonts w:cs="Arial"/>
                <w:sz w:val="24"/>
                <w:szCs w:val="24"/>
              </w:rPr>
              <w:t xml:space="preserve">lung cancer in </w:t>
            </w:r>
            <w:r w:rsidR="00E813ED" w:rsidRPr="0072045E">
              <w:rPr>
                <w:rFonts w:cs="Arial"/>
                <w:sz w:val="24"/>
                <w:szCs w:val="24"/>
              </w:rPr>
              <w:t>people</w:t>
            </w:r>
            <w:r w:rsidR="005D2548" w:rsidRPr="0072045E">
              <w:rPr>
                <w:rFonts w:cs="Arial"/>
                <w:sz w:val="24"/>
                <w:szCs w:val="24"/>
              </w:rPr>
              <w:t xml:space="preserve"> </w:t>
            </w:r>
            <w:r w:rsidR="00E813ED" w:rsidRPr="0072045E">
              <w:rPr>
                <w:rFonts w:cs="Arial"/>
                <w:sz w:val="24"/>
                <w:szCs w:val="24"/>
              </w:rPr>
              <w:t>with pulmonary nodules</w:t>
            </w:r>
            <w:r w:rsidRPr="0072045E">
              <w:rPr>
                <w:rFonts w:cs="Arial"/>
                <w:sz w:val="24"/>
                <w:szCs w:val="24"/>
              </w:rPr>
              <w:t>?</w:t>
            </w:r>
          </w:p>
        </w:tc>
      </w:tr>
      <w:tr w:rsidR="009A0A10" w:rsidRPr="0072045E" w14:paraId="4AF15350" w14:textId="77777777" w:rsidTr="009A0A10">
        <w:tc>
          <w:tcPr>
            <w:tcW w:w="2127" w:type="dxa"/>
          </w:tcPr>
          <w:p w14:paraId="25301F05" w14:textId="77777777" w:rsidR="009A0A10" w:rsidRPr="0072045E" w:rsidRDefault="009A0A10" w:rsidP="007A149F">
            <w:pPr>
              <w:pStyle w:val="StyleTabletextBold"/>
              <w:jc w:val="both"/>
              <w:rPr>
                <w:rFonts w:cs="Arial"/>
                <w:sz w:val="24"/>
                <w:szCs w:val="24"/>
              </w:rPr>
            </w:pPr>
            <w:r w:rsidRPr="0072045E">
              <w:rPr>
                <w:rFonts w:cs="Arial"/>
                <w:sz w:val="24"/>
                <w:szCs w:val="24"/>
              </w:rPr>
              <w:t>Populations</w:t>
            </w:r>
          </w:p>
        </w:tc>
        <w:tc>
          <w:tcPr>
            <w:tcW w:w="6287" w:type="dxa"/>
          </w:tcPr>
          <w:p w14:paraId="36159708" w14:textId="22BDC272" w:rsidR="009A0A10" w:rsidRPr="0072045E" w:rsidRDefault="006D55CF" w:rsidP="003D1DD8">
            <w:pPr>
              <w:pStyle w:val="Bulletleft1"/>
              <w:numPr>
                <w:ilvl w:val="0"/>
                <w:numId w:val="0"/>
              </w:numPr>
              <w:spacing w:line="276" w:lineRule="auto"/>
              <w:rPr>
                <w:rFonts w:cs="Arial"/>
              </w:rPr>
            </w:pPr>
            <w:bookmarkStart w:id="41" w:name="_Hlk58244263"/>
            <w:r w:rsidRPr="0072045E">
              <w:rPr>
                <w:rFonts w:cs="Arial"/>
              </w:rPr>
              <w:t xml:space="preserve">People </w:t>
            </w:r>
            <w:r w:rsidR="009030A8">
              <w:rPr>
                <w:rFonts w:cs="Arial"/>
              </w:rPr>
              <w:t xml:space="preserve">who </w:t>
            </w:r>
            <w:r w:rsidR="00B912B3">
              <w:rPr>
                <w:rFonts w:cs="Arial"/>
              </w:rPr>
              <w:t xml:space="preserve">do not </w:t>
            </w:r>
            <w:r w:rsidR="009030A8">
              <w:rPr>
                <w:rFonts w:cs="Arial"/>
              </w:rPr>
              <w:t xml:space="preserve">have </w:t>
            </w:r>
            <w:r w:rsidR="00B912B3">
              <w:rPr>
                <w:rFonts w:cs="Arial"/>
              </w:rPr>
              <w:t xml:space="preserve">a </w:t>
            </w:r>
            <w:r w:rsidR="009030A8">
              <w:rPr>
                <w:rFonts w:cs="Arial"/>
              </w:rPr>
              <w:t xml:space="preserve">previous </w:t>
            </w:r>
            <w:r w:rsidR="00B912B3">
              <w:rPr>
                <w:rFonts w:cs="Arial"/>
              </w:rPr>
              <w:t xml:space="preserve">history of </w:t>
            </w:r>
            <w:r w:rsidR="009030A8">
              <w:rPr>
                <w:rFonts w:cs="Arial"/>
              </w:rPr>
              <w:t>cancer</w:t>
            </w:r>
            <w:bookmarkEnd w:id="41"/>
            <w:r w:rsidR="00B912B3" w:rsidRPr="0072045E">
              <w:rPr>
                <w:rFonts w:cs="Arial"/>
              </w:rPr>
              <w:t xml:space="preserve"> </w:t>
            </w:r>
            <w:r w:rsidR="00B912B3">
              <w:rPr>
                <w:rFonts w:cs="Arial"/>
              </w:rPr>
              <w:t xml:space="preserve">and have </w:t>
            </w:r>
            <w:r w:rsidR="00B912B3" w:rsidRPr="0072045E">
              <w:rPr>
                <w:rFonts w:cs="Arial"/>
              </w:rPr>
              <w:t>pulmonary nodules</w:t>
            </w:r>
            <w:r w:rsidR="00D96970" w:rsidRPr="0072045E">
              <w:rPr>
                <w:rFonts w:cs="Arial"/>
              </w:rPr>
              <w:t>:</w:t>
            </w:r>
          </w:p>
          <w:p w14:paraId="28BE7E8D" w14:textId="73A14B63" w:rsidR="00D96970" w:rsidRPr="0072045E" w:rsidRDefault="00762866" w:rsidP="00D96970">
            <w:pPr>
              <w:pStyle w:val="Bulletleft1"/>
              <w:numPr>
                <w:ilvl w:val="0"/>
                <w:numId w:val="32"/>
              </w:numPr>
              <w:spacing w:line="276" w:lineRule="auto"/>
              <w:rPr>
                <w:rFonts w:cs="Arial"/>
              </w:rPr>
            </w:pPr>
            <w:r w:rsidRPr="0072045E">
              <w:rPr>
                <w:rFonts w:cs="Arial"/>
              </w:rPr>
              <w:t>5</w:t>
            </w:r>
            <w:r w:rsidR="00B912B3">
              <w:rPr>
                <w:rFonts w:cs="Arial"/>
              </w:rPr>
              <w:t xml:space="preserve"> </w:t>
            </w:r>
            <w:r w:rsidR="009030A8">
              <w:rPr>
                <w:rFonts w:cs="Arial"/>
              </w:rPr>
              <w:t xml:space="preserve">- </w:t>
            </w:r>
            <w:r w:rsidR="00FA5F23" w:rsidRPr="00384306">
              <w:rPr>
                <w:rFonts w:cs="Arial"/>
              </w:rPr>
              <w:t>8mm diameter</w:t>
            </w:r>
            <w:r w:rsidR="00FA5F23" w:rsidRPr="0072045E">
              <w:rPr>
                <w:rFonts w:cs="Arial"/>
              </w:rPr>
              <w:t xml:space="preserve"> </w:t>
            </w:r>
            <w:r w:rsidR="00B05532" w:rsidRPr="0072045E">
              <w:rPr>
                <w:rFonts w:cs="Arial"/>
              </w:rPr>
              <w:t>or 80</w:t>
            </w:r>
            <w:r w:rsidR="00B912B3">
              <w:rPr>
                <w:rFonts w:cs="Arial"/>
              </w:rPr>
              <w:t xml:space="preserve"> </w:t>
            </w:r>
            <w:r w:rsidR="009030A8">
              <w:rPr>
                <w:rFonts w:cs="Arial"/>
              </w:rPr>
              <w:t xml:space="preserve">- </w:t>
            </w:r>
            <w:r w:rsidR="00D96970" w:rsidRPr="00384306">
              <w:rPr>
                <w:rFonts w:cs="Arial"/>
              </w:rPr>
              <w:t>300mm</w:t>
            </w:r>
            <w:r w:rsidR="00D96970" w:rsidRPr="00282429">
              <w:rPr>
                <w:rFonts w:cs="Arial"/>
                <w:vertAlign w:val="superscript"/>
              </w:rPr>
              <w:t xml:space="preserve">3 </w:t>
            </w:r>
            <w:r w:rsidR="00D96970" w:rsidRPr="00282429">
              <w:rPr>
                <w:rFonts w:cs="Arial"/>
              </w:rPr>
              <w:t>volume</w:t>
            </w:r>
          </w:p>
          <w:p w14:paraId="504B0E71" w14:textId="1538D206" w:rsidR="00D265E0" w:rsidRPr="0072045E" w:rsidRDefault="00D265E0" w:rsidP="00D96970">
            <w:pPr>
              <w:pStyle w:val="Bulletleft1"/>
              <w:numPr>
                <w:ilvl w:val="0"/>
                <w:numId w:val="32"/>
              </w:numPr>
              <w:spacing w:line="276" w:lineRule="auto"/>
              <w:rPr>
                <w:rFonts w:cs="Arial"/>
              </w:rPr>
            </w:pPr>
            <w:r w:rsidRPr="0072045E">
              <w:rPr>
                <w:rFonts w:cs="Arial"/>
              </w:rPr>
              <w:t>&gt;8mm</w:t>
            </w:r>
            <w:r w:rsidR="00B4521B" w:rsidRPr="0072045E">
              <w:rPr>
                <w:rFonts w:cs="Arial"/>
              </w:rPr>
              <w:t xml:space="preserve"> diameter</w:t>
            </w:r>
            <w:r w:rsidR="00BE5C59" w:rsidRPr="0072045E">
              <w:rPr>
                <w:rFonts w:cs="Arial"/>
              </w:rPr>
              <w:t xml:space="preserve"> or </w:t>
            </w:r>
            <w:r w:rsidR="009030A8">
              <w:rPr>
                <w:rFonts w:cs="Arial"/>
              </w:rPr>
              <w:t>&gt;</w:t>
            </w:r>
            <w:r w:rsidR="00BE5C59" w:rsidRPr="0072045E">
              <w:rPr>
                <w:rFonts w:cs="Arial"/>
              </w:rPr>
              <w:t>300mm</w:t>
            </w:r>
            <w:r w:rsidR="00BE5C59" w:rsidRPr="0072045E">
              <w:rPr>
                <w:rFonts w:cs="Arial"/>
                <w:vertAlign w:val="superscript"/>
              </w:rPr>
              <w:t>3</w:t>
            </w:r>
            <w:r w:rsidR="00BE5C59" w:rsidRPr="0072045E">
              <w:rPr>
                <w:rFonts w:cs="Arial"/>
              </w:rPr>
              <w:t xml:space="preserve"> volume plus:</w:t>
            </w:r>
          </w:p>
          <w:p w14:paraId="4AFB3B97" w14:textId="36B48317" w:rsidR="00D96970" w:rsidRDefault="00D96970" w:rsidP="008F69AD">
            <w:pPr>
              <w:pStyle w:val="Bulletleft1"/>
              <w:numPr>
                <w:ilvl w:val="1"/>
                <w:numId w:val="40"/>
              </w:numPr>
              <w:spacing w:line="276" w:lineRule="auto"/>
              <w:rPr>
                <w:rFonts w:cs="Arial"/>
              </w:rPr>
            </w:pPr>
            <w:r w:rsidRPr="0072045E">
              <w:rPr>
                <w:rFonts w:cs="Arial"/>
              </w:rPr>
              <w:t>&lt;10% risk of malignancy using the Brock model</w:t>
            </w:r>
            <w:r w:rsidR="00BE5C59" w:rsidRPr="0072045E">
              <w:rPr>
                <w:rFonts w:cs="Arial"/>
              </w:rPr>
              <w:t>, or</w:t>
            </w:r>
          </w:p>
          <w:p w14:paraId="4615E25F" w14:textId="64D94882" w:rsidR="00276665" w:rsidRPr="0072045E" w:rsidRDefault="00B912B3" w:rsidP="008F69AD">
            <w:pPr>
              <w:pStyle w:val="Bulletleft1"/>
              <w:numPr>
                <w:ilvl w:val="1"/>
                <w:numId w:val="40"/>
              </w:numPr>
              <w:spacing w:line="276" w:lineRule="auto"/>
              <w:rPr>
                <w:rFonts w:cs="Arial"/>
              </w:rPr>
            </w:pPr>
            <w:r>
              <w:rPr>
                <w:rFonts w:cs="Arial"/>
              </w:rPr>
              <w:t>≥</w:t>
            </w:r>
            <w:r w:rsidR="00276665" w:rsidRPr="00276665">
              <w:rPr>
                <w:rFonts w:cs="Arial"/>
              </w:rPr>
              <w:t xml:space="preserve">10 risk of malignancy using the </w:t>
            </w:r>
            <w:r w:rsidR="00276665">
              <w:rPr>
                <w:rFonts w:cs="Arial"/>
              </w:rPr>
              <w:t>Brock</w:t>
            </w:r>
            <w:r w:rsidR="00276665" w:rsidRPr="00276665">
              <w:rPr>
                <w:rFonts w:cs="Arial"/>
              </w:rPr>
              <w:t xml:space="preserve"> model</w:t>
            </w:r>
          </w:p>
          <w:p w14:paraId="03D3BDF0" w14:textId="5E94B4FF" w:rsidR="00B4521B" w:rsidRPr="0072045E" w:rsidRDefault="00B4521B" w:rsidP="008F69AD">
            <w:pPr>
              <w:pStyle w:val="Bulletleft1"/>
              <w:numPr>
                <w:ilvl w:val="1"/>
                <w:numId w:val="40"/>
              </w:numPr>
              <w:spacing w:line="276" w:lineRule="auto"/>
              <w:rPr>
                <w:rFonts w:cs="Arial"/>
              </w:rPr>
            </w:pPr>
            <w:r w:rsidRPr="0072045E">
              <w:rPr>
                <w:rFonts w:cs="Arial"/>
              </w:rPr>
              <w:t>&lt;10% risk of malignancy using the Herder model</w:t>
            </w:r>
            <w:r w:rsidR="00BE5C59" w:rsidRPr="0072045E">
              <w:rPr>
                <w:rFonts w:cs="Arial"/>
              </w:rPr>
              <w:t>, or</w:t>
            </w:r>
          </w:p>
          <w:p w14:paraId="694480F3" w14:textId="77777777" w:rsidR="00D96970" w:rsidRDefault="00D23E71" w:rsidP="008F69AD">
            <w:pPr>
              <w:pStyle w:val="Bulletleft1"/>
              <w:numPr>
                <w:ilvl w:val="1"/>
                <w:numId w:val="40"/>
              </w:numPr>
              <w:spacing w:line="276" w:lineRule="auto"/>
              <w:rPr>
                <w:rFonts w:cs="Arial"/>
              </w:rPr>
            </w:pPr>
            <w:r w:rsidRPr="00384306">
              <w:rPr>
                <w:rFonts w:cs="Arial"/>
              </w:rPr>
              <w:t>1</w:t>
            </w:r>
            <w:r w:rsidR="00D96970" w:rsidRPr="00282429">
              <w:rPr>
                <w:rFonts w:cs="Arial"/>
              </w:rPr>
              <w:t>0-70% risk of malignancy using the Herder model</w:t>
            </w:r>
          </w:p>
          <w:p w14:paraId="1FAAC4F3" w14:textId="77777777" w:rsidR="00B912B3" w:rsidRDefault="00B912B3" w:rsidP="00B912B3">
            <w:pPr>
              <w:pStyle w:val="Bulletleft1"/>
              <w:numPr>
                <w:ilvl w:val="0"/>
                <w:numId w:val="0"/>
              </w:numPr>
              <w:spacing w:line="276" w:lineRule="auto"/>
              <w:rPr>
                <w:rFonts w:cs="Arial"/>
              </w:rPr>
            </w:pPr>
          </w:p>
          <w:p w14:paraId="2E2726BF" w14:textId="46510FF6" w:rsidR="00B912B3" w:rsidRDefault="00B912B3" w:rsidP="00B912B3">
            <w:pPr>
              <w:pStyle w:val="Bulletleft1"/>
              <w:numPr>
                <w:ilvl w:val="0"/>
                <w:numId w:val="0"/>
              </w:numPr>
              <w:spacing w:line="276" w:lineRule="auto"/>
              <w:rPr>
                <w:rFonts w:cs="Arial"/>
              </w:rPr>
            </w:pPr>
            <w:r>
              <w:rPr>
                <w:rFonts w:cs="Arial"/>
              </w:rPr>
              <w:t xml:space="preserve">If data are available, the following subgroups will be </w:t>
            </w:r>
            <w:proofErr w:type="spellStart"/>
            <w:r>
              <w:rPr>
                <w:rFonts w:cs="Arial"/>
              </w:rPr>
              <w:t>analysed</w:t>
            </w:r>
            <w:proofErr w:type="spellEnd"/>
            <w:r>
              <w:rPr>
                <w:rFonts w:cs="Arial"/>
              </w:rPr>
              <w:t>:</w:t>
            </w:r>
          </w:p>
          <w:p w14:paraId="42160024" w14:textId="526F8FEC" w:rsidR="00B912B3" w:rsidRDefault="00B912B3" w:rsidP="00B912B3">
            <w:pPr>
              <w:pStyle w:val="Bulletleft1"/>
              <w:numPr>
                <w:ilvl w:val="0"/>
                <w:numId w:val="55"/>
              </w:numPr>
              <w:spacing w:line="276" w:lineRule="auto"/>
              <w:rPr>
                <w:rFonts w:cs="Arial"/>
              </w:rPr>
            </w:pPr>
            <w:r>
              <w:rPr>
                <w:rFonts w:cs="Arial"/>
              </w:rPr>
              <w:t>Incidentally detected pulmonary nodules</w:t>
            </w:r>
          </w:p>
          <w:p w14:paraId="1CF12A80" w14:textId="33995356" w:rsidR="00B912B3" w:rsidRDefault="00B912B3" w:rsidP="00B912B3">
            <w:pPr>
              <w:pStyle w:val="Bulletleft1"/>
              <w:numPr>
                <w:ilvl w:val="0"/>
                <w:numId w:val="55"/>
              </w:numPr>
              <w:spacing w:line="276" w:lineRule="auto"/>
              <w:rPr>
                <w:rFonts w:cs="Arial"/>
              </w:rPr>
            </w:pPr>
            <w:r>
              <w:rPr>
                <w:rFonts w:cs="Arial"/>
              </w:rPr>
              <w:t>Pulmonary nodules identified through screening</w:t>
            </w:r>
          </w:p>
          <w:p w14:paraId="1C1EC6F0" w14:textId="17274AC4" w:rsidR="00B912B3" w:rsidRDefault="00B912B3" w:rsidP="003D1DD8">
            <w:pPr>
              <w:pStyle w:val="Bulletleft1"/>
              <w:numPr>
                <w:ilvl w:val="0"/>
                <w:numId w:val="55"/>
              </w:numPr>
              <w:spacing w:line="276" w:lineRule="auto"/>
              <w:rPr>
                <w:rFonts w:cs="Arial"/>
              </w:rPr>
            </w:pPr>
            <w:r>
              <w:rPr>
                <w:rFonts w:cs="Arial"/>
              </w:rPr>
              <w:lastRenderedPageBreak/>
              <w:t>Pulmonary nodules in people who have symptoms of lung cancer</w:t>
            </w:r>
          </w:p>
          <w:p w14:paraId="4222C521" w14:textId="1C777744" w:rsidR="00B912B3" w:rsidRPr="0072045E" w:rsidRDefault="00B912B3" w:rsidP="003D1DD8">
            <w:pPr>
              <w:pStyle w:val="Bulletleft1"/>
              <w:numPr>
                <w:ilvl w:val="0"/>
                <w:numId w:val="0"/>
              </w:numPr>
              <w:spacing w:line="276" w:lineRule="auto"/>
              <w:rPr>
                <w:rFonts w:cs="Arial"/>
              </w:rPr>
            </w:pPr>
          </w:p>
        </w:tc>
      </w:tr>
      <w:tr w:rsidR="009A0A10" w:rsidRPr="0072045E" w14:paraId="2D49E1FE" w14:textId="77777777" w:rsidTr="009A0A10">
        <w:tc>
          <w:tcPr>
            <w:tcW w:w="2127" w:type="dxa"/>
          </w:tcPr>
          <w:p w14:paraId="2715F31D" w14:textId="77777777" w:rsidR="009A0A10" w:rsidRPr="0072045E" w:rsidRDefault="009A0A10" w:rsidP="007A149F">
            <w:pPr>
              <w:pStyle w:val="StyleTabletextBold"/>
              <w:jc w:val="both"/>
              <w:rPr>
                <w:rFonts w:cs="Arial"/>
                <w:sz w:val="24"/>
                <w:szCs w:val="24"/>
              </w:rPr>
            </w:pPr>
            <w:r w:rsidRPr="0072045E">
              <w:rPr>
                <w:rFonts w:cs="Arial"/>
                <w:sz w:val="24"/>
                <w:szCs w:val="24"/>
              </w:rPr>
              <w:lastRenderedPageBreak/>
              <w:t>Intervention</w:t>
            </w:r>
          </w:p>
        </w:tc>
        <w:tc>
          <w:tcPr>
            <w:tcW w:w="6287" w:type="dxa"/>
          </w:tcPr>
          <w:p w14:paraId="101C6B37" w14:textId="63D6A1F5" w:rsidR="009A0A10" w:rsidRPr="0072045E" w:rsidRDefault="009A0A10" w:rsidP="007A149F">
            <w:pPr>
              <w:pStyle w:val="Tabletext"/>
              <w:jc w:val="both"/>
              <w:rPr>
                <w:rFonts w:cs="Arial"/>
                <w:sz w:val="24"/>
                <w:szCs w:val="24"/>
              </w:rPr>
            </w:pPr>
            <w:proofErr w:type="spellStart"/>
            <w:r w:rsidRPr="0072045E">
              <w:rPr>
                <w:rFonts w:cs="Arial"/>
                <w:sz w:val="24"/>
                <w:szCs w:val="24"/>
              </w:rPr>
              <w:t>EarlyCDT</w:t>
            </w:r>
            <w:proofErr w:type="spellEnd"/>
            <w:r w:rsidR="006D55CF" w:rsidRPr="0072045E">
              <w:rPr>
                <w:rFonts w:cs="Arial"/>
                <w:sz w:val="24"/>
                <w:szCs w:val="24"/>
              </w:rPr>
              <w:t xml:space="preserve"> </w:t>
            </w:r>
            <w:r w:rsidRPr="0072045E">
              <w:rPr>
                <w:rFonts w:cs="Arial"/>
                <w:sz w:val="24"/>
                <w:szCs w:val="24"/>
              </w:rPr>
              <w:t>Lung test</w:t>
            </w:r>
          </w:p>
        </w:tc>
      </w:tr>
      <w:tr w:rsidR="005A6C14" w:rsidRPr="0072045E" w14:paraId="20F5DD05" w14:textId="77777777" w:rsidTr="0050479F">
        <w:trPr>
          <w:trHeight w:val="724"/>
        </w:trPr>
        <w:tc>
          <w:tcPr>
            <w:tcW w:w="2127" w:type="dxa"/>
          </w:tcPr>
          <w:p w14:paraId="1C9B6D91" w14:textId="7F5BFA22" w:rsidR="005A6C14" w:rsidRPr="0072045E" w:rsidDel="0029034D" w:rsidRDefault="005A6C14" w:rsidP="007A149F">
            <w:pPr>
              <w:pStyle w:val="StyleTabletextBold"/>
              <w:jc w:val="both"/>
              <w:rPr>
                <w:rFonts w:cs="Arial"/>
                <w:sz w:val="24"/>
                <w:szCs w:val="24"/>
              </w:rPr>
            </w:pPr>
            <w:r w:rsidRPr="0072045E">
              <w:rPr>
                <w:rFonts w:cs="Arial"/>
                <w:sz w:val="24"/>
                <w:szCs w:val="24"/>
              </w:rPr>
              <w:t>Comparators</w:t>
            </w:r>
          </w:p>
        </w:tc>
        <w:tc>
          <w:tcPr>
            <w:tcW w:w="6287" w:type="dxa"/>
          </w:tcPr>
          <w:p w14:paraId="6029ADA1" w14:textId="53F52943" w:rsidR="00D265E0" w:rsidRPr="0072045E" w:rsidRDefault="00D265E0" w:rsidP="00D265E0">
            <w:pPr>
              <w:pStyle w:val="Tabletext"/>
              <w:rPr>
                <w:rFonts w:cs="Arial"/>
                <w:bCs/>
                <w:sz w:val="24"/>
                <w:szCs w:val="24"/>
              </w:rPr>
            </w:pPr>
            <w:bookmarkStart w:id="42" w:name="_Hlk60829845"/>
            <w:r w:rsidRPr="0072045E">
              <w:rPr>
                <w:rFonts w:cs="Arial"/>
                <w:bCs/>
                <w:sz w:val="24"/>
                <w:szCs w:val="24"/>
              </w:rPr>
              <w:t xml:space="preserve">Current clinical practice in the NHS </w:t>
            </w:r>
            <w:r w:rsidR="00BE5C59" w:rsidRPr="0072045E">
              <w:rPr>
                <w:rFonts w:cs="Arial"/>
                <w:bCs/>
                <w:sz w:val="24"/>
                <w:szCs w:val="24"/>
              </w:rPr>
              <w:t xml:space="preserve">to assess risk of malignancy </w:t>
            </w:r>
            <w:r w:rsidRPr="0072045E">
              <w:rPr>
                <w:rFonts w:cs="Arial"/>
                <w:bCs/>
                <w:sz w:val="24"/>
                <w:szCs w:val="24"/>
              </w:rPr>
              <w:t xml:space="preserve">without use of </w:t>
            </w:r>
            <w:proofErr w:type="spellStart"/>
            <w:r w:rsidRPr="0072045E">
              <w:rPr>
                <w:rFonts w:cs="Arial"/>
                <w:bCs/>
                <w:sz w:val="24"/>
                <w:szCs w:val="24"/>
              </w:rPr>
              <w:t>EarlyCDT</w:t>
            </w:r>
            <w:proofErr w:type="spellEnd"/>
            <w:r w:rsidRPr="0072045E">
              <w:rPr>
                <w:rFonts w:cs="Arial"/>
                <w:bCs/>
                <w:sz w:val="24"/>
                <w:szCs w:val="24"/>
              </w:rPr>
              <w:t xml:space="preserve"> Lung</w:t>
            </w:r>
            <w:r w:rsidR="00793C4E" w:rsidRPr="0072045E">
              <w:rPr>
                <w:rFonts w:cs="Arial"/>
                <w:bCs/>
                <w:sz w:val="24"/>
                <w:szCs w:val="24"/>
              </w:rPr>
              <w:t>:</w:t>
            </w:r>
          </w:p>
          <w:p w14:paraId="5FD56B6C" w14:textId="77777777" w:rsidR="009E4A8F" w:rsidRPr="0072045E" w:rsidRDefault="009E4A8F" w:rsidP="009E4A8F">
            <w:pPr>
              <w:pStyle w:val="Tabletext"/>
              <w:numPr>
                <w:ilvl w:val="0"/>
                <w:numId w:val="37"/>
              </w:numPr>
              <w:rPr>
                <w:rFonts w:cs="Arial"/>
                <w:bCs/>
                <w:sz w:val="24"/>
                <w:szCs w:val="24"/>
              </w:rPr>
            </w:pPr>
            <w:r w:rsidRPr="0072045E">
              <w:rPr>
                <w:rFonts w:cs="Arial"/>
                <w:bCs/>
                <w:sz w:val="24"/>
                <w:szCs w:val="24"/>
              </w:rPr>
              <w:t>Brock model</w:t>
            </w:r>
          </w:p>
          <w:bookmarkEnd w:id="42"/>
          <w:p w14:paraId="1D4FFEFC" w14:textId="3F6895DD" w:rsidR="005A6C14" w:rsidRPr="00197DBA" w:rsidRDefault="009E4A8F">
            <w:pPr>
              <w:pStyle w:val="Tabletext"/>
              <w:numPr>
                <w:ilvl w:val="0"/>
                <w:numId w:val="37"/>
              </w:numPr>
              <w:rPr>
                <w:rFonts w:cs="Arial"/>
                <w:bCs/>
                <w:sz w:val="24"/>
                <w:szCs w:val="24"/>
              </w:rPr>
            </w:pPr>
            <w:r w:rsidRPr="0072045E">
              <w:rPr>
                <w:rFonts w:cs="Arial"/>
                <w:bCs/>
                <w:sz w:val="24"/>
                <w:szCs w:val="24"/>
              </w:rPr>
              <w:t>Herder model</w:t>
            </w:r>
            <w:r w:rsidR="00BE5C59" w:rsidRPr="0072045E">
              <w:rPr>
                <w:rFonts w:cs="Arial"/>
                <w:bCs/>
                <w:sz w:val="24"/>
                <w:szCs w:val="24"/>
              </w:rPr>
              <w:t xml:space="preserve"> </w:t>
            </w:r>
          </w:p>
        </w:tc>
      </w:tr>
      <w:tr w:rsidR="009A0A10" w:rsidRPr="0072045E" w14:paraId="0AE2634D" w14:textId="77777777" w:rsidTr="009A0A10">
        <w:tc>
          <w:tcPr>
            <w:tcW w:w="2127" w:type="dxa"/>
          </w:tcPr>
          <w:p w14:paraId="132CC9A2" w14:textId="77777777" w:rsidR="009A0A10" w:rsidRPr="0072045E" w:rsidRDefault="009A0A10" w:rsidP="007A149F">
            <w:pPr>
              <w:pStyle w:val="StyleTabletextBold"/>
              <w:jc w:val="both"/>
              <w:rPr>
                <w:rFonts w:cs="Arial"/>
                <w:sz w:val="24"/>
                <w:szCs w:val="24"/>
              </w:rPr>
            </w:pPr>
            <w:r w:rsidRPr="0072045E">
              <w:rPr>
                <w:rFonts w:cs="Arial"/>
                <w:sz w:val="24"/>
                <w:szCs w:val="24"/>
              </w:rPr>
              <w:t>Healthcare setting</w:t>
            </w:r>
          </w:p>
        </w:tc>
        <w:tc>
          <w:tcPr>
            <w:tcW w:w="6287" w:type="dxa"/>
          </w:tcPr>
          <w:p w14:paraId="384003E6" w14:textId="3F4ABA41" w:rsidR="009A0A10" w:rsidRPr="0072045E" w:rsidRDefault="009A0A10" w:rsidP="007A149F">
            <w:pPr>
              <w:pStyle w:val="Tabletext"/>
              <w:rPr>
                <w:rFonts w:cs="Arial"/>
                <w:sz w:val="24"/>
                <w:szCs w:val="24"/>
              </w:rPr>
            </w:pPr>
            <w:r w:rsidRPr="0072045E">
              <w:rPr>
                <w:rFonts w:cs="Arial"/>
                <w:sz w:val="24"/>
                <w:szCs w:val="24"/>
              </w:rPr>
              <w:t xml:space="preserve">Secondary </w:t>
            </w:r>
            <w:r w:rsidR="002621D2" w:rsidRPr="0072045E">
              <w:rPr>
                <w:rFonts w:cs="Arial"/>
                <w:sz w:val="24"/>
                <w:szCs w:val="24"/>
              </w:rPr>
              <w:t>c</w:t>
            </w:r>
            <w:r w:rsidRPr="0072045E">
              <w:rPr>
                <w:rFonts w:cs="Arial"/>
                <w:sz w:val="24"/>
                <w:szCs w:val="24"/>
              </w:rPr>
              <w:t xml:space="preserve">are </w:t>
            </w:r>
          </w:p>
        </w:tc>
      </w:tr>
      <w:tr w:rsidR="009A0A10" w:rsidRPr="0072045E" w14:paraId="0F92F711" w14:textId="77777777" w:rsidTr="009A0A10">
        <w:trPr>
          <w:trHeight w:val="70"/>
        </w:trPr>
        <w:tc>
          <w:tcPr>
            <w:tcW w:w="2127" w:type="dxa"/>
            <w:vMerge w:val="restart"/>
          </w:tcPr>
          <w:p w14:paraId="2A084529" w14:textId="77777777" w:rsidR="009A0A10" w:rsidRPr="0072045E" w:rsidRDefault="009A0A10" w:rsidP="007A149F">
            <w:pPr>
              <w:pStyle w:val="StyleTabletextBold"/>
              <w:jc w:val="both"/>
              <w:rPr>
                <w:rFonts w:cs="Arial"/>
                <w:sz w:val="24"/>
                <w:szCs w:val="24"/>
              </w:rPr>
            </w:pPr>
            <w:r w:rsidRPr="0072045E">
              <w:rPr>
                <w:rFonts w:cs="Arial"/>
                <w:sz w:val="24"/>
                <w:szCs w:val="24"/>
              </w:rPr>
              <w:t>Outcomes</w:t>
            </w:r>
          </w:p>
        </w:tc>
        <w:tc>
          <w:tcPr>
            <w:tcW w:w="6287" w:type="dxa"/>
          </w:tcPr>
          <w:p w14:paraId="1A51F49D" w14:textId="7610DC8F" w:rsidR="009A0A10" w:rsidRPr="0072045E" w:rsidRDefault="009A0A10" w:rsidP="007A149F">
            <w:pPr>
              <w:pStyle w:val="Tabletext"/>
              <w:rPr>
                <w:rFonts w:cs="Arial"/>
                <w:sz w:val="24"/>
                <w:szCs w:val="24"/>
              </w:rPr>
            </w:pPr>
            <w:r w:rsidRPr="0072045E">
              <w:rPr>
                <w:rFonts w:cs="Arial"/>
                <w:sz w:val="24"/>
                <w:szCs w:val="24"/>
              </w:rPr>
              <w:t>Intermediate measures for consideration may include:</w:t>
            </w:r>
          </w:p>
          <w:p w14:paraId="69BAEA31" w14:textId="13EFEA9C" w:rsidR="007134AD" w:rsidRPr="0072045E" w:rsidRDefault="0095773C" w:rsidP="007A149F">
            <w:pPr>
              <w:pStyle w:val="Tabletext"/>
              <w:numPr>
                <w:ilvl w:val="0"/>
                <w:numId w:val="5"/>
              </w:numPr>
              <w:jc w:val="both"/>
              <w:rPr>
                <w:rFonts w:cs="Arial"/>
                <w:sz w:val="24"/>
                <w:szCs w:val="24"/>
              </w:rPr>
            </w:pPr>
            <w:r w:rsidRPr="0072045E">
              <w:rPr>
                <w:rFonts w:cs="Arial"/>
                <w:sz w:val="24"/>
                <w:szCs w:val="24"/>
              </w:rPr>
              <w:t xml:space="preserve">Test </w:t>
            </w:r>
            <w:r w:rsidR="009A0A10" w:rsidRPr="0072045E">
              <w:rPr>
                <w:rFonts w:cs="Arial"/>
                <w:sz w:val="24"/>
                <w:szCs w:val="24"/>
              </w:rPr>
              <w:t>accuracy</w:t>
            </w:r>
          </w:p>
          <w:p w14:paraId="3851D51A" w14:textId="63F283E6" w:rsidR="009A0A10" w:rsidRPr="0072045E" w:rsidRDefault="009A0A10" w:rsidP="007A149F">
            <w:pPr>
              <w:pStyle w:val="Tabletext"/>
              <w:numPr>
                <w:ilvl w:val="0"/>
                <w:numId w:val="5"/>
              </w:numPr>
              <w:jc w:val="both"/>
              <w:rPr>
                <w:rFonts w:cs="Arial"/>
                <w:sz w:val="24"/>
                <w:szCs w:val="24"/>
              </w:rPr>
            </w:pPr>
            <w:r w:rsidRPr="0072045E">
              <w:rPr>
                <w:rFonts w:cs="Arial"/>
                <w:sz w:val="24"/>
                <w:szCs w:val="24"/>
              </w:rPr>
              <w:t>Time to test result</w:t>
            </w:r>
          </w:p>
          <w:p w14:paraId="36690D1B" w14:textId="2CC0F53B" w:rsidR="009A0A10" w:rsidRPr="0072045E" w:rsidRDefault="009A0A10" w:rsidP="007A149F">
            <w:pPr>
              <w:pStyle w:val="Tabletext"/>
              <w:numPr>
                <w:ilvl w:val="0"/>
                <w:numId w:val="5"/>
              </w:numPr>
              <w:jc w:val="both"/>
              <w:rPr>
                <w:rFonts w:cs="Arial"/>
                <w:sz w:val="24"/>
                <w:szCs w:val="24"/>
              </w:rPr>
            </w:pPr>
            <w:r w:rsidRPr="0072045E">
              <w:rPr>
                <w:rFonts w:cs="Arial"/>
                <w:sz w:val="24"/>
                <w:szCs w:val="24"/>
              </w:rPr>
              <w:t>Impact of test result on clinical decision-making</w:t>
            </w:r>
          </w:p>
          <w:p w14:paraId="018CA278" w14:textId="2BE30643" w:rsidR="006479BC" w:rsidRPr="0072045E" w:rsidRDefault="006479BC" w:rsidP="007A149F">
            <w:pPr>
              <w:pStyle w:val="Tabletext"/>
              <w:numPr>
                <w:ilvl w:val="0"/>
                <w:numId w:val="5"/>
              </w:numPr>
              <w:jc w:val="both"/>
              <w:rPr>
                <w:rFonts w:cs="Arial"/>
                <w:sz w:val="24"/>
                <w:szCs w:val="24"/>
              </w:rPr>
            </w:pPr>
            <w:r w:rsidRPr="0072045E">
              <w:rPr>
                <w:rFonts w:cs="Arial"/>
                <w:sz w:val="24"/>
                <w:szCs w:val="24"/>
              </w:rPr>
              <w:t>Number of cancers detected and stage</w:t>
            </w:r>
          </w:p>
          <w:p w14:paraId="5521DFC9" w14:textId="70320F71" w:rsidR="009A0A10" w:rsidRPr="0072045E" w:rsidRDefault="009A0A10" w:rsidP="007A149F">
            <w:pPr>
              <w:pStyle w:val="Tabletext"/>
              <w:numPr>
                <w:ilvl w:val="0"/>
                <w:numId w:val="5"/>
              </w:numPr>
              <w:jc w:val="both"/>
              <w:rPr>
                <w:rFonts w:cs="Arial"/>
                <w:sz w:val="24"/>
                <w:szCs w:val="24"/>
              </w:rPr>
            </w:pPr>
            <w:r w:rsidRPr="0072045E">
              <w:rPr>
                <w:rFonts w:cs="Arial"/>
                <w:sz w:val="24"/>
                <w:szCs w:val="24"/>
              </w:rPr>
              <w:t>Use of further test</w:t>
            </w:r>
            <w:r w:rsidR="00DA01FF" w:rsidRPr="0072045E">
              <w:rPr>
                <w:rFonts w:cs="Arial"/>
                <w:sz w:val="24"/>
                <w:szCs w:val="24"/>
              </w:rPr>
              <w:t>s</w:t>
            </w:r>
          </w:p>
        </w:tc>
      </w:tr>
      <w:tr w:rsidR="009A0A10" w:rsidRPr="0072045E" w14:paraId="5BF399B1" w14:textId="77777777" w:rsidTr="009A0A10">
        <w:trPr>
          <w:trHeight w:val="317"/>
        </w:trPr>
        <w:tc>
          <w:tcPr>
            <w:tcW w:w="2127" w:type="dxa"/>
            <w:vMerge/>
          </w:tcPr>
          <w:p w14:paraId="141D00E0" w14:textId="77777777" w:rsidR="009A0A10" w:rsidRPr="0072045E" w:rsidRDefault="009A0A10" w:rsidP="007A149F">
            <w:pPr>
              <w:pStyle w:val="StyleTabletextBold"/>
              <w:jc w:val="both"/>
              <w:rPr>
                <w:rFonts w:cs="Arial"/>
                <w:sz w:val="24"/>
                <w:szCs w:val="24"/>
              </w:rPr>
            </w:pPr>
          </w:p>
        </w:tc>
        <w:tc>
          <w:tcPr>
            <w:tcW w:w="6287" w:type="dxa"/>
          </w:tcPr>
          <w:p w14:paraId="37B73F9B" w14:textId="77777777" w:rsidR="009A0A10" w:rsidRPr="0072045E" w:rsidRDefault="009A0A10" w:rsidP="007A149F">
            <w:pPr>
              <w:pStyle w:val="Tabletext"/>
              <w:jc w:val="both"/>
              <w:rPr>
                <w:rFonts w:cs="Arial"/>
                <w:sz w:val="24"/>
                <w:szCs w:val="24"/>
              </w:rPr>
            </w:pPr>
            <w:r w:rsidRPr="0072045E">
              <w:rPr>
                <w:rFonts w:cs="Arial"/>
                <w:sz w:val="24"/>
                <w:szCs w:val="24"/>
              </w:rPr>
              <w:t>Clinical outcomes for consideration may include:</w:t>
            </w:r>
          </w:p>
          <w:p w14:paraId="4F300A19" w14:textId="77777777" w:rsidR="009A0A10" w:rsidRPr="0072045E" w:rsidRDefault="009A0A10" w:rsidP="007A149F">
            <w:pPr>
              <w:pStyle w:val="Tabletext"/>
              <w:numPr>
                <w:ilvl w:val="0"/>
                <w:numId w:val="5"/>
              </w:numPr>
              <w:jc w:val="both"/>
              <w:rPr>
                <w:rFonts w:cs="Arial"/>
                <w:sz w:val="24"/>
                <w:szCs w:val="24"/>
              </w:rPr>
            </w:pPr>
            <w:r w:rsidRPr="0072045E">
              <w:rPr>
                <w:rFonts w:cs="Arial"/>
                <w:sz w:val="24"/>
                <w:szCs w:val="24"/>
              </w:rPr>
              <w:t>Mortality</w:t>
            </w:r>
          </w:p>
          <w:p w14:paraId="4B8CE68E" w14:textId="77777777" w:rsidR="009A0A10" w:rsidRPr="0072045E" w:rsidRDefault="009A0A10" w:rsidP="007A149F">
            <w:pPr>
              <w:pStyle w:val="Tabletext"/>
              <w:numPr>
                <w:ilvl w:val="0"/>
                <w:numId w:val="5"/>
              </w:numPr>
              <w:jc w:val="both"/>
              <w:rPr>
                <w:rFonts w:cs="Arial"/>
                <w:sz w:val="24"/>
                <w:szCs w:val="24"/>
              </w:rPr>
            </w:pPr>
            <w:r w:rsidRPr="0072045E">
              <w:rPr>
                <w:rFonts w:cs="Arial"/>
                <w:sz w:val="24"/>
                <w:szCs w:val="24"/>
              </w:rPr>
              <w:t>Morbidity</w:t>
            </w:r>
          </w:p>
          <w:p w14:paraId="2B11AC07" w14:textId="77777777" w:rsidR="00E813ED" w:rsidRPr="0072045E" w:rsidRDefault="00E813ED" w:rsidP="007A149F">
            <w:pPr>
              <w:pStyle w:val="Tabletext"/>
              <w:numPr>
                <w:ilvl w:val="0"/>
                <w:numId w:val="5"/>
              </w:numPr>
              <w:jc w:val="both"/>
              <w:rPr>
                <w:rFonts w:cs="Arial"/>
                <w:sz w:val="24"/>
                <w:szCs w:val="24"/>
              </w:rPr>
            </w:pPr>
            <w:r w:rsidRPr="0072045E">
              <w:rPr>
                <w:rFonts w:cs="Arial"/>
                <w:sz w:val="24"/>
                <w:szCs w:val="24"/>
              </w:rPr>
              <w:t>D</w:t>
            </w:r>
            <w:r w:rsidR="009A0A10" w:rsidRPr="0072045E">
              <w:rPr>
                <w:rFonts w:cs="Arial"/>
                <w:sz w:val="24"/>
                <w:szCs w:val="24"/>
              </w:rPr>
              <w:t xml:space="preserve">isease free survival </w:t>
            </w:r>
          </w:p>
          <w:p w14:paraId="505068BF" w14:textId="77777777" w:rsidR="009A0A10" w:rsidRPr="0072045E" w:rsidRDefault="00E813ED" w:rsidP="007A149F">
            <w:pPr>
              <w:pStyle w:val="Tabletext"/>
              <w:numPr>
                <w:ilvl w:val="0"/>
                <w:numId w:val="5"/>
              </w:numPr>
              <w:jc w:val="both"/>
              <w:rPr>
                <w:rFonts w:cs="Arial"/>
                <w:sz w:val="24"/>
                <w:szCs w:val="24"/>
              </w:rPr>
            </w:pPr>
            <w:r w:rsidRPr="0072045E">
              <w:rPr>
                <w:rFonts w:cs="Arial"/>
                <w:sz w:val="24"/>
                <w:szCs w:val="24"/>
              </w:rPr>
              <w:t>O</w:t>
            </w:r>
            <w:r w:rsidR="009A0A10" w:rsidRPr="0072045E">
              <w:rPr>
                <w:rFonts w:cs="Arial"/>
                <w:sz w:val="24"/>
                <w:szCs w:val="24"/>
              </w:rPr>
              <w:t xml:space="preserve">verall survival </w:t>
            </w:r>
          </w:p>
          <w:p w14:paraId="0C0FF9EC" w14:textId="41FE245F" w:rsidR="00DA01FF" w:rsidRPr="0072045E" w:rsidRDefault="00DA01FF" w:rsidP="007A149F">
            <w:pPr>
              <w:pStyle w:val="Tabletext"/>
              <w:numPr>
                <w:ilvl w:val="0"/>
                <w:numId w:val="5"/>
              </w:numPr>
              <w:jc w:val="both"/>
              <w:rPr>
                <w:rFonts w:cs="Arial"/>
                <w:sz w:val="24"/>
                <w:szCs w:val="24"/>
              </w:rPr>
            </w:pPr>
            <w:r w:rsidRPr="0072045E">
              <w:rPr>
                <w:rFonts w:cs="Arial"/>
                <w:sz w:val="24"/>
                <w:szCs w:val="24"/>
              </w:rPr>
              <w:t>Adverse events (during or after testing</w:t>
            </w:r>
            <w:r w:rsidR="00E37B52" w:rsidRPr="0072045E">
              <w:rPr>
                <w:rFonts w:cs="Arial"/>
                <w:sz w:val="24"/>
                <w:szCs w:val="24"/>
              </w:rPr>
              <w:t>)</w:t>
            </w:r>
          </w:p>
        </w:tc>
      </w:tr>
      <w:tr w:rsidR="009A0A10" w:rsidRPr="0072045E" w14:paraId="5A3F56B9" w14:textId="77777777" w:rsidTr="009A0A10">
        <w:trPr>
          <w:trHeight w:val="132"/>
        </w:trPr>
        <w:tc>
          <w:tcPr>
            <w:tcW w:w="2127" w:type="dxa"/>
            <w:vMerge/>
          </w:tcPr>
          <w:p w14:paraId="2B5BF5AA" w14:textId="77777777" w:rsidR="009A0A10" w:rsidRPr="0072045E" w:rsidRDefault="009A0A10" w:rsidP="007A149F">
            <w:pPr>
              <w:pStyle w:val="Paragraphnonumbers"/>
              <w:jc w:val="both"/>
              <w:rPr>
                <w:rFonts w:cs="Arial"/>
              </w:rPr>
            </w:pPr>
          </w:p>
        </w:tc>
        <w:tc>
          <w:tcPr>
            <w:tcW w:w="6287" w:type="dxa"/>
          </w:tcPr>
          <w:p w14:paraId="01EC56D9" w14:textId="77777777" w:rsidR="009A0A10" w:rsidRPr="0072045E" w:rsidRDefault="009A0A10" w:rsidP="007A149F">
            <w:pPr>
              <w:pStyle w:val="Tabletext"/>
              <w:rPr>
                <w:rFonts w:cs="Arial"/>
                <w:sz w:val="24"/>
                <w:szCs w:val="24"/>
              </w:rPr>
            </w:pPr>
            <w:r w:rsidRPr="0072045E">
              <w:rPr>
                <w:rFonts w:cs="Arial"/>
                <w:sz w:val="24"/>
                <w:szCs w:val="24"/>
              </w:rPr>
              <w:t>Patient-reported outcomes for consideration may include:</w:t>
            </w:r>
          </w:p>
          <w:p w14:paraId="03E09789" w14:textId="77777777" w:rsidR="009A0A10" w:rsidRPr="0072045E" w:rsidRDefault="009A0A10" w:rsidP="007A149F">
            <w:pPr>
              <w:pStyle w:val="Tabletext"/>
              <w:numPr>
                <w:ilvl w:val="0"/>
                <w:numId w:val="7"/>
              </w:numPr>
              <w:jc w:val="both"/>
              <w:rPr>
                <w:rFonts w:cs="Arial"/>
                <w:sz w:val="24"/>
                <w:szCs w:val="24"/>
              </w:rPr>
            </w:pPr>
            <w:r w:rsidRPr="0072045E">
              <w:rPr>
                <w:rFonts w:cs="Arial"/>
                <w:sz w:val="24"/>
                <w:szCs w:val="24"/>
              </w:rPr>
              <w:t>Health-related quality of life</w:t>
            </w:r>
          </w:p>
          <w:p w14:paraId="5A2225FB" w14:textId="77777777" w:rsidR="009A0A10" w:rsidRPr="0072045E" w:rsidRDefault="009A0A10" w:rsidP="007A149F">
            <w:pPr>
              <w:pStyle w:val="Tabletext"/>
              <w:numPr>
                <w:ilvl w:val="0"/>
                <w:numId w:val="7"/>
              </w:numPr>
              <w:rPr>
                <w:rFonts w:cs="Arial"/>
                <w:sz w:val="24"/>
                <w:szCs w:val="24"/>
              </w:rPr>
            </w:pPr>
            <w:r w:rsidRPr="0072045E">
              <w:rPr>
                <w:rFonts w:cs="Arial"/>
                <w:sz w:val="24"/>
                <w:szCs w:val="24"/>
              </w:rPr>
              <w:t>Acceptability of test (such as anxiety about the testing procedure, acceptability of time to test result)</w:t>
            </w:r>
          </w:p>
          <w:p w14:paraId="62CC7F5F" w14:textId="187E66C8" w:rsidR="009A0A10" w:rsidRPr="0072045E" w:rsidRDefault="009A0A10" w:rsidP="007A149F">
            <w:pPr>
              <w:pStyle w:val="Tabletext"/>
              <w:numPr>
                <w:ilvl w:val="0"/>
                <w:numId w:val="7"/>
              </w:numPr>
              <w:jc w:val="both"/>
              <w:rPr>
                <w:rFonts w:cs="Arial"/>
                <w:sz w:val="24"/>
                <w:szCs w:val="24"/>
              </w:rPr>
            </w:pPr>
            <w:r w:rsidRPr="0072045E">
              <w:rPr>
                <w:rFonts w:cs="Arial"/>
                <w:sz w:val="24"/>
                <w:szCs w:val="24"/>
              </w:rPr>
              <w:t>Side effects of testing</w:t>
            </w:r>
          </w:p>
        </w:tc>
      </w:tr>
      <w:tr w:rsidR="009A0A10" w:rsidRPr="0072045E" w14:paraId="21134E12" w14:textId="77777777" w:rsidTr="009A0A10">
        <w:trPr>
          <w:trHeight w:val="132"/>
        </w:trPr>
        <w:tc>
          <w:tcPr>
            <w:tcW w:w="2127" w:type="dxa"/>
            <w:vMerge/>
          </w:tcPr>
          <w:p w14:paraId="4AEEE7AD" w14:textId="77777777" w:rsidR="009A0A10" w:rsidRPr="0072045E" w:rsidRDefault="009A0A10" w:rsidP="007A149F">
            <w:pPr>
              <w:pStyle w:val="Paragraphnonumbers"/>
              <w:jc w:val="both"/>
              <w:rPr>
                <w:rFonts w:cs="Arial"/>
              </w:rPr>
            </w:pPr>
          </w:p>
        </w:tc>
        <w:tc>
          <w:tcPr>
            <w:tcW w:w="6287" w:type="dxa"/>
          </w:tcPr>
          <w:p w14:paraId="4A3AA3F9" w14:textId="77777777" w:rsidR="009A0A10" w:rsidRPr="0072045E" w:rsidRDefault="009A0A10" w:rsidP="007A149F">
            <w:pPr>
              <w:pStyle w:val="Tabletext"/>
              <w:rPr>
                <w:rFonts w:cs="Arial"/>
                <w:sz w:val="24"/>
                <w:szCs w:val="24"/>
              </w:rPr>
            </w:pPr>
            <w:r w:rsidRPr="0072045E">
              <w:rPr>
                <w:rFonts w:cs="Arial"/>
                <w:sz w:val="24"/>
                <w:szCs w:val="24"/>
              </w:rPr>
              <w:t>Costs will be considered from an NHS and Personal Social Services perspective. Costs for consideration may include:</w:t>
            </w:r>
          </w:p>
          <w:p w14:paraId="0854A2B7" w14:textId="3F9C0E9F" w:rsidR="009A0A10" w:rsidRPr="0072045E" w:rsidRDefault="009A0A10" w:rsidP="007A149F">
            <w:pPr>
              <w:pStyle w:val="Tabletext"/>
              <w:numPr>
                <w:ilvl w:val="0"/>
                <w:numId w:val="6"/>
              </w:numPr>
              <w:jc w:val="both"/>
              <w:rPr>
                <w:rFonts w:cs="Arial"/>
                <w:sz w:val="24"/>
                <w:szCs w:val="24"/>
              </w:rPr>
            </w:pPr>
            <w:r w:rsidRPr="0072045E">
              <w:rPr>
                <w:rFonts w:cs="Arial"/>
                <w:sz w:val="24"/>
                <w:szCs w:val="24"/>
              </w:rPr>
              <w:t>Cost of testing for lung cancer</w:t>
            </w:r>
          </w:p>
          <w:p w14:paraId="60E9C433" w14:textId="606B806A" w:rsidR="008C6EBA" w:rsidRPr="0072045E" w:rsidRDefault="008C6EBA" w:rsidP="007A149F">
            <w:pPr>
              <w:pStyle w:val="Tabletext"/>
              <w:numPr>
                <w:ilvl w:val="0"/>
                <w:numId w:val="6"/>
              </w:numPr>
              <w:jc w:val="both"/>
              <w:rPr>
                <w:rFonts w:cs="Arial"/>
                <w:sz w:val="24"/>
                <w:szCs w:val="24"/>
              </w:rPr>
            </w:pPr>
            <w:r w:rsidRPr="0072045E">
              <w:rPr>
                <w:rFonts w:cs="Arial"/>
                <w:sz w:val="24"/>
                <w:szCs w:val="24"/>
              </w:rPr>
              <w:t>Staff time and time for training</w:t>
            </w:r>
          </w:p>
          <w:p w14:paraId="769F0AB8" w14:textId="77777777" w:rsidR="00DA01FF" w:rsidRPr="0072045E" w:rsidRDefault="00DA01FF" w:rsidP="007A149F">
            <w:pPr>
              <w:pStyle w:val="Tabletext"/>
              <w:numPr>
                <w:ilvl w:val="0"/>
                <w:numId w:val="6"/>
              </w:numPr>
              <w:jc w:val="both"/>
              <w:rPr>
                <w:rFonts w:cs="Arial"/>
                <w:sz w:val="24"/>
                <w:szCs w:val="24"/>
              </w:rPr>
            </w:pPr>
            <w:r w:rsidRPr="0072045E">
              <w:rPr>
                <w:rFonts w:cs="Arial"/>
                <w:sz w:val="24"/>
                <w:szCs w:val="24"/>
              </w:rPr>
              <w:t>Surveillance costs</w:t>
            </w:r>
          </w:p>
          <w:p w14:paraId="46B17647" w14:textId="42349759" w:rsidR="009A0A10" w:rsidRPr="0072045E" w:rsidRDefault="009A0A10" w:rsidP="007A149F">
            <w:pPr>
              <w:pStyle w:val="Tabletext"/>
              <w:numPr>
                <w:ilvl w:val="0"/>
                <w:numId w:val="6"/>
              </w:numPr>
              <w:jc w:val="both"/>
              <w:rPr>
                <w:rFonts w:cs="Arial"/>
                <w:sz w:val="24"/>
                <w:szCs w:val="24"/>
              </w:rPr>
            </w:pPr>
            <w:r w:rsidRPr="0072045E">
              <w:rPr>
                <w:rFonts w:cs="Arial"/>
                <w:sz w:val="24"/>
                <w:szCs w:val="24"/>
              </w:rPr>
              <w:t>Cost of treatment and follow-up</w:t>
            </w:r>
          </w:p>
        </w:tc>
      </w:tr>
      <w:tr w:rsidR="009A0A10" w:rsidRPr="0072045E" w14:paraId="64B5E110" w14:textId="77777777" w:rsidTr="009A0A10">
        <w:trPr>
          <w:trHeight w:val="70"/>
        </w:trPr>
        <w:tc>
          <w:tcPr>
            <w:tcW w:w="2127" w:type="dxa"/>
            <w:vMerge/>
          </w:tcPr>
          <w:p w14:paraId="7CA6DEEE" w14:textId="77777777" w:rsidR="009A0A10" w:rsidRPr="0072045E" w:rsidRDefault="009A0A10" w:rsidP="007A149F">
            <w:pPr>
              <w:pStyle w:val="Paragraphnonumbers"/>
              <w:jc w:val="both"/>
              <w:rPr>
                <w:rFonts w:cs="Arial"/>
              </w:rPr>
            </w:pPr>
          </w:p>
        </w:tc>
        <w:tc>
          <w:tcPr>
            <w:tcW w:w="6287" w:type="dxa"/>
          </w:tcPr>
          <w:p w14:paraId="28C33ADC" w14:textId="66DDAEC3" w:rsidR="009A0A10" w:rsidRPr="0072045E" w:rsidRDefault="009A0A10" w:rsidP="007A149F">
            <w:pPr>
              <w:pStyle w:val="Tabletext"/>
              <w:rPr>
                <w:rFonts w:cs="Arial"/>
                <w:sz w:val="24"/>
                <w:szCs w:val="24"/>
              </w:rPr>
            </w:pPr>
            <w:r w:rsidRPr="0072045E">
              <w:rPr>
                <w:rFonts w:cs="Arial"/>
                <w:sz w:val="24"/>
                <w:szCs w:val="24"/>
              </w:rPr>
              <w:t>The cost-effectiveness of interventions should be expressed in terms of incremental cost per quality-adjusted life year (ICER).</w:t>
            </w:r>
          </w:p>
        </w:tc>
      </w:tr>
      <w:tr w:rsidR="009A0A10" w:rsidRPr="0072045E" w14:paraId="4EA8BF1C" w14:textId="77777777" w:rsidTr="009A0A10">
        <w:trPr>
          <w:trHeight w:val="70"/>
        </w:trPr>
        <w:tc>
          <w:tcPr>
            <w:tcW w:w="2127" w:type="dxa"/>
          </w:tcPr>
          <w:p w14:paraId="3088062B" w14:textId="77777777" w:rsidR="009A0A10" w:rsidRPr="0072045E" w:rsidRDefault="009A0A10" w:rsidP="007A149F">
            <w:pPr>
              <w:pStyle w:val="StyleTabletextBold"/>
              <w:jc w:val="both"/>
              <w:rPr>
                <w:rFonts w:cs="Arial"/>
                <w:sz w:val="24"/>
                <w:szCs w:val="24"/>
              </w:rPr>
            </w:pPr>
            <w:r w:rsidRPr="0072045E">
              <w:rPr>
                <w:rFonts w:cs="Arial"/>
                <w:sz w:val="24"/>
                <w:szCs w:val="24"/>
              </w:rPr>
              <w:t>Time horizon</w:t>
            </w:r>
          </w:p>
        </w:tc>
        <w:tc>
          <w:tcPr>
            <w:tcW w:w="6287" w:type="dxa"/>
          </w:tcPr>
          <w:p w14:paraId="6D6173EA" w14:textId="0BC815D4" w:rsidR="009A0A10" w:rsidRPr="0072045E" w:rsidRDefault="00DA01FF" w:rsidP="0097637C">
            <w:pPr>
              <w:pStyle w:val="Default"/>
              <w:spacing w:line="276" w:lineRule="auto"/>
            </w:pPr>
            <w:r w:rsidRPr="0072045E">
              <w:t>The time horizon for estimating clinical and cost effectiveness should be sufficiently long to reflect any differences in costs or outcomes between the technologies being compared</w:t>
            </w:r>
          </w:p>
        </w:tc>
      </w:tr>
    </w:tbl>
    <w:p w14:paraId="3AB86C9D" w14:textId="4ED466D8" w:rsidR="00570FF7" w:rsidRPr="0072045E" w:rsidRDefault="002A2F41" w:rsidP="007A149F">
      <w:pPr>
        <w:pStyle w:val="Heading2"/>
        <w:spacing w:line="276" w:lineRule="auto"/>
        <w:rPr>
          <w:rFonts w:cs="Arial"/>
          <w:sz w:val="24"/>
          <w:szCs w:val="24"/>
        </w:rPr>
      </w:pPr>
      <w:r w:rsidRPr="0072045E">
        <w:rPr>
          <w:rFonts w:cs="Arial"/>
          <w:sz w:val="24"/>
          <w:szCs w:val="24"/>
        </w:rPr>
        <w:t>Other issues for consideration</w:t>
      </w:r>
    </w:p>
    <w:p w14:paraId="5CE810C2" w14:textId="0EF3DD99" w:rsidR="00AF36CC" w:rsidRPr="0072045E" w:rsidRDefault="00A5238D" w:rsidP="007A149F">
      <w:pPr>
        <w:pStyle w:val="Heading3"/>
        <w:spacing w:line="276" w:lineRule="auto"/>
        <w:rPr>
          <w:rFonts w:cs="Arial"/>
          <w:szCs w:val="24"/>
        </w:rPr>
      </w:pPr>
      <w:r w:rsidRPr="0072045E">
        <w:rPr>
          <w:rFonts w:cs="Arial"/>
          <w:szCs w:val="24"/>
        </w:rPr>
        <w:t>Alternative u</w:t>
      </w:r>
      <w:r w:rsidR="008D4378" w:rsidRPr="0072045E">
        <w:rPr>
          <w:rFonts w:cs="Arial"/>
          <w:szCs w:val="24"/>
        </w:rPr>
        <w:t xml:space="preserve">se of </w:t>
      </w:r>
      <w:proofErr w:type="spellStart"/>
      <w:r w:rsidR="00F85975" w:rsidRPr="0072045E">
        <w:rPr>
          <w:rFonts w:cs="Arial"/>
          <w:szCs w:val="24"/>
        </w:rPr>
        <w:t>EarlyCDT</w:t>
      </w:r>
      <w:proofErr w:type="spellEnd"/>
      <w:r w:rsidRPr="0072045E">
        <w:rPr>
          <w:rFonts w:cs="Arial"/>
          <w:szCs w:val="24"/>
        </w:rPr>
        <w:t xml:space="preserve"> </w:t>
      </w:r>
      <w:r w:rsidR="00F85975" w:rsidRPr="0072045E">
        <w:rPr>
          <w:rFonts w:cs="Arial"/>
          <w:szCs w:val="24"/>
        </w:rPr>
        <w:t>Lung</w:t>
      </w:r>
      <w:r w:rsidR="008D4378" w:rsidRPr="0072045E">
        <w:rPr>
          <w:rFonts w:cs="Arial"/>
          <w:szCs w:val="24"/>
        </w:rPr>
        <w:t xml:space="preserve"> </w:t>
      </w:r>
    </w:p>
    <w:p w14:paraId="6A2DE186" w14:textId="56B8B013" w:rsidR="00AF36CC" w:rsidRPr="0072045E" w:rsidRDefault="00795C3A" w:rsidP="007A149F">
      <w:pPr>
        <w:pStyle w:val="Heading3"/>
        <w:numPr>
          <w:ilvl w:val="0"/>
          <w:numId w:val="0"/>
        </w:numPr>
        <w:spacing w:line="276" w:lineRule="auto"/>
        <w:rPr>
          <w:rFonts w:cs="Arial"/>
          <w:b w:val="0"/>
          <w:bCs w:val="0"/>
          <w:szCs w:val="24"/>
        </w:rPr>
      </w:pPr>
      <w:r w:rsidRPr="0072045E">
        <w:rPr>
          <w:rFonts w:cs="Arial"/>
          <w:b w:val="0"/>
          <w:bCs w:val="0"/>
          <w:szCs w:val="24"/>
        </w:rPr>
        <w:t xml:space="preserve">The </w:t>
      </w:r>
      <w:proofErr w:type="spellStart"/>
      <w:r w:rsidRPr="0072045E">
        <w:rPr>
          <w:rFonts w:cs="Arial"/>
          <w:b w:val="0"/>
          <w:bCs w:val="0"/>
          <w:szCs w:val="24"/>
        </w:rPr>
        <w:t>EarlyCDT</w:t>
      </w:r>
      <w:proofErr w:type="spellEnd"/>
      <w:r w:rsidRPr="0072045E">
        <w:rPr>
          <w:rFonts w:cs="Arial"/>
          <w:b w:val="0"/>
          <w:bCs w:val="0"/>
          <w:szCs w:val="24"/>
        </w:rPr>
        <w:t xml:space="preserve"> Lung </w:t>
      </w:r>
      <w:r w:rsidR="008B04D7" w:rsidRPr="0072045E">
        <w:rPr>
          <w:rFonts w:cs="Arial"/>
          <w:b w:val="0"/>
          <w:bCs w:val="0"/>
          <w:szCs w:val="24"/>
        </w:rPr>
        <w:t xml:space="preserve">test </w:t>
      </w:r>
      <w:r w:rsidRPr="0072045E">
        <w:rPr>
          <w:rFonts w:cs="Arial"/>
          <w:b w:val="0"/>
          <w:bCs w:val="0"/>
          <w:szCs w:val="24"/>
        </w:rPr>
        <w:t>could be used for</w:t>
      </w:r>
      <w:r w:rsidR="00283E59" w:rsidRPr="0072045E">
        <w:rPr>
          <w:rFonts w:cs="Arial"/>
          <w:b w:val="0"/>
          <w:bCs w:val="0"/>
          <w:szCs w:val="24"/>
        </w:rPr>
        <w:t xml:space="preserve"> screening </w:t>
      </w:r>
      <w:bookmarkStart w:id="43" w:name="_Hlk59700375"/>
      <w:r w:rsidR="00283E59" w:rsidRPr="0072045E">
        <w:rPr>
          <w:rFonts w:cs="Arial"/>
          <w:b w:val="0"/>
          <w:bCs w:val="0"/>
          <w:szCs w:val="24"/>
        </w:rPr>
        <w:t>high</w:t>
      </w:r>
      <w:r w:rsidRPr="0072045E">
        <w:rPr>
          <w:rFonts w:cs="Arial"/>
          <w:b w:val="0"/>
          <w:bCs w:val="0"/>
          <w:szCs w:val="24"/>
        </w:rPr>
        <w:t xml:space="preserve"> </w:t>
      </w:r>
      <w:r w:rsidR="00283E59" w:rsidRPr="0072045E">
        <w:rPr>
          <w:rFonts w:cs="Arial"/>
          <w:b w:val="0"/>
          <w:bCs w:val="0"/>
          <w:szCs w:val="24"/>
        </w:rPr>
        <w:t>risk population</w:t>
      </w:r>
      <w:r w:rsidR="00D248B6" w:rsidRPr="0072045E">
        <w:rPr>
          <w:rFonts w:cs="Arial"/>
          <w:b w:val="0"/>
          <w:bCs w:val="0"/>
          <w:szCs w:val="24"/>
        </w:rPr>
        <w:t>s</w:t>
      </w:r>
      <w:r w:rsidR="004C5DC4" w:rsidRPr="0072045E">
        <w:rPr>
          <w:rFonts w:cs="Arial"/>
          <w:b w:val="0"/>
          <w:bCs w:val="0"/>
          <w:szCs w:val="24"/>
        </w:rPr>
        <w:t xml:space="preserve"> </w:t>
      </w:r>
      <w:bookmarkEnd w:id="43"/>
      <w:r w:rsidR="008B04D7" w:rsidRPr="0072045E">
        <w:rPr>
          <w:rFonts w:cs="Arial"/>
          <w:b w:val="0"/>
          <w:bCs w:val="0"/>
          <w:szCs w:val="24"/>
        </w:rPr>
        <w:t>for lung cancer</w:t>
      </w:r>
      <w:r w:rsidR="007060B2" w:rsidRPr="0072045E">
        <w:rPr>
          <w:rFonts w:cs="Arial"/>
          <w:b w:val="0"/>
          <w:bCs w:val="0"/>
          <w:szCs w:val="24"/>
        </w:rPr>
        <w:t xml:space="preserve">. </w:t>
      </w:r>
      <w:r w:rsidR="00830CCB" w:rsidRPr="0072045E">
        <w:rPr>
          <w:rFonts w:cs="Arial"/>
          <w:b w:val="0"/>
          <w:bCs w:val="0"/>
          <w:szCs w:val="24"/>
        </w:rPr>
        <w:t>However,</w:t>
      </w:r>
      <w:r w:rsidR="007060B2" w:rsidRPr="0072045E">
        <w:rPr>
          <w:rFonts w:cs="Arial"/>
          <w:b w:val="0"/>
          <w:bCs w:val="0"/>
          <w:szCs w:val="24"/>
        </w:rPr>
        <w:t xml:space="preserve"> this </w:t>
      </w:r>
      <w:r w:rsidR="0095773C" w:rsidRPr="0072045E">
        <w:rPr>
          <w:rFonts w:cs="Arial"/>
          <w:b w:val="0"/>
          <w:bCs w:val="0"/>
          <w:szCs w:val="24"/>
        </w:rPr>
        <w:t>use is</w:t>
      </w:r>
      <w:r w:rsidR="007060B2" w:rsidRPr="0072045E">
        <w:rPr>
          <w:rFonts w:cs="Arial"/>
          <w:b w:val="0"/>
          <w:bCs w:val="0"/>
          <w:szCs w:val="24"/>
        </w:rPr>
        <w:t xml:space="preserve"> outside </w:t>
      </w:r>
      <w:r w:rsidR="00793C4E" w:rsidRPr="0072045E">
        <w:rPr>
          <w:rFonts w:cs="Arial"/>
          <w:b w:val="0"/>
          <w:bCs w:val="0"/>
          <w:szCs w:val="24"/>
        </w:rPr>
        <w:t>the scope of the assessment</w:t>
      </w:r>
      <w:r w:rsidR="00572FC1" w:rsidRPr="0072045E">
        <w:rPr>
          <w:rFonts w:cs="Arial"/>
          <w:b w:val="0"/>
          <w:bCs w:val="0"/>
          <w:szCs w:val="24"/>
        </w:rPr>
        <w:t xml:space="preserve">. </w:t>
      </w:r>
    </w:p>
    <w:p w14:paraId="11931FB5" w14:textId="09B046DC" w:rsidR="00574C4B" w:rsidRPr="0072045E" w:rsidRDefault="00574C4B" w:rsidP="007A149F">
      <w:pPr>
        <w:pStyle w:val="Heading3"/>
        <w:spacing w:line="276" w:lineRule="auto"/>
        <w:rPr>
          <w:rFonts w:cs="Arial"/>
          <w:szCs w:val="24"/>
        </w:rPr>
      </w:pPr>
      <w:r w:rsidRPr="0072045E">
        <w:rPr>
          <w:rFonts w:cs="Arial"/>
          <w:szCs w:val="24"/>
        </w:rPr>
        <w:t xml:space="preserve">Ongoing clinical outcome studies </w:t>
      </w:r>
    </w:p>
    <w:p w14:paraId="56C126AD" w14:textId="0A8D7BA1" w:rsidR="0001055D" w:rsidRPr="0072045E" w:rsidRDefault="0001055D" w:rsidP="007A149F">
      <w:pPr>
        <w:pStyle w:val="Paragraphnonumbers"/>
        <w:rPr>
          <w:rFonts w:cs="Arial"/>
        </w:rPr>
      </w:pPr>
      <w:r w:rsidRPr="0072045E">
        <w:rPr>
          <w:rFonts w:cs="Arial"/>
        </w:rPr>
        <w:t>Spain - REFINE (</w:t>
      </w:r>
      <w:proofErr w:type="spellStart"/>
      <w:r w:rsidRPr="0072045E">
        <w:rPr>
          <w:rFonts w:cs="Arial"/>
        </w:rPr>
        <w:t>REgistry</w:t>
      </w:r>
      <w:proofErr w:type="spellEnd"/>
      <w:r w:rsidRPr="0072045E">
        <w:rPr>
          <w:rFonts w:cs="Arial"/>
        </w:rPr>
        <w:t xml:space="preserve"> and Follow up of Indeterminate Nodules using </w:t>
      </w:r>
      <w:proofErr w:type="spellStart"/>
      <w:r w:rsidRPr="0072045E">
        <w:rPr>
          <w:rFonts w:cs="Arial"/>
        </w:rPr>
        <w:t>EarlyCDT</w:t>
      </w:r>
      <w:proofErr w:type="spellEnd"/>
      <w:r w:rsidRPr="0072045E">
        <w:rPr>
          <w:rFonts w:cs="Arial"/>
        </w:rPr>
        <w:t>) i</w:t>
      </w:r>
      <w:r w:rsidR="00170EB8" w:rsidRPr="0072045E">
        <w:rPr>
          <w:rFonts w:cs="Arial"/>
        </w:rPr>
        <w:t>nvolves</w:t>
      </w:r>
      <w:r w:rsidRPr="0072045E">
        <w:rPr>
          <w:rFonts w:cs="Arial"/>
        </w:rPr>
        <w:t xml:space="preserve"> the design and maintenance of an anonymized web-based registry of patients with indeterminate </w:t>
      </w:r>
      <w:r w:rsidR="00365E6E" w:rsidRPr="0072045E">
        <w:rPr>
          <w:rFonts w:cs="Arial"/>
        </w:rPr>
        <w:t>pulmonary nodules</w:t>
      </w:r>
      <w:r w:rsidR="0028743D" w:rsidRPr="0072045E">
        <w:rPr>
          <w:rFonts w:cs="Arial"/>
        </w:rPr>
        <w:t xml:space="preserve"> </w:t>
      </w:r>
      <w:r w:rsidRPr="0072045E">
        <w:rPr>
          <w:rFonts w:cs="Arial"/>
        </w:rPr>
        <w:t xml:space="preserve">tested with </w:t>
      </w:r>
      <w:proofErr w:type="spellStart"/>
      <w:r w:rsidRPr="0072045E">
        <w:rPr>
          <w:rFonts w:cs="Arial"/>
        </w:rPr>
        <w:t>EarlyCDT</w:t>
      </w:r>
      <w:proofErr w:type="spellEnd"/>
      <w:r w:rsidR="00365E6E" w:rsidRPr="0072045E">
        <w:rPr>
          <w:rFonts w:cs="Arial"/>
        </w:rPr>
        <w:t xml:space="preserve"> </w:t>
      </w:r>
      <w:r w:rsidR="00341291" w:rsidRPr="0072045E">
        <w:rPr>
          <w:rFonts w:cs="Arial"/>
        </w:rPr>
        <w:t>Lung</w:t>
      </w:r>
      <w:r w:rsidRPr="0072045E">
        <w:rPr>
          <w:rFonts w:cs="Arial"/>
        </w:rPr>
        <w:t>. P</w:t>
      </w:r>
      <w:r w:rsidR="00365E6E" w:rsidRPr="0072045E">
        <w:rPr>
          <w:rFonts w:cs="Arial"/>
        </w:rPr>
        <w:t>eople</w:t>
      </w:r>
      <w:r w:rsidRPr="0072045E">
        <w:rPr>
          <w:rFonts w:cs="Arial"/>
        </w:rPr>
        <w:t xml:space="preserve"> with nodules detected </w:t>
      </w:r>
      <w:r w:rsidR="00365E6E" w:rsidRPr="0072045E">
        <w:rPr>
          <w:rFonts w:cs="Arial"/>
        </w:rPr>
        <w:t xml:space="preserve">either </w:t>
      </w:r>
      <w:r w:rsidRPr="0072045E">
        <w:rPr>
          <w:rFonts w:cs="Arial"/>
        </w:rPr>
        <w:t xml:space="preserve">incidentally or screening with low dose CT who are tested for autoantibodies will be included in the registry, and their clinical outcomes assessed. The project will include </w:t>
      </w:r>
      <w:r w:rsidR="00620550" w:rsidRPr="0072045E">
        <w:rPr>
          <w:rFonts w:cs="Arial"/>
        </w:rPr>
        <w:t>pulmonary nodules</w:t>
      </w:r>
      <w:r w:rsidR="0028743D" w:rsidRPr="0072045E">
        <w:rPr>
          <w:rFonts w:cs="Arial"/>
        </w:rPr>
        <w:t xml:space="preserve"> </w:t>
      </w:r>
      <w:r w:rsidRPr="0072045E">
        <w:rPr>
          <w:rFonts w:cs="Arial"/>
        </w:rPr>
        <w:t xml:space="preserve">considered indeterminate in size and risk, measuring 6-15 mm in diameter. All </w:t>
      </w:r>
      <w:proofErr w:type="gramStart"/>
      <w:r w:rsidRPr="0072045E">
        <w:rPr>
          <w:rFonts w:cs="Arial"/>
        </w:rPr>
        <w:t>testing</w:t>
      </w:r>
      <w:proofErr w:type="gramEnd"/>
      <w:r w:rsidRPr="0072045E">
        <w:rPr>
          <w:rFonts w:cs="Arial"/>
        </w:rPr>
        <w:t xml:space="preserve"> will be performed as part of routine clinical practice. The registry will </w:t>
      </w:r>
      <w:r w:rsidR="00E92157" w:rsidRPr="0072045E">
        <w:rPr>
          <w:rFonts w:cs="Arial"/>
        </w:rPr>
        <w:t>consider</w:t>
      </w:r>
      <w:r w:rsidRPr="0072045E">
        <w:rPr>
          <w:rFonts w:cs="Arial"/>
        </w:rPr>
        <w:t xml:space="preserve"> lung nodule follow up with imaging and/or invasive testing as mandated by current clinical guidelines and best practices. </w:t>
      </w:r>
    </w:p>
    <w:p w14:paraId="47B90249" w14:textId="68494062" w:rsidR="00880631" w:rsidRPr="0072045E" w:rsidRDefault="002B102F">
      <w:pPr>
        <w:pStyle w:val="Paragraphnonumbers"/>
      </w:pPr>
      <w:r w:rsidRPr="0072045E">
        <w:t>The company ha</w:t>
      </w:r>
      <w:r w:rsidR="0072045E">
        <w:t>s</w:t>
      </w:r>
      <w:r w:rsidRPr="0072045E">
        <w:t xml:space="preserve"> </w:t>
      </w:r>
      <w:r w:rsidR="00F77408" w:rsidRPr="00384306">
        <w:t>indicated</w:t>
      </w:r>
      <w:r w:rsidRPr="00282429">
        <w:t xml:space="preserve"> that they are </w:t>
      </w:r>
      <w:r w:rsidR="00F77408" w:rsidRPr="0072045E">
        <w:t>in the process of gathering evidence through</w:t>
      </w:r>
      <w:r w:rsidR="006761E5" w:rsidRPr="0072045E">
        <w:t xml:space="preserve"> ongoing </w:t>
      </w:r>
      <w:r w:rsidR="00F77408" w:rsidRPr="0072045E">
        <w:t xml:space="preserve">pilot </w:t>
      </w:r>
      <w:r w:rsidR="006761E5" w:rsidRPr="0072045E">
        <w:t>studies</w:t>
      </w:r>
      <w:r w:rsidR="00F77408" w:rsidRPr="0072045E">
        <w:t xml:space="preserve">. Data from the studies will provide </w:t>
      </w:r>
      <w:r w:rsidR="0072045E">
        <w:t xml:space="preserve">further </w:t>
      </w:r>
      <w:r w:rsidR="00F77408" w:rsidRPr="0072045E">
        <w:t xml:space="preserve">information on the possible adjustment of the </w:t>
      </w:r>
      <w:r w:rsidR="009E0411" w:rsidRPr="0072045E">
        <w:t xml:space="preserve">Herder risk score. </w:t>
      </w:r>
    </w:p>
    <w:p w14:paraId="6FFF4A98" w14:textId="77777777" w:rsidR="00570FF7" w:rsidRPr="0072045E" w:rsidRDefault="00965A5A" w:rsidP="007A149F">
      <w:pPr>
        <w:pStyle w:val="Heading2"/>
        <w:spacing w:line="276" w:lineRule="auto"/>
        <w:rPr>
          <w:rFonts w:cs="Arial"/>
          <w:sz w:val="24"/>
          <w:szCs w:val="24"/>
        </w:rPr>
      </w:pPr>
      <w:bookmarkStart w:id="44" w:name="_Toc286147881"/>
      <w:r w:rsidRPr="0072045E">
        <w:rPr>
          <w:rFonts w:cs="Arial"/>
          <w:sz w:val="24"/>
          <w:szCs w:val="24"/>
        </w:rPr>
        <w:t>Potential e</w:t>
      </w:r>
      <w:r w:rsidR="00570FF7" w:rsidRPr="0072045E">
        <w:rPr>
          <w:rFonts w:cs="Arial"/>
          <w:sz w:val="24"/>
          <w:szCs w:val="24"/>
        </w:rPr>
        <w:t>quality issues</w:t>
      </w:r>
      <w:bookmarkEnd w:id="44"/>
    </w:p>
    <w:p w14:paraId="2FDD981D" w14:textId="3D1E441B" w:rsidR="00C40083" w:rsidRPr="0072045E" w:rsidRDefault="000819CD" w:rsidP="007A149F">
      <w:pPr>
        <w:pStyle w:val="Paragraphnonumbers"/>
        <w:rPr>
          <w:rFonts w:cs="Arial"/>
        </w:rPr>
      </w:pPr>
      <w:r w:rsidRPr="0072045E">
        <w:rPr>
          <w:rFonts w:cs="Arial"/>
        </w:rPr>
        <w:t xml:space="preserve">NICE is committed to promoting equality of opportunity, eliminating unlawful </w:t>
      </w:r>
      <w:r w:rsidR="00850714" w:rsidRPr="0072045E">
        <w:rPr>
          <w:rFonts w:cs="Arial"/>
        </w:rPr>
        <w:t>discrimination,</w:t>
      </w:r>
      <w:r w:rsidRPr="0072045E">
        <w:rPr>
          <w:rFonts w:cs="Arial"/>
        </w:rPr>
        <w:t xml:space="preserve"> and fostering good relations between people with </w:t>
      </w:r>
      <w:r w:rsidR="00CF2706" w:rsidRPr="0072045E">
        <w:rPr>
          <w:rFonts w:cs="Arial"/>
        </w:rPr>
        <w:t>protected</w:t>
      </w:r>
      <w:r w:rsidRPr="0072045E">
        <w:rPr>
          <w:rFonts w:cs="Arial"/>
        </w:rPr>
        <w:t xml:space="preserve"> characteristics and others.</w:t>
      </w:r>
    </w:p>
    <w:p w14:paraId="4F8309BB" w14:textId="22BBA580" w:rsidR="00F85975" w:rsidRPr="0072045E" w:rsidRDefault="00F85975" w:rsidP="00FB179D">
      <w:pPr>
        <w:pStyle w:val="Paragraphnonumbers"/>
        <w:rPr>
          <w:rFonts w:cs="Arial"/>
        </w:rPr>
      </w:pPr>
      <w:r w:rsidRPr="0072045E">
        <w:rPr>
          <w:rFonts w:cs="Arial"/>
        </w:rPr>
        <w:t xml:space="preserve">People with lung cancer may be classified as having a disability and therefore protected under the Equality Act 2010 from the point of diagnosis. </w:t>
      </w:r>
      <w:r w:rsidR="00543797" w:rsidRPr="0072045E">
        <w:rPr>
          <w:rFonts w:cs="Arial"/>
          <w:color w:val="333333"/>
          <w:shd w:val="clear" w:color="auto" w:fill="FFFFFF"/>
        </w:rPr>
        <w:t xml:space="preserve">Over </w:t>
      </w:r>
      <w:r w:rsidR="00880631">
        <w:rPr>
          <w:rFonts w:cs="Arial"/>
          <w:color w:val="333333"/>
          <w:shd w:val="clear" w:color="auto" w:fill="FFFFFF"/>
        </w:rPr>
        <w:t>time</w:t>
      </w:r>
      <w:r w:rsidR="00543797" w:rsidRPr="0072045E">
        <w:rPr>
          <w:rFonts w:cs="Arial"/>
          <w:color w:val="333333"/>
          <w:shd w:val="clear" w:color="auto" w:fill="FFFFFF"/>
        </w:rPr>
        <w:t>, lung cancer rates in females have increased by almost a third, and rates in males have decreased by a third</w:t>
      </w:r>
      <w:r w:rsidRPr="0072045E">
        <w:rPr>
          <w:rFonts w:cs="Arial"/>
        </w:rPr>
        <w:t xml:space="preserve">. </w:t>
      </w:r>
      <w:bookmarkStart w:id="45" w:name="_Hlk62205042"/>
      <w:r w:rsidR="00FB179D" w:rsidRPr="00FB179D">
        <w:rPr>
          <w:rFonts w:cs="Arial"/>
        </w:rPr>
        <w:t>There are</w:t>
      </w:r>
      <w:r w:rsidR="00FB179D">
        <w:rPr>
          <w:rFonts w:cs="Arial"/>
        </w:rPr>
        <w:t xml:space="preserve"> also</w:t>
      </w:r>
      <w:r w:rsidR="00FB179D" w:rsidRPr="00FB179D">
        <w:rPr>
          <w:rFonts w:cs="Arial"/>
        </w:rPr>
        <w:t xml:space="preserve"> differences in </w:t>
      </w:r>
      <w:hyperlink r:id="rId52" w:history="1">
        <w:r w:rsidR="00FB179D" w:rsidRPr="00FB179D">
          <w:rPr>
            <w:rStyle w:val="Hyperlink"/>
            <w:rFonts w:cs="Arial"/>
          </w:rPr>
          <w:t>the rates of lung cancer between ethnic groups</w:t>
        </w:r>
      </w:hyperlink>
      <w:r w:rsidR="00FB179D" w:rsidRPr="00FB179D">
        <w:rPr>
          <w:rFonts w:cs="Arial"/>
        </w:rPr>
        <w:t>.</w:t>
      </w:r>
      <w:r w:rsidR="00FB179D">
        <w:rPr>
          <w:rFonts w:cs="Arial"/>
        </w:rPr>
        <w:t xml:space="preserve"> It</w:t>
      </w:r>
      <w:r w:rsidR="00FB179D" w:rsidRPr="00FB179D">
        <w:rPr>
          <w:rFonts w:cs="Arial"/>
        </w:rPr>
        <w:t xml:space="preserve"> is most common in</w:t>
      </w:r>
      <w:r w:rsidR="00FB179D">
        <w:rPr>
          <w:rFonts w:cs="Arial"/>
        </w:rPr>
        <w:t xml:space="preserve"> </w:t>
      </w:r>
      <w:r w:rsidR="00FB179D" w:rsidRPr="00FB179D">
        <w:rPr>
          <w:rFonts w:cs="Arial"/>
        </w:rPr>
        <w:t xml:space="preserve">White and </w:t>
      </w:r>
      <w:r w:rsidR="00FB179D">
        <w:rPr>
          <w:rFonts w:cs="Arial"/>
        </w:rPr>
        <w:t xml:space="preserve">men of </w:t>
      </w:r>
      <w:r w:rsidR="00FB179D" w:rsidRPr="00FB179D">
        <w:rPr>
          <w:rFonts w:cs="Arial"/>
        </w:rPr>
        <w:lastRenderedPageBreak/>
        <w:t xml:space="preserve">Bangladeshi </w:t>
      </w:r>
      <w:r w:rsidR="00FB179D">
        <w:rPr>
          <w:rFonts w:cs="Arial"/>
        </w:rPr>
        <w:t>family origin. R</w:t>
      </w:r>
      <w:r w:rsidR="00FB179D" w:rsidRPr="00FB179D">
        <w:rPr>
          <w:rFonts w:cs="Arial"/>
        </w:rPr>
        <w:t xml:space="preserve">ates for </w:t>
      </w:r>
      <w:r w:rsidR="00FB179D">
        <w:rPr>
          <w:rFonts w:cs="Arial"/>
        </w:rPr>
        <w:t xml:space="preserve">men of </w:t>
      </w:r>
      <w:r w:rsidR="00FB179D" w:rsidRPr="00FB179D">
        <w:rPr>
          <w:rFonts w:cs="Arial"/>
        </w:rPr>
        <w:t>Indian</w:t>
      </w:r>
      <w:r w:rsidR="00FB179D">
        <w:rPr>
          <w:rFonts w:cs="Arial"/>
        </w:rPr>
        <w:t xml:space="preserve">, </w:t>
      </w:r>
      <w:r w:rsidR="00FB179D" w:rsidRPr="00FB179D">
        <w:rPr>
          <w:rFonts w:cs="Arial"/>
        </w:rPr>
        <w:t>Pakistani</w:t>
      </w:r>
      <w:r w:rsidR="00FB179D">
        <w:rPr>
          <w:rFonts w:cs="Arial"/>
        </w:rPr>
        <w:t>,</w:t>
      </w:r>
      <w:r w:rsidR="00FB179D" w:rsidRPr="00FB179D">
        <w:rPr>
          <w:rFonts w:cs="Arial"/>
        </w:rPr>
        <w:t xml:space="preserve"> Black Caribbean</w:t>
      </w:r>
      <w:r w:rsidR="00FB179D">
        <w:rPr>
          <w:rFonts w:cs="Arial"/>
        </w:rPr>
        <w:t xml:space="preserve">, </w:t>
      </w:r>
      <w:r w:rsidR="00FB179D" w:rsidRPr="00FB179D">
        <w:rPr>
          <w:rFonts w:cs="Arial"/>
        </w:rPr>
        <w:t xml:space="preserve">Black African </w:t>
      </w:r>
      <w:r w:rsidR="00FB179D">
        <w:rPr>
          <w:rFonts w:cs="Arial"/>
        </w:rPr>
        <w:t xml:space="preserve">and </w:t>
      </w:r>
      <w:r w:rsidR="00FB179D" w:rsidRPr="00FB179D">
        <w:rPr>
          <w:rFonts w:cs="Arial"/>
        </w:rPr>
        <w:t xml:space="preserve">Chinese </w:t>
      </w:r>
      <w:r w:rsidR="00FB179D">
        <w:rPr>
          <w:rFonts w:cs="Arial"/>
        </w:rPr>
        <w:t>family origin</w:t>
      </w:r>
      <w:r w:rsidR="00FB179D" w:rsidRPr="00FB179D">
        <w:rPr>
          <w:rFonts w:cs="Arial"/>
        </w:rPr>
        <w:t xml:space="preserve"> are lower.</w:t>
      </w:r>
      <w:r w:rsidR="00FB179D">
        <w:rPr>
          <w:rFonts w:cs="Arial"/>
        </w:rPr>
        <w:t xml:space="preserve"> In women, </w:t>
      </w:r>
      <w:r w:rsidR="00FB179D" w:rsidRPr="00FB179D">
        <w:rPr>
          <w:rFonts w:cs="Arial"/>
        </w:rPr>
        <w:t>lung</w:t>
      </w:r>
      <w:r w:rsidR="00FB179D">
        <w:rPr>
          <w:rFonts w:cs="Arial"/>
        </w:rPr>
        <w:t xml:space="preserve"> </w:t>
      </w:r>
      <w:r w:rsidR="00FB179D" w:rsidRPr="00FB179D">
        <w:rPr>
          <w:rFonts w:cs="Arial"/>
        </w:rPr>
        <w:t>cancer is more common in</w:t>
      </w:r>
      <w:r w:rsidR="00FB179D">
        <w:rPr>
          <w:rFonts w:cs="Arial"/>
        </w:rPr>
        <w:t xml:space="preserve"> </w:t>
      </w:r>
      <w:r w:rsidR="00FB179D" w:rsidRPr="00FB179D">
        <w:rPr>
          <w:rFonts w:cs="Arial"/>
        </w:rPr>
        <w:t>White women</w:t>
      </w:r>
      <w:r w:rsidR="00FB179D">
        <w:rPr>
          <w:rFonts w:cs="Arial"/>
        </w:rPr>
        <w:t xml:space="preserve"> than in </w:t>
      </w:r>
      <w:r w:rsidR="00FB179D" w:rsidRPr="00FB179D">
        <w:rPr>
          <w:rFonts w:cs="Arial"/>
        </w:rPr>
        <w:t>women from</w:t>
      </w:r>
      <w:r w:rsidR="00FB179D">
        <w:rPr>
          <w:rFonts w:cs="Arial"/>
        </w:rPr>
        <w:t xml:space="preserve"> </w:t>
      </w:r>
      <w:r w:rsidR="00FB179D" w:rsidRPr="00FB179D">
        <w:rPr>
          <w:rFonts w:cs="Arial"/>
        </w:rPr>
        <w:t>other ethnic groups</w:t>
      </w:r>
      <w:bookmarkEnd w:id="45"/>
      <w:r w:rsidR="00543797" w:rsidRPr="0072045E">
        <w:rPr>
          <w:rFonts w:cs="Arial"/>
        </w:rPr>
        <w:t xml:space="preserve">. </w:t>
      </w:r>
      <w:r w:rsidR="001527E5" w:rsidRPr="0072045E">
        <w:rPr>
          <w:rFonts w:cs="Arial"/>
        </w:rPr>
        <w:t>Sex and race are protected characteristics</w:t>
      </w:r>
      <w:r w:rsidR="00FB179D">
        <w:rPr>
          <w:rFonts w:cs="Arial"/>
        </w:rPr>
        <w:t xml:space="preserve"> under the Equality Act 2010</w:t>
      </w:r>
      <w:r w:rsidR="001527E5" w:rsidRPr="0072045E">
        <w:rPr>
          <w:rFonts w:cs="Arial"/>
        </w:rPr>
        <w:t>.</w:t>
      </w:r>
      <w:r w:rsidR="00A928F8" w:rsidRPr="009557A4">
        <w:rPr>
          <w:rFonts w:cs="Arial"/>
        </w:rPr>
        <w:t xml:space="preserve"> The incidence and mor</w:t>
      </w:r>
      <w:r w:rsidR="00A928F8" w:rsidRPr="00384306">
        <w:rPr>
          <w:rFonts w:cs="Arial"/>
        </w:rPr>
        <w:t xml:space="preserve">tality </w:t>
      </w:r>
      <w:r w:rsidR="003F6F4A">
        <w:rPr>
          <w:rFonts w:cs="Arial"/>
        </w:rPr>
        <w:t xml:space="preserve">of lung cancer </w:t>
      </w:r>
      <w:r w:rsidR="0095773C" w:rsidRPr="0072045E">
        <w:rPr>
          <w:rFonts w:cs="Arial"/>
        </w:rPr>
        <w:t xml:space="preserve">are </w:t>
      </w:r>
      <w:r w:rsidR="00A928F8" w:rsidRPr="0072045E">
        <w:rPr>
          <w:rFonts w:cs="Arial"/>
        </w:rPr>
        <w:t>higher in deprived populations.</w:t>
      </w:r>
    </w:p>
    <w:p w14:paraId="6BD3BDA1" w14:textId="77777777" w:rsidR="00570FF7" w:rsidRPr="0072045E" w:rsidRDefault="00965A5A" w:rsidP="007A149F">
      <w:pPr>
        <w:pStyle w:val="Heading2"/>
        <w:spacing w:line="276" w:lineRule="auto"/>
        <w:rPr>
          <w:rFonts w:cs="Arial"/>
          <w:sz w:val="24"/>
          <w:szCs w:val="24"/>
        </w:rPr>
      </w:pPr>
      <w:bookmarkStart w:id="46" w:name="_Toc286147882"/>
      <w:bookmarkStart w:id="47" w:name="_Hlk61624670"/>
      <w:r w:rsidRPr="0072045E">
        <w:rPr>
          <w:rFonts w:cs="Arial"/>
          <w:sz w:val="24"/>
          <w:szCs w:val="24"/>
        </w:rPr>
        <w:t>Potential i</w:t>
      </w:r>
      <w:r w:rsidR="00570FF7" w:rsidRPr="0072045E">
        <w:rPr>
          <w:rFonts w:cs="Arial"/>
          <w:sz w:val="24"/>
          <w:szCs w:val="24"/>
        </w:rPr>
        <w:t>mplementation issues</w:t>
      </w:r>
      <w:bookmarkEnd w:id="46"/>
    </w:p>
    <w:bookmarkEnd w:id="47"/>
    <w:p w14:paraId="7C78F703" w14:textId="13C8E530" w:rsidR="00B26460" w:rsidRPr="0072045E" w:rsidRDefault="00E064C2" w:rsidP="00B26460">
      <w:pPr>
        <w:pStyle w:val="Paragraphnonumbers"/>
        <w:rPr>
          <w:rFonts w:cs="Arial"/>
        </w:rPr>
      </w:pPr>
      <w:r>
        <w:rPr>
          <w:rFonts w:cs="Arial"/>
        </w:rPr>
        <w:t>There are n</w:t>
      </w:r>
      <w:r w:rsidR="00270C07" w:rsidRPr="0072045E">
        <w:rPr>
          <w:rFonts w:cs="Arial"/>
        </w:rPr>
        <w:t xml:space="preserve">o significant </w:t>
      </w:r>
      <w:r w:rsidR="001B0FDF" w:rsidRPr="0072045E">
        <w:rPr>
          <w:rFonts w:cs="Arial"/>
        </w:rPr>
        <w:t xml:space="preserve">challenges anticipated to </w:t>
      </w:r>
      <w:r>
        <w:rPr>
          <w:rFonts w:cs="Arial"/>
        </w:rPr>
        <w:t xml:space="preserve">the </w:t>
      </w:r>
      <w:r w:rsidR="001B0FDF" w:rsidRPr="0072045E">
        <w:rPr>
          <w:rFonts w:cs="Arial"/>
        </w:rPr>
        <w:t xml:space="preserve">adoption </w:t>
      </w:r>
      <w:r>
        <w:rPr>
          <w:rFonts w:cs="Arial"/>
        </w:rPr>
        <w:t xml:space="preserve">of </w:t>
      </w:r>
      <w:proofErr w:type="spellStart"/>
      <w:r>
        <w:rPr>
          <w:rFonts w:cs="Arial"/>
        </w:rPr>
        <w:t>EarlyCDT</w:t>
      </w:r>
      <w:proofErr w:type="spellEnd"/>
      <w:r>
        <w:rPr>
          <w:rFonts w:cs="Arial"/>
        </w:rPr>
        <w:t xml:space="preserve"> Lung </w:t>
      </w:r>
      <w:r w:rsidR="001B0FDF" w:rsidRPr="0072045E">
        <w:rPr>
          <w:rFonts w:cs="Arial"/>
        </w:rPr>
        <w:t>in laboratories.</w:t>
      </w:r>
      <w:r w:rsidR="00B26460" w:rsidRPr="0072045E">
        <w:rPr>
          <w:rFonts w:cs="Arial"/>
        </w:rPr>
        <w:t xml:space="preserve"> Adoption levers suggest that the </w:t>
      </w:r>
      <w:proofErr w:type="spellStart"/>
      <w:r w:rsidR="00B26460" w:rsidRPr="0072045E">
        <w:rPr>
          <w:rFonts w:cs="Arial"/>
        </w:rPr>
        <w:t>EarlyC</w:t>
      </w:r>
      <w:r w:rsidR="00197DBA">
        <w:rPr>
          <w:rFonts w:cs="Arial"/>
        </w:rPr>
        <w:t>D</w:t>
      </w:r>
      <w:r w:rsidR="00B26460" w:rsidRPr="0072045E">
        <w:rPr>
          <w:rFonts w:cs="Arial"/>
        </w:rPr>
        <w:t>T</w:t>
      </w:r>
      <w:proofErr w:type="spellEnd"/>
      <w:r w:rsidR="00B26460" w:rsidRPr="0072045E">
        <w:rPr>
          <w:rFonts w:cs="Arial"/>
        </w:rPr>
        <w:t xml:space="preserve"> Lung </w:t>
      </w:r>
      <w:r>
        <w:rPr>
          <w:rFonts w:cs="Arial"/>
        </w:rPr>
        <w:t xml:space="preserve">test </w:t>
      </w:r>
      <w:r w:rsidR="00B26460" w:rsidRPr="0072045E">
        <w:rPr>
          <w:rFonts w:cs="Arial"/>
        </w:rPr>
        <w:t xml:space="preserve">would help identify indeterminate pulmonary nodules at the highest lung cancer risk, leading to earlier diagnosis and improved prognosis. The test would also provide clinical information which supports decisions for further invasive testing. </w:t>
      </w:r>
    </w:p>
    <w:p w14:paraId="403F468C" w14:textId="6C262983" w:rsidR="00B26460" w:rsidRPr="0072045E" w:rsidRDefault="00B26460" w:rsidP="00B26460">
      <w:pPr>
        <w:pStyle w:val="Paragraphnonumbers"/>
        <w:rPr>
          <w:rFonts w:cs="Arial"/>
        </w:rPr>
      </w:pPr>
      <w:r w:rsidRPr="0072045E">
        <w:rPr>
          <w:rFonts w:cs="Arial"/>
        </w:rPr>
        <w:t xml:space="preserve">The adoption barriers of </w:t>
      </w:r>
      <w:proofErr w:type="spellStart"/>
      <w:r w:rsidRPr="0072045E">
        <w:rPr>
          <w:rFonts w:cs="Arial"/>
        </w:rPr>
        <w:t>EarlyCDT</w:t>
      </w:r>
      <w:proofErr w:type="spellEnd"/>
      <w:r w:rsidRPr="0072045E">
        <w:rPr>
          <w:rFonts w:cs="Arial"/>
        </w:rPr>
        <w:t xml:space="preserve"> Lung suggest th</w:t>
      </w:r>
      <w:r w:rsidR="00E064C2">
        <w:rPr>
          <w:rFonts w:cs="Arial"/>
        </w:rPr>
        <w:t>a</w:t>
      </w:r>
      <w:r w:rsidRPr="0072045E">
        <w:rPr>
          <w:rFonts w:cs="Arial"/>
        </w:rPr>
        <w:t xml:space="preserve">t there is </w:t>
      </w:r>
      <w:r w:rsidR="00E064C2">
        <w:rPr>
          <w:rFonts w:cs="Arial"/>
        </w:rPr>
        <w:t xml:space="preserve">potentially </w:t>
      </w:r>
      <w:r w:rsidRPr="0072045E">
        <w:rPr>
          <w:rFonts w:cs="Arial"/>
        </w:rPr>
        <w:t>l</w:t>
      </w:r>
      <w:r w:rsidR="00E064C2">
        <w:rPr>
          <w:rFonts w:cs="Arial"/>
        </w:rPr>
        <w:t>imited</w:t>
      </w:r>
      <w:r w:rsidRPr="0072045E">
        <w:rPr>
          <w:rFonts w:cs="Arial"/>
        </w:rPr>
        <w:t xml:space="preserve"> evidence to support the use of </w:t>
      </w:r>
      <w:proofErr w:type="spellStart"/>
      <w:r w:rsidRPr="0072045E">
        <w:rPr>
          <w:rFonts w:cs="Arial"/>
        </w:rPr>
        <w:t>EarlyCDT</w:t>
      </w:r>
      <w:proofErr w:type="spellEnd"/>
      <w:r w:rsidRPr="0072045E">
        <w:rPr>
          <w:rFonts w:cs="Arial"/>
        </w:rPr>
        <w:t xml:space="preserve"> Lung and clinicians </w:t>
      </w:r>
      <w:r w:rsidR="00E064C2">
        <w:rPr>
          <w:rFonts w:cs="Arial"/>
        </w:rPr>
        <w:t>may</w:t>
      </w:r>
      <w:r w:rsidRPr="0072045E">
        <w:rPr>
          <w:rFonts w:cs="Arial"/>
        </w:rPr>
        <w:t xml:space="preserve"> not </w:t>
      </w:r>
      <w:r w:rsidR="00E064C2">
        <w:rPr>
          <w:rFonts w:cs="Arial"/>
        </w:rPr>
        <w:t xml:space="preserve">be </w:t>
      </w:r>
      <w:r w:rsidRPr="0072045E">
        <w:rPr>
          <w:rFonts w:cs="Arial"/>
        </w:rPr>
        <w:t>confident to use the result of the test for decision making.</w:t>
      </w:r>
    </w:p>
    <w:p w14:paraId="7782F02F" w14:textId="6FD08D9F" w:rsidR="006B43C0" w:rsidRPr="0072045E" w:rsidRDefault="001B0FDF" w:rsidP="007A149F">
      <w:pPr>
        <w:pStyle w:val="Heading2"/>
        <w:spacing w:line="276" w:lineRule="auto"/>
        <w:rPr>
          <w:rFonts w:cs="Arial"/>
          <w:sz w:val="24"/>
          <w:szCs w:val="24"/>
        </w:rPr>
      </w:pPr>
      <w:r w:rsidRPr="0072045E">
        <w:rPr>
          <w:rFonts w:cs="Arial"/>
        </w:rPr>
        <w:t xml:space="preserve"> </w:t>
      </w:r>
      <w:r w:rsidR="00985B2B" w:rsidRPr="0072045E">
        <w:rPr>
          <w:rFonts w:cs="Arial"/>
        </w:rPr>
        <w:t xml:space="preserve"> </w:t>
      </w:r>
      <w:r w:rsidR="006B43C0" w:rsidRPr="0072045E">
        <w:rPr>
          <w:rFonts w:cs="Arial"/>
          <w:sz w:val="24"/>
          <w:szCs w:val="24"/>
        </w:rPr>
        <w:t>Authors</w:t>
      </w:r>
    </w:p>
    <w:p w14:paraId="75453DE5" w14:textId="27818C9A" w:rsidR="006B43C0" w:rsidRPr="0072045E" w:rsidRDefault="00F12121" w:rsidP="007A149F">
      <w:pPr>
        <w:pStyle w:val="Paragraphnonumbers"/>
        <w:spacing w:after="0"/>
        <w:jc w:val="both"/>
        <w:rPr>
          <w:rFonts w:cs="Arial"/>
          <w:b/>
          <w:bCs/>
        </w:rPr>
      </w:pPr>
      <w:r w:rsidRPr="0072045E">
        <w:rPr>
          <w:rFonts w:cs="Arial"/>
          <w:b/>
          <w:bCs/>
        </w:rPr>
        <w:t>Jean Isaac</w:t>
      </w:r>
    </w:p>
    <w:p w14:paraId="7C648016" w14:textId="77777777" w:rsidR="006B43C0" w:rsidRPr="0072045E" w:rsidRDefault="006B43C0" w:rsidP="007A149F">
      <w:pPr>
        <w:pStyle w:val="Paragraphnonumbers"/>
        <w:spacing w:before="0"/>
        <w:jc w:val="both"/>
        <w:rPr>
          <w:rFonts w:cs="Arial"/>
        </w:rPr>
      </w:pPr>
      <w:r w:rsidRPr="0072045E">
        <w:rPr>
          <w:rFonts w:cs="Arial"/>
        </w:rPr>
        <w:t>Topic Lead</w:t>
      </w:r>
    </w:p>
    <w:p w14:paraId="3692BC9C" w14:textId="3C35401F" w:rsidR="006B43C0" w:rsidRPr="0072045E" w:rsidRDefault="00F12121" w:rsidP="00D85D88">
      <w:pPr>
        <w:pStyle w:val="Paragraphnonumbers"/>
        <w:keepNext/>
        <w:spacing w:after="0"/>
        <w:jc w:val="both"/>
        <w:rPr>
          <w:rFonts w:cs="Arial"/>
          <w:b/>
          <w:bCs/>
        </w:rPr>
      </w:pPr>
      <w:r w:rsidRPr="0072045E">
        <w:rPr>
          <w:rFonts w:cs="Arial"/>
          <w:b/>
          <w:bCs/>
        </w:rPr>
        <w:t>Frances Nixon</w:t>
      </w:r>
    </w:p>
    <w:p w14:paraId="365A86D0" w14:textId="2C9A5C16" w:rsidR="006B43C0" w:rsidRPr="0072045E" w:rsidRDefault="00AE06D7" w:rsidP="007A149F">
      <w:pPr>
        <w:pStyle w:val="Paragraphnonumbers"/>
        <w:spacing w:before="0"/>
        <w:jc w:val="both"/>
        <w:rPr>
          <w:rFonts w:cs="Arial"/>
        </w:rPr>
      </w:pPr>
      <w:r w:rsidRPr="0072045E">
        <w:rPr>
          <w:rFonts w:cs="Arial"/>
        </w:rPr>
        <w:t xml:space="preserve">Health Technology Assessment </w:t>
      </w:r>
      <w:r w:rsidR="006B43C0" w:rsidRPr="0072045E">
        <w:rPr>
          <w:rFonts w:cs="Arial"/>
        </w:rPr>
        <w:t>Adviser</w:t>
      </w:r>
    </w:p>
    <w:p w14:paraId="49F2A0BE" w14:textId="269A8978" w:rsidR="006B43C0" w:rsidRPr="0072045E" w:rsidRDefault="004D07DE" w:rsidP="007A149F">
      <w:pPr>
        <w:pStyle w:val="Paragraphnonumbers"/>
        <w:rPr>
          <w:rFonts w:cs="Arial"/>
        </w:rPr>
      </w:pPr>
      <w:r>
        <w:rPr>
          <w:rFonts w:cs="Arial"/>
        </w:rPr>
        <w:t xml:space="preserve">February </w:t>
      </w:r>
      <w:r w:rsidR="0099311D" w:rsidRPr="0072045E">
        <w:rPr>
          <w:rFonts w:cs="Arial"/>
        </w:rPr>
        <w:t>2</w:t>
      </w:r>
      <w:r w:rsidR="00B4772B" w:rsidRPr="0072045E">
        <w:rPr>
          <w:rFonts w:cs="Arial"/>
        </w:rPr>
        <w:t>02</w:t>
      </w:r>
      <w:r w:rsidR="0099311D" w:rsidRPr="0072045E">
        <w:rPr>
          <w:rFonts w:cs="Arial"/>
        </w:rPr>
        <w:t>1</w:t>
      </w:r>
    </w:p>
    <w:p w14:paraId="6AAC68C2" w14:textId="7F9B5DA2" w:rsidR="00BF26C8" w:rsidRPr="00197DBA" w:rsidRDefault="00570FF7" w:rsidP="00B7551C">
      <w:pPr>
        <w:pStyle w:val="AppendixA"/>
        <w:spacing w:line="276" w:lineRule="auto"/>
        <w:jc w:val="both"/>
        <w:rPr>
          <w:rFonts w:cs="Arial"/>
        </w:rPr>
      </w:pPr>
      <w:r w:rsidRPr="0072045E">
        <w:rPr>
          <w:rFonts w:cs="Arial"/>
          <w:sz w:val="24"/>
          <w:szCs w:val="24"/>
        </w:rPr>
        <w:br w:type="page"/>
      </w:r>
      <w:bookmarkStart w:id="48" w:name="_Toc286147884"/>
      <w:r w:rsidR="00BF26C8" w:rsidRPr="00197DBA">
        <w:rPr>
          <w:rFonts w:cs="Arial"/>
          <w:kern w:val="0"/>
          <w:sz w:val="24"/>
          <w:szCs w:val="24"/>
        </w:rPr>
        <w:lastRenderedPageBreak/>
        <w:t xml:space="preserve">Appendix </w:t>
      </w:r>
      <w:r w:rsidR="00197DBA">
        <w:rPr>
          <w:rFonts w:cs="Arial"/>
          <w:kern w:val="0"/>
          <w:sz w:val="24"/>
          <w:szCs w:val="24"/>
        </w:rPr>
        <w:t>A</w:t>
      </w:r>
      <w:r w:rsidR="00BF26C8" w:rsidRPr="00197DBA">
        <w:rPr>
          <w:rFonts w:cs="Arial"/>
          <w:kern w:val="0"/>
          <w:sz w:val="24"/>
          <w:szCs w:val="24"/>
        </w:rPr>
        <w:tab/>
        <w:t>Glossary of terms</w:t>
      </w:r>
      <w:bookmarkEnd w:id="48"/>
    </w:p>
    <w:p w14:paraId="3A37744A" w14:textId="77777777" w:rsidR="0050479F" w:rsidRPr="0072045E" w:rsidRDefault="0050479F" w:rsidP="007A149F">
      <w:pPr>
        <w:spacing w:line="276" w:lineRule="auto"/>
        <w:jc w:val="both"/>
        <w:rPr>
          <w:rFonts w:ascii="Arial" w:hAnsi="Arial" w:cs="Arial"/>
          <w:b/>
          <w:bCs/>
        </w:rPr>
      </w:pPr>
      <w:bookmarkStart w:id="49" w:name="_Toc286147885"/>
    </w:p>
    <w:p w14:paraId="0A4C6723" w14:textId="52E870AD" w:rsidR="0050479F" w:rsidRPr="0072045E" w:rsidRDefault="0050479F" w:rsidP="007A149F">
      <w:pPr>
        <w:spacing w:line="276" w:lineRule="auto"/>
        <w:jc w:val="both"/>
        <w:rPr>
          <w:rFonts w:ascii="Arial" w:hAnsi="Arial" w:cs="Arial"/>
          <w:b/>
          <w:bCs/>
        </w:rPr>
      </w:pPr>
      <w:r w:rsidRPr="0072045E">
        <w:rPr>
          <w:rFonts w:ascii="Arial" w:hAnsi="Arial" w:cs="Arial"/>
          <w:b/>
          <w:bCs/>
        </w:rPr>
        <w:t>Brock model</w:t>
      </w:r>
    </w:p>
    <w:p w14:paraId="029EDEF8" w14:textId="6C1B6D1D" w:rsidR="0050479F" w:rsidRPr="0072045E" w:rsidRDefault="0050479F" w:rsidP="007A149F">
      <w:pPr>
        <w:spacing w:line="276" w:lineRule="auto"/>
        <w:jc w:val="both"/>
        <w:rPr>
          <w:rFonts w:ascii="Arial" w:hAnsi="Arial" w:cs="Arial"/>
          <w:b/>
          <w:bCs/>
        </w:rPr>
      </w:pPr>
      <w:r w:rsidRPr="0072045E">
        <w:rPr>
          <w:rFonts w:ascii="Arial" w:hAnsi="Arial" w:cs="Arial"/>
        </w:rPr>
        <w:t xml:space="preserve">The </w:t>
      </w:r>
      <w:r w:rsidRPr="0072045E">
        <w:rPr>
          <w:rFonts w:ascii="Arial" w:hAnsi="Arial" w:cs="Arial"/>
          <w:iCs/>
        </w:rPr>
        <w:t>Brock model is a multivariable model that estimates the risk that a pulmonary nodule on CT scan is lung cancer. By providing an estimate of nodule lung cancer risk, the Brock model can assist in determining appropriate follow-up and management of pulmonary nodules detected on CT. The Brock model utilises key inputs including nodule size, location in the lung, age, smoking status, family history of lung cancer, sex, and nodule count</w:t>
      </w:r>
      <w:r w:rsidR="009B0AD8" w:rsidRPr="0072045E">
        <w:rPr>
          <w:rFonts w:ascii="Arial" w:hAnsi="Arial" w:cs="Arial"/>
          <w:iCs/>
        </w:rPr>
        <w:t>.</w:t>
      </w:r>
    </w:p>
    <w:p w14:paraId="7C8832F6" w14:textId="77777777" w:rsidR="0050479F" w:rsidRPr="0072045E" w:rsidRDefault="0050479F" w:rsidP="007A149F">
      <w:pPr>
        <w:spacing w:line="276" w:lineRule="auto"/>
        <w:jc w:val="both"/>
        <w:rPr>
          <w:rFonts w:ascii="Arial" w:hAnsi="Arial" w:cs="Arial"/>
          <w:b/>
          <w:bCs/>
        </w:rPr>
      </w:pPr>
    </w:p>
    <w:p w14:paraId="733BDB5A" w14:textId="23DC9448" w:rsidR="00BF26C8" w:rsidRPr="0072045E" w:rsidRDefault="00BF26C8" w:rsidP="007A149F">
      <w:pPr>
        <w:spacing w:line="276" w:lineRule="auto"/>
        <w:jc w:val="both"/>
        <w:rPr>
          <w:rFonts w:ascii="Arial" w:hAnsi="Arial" w:cs="Arial"/>
          <w:b/>
          <w:bCs/>
        </w:rPr>
      </w:pPr>
      <w:r w:rsidRPr="0072045E">
        <w:rPr>
          <w:rFonts w:ascii="Arial" w:hAnsi="Arial" w:cs="Arial"/>
          <w:b/>
          <w:bCs/>
        </w:rPr>
        <w:t>Endobronchial ultrasound (EBUS)</w:t>
      </w:r>
    </w:p>
    <w:p w14:paraId="5A5AF5B8" w14:textId="77777777" w:rsidR="00BF26C8" w:rsidRPr="0072045E" w:rsidRDefault="00BF26C8" w:rsidP="007A149F">
      <w:pPr>
        <w:spacing w:line="276" w:lineRule="auto"/>
        <w:jc w:val="both"/>
        <w:rPr>
          <w:rFonts w:ascii="Arial" w:hAnsi="Arial" w:cs="Arial"/>
        </w:rPr>
      </w:pPr>
      <w:r w:rsidRPr="0072045E">
        <w:rPr>
          <w:rFonts w:ascii="Arial" w:hAnsi="Arial" w:cs="Arial"/>
        </w:rPr>
        <w:t>Fine needle aspiration, in which a fine needle is inserted an area of abnormal swelling or lumps under the skin, such as cysts, nodules or masses, and enlarged lymph nodes</w:t>
      </w:r>
    </w:p>
    <w:p w14:paraId="6E916E94" w14:textId="77777777" w:rsidR="00BF26C8" w:rsidRPr="0072045E" w:rsidRDefault="00BF26C8" w:rsidP="007A149F">
      <w:pPr>
        <w:pStyle w:val="Paragraphnonumbers"/>
        <w:spacing w:after="0"/>
        <w:rPr>
          <w:rFonts w:cs="Arial"/>
          <w:b/>
          <w:bCs/>
        </w:rPr>
      </w:pPr>
      <w:r w:rsidRPr="0072045E">
        <w:rPr>
          <w:rFonts w:cs="Arial"/>
          <w:b/>
          <w:bCs/>
        </w:rPr>
        <w:t>Incremental cost-effectiveness ratio (ICER)</w:t>
      </w:r>
    </w:p>
    <w:p w14:paraId="5C4C22B1" w14:textId="77777777" w:rsidR="00BF26C8" w:rsidRPr="0072045E" w:rsidRDefault="00BF26C8" w:rsidP="007A149F">
      <w:pPr>
        <w:pStyle w:val="Paragraphnonumbers"/>
        <w:spacing w:before="0"/>
        <w:rPr>
          <w:rFonts w:cs="Arial"/>
        </w:rPr>
      </w:pPr>
      <w:r w:rsidRPr="0072045E">
        <w:rPr>
          <w:rFonts w:cs="Arial"/>
        </w:rPr>
        <w:t>The difference in the change in mean costs in the population of interest divided by the difference in the change in mean outcomes in the population of interest</w:t>
      </w:r>
    </w:p>
    <w:p w14:paraId="6FDBD51D" w14:textId="77777777" w:rsidR="00BF26C8" w:rsidRPr="0072045E" w:rsidRDefault="00BF26C8" w:rsidP="007A149F">
      <w:pPr>
        <w:pStyle w:val="Paragraphnonumbers"/>
        <w:spacing w:after="0"/>
        <w:rPr>
          <w:rFonts w:cs="Arial"/>
          <w:b/>
          <w:bCs/>
        </w:rPr>
      </w:pPr>
      <w:r w:rsidRPr="0072045E">
        <w:rPr>
          <w:rFonts w:cs="Arial"/>
          <w:b/>
          <w:bCs/>
        </w:rPr>
        <w:t>Quality-adjusted life year (QALY)</w:t>
      </w:r>
    </w:p>
    <w:p w14:paraId="5F8B9A31" w14:textId="77777777" w:rsidR="00BF26C8" w:rsidRPr="0072045E" w:rsidRDefault="00BF26C8" w:rsidP="007A149F">
      <w:pPr>
        <w:pStyle w:val="Paragraphnonumbers"/>
        <w:spacing w:before="0"/>
        <w:rPr>
          <w:rFonts w:cs="Arial"/>
        </w:rPr>
      </w:pPr>
      <w:bookmarkStart w:id="50" w:name="_Hlk52343437"/>
      <w:r w:rsidRPr="0072045E">
        <w:rPr>
          <w:rFonts w:cs="Arial"/>
        </w:rPr>
        <w:t xml:space="preserve">A measure of the state of health of a person or group in which the benefits, in terms of length </w:t>
      </w:r>
      <w:bookmarkEnd w:id="50"/>
      <w:r w:rsidRPr="0072045E">
        <w:rPr>
          <w:rFonts w:cs="Arial"/>
        </w:rPr>
        <w:t>of life, are adjusted to reflect the quality of life. One QALY is equal to 1 year of life in perfect health. QALYs are calculated by estimating the years of life remaining for a patient following a particular treatment or intervention and weighting each year with a quality-of-life score (on a 0 to 1 scale). It is often measured in terms of the person’s ability to carry out the activities of daily life, and freedom from pain and mental disturbance.</w:t>
      </w:r>
      <w:r w:rsidRPr="0072045E">
        <w:rPr>
          <w:rFonts w:cs="Arial"/>
          <w:b/>
          <w:bCs/>
        </w:rPr>
        <w:t xml:space="preserve"> </w:t>
      </w:r>
    </w:p>
    <w:p w14:paraId="09A72FEF" w14:textId="77777777" w:rsidR="00BF26C8" w:rsidRPr="0072045E" w:rsidRDefault="00BF26C8" w:rsidP="007A149F">
      <w:pPr>
        <w:pStyle w:val="Paragraphnonumbers"/>
        <w:spacing w:after="0"/>
        <w:rPr>
          <w:rFonts w:cs="Arial"/>
          <w:b/>
          <w:bCs/>
        </w:rPr>
      </w:pPr>
      <w:r w:rsidRPr="0072045E">
        <w:rPr>
          <w:rFonts w:cs="Arial"/>
          <w:b/>
          <w:bCs/>
        </w:rPr>
        <w:t>Standard care</w:t>
      </w:r>
    </w:p>
    <w:p w14:paraId="6DE6870A" w14:textId="3E34A2BE" w:rsidR="00BF26C8" w:rsidRPr="0072045E" w:rsidRDefault="00BF26C8" w:rsidP="007A149F">
      <w:pPr>
        <w:pStyle w:val="Paragraphnonumbers"/>
        <w:spacing w:before="0"/>
        <w:rPr>
          <w:rFonts w:cs="Arial"/>
        </w:rPr>
      </w:pPr>
      <w:r w:rsidRPr="0072045E">
        <w:rPr>
          <w:rFonts w:cs="Arial"/>
        </w:rPr>
        <w:t>The best available</w:t>
      </w:r>
      <w:r w:rsidR="00AD5184" w:rsidRPr="0072045E">
        <w:rPr>
          <w:rFonts w:cs="Arial"/>
        </w:rPr>
        <w:t xml:space="preserve"> current clinical practice</w:t>
      </w:r>
      <w:r w:rsidRPr="0072045E">
        <w:rPr>
          <w:rFonts w:cs="Arial"/>
        </w:rPr>
        <w:t xml:space="preserve"> diagnostic test, against which the technology under assessment is compared.</w:t>
      </w:r>
    </w:p>
    <w:p w14:paraId="3FD772B5" w14:textId="77777777" w:rsidR="00BF26C8" w:rsidRPr="0072045E" w:rsidRDefault="00BF26C8" w:rsidP="007A149F">
      <w:pPr>
        <w:spacing w:line="276" w:lineRule="auto"/>
        <w:jc w:val="both"/>
        <w:rPr>
          <w:rStyle w:val="Strong"/>
          <w:rFonts w:ascii="Arial" w:hAnsi="Arial" w:cs="Arial"/>
          <w:bdr w:val="none" w:sz="0" w:space="0" w:color="auto" w:frame="1"/>
        </w:rPr>
      </w:pPr>
      <w:r w:rsidRPr="0072045E">
        <w:rPr>
          <w:rStyle w:val="Strong"/>
          <w:rFonts w:ascii="Arial" w:hAnsi="Arial" w:cs="Arial"/>
          <w:bdr w:val="none" w:sz="0" w:space="0" w:color="auto" w:frame="1"/>
        </w:rPr>
        <w:t>Staging</w:t>
      </w:r>
    </w:p>
    <w:p w14:paraId="47586F22" w14:textId="77CB1D48" w:rsidR="00BF26C8" w:rsidRPr="0072045E" w:rsidRDefault="00BF26C8" w:rsidP="007A149F">
      <w:pPr>
        <w:spacing w:line="276" w:lineRule="auto"/>
        <w:jc w:val="both"/>
        <w:rPr>
          <w:rFonts w:ascii="Arial" w:hAnsi="Arial" w:cs="Arial"/>
        </w:rPr>
      </w:pPr>
      <w:r w:rsidRPr="0072045E">
        <w:rPr>
          <w:rFonts w:ascii="Arial" w:hAnsi="Arial" w:cs="Arial"/>
        </w:rPr>
        <w:t>These are medical tests to establish the extent of a cancer. Staging is a way of describing the size and any spread of cancer and is an important factor in deciding the best treatment</w:t>
      </w:r>
      <w:r w:rsidR="007C32A7" w:rsidRPr="0072045E">
        <w:rPr>
          <w:rFonts w:ascii="Arial" w:hAnsi="Arial" w:cs="Arial"/>
        </w:rPr>
        <w:t>.</w:t>
      </w:r>
    </w:p>
    <w:p w14:paraId="26AC3BFA" w14:textId="77777777" w:rsidR="00BF26C8" w:rsidRPr="0072045E" w:rsidRDefault="00BF26C8" w:rsidP="007A149F">
      <w:pPr>
        <w:spacing w:line="276" w:lineRule="auto"/>
        <w:jc w:val="both"/>
        <w:rPr>
          <w:rFonts w:ascii="Arial" w:hAnsi="Arial" w:cs="Arial"/>
        </w:rPr>
      </w:pPr>
    </w:p>
    <w:p w14:paraId="3885AA61" w14:textId="77777777" w:rsidR="00BF26C8" w:rsidRPr="0072045E" w:rsidRDefault="00BF26C8" w:rsidP="007A149F">
      <w:pPr>
        <w:spacing w:line="276" w:lineRule="auto"/>
        <w:jc w:val="both"/>
        <w:rPr>
          <w:rStyle w:val="Strong"/>
          <w:rFonts w:ascii="Arial" w:hAnsi="Arial" w:cs="Arial"/>
          <w:bdr w:val="none" w:sz="0" w:space="0" w:color="auto" w:frame="1"/>
        </w:rPr>
      </w:pPr>
      <w:r w:rsidRPr="0072045E">
        <w:rPr>
          <w:rStyle w:val="Strong"/>
          <w:rFonts w:ascii="Arial" w:hAnsi="Arial" w:cs="Arial"/>
          <w:bdr w:val="none" w:sz="0" w:space="0" w:color="auto" w:frame="1"/>
        </w:rPr>
        <w:t>Malignant</w:t>
      </w:r>
    </w:p>
    <w:p w14:paraId="7AE62CCB" w14:textId="1865162D" w:rsidR="00BF26C8" w:rsidRPr="0072045E" w:rsidRDefault="00BF26C8" w:rsidP="007A149F">
      <w:pPr>
        <w:spacing w:line="276" w:lineRule="auto"/>
        <w:jc w:val="both"/>
        <w:rPr>
          <w:rFonts w:ascii="Arial" w:hAnsi="Arial" w:cs="Arial"/>
        </w:rPr>
      </w:pPr>
      <w:r w:rsidRPr="0072045E">
        <w:rPr>
          <w:rFonts w:ascii="Arial" w:hAnsi="Arial" w:cs="Arial"/>
        </w:rPr>
        <w:t>This is a cancer. The word malignant describes the fact that the cancer is not under normal control and that it has the potential to spread both locally and to distant areas</w:t>
      </w:r>
      <w:r w:rsidR="007C32A7" w:rsidRPr="0072045E">
        <w:rPr>
          <w:rFonts w:ascii="Arial" w:hAnsi="Arial" w:cs="Arial"/>
        </w:rPr>
        <w:t>.</w:t>
      </w:r>
    </w:p>
    <w:p w14:paraId="6B51549D" w14:textId="0664099D" w:rsidR="00BF26C8" w:rsidRPr="0072045E" w:rsidRDefault="00BF26C8" w:rsidP="007A149F">
      <w:pPr>
        <w:pStyle w:val="AppendixA"/>
        <w:spacing w:line="276" w:lineRule="auto"/>
        <w:jc w:val="both"/>
        <w:rPr>
          <w:rFonts w:cs="Arial"/>
          <w:sz w:val="24"/>
          <w:szCs w:val="24"/>
        </w:rPr>
      </w:pPr>
      <w:r w:rsidRPr="0072045E">
        <w:rPr>
          <w:rFonts w:cs="Arial"/>
          <w:sz w:val="24"/>
          <w:szCs w:val="24"/>
        </w:rPr>
        <w:br w:type="page"/>
      </w:r>
      <w:r w:rsidRPr="0072045E">
        <w:rPr>
          <w:rFonts w:cs="Arial"/>
          <w:sz w:val="24"/>
          <w:szCs w:val="24"/>
        </w:rPr>
        <w:lastRenderedPageBreak/>
        <w:t xml:space="preserve">Appendix </w:t>
      </w:r>
      <w:r w:rsidR="00197DBA">
        <w:rPr>
          <w:rFonts w:cs="Arial"/>
          <w:sz w:val="24"/>
          <w:szCs w:val="24"/>
        </w:rPr>
        <w:t>B</w:t>
      </w:r>
      <w:r w:rsidRPr="0072045E">
        <w:rPr>
          <w:rFonts w:cs="Arial"/>
          <w:sz w:val="24"/>
          <w:szCs w:val="24"/>
        </w:rPr>
        <w:tab/>
        <w:t>Abbreviations</w:t>
      </w:r>
      <w:bookmarkEnd w:id="49"/>
    </w:p>
    <w:p w14:paraId="2A280864" w14:textId="789332A7" w:rsidR="00BF26C8" w:rsidRPr="0072045E" w:rsidRDefault="0006564D" w:rsidP="007A149F">
      <w:pPr>
        <w:pStyle w:val="Paragraphnonumbers"/>
        <w:rPr>
          <w:rFonts w:cs="Arial"/>
        </w:rPr>
      </w:pPr>
      <w:r w:rsidRPr="0072045E">
        <w:rPr>
          <w:rFonts w:cs="Arial"/>
        </w:rPr>
        <w:t>B</w:t>
      </w:r>
      <w:r w:rsidR="0059524B" w:rsidRPr="0072045E">
        <w:rPr>
          <w:rFonts w:cs="Arial"/>
        </w:rPr>
        <w:t>TS</w:t>
      </w:r>
      <w:r w:rsidR="004243B2">
        <w:rPr>
          <w:rFonts w:cs="Arial"/>
        </w:rPr>
        <w:tab/>
      </w:r>
      <w:r w:rsidR="004243B2">
        <w:rPr>
          <w:rFonts w:cs="Arial"/>
        </w:rPr>
        <w:tab/>
      </w:r>
      <w:r w:rsidR="00BF26C8" w:rsidRPr="0072045E">
        <w:rPr>
          <w:rFonts w:cs="Arial"/>
        </w:rPr>
        <w:t>British Thoracic Society</w:t>
      </w:r>
    </w:p>
    <w:p w14:paraId="5CD6B9D2" w14:textId="420B31EB" w:rsidR="00BF26C8" w:rsidRPr="0072045E" w:rsidRDefault="00BF26C8" w:rsidP="007A149F">
      <w:pPr>
        <w:pStyle w:val="Paragraphnonumbers"/>
        <w:rPr>
          <w:rFonts w:cs="Arial"/>
        </w:rPr>
      </w:pPr>
      <w:r w:rsidRPr="0072045E">
        <w:rPr>
          <w:rFonts w:cs="Arial"/>
        </w:rPr>
        <w:t>ELISA</w:t>
      </w:r>
      <w:r w:rsidR="004243B2">
        <w:rPr>
          <w:rFonts w:cs="Arial"/>
        </w:rPr>
        <w:tab/>
      </w:r>
      <w:r w:rsidR="004243B2">
        <w:rPr>
          <w:rFonts w:cs="Arial"/>
        </w:rPr>
        <w:tab/>
      </w:r>
      <w:r w:rsidRPr="0072045E">
        <w:rPr>
          <w:rFonts w:cs="Arial"/>
        </w:rPr>
        <w:t xml:space="preserve">Enzyme-linked immunosorbent assay </w:t>
      </w:r>
    </w:p>
    <w:p w14:paraId="34A390CB" w14:textId="4CF0394E" w:rsidR="00BF26C8" w:rsidRPr="0072045E" w:rsidRDefault="00BF26C8" w:rsidP="007A149F">
      <w:pPr>
        <w:pStyle w:val="Paragraphnonumbers"/>
        <w:rPr>
          <w:rFonts w:cs="Arial"/>
        </w:rPr>
      </w:pPr>
      <w:r w:rsidRPr="0072045E">
        <w:rPr>
          <w:rFonts w:cs="Arial"/>
        </w:rPr>
        <w:t>IPN</w:t>
      </w:r>
      <w:r w:rsidR="00AB44FB" w:rsidRPr="0072045E">
        <w:rPr>
          <w:rFonts w:cs="Arial"/>
        </w:rPr>
        <w:tab/>
      </w:r>
      <w:r w:rsidR="00AB44FB" w:rsidRPr="0072045E">
        <w:rPr>
          <w:rFonts w:cs="Arial"/>
        </w:rPr>
        <w:tab/>
      </w:r>
      <w:r w:rsidRPr="0072045E">
        <w:rPr>
          <w:rFonts w:cs="Arial"/>
        </w:rPr>
        <w:t xml:space="preserve">Indeterminate </w:t>
      </w:r>
      <w:r w:rsidR="00032EA6">
        <w:rPr>
          <w:rFonts w:cs="Arial"/>
        </w:rPr>
        <w:t>p</w:t>
      </w:r>
      <w:r w:rsidRPr="0072045E">
        <w:rPr>
          <w:rFonts w:cs="Arial"/>
        </w:rPr>
        <w:t xml:space="preserve">ulmonary </w:t>
      </w:r>
      <w:r w:rsidR="00032EA6">
        <w:rPr>
          <w:rFonts w:cs="Arial"/>
        </w:rPr>
        <w:t>n</w:t>
      </w:r>
      <w:r w:rsidRPr="0072045E">
        <w:rPr>
          <w:rFonts w:cs="Arial"/>
        </w:rPr>
        <w:t>odule</w:t>
      </w:r>
    </w:p>
    <w:p w14:paraId="01F69DFB" w14:textId="07412C60" w:rsidR="00BF26C8" w:rsidRPr="0072045E" w:rsidRDefault="00BF26C8" w:rsidP="007A149F">
      <w:pPr>
        <w:pStyle w:val="Paragraphnonumbers"/>
        <w:rPr>
          <w:rFonts w:cs="Arial"/>
        </w:rPr>
      </w:pPr>
      <w:r w:rsidRPr="0072045E">
        <w:rPr>
          <w:rFonts w:cs="Arial"/>
        </w:rPr>
        <w:t>NHS</w:t>
      </w:r>
      <w:r w:rsidR="00AB44FB" w:rsidRPr="0072045E">
        <w:rPr>
          <w:rFonts w:cs="Arial"/>
        </w:rPr>
        <w:tab/>
      </w:r>
      <w:r w:rsidR="00AB44FB" w:rsidRPr="0072045E">
        <w:rPr>
          <w:rFonts w:cs="Arial"/>
        </w:rPr>
        <w:tab/>
      </w:r>
      <w:r w:rsidRPr="0072045E">
        <w:rPr>
          <w:rFonts w:cs="Arial"/>
        </w:rPr>
        <w:t>National Health Service</w:t>
      </w:r>
    </w:p>
    <w:p w14:paraId="6D175EAD" w14:textId="6A5022E8" w:rsidR="00BF26C8" w:rsidRPr="0072045E" w:rsidRDefault="00BF26C8" w:rsidP="007A149F">
      <w:pPr>
        <w:pStyle w:val="Paragraphnonumbers"/>
        <w:rPr>
          <w:rFonts w:cs="Arial"/>
        </w:rPr>
      </w:pPr>
      <w:r w:rsidRPr="0072045E">
        <w:rPr>
          <w:rFonts w:cs="Arial"/>
        </w:rPr>
        <w:t>NICE</w:t>
      </w:r>
      <w:r w:rsidR="00AB44FB" w:rsidRPr="0072045E">
        <w:rPr>
          <w:rFonts w:cs="Arial"/>
        </w:rPr>
        <w:tab/>
      </w:r>
      <w:r w:rsidR="00AB44FB" w:rsidRPr="0072045E">
        <w:rPr>
          <w:rFonts w:cs="Arial"/>
        </w:rPr>
        <w:tab/>
      </w:r>
      <w:r w:rsidRPr="0072045E">
        <w:rPr>
          <w:rFonts w:cs="Arial"/>
        </w:rPr>
        <w:t>National Institute for Health and Clinical Excellence</w:t>
      </w:r>
    </w:p>
    <w:p w14:paraId="34981168" w14:textId="122ED161" w:rsidR="00BF26C8" w:rsidRPr="0072045E" w:rsidRDefault="00BF26C8" w:rsidP="007A149F">
      <w:pPr>
        <w:pStyle w:val="Paragraphnonumbers"/>
        <w:rPr>
          <w:rFonts w:cs="Arial"/>
        </w:rPr>
      </w:pPr>
      <w:r w:rsidRPr="0072045E">
        <w:rPr>
          <w:rFonts w:cs="Arial"/>
        </w:rPr>
        <w:t>NLST</w:t>
      </w:r>
      <w:r w:rsidR="00AB44FB" w:rsidRPr="0072045E">
        <w:rPr>
          <w:rFonts w:cs="Arial"/>
        </w:rPr>
        <w:tab/>
      </w:r>
      <w:r w:rsidR="00AB44FB" w:rsidRPr="0072045E">
        <w:rPr>
          <w:rFonts w:cs="Arial"/>
        </w:rPr>
        <w:tab/>
      </w:r>
      <w:r w:rsidRPr="0072045E">
        <w:rPr>
          <w:rFonts w:cs="Arial"/>
        </w:rPr>
        <w:t>National Lung Screening Trial</w:t>
      </w:r>
    </w:p>
    <w:p w14:paraId="48E0853E" w14:textId="5203C317" w:rsidR="00BF26C8" w:rsidRPr="0072045E" w:rsidRDefault="00BF26C8" w:rsidP="007A149F">
      <w:pPr>
        <w:pStyle w:val="Paragraphnonumbers"/>
        <w:rPr>
          <w:rFonts w:cs="Arial"/>
        </w:rPr>
      </w:pPr>
      <w:r w:rsidRPr="0072045E">
        <w:rPr>
          <w:rFonts w:cs="Arial"/>
        </w:rPr>
        <w:t>NSCLC</w:t>
      </w:r>
      <w:r w:rsidR="00AB44FB" w:rsidRPr="0072045E">
        <w:rPr>
          <w:rFonts w:cs="Arial"/>
        </w:rPr>
        <w:tab/>
      </w:r>
      <w:r w:rsidRPr="0072045E">
        <w:rPr>
          <w:rFonts w:cs="Arial"/>
        </w:rPr>
        <w:t>Non-</w:t>
      </w:r>
      <w:r w:rsidR="004243B2">
        <w:rPr>
          <w:rFonts w:cs="Arial"/>
        </w:rPr>
        <w:t>s</w:t>
      </w:r>
      <w:r w:rsidRPr="0072045E">
        <w:rPr>
          <w:rFonts w:cs="Arial"/>
        </w:rPr>
        <w:t xml:space="preserve">mall </w:t>
      </w:r>
      <w:r w:rsidR="004243B2">
        <w:rPr>
          <w:rFonts w:cs="Arial"/>
        </w:rPr>
        <w:t>c</w:t>
      </w:r>
      <w:r w:rsidRPr="0072045E">
        <w:rPr>
          <w:rFonts w:cs="Arial"/>
        </w:rPr>
        <w:t xml:space="preserve">ell </w:t>
      </w:r>
      <w:r w:rsidR="004243B2">
        <w:rPr>
          <w:rFonts w:cs="Arial"/>
        </w:rPr>
        <w:t>l</w:t>
      </w:r>
      <w:r w:rsidRPr="0072045E">
        <w:rPr>
          <w:rFonts w:cs="Arial"/>
        </w:rPr>
        <w:t xml:space="preserve">ung </w:t>
      </w:r>
      <w:r w:rsidR="004243B2">
        <w:rPr>
          <w:rFonts w:cs="Arial"/>
        </w:rPr>
        <w:t>c</w:t>
      </w:r>
      <w:r w:rsidRPr="0072045E">
        <w:rPr>
          <w:rFonts w:cs="Arial"/>
        </w:rPr>
        <w:t>ancer</w:t>
      </w:r>
    </w:p>
    <w:p w14:paraId="686479C8" w14:textId="756035C6" w:rsidR="00BF26C8" w:rsidRPr="0072045E" w:rsidRDefault="00AB44FB" w:rsidP="007A149F">
      <w:pPr>
        <w:pStyle w:val="Paragraphnonumbers"/>
        <w:rPr>
          <w:rFonts w:cs="Arial"/>
        </w:rPr>
      </w:pPr>
      <w:r w:rsidRPr="0072045E">
        <w:rPr>
          <w:rFonts w:cs="Arial"/>
        </w:rPr>
        <w:t>QoL</w:t>
      </w:r>
      <w:r w:rsidRPr="0072045E">
        <w:rPr>
          <w:rFonts w:cs="Arial"/>
        </w:rPr>
        <w:tab/>
      </w:r>
      <w:r w:rsidRPr="0072045E">
        <w:rPr>
          <w:rFonts w:cs="Arial"/>
        </w:rPr>
        <w:tab/>
      </w:r>
      <w:r w:rsidR="00BF26C8" w:rsidRPr="0072045E">
        <w:rPr>
          <w:rFonts w:cs="Arial"/>
        </w:rPr>
        <w:t xml:space="preserve">Quality of </w:t>
      </w:r>
      <w:r w:rsidR="004243B2">
        <w:rPr>
          <w:rFonts w:cs="Arial"/>
        </w:rPr>
        <w:t>l</w:t>
      </w:r>
      <w:r w:rsidR="00BF26C8" w:rsidRPr="0072045E">
        <w:rPr>
          <w:rFonts w:cs="Arial"/>
        </w:rPr>
        <w:t>ife</w:t>
      </w:r>
    </w:p>
    <w:p w14:paraId="46D9B689" w14:textId="19979FD0" w:rsidR="0059524B" w:rsidRPr="0072045E" w:rsidRDefault="0059524B" w:rsidP="007A149F">
      <w:pPr>
        <w:pStyle w:val="Paragraphnonumbers"/>
        <w:rPr>
          <w:rFonts w:cs="Arial"/>
        </w:rPr>
      </w:pPr>
      <w:r w:rsidRPr="0072045E">
        <w:rPr>
          <w:rFonts w:cs="Arial"/>
        </w:rPr>
        <w:t>SCLC</w:t>
      </w:r>
      <w:r w:rsidR="004243B2">
        <w:rPr>
          <w:rFonts w:cs="Arial"/>
        </w:rPr>
        <w:tab/>
      </w:r>
      <w:r w:rsidR="004243B2">
        <w:rPr>
          <w:rFonts w:cs="Arial"/>
        </w:rPr>
        <w:tab/>
      </w:r>
      <w:r w:rsidRPr="0072045E">
        <w:rPr>
          <w:rFonts w:cs="Arial"/>
        </w:rPr>
        <w:t xml:space="preserve">Small </w:t>
      </w:r>
      <w:r w:rsidR="004243B2">
        <w:rPr>
          <w:rFonts w:cs="Arial"/>
        </w:rPr>
        <w:t>c</w:t>
      </w:r>
      <w:r w:rsidRPr="0072045E">
        <w:rPr>
          <w:rFonts w:cs="Arial"/>
        </w:rPr>
        <w:t xml:space="preserve">ell </w:t>
      </w:r>
      <w:r w:rsidR="004243B2">
        <w:rPr>
          <w:rFonts w:cs="Arial"/>
        </w:rPr>
        <w:t>l</w:t>
      </w:r>
      <w:r w:rsidRPr="0072045E">
        <w:rPr>
          <w:rFonts w:cs="Arial"/>
        </w:rPr>
        <w:t xml:space="preserve">ung </w:t>
      </w:r>
      <w:r w:rsidR="004243B2">
        <w:rPr>
          <w:rFonts w:cs="Arial"/>
        </w:rPr>
        <w:t>c</w:t>
      </w:r>
      <w:r w:rsidRPr="0072045E">
        <w:rPr>
          <w:rFonts w:cs="Arial"/>
        </w:rPr>
        <w:t>ancer</w:t>
      </w:r>
    </w:p>
    <w:p w14:paraId="71A0DAD3" w14:textId="2924ED2C" w:rsidR="00BF26C8" w:rsidRPr="0072045E" w:rsidRDefault="00AB44FB" w:rsidP="007A149F">
      <w:pPr>
        <w:pStyle w:val="Paragraphnonumbers"/>
        <w:rPr>
          <w:rFonts w:cs="Arial"/>
        </w:rPr>
      </w:pPr>
      <w:r w:rsidRPr="0072045E">
        <w:rPr>
          <w:rFonts w:cs="Arial"/>
        </w:rPr>
        <w:t>VDT</w:t>
      </w:r>
      <w:r w:rsidRPr="0072045E">
        <w:rPr>
          <w:rFonts w:cs="Arial"/>
        </w:rPr>
        <w:tab/>
      </w:r>
      <w:r w:rsidRPr="0072045E">
        <w:rPr>
          <w:rFonts w:cs="Arial"/>
        </w:rPr>
        <w:tab/>
      </w:r>
      <w:r w:rsidR="00BF26C8" w:rsidRPr="0072045E">
        <w:rPr>
          <w:rFonts w:cs="Arial"/>
        </w:rPr>
        <w:t xml:space="preserve">Volume </w:t>
      </w:r>
      <w:r w:rsidR="004243B2">
        <w:rPr>
          <w:rFonts w:cs="Arial"/>
        </w:rPr>
        <w:t>d</w:t>
      </w:r>
      <w:r w:rsidR="00BF26C8" w:rsidRPr="0072045E">
        <w:rPr>
          <w:rFonts w:cs="Arial"/>
        </w:rPr>
        <w:t xml:space="preserve">oubling </w:t>
      </w:r>
      <w:r w:rsidR="004243B2">
        <w:rPr>
          <w:rFonts w:cs="Arial"/>
        </w:rPr>
        <w:t>t</w:t>
      </w:r>
      <w:r w:rsidR="00BF26C8" w:rsidRPr="0072045E">
        <w:rPr>
          <w:rFonts w:cs="Arial"/>
        </w:rPr>
        <w:t>ime</w:t>
      </w:r>
    </w:p>
    <w:p w14:paraId="4AAC2810" w14:textId="77777777" w:rsidR="0059524B" w:rsidRPr="0072045E" w:rsidRDefault="0059524B" w:rsidP="007A149F">
      <w:pPr>
        <w:pStyle w:val="Paragraphnonumbers"/>
        <w:rPr>
          <w:rFonts w:cs="Arial"/>
        </w:rPr>
      </w:pPr>
    </w:p>
    <w:p w14:paraId="42F7C371" w14:textId="77777777" w:rsidR="00BF26C8" w:rsidRPr="0072045E" w:rsidRDefault="00BF26C8" w:rsidP="007A149F">
      <w:pPr>
        <w:pStyle w:val="Paragraphnonumbers"/>
        <w:rPr>
          <w:rFonts w:cs="Arial"/>
        </w:rPr>
      </w:pPr>
    </w:p>
    <w:tbl>
      <w:tblPr>
        <w:tblW w:w="0" w:type="auto"/>
        <w:tblLook w:val="04A0" w:firstRow="1" w:lastRow="0" w:firstColumn="1" w:lastColumn="0" w:noHBand="0" w:noVBand="1"/>
      </w:tblPr>
      <w:tblGrid>
        <w:gridCol w:w="2318"/>
        <w:gridCol w:w="5988"/>
      </w:tblGrid>
      <w:tr w:rsidR="00BF26C8" w:rsidRPr="0072045E" w14:paraId="5A545395" w14:textId="77777777" w:rsidTr="00766375">
        <w:trPr>
          <w:trHeight w:val="70"/>
        </w:trPr>
        <w:tc>
          <w:tcPr>
            <w:tcW w:w="2376" w:type="dxa"/>
          </w:tcPr>
          <w:p w14:paraId="3611AA61" w14:textId="77777777" w:rsidR="00BF26C8" w:rsidRPr="0072045E" w:rsidRDefault="00BF26C8" w:rsidP="007A149F">
            <w:pPr>
              <w:pStyle w:val="Paragraphnonumbers"/>
              <w:spacing w:before="0"/>
              <w:jc w:val="both"/>
              <w:rPr>
                <w:rFonts w:cs="Arial"/>
              </w:rPr>
            </w:pPr>
            <w:r w:rsidRPr="0072045E">
              <w:rPr>
                <w:rFonts w:cs="Arial"/>
              </w:rPr>
              <w:t xml:space="preserve"> </w:t>
            </w:r>
          </w:p>
        </w:tc>
        <w:tc>
          <w:tcPr>
            <w:tcW w:w="6146" w:type="dxa"/>
          </w:tcPr>
          <w:p w14:paraId="5EC22D65" w14:textId="77777777" w:rsidR="00BF26C8" w:rsidRPr="0072045E" w:rsidRDefault="00BF26C8" w:rsidP="007A149F">
            <w:pPr>
              <w:pStyle w:val="Paragraphnonumbers"/>
              <w:spacing w:before="0"/>
              <w:jc w:val="both"/>
              <w:rPr>
                <w:rFonts w:cs="Arial"/>
              </w:rPr>
            </w:pPr>
          </w:p>
        </w:tc>
      </w:tr>
      <w:tr w:rsidR="00BF26C8" w:rsidRPr="0072045E" w14:paraId="05FD0210" w14:textId="77777777" w:rsidTr="00766375">
        <w:trPr>
          <w:trHeight w:val="70"/>
        </w:trPr>
        <w:tc>
          <w:tcPr>
            <w:tcW w:w="2376" w:type="dxa"/>
          </w:tcPr>
          <w:p w14:paraId="70175770" w14:textId="77777777" w:rsidR="00BF26C8" w:rsidRPr="0072045E" w:rsidRDefault="00BF26C8" w:rsidP="007A149F">
            <w:pPr>
              <w:pStyle w:val="Paragraphnonumbers"/>
              <w:spacing w:before="0"/>
              <w:jc w:val="both"/>
              <w:rPr>
                <w:rFonts w:cs="Arial"/>
              </w:rPr>
            </w:pPr>
          </w:p>
        </w:tc>
        <w:tc>
          <w:tcPr>
            <w:tcW w:w="6146" w:type="dxa"/>
          </w:tcPr>
          <w:p w14:paraId="4A825B7F" w14:textId="77777777" w:rsidR="00BF26C8" w:rsidRPr="0072045E" w:rsidRDefault="00BF26C8" w:rsidP="007A149F">
            <w:pPr>
              <w:pStyle w:val="Paragraphnonumbers"/>
              <w:spacing w:before="0"/>
              <w:jc w:val="both"/>
              <w:rPr>
                <w:rFonts w:cs="Arial"/>
              </w:rPr>
            </w:pPr>
          </w:p>
        </w:tc>
      </w:tr>
      <w:tr w:rsidR="00BF26C8" w:rsidRPr="0072045E" w14:paraId="5666AEB6" w14:textId="77777777" w:rsidTr="00766375">
        <w:trPr>
          <w:trHeight w:val="70"/>
        </w:trPr>
        <w:tc>
          <w:tcPr>
            <w:tcW w:w="2376" w:type="dxa"/>
          </w:tcPr>
          <w:p w14:paraId="5644DB01" w14:textId="77777777" w:rsidR="00BF26C8" w:rsidRPr="0072045E" w:rsidRDefault="00BF26C8" w:rsidP="007A149F">
            <w:pPr>
              <w:pStyle w:val="Paragraphnonumbers"/>
              <w:spacing w:before="0"/>
              <w:jc w:val="both"/>
              <w:rPr>
                <w:rFonts w:cs="Arial"/>
              </w:rPr>
            </w:pPr>
          </w:p>
        </w:tc>
        <w:tc>
          <w:tcPr>
            <w:tcW w:w="6146" w:type="dxa"/>
          </w:tcPr>
          <w:p w14:paraId="2A92A23C" w14:textId="77777777" w:rsidR="00BF26C8" w:rsidRPr="0072045E" w:rsidRDefault="00BF26C8" w:rsidP="007A149F">
            <w:pPr>
              <w:pStyle w:val="Paragraphnonumbers"/>
              <w:spacing w:before="0"/>
              <w:jc w:val="both"/>
              <w:rPr>
                <w:rFonts w:cs="Arial"/>
              </w:rPr>
            </w:pPr>
          </w:p>
        </w:tc>
      </w:tr>
      <w:tr w:rsidR="00BF26C8" w:rsidRPr="0072045E" w14:paraId="4DAED3E0" w14:textId="77777777" w:rsidTr="00766375">
        <w:trPr>
          <w:trHeight w:val="70"/>
        </w:trPr>
        <w:tc>
          <w:tcPr>
            <w:tcW w:w="2376" w:type="dxa"/>
          </w:tcPr>
          <w:p w14:paraId="3C4970EE" w14:textId="77777777" w:rsidR="00BF26C8" w:rsidRPr="0072045E" w:rsidRDefault="00BF26C8" w:rsidP="007A149F">
            <w:pPr>
              <w:pStyle w:val="Paragraphnonumbers"/>
              <w:spacing w:before="0"/>
              <w:jc w:val="both"/>
              <w:rPr>
                <w:rFonts w:cs="Arial"/>
              </w:rPr>
            </w:pPr>
          </w:p>
        </w:tc>
        <w:tc>
          <w:tcPr>
            <w:tcW w:w="6146" w:type="dxa"/>
          </w:tcPr>
          <w:p w14:paraId="687E3B1E" w14:textId="77777777" w:rsidR="00BF26C8" w:rsidRPr="0072045E" w:rsidRDefault="00BF26C8" w:rsidP="007A149F">
            <w:pPr>
              <w:pStyle w:val="Paragraphnonumbers"/>
              <w:spacing w:before="0"/>
              <w:jc w:val="both"/>
              <w:rPr>
                <w:rFonts w:cs="Arial"/>
              </w:rPr>
            </w:pPr>
          </w:p>
        </w:tc>
      </w:tr>
      <w:tr w:rsidR="00BF26C8" w:rsidRPr="0072045E" w14:paraId="79B48B23" w14:textId="77777777" w:rsidTr="00766375">
        <w:trPr>
          <w:trHeight w:val="70"/>
        </w:trPr>
        <w:tc>
          <w:tcPr>
            <w:tcW w:w="2376" w:type="dxa"/>
          </w:tcPr>
          <w:p w14:paraId="47031A62" w14:textId="77777777" w:rsidR="00BF26C8" w:rsidRPr="0072045E" w:rsidRDefault="00BF26C8" w:rsidP="007A149F">
            <w:pPr>
              <w:pStyle w:val="Paragraphnonumbers"/>
              <w:spacing w:before="0"/>
              <w:jc w:val="both"/>
              <w:rPr>
                <w:rFonts w:cs="Arial"/>
              </w:rPr>
            </w:pPr>
          </w:p>
        </w:tc>
        <w:tc>
          <w:tcPr>
            <w:tcW w:w="6146" w:type="dxa"/>
          </w:tcPr>
          <w:p w14:paraId="5D17EB8E" w14:textId="77777777" w:rsidR="00BF26C8" w:rsidRPr="0072045E" w:rsidRDefault="00BF26C8" w:rsidP="007A149F">
            <w:pPr>
              <w:pStyle w:val="Paragraphnonumbers"/>
              <w:spacing w:before="0"/>
              <w:jc w:val="both"/>
              <w:rPr>
                <w:rFonts w:cs="Arial"/>
              </w:rPr>
            </w:pPr>
          </w:p>
        </w:tc>
      </w:tr>
      <w:tr w:rsidR="00BF26C8" w:rsidRPr="0072045E" w14:paraId="08839299" w14:textId="77777777" w:rsidTr="00766375">
        <w:trPr>
          <w:trHeight w:val="70"/>
        </w:trPr>
        <w:tc>
          <w:tcPr>
            <w:tcW w:w="2376" w:type="dxa"/>
          </w:tcPr>
          <w:p w14:paraId="1E4AB4C7" w14:textId="77777777" w:rsidR="00BF26C8" w:rsidRPr="0072045E" w:rsidRDefault="00BF26C8" w:rsidP="007A149F">
            <w:pPr>
              <w:pStyle w:val="Paragraphnonumbers"/>
              <w:spacing w:before="0"/>
              <w:jc w:val="both"/>
              <w:rPr>
                <w:rFonts w:cs="Arial"/>
              </w:rPr>
            </w:pPr>
          </w:p>
        </w:tc>
        <w:tc>
          <w:tcPr>
            <w:tcW w:w="6146" w:type="dxa"/>
          </w:tcPr>
          <w:p w14:paraId="330601E6" w14:textId="77777777" w:rsidR="00BF26C8" w:rsidRPr="0072045E" w:rsidRDefault="00BF26C8" w:rsidP="007A149F">
            <w:pPr>
              <w:pStyle w:val="Paragraphnonumbers"/>
              <w:spacing w:before="0"/>
              <w:jc w:val="both"/>
              <w:rPr>
                <w:rFonts w:cs="Arial"/>
              </w:rPr>
            </w:pPr>
          </w:p>
        </w:tc>
      </w:tr>
      <w:tr w:rsidR="00BF26C8" w:rsidRPr="0072045E" w14:paraId="12A55059" w14:textId="77777777" w:rsidTr="00766375">
        <w:trPr>
          <w:trHeight w:val="70"/>
        </w:trPr>
        <w:tc>
          <w:tcPr>
            <w:tcW w:w="2376" w:type="dxa"/>
          </w:tcPr>
          <w:p w14:paraId="3A9BBA58" w14:textId="77777777" w:rsidR="00BF26C8" w:rsidRPr="0072045E" w:rsidRDefault="00BF26C8" w:rsidP="007A149F">
            <w:pPr>
              <w:pStyle w:val="Paragraphnonumbers"/>
              <w:spacing w:before="0"/>
              <w:jc w:val="both"/>
              <w:rPr>
                <w:rFonts w:cs="Arial"/>
              </w:rPr>
            </w:pPr>
          </w:p>
        </w:tc>
        <w:tc>
          <w:tcPr>
            <w:tcW w:w="6146" w:type="dxa"/>
          </w:tcPr>
          <w:p w14:paraId="034895BE" w14:textId="77777777" w:rsidR="00BF26C8" w:rsidRPr="0072045E" w:rsidRDefault="00BF26C8" w:rsidP="007A149F">
            <w:pPr>
              <w:pStyle w:val="Paragraphnonumbers"/>
              <w:spacing w:before="0"/>
              <w:jc w:val="both"/>
              <w:rPr>
                <w:rFonts w:cs="Arial"/>
              </w:rPr>
            </w:pPr>
          </w:p>
        </w:tc>
      </w:tr>
    </w:tbl>
    <w:p w14:paraId="6B083442" w14:textId="77777777" w:rsidR="00BF26C8" w:rsidRPr="0072045E" w:rsidRDefault="00BF26C8" w:rsidP="007A149F">
      <w:pPr>
        <w:spacing w:line="276" w:lineRule="auto"/>
        <w:jc w:val="both"/>
        <w:rPr>
          <w:rFonts w:ascii="Arial" w:hAnsi="Arial" w:cs="Arial"/>
        </w:rPr>
      </w:pPr>
    </w:p>
    <w:p w14:paraId="47B4D35F" w14:textId="46D185F4" w:rsidR="00157064" w:rsidRPr="0072045E" w:rsidRDefault="00766375" w:rsidP="007A149F">
      <w:pPr>
        <w:pStyle w:val="AppendixA"/>
        <w:spacing w:line="276" w:lineRule="auto"/>
        <w:jc w:val="both"/>
        <w:rPr>
          <w:rFonts w:cs="Arial"/>
          <w:sz w:val="24"/>
          <w:szCs w:val="24"/>
        </w:rPr>
      </w:pPr>
      <w:bookmarkStart w:id="51" w:name="_Toc286147886"/>
      <w:r w:rsidRPr="0072045E">
        <w:rPr>
          <w:rFonts w:cs="Arial"/>
          <w:sz w:val="24"/>
          <w:szCs w:val="24"/>
        </w:rPr>
        <w:br w:type="page"/>
      </w:r>
      <w:bookmarkStart w:id="52" w:name="_Toc286147887"/>
      <w:bookmarkEnd w:id="51"/>
      <w:r w:rsidR="001B4F0E" w:rsidRPr="0072045E">
        <w:rPr>
          <w:rFonts w:cs="Arial"/>
          <w:sz w:val="24"/>
          <w:szCs w:val="24"/>
        </w:rPr>
        <w:lastRenderedPageBreak/>
        <w:t xml:space="preserve">Appendix </w:t>
      </w:r>
      <w:r w:rsidR="00197DBA">
        <w:rPr>
          <w:rFonts w:cs="Arial"/>
          <w:sz w:val="24"/>
          <w:szCs w:val="24"/>
        </w:rPr>
        <w:t>C</w:t>
      </w:r>
      <w:r w:rsidR="001B4F0E" w:rsidRPr="0072045E">
        <w:rPr>
          <w:rFonts w:cs="Arial"/>
          <w:sz w:val="24"/>
          <w:szCs w:val="24"/>
        </w:rPr>
        <w:tab/>
      </w:r>
      <w:r w:rsidR="00157064" w:rsidRPr="0072045E">
        <w:rPr>
          <w:rFonts w:cs="Arial"/>
          <w:sz w:val="24"/>
          <w:szCs w:val="24"/>
        </w:rPr>
        <w:t>References</w:t>
      </w:r>
      <w:bookmarkEnd w:id="52"/>
    </w:p>
    <w:p w14:paraId="6BC3CC99" w14:textId="77777777" w:rsidR="00BF26C8" w:rsidRPr="0072045E" w:rsidRDefault="00BF26C8" w:rsidP="00D85D88">
      <w:pPr>
        <w:pStyle w:val="Paragraphnonumbers"/>
      </w:pPr>
      <w:bookmarkStart w:id="53" w:name="_Hlk59618359"/>
      <w:r w:rsidRPr="0072045E">
        <w:t xml:space="preserve">Al-Ameri </w:t>
      </w:r>
      <w:bookmarkEnd w:id="53"/>
      <w:r w:rsidRPr="0072045E">
        <w:t xml:space="preserve">A, Malhotra P, </w:t>
      </w:r>
      <w:proofErr w:type="spellStart"/>
      <w:r w:rsidRPr="0072045E">
        <w:t>Thygesen</w:t>
      </w:r>
      <w:proofErr w:type="spellEnd"/>
      <w:r w:rsidRPr="0072045E">
        <w:t xml:space="preserve"> H, Plant PK, Vaidyanathan S, Karthik S, </w:t>
      </w:r>
      <w:proofErr w:type="spellStart"/>
      <w:r w:rsidRPr="0072045E">
        <w:t>Scarsbrook</w:t>
      </w:r>
      <w:proofErr w:type="spellEnd"/>
      <w:r w:rsidRPr="0072045E">
        <w:t xml:space="preserve"> A, Callister ME. </w:t>
      </w:r>
      <w:r w:rsidRPr="0072045E">
        <w:rPr>
          <w:shd w:val="clear" w:color="auto" w:fill="FFFFFF"/>
        </w:rPr>
        <w:t>Risk of malignancy in pulmonary nodules: A validation study of four prediction models.</w:t>
      </w:r>
      <w:r w:rsidRPr="0072045E">
        <w:t xml:space="preserve"> Lung Cancer. 2015 Jul; 89(1):27-30.</w:t>
      </w:r>
    </w:p>
    <w:p w14:paraId="6E36BF32" w14:textId="0F5CCE89" w:rsidR="00216662" w:rsidRPr="0072045E" w:rsidRDefault="00216662" w:rsidP="00D85D88">
      <w:pPr>
        <w:pStyle w:val="Paragraphnonumbers"/>
        <w:rPr>
          <w:color w:val="000000"/>
        </w:rPr>
      </w:pPr>
      <w:r w:rsidRPr="0072045E">
        <w:rPr>
          <w:color w:val="000000"/>
        </w:rPr>
        <w:t xml:space="preserve">Chen B, Yang L, Zhang R, Luo W, Li W. Radiomics: an overview in lung cancer management-a narrative review. Ann </w:t>
      </w:r>
      <w:proofErr w:type="spellStart"/>
      <w:r w:rsidRPr="0072045E">
        <w:rPr>
          <w:color w:val="000000"/>
        </w:rPr>
        <w:t>Transl</w:t>
      </w:r>
      <w:proofErr w:type="spellEnd"/>
      <w:r w:rsidRPr="0072045E">
        <w:rPr>
          <w:color w:val="000000"/>
        </w:rPr>
        <w:t xml:space="preserve"> Med. 2020;8(18):1191. </w:t>
      </w:r>
    </w:p>
    <w:p w14:paraId="4B8417D7" w14:textId="766C18BC" w:rsidR="00BF26C8" w:rsidRPr="003D1DD8" w:rsidRDefault="00BF26C8" w:rsidP="00D85D88">
      <w:pPr>
        <w:pStyle w:val="Paragraphnonumbers"/>
        <w:rPr>
          <w:rStyle w:val="Hyperlink"/>
          <w:rFonts w:cs="Arial"/>
          <w:lang w:val="es-ES"/>
        </w:rPr>
      </w:pPr>
      <w:proofErr w:type="spellStart"/>
      <w:r w:rsidRPr="0072045E">
        <w:rPr>
          <w:color w:val="000000"/>
        </w:rPr>
        <w:t>Edelsberg</w:t>
      </w:r>
      <w:proofErr w:type="spellEnd"/>
      <w:r w:rsidRPr="0072045E">
        <w:rPr>
          <w:color w:val="000000"/>
        </w:rPr>
        <w:t xml:space="preserve"> J, </w:t>
      </w:r>
      <w:proofErr w:type="spellStart"/>
      <w:r w:rsidRPr="0072045E">
        <w:rPr>
          <w:color w:val="000000"/>
        </w:rPr>
        <w:t>Weycker</w:t>
      </w:r>
      <w:proofErr w:type="spellEnd"/>
      <w:r w:rsidRPr="0072045E">
        <w:rPr>
          <w:color w:val="000000"/>
        </w:rPr>
        <w:t xml:space="preserve"> D, Atwood M, Hamilton-Fairley G, Jett JR. Cost-effectiveness of an autoantibody test (</w:t>
      </w:r>
      <w:proofErr w:type="spellStart"/>
      <w:r w:rsidRPr="0072045E">
        <w:rPr>
          <w:color w:val="000000"/>
        </w:rPr>
        <w:t>EarlyCDT</w:t>
      </w:r>
      <w:proofErr w:type="spellEnd"/>
      <w:r w:rsidRPr="0072045E">
        <w:rPr>
          <w:color w:val="000000"/>
        </w:rPr>
        <w:t xml:space="preserve">-Lung) as an aid to early diagnosis of lung cancer in patients with incidentally detected pulmonary nodules. </w:t>
      </w:r>
      <w:r w:rsidRPr="003D1DD8">
        <w:rPr>
          <w:color w:val="000000"/>
          <w:lang w:val="es-ES"/>
        </w:rPr>
        <w:t xml:space="preserve">2018; 13(5): e0197826. </w:t>
      </w:r>
    </w:p>
    <w:p w14:paraId="0F4855D7" w14:textId="45EBF78E" w:rsidR="006256B0" w:rsidRDefault="002153D8" w:rsidP="006256B0">
      <w:pPr>
        <w:pStyle w:val="Paragraphnonumbers"/>
        <w:rPr>
          <w:rStyle w:val="Hyperlink"/>
          <w:color w:val="auto"/>
          <w:u w:val="none"/>
        </w:rPr>
      </w:pPr>
      <w:r w:rsidRPr="003D1DD8">
        <w:rPr>
          <w:rStyle w:val="Hyperlink"/>
          <w:color w:val="auto"/>
          <w:u w:val="none"/>
          <w:lang w:val="es-ES"/>
        </w:rPr>
        <w:t xml:space="preserve">Gaga M, </w:t>
      </w:r>
      <w:proofErr w:type="spellStart"/>
      <w:r w:rsidRPr="003D1DD8">
        <w:rPr>
          <w:rStyle w:val="Hyperlink"/>
          <w:color w:val="auto"/>
          <w:u w:val="none"/>
          <w:lang w:val="es-ES"/>
        </w:rPr>
        <w:t>Chorostowska-Wynimko</w:t>
      </w:r>
      <w:proofErr w:type="spellEnd"/>
      <w:r w:rsidRPr="003D1DD8">
        <w:rPr>
          <w:rStyle w:val="Hyperlink"/>
          <w:color w:val="auto"/>
          <w:u w:val="none"/>
          <w:lang w:val="es-ES"/>
        </w:rPr>
        <w:t xml:space="preserve"> J, </w:t>
      </w:r>
      <w:proofErr w:type="spellStart"/>
      <w:r w:rsidRPr="003D1DD8">
        <w:rPr>
          <w:rStyle w:val="Hyperlink"/>
          <w:color w:val="auto"/>
          <w:u w:val="none"/>
          <w:lang w:val="es-ES"/>
        </w:rPr>
        <w:t>Horváth</w:t>
      </w:r>
      <w:proofErr w:type="spellEnd"/>
      <w:r w:rsidRPr="003D1DD8">
        <w:rPr>
          <w:rStyle w:val="Hyperlink"/>
          <w:color w:val="auto"/>
          <w:u w:val="none"/>
          <w:lang w:val="es-ES"/>
        </w:rPr>
        <w:t xml:space="preserve"> </w:t>
      </w:r>
      <w:proofErr w:type="spellStart"/>
      <w:r w:rsidRPr="003D1DD8">
        <w:rPr>
          <w:rStyle w:val="Hyperlink"/>
          <w:color w:val="auto"/>
          <w:u w:val="none"/>
          <w:lang w:val="es-ES"/>
        </w:rPr>
        <w:t>Ió</w:t>
      </w:r>
      <w:proofErr w:type="spellEnd"/>
      <w:r w:rsidRPr="003D1DD8">
        <w:rPr>
          <w:rStyle w:val="Hyperlink"/>
          <w:color w:val="auto"/>
          <w:u w:val="none"/>
          <w:lang w:val="es-ES"/>
        </w:rPr>
        <w:t xml:space="preserve">, et al. </w:t>
      </w:r>
      <w:r w:rsidRPr="00D85D88">
        <w:rPr>
          <w:rStyle w:val="Hyperlink"/>
          <w:color w:val="auto"/>
          <w:u w:val="none"/>
        </w:rPr>
        <w:t>Validation of</w:t>
      </w:r>
      <w:r w:rsidR="006256B0" w:rsidRPr="00D85D88">
        <w:rPr>
          <w:rStyle w:val="Hyperlink"/>
          <w:color w:val="auto"/>
          <w:u w:val="none"/>
        </w:rPr>
        <w:t xml:space="preserve"> </w:t>
      </w:r>
      <w:r w:rsidRPr="00D85D88">
        <w:rPr>
          <w:rStyle w:val="Hyperlink"/>
          <w:color w:val="auto"/>
          <w:u w:val="none"/>
        </w:rPr>
        <w:t xml:space="preserve">Lung </w:t>
      </w:r>
      <w:proofErr w:type="spellStart"/>
      <w:r w:rsidRPr="00D85D88">
        <w:rPr>
          <w:rStyle w:val="Hyperlink"/>
          <w:color w:val="auto"/>
          <w:u w:val="none"/>
        </w:rPr>
        <w:t>EpiCheck</w:t>
      </w:r>
      <w:proofErr w:type="spellEnd"/>
      <w:r w:rsidRPr="00D85D88">
        <w:rPr>
          <w:rStyle w:val="Hyperlink"/>
          <w:color w:val="auto"/>
          <w:u w:val="none"/>
        </w:rPr>
        <w:t xml:space="preserve">®, a novel methylation-based blood assay, for the detection of lung cancer in European and Chinese high-risk individuals. Eur Respir J 2020; in press </w:t>
      </w:r>
    </w:p>
    <w:p w14:paraId="4AF37F6A" w14:textId="6C3FB0CF" w:rsidR="00216662" w:rsidRPr="0072045E" w:rsidRDefault="00216662" w:rsidP="00D85D88">
      <w:pPr>
        <w:pStyle w:val="Paragraphnonumbers"/>
      </w:pPr>
      <w:r w:rsidRPr="003D1DD8">
        <w:rPr>
          <w:lang w:val="es-ES"/>
        </w:rPr>
        <w:t xml:space="preserve">He L, Huang Y, Ma Z, et al. </w:t>
      </w:r>
      <w:r w:rsidRPr="0072045E">
        <w:t xml:space="preserve">Effects of contrast-enhancement, reconstruction slice thickness and convolution kernel on the diagnostic performance of radiomics signature in solitary pulmonary nodule. Sci Rep </w:t>
      </w:r>
      <w:proofErr w:type="gramStart"/>
      <w:r w:rsidRPr="0072045E">
        <w:t>2016;6:34921</w:t>
      </w:r>
      <w:proofErr w:type="gramEnd"/>
      <w:r w:rsidRPr="0072045E">
        <w:t>-. 10.</w:t>
      </w:r>
    </w:p>
    <w:p w14:paraId="2A60A044" w14:textId="4F75315E" w:rsidR="00BF26C8" w:rsidRPr="0072045E" w:rsidRDefault="00BF26C8" w:rsidP="00D85D88">
      <w:pPr>
        <w:pStyle w:val="Paragraphnonumbers"/>
      </w:pPr>
      <w:r w:rsidRPr="0072045E">
        <w:t xml:space="preserve">Herder GJ, van </w:t>
      </w:r>
      <w:proofErr w:type="spellStart"/>
      <w:r w:rsidRPr="0072045E">
        <w:t>Tinteren</w:t>
      </w:r>
      <w:proofErr w:type="spellEnd"/>
      <w:r w:rsidRPr="0072045E">
        <w:t xml:space="preserve"> H, Golding RP, </w:t>
      </w:r>
      <w:proofErr w:type="spellStart"/>
      <w:r w:rsidRPr="0072045E">
        <w:t>Kostense</w:t>
      </w:r>
      <w:proofErr w:type="spellEnd"/>
      <w:r w:rsidRPr="0072045E">
        <w:t xml:space="preserve"> PJ, </w:t>
      </w:r>
      <w:proofErr w:type="spellStart"/>
      <w:r w:rsidRPr="0072045E">
        <w:t>Comans</w:t>
      </w:r>
      <w:proofErr w:type="spellEnd"/>
      <w:r w:rsidRPr="0072045E">
        <w:t xml:space="preserve"> EF, Smit EF, Hoekstra OS Chest.</w:t>
      </w:r>
      <w:r w:rsidRPr="0072045E">
        <w:rPr>
          <w:shd w:val="clear" w:color="auto" w:fill="FFFFFF"/>
        </w:rPr>
        <w:t xml:space="preserve"> Clinical prediction model to characterize pulmonary nodules: validation and added value of 18F-fluorodeoxyglucose positron emission tomography.</w:t>
      </w:r>
      <w:r w:rsidRPr="0072045E">
        <w:t xml:space="preserve"> 2005 Oct; 128(4):2490-6</w:t>
      </w:r>
    </w:p>
    <w:p w14:paraId="3201D0FF" w14:textId="557BA595" w:rsidR="002B66DC" w:rsidRPr="0072045E" w:rsidRDefault="002B66DC" w:rsidP="00D85D88">
      <w:pPr>
        <w:pStyle w:val="Paragraphnonumbers"/>
      </w:pPr>
      <w:r w:rsidRPr="0072045E">
        <w:t xml:space="preserve">Khawaja A, </w:t>
      </w:r>
      <w:proofErr w:type="spellStart"/>
      <w:r w:rsidRPr="0072045E">
        <w:t>Bartholmai</w:t>
      </w:r>
      <w:proofErr w:type="spellEnd"/>
      <w:r w:rsidRPr="0072045E">
        <w:t xml:space="preserve"> BJ, Rajagopalan S, </w:t>
      </w:r>
      <w:proofErr w:type="spellStart"/>
      <w:r w:rsidRPr="0072045E">
        <w:t>Karwoski</w:t>
      </w:r>
      <w:proofErr w:type="spellEnd"/>
      <w:r w:rsidRPr="0072045E">
        <w:t xml:space="preserve"> RA, Varghese C, Maldonado F, </w:t>
      </w:r>
      <w:proofErr w:type="spellStart"/>
      <w:r w:rsidRPr="0072045E">
        <w:t>Peikert</w:t>
      </w:r>
      <w:proofErr w:type="spellEnd"/>
      <w:r w:rsidRPr="0072045E">
        <w:t xml:space="preserve"> T. Do we need to see to </w:t>
      </w:r>
      <w:proofErr w:type="gramStart"/>
      <w:r w:rsidRPr="0072045E">
        <w:t>believe?-</w:t>
      </w:r>
      <w:proofErr w:type="gramEnd"/>
      <w:r w:rsidRPr="0072045E">
        <w:t xml:space="preserve">radiomics for lung nodule classification and lung cancer risk stratification. J </w:t>
      </w:r>
      <w:proofErr w:type="spellStart"/>
      <w:r w:rsidRPr="0072045E">
        <w:t>Thorac</w:t>
      </w:r>
      <w:proofErr w:type="spellEnd"/>
      <w:r w:rsidRPr="0072045E">
        <w:t xml:space="preserve"> Dis. 2020 Jun;12(6):3303-3316</w:t>
      </w:r>
    </w:p>
    <w:p w14:paraId="3AB80F5C" w14:textId="30E90923" w:rsidR="009B0AD8" w:rsidRPr="0072045E" w:rsidRDefault="009B0AD8" w:rsidP="00D85D88">
      <w:pPr>
        <w:pStyle w:val="Paragraphnonumbers"/>
      </w:pPr>
      <w:r w:rsidRPr="0072045E">
        <w:t xml:space="preserve">Yang B, </w:t>
      </w:r>
      <w:proofErr w:type="spellStart"/>
      <w:r w:rsidRPr="0072045E">
        <w:t>Jhun</w:t>
      </w:r>
      <w:proofErr w:type="spellEnd"/>
      <w:r w:rsidRPr="0072045E">
        <w:t xml:space="preserve"> BW, Shin SH, et al. Comparison of four models predicting the malignancy of pulmonary nodules: A single-</w:t>
      </w:r>
      <w:proofErr w:type="spellStart"/>
      <w:r w:rsidRPr="0072045E">
        <w:t>center</w:t>
      </w:r>
      <w:proofErr w:type="spellEnd"/>
      <w:r w:rsidRPr="0072045E">
        <w:t xml:space="preserve"> study of Korean adults. </w:t>
      </w:r>
      <w:proofErr w:type="spellStart"/>
      <w:r w:rsidRPr="0072045E">
        <w:t>PLoS</w:t>
      </w:r>
      <w:proofErr w:type="spellEnd"/>
      <w:r w:rsidRPr="0072045E">
        <w:t xml:space="preserve"> One. 2018;13(7): e0201242. Published 2018 Jul 31. </w:t>
      </w:r>
    </w:p>
    <w:p w14:paraId="1EBCCF77" w14:textId="725E1570" w:rsidR="00C53AFD" w:rsidRPr="0072045E" w:rsidRDefault="00C53AFD" w:rsidP="00D85D88">
      <w:pPr>
        <w:pStyle w:val="Paragraphnonumbers"/>
      </w:pPr>
    </w:p>
    <w:sectPr w:rsidR="00C53AFD" w:rsidRPr="0072045E" w:rsidSect="00DA563D">
      <w:headerReference w:type="default" r:id="rId53"/>
      <w:footerReference w:type="default" r:id="rId54"/>
      <w:pgSz w:w="11906" w:h="16838"/>
      <w:pgMar w:top="153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D4199" w14:textId="77777777" w:rsidR="00A40A18" w:rsidRDefault="00A40A18" w:rsidP="00446BEE">
      <w:r>
        <w:separator/>
      </w:r>
    </w:p>
  </w:endnote>
  <w:endnote w:type="continuationSeparator" w:id="0">
    <w:p w14:paraId="78BCDA98" w14:textId="77777777" w:rsidR="00A40A18" w:rsidRDefault="00A40A1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84FC4" w14:textId="77777777" w:rsidR="00752848" w:rsidRDefault="00752848" w:rsidP="0046682D">
    <w:pPr>
      <w:pStyle w:val="Footer"/>
      <w:rPr>
        <w:highlight w:val="yellow"/>
      </w:rPr>
    </w:pPr>
  </w:p>
  <w:p w14:paraId="0402AC73" w14:textId="1F9EAB98" w:rsidR="00752848" w:rsidRDefault="00752848">
    <w:pPr>
      <w:pStyle w:val="Footer"/>
      <w:rPr>
        <w:sz w:val="16"/>
        <w:szCs w:val="20"/>
      </w:rPr>
    </w:pPr>
    <w:proofErr w:type="spellStart"/>
    <w:r w:rsidRPr="004E53ED">
      <w:rPr>
        <w:sz w:val="16"/>
        <w:szCs w:val="20"/>
      </w:rPr>
      <w:t>EarlyCDT</w:t>
    </w:r>
    <w:proofErr w:type="spellEnd"/>
    <w:r>
      <w:rPr>
        <w:sz w:val="16"/>
        <w:szCs w:val="20"/>
      </w:rPr>
      <w:t xml:space="preserve"> </w:t>
    </w:r>
    <w:r w:rsidRPr="004E53ED">
      <w:rPr>
        <w:sz w:val="16"/>
        <w:szCs w:val="20"/>
      </w:rPr>
      <w:t xml:space="preserve">Lung for lung cancer risk classification of </w:t>
    </w:r>
    <w:r>
      <w:rPr>
        <w:sz w:val="16"/>
        <w:szCs w:val="20"/>
      </w:rPr>
      <w:t>solid</w:t>
    </w:r>
    <w:r w:rsidRPr="004E53ED">
      <w:rPr>
        <w:sz w:val="16"/>
        <w:szCs w:val="20"/>
      </w:rPr>
      <w:t xml:space="preserve"> </w:t>
    </w:r>
    <w:r>
      <w:rPr>
        <w:sz w:val="16"/>
        <w:szCs w:val="20"/>
      </w:rPr>
      <w:t xml:space="preserve">pulmonary nodules </w:t>
    </w:r>
  </w:p>
  <w:p w14:paraId="16FC2724" w14:textId="4844CFF9" w:rsidR="00752848" w:rsidRPr="00257D4E" w:rsidRDefault="00752848">
    <w:pPr>
      <w:pStyle w:val="Footer"/>
      <w:rPr>
        <w:sz w:val="16"/>
        <w:szCs w:val="20"/>
      </w:rPr>
    </w:pPr>
    <w:r>
      <w:rPr>
        <w:sz w:val="16"/>
        <w:szCs w:val="20"/>
      </w:rPr>
      <w:t>Final</w:t>
    </w:r>
    <w:r w:rsidRPr="004E53ED">
      <w:rPr>
        <w:sz w:val="16"/>
        <w:szCs w:val="20"/>
      </w:rPr>
      <w:t xml:space="preserve"> scope </w:t>
    </w:r>
    <w:r>
      <w:rPr>
        <w:sz w:val="16"/>
        <w:szCs w:val="20"/>
      </w:rPr>
      <w:t xml:space="preserve">February </w:t>
    </w:r>
    <w:r w:rsidRPr="004E53ED">
      <w:rPr>
        <w:sz w:val="16"/>
        <w:szCs w:val="20"/>
      </w:rPr>
      <w:t>202</w:t>
    </w:r>
    <w:r>
      <w:rPr>
        <w:sz w:val="16"/>
        <w:szCs w:val="20"/>
      </w:rPr>
      <w:t>1</w:t>
    </w:r>
    <w:r>
      <w:tab/>
    </w:r>
    <w:r>
      <w:tab/>
    </w:r>
    <w:r>
      <w:fldChar w:fldCharType="begin"/>
    </w:r>
    <w:r>
      <w:instrText xml:space="preserve"> PAGE </w:instrText>
    </w:r>
    <w:r>
      <w:fldChar w:fldCharType="separate"/>
    </w:r>
    <w:r>
      <w:rPr>
        <w:noProof/>
      </w:rPr>
      <w:t>3</w:t>
    </w:r>
    <w:r>
      <w:rPr>
        <w:noProof/>
      </w:rPr>
      <w:fldChar w:fldCharType="end"/>
    </w:r>
    <w:r>
      <w:t xml:space="preserve"> of </w:t>
    </w:r>
    <w:fldSimple w:instr=" NUMPAGES  ">
      <w:r>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7206B" w14:textId="77777777" w:rsidR="00A40A18" w:rsidRDefault="00A40A18" w:rsidP="00446BEE">
      <w:r>
        <w:separator/>
      </w:r>
    </w:p>
  </w:footnote>
  <w:footnote w:type="continuationSeparator" w:id="0">
    <w:p w14:paraId="118C4DB6" w14:textId="77777777" w:rsidR="00A40A18" w:rsidRDefault="00A40A1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A0688" w14:textId="667E8AC6" w:rsidR="00752848" w:rsidRPr="00640826" w:rsidRDefault="00752848" w:rsidP="00AE1239">
    <w:pPr>
      <w:pStyle w:val="Header"/>
      <w:tabs>
        <w:tab w:val="clear" w:pos="9026"/>
        <w:tab w:val="right" w:pos="9214"/>
      </w:tabs>
      <w:ind w:right="-766"/>
      <w:jc w:val="right"/>
      <w:rPr>
        <w:b/>
        <w:color w:val="80808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707157"/>
    <w:multiLevelType w:val="hybridMultilevel"/>
    <w:tmpl w:val="FDF2FC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22B49"/>
    <w:multiLevelType w:val="hybridMultilevel"/>
    <w:tmpl w:val="7C2A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C34F2"/>
    <w:multiLevelType w:val="hybridMultilevel"/>
    <w:tmpl w:val="BD7A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410C3"/>
    <w:multiLevelType w:val="multilevel"/>
    <w:tmpl w:val="C6FAEE14"/>
    <w:styleLink w:val="Appendix"/>
    <w:lvl w:ilvl="0">
      <w:start w:val="1"/>
      <w:numFmt w:val="upperLetter"/>
      <w:lvlText w:val="%1"/>
      <w:lvlJc w:val="left"/>
      <w:pPr>
        <w:ind w:left="432" w:hanging="432"/>
      </w:pPr>
      <w:rPr>
        <w:rFonts w:ascii="Arial" w:hAnsi="Arial"/>
        <w:b/>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2022B9"/>
    <w:multiLevelType w:val="multilevel"/>
    <w:tmpl w:val="9034BDA0"/>
    <w:lvl w:ilvl="0">
      <w:start w:val="1"/>
      <w:numFmt w:val="decimal"/>
      <w:lvlText w:val="%1."/>
      <w:lvlJc w:val="left"/>
      <w:pPr>
        <w:tabs>
          <w:tab w:val="num" w:pos="568"/>
        </w:tabs>
        <w:ind w:left="568" w:hanging="284"/>
      </w:pPr>
      <w:rPr>
        <w:rFonts w:hint="default"/>
        <w:color w:val="auto"/>
      </w:rPr>
    </w:lvl>
    <w:lvl w:ilvl="1">
      <w:start w:val="1"/>
      <w:numFmt w:val="bullet"/>
      <w:lvlText w:val=""/>
      <w:lvlJc w:val="left"/>
      <w:pPr>
        <w:tabs>
          <w:tab w:val="num" w:pos="851"/>
        </w:tabs>
        <w:ind w:left="851" w:hanging="283"/>
      </w:pPr>
      <w:rPr>
        <w:rFonts w:ascii="Symbol" w:hAnsi="Symbol" w:hint="default"/>
      </w:rPr>
    </w:lvl>
    <w:lvl w:ilvl="2">
      <w:start w:val="1"/>
      <w:numFmt w:val="bullet"/>
      <w:lvlText w:val=""/>
      <w:lvlJc w:val="left"/>
      <w:pPr>
        <w:tabs>
          <w:tab w:val="num" w:pos="1135"/>
        </w:tabs>
        <w:ind w:left="1135" w:hanging="284"/>
      </w:pPr>
      <w:rPr>
        <w:rFonts w:ascii="Symbol" w:hAnsi="Symbol" w:hint="default"/>
        <w:color w:val="auto"/>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568"/>
        </w:tabs>
        <w:ind w:left="568" w:hanging="284"/>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rPr>
    </w:lvl>
    <w:lvl w:ilvl="2">
      <w:start w:val="1"/>
      <w:numFmt w:val="bullet"/>
      <w:lvlText w:val=""/>
      <w:lvlJc w:val="left"/>
      <w:pPr>
        <w:tabs>
          <w:tab w:val="num" w:pos="1135"/>
        </w:tabs>
        <w:ind w:left="1135" w:hanging="284"/>
      </w:pPr>
      <w:rPr>
        <w:rFonts w:ascii="Symbol" w:hAnsi="Symbol" w:hint="default"/>
        <w:color w:val="auto"/>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6" w15:restartNumberingAfterBreak="0">
    <w:nsid w:val="167709AF"/>
    <w:multiLevelType w:val="hybridMultilevel"/>
    <w:tmpl w:val="7E062314"/>
    <w:lvl w:ilvl="0" w:tplc="3A10FB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14DCA"/>
    <w:multiLevelType w:val="hybridMultilevel"/>
    <w:tmpl w:val="EB60431E"/>
    <w:lvl w:ilvl="0" w:tplc="5C6C2254">
      <w:start w:val="1"/>
      <w:numFmt w:val="bullet"/>
      <w:lvlText w:val=""/>
      <w:lvlJc w:val="left"/>
      <w:pPr>
        <w:tabs>
          <w:tab w:val="num" w:pos="720"/>
        </w:tabs>
        <w:ind w:left="720" w:hanging="360"/>
      </w:pPr>
      <w:rPr>
        <w:rFonts w:ascii="Wingdings" w:hAnsi="Wingdings" w:hint="default"/>
      </w:rPr>
    </w:lvl>
    <w:lvl w:ilvl="1" w:tplc="44ECA106">
      <w:start w:val="1"/>
      <w:numFmt w:val="bullet"/>
      <w:lvlText w:val=""/>
      <w:lvlJc w:val="left"/>
      <w:pPr>
        <w:tabs>
          <w:tab w:val="num" w:pos="1440"/>
        </w:tabs>
        <w:ind w:left="1440" w:hanging="360"/>
      </w:pPr>
      <w:rPr>
        <w:rFonts w:ascii="Wingdings" w:hAnsi="Wingdings" w:hint="default"/>
      </w:rPr>
    </w:lvl>
    <w:lvl w:ilvl="2" w:tplc="F6EA3852" w:tentative="1">
      <w:start w:val="1"/>
      <w:numFmt w:val="bullet"/>
      <w:lvlText w:val=""/>
      <w:lvlJc w:val="left"/>
      <w:pPr>
        <w:tabs>
          <w:tab w:val="num" w:pos="2160"/>
        </w:tabs>
        <w:ind w:left="2160" w:hanging="360"/>
      </w:pPr>
      <w:rPr>
        <w:rFonts w:ascii="Wingdings" w:hAnsi="Wingdings" w:hint="default"/>
      </w:rPr>
    </w:lvl>
    <w:lvl w:ilvl="3" w:tplc="113A3BFA" w:tentative="1">
      <w:start w:val="1"/>
      <w:numFmt w:val="bullet"/>
      <w:lvlText w:val=""/>
      <w:lvlJc w:val="left"/>
      <w:pPr>
        <w:tabs>
          <w:tab w:val="num" w:pos="2880"/>
        </w:tabs>
        <w:ind w:left="2880" w:hanging="360"/>
      </w:pPr>
      <w:rPr>
        <w:rFonts w:ascii="Wingdings" w:hAnsi="Wingdings" w:hint="default"/>
      </w:rPr>
    </w:lvl>
    <w:lvl w:ilvl="4" w:tplc="4CD88BF2" w:tentative="1">
      <w:start w:val="1"/>
      <w:numFmt w:val="bullet"/>
      <w:lvlText w:val=""/>
      <w:lvlJc w:val="left"/>
      <w:pPr>
        <w:tabs>
          <w:tab w:val="num" w:pos="3600"/>
        </w:tabs>
        <w:ind w:left="3600" w:hanging="360"/>
      </w:pPr>
      <w:rPr>
        <w:rFonts w:ascii="Wingdings" w:hAnsi="Wingdings" w:hint="default"/>
      </w:rPr>
    </w:lvl>
    <w:lvl w:ilvl="5" w:tplc="4F4A3DCE" w:tentative="1">
      <w:start w:val="1"/>
      <w:numFmt w:val="bullet"/>
      <w:lvlText w:val=""/>
      <w:lvlJc w:val="left"/>
      <w:pPr>
        <w:tabs>
          <w:tab w:val="num" w:pos="4320"/>
        </w:tabs>
        <w:ind w:left="4320" w:hanging="360"/>
      </w:pPr>
      <w:rPr>
        <w:rFonts w:ascii="Wingdings" w:hAnsi="Wingdings" w:hint="default"/>
      </w:rPr>
    </w:lvl>
    <w:lvl w:ilvl="6" w:tplc="689476DE" w:tentative="1">
      <w:start w:val="1"/>
      <w:numFmt w:val="bullet"/>
      <w:lvlText w:val=""/>
      <w:lvlJc w:val="left"/>
      <w:pPr>
        <w:tabs>
          <w:tab w:val="num" w:pos="5040"/>
        </w:tabs>
        <w:ind w:left="5040" w:hanging="360"/>
      </w:pPr>
      <w:rPr>
        <w:rFonts w:ascii="Wingdings" w:hAnsi="Wingdings" w:hint="default"/>
      </w:rPr>
    </w:lvl>
    <w:lvl w:ilvl="7" w:tplc="8DEE5210" w:tentative="1">
      <w:start w:val="1"/>
      <w:numFmt w:val="bullet"/>
      <w:lvlText w:val=""/>
      <w:lvlJc w:val="left"/>
      <w:pPr>
        <w:tabs>
          <w:tab w:val="num" w:pos="5760"/>
        </w:tabs>
        <w:ind w:left="5760" w:hanging="360"/>
      </w:pPr>
      <w:rPr>
        <w:rFonts w:ascii="Wingdings" w:hAnsi="Wingdings" w:hint="default"/>
      </w:rPr>
    </w:lvl>
    <w:lvl w:ilvl="8" w:tplc="8BA247F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B193C"/>
    <w:multiLevelType w:val="hybridMultilevel"/>
    <w:tmpl w:val="397CB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875516"/>
    <w:multiLevelType w:val="hybridMultilevel"/>
    <w:tmpl w:val="0E5A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E1256"/>
    <w:multiLevelType w:val="multilevel"/>
    <w:tmpl w:val="0809001D"/>
    <w:styleLink w:val="Style1"/>
    <w:lvl w:ilvl="0">
      <w:start w:val="1"/>
      <w:numFmt w:val="decimal"/>
      <w:lvlText w:val="%1)"/>
      <w:lvlJc w:val="left"/>
      <w:pPr>
        <w:ind w:left="360" w:hanging="360"/>
      </w:pPr>
    </w:lvl>
    <w:lvl w:ilvl="1">
      <w:start w:val="1"/>
      <w:numFmt w:val="decimal"/>
      <w:lvlText w:val="%2)"/>
      <w:lvlJc w:val="left"/>
      <w:pPr>
        <w:ind w:left="720" w:hanging="360"/>
      </w:pPr>
      <w:rPr>
        <w:rFonts w:ascii="Arial" w:hAnsi="Arial"/>
        <w:b/>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23AE3"/>
    <w:multiLevelType w:val="hybridMultilevel"/>
    <w:tmpl w:val="865AAB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C5D6E"/>
    <w:multiLevelType w:val="hybridMultilevel"/>
    <w:tmpl w:val="17A6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7382A"/>
    <w:multiLevelType w:val="hybridMultilevel"/>
    <w:tmpl w:val="DBEC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D4B9D"/>
    <w:multiLevelType w:val="hybridMultilevel"/>
    <w:tmpl w:val="7EC6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D2EA7"/>
    <w:multiLevelType w:val="hybridMultilevel"/>
    <w:tmpl w:val="CDC48D9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A22E4"/>
    <w:multiLevelType w:val="hybridMultilevel"/>
    <w:tmpl w:val="7C2C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E7782"/>
    <w:multiLevelType w:val="hybridMultilevel"/>
    <w:tmpl w:val="EFB2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70B55"/>
    <w:multiLevelType w:val="hybridMultilevel"/>
    <w:tmpl w:val="9DE49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A92C3F"/>
    <w:multiLevelType w:val="hybridMultilevel"/>
    <w:tmpl w:val="562C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5230B"/>
    <w:multiLevelType w:val="hybridMultilevel"/>
    <w:tmpl w:val="451A5F0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3A546038"/>
    <w:multiLevelType w:val="hybridMultilevel"/>
    <w:tmpl w:val="A664B3B8"/>
    <w:lvl w:ilvl="0" w:tplc="71266358">
      <w:numFmt w:val="bullet"/>
      <w:lvlText w:val="•"/>
      <w:lvlJc w:val="left"/>
      <w:pPr>
        <w:ind w:left="410" w:hanging="360"/>
      </w:pPr>
      <w:rPr>
        <w:rFonts w:ascii="Times New Roman" w:eastAsia="Times New Roman" w:hAnsi="Times New Roman"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4" w15:restartNumberingAfterBreak="0">
    <w:nsid w:val="3EDA6BDB"/>
    <w:multiLevelType w:val="hybridMultilevel"/>
    <w:tmpl w:val="0EAC368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0065C89"/>
    <w:multiLevelType w:val="hybridMultilevel"/>
    <w:tmpl w:val="6DFE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32694"/>
    <w:multiLevelType w:val="multilevel"/>
    <w:tmpl w:val="5EEAC266"/>
    <w:styleLink w:val="Subheading1"/>
    <w:lvl w:ilvl="0">
      <w:start w:val="1"/>
      <w:numFmt w:val="decimal"/>
      <w:lvlText w:val="%1."/>
      <w:lvlJc w:val="left"/>
      <w:pPr>
        <w:ind w:left="360" w:hanging="360"/>
      </w:pPr>
      <w:rPr>
        <w:rFonts w:ascii="Arial" w:hAnsi="Arial" w:hint="default"/>
        <w:b/>
        <w:bCs/>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65E4C7B"/>
    <w:multiLevelType w:val="hybridMultilevel"/>
    <w:tmpl w:val="A314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276AB7"/>
    <w:multiLevelType w:val="multilevel"/>
    <w:tmpl w:val="677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630657"/>
    <w:multiLevelType w:val="multilevel"/>
    <w:tmpl w:val="4C84F59A"/>
    <w:styleLink w:val="Style2"/>
    <w:lvl w:ilvl="0">
      <w:start w:val="1"/>
      <w:numFmt w:val="decimal"/>
      <w:lvlText w:val="%1."/>
      <w:lvlJc w:val="left"/>
      <w:pPr>
        <w:ind w:left="720" w:hanging="360"/>
      </w:pPr>
      <w:rPr>
        <w:rFonts w:ascii="Arial" w:hAnsi="Arial" w:hint="default"/>
        <w:b/>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AB5C24"/>
    <w:multiLevelType w:val="hybridMultilevel"/>
    <w:tmpl w:val="E73469A4"/>
    <w:lvl w:ilvl="0" w:tplc="FFD669F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053B1"/>
    <w:multiLevelType w:val="hybridMultilevel"/>
    <w:tmpl w:val="E2044BB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54DF29A3"/>
    <w:multiLevelType w:val="hybridMultilevel"/>
    <w:tmpl w:val="64823648"/>
    <w:lvl w:ilvl="0" w:tplc="96560E06">
      <w:start w:val="3"/>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CB6D0C"/>
    <w:multiLevelType w:val="hybridMultilevel"/>
    <w:tmpl w:val="397CB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8B1B7F"/>
    <w:multiLevelType w:val="hybridMultilevel"/>
    <w:tmpl w:val="2612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C540EF"/>
    <w:multiLevelType w:val="hybridMultilevel"/>
    <w:tmpl w:val="BBE6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0F47F6"/>
    <w:multiLevelType w:val="hybridMultilevel"/>
    <w:tmpl w:val="D5BC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694877"/>
    <w:multiLevelType w:val="hybridMultilevel"/>
    <w:tmpl w:val="0F7C6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667EAF"/>
    <w:multiLevelType w:val="hybridMultilevel"/>
    <w:tmpl w:val="C374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C4D2B"/>
    <w:multiLevelType w:val="multilevel"/>
    <w:tmpl w:val="39A4B544"/>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1285" w:hanging="576"/>
      </w:pPr>
      <w:rPr>
        <w:rFonts w:hint="default"/>
      </w:rPr>
    </w:lvl>
    <w:lvl w:ilvl="2">
      <w:start w:val="1"/>
      <w:numFmt w:val="decimal"/>
      <w:pStyle w:val="Paragraph"/>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ascii="Arial" w:hAnsi="Arial" w:hint="default"/>
        <w:b w:val="0"/>
        <w:bCs w:val="0"/>
        <w:i w:val="0"/>
        <w:iCs w:val="0"/>
        <w:caps w:val="0"/>
        <w:smallCaps w:val="0"/>
        <w:strike w:val="0"/>
        <w:dstrike w:val="0"/>
        <w:outline w:val="0"/>
        <w:shadow w:val="0"/>
        <w:emboss w:val="0"/>
        <w:imprint w:val="0"/>
        <w:color w:val="262626"/>
        <w:spacing w:val="0"/>
        <w:w w:val="100"/>
        <w:kern w:val="0"/>
        <w:position w:val="0"/>
        <w:sz w:val="24"/>
        <w:u w:val="none"/>
        <w:effect w:val="none"/>
        <w:bdr w:val="none" w:sz="0" w:space="0" w:color="auto"/>
        <w:shd w:val="clear" w:color="auto" w:fill="auto"/>
        <w:vertAlign w:val="baseline"/>
        <w:em w:val="no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66A10CFF"/>
    <w:multiLevelType w:val="hybridMultilevel"/>
    <w:tmpl w:val="710C482E"/>
    <w:lvl w:ilvl="0" w:tplc="AA9A8AE4">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E83C3C"/>
    <w:multiLevelType w:val="hybridMultilevel"/>
    <w:tmpl w:val="032E4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CB6974"/>
    <w:multiLevelType w:val="hybridMultilevel"/>
    <w:tmpl w:val="E88A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4E13A8"/>
    <w:multiLevelType w:val="hybridMultilevel"/>
    <w:tmpl w:val="9334D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032F22"/>
    <w:multiLevelType w:val="hybridMultilevel"/>
    <w:tmpl w:val="D0DAF8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7" w15:restartNumberingAfterBreak="0">
    <w:nsid w:val="790163B8"/>
    <w:multiLevelType w:val="hybridMultilevel"/>
    <w:tmpl w:val="AEAC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9"/>
  </w:num>
  <w:num w:numId="4">
    <w:abstractNumId w:val="3"/>
  </w:num>
  <w:num w:numId="5">
    <w:abstractNumId w:val="41"/>
  </w:num>
  <w:num w:numId="6">
    <w:abstractNumId w:val="15"/>
  </w:num>
  <w:num w:numId="7">
    <w:abstractNumId w:val="39"/>
  </w:num>
  <w:num w:numId="8">
    <w:abstractNumId w:val="5"/>
  </w:num>
  <w:num w:numId="9">
    <w:abstractNumId w:val="20"/>
  </w:num>
  <w:num w:numId="10">
    <w:abstractNumId w:val="40"/>
  </w:num>
  <w:num w:numId="11">
    <w:abstractNumId w:val="42"/>
  </w:num>
  <w:num w:numId="12">
    <w:abstractNumId w:val="13"/>
  </w:num>
  <w:num w:numId="13">
    <w:abstractNumId w:val="16"/>
  </w:num>
  <w:num w:numId="14">
    <w:abstractNumId w:val="12"/>
  </w:num>
  <w:num w:numId="15">
    <w:abstractNumId w:val="27"/>
  </w:num>
  <w:num w:numId="16">
    <w:abstractNumId w:val="0"/>
  </w:num>
  <w:num w:numId="17">
    <w:abstractNumId w:val="2"/>
  </w:num>
  <w:num w:numId="18">
    <w:abstractNumId w:val="6"/>
  </w:num>
  <w:num w:numId="19">
    <w:abstractNumId w:val="40"/>
    <w:lvlOverride w:ilvl="0">
      <w:startOverride w:val="5"/>
    </w:lvlOverride>
  </w:num>
  <w:num w:numId="20">
    <w:abstractNumId w:val="40"/>
    <w:lvlOverride w:ilvl="0">
      <w:startOverride w:val="4"/>
    </w:lvlOverride>
  </w:num>
  <w:num w:numId="21">
    <w:abstractNumId w:val="40"/>
    <w:lvlOverride w:ilvl="0">
      <w:startOverride w:val="3"/>
    </w:lvlOverride>
    <w:lvlOverride w:ilvl="1">
      <w:startOverride w:val="3"/>
    </w:lvlOverride>
  </w:num>
  <w:num w:numId="22">
    <w:abstractNumId w:val="40"/>
    <w:lvlOverride w:ilvl="0">
      <w:startOverride w:val="3"/>
    </w:lvlOverride>
    <w:lvlOverride w:ilvl="1">
      <w:startOverride w:val="3"/>
    </w:lvlOverride>
  </w:num>
  <w:num w:numId="23">
    <w:abstractNumId w:val="40"/>
    <w:lvlOverride w:ilvl="0">
      <w:startOverride w:val="3"/>
    </w:lvlOverride>
    <w:lvlOverride w:ilvl="1">
      <w:startOverride w:val="2"/>
    </w:lvlOverride>
  </w:num>
  <w:num w:numId="24">
    <w:abstractNumId w:val="33"/>
  </w:num>
  <w:num w:numId="25">
    <w:abstractNumId w:val="32"/>
  </w:num>
  <w:num w:numId="26">
    <w:abstractNumId w:val="40"/>
  </w:num>
  <w:num w:numId="27">
    <w:abstractNumId w:val="40"/>
    <w:lvlOverride w:ilvl="0">
      <w:startOverride w:val="3"/>
    </w:lvlOverride>
    <w:lvlOverride w:ilvl="1">
      <w:startOverride w:val="4"/>
    </w:lvlOverride>
  </w:num>
  <w:num w:numId="28">
    <w:abstractNumId w:val="34"/>
  </w:num>
  <w:num w:numId="29">
    <w:abstractNumId w:val="46"/>
  </w:num>
  <w:num w:numId="30">
    <w:abstractNumId w:val="22"/>
  </w:num>
  <w:num w:numId="31">
    <w:abstractNumId w:val="11"/>
  </w:num>
  <w:num w:numId="32">
    <w:abstractNumId w:val="45"/>
  </w:num>
  <w:num w:numId="33">
    <w:abstractNumId w:val="9"/>
  </w:num>
  <w:num w:numId="34">
    <w:abstractNumId w:val="28"/>
  </w:num>
  <w:num w:numId="35">
    <w:abstractNumId w:val="19"/>
  </w:num>
  <w:num w:numId="36">
    <w:abstractNumId w:val="25"/>
  </w:num>
  <w:num w:numId="37">
    <w:abstractNumId w:val="36"/>
  </w:num>
  <w:num w:numId="38">
    <w:abstractNumId w:val="8"/>
  </w:num>
  <w:num w:numId="39">
    <w:abstractNumId w:val="14"/>
  </w:num>
  <w:num w:numId="40">
    <w:abstractNumId w:val="17"/>
  </w:num>
  <w:num w:numId="41">
    <w:abstractNumId w:val="43"/>
  </w:num>
  <w:num w:numId="42">
    <w:abstractNumId w:val="47"/>
  </w:num>
  <w:num w:numId="43">
    <w:abstractNumId w:val="31"/>
  </w:num>
  <w:num w:numId="44">
    <w:abstractNumId w:val="23"/>
  </w:num>
  <w:num w:numId="45">
    <w:abstractNumId w:val="30"/>
  </w:num>
  <w:num w:numId="46">
    <w:abstractNumId w:val="38"/>
  </w:num>
  <w:num w:numId="47">
    <w:abstractNumId w:val="18"/>
  </w:num>
  <w:num w:numId="48">
    <w:abstractNumId w:val="44"/>
  </w:num>
  <w:num w:numId="49">
    <w:abstractNumId w:val="1"/>
  </w:num>
  <w:num w:numId="50">
    <w:abstractNumId w:val="24"/>
  </w:num>
  <w:num w:numId="51">
    <w:abstractNumId w:val="4"/>
  </w:num>
  <w:num w:numId="52">
    <w:abstractNumId w:val="35"/>
  </w:num>
  <w:num w:numId="53">
    <w:abstractNumId w:val="21"/>
  </w:num>
  <w:num w:numId="54">
    <w:abstractNumId w:val="7"/>
  </w:num>
  <w:num w:numId="55">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67"/>
    <w:rsid w:val="00001E40"/>
    <w:rsid w:val="00002C86"/>
    <w:rsid w:val="00004FD8"/>
    <w:rsid w:val="0000692B"/>
    <w:rsid w:val="0001055D"/>
    <w:rsid w:val="00010C94"/>
    <w:rsid w:val="00012BCA"/>
    <w:rsid w:val="000165A0"/>
    <w:rsid w:val="000167BB"/>
    <w:rsid w:val="00017F8C"/>
    <w:rsid w:val="00020318"/>
    <w:rsid w:val="000231A7"/>
    <w:rsid w:val="00023784"/>
    <w:rsid w:val="000238E1"/>
    <w:rsid w:val="000239F4"/>
    <w:rsid w:val="00024D0A"/>
    <w:rsid w:val="00024EDF"/>
    <w:rsid w:val="000268A1"/>
    <w:rsid w:val="000271BA"/>
    <w:rsid w:val="00032EA6"/>
    <w:rsid w:val="00033FDA"/>
    <w:rsid w:val="00037531"/>
    <w:rsid w:val="00040A83"/>
    <w:rsid w:val="00041C1E"/>
    <w:rsid w:val="00043388"/>
    <w:rsid w:val="0004456C"/>
    <w:rsid w:val="00051133"/>
    <w:rsid w:val="00051C48"/>
    <w:rsid w:val="00052A11"/>
    <w:rsid w:val="00053355"/>
    <w:rsid w:val="00053A10"/>
    <w:rsid w:val="00055250"/>
    <w:rsid w:val="00055724"/>
    <w:rsid w:val="00056CFB"/>
    <w:rsid w:val="000571BC"/>
    <w:rsid w:val="0006110E"/>
    <w:rsid w:val="000633BE"/>
    <w:rsid w:val="000638C4"/>
    <w:rsid w:val="00063A6E"/>
    <w:rsid w:val="00064BEC"/>
    <w:rsid w:val="00064DA5"/>
    <w:rsid w:val="0006564D"/>
    <w:rsid w:val="00065BCF"/>
    <w:rsid w:val="000665C5"/>
    <w:rsid w:val="00067403"/>
    <w:rsid w:val="00070065"/>
    <w:rsid w:val="00070182"/>
    <w:rsid w:val="00070613"/>
    <w:rsid w:val="0007247C"/>
    <w:rsid w:val="00074EE6"/>
    <w:rsid w:val="00075053"/>
    <w:rsid w:val="000751CE"/>
    <w:rsid w:val="00075620"/>
    <w:rsid w:val="00075DF7"/>
    <w:rsid w:val="00075E11"/>
    <w:rsid w:val="000819CD"/>
    <w:rsid w:val="00084AA1"/>
    <w:rsid w:val="000868B3"/>
    <w:rsid w:val="00090D0A"/>
    <w:rsid w:val="00092613"/>
    <w:rsid w:val="00093F63"/>
    <w:rsid w:val="000951DA"/>
    <w:rsid w:val="00095623"/>
    <w:rsid w:val="00095DD1"/>
    <w:rsid w:val="000A1028"/>
    <w:rsid w:val="000A2CAF"/>
    <w:rsid w:val="000A4716"/>
    <w:rsid w:val="000A53DC"/>
    <w:rsid w:val="000A6D85"/>
    <w:rsid w:val="000A72F5"/>
    <w:rsid w:val="000B0ABD"/>
    <w:rsid w:val="000B37B6"/>
    <w:rsid w:val="000B37D5"/>
    <w:rsid w:val="000B3B87"/>
    <w:rsid w:val="000B42B7"/>
    <w:rsid w:val="000B5939"/>
    <w:rsid w:val="000C0359"/>
    <w:rsid w:val="000C130C"/>
    <w:rsid w:val="000C2FA8"/>
    <w:rsid w:val="000C3DAD"/>
    <w:rsid w:val="000C4195"/>
    <w:rsid w:val="000C4AC1"/>
    <w:rsid w:val="000C4C1C"/>
    <w:rsid w:val="000C600D"/>
    <w:rsid w:val="000C6998"/>
    <w:rsid w:val="000C7E11"/>
    <w:rsid w:val="000D0542"/>
    <w:rsid w:val="000D0AD4"/>
    <w:rsid w:val="000D33B6"/>
    <w:rsid w:val="000D3B1A"/>
    <w:rsid w:val="000D5BFF"/>
    <w:rsid w:val="000D69A3"/>
    <w:rsid w:val="000D79B1"/>
    <w:rsid w:val="000E0023"/>
    <w:rsid w:val="000E132C"/>
    <w:rsid w:val="000E14F4"/>
    <w:rsid w:val="000E1BE8"/>
    <w:rsid w:val="000E1CE4"/>
    <w:rsid w:val="000E28C8"/>
    <w:rsid w:val="000E2E38"/>
    <w:rsid w:val="000E42E0"/>
    <w:rsid w:val="000E5222"/>
    <w:rsid w:val="000E537C"/>
    <w:rsid w:val="000E6C4F"/>
    <w:rsid w:val="000F0D41"/>
    <w:rsid w:val="000F1533"/>
    <w:rsid w:val="000F1888"/>
    <w:rsid w:val="000F2C54"/>
    <w:rsid w:val="000F44D6"/>
    <w:rsid w:val="000F4BC8"/>
    <w:rsid w:val="000F58AB"/>
    <w:rsid w:val="000F58FE"/>
    <w:rsid w:val="000F6EC9"/>
    <w:rsid w:val="0010024D"/>
    <w:rsid w:val="001003D0"/>
    <w:rsid w:val="001004F8"/>
    <w:rsid w:val="00101629"/>
    <w:rsid w:val="00101962"/>
    <w:rsid w:val="00103716"/>
    <w:rsid w:val="0010407F"/>
    <w:rsid w:val="00104B2A"/>
    <w:rsid w:val="00105EA6"/>
    <w:rsid w:val="001062D9"/>
    <w:rsid w:val="001063CC"/>
    <w:rsid w:val="00110A85"/>
    <w:rsid w:val="00110EED"/>
    <w:rsid w:val="0011165E"/>
    <w:rsid w:val="00111985"/>
    <w:rsid w:val="00111A54"/>
    <w:rsid w:val="00111AC2"/>
    <w:rsid w:val="00111D2D"/>
    <w:rsid w:val="001134E7"/>
    <w:rsid w:val="001158CA"/>
    <w:rsid w:val="001168E4"/>
    <w:rsid w:val="00116938"/>
    <w:rsid w:val="00116EBB"/>
    <w:rsid w:val="0011790F"/>
    <w:rsid w:val="00121C59"/>
    <w:rsid w:val="001229D5"/>
    <w:rsid w:val="00122FD0"/>
    <w:rsid w:val="00123834"/>
    <w:rsid w:val="00124F29"/>
    <w:rsid w:val="00131EF0"/>
    <w:rsid w:val="00132322"/>
    <w:rsid w:val="00132843"/>
    <w:rsid w:val="001331E2"/>
    <w:rsid w:val="0013482F"/>
    <w:rsid w:val="00134960"/>
    <w:rsid w:val="00134FDA"/>
    <w:rsid w:val="00135878"/>
    <w:rsid w:val="00136E37"/>
    <w:rsid w:val="0014234A"/>
    <w:rsid w:val="00142574"/>
    <w:rsid w:val="00142E5C"/>
    <w:rsid w:val="00143FBD"/>
    <w:rsid w:val="001471DE"/>
    <w:rsid w:val="001501ED"/>
    <w:rsid w:val="00151C7B"/>
    <w:rsid w:val="001527E5"/>
    <w:rsid w:val="00153ECC"/>
    <w:rsid w:val="00155C6D"/>
    <w:rsid w:val="0015608F"/>
    <w:rsid w:val="00156CF0"/>
    <w:rsid w:val="00157064"/>
    <w:rsid w:val="00162C09"/>
    <w:rsid w:val="001650C3"/>
    <w:rsid w:val="001651B1"/>
    <w:rsid w:val="00166B1E"/>
    <w:rsid w:val="00167639"/>
    <w:rsid w:val="001676D9"/>
    <w:rsid w:val="00170662"/>
    <w:rsid w:val="00170EB8"/>
    <w:rsid w:val="0017169E"/>
    <w:rsid w:val="00171BED"/>
    <w:rsid w:val="00172F52"/>
    <w:rsid w:val="00173004"/>
    <w:rsid w:val="00174B27"/>
    <w:rsid w:val="00181282"/>
    <w:rsid w:val="00181904"/>
    <w:rsid w:val="001846DC"/>
    <w:rsid w:val="00184AF2"/>
    <w:rsid w:val="00185FA3"/>
    <w:rsid w:val="001860BB"/>
    <w:rsid w:val="001861B4"/>
    <w:rsid w:val="001900D2"/>
    <w:rsid w:val="0019249A"/>
    <w:rsid w:val="00192A15"/>
    <w:rsid w:val="001932F0"/>
    <w:rsid w:val="001934FC"/>
    <w:rsid w:val="00195826"/>
    <w:rsid w:val="001969D0"/>
    <w:rsid w:val="00197CF3"/>
    <w:rsid w:val="00197DBA"/>
    <w:rsid w:val="001A1919"/>
    <w:rsid w:val="001A203E"/>
    <w:rsid w:val="001A23E4"/>
    <w:rsid w:val="001A2674"/>
    <w:rsid w:val="001A2F59"/>
    <w:rsid w:val="001A3F49"/>
    <w:rsid w:val="001B0EF6"/>
    <w:rsid w:val="001B0FDF"/>
    <w:rsid w:val="001B15F8"/>
    <w:rsid w:val="001B1DED"/>
    <w:rsid w:val="001B1E93"/>
    <w:rsid w:val="001B3A37"/>
    <w:rsid w:val="001B4F0E"/>
    <w:rsid w:val="001B65B3"/>
    <w:rsid w:val="001B75FB"/>
    <w:rsid w:val="001C0194"/>
    <w:rsid w:val="001C2274"/>
    <w:rsid w:val="001C3044"/>
    <w:rsid w:val="001C452A"/>
    <w:rsid w:val="001C4DAC"/>
    <w:rsid w:val="001C4DFB"/>
    <w:rsid w:val="001C5387"/>
    <w:rsid w:val="001C5A3D"/>
    <w:rsid w:val="001C60B7"/>
    <w:rsid w:val="001C622E"/>
    <w:rsid w:val="001C681D"/>
    <w:rsid w:val="001C77A3"/>
    <w:rsid w:val="001D3AC3"/>
    <w:rsid w:val="001D427C"/>
    <w:rsid w:val="001D55A3"/>
    <w:rsid w:val="001D7046"/>
    <w:rsid w:val="001E13BD"/>
    <w:rsid w:val="001E14BD"/>
    <w:rsid w:val="001E172C"/>
    <w:rsid w:val="001E25DD"/>
    <w:rsid w:val="001E368B"/>
    <w:rsid w:val="001E5CBE"/>
    <w:rsid w:val="001E5EFF"/>
    <w:rsid w:val="001E6176"/>
    <w:rsid w:val="001E6B1F"/>
    <w:rsid w:val="001E7C0A"/>
    <w:rsid w:val="001E7EDF"/>
    <w:rsid w:val="001F03FE"/>
    <w:rsid w:val="001F15AF"/>
    <w:rsid w:val="001F19B2"/>
    <w:rsid w:val="001F1D75"/>
    <w:rsid w:val="001F1F30"/>
    <w:rsid w:val="001F2F54"/>
    <w:rsid w:val="001F34B7"/>
    <w:rsid w:val="001F5699"/>
    <w:rsid w:val="001F5AF3"/>
    <w:rsid w:val="001F6113"/>
    <w:rsid w:val="001F7827"/>
    <w:rsid w:val="001F7B79"/>
    <w:rsid w:val="00200779"/>
    <w:rsid w:val="0020116F"/>
    <w:rsid w:val="00201BBF"/>
    <w:rsid w:val="00203123"/>
    <w:rsid w:val="00205153"/>
    <w:rsid w:val="00205517"/>
    <w:rsid w:val="002058A8"/>
    <w:rsid w:val="00205C4F"/>
    <w:rsid w:val="00210A7F"/>
    <w:rsid w:val="00211B57"/>
    <w:rsid w:val="002127A6"/>
    <w:rsid w:val="0021397E"/>
    <w:rsid w:val="00213F84"/>
    <w:rsid w:val="002151A5"/>
    <w:rsid w:val="002153D8"/>
    <w:rsid w:val="002157DC"/>
    <w:rsid w:val="00215A03"/>
    <w:rsid w:val="00216662"/>
    <w:rsid w:val="002216A0"/>
    <w:rsid w:val="00221F70"/>
    <w:rsid w:val="0023056B"/>
    <w:rsid w:val="002321A1"/>
    <w:rsid w:val="00232986"/>
    <w:rsid w:val="0023668E"/>
    <w:rsid w:val="00237F32"/>
    <w:rsid w:val="002408EA"/>
    <w:rsid w:val="00240B38"/>
    <w:rsid w:val="002421CE"/>
    <w:rsid w:val="00243C6D"/>
    <w:rsid w:val="00244676"/>
    <w:rsid w:val="002446F4"/>
    <w:rsid w:val="00245FA6"/>
    <w:rsid w:val="00247D57"/>
    <w:rsid w:val="00247DE0"/>
    <w:rsid w:val="002515A7"/>
    <w:rsid w:val="00252986"/>
    <w:rsid w:val="00252B4C"/>
    <w:rsid w:val="0025725C"/>
    <w:rsid w:val="00257D4E"/>
    <w:rsid w:val="00261647"/>
    <w:rsid w:val="00261C00"/>
    <w:rsid w:val="002621D2"/>
    <w:rsid w:val="0026260A"/>
    <w:rsid w:val="00264341"/>
    <w:rsid w:val="00265DE6"/>
    <w:rsid w:val="00266846"/>
    <w:rsid w:val="0026685E"/>
    <w:rsid w:val="00270605"/>
    <w:rsid w:val="00270C07"/>
    <w:rsid w:val="00273877"/>
    <w:rsid w:val="00273AC7"/>
    <w:rsid w:val="00274C85"/>
    <w:rsid w:val="0027536F"/>
    <w:rsid w:val="00275791"/>
    <w:rsid w:val="00275B09"/>
    <w:rsid w:val="00276665"/>
    <w:rsid w:val="00276DB8"/>
    <w:rsid w:val="00276F17"/>
    <w:rsid w:val="002809A2"/>
    <w:rsid w:val="00280FFF"/>
    <w:rsid w:val="00282429"/>
    <w:rsid w:val="00283E59"/>
    <w:rsid w:val="002840F5"/>
    <w:rsid w:val="002849FD"/>
    <w:rsid w:val="002871EA"/>
    <w:rsid w:val="0028743D"/>
    <w:rsid w:val="00287A5A"/>
    <w:rsid w:val="002901EA"/>
    <w:rsid w:val="0029207C"/>
    <w:rsid w:val="00292084"/>
    <w:rsid w:val="0029278F"/>
    <w:rsid w:val="0029404B"/>
    <w:rsid w:val="00294A88"/>
    <w:rsid w:val="00295123"/>
    <w:rsid w:val="00295259"/>
    <w:rsid w:val="00296A64"/>
    <w:rsid w:val="0029710B"/>
    <w:rsid w:val="00297D54"/>
    <w:rsid w:val="002A0D16"/>
    <w:rsid w:val="002A2F41"/>
    <w:rsid w:val="002A43DD"/>
    <w:rsid w:val="002A44FC"/>
    <w:rsid w:val="002A6C0F"/>
    <w:rsid w:val="002A6D6D"/>
    <w:rsid w:val="002B0077"/>
    <w:rsid w:val="002B102F"/>
    <w:rsid w:val="002B18C7"/>
    <w:rsid w:val="002B36AF"/>
    <w:rsid w:val="002B479E"/>
    <w:rsid w:val="002B66DC"/>
    <w:rsid w:val="002C0654"/>
    <w:rsid w:val="002C0A46"/>
    <w:rsid w:val="002C1792"/>
    <w:rsid w:val="002C1A7E"/>
    <w:rsid w:val="002C488D"/>
    <w:rsid w:val="002C69A2"/>
    <w:rsid w:val="002C702E"/>
    <w:rsid w:val="002C78FE"/>
    <w:rsid w:val="002D0C4C"/>
    <w:rsid w:val="002D1C36"/>
    <w:rsid w:val="002D46D0"/>
    <w:rsid w:val="002E2E4A"/>
    <w:rsid w:val="002E32B0"/>
    <w:rsid w:val="002E32E1"/>
    <w:rsid w:val="002E4209"/>
    <w:rsid w:val="002E54FD"/>
    <w:rsid w:val="002E58DD"/>
    <w:rsid w:val="002E5BFC"/>
    <w:rsid w:val="002E74DD"/>
    <w:rsid w:val="002F2EEF"/>
    <w:rsid w:val="002F3FA9"/>
    <w:rsid w:val="002F4094"/>
    <w:rsid w:val="002F4B95"/>
    <w:rsid w:val="002F4C3C"/>
    <w:rsid w:val="002F5770"/>
    <w:rsid w:val="002F7077"/>
    <w:rsid w:val="00300122"/>
    <w:rsid w:val="00303212"/>
    <w:rsid w:val="00303922"/>
    <w:rsid w:val="003050EC"/>
    <w:rsid w:val="00305CEB"/>
    <w:rsid w:val="00307023"/>
    <w:rsid w:val="00310A4C"/>
    <w:rsid w:val="0031189D"/>
    <w:rsid w:val="00311AF5"/>
    <w:rsid w:val="00311ED0"/>
    <w:rsid w:val="00313192"/>
    <w:rsid w:val="0031404F"/>
    <w:rsid w:val="00314297"/>
    <w:rsid w:val="00314329"/>
    <w:rsid w:val="003168BB"/>
    <w:rsid w:val="003204F1"/>
    <w:rsid w:val="003205D3"/>
    <w:rsid w:val="0032198E"/>
    <w:rsid w:val="00322CD0"/>
    <w:rsid w:val="00326145"/>
    <w:rsid w:val="00330C9D"/>
    <w:rsid w:val="003328F0"/>
    <w:rsid w:val="00333D4F"/>
    <w:rsid w:val="0033452C"/>
    <w:rsid w:val="00335A59"/>
    <w:rsid w:val="0033640D"/>
    <w:rsid w:val="00336AE6"/>
    <w:rsid w:val="00337FE7"/>
    <w:rsid w:val="00340128"/>
    <w:rsid w:val="00341291"/>
    <w:rsid w:val="00341C15"/>
    <w:rsid w:val="003433C2"/>
    <w:rsid w:val="00344447"/>
    <w:rsid w:val="0034450B"/>
    <w:rsid w:val="003458C8"/>
    <w:rsid w:val="003459F2"/>
    <w:rsid w:val="003461FB"/>
    <w:rsid w:val="0034756E"/>
    <w:rsid w:val="003479FA"/>
    <w:rsid w:val="00350BAA"/>
    <w:rsid w:val="00352E63"/>
    <w:rsid w:val="00353E0E"/>
    <w:rsid w:val="00354DC9"/>
    <w:rsid w:val="003569CC"/>
    <w:rsid w:val="00356D33"/>
    <w:rsid w:val="00357867"/>
    <w:rsid w:val="00360B0A"/>
    <w:rsid w:val="003612D9"/>
    <w:rsid w:val="00362CF1"/>
    <w:rsid w:val="0036306A"/>
    <w:rsid w:val="0036406D"/>
    <w:rsid w:val="00365DAD"/>
    <w:rsid w:val="00365E6E"/>
    <w:rsid w:val="00370149"/>
    <w:rsid w:val="00370E34"/>
    <w:rsid w:val="0037112C"/>
    <w:rsid w:val="003716CA"/>
    <w:rsid w:val="00371A85"/>
    <w:rsid w:val="003722FA"/>
    <w:rsid w:val="00373A17"/>
    <w:rsid w:val="00373ED0"/>
    <w:rsid w:val="00374366"/>
    <w:rsid w:val="00374EC6"/>
    <w:rsid w:val="00377277"/>
    <w:rsid w:val="00377B1E"/>
    <w:rsid w:val="0038117D"/>
    <w:rsid w:val="00381E55"/>
    <w:rsid w:val="00382428"/>
    <w:rsid w:val="00382B3B"/>
    <w:rsid w:val="00382F7B"/>
    <w:rsid w:val="00383732"/>
    <w:rsid w:val="00383A0F"/>
    <w:rsid w:val="00384306"/>
    <w:rsid w:val="00385783"/>
    <w:rsid w:val="003872A5"/>
    <w:rsid w:val="003878B8"/>
    <w:rsid w:val="00390A20"/>
    <w:rsid w:val="00390FB1"/>
    <w:rsid w:val="00394115"/>
    <w:rsid w:val="003956EA"/>
    <w:rsid w:val="00396871"/>
    <w:rsid w:val="003977D5"/>
    <w:rsid w:val="003A2DBF"/>
    <w:rsid w:val="003A63C1"/>
    <w:rsid w:val="003B1C33"/>
    <w:rsid w:val="003B1CB7"/>
    <w:rsid w:val="003B1FED"/>
    <w:rsid w:val="003B230A"/>
    <w:rsid w:val="003B2ED9"/>
    <w:rsid w:val="003B3A6E"/>
    <w:rsid w:val="003B7784"/>
    <w:rsid w:val="003B7E20"/>
    <w:rsid w:val="003C5BD0"/>
    <w:rsid w:val="003C6AFA"/>
    <w:rsid w:val="003C7AAF"/>
    <w:rsid w:val="003D08A2"/>
    <w:rsid w:val="003D1DD8"/>
    <w:rsid w:val="003D2BEF"/>
    <w:rsid w:val="003D7DE5"/>
    <w:rsid w:val="003E0698"/>
    <w:rsid w:val="003E12B1"/>
    <w:rsid w:val="003E32F4"/>
    <w:rsid w:val="003E39A9"/>
    <w:rsid w:val="003E5D3B"/>
    <w:rsid w:val="003E7777"/>
    <w:rsid w:val="003E77E2"/>
    <w:rsid w:val="003F0C27"/>
    <w:rsid w:val="003F0CEF"/>
    <w:rsid w:val="003F1254"/>
    <w:rsid w:val="003F25D3"/>
    <w:rsid w:val="003F2EC0"/>
    <w:rsid w:val="003F3645"/>
    <w:rsid w:val="003F3DD3"/>
    <w:rsid w:val="003F5FC4"/>
    <w:rsid w:val="003F65EB"/>
    <w:rsid w:val="003F6F4A"/>
    <w:rsid w:val="00401460"/>
    <w:rsid w:val="00402646"/>
    <w:rsid w:val="004027F8"/>
    <w:rsid w:val="00403324"/>
    <w:rsid w:val="004037EE"/>
    <w:rsid w:val="004041EE"/>
    <w:rsid w:val="00405F75"/>
    <w:rsid w:val="004061BD"/>
    <w:rsid w:val="004069FB"/>
    <w:rsid w:val="004075B6"/>
    <w:rsid w:val="004127E7"/>
    <w:rsid w:val="004169C6"/>
    <w:rsid w:val="0042062B"/>
    <w:rsid w:val="00420952"/>
    <w:rsid w:val="00421B6A"/>
    <w:rsid w:val="0042259F"/>
    <w:rsid w:val="004243B2"/>
    <w:rsid w:val="00426C4D"/>
    <w:rsid w:val="004276F4"/>
    <w:rsid w:val="00427823"/>
    <w:rsid w:val="00427B96"/>
    <w:rsid w:val="0043003A"/>
    <w:rsid w:val="00430D2B"/>
    <w:rsid w:val="00433029"/>
    <w:rsid w:val="00436279"/>
    <w:rsid w:val="00436651"/>
    <w:rsid w:val="004369D6"/>
    <w:rsid w:val="00437126"/>
    <w:rsid w:val="00437B83"/>
    <w:rsid w:val="004407EE"/>
    <w:rsid w:val="00440B28"/>
    <w:rsid w:val="00442624"/>
    <w:rsid w:val="00443B9A"/>
    <w:rsid w:val="00444BF1"/>
    <w:rsid w:val="00444FCC"/>
    <w:rsid w:val="00446060"/>
    <w:rsid w:val="00446BEE"/>
    <w:rsid w:val="00446C50"/>
    <w:rsid w:val="0045012A"/>
    <w:rsid w:val="0045150E"/>
    <w:rsid w:val="004547CC"/>
    <w:rsid w:val="004549DD"/>
    <w:rsid w:val="00454C9D"/>
    <w:rsid w:val="00455037"/>
    <w:rsid w:val="00457161"/>
    <w:rsid w:val="0046146A"/>
    <w:rsid w:val="00461AE7"/>
    <w:rsid w:val="00462637"/>
    <w:rsid w:val="00463431"/>
    <w:rsid w:val="004645AF"/>
    <w:rsid w:val="004649C5"/>
    <w:rsid w:val="00464E44"/>
    <w:rsid w:val="00465434"/>
    <w:rsid w:val="0046554D"/>
    <w:rsid w:val="00466537"/>
    <w:rsid w:val="00466661"/>
    <w:rsid w:val="0046682D"/>
    <w:rsid w:val="00466ADE"/>
    <w:rsid w:val="004705C4"/>
    <w:rsid w:val="00470D7E"/>
    <w:rsid w:val="00472785"/>
    <w:rsid w:val="00472A57"/>
    <w:rsid w:val="00472F1B"/>
    <w:rsid w:val="004733A6"/>
    <w:rsid w:val="00473855"/>
    <w:rsid w:val="00474830"/>
    <w:rsid w:val="00475D58"/>
    <w:rsid w:val="00476175"/>
    <w:rsid w:val="004762E1"/>
    <w:rsid w:val="00476A0D"/>
    <w:rsid w:val="00477E9C"/>
    <w:rsid w:val="00481B1C"/>
    <w:rsid w:val="00481CCF"/>
    <w:rsid w:val="004839BE"/>
    <w:rsid w:val="00484638"/>
    <w:rsid w:val="00485181"/>
    <w:rsid w:val="00485A72"/>
    <w:rsid w:val="00486099"/>
    <w:rsid w:val="00486823"/>
    <w:rsid w:val="00487D0C"/>
    <w:rsid w:val="0049142E"/>
    <w:rsid w:val="004922C2"/>
    <w:rsid w:val="004961AD"/>
    <w:rsid w:val="0049696D"/>
    <w:rsid w:val="0049700B"/>
    <w:rsid w:val="004971FE"/>
    <w:rsid w:val="0049793B"/>
    <w:rsid w:val="004A0763"/>
    <w:rsid w:val="004A4540"/>
    <w:rsid w:val="004A49E7"/>
    <w:rsid w:val="004A56B0"/>
    <w:rsid w:val="004A6195"/>
    <w:rsid w:val="004B154D"/>
    <w:rsid w:val="004B289B"/>
    <w:rsid w:val="004B379C"/>
    <w:rsid w:val="004B3E76"/>
    <w:rsid w:val="004B51A6"/>
    <w:rsid w:val="004B6806"/>
    <w:rsid w:val="004C0147"/>
    <w:rsid w:val="004C1C7C"/>
    <w:rsid w:val="004C1E7C"/>
    <w:rsid w:val="004C2CDA"/>
    <w:rsid w:val="004C34B9"/>
    <w:rsid w:val="004C3519"/>
    <w:rsid w:val="004C5323"/>
    <w:rsid w:val="004C5DC4"/>
    <w:rsid w:val="004D07DE"/>
    <w:rsid w:val="004D1817"/>
    <w:rsid w:val="004D35B6"/>
    <w:rsid w:val="004D3B99"/>
    <w:rsid w:val="004D4E77"/>
    <w:rsid w:val="004D58AF"/>
    <w:rsid w:val="004D791D"/>
    <w:rsid w:val="004E191B"/>
    <w:rsid w:val="004E39E9"/>
    <w:rsid w:val="004E53ED"/>
    <w:rsid w:val="004E5AF5"/>
    <w:rsid w:val="004E5E1B"/>
    <w:rsid w:val="004E7242"/>
    <w:rsid w:val="004F009F"/>
    <w:rsid w:val="004F0524"/>
    <w:rsid w:val="004F2B6F"/>
    <w:rsid w:val="004F3DC2"/>
    <w:rsid w:val="004F5341"/>
    <w:rsid w:val="004F666D"/>
    <w:rsid w:val="004F6ACD"/>
    <w:rsid w:val="004F7B5A"/>
    <w:rsid w:val="004F7F55"/>
    <w:rsid w:val="0050061E"/>
    <w:rsid w:val="00500BFE"/>
    <w:rsid w:val="00501A40"/>
    <w:rsid w:val="005025A1"/>
    <w:rsid w:val="00502C4B"/>
    <w:rsid w:val="00504081"/>
    <w:rsid w:val="005041B3"/>
    <w:rsid w:val="0050479F"/>
    <w:rsid w:val="00504E72"/>
    <w:rsid w:val="00505274"/>
    <w:rsid w:val="00505463"/>
    <w:rsid w:val="00512009"/>
    <w:rsid w:val="005176F3"/>
    <w:rsid w:val="00517804"/>
    <w:rsid w:val="005234A8"/>
    <w:rsid w:val="00523A28"/>
    <w:rsid w:val="00525532"/>
    <w:rsid w:val="005260DE"/>
    <w:rsid w:val="00527ABE"/>
    <w:rsid w:val="00527B76"/>
    <w:rsid w:val="00532B5C"/>
    <w:rsid w:val="005352AC"/>
    <w:rsid w:val="005356A8"/>
    <w:rsid w:val="00536C10"/>
    <w:rsid w:val="00537BB1"/>
    <w:rsid w:val="00540AA4"/>
    <w:rsid w:val="0054140B"/>
    <w:rsid w:val="00542D34"/>
    <w:rsid w:val="00543797"/>
    <w:rsid w:val="00543D1E"/>
    <w:rsid w:val="00544068"/>
    <w:rsid w:val="0054418A"/>
    <w:rsid w:val="005447EC"/>
    <w:rsid w:val="0054532C"/>
    <w:rsid w:val="00546F75"/>
    <w:rsid w:val="00547E02"/>
    <w:rsid w:val="00547FCA"/>
    <w:rsid w:val="0055035A"/>
    <w:rsid w:val="0055039D"/>
    <w:rsid w:val="00550740"/>
    <w:rsid w:val="005522DA"/>
    <w:rsid w:val="00554FAF"/>
    <w:rsid w:val="00556369"/>
    <w:rsid w:val="005574B1"/>
    <w:rsid w:val="00561FFB"/>
    <w:rsid w:val="0056445D"/>
    <w:rsid w:val="00567E9D"/>
    <w:rsid w:val="00570FF7"/>
    <w:rsid w:val="00571543"/>
    <w:rsid w:val="005720CE"/>
    <w:rsid w:val="00572FC1"/>
    <w:rsid w:val="005744EC"/>
    <w:rsid w:val="00574C4B"/>
    <w:rsid w:val="0057612D"/>
    <w:rsid w:val="00581B4A"/>
    <w:rsid w:val="00583673"/>
    <w:rsid w:val="00583926"/>
    <w:rsid w:val="0058598B"/>
    <w:rsid w:val="00590E26"/>
    <w:rsid w:val="00591B3F"/>
    <w:rsid w:val="00592A8F"/>
    <w:rsid w:val="00593080"/>
    <w:rsid w:val="00593149"/>
    <w:rsid w:val="005932F0"/>
    <w:rsid w:val="00593F54"/>
    <w:rsid w:val="0059440E"/>
    <w:rsid w:val="0059524B"/>
    <w:rsid w:val="005952BC"/>
    <w:rsid w:val="00595450"/>
    <w:rsid w:val="005A05A7"/>
    <w:rsid w:val="005A1313"/>
    <w:rsid w:val="005A248A"/>
    <w:rsid w:val="005A2CB7"/>
    <w:rsid w:val="005A4772"/>
    <w:rsid w:val="005A5E35"/>
    <w:rsid w:val="005A6C14"/>
    <w:rsid w:val="005A7912"/>
    <w:rsid w:val="005B1736"/>
    <w:rsid w:val="005B2C68"/>
    <w:rsid w:val="005B3FDA"/>
    <w:rsid w:val="005B3FF8"/>
    <w:rsid w:val="005B5036"/>
    <w:rsid w:val="005B7B2B"/>
    <w:rsid w:val="005C06D1"/>
    <w:rsid w:val="005C4A1C"/>
    <w:rsid w:val="005C5F8F"/>
    <w:rsid w:val="005C6BAE"/>
    <w:rsid w:val="005C7BEC"/>
    <w:rsid w:val="005D114C"/>
    <w:rsid w:val="005D1A84"/>
    <w:rsid w:val="005D1B9B"/>
    <w:rsid w:val="005D2271"/>
    <w:rsid w:val="005D239A"/>
    <w:rsid w:val="005D24C7"/>
    <w:rsid w:val="005D2548"/>
    <w:rsid w:val="005D2977"/>
    <w:rsid w:val="005D2E36"/>
    <w:rsid w:val="005D45C1"/>
    <w:rsid w:val="005D5020"/>
    <w:rsid w:val="005D52F7"/>
    <w:rsid w:val="005D6CC0"/>
    <w:rsid w:val="005D7669"/>
    <w:rsid w:val="005D799A"/>
    <w:rsid w:val="005E0779"/>
    <w:rsid w:val="005E07CD"/>
    <w:rsid w:val="005E1604"/>
    <w:rsid w:val="005E1EB5"/>
    <w:rsid w:val="005E21A6"/>
    <w:rsid w:val="005E2477"/>
    <w:rsid w:val="005E2AC7"/>
    <w:rsid w:val="005E2BEA"/>
    <w:rsid w:val="005E3202"/>
    <w:rsid w:val="005E34A6"/>
    <w:rsid w:val="005E432A"/>
    <w:rsid w:val="005E462E"/>
    <w:rsid w:val="005E572F"/>
    <w:rsid w:val="005E648E"/>
    <w:rsid w:val="005E6CE8"/>
    <w:rsid w:val="005F0673"/>
    <w:rsid w:val="005F129F"/>
    <w:rsid w:val="005F1567"/>
    <w:rsid w:val="005F1901"/>
    <w:rsid w:val="005F2A56"/>
    <w:rsid w:val="005F3FBC"/>
    <w:rsid w:val="005F5EB2"/>
    <w:rsid w:val="005F60EB"/>
    <w:rsid w:val="005F755D"/>
    <w:rsid w:val="006009C4"/>
    <w:rsid w:val="00601BA5"/>
    <w:rsid w:val="00604041"/>
    <w:rsid w:val="00604D26"/>
    <w:rsid w:val="00604E3F"/>
    <w:rsid w:val="00605BA0"/>
    <w:rsid w:val="00605E1F"/>
    <w:rsid w:val="00606C17"/>
    <w:rsid w:val="00607082"/>
    <w:rsid w:val="006109F0"/>
    <w:rsid w:val="00612014"/>
    <w:rsid w:val="00613B02"/>
    <w:rsid w:val="00617340"/>
    <w:rsid w:val="00620139"/>
    <w:rsid w:val="00620550"/>
    <w:rsid w:val="006206BD"/>
    <w:rsid w:val="00620BE6"/>
    <w:rsid w:val="006215E0"/>
    <w:rsid w:val="006219E4"/>
    <w:rsid w:val="006225EA"/>
    <w:rsid w:val="006229F4"/>
    <w:rsid w:val="00624A8C"/>
    <w:rsid w:val="0062507B"/>
    <w:rsid w:val="006256B0"/>
    <w:rsid w:val="00630DAE"/>
    <w:rsid w:val="00631251"/>
    <w:rsid w:val="00631FBF"/>
    <w:rsid w:val="006322CF"/>
    <w:rsid w:val="00632E32"/>
    <w:rsid w:val="00632F22"/>
    <w:rsid w:val="00632F8F"/>
    <w:rsid w:val="00633C65"/>
    <w:rsid w:val="00634EDF"/>
    <w:rsid w:val="00637B44"/>
    <w:rsid w:val="00640826"/>
    <w:rsid w:val="0064286F"/>
    <w:rsid w:val="0064655E"/>
    <w:rsid w:val="00646990"/>
    <w:rsid w:val="00646AA9"/>
    <w:rsid w:val="006473E0"/>
    <w:rsid w:val="006479BC"/>
    <w:rsid w:val="00647AD8"/>
    <w:rsid w:val="00650DBD"/>
    <w:rsid w:val="00651926"/>
    <w:rsid w:val="00651C94"/>
    <w:rsid w:val="00651DD8"/>
    <w:rsid w:val="00654643"/>
    <w:rsid w:val="00654B83"/>
    <w:rsid w:val="006557F4"/>
    <w:rsid w:val="00660CAB"/>
    <w:rsid w:val="00661072"/>
    <w:rsid w:val="00661C3B"/>
    <w:rsid w:val="00662284"/>
    <w:rsid w:val="00667A4F"/>
    <w:rsid w:val="006739A5"/>
    <w:rsid w:val="0067456A"/>
    <w:rsid w:val="0067465F"/>
    <w:rsid w:val="006761E5"/>
    <w:rsid w:val="00676F1F"/>
    <w:rsid w:val="00677873"/>
    <w:rsid w:val="006811BA"/>
    <w:rsid w:val="00681D70"/>
    <w:rsid w:val="006921E1"/>
    <w:rsid w:val="006923A1"/>
    <w:rsid w:val="006925C1"/>
    <w:rsid w:val="006936E8"/>
    <w:rsid w:val="006938D4"/>
    <w:rsid w:val="006943B0"/>
    <w:rsid w:val="0069510B"/>
    <w:rsid w:val="006957D6"/>
    <w:rsid w:val="00697845"/>
    <w:rsid w:val="006A0316"/>
    <w:rsid w:val="006A2868"/>
    <w:rsid w:val="006A349B"/>
    <w:rsid w:val="006A5452"/>
    <w:rsid w:val="006A5DE6"/>
    <w:rsid w:val="006A6002"/>
    <w:rsid w:val="006A698F"/>
    <w:rsid w:val="006B174D"/>
    <w:rsid w:val="006B3DE9"/>
    <w:rsid w:val="006B43C0"/>
    <w:rsid w:val="006B5283"/>
    <w:rsid w:val="006B574B"/>
    <w:rsid w:val="006B5758"/>
    <w:rsid w:val="006B6B1E"/>
    <w:rsid w:val="006B7F1F"/>
    <w:rsid w:val="006C1A43"/>
    <w:rsid w:val="006C369C"/>
    <w:rsid w:val="006C3F0C"/>
    <w:rsid w:val="006C4019"/>
    <w:rsid w:val="006C44ED"/>
    <w:rsid w:val="006C4AE5"/>
    <w:rsid w:val="006C5BEC"/>
    <w:rsid w:val="006D07F9"/>
    <w:rsid w:val="006D144D"/>
    <w:rsid w:val="006D2794"/>
    <w:rsid w:val="006D27CA"/>
    <w:rsid w:val="006D34F4"/>
    <w:rsid w:val="006D55A6"/>
    <w:rsid w:val="006D55CF"/>
    <w:rsid w:val="006D6F4A"/>
    <w:rsid w:val="006E0FBE"/>
    <w:rsid w:val="006E4C5E"/>
    <w:rsid w:val="006E5649"/>
    <w:rsid w:val="006F3CDE"/>
    <w:rsid w:val="006F6382"/>
    <w:rsid w:val="006F6952"/>
    <w:rsid w:val="00702E51"/>
    <w:rsid w:val="0070384C"/>
    <w:rsid w:val="007060B2"/>
    <w:rsid w:val="00706FA4"/>
    <w:rsid w:val="0070760D"/>
    <w:rsid w:val="00707761"/>
    <w:rsid w:val="00711177"/>
    <w:rsid w:val="007134AD"/>
    <w:rsid w:val="007148F5"/>
    <w:rsid w:val="007152C2"/>
    <w:rsid w:val="0072045E"/>
    <w:rsid w:val="0072055D"/>
    <w:rsid w:val="007205FF"/>
    <w:rsid w:val="00722AD0"/>
    <w:rsid w:val="007231A4"/>
    <w:rsid w:val="00723293"/>
    <w:rsid w:val="00725954"/>
    <w:rsid w:val="00727C1E"/>
    <w:rsid w:val="007311CD"/>
    <w:rsid w:val="00731237"/>
    <w:rsid w:val="0073323E"/>
    <w:rsid w:val="00735A39"/>
    <w:rsid w:val="00736282"/>
    <w:rsid w:val="00736348"/>
    <w:rsid w:val="00741597"/>
    <w:rsid w:val="00743364"/>
    <w:rsid w:val="007437BA"/>
    <w:rsid w:val="007442CA"/>
    <w:rsid w:val="007445CE"/>
    <w:rsid w:val="007476AE"/>
    <w:rsid w:val="00747BD4"/>
    <w:rsid w:val="00747DB3"/>
    <w:rsid w:val="007506BA"/>
    <w:rsid w:val="00750B3B"/>
    <w:rsid w:val="007517FF"/>
    <w:rsid w:val="007519FB"/>
    <w:rsid w:val="00752848"/>
    <w:rsid w:val="00752E73"/>
    <w:rsid w:val="00757DC7"/>
    <w:rsid w:val="00760931"/>
    <w:rsid w:val="00761BDE"/>
    <w:rsid w:val="00762166"/>
    <w:rsid w:val="00762866"/>
    <w:rsid w:val="00762CC0"/>
    <w:rsid w:val="00762E88"/>
    <w:rsid w:val="00764647"/>
    <w:rsid w:val="00764D82"/>
    <w:rsid w:val="0076516F"/>
    <w:rsid w:val="007653FE"/>
    <w:rsid w:val="00766375"/>
    <w:rsid w:val="007669DA"/>
    <w:rsid w:val="00767448"/>
    <w:rsid w:val="007702F8"/>
    <w:rsid w:val="0077045B"/>
    <w:rsid w:val="00770B9A"/>
    <w:rsid w:val="0077165B"/>
    <w:rsid w:val="00772DD4"/>
    <w:rsid w:val="00773C56"/>
    <w:rsid w:val="00774163"/>
    <w:rsid w:val="00774983"/>
    <w:rsid w:val="00776064"/>
    <w:rsid w:val="00776E1E"/>
    <w:rsid w:val="00777D15"/>
    <w:rsid w:val="007807E7"/>
    <w:rsid w:val="007815A9"/>
    <w:rsid w:val="00781CCA"/>
    <w:rsid w:val="00781FA0"/>
    <w:rsid w:val="007821BD"/>
    <w:rsid w:val="00782264"/>
    <w:rsid w:val="00782940"/>
    <w:rsid w:val="00782B4E"/>
    <w:rsid w:val="00783396"/>
    <w:rsid w:val="007841F7"/>
    <w:rsid w:val="007874DB"/>
    <w:rsid w:val="007922D1"/>
    <w:rsid w:val="007935B9"/>
    <w:rsid w:val="00793C4E"/>
    <w:rsid w:val="00794A0B"/>
    <w:rsid w:val="007955AF"/>
    <w:rsid w:val="00795C3A"/>
    <w:rsid w:val="0079667C"/>
    <w:rsid w:val="00796F81"/>
    <w:rsid w:val="007A03AC"/>
    <w:rsid w:val="007A0A3C"/>
    <w:rsid w:val="007A149F"/>
    <w:rsid w:val="007A16DF"/>
    <w:rsid w:val="007A39E1"/>
    <w:rsid w:val="007A51D6"/>
    <w:rsid w:val="007A51E9"/>
    <w:rsid w:val="007A547B"/>
    <w:rsid w:val="007B0A69"/>
    <w:rsid w:val="007B2395"/>
    <w:rsid w:val="007B241C"/>
    <w:rsid w:val="007B37A4"/>
    <w:rsid w:val="007B465B"/>
    <w:rsid w:val="007B6ABD"/>
    <w:rsid w:val="007C11A4"/>
    <w:rsid w:val="007C1300"/>
    <w:rsid w:val="007C229C"/>
    <w:rsid w:val="007C32A7"/>
    <w:rsid w:val="007C3D08"/>
    <w:rsid w:val="007C47ED"/>
    <w:rsid w:val="007C5C60"/>
    <w:rsid w:val="007C6C21"/>
    <w:rsid w:val="007C7BF8"/>
    <w:rsid w:val="007D0550"/>
    <w:rsid w:val="007D1546"/>
    <w:rsid w:val="007D2061"/>
    <w:rsid w:val="007D214D"/>
    <w:rsid w:val="007D346B"/>
    <w:rsid w:val="007D40C2"/>
    <w:rsid w:val="007D43E2"/>
    <w:rsid w:val="007D4D81"/>
    <w:rsid w:val="007D5FF5"/>
    <w:rsid w:val="007E0959"/>
    <w:rsid w:val="007E12CA"/>
    <w:rsid w:val="007E1A95"/>
    <w:rsid w:val="007E1DD6"/>
    <w:rsid w:val="007E2F04"/>
    <w:rsid w:val="007E6BE4"/>
    <w:rsid w:val="007E6FEC"/>
    <w:rsid w:val="007E791F"/>
    <w:rsid w:val="007E7D48"/>
    <w:rsid w:val="007F12AF"/>
    <w:rsid w:val="007F2D48"/>
    <w:rsid w:val="007F2FC8"/>
    <w:rsid w:val="007F34E7"/>
    <w:rsid w:val="007F3D70"/>
    <w:rsid w:val="007F3DF5"/>
    <w:rsid w:val="007F5D9E"/>
    <w:rsid w:val="007F7D4B"/>
    <w:rsid w:val="00801BB2"/>
    <w:rsid w:val="00802ADA"/>
    <w:rsid w:val="00803657"/>
    <w:rsid w:val="00804B3C"/>
    <w:rsid w:val="00804CD5"/>
    <w:rsid w:val="00806463"/>
    <w:rsid w:val="00806567"/>
    <w:rsid w:val="00806A83"/>
    <w:rsid w:val="00806BC6"/>
    <w:rsid w:val="0081072F"/>
    <w:rsid w:val="00810D20"/>
    <w:rsid w:val="00812D22"/>
    <w:rsid w:val="008144D5"/>
    <w:rsid w:val="00815094"/>
    <w:rsid w:val="0081511D"/>
    <w:rsid w:val="008154BB"/>
    <w:rsid w:val="00815667"/>
    <w:rsid w:val="008173A8"/>
    <w:rsid w:val="00817B15"/>
    <w:rsid w:val="00820121"/>
    <w:rsid w:val="008216AC"/>
    <w:rsid w:val="008229B1"/>
    <w:rsid w:val="00823CDE"/>
    <w:rsid w:val="00824124"/>
    <w:rsid w:val="0082426E"/>
    <w:rsid w:val="008248E5"/>
    <w:rsid w:val="00825061"/>
    <w:rsid w:val="0082549D"/>
    <w:rsid w:val="00826672"/>
    <w:rsid w:val="00826F57"/>
    <w:rsid w:val="00827404"/>
    <w:rsid w:val="00827993"/>
    <w:rsid w:val="00830CCB"/>
    <w:rsid w:val="008310B7"/>
    <w:rsid w:val="00831281"/>
    <w:rsid w:val="008320E7"/>
    <w:rsid w:val="00832B57"/>
    <w:rsid w:val="00833CE7"/>
    <w:rsid w:val="00834B6B"/>
    <w:rsid w:val="00836040"/>
    <w:rsid w:val="00837202"/>
    <w:rsid w:val="00840752"/>
    <w:rsid w:val="00840C7F"/>
    <w:rsid w:val="00842385"/>
    <w:rsid w:val="008424E9"/>
    <w:rsid w:val="0084323A"/>
    <w:rsid w:val="00844C0E"/>
    <w:rsid w:val="008463A6"/>
    <w:rsid w:val="008468F3"/>
    <w:rsid w:val="008500DB"/>
    <w:rsid w:val="00850714"/>
    <w:rsid w:val="00851BE6"/>
    <w:rsid w:val="00852F69"/>
    <w:rsid w:val="008544E9"/>
    <w:rsid w:val="00855E9E"/>
    <w:rsid w:val="00856527"/>
    <w:rsid w:val="00857712"/>
    <w:rsid w:val="00857F4A"/>
    <w:rsid w:val="00861467"/>
    <w:rsid w:val="00861520"/>
    <w:rsid w:val="0086174F"/>
    <w:rsid w:val="008653A7"/>
    <w:rsid w:val="00870AF4"/>
    <w:rsid w:val="008713DC"/>
    <w:rsid w:val="0087355F"/>
    <w:rsid w:val="008736FD"/>
    <w:rsid w:val="00873DA9"/>
    <w:rsid w:val="008742C9"/>
    <w:rsid w:val="0087462A"/>
    <w:rsid w:val="00880631"/>
    <w:rsid w:val="00882A2A"/>
    <w:rsid w:val="008850F3"/>
    <w:rsid w:val="008852DD"/>
    <w:rsid w:val="0088568B"/>
    <w:rsid w:val="00885C83"/>
    <w:rsid w:val="00886082"/>
    <w:rsid w:val="0088723A"/>
    <w:rsid w:val="00887B84"/>
    <w:rsid w:val="00887C4D"/>
    <w:rsid w:val="00890765"/>
    <w:rsid w:val="00891172"/>
    <w:rsid w:val="00891713"/>
    <w:rsid w:val="008933EE"/>
    <w:rsid w:val="00894EC1"/>
    <w:rsid w:val="00895B0A"/>
    <w:rsid w:val="0089611B"/>
    <w:rsid w:val="008977C0"/>
    <w:rsid w:val="008A0301"/>
    <w:rsid w:val="008A1B4D"/>
    <w:rsid w:val="008A5A4C"/>
    <w:rsid w:val="008A633C"/>
    <w:rsid w:val="008A65AE"/>
    <w:rsid w:val="008A665D"/>
    <w:rsid w:val="008A6BA2"/>
    <w:rsid w:val="008A6D84"/>
    <w:rsid w:val="008B04D7"/>
    <w:rsid w:val="008B2253"/>
    <w:rsid w:val="008B3117"/>
    <w:rsid w:val="008B3C91"/>
    <w:rsid w:val="008B3F3D"/>
    <w:rsid w:val="008B4CA3"/>
    <w:rsid w:val="008B6361"/>
    <w:rsid w:val="008C2152"/>
    <w:rsid w:val="008C3D46"/>
    <w:rsid w:val="008C5F3E"/>
    <w:rsid w:val="008C66EB"/>
    <w:rsid w:val="008C6EBA"/>
    <w:rsid w:val="008C74AD"/>
    <w:rsid w:val="008D22A0"/>
    <w:rsid w:val="008D2E89"/>
    <w:rsid w:val="008D424E"/>
    <w:rsid w:val="008D4378"/>
    <w:rsid w:val="008D4A50"/>
    <w:rsid w:val="008D60A1"/>
    <w:rsid w:val="008D6CF2"/>
    <w:rsid w:val="008E0BEF"/>
    <w:rsid w:val="008E114A"/>
    <w:rsid w:val="008E1E91"/>
    <w:rsid w:val="008E1F69"/>
    <w:rsid w:val="008E212C"/>
    <w:rsid w:val="008E3616"/>
    <w:rsid w:val="008E3BA3"/>
    <w:rsid w:val="008E444E"/>
    <w:rsid w:val="008E5695"/>
    <w:rsid w:val="008E5E1D"/>
    <w:rsid w:val="008E620D"/>
    <w:rsid w:val="008E664D"/>
    <w:rsid w:val="008E7C91"/>
    <w:rsid w:val="008F0623"/>
    <w:rsid w:val="008F0B20"/>
    <w:rsid w:val="008F1683"/>
    <w:rsid w:val="008F2D0D"/>
    <w:rsid w:val="008F2D35"/>
    <w:rsid w:val="008F4B63"/>
    <w:rsid w:val="008F69AD"/>
    <w:rsid w:val="0090270B"/>
    <w:rsid w:val="009030A8"/>
    <w:rsid w:val="009038CB"/>
    <w:rsid w:val="00906E95"/>
    <w:rsid w:val="00907AE5"/>
    <w:rsid w:val="00907E45"/>
    <w:rsid w:val="0091037E"/>
    <w:rsid w:val="00910F2B"/>
    <w:rsid w:val="00911561"/>
    <w:rsid w:val="00912D1D"/>
    <w:rsid w:val="00912FC2"/>
    <w:rsid w:val="00913B60"/>
    <w:rsid w:val="00914035"/>
    <w:rsid w:val="00920933"/>
    <w:rsid w:val="009232A6"/>
    <w:rsid w:val="00923529"/>
    <w:rsid w:val="009249B8"/>
    <w:rsid w:val="00925A54"/>
    <w:rsid w:val="00925E87"/>
    <w:rsid w:val="00925F15"/>
    <w:rsid w:val="00926C10"/>
    <w:rsid w:val="00927910"/>
    <w:rsid w:val="0093017F"/>
    <w:rsid w:val="009302A3"/>
    <w:rsid w:val="009307CA"/>
    <w:rsid w:val="00930F14"/>
    <w:rsid w:val="00931395"/>
    <w:rsid w:val="00934F21"/>
    <w:rsid w:val="00934F91"/>
    <w:rsid w:val="00935E5E"/>
    <w:rsid w:val="00936ECA"/>
    <w:rsid w:val="00937693"/>
    <w:rsid w:val="009416E7"/>
    <w:rsid w:val="00942793"/>
    <w:rsid w:val="00942904"/>
    <w:rsid w:val="009432A0"/>
    <w:rsid w:val="00943BB7"/>
    <w:rsid w:val="00944344"/>
    <w:rsid w:val="009451FB"/>
    <w:rsid w:val="009455B5"/>
    <w:rsid w:val="009460D6"/>
    <w:rsid w:val="00946312"/>
    <w:rsid w:val="0094680A"/>
    <w:rsid w:val="00947725"/>
    <w:rsid w:val="00952533"/>
    <w:rsid w:val="00952617"/>
    <w:rsid w:val="00952DE3"/>
    <w:rsid w:val="00954992"/>
    <w:rsid w:val="009557A4"/>
    <w:rsid w:val="009568C2"/>
    <w:rsid w:val="009572B2"/>
    <w:rsid w:val="0095773C"/>
    <w:rsid w:val="00960F12"/>
    <w:rsid w:val="00962854"/>
    <w:rsid w:val="00962CEF"/>
    <w:rsid w:val="009644D4"/>
    <w:rsid w:val="00965A5A"/>
    <w:rsid w:val="009660D8"/>
    <w:rsid w:val="00966311"/>
    <w:rsid w:val="00966958"/>
    <w:rsid w:val="00966BFE"/>
    <w:rsid w:val="009729F6"/>
    <w:rsid w:val="00973C0A"/>
    <w:rsid w:val="00973E12"/>
    <w:rsid w:val="009743E4"/>
    <w:rsid w:val="00974AD0"/>
    <w:rsid w:val="009753F9"/>
    <w:rsid w:val="0097637C"/>
    <w:rsid w:val="00976545"/>
    <w:rsid w:val="00976D1F"/>
    <w:rsid w:val="00976F7C"/>
    <w:rsid w:val="0097737A"/>
    <w:rsid w:val="00980EE7"/>
    <w:rsid w:val="00982653"/>
    <w:rsid w:val="009835BD"/>
    <w:rsid w:val="00985B2B"/>
    <w:rsid w:val="00986644"/>
    <w:rsid w:val="009873DE"/>
    <w:rsid w:val="00991A88"/>
    <w:rsid w:val="0099311D"/>
    <w:rsid w:val="009944E1"/>
    <w:rsid w:val="00994F06"/>
    <w:rsid w:val="0099506D"/>
    <w:rsid w:val="0099579D"/>
    <w:rsid w:val="009962AC"/>
    <w:rsid w:val="0099746C"/>
    <w:rsid w:val="009A082B"/>
    <w:rsid w:val="009A0A10"/>
    <w:rsid w:val="009A1BD3"/>
    <w:rsid w:val="009A20F0"/>
    <w:rsid w:val="009A2C4E"/>
    <w:rsid w:val="009A38B2"/>
    <w:rsid w:val="009A43E4"/>
    <w:rsid w:val="009A458B"/>
    <w:rsid w:val="009A4A9B"/>
    <w:rsid w:val="009A4B45"/>
    <w:rsid w:val="009A4E4E"/>
    <w:rsid w:val="009A5B30"/>
    <w:rsid w:val="009A6E12"/>
    <w:rsid w:val="009A7B8B"/>
    <w:rsid w:val="009A7CC9"/>
    <w:rsid w:val="009B0AD8"/>
    <w:rsid w:val="009B0ADA"/>
    <w:rsid w:val="009B0D02"/>
    <w:rsid w:val="009B1EE7"/>
    <w:rsid w:val="009B36B4"/>
    <w:rsid w:val="009B49F9"/>
    <w:rsid w:val="009B4A8A"/>
    <w:rsid w:val="009B56A8"/>
    <w:rsid w:val="009B5994"/>
    <w:rsid w:val="009B62DA"/>
    <w:rsid w:val="009B6745"/>
    <w:rsid w:val="009B7210"/>
    <w:rsid w:val="009C0C05"/>
    <w:rsid w:val="009C11E6"/>
    <w:rsid w:val="009C2DE0"/>
    <w:rsid w:val="009C5BCD"/>
    <w:rsid w:val="009C66B9"/>
    <w:rsid w:val="009C70EF"/>
    <w:rsid w:val="009C72B2"/>
    <w:rsid w:val="009C7C11"/>
    <w:rsid w:val="009D00EB"/>
    <w:rsid w:val="009D1851"/>
    <w:rsid w:val="009D1F0A"/>
    <w:rsid w:val="009D33CD"/>
    <w:rsid w:val="009D3B2D"/>
    <w:rsid w:val="009D47A9"/>
    <w:rsid w:val="009D7BB3"/>
    <w:rsid w:val="009D7E68"/>
    <w:rsid w:val="009D7E70"/>
    <w:rsid w:val="009E01DC"/>
    <w:rsid w:val="009E0411"/>
    <w:rsid w:val="009E2515"/>
    <w:rsid w:val="009E2A6B"/>
    <w:rsid w:val="009E4A8F"/>
    <w:rsid w:val="009E680B"/>
    <w:rsid w:val="009E704C"/>
    <w:rsid w:val="009E78FD"/>
    <w:rsid w:val="009E7A1C"/>
    <w:rsid w:val="009F0430"/>
    <w:rsid w:val="009F2AED"/>
    <w:rsid w:val="009F5BAB"/>
    <w:rsid w:val="009F6C31"/>
    <w:rsid w:val="009F7239"/>
    <w:rsid w:val="00A02E12"/>
    <w:rsid w:val="00A02F8A"/>
    <w:rsid w:val="00A04999"/>
    <w:rsid w:val="00A04CC0"/>
    <w:rsid w:val="00A06115"/>
    <w:rsid w:val="00A06E65"/>
    <w:rsid w:val="00A07799"/>
    <w:rsid w:val="00A1018D"/>
    <w:rsid w:val="00A108A4"/>
    <w:rsid w:val="00A11AF5"/>
    <w:rsid w:val="00A128C3"/>
    <w:rsid w:val="00A157D5"/>
    <w:rsid w:val="00A15A1F"/>
    <w:rsid w:val="00A17E87"/>
    <w:rsid w:val="00A22FB3"/>
    <w:rsid w:val="00A23EC3"/>
    <w:rsid w:val="00A24A97"/>
    <w:rsid w:val="00A25059"/>
    <w:rsid w:val="00A2655F"/>
    <w:rsid w:val="00A27BD5"/>
    <w:rsid w:val="00A27E29"/>
    <w:rsid w:val="00A31344"/>
    <w:rsid w:val="00A3319D"/>
    <w:rsid w:val="00A3325A"/>
    <w:rsid w:val="00A34502"/>
    <w:rsid w:val="00A37631"/>
    <w:rsid w:val="00A402CD"/>
    <w:rsid w:val="00A40A18"/>
    <w:rsid w:val="00A44480"/>
    <w:rsid w:val="00A45790"/>
    <w:rsid w:val="00A471DE"/>
    <w:rsid w:val="00A50E4E"/>
    <w:rsid w:val="00A5238D"/>
    <w:rsid w:val="00A52B76"/>
    <w:rsid w:val="00A532A0"/>
    <w:rsid w:val="00A53F46"/>
    <w:rsid w:val="00A56DDA"/>
    <w:rsid w:val="00A60051"/>
    <w:rsid w:val="00A624EA"/>
    <w:rsid w:val="00A626AA"/>
    <w:rsid w:val="00A62F0A"/>
    <w:rsid w:val="00A63DF4"/>
    <w:rsid w:val="00A650D0"/>
    <w:rsid w:val="00A65D39"/>
    <w:rsid w:val="00A65DE2"/>
    <w:rsid w:val="00A664C2"/>
    <w:rsid w:val="00A66599"/>
    <w:rsid w:val="00A66B7C"/>
    <w:rsid w:val="00A67170"/>
    <w:rsid w:val="00A72F12"/>
    <w:rsid w:val="00A73B8D"/>
    <w:rsid w:val="00A756BB"/>
    <w:rsid w:val="00A77119"/>
    <w:rsid w:val="00A802C7"/>
    <w:rsid w:val="00A80373"/>
    <w:rsid w:val="00A81912"/>
    <w:rsid w:val="00A8280A"/>
    <w:rsid w:val="00A83DD4"/>
    <w:rsid w:val="00A8416E"/>
    <w:rsid w:val="00A84369"/>
    <w:rsid w:val="00A8468A"/>
    <w:rsid w:val="00A84EE9"/>
    <w:rsid w:val="00A8624B"/>
    <w:rsid w:val="00A8681C"/>
    <w:rsid w:val="00A87FDE"/>
    <w:rsid w:val="00A928F8"/>
    <w:rsid w:val="00A9419D"/>
    <w:rsid w:val="00A94D0B"/>
    <w:rsid w:val="00A96CF4"/>
    <w:rsid w:val="00AA0107"/>
    <w:rsid w:val="00AA14DA"/>
    <w:rsid w:val="00AA3DB5"/>
    <w:rsid w:val="00AA4827"/>
    <w:rsid w:val="00AA5D13"/>
    <w:rsid w:val="00AA5E04"/>
    <w:rsid w:val="00AA5E94"/>
    <w:rsid w:val="00AA683E"/>
    <w:rsid w:val="00AA7196"/>
    <w:rsid w:val="00AB024B"/>
    <w:rsid w:val="00AB1742"/>
    <w:rsid w:val="00AB355B"/>
    <w:rsid w:val="00AB4431"/>
    <w:rsid w:val="00AB44FB"/>
    <w:rsid w:val="00AB4768"/>
    <w:rsid w:val="00AB49B7"/>
    <w:rsid w:val="00AB5DF7"/>
    <w:rsid w:val="00AB6B44"/>
    <w:rsid w:val="00AB7105"/>
    <w:rsid w:val="00AC0E85"/>
    <w:rsid w:val="00AC123A"/>
    <w:rsid w:val="00AC15B7"/>
    <w:rsid w:val="00AC39A2"/>
    <w:rsid w:val="00AC405F"/>
    <w:rsid w:val="00AC4AFA"/>
    <w:rsid w:val="00AC4F7B"/>
    <w:rsid w:val="00AC7314"/>
    <w:rsid w:val="00AD0BBC"/>
    <w:rsid w:val="00AD3007"/>
    <w:rsid w:val="00AD374C"/>
    <w:rsid w:val="00AD4163"/>
    <w:rsid w:val="00AD5184"/>
    <w:rsid w:val="00AD6C48"/>
    <w:rsid w:val="00AD6CAF"/>
    <w:rsid w:val="00AE06D7"/>
    <w:rsid w:val="00AE0E0F"/>
    <w:rsid w:val="00AE10F2"/>
    <w:rsid w:val="00AE1239"/>
    <w:rsid w:val="00AE1438"/>
    <w:rsid w:val="00AE1901"/>
    <w:rsid w:val="00AE20E9"/>
    <w:rsid w:val="00AE25CA"/>
    <w:rsid w:val="00AE2C2A"/>
    <w:rsid w:val="00AE3263"/>
    <w:rsid w:val="00AE3E4F"/>
    <w:rsid w:val="00AE4727"/>
    <w:rsid w:val="00AE60B0"/>
    <w:rsid w:val="00AE6A48"/>
    <w:rsid w:val="00AE7C75"/>
    <w:rsid w:val="00AE7EFF"/>
    <w:rsid w:val="00AF0D68"/>
    <w:rsid w:val="00AF108A"/>
    <w:rsid w:val="00AF119D"/>
    <w:rsid w:val="00AF36CC"/>
    <w:rsid w:val="00AF42C1"/>
    <w:rsid w:val="00AF4AD3"/>
    <w:rsid w:val="00AF67EE"/>
    <w:rsid w:val="00AF6E00"/>
    <w:rsid w:val="00B0018B"/>
    <w:rsid w:val="00B00315"/>
    <w:rsid w:val="00B010BE"/>
    <w:rsid w:val="00B02341"/>
    <w:rsid w:val="00B02E55"/>
    <w:rsid w:val="00B033EA"/>
    <w:rsid w:val="00B05532"/>
    <w:rsid w:val="00B1181A"/>
    <w:rsid w:val="00B14174"/>
    <w:rsid w:val="00B14A99"/>
    <w:rsid w:val="00B1580D"/>
    <w:rsid w:val="00B20183"/>
    <w:rsid w:val="00B2058D"/>
    <w:rsid w:val="00B21683"/>
    <w:rsid w:val="00B21FD0"/>
    <w:rsid w:val="00B23C7F"/>
    <w:rsid w:val="00B26460"/>
    <w:rsid w:val="00B30153"/>
    <w:rsid w:val="00B308F6"/>
    <w:rsid w:val="00B30D12"/>
    <w:rsid w:val="00B31835"/>
    <w:rsid w:val="00B31FB6"/>
    <w:rsid w:val="00B321AE"/>
    <w:rsid w:val="00B32ADC"/>
    <w:rsid w:val="00B3527C"/>
    <w:rsid w:val="00B37696"/>
    <w:rsid w:val="00B37C69"/>
    <w:rsid w:val="00B44031"/>
    <w:rsid w:val="00B44D05"/>
    <w:rsid w:val="00B4521B"/>
    <w:rsid w:val="00B4772B"/>
    <w:rsid w:val="00B51B30"/>
    <w:rsid w:val="00B51BAD"/>
    <w:rsid w:val="00B51BD8"/>
    <w:rsid w:val="00B53F0D"/>
    <w:rsid w:val="00B542C5"/>
    <w:rsid w:val="00B5495A"/>
    <w:rsid w:val="00B56B93"/>
    <w:rsid w:val="00B57F1F"/>
    <w:rsid w:val="00B60C08"/>
    <w:rsid w:val="00B617D7"/>
    <w:rsid w:val="00B623EF"/>
    <w:rsid w:val="00B636AA"/>
    <w:rsid w:val="00B644CA"/>
    <w:rsid w:val="00B64DC7"/>
    <w:rsid w:val="00B6640D"/>
    <w:rsid w:val="00B670B1"/>
    <w:rsid w:val="00B67A57"/>
    <w:rsid w:val="00B701C9"/>
    <w:rsid w:val="00B71B58"/>
    <w:rsid w:val="00B72C01"/>
    <w:rsid w:val="00B73E5B"/>
    <w:rsid w:val="00B7551C"/>
    <w:rsid w:val="00B76058"/>
    <w:rsid w:val="00B76A64"/>
    <w:rsid w:val="00B777A1"/>
    <w:rsid w:val="00B80D11"/>
    <w:rsid w:val="00B810EF"/>
    <w:rsid w:val="00B81BEA"/>
    <w:rsid w:val="00B8205D"/>
    <w:rsid w:val="00B82400"/>
    <w:rsid w:val="00B82860"/>
    <w:rsid w:val="00B84B32"/>
    <w:rsid w:val="00B86DD9"/>
    <w:rsid w:val="00B87AF6"/>
    <w:rsid w:val="00B903C6"/>
    <w:rsid w:val="00B90CEC"/>
    <w:rsid w:val="00B912B3"/>
    <w:rsid w:val="00B91342"/>
    <w:rsid w:val="00B91841"/>
    <w:rsid w:val="00B9259A"/>
    <w:rsid w:val="00B94A4F"/>
    <w:rsid w:val="00B95284"/>
    <w:rsid w:val="00B9594A"/>
    <w:rsid w:val="00BA0170"/>
    <w:rsid w:val="00BA189A"/>
    <w:rsid w:val="00BA3775"/>
    <w:rsid w:val="00BA66B6"/>
    <w:rsid w:val="00BB08D3"/>
    <w:rsid w:val="00BB374E"/>
    <w:rsid w:val="00BB3C26"/>
    <w:rsid w:val="00BB50E4"/>
    <w:rsid w:val="00BB521D"/>
    <w:rsid w:val="00BC0E86"/>
    <w:rsid w:val="00BC1053"/>
    <w:rsid w:val="00BC17DB"/>
    <w:rsid w:val="00BC2FD9"/>
    <w:rsid w:val="00BC335A"/>
    <w:rsid w:val="00BC3464"/>
    <w:rsid w:val="00BC4437"/>
    <w:rsid w:val="00BC7892"/>
    <w:rsid w:val="00BC7B4F"/>
    <w:rsid w:val="00BD1A2B"/>
    <w:rsid w:val="00BD1DE9"/>
    <w:rsid w:val="00BD23B3"/>
    <w:rsid w:val="00BD2E5E"/>
    <w:rsid w:val="00BD2F8F"/>
    <w:rsid w:val="00BD3EE7"/>
    <w:rsid w:val="00BD4F33"/>
    <w:rsid w:val="00BD5169"/>
    <w:rsid w:val="00BD5910"/>
    <w:rsid w:val="00BD5F2F"/>
    <w:rsid w:val="00BD7B4A"/>
    <w:rsid w:val="00BD7E84"/>
    <w:rsid w:val="00BE0A20"/>
    <w:rsid w:val="00BE36B3"/>
    <w:rsid w:val="00BE3AA6"/>
    <w:rsid w:val="00BE4717"/>
    <w:rsid w:val="00BE5835"/>
    <w:rsid w:val="00BE5C59"/>
    <w:rsid w:val="00BE630B"/>
    <w:rsid w:val="00BE682E"/>
    <w:rsid w:val="00BE6D2E"/>
    <w:rsid w:val="00BF0668"/>
    <w:rsid w:val="00BF145F"/>
    <w:rsid w:val="00BF18C9"/>
    <w:rsid w:val="00BF26C8"/>
    <w:rsid w:val="00BF2DA6"/>
    <w:rsid w:val="00BF2E0E"/>
    <w:rsid w:val="00BF3800"/>
    <w:rsid w:val="00BF4277"/>
    <w:rsid w:val="00BF48DF"/>
    <w:rsid w:val="00BF5349"/>
    <w:rsid w:val="00BF53E1"/>
    <w:rsid w:val="00BF62D1"/>
    <w:rsid w:val="00BF6A01"/>
    <w:rsid w:val="00BF7A02"/>
    <w:rsid w:val="00BF7FE0"/>
    <w:rsid w:val="00C0059D"/>
    <w:rsid w:val="00C01954"/>
    <w:rsid w:val="00C02770"/>
    <w:rsid w:val="00C03033"/>
    <w:rsid w:val="00C03813"/>
    <w:rsid w:val="00C0381D"/>
    <w:rsid w:val="00C10B96"/>
    <w:rsid w:val="00C12DD3"/>
    <w:rsid w:val="00C12E15"/>
    <w:rsid w:val="00C13A20"/>
    <w:rsid w:val="00C164CA"/>
    <w:rsid w:val="00C20C4C"/>
    <w:rsid w:val="00C20DE4"/>
    <w:rsid w:val="00C22B49"/>
    <w:rsid w:val="00C23088"/>
    <w:rsid w:val="00C24CA5"/>
    <w:rsid w:val="00C26040"/>
    <w:rsid w:val="00C261B0"/>
    <w:rsid w:val="00C2721B"/>
    <w:rsid w:val="00C31601"/>
    <w:rsid w:val="00C32914"/>
    <w:rsid w:val="00C35A79"/>
    <w:rsid w:val="00C36157"/>
    <w:rsid w:val="00C3662F"/>
    <w:rsid w:val="00C40083"/>
    <w:rsid w:val="00C40FC2"/>
    <w:rsid w:val="00C42AFB"/>
    <w:rsid w:val="00C4333E"/>
    <w:rsid w:val="00C4564C"/>
    <w:rsid w:val="00C458DE"/>
    <w:rsid w:val="00C4674F"/>
    <w:rsid w:val="00C47DDE"/>
    <w:rsid w:val="00C5286F"/>
    <w:rsid w:val="00C52AAD"/>
    <w:rsid w:val="00C535B9"/>
    <w:rsid w:val="00C53AFD"/>
    <w:rsid w:val="00C53F94"/>
    <w:rsid w:val="00C541FE"/>
    <w:rsid w:val="00C56556"/>
    <w:rsid w:val="00C56DBB"/>
    <w:rsid w:val="00C57E57"/>
    <w:rsid w:val="00C61EC7"/>
    <w:rsid w:val="00C63A3A"/>
    <w:rsid w:val="00C63DA7"/>
    <w:rsid w:val="00C63E7D"/>
    <w:rsid w:val="00C645B5"/>
    <w:rsid w:val="00C66D55"/>
    <w:rsid w:val="00C67026"/>
    <w:rsid w:val="00C676E4"/>
    <w:rsid w:val="00C71B43"/>
    <w:rsid w:val="00C73DEE"/>
    <w:rsid w:val="00C75590"/>
    <w:rsid w:val="00C77C49"/>
    <w:rsid w:val="00C80BA8"/>
    <w:rsid w:val="00C84B83"/>
    <w:rsid w:val="00C87126"/>
    <w:rsid w:val="00C8721D"/>
    <w:rsid w:val="00C905EB"/>
    <w:rsid w:val="00C90B19"/>
    <w:rsid w:val="00C9114D"/>
    <w:rsid w:val="00C93675"/>
    <w:rsid w:val="00C953FA"/>
    <w:rsid w:val="00CA1DEB"/>
    <w:rsid w:val="00CA3694"/>
    <w:rsid w:val="00CA44FC"/>
    <w:rsid w:val="00CA4FF4"/>
    <w:rsid w:val="00CA7770"/>
    <w:rsid w:val="00CB46F5"/>
    <w:rsid w:val="00CB4BA5"/>
    <w:rsid w:val="00CB504E"/>
    <w:rsid w:val="00CB6ADA"/>
    <w:rsid w:val="00CB6DC8"/>
    <w:rsid w:val="00CB74B7"/>
    <w:rsid w:val="00CC02E7"/>
    <w:rsid w:val="00CC1142"/>
    <w:rsid w:val="00CC17F3"/>
    <w:rsid w:val="00CC1D77"/>
    <w:rsid w:val="00CC2C68"/>
    <w:rsid w:val="00CC2D85"/>
    <w:rsid w:val="00CC43F4"/>
    <w:rsid w:val="00CC4A35"/>
    <w:rsid w:val="00CC6CA6"/>
    <w:rsid w:val="00CD08EF"/>
    <w:rsid w:val="00CD0B38"/>
    <w:rsid w:val="00CD1670"/>
    <w:rsid w:val="00CD60A2"/>
    <w:rsid w:val="00CD693A"/>
    <w:rsid w:val="00CD7083"/>
    <w:rsid w:val="00CD797E"/>
    <w:rsid w:val="00CD7A21"/>
    <w:rsid w:val="00CD7AF1"/>
    <w:rsid w:val="00CE01D3"/>
    <w:rsid w:val="00CE3E37"/>
    <w:rsid w:val="00CE485D"/>
    <w:rsid w:val="00CE566B"/>
    <w:rsid w:val="00CF02F2"/>
    <w:rsid w:val="00CF2328"/>
    <w:rsid w:val="00CF2706"/>
    <w:rsid w:val="00CF4789"/>
    <w:rsid w:val="00CF5494"/>
    <w:rsid w:val="00CF58B7"/>
    <w:rsid w:val="00CF6364"/>
    <w:rsid w:val="00CF6BD6"/>
    <w:rsid w:val="00D009BB"/>
    <w:rsid w:val="00D02C21"/>
    <w:rsid w:val="00D037F1"/>
    <w:rsid w:val="00D03E52"/>
    <w:rsid w:val="00D04123"/>
    <w:rsid w:val="00D06CE0"/>
    <w:rsid w:val="00D13DE2"/>
    <w:rsid w:val="00D16C9A"/>
    <w:rsid w:val="00D16DE9"/>
    <w:rsid w:val="00D174BF"/>
    <w:rsid w:val="00D17547"/>
    <w:rsid w:val="00D2017A"/>
    <w:rsid w:val="00D21575"/>
    <w:rsid w:val="00D217A9"/>
    <w:rsid w:val="00D23E71"/>
    <w:rsid w:val="00D23E95"/>
    <w:rsid w:val="00D2452C"/>
    <w:rsid w:val="00D248B6"/>
    <w:rsid w:val="00D25377"/>
    <w:rsid w:val="00D265E0"/>
    <w:rsid w:val="00D26B9E"/>
    <w:rsid w:val="00D30CB3"/>
    <w:rsid w:val="00D3151E"/>
    <w:rsid w:val="00D31A52"/>
    <w:rsid w:val="00D33439"/>
    <w:rsid w:val="00D33E81"/>
    <w:rsid w:val="00D351C1"/>
    <w:rsid w:val="00D3595A"/>
    <w:rsid w:val="00D373EC"/>
    <w:rsid w:val="00D37470"/>
    <w:rsid w:val="00D37B14"/>
    <w:rsid w:val="00D37FD8"/>
    <w:rsid w:val="00D41001"/>
    <w:rsid w:val="00D412DC"/>
    <w:rsid w:val="00D436A3"/>
    <w:rsid w:val="00D436B9"/>
    <w:rsid w:val="00D44146"/>
    <w:rsid w:val="00D442BD"/>
    <w:rsid w:val="00D469B3"/>
    <w:rsid w:val="00D47BED"/>
    <w:rsid w:val="00D50C9F"/>
    <w:rsid w:val="00D52824"/>
    <w:rsid w:val="00D52C27"/>
    <w:rsid w:val="00D5313D"/>
    <w:rsid w:val="00D60253"/>
    <w:rsid w:val="00D62346"/>
    <w:rsid w:val="00D62A82"/>
    <w:rsid w:val="00D63DE0"/>
    <w:rsid w:val="00D65A92"/>
    <w:rsid w:val="00D65B7D"/>
    <w:rsid w:val="00D65EBF"/>
    <w:rsid w:val="00D71C1E"/>
    <w:rsid w:val="00D7302C"/>
    <w:rsid w:val="00D73313"/>
    <w:rsid w:val="00D7767B"/>
    <w:rsid w:val="00D77FB3"/>
    <w:rsid w:val="00D8085C"/>
    <w:rsid w:val="00D81D63"/>
    <w:rsid w:val="00D8375C"/>
    <w:rsid w:val="00D85D88"/>
    <w:rsid w:val="00D86BF0"/>
    <w:rsid w:val="00D9122A"/>
    <w:rsid w:val="00D92169"/>
    <w:rsid w:val="00D92183"/>
    <w:rsid w:val="00D9479C"/>
    <w:rsid w:val="00D9587A"/>
    <w:rsid w:val="00D96511"/>
    <w:rsid w:val="00D96970"/>
    <w:rsid w:val="00DA01FF"/>
    <w:rsid w:val="00DA2AE1"/>
    <w:rsid w:val="00DA3297"/>
    <w:rsid w:val="00DA3970"/>
    <w:rsid w:val="00DA3F42"/>
    <w:rsid w:val="00DA4022"/>
    <w:rsid w:val="00DA441C"/>
    <w:rsid w:val="00DA47D9"/>
    <w:rsid w:val="00DA563D"/>
    <w:rsid w:val="00DA58E4"/>
    <w:rsid w:val="00DA6105"/>
    <w:rsid w:val="00DB0B4B"/>
    <w:rsid w:val="00DB0C3A"/>
    <w:rsid w:val="00DB255B"/>
    <w:rsid w:val="00DB5DD1"/>
    <w:rsid w:val="00DB77AE"/>
    <w:rsid w:val="00DC3BAE"/>
    <w:rsid w:val="00DC4924"/>
    <w:rsid w:val="00DC5FC9"/>
    <w:rsid w:val="00DC6CC3"/>
    <w:rsid w:val="00DC74CA"/>
    <w:rsid w:val="00DD111D"/>
    <w:rsid w:val="00DD147F"/>
    <w:rsid w:val="00DD1A30"/>
    <w:rsid w:val="00DD2117"/>
    <w:rsid w:val="00DD3A38"/>
    <w:rsid w:val="00DD42B5"/>
    <w:rsid w:val="00DD6691"/>
    <w:rsid w:val="00DD768E"/>
    <w:rsid w:val="00DE2032"/>
    <w:rsid w:val="00DE2C77"/>
    <w:rsid w:val="00DE3629"/>
    <w:rsid w:val="00DE38E8"/>
    <w:rsid w:val="00DE4C51"/>
    <w:rsid w:val="00DE6130"/>
    <w:rsid w:val="00DF2882"/>
    <w:rsid w:val="00DF2982"/>
    <w:rsid w:val="00DF3167"/>
    <w:rsid w:val="00DF643E"/>
    <w:rsid w:val="00DF72AE"/>
    <w:rsid w:val="00E018C0"/>
    <w:rsid w:val="00E041B1"/>
    <w:rsid w:val="00E05F5A"/>
    <w:rsid w:val="00E064C2"/>
    <w:rsid w:val="00E10320"/>
    <w:rsid w:val="00E125EB"/>
    <w:rsid w:val="00E149D2"/>
    <w:rsid w:val="00E14AC1"/>
    <w:rsid w:val="00E14D98"/>
    <w:rsid w:val="00E16611"/>
    <w:rsid w:val="00E169FF"/>
    <w:rsid w:val="00E16A52"/>
    <w:rsid w:val="00E20851"/>
    <w:rsid w:val="00E2196D"/>
    <w:rsid w:val="00E223F7"/>
    <w:rsid w:val="00E236B2"/>
    <w:rsid w:val="00E243C4"/>
    <w:rsid w:val="00E26551"/>
    <w:rsid w:val="00E309A1"/>
    <w:rsid w:val="00E31CDB"/>
    <w:rsid w:val="00E33269"/>
    <w:rsid w:val="00E344C8"/>
    <w:rsid w:val="00E3450E"/>
    <w:rsid w:val="00E348FE"/>
    <w:rsid w:val="00E355B0"/>
    <w:rsid w:val="00E37B52"/>
    <w:rsid w:val="00E40DA8"/>
    <w:rsid w:val="00E40E4D"/>
    <w:rsid w:val="00E411B7"/>
    <w:rsid w:val="00E423B5"/>
    <w:rsid w:val="00E42830"/>
    <w:rsid w:val="00E4577A"/>
    <w:rsid w:val="00E45D6D"/>
    <w:rsid w:val="00E467CD"/>
    <w:rsid w:val="00E4707F"/>
    <w:rsid w:val="00E470AF"/>
    <w:rsid w:val="00E5022D"/>
    <w:rsid w:val="00E5164E"/>
    <w:rsid w:val="00E51920"/>
    <w:rsid w:val="00E51A54"/>
    <w:rsid w:val="00E51BB9"/>
    <w:rsid w:val="00E53750"/>
    <w:rsid w:val="00E54D71"/>
    <w:rsid w:val="00E55712"/>
    <w:rsid w:val="00E5632C"/>
    <w:rsid w:val="00E573BD"/>
    <w:rsid w:val="00E5782D"/>
    <w:rsid w:val="00E57BDF"/>
    <w:rsid w:val="00E57CE0"/>
    <w:rsid w:val="00E60AC0"/>
    <w:rsid w:val="00E61B7D"/>
    <w:rsid w:val="00E6268B"/>
    <w:rsid w:val="00E62F2F"/>
    <w:rsid w:val="00E635CA"/>
    <w:rsid w:val="00E64120"/>
    <w:rsid w:val="00E64194"/>
    <w:rsid w:val="00E66404"/>
    <w:rsid w:val="00E67220"/>
    <w:rsid w:val="00E67ACD"/>
    <w:rsid w:val="00E70DCD"/>
    <w:rsid w:val="00E72AC7"/>
    <w:rsid w:val="00E74740"/>
    <w:rsid w:val="00E7558E"/>
    <w:rsid w:val="00E7682E"/>
    <w:rsid w:val="00E80CE7"/>
    <w:rsid w:val="00E813ED"/>
    <w:rsid w:val="00E83233"/>
    <w:rsid w:val="00E84EED"/>
    <w:rsid w:val="00E850E8"/>
    <w:rsid w:val="00E85668"/>
    <w:rsid w:val="00E85A5E"/>
    <w:rsid w:val="00E85EEC"/>
    <w:rsid w:val="00E92157"/>
    <w:rsid w:val="00E94096"/>
    <w:rsid w:val="00E96481"/>
    <w:rsid w:val="00E96A51"/>
    <w:rsid w:val="00E96B66"/>
    <w:rsid w:val="00EA5D09"/>
    <w:rsid w:val="00EA61EE"/>
    <w:rsid w:val="00EA6983"/>
    <w:rsid w:val="00EA70EC"/>
    <w:rsid w:val="00EB0768"/>
    <w:rsid w:val="00EB2095"/>
    <w:rsid w:val="00EB271B"/>
    <w:rsid w:val="00EB4117"/>
    <w:rsid w:val="00EB4BB8"/>
    <w:rsid w:val="00EB5328"/>
    <w:rsid w:val="00EB5FFF"/>
    <w:rsid w:val="00EB6052"/>
    <w:rsid w:val="00EB7815"/>
    <w:rsid w:val="00EC1D54"/>
    <w:rsid w:val="00EC3F5E"/>
    <w:rsid w:val="00EC43AB"/>
    <w:rsid w:val="00EC4898"/>
    <w:rsid w:val="00EC4FD9"/>
    <w:rsid w:val="00EC783A"/>
    <w:rsid w:val="00ED09AD"/>
    <w:rsid w:val="00ED1A2B"/>
    <w:rsid w:val="00ED3E92"/>
    <w:rsid w:val="00ED4453"/>
    <w:rsid w:val="00ED4E2D"/>
    <w:rsid w:val="00ED7080"/>
    <w:rsid w:val="00ED7BC2"/>
    <w:rsid w:val="00EE06F0"/>
    <w:rsid w:val="00EE265D"/>
    <w:rsid w:val="00EE384E"/>
    <w:rsid w:val="00EE4C05"/>
    <w:rsid w:val="00EE753B"/>
    <w:rsid w:val="00EE7DB6"/>
    <w:rsid w:val="00EE7FCB"/>
    <w:rsid w:val="00EF13F0"/>
    <w:rsid w:val="00EF17DF"/>
    <w:rsid w:val="00EF614E"/>
    <w:rsid w:val="00EF6185"/>
    <w:rsid w:val="00EF6F30"/>
    <w:rsid w:val="00F00092"/>
    <w:rsid w:val="00F01457"/>
    <w:rsid w:val="00F02114"/>
    <w:rsid w:val="00F022C3"/>
    <w:rsid w:val="00F025F8"/>
    <w:rsid w:val="00F04A50"/>
    <w:rsid w:val="00F04AB6"/>
    <w:rsid w:val="00F055F1"/>
    <w:rsid w:val="00F10C62"/>
    <w:rsid w:val="00F11B3B"/>
    <w:rsid w:val="00F12121"/>
    <w:rsid w:val="00F13F96"/>
    <w:rsid w:val="00F14AE8"/>
    <w:rsid w:val="00F1594F"/>
    <w:rsid w:val="00F16243"/>
    <w:rsid w:val="00F16EBE"/>
    <w:rsid w:val="00F17606"/>
    <w:rsid w:val="00F176F9"/>
    <w:rsid w:val="00F20C62"/>
    <w:rsid w:val="00F20DC8"/>
    <w:rsid w:val="00F20E4D"/>
    <w:rsid w:val="00F2119F"/>
    <w:rsid w:val="00F21D09"/>
    <w:rsid w:val="00F22FED"/>
    <w:rsid w:val="00F2581A"/>
    <w:rsid w:val="00F31B9F"/>
    <w:rsid w:val="00F32155"/>
    <w:rsid w:val="00F32732"/>
    <w:rsid w:val="00F32C7B"/>
    <w:rsid w:val="00F330B4"/>
    <w:rsid w:val="00F33F16"/>
    <w:rsid w:val="00F34590"/>
    <w:rsid w:val="00F35CEF"/>
    <w:rsid w:val="00F36D76"/>
    <w:rsid w:val="00F37725"/>
    <w:rsid w:val="00F41E0B"/>
    <w:rsid w:val="00F423C6"/>
    <w:rsid w:val="00F43A8C"/>
    <w:rsid w:val="00F44F3F"/>
    <w:rsid w:val="00F454C0"/>
    <w:rsid w:val="00F47B35"/>
    <w:rsid w:val="00F520F1"/>
    <w:rsid w:val="00F52AB8"/>
    <w:rsid w:val="00F54B6E"/>
    <w:rsid w:val="00F553DD"/>
    <w:rsid w:val="00F55B30"/>
    <w:rsid w:val="00F565F5"/>
    <w:rsid w:val="00F606D0"/>
    <w:rsid w:val="00F60859"/>
    <w:rsid w:val="00F642F0"/>
    <w:rsid w:val="00F651F5"/>
    <w:rsid w:val="00F66E26"/>
    <w:rsid w:val="00F67B5F"/>
    <w:rsid w:val="00F67FCA"/>
    <w:rsid w:val="00F71793"/>
    <w:rsid w:val="00F73C4D"/>
    <w:rsid w:val="00F7644C"/>
    <w:rsid w:val="00F77349"/>
    <w:rsid w:val="00F77408"/>
    <w:rsid w:val="00F80457"/>
    <w:rsid w:val="00F82201"/>
    <w:rsid w:val="00F832B2"/>
    <w:rsid w:val="00F837AA"/>
    <w:rsid w:val="00F858CA"/>
    <w:rsid w:val="00F85975"/>
    <w:rsid w:val="00F92FB7"/>
    <w:rsid w:val="00F9310F"/>
    <w:rsid w:val="00F9495D"/>
    <w:rsid w:val="00F94FCF"/>
    <w:rsid w:val="00FA0DF2"/>
    <w:rsid w:val="00FA10FB"/>
    <w:rsid w:val="00FA279F"/>
    <w:rsid w:val="00FA2B5D"/>
    <w:rsid w:val="00FA5338"/>
    <w:rsid w:val="00FA5E7B"/>
    <w:rsid w:val="00FA5F23"/>
    <w:rsid w:val="00FA6717"/>
    <w:rsid w:val="00FA71A4"/>
    <w:rsid w:val="00FB0C55"/>
    <w:rsid w:val="00FB179D"/>
    <w:rsid w:val="00FB456E"/>
    <w:rsid w:val="00FB7EBF"/>
    <w:rsid w:val="00FC10ED"/>
    <w:rsid w:val="00FC2D11"/>
    <w:rsid w:val="00FC57AF"/>
    <w:rsid w:val="00FC5AD0"/>
    <w:rsid w:val="00FC6230"/>
    <w:rsid w:val="00FC70FB"/>
    <w:rsid w:val="00FD01DA"/>
    <w:rsid w:val="00FD13CE"/>
    <w:rsid w:val="00FD200A"/>
    <w:rsid w:val="00FD4080"/>
    <w:rsid w:val="00FD41AA"/>
    <w:rsid w:val="00FD4D7D"/>
    <w:rsid w:val="00FD5CF8"/>
    <w:rsid w:val="00FD61D9"/>
    <w:rsid w:val="00FD67EC"/>
    <w:rsid w:val="00FE03E9"/>
    <w:rsid w:val="00FE09CA"/>
    <w:rsid w:val="00FE1D78"/>
    <w:rsid w:val="00FE3829"/>
    <w:rsid w:val="00FE3B08"/>
    <w:rsid w:val="00FE4293"/>
    <w:rsid w:val="00FE59A6"/>
    <w:rsid w:val="00FE6C81"/>
    <w:rsid w:val="00FF00A7"/>
    <w:rsid w:val="00FF170D"/>
    <w:rsid w:val="00FF2221"/>
    <w:rsid w:val="00FF32DF"/>
    <w:rsid w:val="00FF3A0B"/>
    <w:rsid w:val="00FF61E7"/>
    <w:rsid w:val="00FF699B"/>
    <w:rsid w:val="00FF6BEC"/>
    <w:rsid w:val="00FF6EAD"/>
    <w:rsid w:val="00FF7519"/>
    <w:rsid w:val="00FF7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948A7F"/>
  <w15:docId w15:val="{FB34C979-49A3-4B7D-B9B0-02557154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9"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7DC"/>
    <w:rPr>
      <w:sz w:val="24"/>
      <w:szCs w:val="24"/>
    </w:rPr>
  </w:style>
  <w:style w:type="paragraph" w:styleId="Heading1">
    <w:name w:val="heading 1"/>
    <w:basedOn w:val="Normal"/>
    <w:next w:val="Paragraph"/>
    <w:link w:val="Heading1Char"/>
    <w:uiPriority w:val="1"/>
    <w:qFormat/>
    <w:rsid w:val="008E0BEF"/>
    <w:pPr>
      <w:keepNext/>
      <w:spacing w:before="240" w:after="120"/>
      <w:outlineLvl w:val="0"/>
    </w:pPr>
    <w:rPr>
      <w:rFonts w:ascii="Arial" w:hAnsi="Arial"/>
      <w:b/>
      <w:bCs/>
      <w:kern w:val="32"/>
      <w:sz w:val="28"/>
      <w:szCs w:val="32"/>
    </w:rPr>
  </w:style>
  <w:style w:type="paragraph" w:styleId="Heading2">
    <w:name w:val="heading 2"/>
    <w:basedOn w:val="Normal"/>
    <w:next w:val="Paragraphnonumbers"/>
    <w:link w:val="Heading2Char"/>
    <w:uiPriority w:val="9"/>
    <w:qFormat/>
    <w:rsid w:val="008E0BEF"/>
    <w:pPr>
      <w:keepNext/>
      <w:numPr>
        <w:numId w:val="10"/>
      </w:numPr>
      <w:spacing w:before="360" w:after="60"/>
      <w:outlineLvl w:val="1"/>
    </w:pPr>
    <w:rPr>
      <w:rFonts w:ascii="Arial" w:hAnsi="Arial"/>
      <w:b/>
      <w:bCs/>
      <w:i/>
      <w:iCs/>
      <w:sz w:val="28"/>
      <w:szCs w:val="28"/>
    </w:rPr>
  </w:style>
  <w:style w:type="paragraph" w:styleId="Heading3">
    <w:name w:val="heading 3"/>
    <w:basedOn w:val="Normal"/>
    <w:next w:val="Paragraphnonumbers"/>
    <w:link w:val="Heading3Char"/>
    <w:uiPriority w:val="3"/>
    <w:qFormat/>
    <w:rsid w:val="008E0BEF"/>
    <w:pPr>
      <w:keepNext/>
      <w:numPr>
        <w:ilvl w:val="1"/>
        <w:numId w:val="10"/>
      </w:numPr>
      <w:spacing w:before="360" w:after="60"/>
      <w:ind w:left="576"/>
      <w:outlineLvl w:val="2"/>
    </w:pPr>
    <w:rPr>
      <w:rFonts w:ascii="Arial" w:hAnsi="Arial"/>
      <w:b/>
      <w:bCs/>
      <w:szCs w:val="26"/>
    </w:rPr>
  </w:style>
  <w:style w:type="paragraph" w:styleId="Heading4">
    <w:name w:val="heading 4"/>
    <w:basedOn w:val="Normal"/>
    <w:next w:val="Normal"/>
    <w:link w:val="Heading4Char"/>
    <w:qFormat/>
    <w:rsid w:val="008E0BEF"/>
    <w:pPr>
      <w:keepNext/>
      <w:numPr>
        <w:ilvl w:val="3"/>
        <w:numId w:val="10"/>
      </w:numPr>
      <w:spacing w:before="240" w:after="60"/>
      <w:outlineLvl w:val="3"/>
    </w:pPr>
    <w:rPr>
      <w:rFonts w:ascii="Arial" w:hAnsi="Arial"/>
      <w:b/>
      <w:bCs/>
      <w:i/>
      <w:szCs w:val="28"/>
    </w:rPr>
  </w:style>
  <w:style w:type="paragraph" w:styleId="Heading5">
    <w:name w:val="heading 5"/>
    <w:basedOn w:val="Normal"/>
    <w:next w:val="Normal"/>
    <w:link w:val="Heading5Char"/>
    <w:qFormat/>
    <w:rsid w:val="008E0BEF"/>
    <w:pPr>
      <w:numPr>
        <w:ilvl w:val="4"/>
        <w:numId w:val="10"/>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E0BEF"/>
    <w:pPr>
      <w:numPr>
        <w:ilvl w:val="5"/>
        <w:numId w:val="10"/>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8E0BEF"/>
    <w:pPr>
      <w:numPr>
        <w:ilvl w:val="6"/>
        <w:numId w:val="10"/>
      </w:numPr>
      <w:spacing w:before="240" w:after="60"/>
      <w:outlineLvl w:val="6"/>
    </w:pPr>
    <w:rPr>
      <w:rFonts w:ascii="Calibri" w:hAnsi="Calibri"/>
    </w:rPr>
  </w:style>
  <w:style w:type="paragraph" w:styleId="Heading8">
    <w:name w:val="heading 8"/>
    <w:basedOn w:val="Normal"/>
    <w:next w:val="Normal"/>
    <w:link w:val="Heading8Char"/>
    <w:qFormat/>
    <w:rsid w:val="008E0BEF"/>
    <w:pPr>
      <w:numPr>
        <w:ilvl w:val="7"/>
        <w:numId w:val="10"/>
      </w:numPr>
      <w:spacing w:before="240" w:after="60"/>
      <w:outlineLvl w:val="7"/>
    </w:pPr>
    <w:rPr>
      <w:rFonts w:ascii="Calibri" w:hAnsi="Calibri"/>
      <w:i/>
      <w:iCs/>
    </w:rPr>
  </w:style>
  <w:style w:type="paragraph" w:styleId="Heading9">
    <w:name w:val="heading 9"/>
    <w:basedOn w:val="Normal"/>
    <w:next w:val="Normal"/>
    <w:link w:val="Heading9Char"/>
    <w:qFormat/>
    <w:rsid w:val="008E0BEF"/>
    <w:pPr>
      <w:numPr>
        <w:ilvl w:val="8"/>
        <w:numId w:val="10"/>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numbers"/>
    <w:uiPriority w:val="4"/>
    <w:qFormat/>
    <w:rsid w:val="008E0BEF"/>
    <w:pPr>
      <w:numPr>
        <w:ilvl w:val="2"/>
        <w:numId w:val="10"/>
      </w:numPr>
      <w:spacing w:before="360" w:after="240" w:line="276" w:lineRule="auto"/>
    </w:pPr>
    <w:rPr>
      <w:rFonts w:ascii="Arial" w:hAnsi="Arial"/>
      <w:i/>
    </w:rPr>
  </w:style>
  <w:style w:type="paragraph" w:styleId="Title">
    <w:name w:val="Title"/>
    <w:basedOn w:val="Normal"/>
    <w:next w:val="Heading1"/>
    <w:link w:val="TitleChar"/>
    <w:qFormat/>
    <w:rsid w:val="008E0BEF"/>
    <w:pPr>
      <w:spacing w:before="240" w:after="480"/>
      <w:jc w:val="center"/>
      <w:outlineLvl w:val="0"/>
    </w:pPr>
    <w:rPr>
      <w:rFonts w:ascii="Arial" w:hAnsi="Arial"/>
      <w:b/>
      <w:bCs/>
      <w:kern w:val="28"/>
      <w:sz w:val="32"/>
      <w:szCs w:val="32"/>
    </w:rPr>
  </w:style>
  <w:style w:type="character" w:customStyle="1" w:styleId="TitleChar">
    <w:name w:val="Title Char"/>
    <w:link w:val="Title"/>
    <w:rsid w:val="008E0BEF"/>
    <w:rPr>
      <w:rFonts w:ascii="Arial" w:hAnsi="Arial"/>
      <w:b/>
      <w:bCs/>
      <w:kern w:val="28"/>
      <w:sz w:val="32"/>
      <w:szCs w:val="32"/>
    </w:rPr>
  </w:style>
  <w:style w:type="character" w:customStyle="1" w:styleId="Heading1Char">
    <w:name w:val="Heading 1 Char"/>
    <w:link w:val="Heading1"/>
    <w:uiPriority w:val="1"/>
    <w:rsid w:val="008E0BEF"/>
    <w:rPr>
      <w:rFonts w:ascii="Arial" w:hAnsi="Arial"/>
      <w:b/>
      <w:bCs/>
      <w:kern w:val="32"/>
      <w:sz w:val="28"/>
      <w:szCs w:val="32"/>
    </w:rPr>
  </w:style>
  <w:style w:type="paragraph" w:customStyle="1" w:styleId="Bullets">
    <w:name w:val="Bullets"/>
    <w:basedOn w:val="Normal"/>
    <w:uiPriority w:val="5"/>
    <w:qFormat/>
    <w:rsid w:val="008E0BEF"/>
    <w:pPr>
      <w:numPr>
        <w:numId w:val="11"/>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E0BEF"/>
    <w:rPr>
      <w:rFonts w:ascii="Arial" w:hAnsi="Arial"/>
      <w:b/>
      <w:bCs/>
      <w:i/>
      <w:iCs/>
      <w:sz w:val="28"/>
      <w:szCs w:val="28"/>
    </w:rPr>
  </w:style>
  <w:style w:type="character" w:customStyle="1" w:styleId="Heading3Char">
    <w:name w:val="Heading 3 Char"/>
    <w:link w:val="Heading3"/>
    <w:uiPriority w:val="3"/>
    <w:rsid w:val="008E0BEF"/>
    <w:rPr>
      <w:rFonts w:ascii="Arial" w:hAnsi="Arial"/>
      <w:b/>
      <w:bCs/>
      <w:sz w:val="24"/>
      <w:szCs w:val="26"/>
    </w:rPr>
  </w:style>
  <w:style w:type="paragraph" w:customStyle="1" w:styleId="Subbullets">
    <w:name w:val="Sub bullets"/>
    <w:basedOn w:val="Normal"/>
    <w:uiPriority w:val="6"/>
    <w:qFormat/>
    <w:rsid w:val="008E0BEF"/>
    <w:pPr>
      <w:numPr>
        <w:numId w:val="12"/>
      </w:numPr>
      <w:spacing w:line="276" w:lineRule="auto"/>
    </w:pPr>
    <w:rPr>
      <w:rFonts w:ascii="Arial" w:hAnsi="Arial"/>
    </w:rPr>
  </w:style>
  <w:style w:type="paragraph" w:customStyle="1" w:styleId="Paragraphnonumbers">
    <w:name w:val="Paragraph no numbers"/>
    <w:basedOn w:val="Normal"/>
    <w:uiPriority w:val="99"/>
    <w:qFormat/>
    <w:rsid w:val="008E0BEF"/>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171BED"/>
    <w:rPr>
      <w:rFonts w:ascii="Arial" w:hAnsi="Arial"/>
    </w:rPr>
  </w:style>
  <w:style w:type="paragraph" w:styleId="TOC2">
    <w:name w:val="toc 2"/>
    <w:basedOn w:val="Normal"/>
    <w:next w:val="Normal"/>
    <w:autoRedefine/>
    <w:uiPriority w:val="39"/>
    <w:rsid w:val="00171BED"/>
    <w:pPr>
      <w:tabs>
        <w:tab w:val="left" w:pos="567"/>
        <w:tab w:val="right" w:leader="dot" w:pos="8296"/>
      </w:tabs>
    </w:pPr>
    <w:rPr>
      <w:rFonts w:ascii="Arial" w:hAnsi="Arial"/>
      <w:b/>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rsid w:val="008E0BEF"/>
    <w:rPr>
      <w:rFonts w:ascii="Arial" w:hAnsi="Arial"/>
      <w:b/>
      <w:bCs/>
      <w:i/>
      <w:sz w:val="24"/>
      <w:szCs w:val="28"/>
    </w:rPr>
  </w:style>
  <w:style w:type="numbering" w:customStyle="1" w:styleId="Subheading1">
    <w:name w:val="Subheading 1"/>
    <w:basedOn w:val="NoList"/>
    <w:rsid w:val="007F5D9E"/>
    <w:pPr>
      <w:numPr>
        <w:numId w:val="1"/>
      </w:numPr>
    </w:pPr>
  </w:style>
  <w:style w:type="paragraph" w:customStyle="1" w:styleId="StyleHeading1Centered">
    <w:name w:val="Style Heading 1 + Centered"/>
    <w:basedOn w:val="Heading1"/>
    <w:rsid w:val="007F5D9E"/>
    <w:pPr>
      <w:spacing w:after="480"/>
      <w:jc w:val="center"/>
    </w:pPr>
    <w:rPr>
      <w:szCs w:val="20"/>
    </w:rPr>
  </w:style>
  <w:style w:type="numbering" w:customStyle="1" w:styleId="Style1">
    <w:name w:val="Style1"/>
    <w:uiPriority w:val="99"/>
    <w:rsid w:val="00D92183"/>
    <w:pPr>
      <w:numPr>
        <w:numId w:val="2"/>
      </w:numPr>
    </w:pPr>
  </w:style>
  <w:style w:type="numbering" w:customStyle="1" w:styleId="Style2">
    <w:name w:val="Style2"/>
    <w:uiPriority w:val="99"/>
    <w:rsid w:val="00D92183"/>
    <w:pPr>
      <w:numPr>
        <w:numId w:val="3"/>
      </w:numPr>
    </w:pPr>
  </w:style>
  <w:style w:type="character" w:customStyle="1" w:styleId="Heading5Char">
    <w:name w:val="Heading 5 Char"/>
    <w:link w:val="Heading5"/>
    <w:rsid w:val="008E0BEF"/>
    <w:rPr>
      <w:rFonts w:ascii="Calibri" w:hAnsi="Calibri"/>
      <w:b/>
      <w:bCs/>
      <w:i/>
      <w:iCs/>
      <w:sz w:val="26"/>
      <w:szCs w:val="26"/>
    </w:rPr>
  </w:style>
  <w:style w:type="character" w:customStyle="1" w:styleId="Heading6Char">
    <w:name w:val="Heading 6 Char"/>
    <w:link w:val="Heading6"/>
    <w:rsid w:val="008E0BEF"/>
    <w:rPr>
      <w:rFonts w:ascii="Calibri" w:hAnsi="Calibri"/>
      <w:b/>
      <w:bCs/>
      <w:sz w:val="22"/>
      <w:szCs w:val="22"/>
    </w:rPr>
  </w:style>
  <w:style w:type="character" w:customStyle="1" w:styleId="Heading7Char">
    <w:name w:val="Heading 7 Char"/>
    <w:link w:val="Heading7"/>
    <w:rsid w:val="008E0BEF"/>
    <w:rPr>
      <w:rFonts w:ascii="Calibri" w:hAnsi="Calibri"/>
      <w:sz w:val="24"/>
      <w:szCs w:val="24"/>
    </w:rPr>
  </w:style>
  <w:style w:type="character" w:customStyle="1" w:styleId="Heading8Char">
    <w:name w:val="Heading 8 Char"/>
    <w:link w:val="Heading8"/>
    <w:rsid w:val="008E0BEF"/>
    <w:rPr>
      <w:rFonts w:ascii="Calibri" w:hAnsi="Calibri"/>
      <w:i/>
      <w:iCs/>
      <w:sz w:val="24"/>
      <w:szCs w:val="24"/>
    </w:rPr>
  </w:style>
  <w:style w:type="character" w:customStyle="1" w:styleId="Heading9Char">
    <w:name w:val="Heading 9 Char"/>
    <w:link w:val="Heading9"/>
    <w:rsid w:val="008E0BEF"/>
    <w:rPr>
      <w:rFonts w:ascii="Cambria" w:hAnsi="Cambria"/>
      <w:sz w:val="22"/>
      <w:szCs w:val="22"/>
    </w:rPr>
  </w:style>
  <w:style w:type="numbering" w:customStyle="1" w:styleId="Appendix">
    <w:name w:val="Appendix"/>
    <w:basedOn w:val="NoList"/>
    <w:rsid w:val="00157064"/>
    <w:pPr>
      <w:numPr>
        <w:numId w:val="4"/>
      </w:numPr>
    </w:pPr>
  </w:style>
  <w:style w:type="paragraph" w:customStyle="1" w:styleId="AppendixA">
    <w:name w:val="AppendixA"/>
    <w:basedOn w:val="Heading1"/>
    <w:next w:val="Paragraphnonumbers"/>
    <w:qFormat/>
    <w:rsid w:val="008E0BEF"/>
    <w:pPr>
      <w:spacing w:before="0" w:after="240"/>
    </w:pPr>
  </w:style>
  <w:style w:type="paragraph" w:customStyle="1" w:styleId="StyleParagraphnonumbersCentered">
    <w:name w:val="Style Paragraph no numbers + Centered"/>
    <w:basedOn w:val="Paragraphnonumbers"/>
    <w:rsid w:val="00157064"/>
    <w:pPr>
      <w:spacing w:after="480"/>
      <w:jc w:val="center"/>
    </w:pPr>
    <w:rPr>
      <w:szCs w:val="20"/>
    </w:rPr>
  </w:style>
  <w:style w:type="paragraph" w:customStyle="1" w:styleId="Default">
    <w:name w:val="Default"/>
    <w:rsid w:val="00BF2E0E"/>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AD4163"/>
    <w:rPr>
      <w:sz w:val="16"/>
      <w:szCs w:val="16"/>
    </w:rPr>
  </w:style>
  <w:style w:type="paragraph" w:styleId="CommentText">
    <w:name w:val="annotation text"/>
    <w:basedOn w:val="Normal"/>
    <w:link w:val="CommentTextChar"/>
    <w:uiPriority w:val="99"/>
    <w:semiHidden/>
    <w:rsid w:val="00AD4163"/>
    <w:rPr>
      <w:sz w:val="20"/>
      <w:szCs w:val="20"/>
    </w:rPr>
  </w:style>
  <w:style w:type="character" w:customStyle="1" w:styleId="CommentTextChar">
    <w:name w:val="Comment Text Char"/>
    <w:basedOn w:val="DefaultParagraphFont"/>
    <w:link w:val="CommentText"/>
    <w:uiPriority w:val="99"/>
    <w:semiHidden/>
    <w:rsid w:val="00AD4163"/>
  </w:style>
  <w:style w:type="paragraph" w:styleId="CommentSubject">
    <w:name w:val="annotation subject"/>
    <w:basedOn w:val="CommentText"/>
    <w:next w:val="CommentText"/>
    <w:link w:val="CommentSubjectChar"/>
    <w:semiHidden/>
    <w:rsid w:val="00AD4163"/>
    <w:rPr>
      <w:b/>
      <w:bCs/>
    </w:rPr>
  </w:style>
  <w:style w:type="character" w:customStyle="1" w:styleId="CommentSubjectChar">
    <w:name w:val="Comment Subject Char"/>
    <w:link w:val="CommentSubject"/>
    <w:semiHidden/>
    <w:rsid w:val="00AD4163"/>
    <w:rPr>
      <w:b/>
      <w:bCs/>
    </w:rPr>
  </w:style>
  <w:style w:type="paragraph" w:styleId="Revision">
    <w:name w:val="Revision"/>
    <w:hidden/>
    <w:uiPriority w:val="99"/>
    <w:semiHidden/>
    <w:rsid w:val="0023668E"/>
    <w:rPr>
      <w:sz w:val="24"/>
      <w:szCs w:val="24"/>
    </w:rPr>
  </w:style>
  <w:style w:type="paragraph" w:styleId="Caption">
    <w:name w:val="caption"/>
    <w:basedOn w:val="Normal"/>
    <w:next w:val="Normal"/>
    <w:semiHidden/>
    <w:qFormat/>
    <w:rsid w:val="008E0BEF"/>
    <w:rPr>
      <w:b/>
      <w:bCs/>
      <w:sz w:val="20"/>
      <w:szCs w:val="20"/>
    </w:rPr>
  </w:style>
  <w:style w:type="character" w:styleId="Hyperlink">
    <w:name w:val="Hyperlink"/>
    <w:uiPriority w:val="99"/>
    <w:rsid w:val="00561FFB"/>
    <w:rPr>
      <w:color w:val="0000FF"/>
      <w:u w:val="single"/>
    </w:rPr>
  </w:style>
  <w:style w:type="character" w:styleId="FollowedHyperlink">
    <w:name w:val="FollowedHyperlink"/>
    <w:semiHidden/>
    <w:rsid w:val="00561FFB"/>
    <w:rPr>
      <w:color w:val="800080"/>
      <w:u w:val="single"/>
    </w:rPr>
  </w:style>
  <w:style w:type="paragraph" w:customStyle="1" w:styleId="Tabletext">
    <w:name w:val="Table text"/>
    <w:basedOn w:val="Paragraphnonumbers"/>
    <w:link w:val="TabletextChar"/>
    <w:qFormat/>
    <w:rsid w:val="008E0BEF"/>
    <w:pPr>
      <w:spacing w:before="60" w:after="0"/>
    </w:pPr>
    <w:rPr>
      <w:sz w:val="22"/>
      <w:szCs w:val="20"/>
    </w:rPr>
  </w:style>
  <w:style w:type="paragraph" w:styleId="DocumentMap">
    <w:name w:val="Document Map"/>
    <w:basedOn w:val="Normal"/>
    <w:link w:val="DocumentMapChar"/>
    <w:semiHidden/>
    <w:rsid w:val="00E467CD"/>
    <w:rPr>
      <w:rFonts w:ascii="Tahoma" w:hAnsi="Tahoma" w:cs="Tahoma"/>
      <w:sz w:val="16"/>
      <w:szCs w:val="16"/>
    </w:rPr>
  </w:style>
  <w:style w:type="character" w:customStyle="1" w:styleId="DocumentMapChar">
    <w:name w:val="Document Map Char"/>
    <w:link w:val="DocumentMap"/>
    <w:semiHidden/>
    <w:rsid w:val="00E467CD"/>
    <w:rPr>
      <w:rFonts w:ascii="Tahoma" w:hAnsi="Tahoma" w:cs="Tahoma"/>
      <w:sz w:val="16"/>
      <w:szCs w:val="16"/>
    </w:rPr>
  </w:style>
  <w:style w:type="paragraph" w:styleId="TOCHeading">
    <w:name w:val="TOC Heading"/>
    <w:basedOn w:val="Heading1"/>
    <w:next w:val="Normal"/>
    <w:uiPriority w:val="39"/>
    <w:semiHidden/>
    <w:unhideWhenUsed/>
    <w:qFormat/>
    <w:rsid w:val="008E0BEF"/>
    <w:pPr>
      <w:keepLines/>
      <w:spacing w:before="480" w:after="0" w:line="276" w:lineRule="auto"/>
      <w:outlineLvl w:val="9"/>
    </w:pPr>
    <w:rPr>
      <w:rFonts w:ascii="Cambria" w:hAnsi="Cambria"/>
      <w:color w:val="365F91"/>
      <w:kern w:val="0"/>
      <w:szCs w:val="28"/>
      <w:lang w:val="en-US" w:eastAsia="en-US"/>
    </w:rPr>
  </w:style>
  <w:style w:type="paragraph" w:customStyle="1" w:styleId="StyleArial16ptBoldAfter12pt">
    <w:name w:val="Style Arial 16 pt Bold After:  12 pt"/>
    <w:basedOn w:val="Normal"/>
    <w:rsid w:val="00171BED"/>
    <w:pPr>
      <w:spacing w:after="120"/>
    </w:pPr>
    <w:rPr>
      <w:rFonts w:ascii="Arial" w:hAnsi="Arial"/>
      <w:b/>
      <w:bCs/>
      <w:sz w:val="32"/>
      <w:szCs w:val="20"/>
    </w:rPr>
  </w:style>
  <w:style w:type="paragraph" w:customStyle="1" w:styleId="Tabletitle">
    <w:name w:val="Table title"/>
    <w:basedOn w:val="Tabletext"/>
    <w:rsid w:val="00162C09"/>
    <w:pPr>
      <w:spacing w:before="360"/>
    </w:pPr>
    <w:rPr>
      <w:b/>
      <w:bCs/>
    </w:rPr>
  </w:style>
  <w:style w:type="paragraph" w:customStyle="1" w:styleId="StyleTabletextBold">
    <w:name w:val="Style Table text + Bold"/>
    <w:basedOn w:val="Tabletext"/>
    <w:rsid w:val="00162C09"/>
    <w:rPr>
      <w:b/>
      <w:bCs/>
    </w:rPr>
  </w:style>
  <w:style w:type="character" w:customStyle="1" w:styleId="TabletextChar">
    <w:name w:val="Table text Char"/>
    <w:link w:val="Tabletext"/>
    <w:rsid w:val="008E0BEF"/>
    <w:rPr>
      <w:rFonts w:ascii="Arial" w:hAnsi="Arial"/>
      <w:sz w:val="22"/>
    </w:rPr>
  </w:style>
  <w:style w:type="paragraph" w:customStyle="1" w:styleId="Bulletleft1">
    <w:name w:val="Bullet left 1"/>
    <w:basedOn w:val="Normal"/>
    <w:link w:val="Bulletleft1Char"/>
    <w:rsid w:val="000819CD"/>
    <w:pPr>
      <w:numPr>
        <w:numId w:val="8"/>
      </w:numPr>
      <w:spacing w:line="360" w:lineRule="auto"/>
    </w:pPr>
    <w:rPr>
      <w:rFonts w:ascii="Arial" w:hAnsi="Arial"/>
      <w:lang w:val="en-US" w:eastAsia="en-US"/>
    </w:rPr>
  </w:style>
  <w:style w:type="character" w:customStyle="1" w:styleId="Bulletleft1Char">
    <w:name w:val="Bullet left 1 Char"/>
    <w:link w:val="Bulletleft1"/>
    <w:rsid w:val="000819CD"/>
    <w:rPr>
      <w:rFonts w:ascii="Arial" w:hAnsi="Arial"/>
      <w:sz w:val="24"/>
      <w:szCs w:val="24"/>
      <w:lang w:val="en-US" w:eastAsia="en-US"/>
    </w:rPr>
  </w:style>
  <w:style w:type="paragraph" w:styleId="ListParagraph">
    <w:name w:val="List Paragraph"/>
    <w:basedOn w:val="Normal"/>
    <w:uiPriority w:val="34"/>
    <w:qFormat/>
    <w:rsid w:val="008E0BEF"/>
    <w:pPr>
      <w:ind w:left="720"/>
    </w:pPr>
  </w:style>
  <w:style w:type="paragraph" w:customStyle="1" w:styleId="NICEnormal">
    <w:name w:val="NICE normal"/>
    <w:link w:val="NICEnormalChar"/>
    <w:qFormat/>
    <w:rsid w:val="004B379C"/>
    <w:pPr>
      <w:spacing w:after="240" w:line="360" w:lineRule="auto"/>
    </w:pPr>
    <w:rPr>
      <w:rFonts w:ascii="Arial" w:hAnsi="Arial"/>
      <w:sz w:val="24"/>
      <w:szCs w:val="24"/>
      <w:lang w:eastAsia="en-US"/>
    </w:rPr>
  </w:style>
  <w:style w:type="paragraph" w:customStyle="1" w:styleId="Bulletindent1last">
    <w:name w:val="Bullet indent 1 last"/>
    <w:basedOn w:val="NICEnormal"/>
    <w:next w:val="NICEnormal"/>
    <w:rsid w:val="004B379C"/>
    <w:pPr>
      <w:numPr>
        <w:numId w:val="14"/>
      </w:numPr>
      <w:tabs>
        <w:tab w:val="clear" w:pos="1418"/>
      </w:tabs>
      <w:ind w:left="432" w:hanging="432"/>
    </w:pPr>
  </w:style>
  <w:style w:type="character" w:customStyle="1" w:styleId="NICEnormalChar">
    <w:name w:val="NICE normal Char"/>
    <w:link w:val="NICEnormal"/>
    <w:locked/>
    <w:rsid w:val="004B379C"/>
    <w:rPr>
      <w:rFonts w:ascii="Arial" w:hAnsi="Arial"/>
      <w:sz w:val="24"/>
      <w:szCs w:val="24"/>
      <w:lang w:eastAsia="en-US"/>
    </w:rPr>
  </w:style>
  <w:style w:type="character" w:styleId="UnresolvedMention">
    <w:name w:val="Unresolved Mention"/>
    <w:basedOn w:val="DefaultParagraphFont"/>
    <w:uiPriority w:val="99"/>
    <w:semiHidden/>
    <w:unhideWhenUsed/>
    <w:rsid w:val="00966958"/>
    <w:rPr>
      <w:color w:val="605E5C"/>
      <w:shd w:val="clear" w:color="auto" w:fill="E1DFDD"/>
    </w:rPr>
  </w:style>
  <w:style w:type="paragraph" w:styleId="FootnoteText">
    <w:name w:val="footnote text"/>
    <w:basedOn w:val="Normal"/>
    <w:link w:val="FootnoteTextChar"/>
    <w:uiPriority w:val="99"/>
    <w:semiHidden/>
    <w:unhideWhenUsed/>
    <w:rsid w:val="00AD6CAF"/>
    <w:rPr>
      <w:sz w:val="20"/>
      <w:szCs w:val="20"/>
    </w:rPr>
  </w:style>
  <w:style w:type="character" w:customStyle="1" w:styleId="FootnoteTextChar">
    <w:name w:val="Footnote Text Char"/>
    <w:basedOn w:val="DefaultParagraphFont"/>
    <w:link w:val="FootnoteText"/>
    <w:uiPriority w:val="99"/>
    <w:semiHidden/>
    <w:rsid w:val="00AD6CAF"/>
  </w:style>
  <w:style w:type="character" w:styleId="FootnoteReference">
    <w:name w:val="footnote reference"/>
    <w:basedOn w:val="DefaultParagraphFont"/>
    <w:uiPriority w:val="99"/>
    <w:semiHidden/>
    <w:unhideWhenUsed/>
    <w:rsid w:val="00AD6CAF"/>
    <w:rPr>
      <w:vertAlign w:val="superscript"/>
    </w:rPr>
  </w:style>
  <w:style w:type="paragraph" w:customStyle="1" w:styleId="ColorfulList-Accent11">
    <w:name w:val="Colorful List - Accent 11"/>
    <w:basedOn w:val="Normal"/>
    <w:qFormat/>
    <w:rsid w:val="00AD6CAF"/>
    <w:pPr>
      <w:spacing w:after="200" w:line="276" w:lineRule="auto"/>
      <w:ind w:left="426"/>
      <w:contextualSpacing/>
      <w:jc w:val="both"/>
    </w:pPr>
    <w:rPr>
      <w:rFonts w:ascii="Arial" w:eastAsia="Calibri" w:hAnsi="Arial" w:cs="Arial"/>
      <w:b/>
      <w:i/>
      <w:sz w:val="22"/>
      <w:szCs w:val="22"/>
      <w:lang w:eastAsia="en-US" w:bidi="en-US"/>
    </w:rPr>
  </w:style>
  <w:style w:type="paragraph" w:styleId="NormalWeb">
    <w:name w:val="Normal (Web)"/>
    <w:basedOn w:val="Normal"/>
    <w:uiPriority w:val="99"/>
    <w:semiHidden/>
    <w:unhideWhenUsed/>
    <w:rsid w:val="004F5341"/>
  </w:style>
  <w:style w:type="character" w:styleId="Strong">
    <w:name w:val="Strong"/>
    <w:basedOn w:val="DefaultParagraphFont"/>
    <w:uiPriority w:val="22"/>
    <w:qFormat/>
    <w:rsid w:val="005E1604"/>
    <w:rPr>
      <w:b/>
      <w:bCs/>
    </w:rPr>
  </w:style>
  <w:style w:type="character" w:customStyle="1" w:styleId="ref-title">
    <w:name w:val="ref-title"/>
    <w:basedOn w:val="DefaultParagraphFont"/>
    <w:rsid w:val="00960F12"/>
  </w:style>
  <w:style w:type="character" w:customStyle="1" w:styleId="ref-journal">
    <w:name w:val="ref-journal"/>
    <w:basedOn w:val="DefaultParagraphFont"/>
    <w:rsid w:val="00960F12"/>
  </w:style>
  <w:style w:type="character" w:customStyle="1" w:styleId="ref-vol">
    <w:name w:val="ref-vol"/>
    <w:basedOn w:val="DefaultParagraphFont"/>
    <w:rsid w:val="00960F12"/>
  </w:style>
  <w:style w:type="character" w:customStyle="1" w:styleId="nowrap">
    <w:name w:val="nowrap"/>
    <w:basedOn w:val="DefaultParagraphFont"/>
    <w:rsid w:val="00960F12"/>
  </w:style>
  <w:style w:type="paragraph" w:customStyle="1" w:styleId="numbered-paragraph">
    <w:name w:val="numbered-paragraph"/>
    <w:basedOn w:val="Normal"/>
    <w:rsid w:val="00DA47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1992">
      <w:bodyDiv w:val="1"/>
      <w:marLeft w:val="0"/>
      <w:marRight w:val="0"/>
      <w:marTop w:val="0"/>
      <w:marBottom w:val="0"/>
      <w:divBdr>
        <w:top w:val="none" w:sz="0" w:space="0" w:color="auto"/>
        <w:left w:val="none" w:sz="0" w:space="0" w:color="auto"/>
        <w:bottom w:val="none" w:sz="0" w:space="0" w:color="auto"/>
        <w:right w:val="none" w:sz="0" w:space="0" w:color="auto"/>
      </w:divBdr>
      <w:divsChild>
        <w:div w:id="906040408">
          <w:marLeft w:val="0"/>
          <w:marRight w:val="0"/>
          <w:marTop w:val="120"/>
          <w:marBottom w:val="0"/>
          <w:divBdr>
            <w:top w:val="none" w:sz="0" w:space="0" w:color="auto"/>
            <w:left w:val="none" w:sz="0" w:space="0" w:color="auto"/>
            <w:bottom w:val="none" w:sz="0" w:space="0" w:color="auto"/>
            <w:right w:val="none" w:sz="0" w:space="0" w:color="auto"/>
          </w:divBdr>
        </w:div>
        <w:div w:id="2100983152">
          <w:marLeft w:val="0"/>
          <w:marRight w:val="0"/>
          <w:marTop w:val="120"/>
          <w:marBottom w:val="0"/>
          <w:divBdr>
            <w:top w:val="none" w:sz="0" w:space="0" w:color="auto"/>
            <w:left w:val="none" w:sz="0" w:space="0" w:color="auto"/>
            <w:bottom w:val="none" w:sz="0" w:space="0" w:color="auto"/>
            <w:right w:val="none" w:sz="0" w:space="0" w:color="auto"/>
          </w:divBdr>
        </w:div>
      </w:divsChild>
    </w:div>
    <w:div w:id="105388455">
      <w:bodyDiv w:val="1"/>
      <w:marLeft w:val="0"/>
      <w:marRight w:val="0"/>
      <w:marTop w:val="0"/>
      <w:marBottom w:val="0"/>
      <w:divBdr>
        <w:top w:val="none" w:sz="0" w:space="0" w:color="auto"/>
        <w:left w:val="none" w:sz="0" w:space="0" w:color="auto"/>
        <w:bottom w:val="none" w:sz="0" w:space="0" w:color="auto"/>
        <w:right w:val="none" w:sz="0" w:space="0" w:color="auto"/>
      </w:divBdr>
    </w:div>
    <w:div w:id="182983616">
      <w:bodyDiv w:val="1"/>
      <w:marLeft w:val="0"/>
      <w:marRight w:val="0"/>
      <w:marTop w:val="0"/>
      <w:marBottom w:val="0"/>
      <w:divBdr>
        <w:top w:val="none" w:sz="0" w:space="0" w:color="auto"/>
        <w:left w:val="none" w:sz="0" w:space="0" w:color="auto"/>
        <w:bottom w:val="none" w:sz="0" w:space="0" w:color="auto"/>
        <w:right w:val="none" w:sz="0" w:space="0" w:color="auto"/>
      </w:divBdr>
    </w:div>
    <w:div w:id="201597814">
      <w:bodyDiv w:val="1"/>
      <w:marLeft w:val="0"/>
      <w:marRight w:val="0"/>
      <w:marTop w:val="0"/>
      <w:marBottom w:val="0"/>
      <w:divBdr>
        <w:top w:val="none" w:sz="0" w:space="0" w:color="auto"/>
        <w:left w:val="none" w:sz="0" w:space="0" w:color="auto"/>
        <w:bottom w:val="none" w:sz="0" w:space="0" w:color="auto"/>
        <w:right w:val="none" w:sz="0" w:space="0" w:color="auto"/>
      </w:divBdr>
      <w:divsChild>
        <w:div w:id="1482884774">
          <w:marLeft w:val="0"/>
          <w:marRight w:val="0"/>
          <w:marTop w:val="0"/>
          <w:marBottom w:val="0"/>
          <w:divBdr>
            <w:top w:val="none" w:sz="0" w:space="0" w:color="auto"/>
            <w:left w:val="none" w:sz="0" w:space="0" w:color="auto"/>
            <w:bottom w:val="none" w:sz="0" w:space="0" w:color="auto"/>
            <w:right w:val="none" w:sz="0" w:space="0" w:color="auto"/>
          </w:divBdr>
        </w:div>
        <w:div w:id="99885151">
          <w:marLeft w:val="0"/>
          <w:marRight w:val="0"/>
          <w:marTop w:val="0"/>
          <w:marBottom w:val="0"/>
          <w:divBdr>
            <w:top w:val="none" w:sz="0" w:space="0" w:color="auto"/>
            <w:left w:val="none" w:sz="0" w:space="0" w:color="auto"/>
            <w:bottom w:val="none" w:sz="0" w:space="0" w:color="auto"/>
            <w:right w:val="none" w:sz="0" w:space="0" w:color="auto"/>
          </w:divBdr>
        </w:div>
        <w:div w:id="1975715793">
          <w:marLeft w:val="0"/>
          <w:marRight w:val="0"/>
          <w:marTop w:val="0"/>
          <w:marBottom w:val="0"/>
          <w:divBdr>
            <w:top w:val="none" w:sz="0" w:space="0" w:color="auto"/>
            <w:left w:val="none" w:sz="0" w:space="0" w:color="auto"/>
            <w:bottom w:val="none" w:sz="0" w:space="0" w:color="auto"/>
            <w:right w:val="none" w:sz="0" w:space="0" w:color="auto"/>
          </w:divBdr>
        </w:div>
        <w:div w:id="2016376040">
          <w:marLeft w:val="0"/>
          <w:marRight w:val="0"/>
          <w:marTop w:val="0"/>
          <w:marBottom w:val="0"/>
          <w:divBdr>
            <w:top w:val="none" w:sz="0" w:space="0" w:color="auto"/>
            <w:left w:val="none" w:sz="0" w:space="0" w:color="auto"/>
            <w:bottom w:val="none" w:sz="0" w:space="0" w:color="auto"/>
            <w:right w:val="none" w:sz="0" w:space="0" w:color="auto"/>
          </w:divBdr>
        </w:div>
        <w:div w:id="1076633052">
          <w:marLeft w:val="0"/>
          <w:marRight w:val="0"/>
          <w:marTop w:val="360"/>
          <w:marBottom w:val="360"/>
          <w:divBdr>
            <w:top w:val="none" w:sz="0" w:space="0" w:color="auto"/>
            <w:left w:val="none" w:sz="0" w:space="0" w:color="auto"/>
            <w:bottom w:val="none" w:sz="0" w:space="0" w:color="auto"/>
            <w:right w:val="none" w:sz="0" w:space="0" w:color="auto"/>
          </w:divBdr>
          <w:divsChild>
            <w:div w:id="1656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8153">
      <w:bodyDiv w:val="1"/>
      <w:marLeft w:val="0"/>
      <w:marRight w:val="0"/>
      <w:marTop w:val="0"/>
      <w:marBottom w:val="0"/>
      <w:divBdr>
        <w:top w:val="none" w:sz="0" w:space="0" w:color="auto"/>
        <w:left w:val="none" w:sz="0" w:space="0" w:color="auto"/>
        <w:bottom w:val="none" w:sz="0" w:space="0" w:color="auto"/>
        <w:right w:val="none" w:sz="0" w:space="0" w:color="auto"/>
      </w:divBdr>
    </w:div>
    <w:div w:id="716704356">
      <w:bodyDiv w:val="1"/>
      <w:marLeft w:val="0"/>
      <w:marRight w:val="0"/>
      <w:marTop w:val="0"/>
      <w:marBottom w:val="0"/>
      <w:divBdr>
        <w:top w:val="none" w:sz="0" w:space="0" w:color="auto"/>
        <w:left w:val="none" w:sz="0" w:space="0" w:color="auto"/>
        <w:bottom w:val="none" w:sz="0" w:space="0" w:color="auto"/>
        <w:right w:val="none" w:sz="0" w:space="0" w:color="auto"/>
      </w:divBdr>
      <w:divsChild>
        <w:div w:id="1300649167">
          <w:marLeft w:val="0"/>
          <w:marRight w:val="0"/>
          <w:marTop w:val="0"/>
          <w:marBottom w:val="0"/>
          <w:divBdr>
            <w:top w:val="none" w:sz="0" w:space="0" w:color="auto"/>
            <w:left w:val="none" w:sz="0" w:space="0" w:color="auto"/>
            <w:bottom w:val="none" w:sz="0" w:space="0" w:color="auto"/>
            <w:right w:val="none" w:sz="0" w:space="0" w:color="auto"/>
          </w:divBdr>
          <w:divsChild>
            <w:div w:id="17279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5067">
      <w:bodyDiv w:val="1"/>
      <w:marLeft w:val="0"/>
      <w:marRight w:val="0"/>
      <w:marTop w:val="0"/>
      <w:marBottom w:val="0"/>
      <w:divBdr>
        <w:top w:val="none" w:sz="0" w:space="0" w:color="auto"/>
        <w:left w:val="none" w:sz="0" w:space="0" w:color="auto"/>
        <w:bottom w:val="none" w:sz="0" w:space="0" w:color="auto"/>
        <w:right w:val="none" w:sz="0" w:space="0" w:color="auto"/>
      </w:divBdr>
      <w:divsChild>
        <w:div w:id="2049141048">
          <w:marLeft w:val="547"/>
          <w:marRight w:val="0"/>
          <w:marTop w:val="100"/>
          <w:marBottom w:val="0"/>
          <w:divBdr>
            <w:top w:val="none" w:sz="0" w:space="0" w:color="auto"/>
            <w:left w:val="none" w:sz="0" w:space="0" w:color="auto"/>
            <w:bottom w:val="none" w:sz="0" w:space="0" w:color="auto"/>
            <w:right w:val="none" w:sz="0" w:space="0" w:color="auto"/>
          </w:divBdr>
        </w:div>
      </w:divsChild>
    </w:div>
    <w:div w:id="881133485">
      <w:bodyDiv w:val="1"/>
      <w:marLeft w:val="0"/>
      <w:marRight w:val="0"/>
      <w:marTop w:val="0"/>
      <w:marBottom w:val="0"/>
      <w:divBdr>
        <w:top w:val="none" w:sz="0" w:space="0" w:color="auto"/>
        <w:left w:val="none" w:sz="0" w:space="0" w:color="auto"/>
        <w:bottom w:val="none" w:sz="0" w:space="0" w:color="auto"/>
        <w:right w:val="none" w:sz="0" w:space="0" w:color="auto"/>
      </w:divBdr>
      <w:divsChild>
        <w:div w:id="1866209586">
          <w:marLeft w:val="0"/>
          <w:marRight w:val="0"/>
          <w:marTop w:val="120"/>
          <w:marBottom w:val="0"/>
          <w:divBdr>
            <w:top w:val="none" w:sz="0" w:space="0" w:color="auto"/>
            <w:left w:val="none" w:sz="0" w:space="0" w:color="auto"/>
            <w:bottom w:val="none" w:sz="0" w:space="0" w:color="auto"/>
            <w:right w:val="none" w:sz="0" w:space="0" w:color="auto"/>
          </w:divBdr>
        </w:div>
        <w:div w:id="533466915">
          <w:marLeft w:val="0"/>
          <w:marRight w:val="0"/>
          <w:marTop w:val="120"/>
          <w:marBottom w:val="0"/>
          <w:divBdr>
            <w:top w:val="none" w:sz="0" w:space="0" w:color="auto"/>
            <w:left w:val="none" w:sz="0" w:space="0" w:color="auto"/>
            <w:bottom w:val="none" w:sz="0" w:space="0" w:color="auto"/>
            <w:right w:val="none" w:sz="0" w:space="0" w:color="auto"/>
          </w:divBdr>
        </w:div>
      </w:divsChild>
    </w:div>
    <w:div w:id="965357772">
      <w:bodyDiv w:val="1"/>
      <w:marLeft w:val="0"/>
      <w:marRight w:val="0"/>
      <w:marTop w:val="0"/>
      <w:marBottom w:val="0"/>
      <w:divBdr>
        <w:top w:val="none" w:sz="0" w:space="0" w:color="auto"/>
        <w:left w:val="none" w:sz="0" w:space="0" w:color="auto"/>
        <w:bottom w:val="none" w:sz="0" w:space="0" w:color="auto"/>
        <w:right w:val="none" w:sz="0" w:space="0" w:color="auto"/>
      </w:divBdr>
    </w:div>
    <w:div w:id="970599371">
      <w:bodyDiv w:val="1"/>
      <w:marLeft w:val="0"/>
      <w:marRight w:val="0"/>
      <w:marTop w:val="0"/>
      <w:marBottom w:val="0"/>
      <w:divBdr>
        <w:top w:val="none" w:sz="0" w:space="0" w:color="auto"/>
        <w:left w:val="none" w:sz="0" w:space="0" w:color="auto"/>
        <w:bottom w:val="none" w:sz="0" w:space="0" w:color="auto"/>
        <w:right w:val="none" w:sz="0" w:space="0" w:color="auto"/>
      </w:divBdr>
    </w:div>
    <w:div w:id="1318609704">
      <w:bodyDiv w:val="1"/>
      <w:marLeft w:val="0"/>
      <w:marRight w:val="0"/>
      <w:marTop w:val="0"/>
      <w:marBottom w:val="0"/>
      <w:divBdr>
        <w:top w:val="none" w:sz="0" w:space="0" w:color="auto"/>
        <w:left w:val="none" w:sz="0" w:space="0" w:color="auto"/>
        <w:bottom w:val="none" w:sz="0" w:space="0" w:color="auto"/>
        <w:right w:val="none" w:sz="0" w:space="0" w:color="auto"/>
      </w:divBdr>
      <w:divsChild>
        <w:div w:id="1178344437">
          <w:marLeft w:val="0"/>
          <w:marRight w:val="0"/>
          <w:marTop w:val="0"/>
          <w:marBottom w:val="0"/>
          <w:divBdr>
            <w:top w:val="none" w:sz="0" w:space="0" w:color="auto"/>
            <w:left w:val="none" w:sz="0" w:space="0" w:color="auto"/>
            <w:bottom w:val="none" w:sz="0" w:space="0" w:color="auto"/>
            <w:right w:val="none" w:sz="0" w:space="0" w:color="auto"/>
          </w:divBdr>
        </w:div>
        <w:div w:id="89860651">
          <w:marLeft w:val="0"/>
          <w:marRight w:val="0"/>
          <w:marTop w:val="0"/>
          <w:marBottom w:val="0"/>
          <w:divBdr>
            <w:top w:val="none" w:sz="0" w:space="0" w:color="auto"/>
            <w:left w:val="none" w:sz="0" w:space="0" w:color="auto"/>
            <w:bottom w:val="none" w:sz="0" w:space="0" w:color="auto"/>
            <w:right w:val="none" w:sz="0" w:space="0" w:color="auto"/>
          </w:divBdr>
        </w:div>
        <w:div w:id="1112822976">
          <w:marLeft w:val="0"/>
          <w:marRight w:val="0"/>
          <w:marTop w:val="0"/>
          <w:marBottom w:val="0"/>
          <w:divBdr>
            <w:top w:val="none" w:sz="0" w:space="0" w:color="auto"/>
            <w:left w:val="none" w:sz="0" w:space="0" w:color="auto"/>
            <w:bottom w:val="none" w:sz="0" w:space="0" w:color="auto"/>
            <w:right w:val="none" w:sz="0" w:space="0" w:color="auto"/>
          </w:divBdr>
        </w:div>
        <w:div w:id="1630088254">
          <w:marLeft w:val="0"/>
          <w:marRight w:val="0"/>
          <w:marTop w:val="0"/>
          <w:marBottom w:val="0"/>
          <w:divBdr>
            <w:top w:val="none" w:sz="0" w:space="0" w:color="auto"/>
            <w:left w:val="none" w:sz="0" w:space="0" w:color="auto"/>
            <w:bottom w:val="none" w:sz="0" w:space="0" w:color="auto"/>
            <w:right w:val="none" w:sz="0" w:space="0" w:color="auto"/>
          </w:divBdr>
        </w:div>
        <w:div w:id="234554400">
          <w:marLeft w:val="0"/>
          <w:marRight w:val="0"/>
          <w:marTop w:val="360"/>
          <w:marBottom w:val="360"/>
          <w:divBdr>
            <w:top w:val="none" w:sz="0" w:space="0" w:color="auto"/>
            <w:left w:val="none" w:sz="0" w:space="0" w:color="auto"/>
            <w:bottom w:val="none" w:sz="0" w:space="0" w:color="auto"/>
            <w:right w:val="none" w:sz="0" w:space="0" w:color="auto"/>
          </w:divBdr>
          <w:divsChild>
            <w:div w:id="15485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0835">
      <w:bodyDiv w:val="1"/>
      <w:marLeft w:val="0"/>
      <w:marRight w:val="0"/>
      <w:marTop w:val="0"/>
      <w:marBottom w:val="0"/>
      <w:divBdr>
        <w:top w:val="none" w:sz="0" w:space="0" w:color="auto"/>
        <w:left w:val="none" w:sz="0" w:space="0" w:color="auto"/>
        <w:bottom w:val="none" w:sz="0" w:space="0" w:color="auto"/>
        <w:right w:val="none" w:sz="0" w:space="0" w:color="auto"/>
      </w:divBdr>
    </w:div>
    <w:div w:id="1377706009">
      <w:bodyDiv w:val="1"/>
      <w:marLeft w:val="0"/>
      <w:marRight w:val="0"/>
      <w:marTop w:val="0"/>
      <w:marBottom w:val="0"/>
      <w:divBdr>
        <w:top w:val="none" w:sz="0" w:space="0" w:color="auto"/>
        <w:left w:val="none" w:sz="0" w:space="0" w:color="auto"/>
        <w:bottom w:val="none" w:sz="0" w:space="0" w:color="auto"/>
        <w:right w:val="none" w:sz="0" w:space="0" w:color="auto"/>
      </w:divBdr>
    </w:div>
    <w:div w:id="1723824172">
      <w:bodyDiv w:val="1"/>
      <w:marLeft w:val="0"/>
      <w:marRight w:val="0"/>
      <w:marTop w:val="0"/>
      <w:marBottom w:val="0"/>
      <w:divBdr>
        <w:top w:val="none" w:sz="0" w:space="0" w:color="auto"/>
        <w:left w:val="none" w:sz="0" w:space="0" w:color="auto"/>
        <w:bottom w:val="none" w:sz="0" w:space="0" w:color="auto"/>
        <w:right w:val="none" w:sz="0" w:space="0" w:color="auto"/>
      </w:divBdr>
      <w:divsChild>
        <w:div w:id="2030914264">
          <w:marLeft w:val="0"/>
          <w:marRight w:val="0"/>
          <w:marTop w:val="360"/>
          <w:marBottom w:val="360"/>
          <w:divBdr>
            <w:top w:val="none" w:sz="0" w:space="0" w:color="auto"/>
            <w:left w:val="none" w:sz="0" w:space="0" w:color="auto"/>
            <w:bottom w:val="none" w:sz="0" w:space="0" w:color="auto"/>
            <w:right w:val="none" w:sz="0" w:space="0" w:color="auto"/>
          </w:divBdr>
          <w:divsChild>
            <w:div w:id="1989362920">
              <w:marLeft w:val="0"/>
              <w:marRight w:val="0"/>
              <w:marTop w:val="0"/>
              <w:marBottom w:val="0"/>
              <w:divBdr>
                <w:top w:val="none" w:sz="0" w:space="0" w:color="auto"/>
                <w:left w:val="none" w:sz="0" w:space="0" w:color="auto"/>
                <w:bottom w:val="none" w:sz="0" w:space="0" w:color="auto"/>
                <w:right w:val="none" w:sz="0" w:space="0" w:color="auto"/>
              </w:divBdr>
            </w:div>
            <w:div w:id="136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058">
      <w:bodyDiv w:val="1"/>
      <w:marLeft w:val="0"/>
      <w:marRight w:val="0"/>
      <w:marTop w:val="0"/>
      <w:marBottom w:val="0"/>
      <w:divBdr>
        <w:top w:val="none" w:sz="0" w:space="0" w:color="auto"/>
        <w:left w:val="none" w:sz="0" w:space="0" w:color="auto"/>
        <w:bottom w:val="none" w:sz="0" w:space="0" w:color="auto"/>
        <w:right w:val="none" w:sz="0" w:space="0" w:color="auto"/>
      </w:divBdr>
    </w:div>
    <w:div w:id="1828784746">
      <w:bodyDiv w:val="1"/>
      <w:marLeft w:val="0"/>
      <w:marRight w:val="0"/>
      <w:marTop w:val="0"/>
      <w:marBottom w:val="0"/>
      <w:divBdr>
        <w:top w:val="none" w:sz="0" w:space="0" w:color="auto"/>
        <w:left w:val="none" w:sz="0" w:space="0" w:color="auto"/>
        <w:bottom w:val="none" w:sz="0" w:space="0" w:color="auto"/>
        <w:right w:val="none" w:sz="0" w:space="0" w:color="auto"/>
      </w:divBdr>
    </w:div>
    <w:div w:id="2040663906">
      <w:bodyDiv w:val="1"/>
      <w:marLeft w:val="0"/>
      <w:marRight w:val="0"/>
      <w:marTop w:val="0"/>
      <w:marBottom w:val="0"/>
      <w:divBdr>
        <w:top w:val="none" w:sz="0" w:space="0" w:color="auto"/>
        <w:left w:val="none" w:sz="0" w:space="0" w:color="auto"/>
        <w:bottom w:val="none" w:sz="0" w:space="0" w:color="auto"/>
        <w:right w:val="none" w:sz="0" w:space="0" w:color="auto"/>
      </w:divBdr>
      <w:divsChild>
        <w:div w:id="821236143">
          <w:marLeft w:val="960"/>
          <w:marRight w:val="0"/>
          <w:marTop w:val="0"/>
          <w:marBottom w:val="0"/>
          <w:divBdr>
            <w:top w:val="none" w:sz="0" w:space="0" w:color="auto"/>
            <w:left w:val="none" w:sz="0" w:space="0" w:color="auto"/>
            <w:bottom w:val="none" w:sz="0" w:space="0" w:color="auto"/>
            <w:right w:val="none" w:sz="0" w:space="0" w:color="auto"/>
          </w:divBdr>
        </w:div>
      </w:divsChild>
    </w:div>
    <w:div w:id="2043627758">
      <w:bodyDiv w:val="1"/>
      <w:marLeft w:val="0"/>
      <w:marRight w:val="0"/>
      <w:marTop w:val="0"/>
      <w:marBottom w:val="0"/>
      <w:divBdr>
        <w:top w:val="none" w:sz="0" w:space="0" w:color="auto"/>
        <w:left w:val="none" w:sz="0" w:space="0" w:color="auto"/>
        <w:bottom w:val="none" w:sz="0" w:space="0" w:color="auto"/>
        <w:right w:val="none" w:sz="0" w:space="0" w:color="auto"/>
      </w:divBdr>
    </w:div>
    <w:div w:id="211374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Media/Default/About/what-we-do/Into-practice/measuring-uptake/lung-cancer-impact-report/nice-impact-lung-cancer.pdf" TargetMode="External"/><Relationship Id="rId18" Type="http://schemas.openxmlformats.org/officeDocument/2006/relationships/hyperlink" Target="https://www.brit-thoracic.org.uk/quality-improvement/guidelines/pulmonary-nodules/" TargetMode="External"/><Relationship Id="rId26" Type="http://schemas.openxmlformats.org/officeDocument/2006/relationships/hyperlink" Target="https://pubmed.ncbi.nlm.nih.gov/28240562/" TargetMode="External"/><Relationship Id="rId39" Type="http://schemas.openxmlformats.org/officeDocument/2006/relationships/hyperlink" Target="http://www.nice.org.uk/guidance/TA578" TargetMode="External"/><Relationship Id="rId21" Type="http://schemas.openxmlformats.org/officeDocument/2006/relationships/hyperlink" Target="https://www.nice.org.uk/guidance/ng122/chapter/Context" TargetMode="External"/><Relationship Id="rId34" Type="http://schemas.openxmlformats.org/officeDocument/2006/relationships/image" Target="media/image5.png"/><Relationship Id="rId42" Type="http://schemas.openxmlformats.org/officeDocument/2006/relationships/hyperlink" Target="https://pathways.nice.org.uk/pathways/lung-cancer/advanced-non-squamous-stages-iiib-and-iv-non-small-cell-lung-cancer-systemic-anti-cancer-therapy" TargetMode="External"/><Relationship Id="rId47" Type="http://schemas.openxmlformats.org/officeDocument/2006/relationships/hyperlink" Target="https://www.nice.org.uk/guidance/NG122/chapter/Rationale-and-impact" TargetMode="External"/><Relationship Id="rId50" Type="http://schemas.openxmlformats.org/officeDocument/2006/relationships/hyperlink" Target="https://www.nice.org.uk/Media/Default/About/what-we-do/Into-practice/measuring-uptake/lung-cancer-impact-report/nice-impact-lung-cancer.pdf"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ce.org.uk/guidance/ng122/chapter/Context" TargetMode="External"/><Relationship Id="rId17" Type="http://schemas.openxmlformats.org/officeDocument/2006/relationships/hyperlink" Target="https://www.nice.org.uk/guidance/ta184" TargetMode="External"/><Relationship Id="rId25" Type="http://schemas.openxmlformats.org/officeDocument/2006/relationships/hyperlink" Target="https://www.brit-thoracic.org.uk/quality-improvement/guidelines/pulmonary-nodules/" TargetMode="External"/><Relationship Id="rId33" Type="http://schemas.openxmlformats.org/officeDocument/2006/relationships/hyperlink" Target="https://pathways.nice.org.uk/pathways/lung-cancer/non-small-cell-lung-cancer-treatments-with-curative-intent" TargetMode="External"/><Relationship Id="rId38" Type="http://schemas.openxmlformats.org/officeDocument/2006/relationships/hyperlink" Target="https://www.nice.org.uk/guidance/NG122/chapter/Rationale-and-impact" TargetMode="External"/><Relationship Id="rId46" Type="http://schemas.openxmlformats.org/officeDocument/2006/relationships/hyperlink" Target="https://www.rcplondon.ac.uk/projects/national-lung-cancer-audit" TargetMode="External"/><Relationship Id="rId2" Type="http://schemas.openxmlformats.org/officeDocument/2006/relationships/numbering" Target="numbering.xml"/><Relationship Id="rId16" Type="http://schemas.openxmlformats.org/officeDocument/2006/relationships/hyperlink" Target="https://www.cancerresearchuk.org/health-professional/cancer-statistics/statistics-by-cancer-type/lung-cancer" TargetMode="External"/><Relationship Id="rId20" Type="http://schemas.openxmlformats.org/officeDocument/2006/relationships/hyperlink" Target="https://www.nice.org.uk/guidance/ng12/chapter/1-Recommendations-organised-by-site-of-cancer" TargetMode="External"/><Relationship Id="rId29" Type="http://schemas.openxmlformats.org/officeDocument/2006/relationships/hyperlink" Target="https://pubmed.ncbi.nlm.nih.gov/16236914/" TargetMode="External"/><Relationship Id="rId41" Type="http://schemas.openxmlformats.org/officeDocument/2006/relationships/hyperlink" Target="https://www.nice.org.uk/guidance/ng122/resources/systemic-anticancer-therapy-management-options-for-people-with-squamous-nonsmallcell-carcinoma-pdf-6722110910"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national-cancer-registration-and-analysis-service-ncras" TargetMode="External"/><Relationship Id="rId24" Type="http://schemas.openxmlformats.org/officeDocument/2006/relationships/hyperlink" Target="https://www.nice.org.uk/Media/Default/About/what-we-do/Into-practice/measuring-uptake/lung-cancer-impact-report/nice-impact-lung-cancer.pdf" TargetMode="External"/><Relationship Id="rId32" Type="http://schemas.openxmlformats.org/officeDocument/2006/relationships/image" Target="media/image4.emf"/><Relationship Id="rId37" Type="http://schemas.openxmlformats.org/officeDocument/2006/relationships/hyperlink" Target="https://www.rcplondon.ac.uk/projects/outputs/lung-cancer-clinical-outcomes-publication-2019-audit-period-2017" TargetMode="External"/><Relationship Id="rId40" Type="http://schemas.openxmlformats.org/officeDocument/2006/relationships/hyperlink" Target="https://www.rcplondon.ac.uk/projects/outputs/lung-cancer-clinical-outcomes-publication-2019-audit-period-2017" TargetMode="External"/><Relationship Id="rId45" Type="http://schemas.openxmlformats.org/officeDocument/2006/relationships/hyperlink" Target="https://pathways.nice.org.uk/pathways/lung-cancer/non-small-cell-lung-cancer-treatments-with-curative-intent"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ancerresearchuk.org/about-cancer/lung-cancer/stages-types-grades/types" TargetMode="External"/><Relationship Id="rId23" Type="http://schemas.openxmlformats.org/officeDocument/2006/relationships/hyperlink" Target="https://www.nice.org.uk/guidance/ng122/chapter/Context" TargetMode="External"/><Relationship Id="rId28" Type="http://schemas.openxmlformats.org/officeDocument/2006/relationships/image" Target="media/image3.png"/><Relationship Id="rId36" Type="http://schemas.openxmlformats.org/officeDocument/2006/relationships/hyperlink" Target="http://www.ncin.org.uk/cancer_type_and_topic_specific_work/cancer_type_specific_work/lung_cancer/" TargetMode="External"/><Relationship Id="rId49" Type="http://schemas.openxmlformats.org/officeDocument/2006/relationships/hyperlink" Target="https://www.nice.org.uk/guidance/csg4" TargetMode="External"/><Relationship Id="rId10" Type="http://schemas.openxmlformats.org/officeDocument/2006/relationships/hyperlink" Target="https://www.researchgate.net/publication/317199179_Tumor-Associated_Autoantibodies_Re-Optimization_of_EarlyCDT-Lung_Diagnostic_Performance_and_Its_Application_to_Indeterminate_Pulmonary_Nodules" TargetMode="External"/><Relationship Id="rId19" Type="http://schemas.openxmlformats.org/officeDocument/2006/relationships/hyperlink" Target="https://www.ons.gov.uk/peoplepopulationandcommunity/healthandsocialcare/conditionsanddiseases/bulletins/cancersurvivalinengland/stageatdiagnosisandchildhoodpatientsfollowedupto2018" TargetMode="External"/><Relationship Id="rId31" Type="http://schemas.openxmlformats.org/officeDocument/2006/relationships/hyperlink" Target="https://pubmed.ncbi.nlm.nih.gov/25864782/" TargetMode="External"/><Relationship Id="rId44" Type="http://schemas.openxmlformats.org/officeDocument/2006/relationships/image" Target="media/image6.png"/><Relationship Id="rId52" Type="http://schemas.openxmlformats.org/officeDocument/2006/relationships/hyperlink" Target="http://www.ncin.org.uk/cancer_type_and_topic_specific_work/cancer_type_specific_work/lung_canc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ancerresearchuk.org/about-cancer/lung-cancer/stages-types-grades/types" TargetMode="External"/><Relationship Id="rId22" Type="http://schemas.openxmlformats.org/officeDocument/2006/relationships/hyperlink" Target="https://www.brit-thoracic.org.uk/quality-improvement/guidelines/pulmonary-nodules/" TargetMode="External"/><Relationship Id="rId27" Type="http://schemas.openxmlformats.org/officeDocument/2006/relationships/hyperlink" Target="https://www.brit-thoracic.org.uk/quality-improvement/guidelines/pulmonary-nodules/" TargetMode="External"/><Relationship Id="rId30" Type="http://schemas.openxmlformats.org/officeDocument/2006/relationships/hyperlink" Target="https://pubmed.ncbi.nlm.nih.gov/16236914/" TargetMode="External"/><Relationship Id="rId35" Type="http://schemas.openxmlformats.org/officeDocument/2006/relationships/hyperlink" Target="https://pathways.nice.org.uk/pathways/lung-cancer/non-small-cell-lung-cancer-treatments-with-curative-intent" TargetMode="External"/><Relationship Id="rId43" Type="http://schemas.openxmlformats.org/officeDocument/2006/relationships/hyperlink" Target="https://pathways.nice.org.uk/pathways/lung-cancer/non-small-cell-lung-cancer-treatments-with-curative-intent" TargetMode="External"/><Relationship Id="rId48" Type="http://schemas.openxmlformats.org/officeDocument/2006/relationships/hyperlink" Target="https://www.nice.org.uk/guidance/ta638/chapter/1-Recommendation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nhs.uk/conditions/ct-sca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5FC2E-FC4A-42BD-B0F3-24377F3F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5440</Words>
  <Characters>34617</Characters>
  <Application>Microsoft Office Word</Application>
  <DocSecurity>0</DocSecurity>
  <Lines>288</Lines>
  <Paragraphs>79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Isaac</dc:creator>
  <cp:lastModifiedBy>Donna Barnes</cp:lastModifiedBy>
  <cp:revision>3</cp:revision>
  <cp:lastPrinted>2021-02-12T14:40:00Z</cp:lastPrinted>
  <dcterms:created xsi:type="dcterms:W3CDTF">2021-02-12T10:17:00Z</dcterms:created>
  <dcterms:modified xsi:type="dcterms:W3CDTF">2021-02-12T14:41:00Z</dcterms:modified>
</cp:coreProperties>
</file>