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37D72" w14:textId="77777777" w:rsidR="002F0B70" w:rsidRPr="00D818FC" w:rsidRDefault="002F0B70" w:rsidP="00417BB1">
      <w:pPr>
        <w:pStyle w:val="Header"/>
        <w:rPr>
          <w:rFonts w:cs="Arial"/>
          <w:b/>
          <w:bCs/>
          <w:sz w:val="18"/>
          <w:szCs w:val="18"/>
        </w:rPr>
      </w:pPr>
    </w:p>
    <w:tbl>
      <w:tblPr>
        <w:tblStyle w:val="TableGrid"/>
        <w:tblW w:w="15344" w:type="dxa"/>
        <w:tblInd w:w="-601" w:type="dxa"/>
        <w:tblLook w:val="04A0" w:firstRow="1" w:lastRow="0" w:firstColumn="1" w:lastColumn="0" w:noHBand="0" w:noVBand="1"/>
      </w:tblPr>
      <w:tblGrid>
        <w:gridCol w:w="1230"/>
        <w:gridCol w:w="1535"/>
        <w:gridCol w:w="2634"/>
        <w:gridCol w:w="6537"/>
        <w:gridCol w:w="3408"/>
      </w:tblGrid>
      <w:tr w:rsidR="00D818FC" w:rsidRPr="001B34F0" w14:paraId="4EE525A0" w14:textId="77777777" w:rsidTr="00AE6638">
        <w:trPr>
          <w:trHeight w:val="470"/>
          <w:tblHeader/>
        </w:trPr>
        <w:tc>
          <w:tcPr>
            <w:tcW w:w="1230" w:type="dxa"/>
            <w:shd w:val="clear" w:color="auto" w:fill="D9D9D9" w:themeFill="background1" w:themeFillShade="D9"/>
            <w:vAlign w:val="center"/>
          </w:tcPr>
          <w:p w14:paraId="6AE07A7E" w14:textId="77777777" w:rsidR="00CA0CD9" w:rsidRPr="001B34F0" w:rsidRDefault="00CA0CD9" w:rsidP="00417BB1">
            <w:pPr>
              <w:pStyle w:val="Heading1"/>
              <w:spacing w:before="0" w:after="0"/>
              <w:rPr>
                <w:rFonts w:cs="Arial"/>
                <w:iCs/>
                <w:sz w:val="18"/>
                <w:szCs w:val="18"/>
              </w:rPr>
            </w:pPr>
            <w:r w:rsidRPr="001B34F0">
              <w:rPr>
                <w:rFonts w:cs="Arial"/>
                <w:iCs/>
                <w:sz w:val="18"/>
                <w:szCs w:val="18"/>
              </w:rPr>
              <w:t>Comment number</w:t>
            </w:r>
          </w:p>
        </w:tc>
        <w:tc>
          <w:tcPr>
            <w:tcW w:w="1535" w:type="dxa"/>
            <w:shd w:val="clear" w:color="auto" w:fill="D9D9D9" w:themeFill="background1" w:themeFillShade="D9"/>
            <w:vAlign w:val="center"/>
          </w:tcPr>
          <w:p w14:paraId="40C82C2F" w14:textId="77777777" w:rsidR="00CA0CD9" w:rsidRPr="001B34F0" w:rsidRDefault="00CA0CD9" w:rsidP="00417BB1">
            <w:pPr>
              <w:pStyle w:val="Heading1"/>
              <w:spacing w:before="0" w:after="0"/>
              <w:rPr>
                <w:rFonts w:cs="Arial"/>
                <w:iCs/>
                <w:sz w:val="18"/>
                <w:szCs w:val="18"/>
              </w:rPr>
            </w:pPr>
            <w:r w:rsidRPr="001B34F0">
              <w:rPr>
                <w:rFonts w:cs="Arial"/>
                <w:iCs/>
                <w:sz w:val="18"/>
                <w:szCs w:val="18"/>
              </w:rPr>
              <w:t>Name and organisation</w:t>
            </w:r>
          </w:p>
        </w:tc>
        <w:tc>
          <w:tcPr>
            <w:tcW w:w="2634" w:type="dxa"/>
            <w:shd w:val="clear" w:color="auto" w:fill="D9D9D9" w:themeFill="background1" w:themeFillShade="D9"/>
            <w:vAlign w:val="center"/>
          </w:tcPr>
          <w:p w14:paraId="5A53DD04" w14:textId="77777777" w:rsidR="00CA0CD9" w:rsidRPr="001B34F0" w:rsidRDefault="00CA0CD9" w:rsidP="00417BB1">
            <w:pPr>
              <w:pStyle w:val="Title"/>
              <w:spacing w:before="0" w:after="0"/>
              <w:jc w:val="left"/>
              <w:rPr>
                <w:rFonts w:cs="Arial"/>
                <w:iCs/>
                <w:sz w:val="18"/>
                <w:szCs w:val="18"/>
              </w:rPr>
            </w:pPr>
            <w:r w:rsidRPr="001B34F0">
              <w:rPr>
                <w:rFonts w:cs="Arial"/>
                <w:iCs/>
                <w:sz w:val="18"/>
                <w:szCs w:val="18"/>
              </w:rPr>
              <w:t>Section</w:t>
            </w:r>
            <w:r w:rsidR="002F0B70" w:rsidRPr="001B34F0">
              <w:rPr>
                <w:rFonts w:cs="Arial"/>
                <w:iCs/>
                <w:sz w:val="18"/>
                <w:szCs w:val="18"/>
              </w:rPr>
              <w:t xml:space="preserve"> </w:t>
            </w:r>
            <w:r w:rsidRPr="001B34F0">
              <w:rPr>
                <w:rFonts w:cs="Arial"/>
                <w:iCs/>
                <w:sz w:val="18"/>
                <w:szCs w:val="18"/>
              </w:rPr>
              <w:t>number</w:t>
            </w:r>
          </w:p>
        </w:tc>
        <w:tc>
          <w:tcPr>
            <w:tcW w:w="6537" w:type="dxa"/>
            <w:shd w:val="clear" w:color="auto" w:fill="D9D9D9" w:themeFill="background1" w:themeFillShade="D9"/>
            <w:vAlign w:val="center"/>
          </w:tcPr>
          <w:p w14:paraId="5E52C967" w14:textId="77777777" w:rsidR="00CA0CD9" w:rsidRPr="001B34F0" w:rsidRDefault="00CA0CD9" w:rsidP="00417BB1">
            <w:pPr>
              <w:pStyle w:val="Title"/>
              <w:tabs>
                <w:tab w:val="left" w:pos="3444"/>
              </w:tabs>
              <w:spacing w:before="0" w:after="0"/>
              <w:jc w:val="left"/>
              <w:rPr>
                <w:rFonts w:cs="Arial"/>
                <w:iCs/>
                <w:sz w:val="18"/>
                <w:szCs w:val="18"/>
              </w:rPr>
            </w:pPr>
            <w:r w:rsidRPr="001B34F0">
              <w:rPr>
                <w:rFonts w:cs="Arial"/>
                <w:iCs/>
                <w:sz w:val="18"/>
                <w:szCs w:val="18"/>
              </w:rPr>
              <w:t>Comment</w:t>
            </w:r>
            <w:r w:rsidRPr="001B34F0">
              <w:rPr>
                <w:rFonts w:cs="Arial"/>
                <w:iCs/>
                <w:sz w:val="18"/>
                <w:szCs w:val="18"/>
              </w:rPr>
              <w:tab/>
            </w:r>
          </w:p>
        </w:tc>
        <w:tc>
          <w:tcPr>
            <w:tcW w:w="3408" w:type="dxa"/>
            <w:shd w:val="clear" w:color="auto" w:fill="D9D9D9" w:themeFill="background1" w:themeFillShade="D9"/>
            <w:vAlign w:val="center"/>
          </w:tcPr>
          <w:p w14:paraId="2905644A" w14:textId="494B6F3D" w:rsidR="00CA0CD9" w:rsidRPr="001B34F0" w:rsidRDefault="00CA0CD9" w:rsidP="00417BB1">
            <w:pPr>
              <w:pStyle w:val="Title"/>
              <w:spacing w:before="0" w:after="0"/>
              <w:jc w:val="left"/>
              <w:rPr>
                <w:rFonts w:cs="Arial"/>
                <w:iCs/>
                <w:sz w:val="18"/>
                <w:szCs w:val="18"/>
              </w:rPr>
            </w:pPr>
            <w:r w:rsidRPr="001B34F0">
              <w:rPr>
                <w:rFonts w:cs="Arial"/>
                <w:iCs/>
                <w:sz w:val="18"/>
                <w:szCs w:val="18"/>
              </w:rPr>
              <w:t>NICE</w:t>
            </w:r>
            <w:r w:rsidR="0029718F">
              <w:rPr>
                <w:rFonts w:cs="Arial"/>
                <w:iCs/>
                <w:sz w:val="18"/>
                <w:szCs w:val="18"/>
              </w:rPr>
              <w:t xml:space="preserve"> response</w:t>
            </w:r>
          </w:p>
        </w:tc>
      </w:tr>
      <w:tr w:rsidR="00CD450B" w:rsidRPr="001B34F0" w14:paraId="41868E36" w14:textId="77777777" w:rsidTr="00AE6638">
        <w:trPr>
          <w:trHeight w:val="470"/>
        </w:trPr>
        <w:tc>
          <w:tcPr>
            <w:tcW w:w="1230" w:type="dxa"/>
          </w:tcPr>
          <w:p w14:paraId="47E1548D" w14:textId="77777777" w:rsidR="00CA0CD9" w:rsidRPr="001B34F0" w:rsidRDefault="001B0995" w:rsidP="00417BB1">
            <w:pPr>
              <w:rPr>
                <w:rFonts w:ascii="Arial" w:hAnsi="Arial" w:cs="Arial"/>
                <w:sz w:val="18"/>
                <w:szCs w:val="18"/>
              </w:rPr>
            </w:pPr>
            <w:r w:rsidRPr="001B34F0">
              <w:rPr>
                <w:rFonts w:ascii="Arial" w:hAnsi="Arial" w:cs="Arial"/>
                <w:sz w:val="18"/>
                <w:szCs w:val="18"/>
              </w:rPr>
              <w:t>1</w:t>
            </w:r>
          </w:p>
        </w:tc>
        <w:tc>
          <w:tcPr>
            <w:tcW w:w="1535" w:type="dxa"/>
          </w:tcPr>
          <w:p w14:paraId="2A756E81" w14:textId="3F103ABC" w:rsidR="00CA0CD9" w:rsidRPr="001B34F0" w:rsidRDefault="00CC3175" w:rsidP="00417BB1">
            <w:pPr>
              <w:rPr>
                <w:rFonts w:ascii="Arial" w:hAnsi="Arial" w:cs="Arial"/>
                <w:sz w:val="18"/>
                <w:szCs w:val="18"/>
              </w:rPr>
            </w:pPr>
            <w:r w:rsidRPr="001B34F0">
              <w:rPr>
                <w:rFonts w:ascii="Arial" w:hAnsi="Arial" w:cs="Arial"/>
                <w:sz w:val="18"/>
                <w:szCs w:val="18"/>
              </w:rPr>
              <w:t>Global Kinetics Corporation</w:t>
            </w:r>
          </w:p>
        </w:tc>
        <w:tc>
          <w:tcPr>
            <w:tcW w:w="2634" w:type="dxa"/>
          </w:tcPr>
          <w:p w14:paraId="761D1710" w14:textId="55066260" w:rsidR="00CA0CD9" w:rsidRPr="001B34F0" w:rsidRDefault="00CC3175" w:rsidP="00417BB1">
            <w:pPr>
              <w:rPr>
                <w:rFonts w:ascii="Arial" w:hAnsi="Arial" w:cs="Arial"/>
                <w:sz w:val="18"/>
                <w:szCs w:val="18"/>
              </w:rPr>
            </w:pPr>
            <w:r w:rsidRPr="001B34F0">
              <w:rPr>
                <w:rFonts w:ascii="Arial" w:hAnsi="Arial" w:cs="Arial"/>
                <w:sz w:val="18"/>
                <w:szCs w:val="18"/>
              </w:rPr>
              <w:t>3.6 There is limited evidence on how much technologies can improve symptoms or health-related quality of life</w:t>
            </w:r>
          </w:p>
        </w:tc>
        <w:tc>
          <w:tcPr>
            <w:tcW w:w="6537" w:type="dxa"/>
          </w:tcPr>
          <w:p w14:paraId="4DF7823F" w14:textId="77777777" w:rsidR="00CC3175" w:rsidRPr="001B34F0" w:rsidRDefault="00CC3175" w:rsidP="00417BB1">
            <w:pPr>
              <w:rPr>
                <w:rFonts w:ascii="Arial" w:hAnsi="Arial" w:cs="Arial"/>
                <w:sz w:val="18"/>
                <w:szCs w:val="18"/>
              </w:rPr>
            </w:pPr>
            <w:r w:rsidRPr="001B34F0">
              <w:rPr>
                <w:rFonts w:ascii="Arial" w:hAnsi="Arial" w:cs="Arial"/>
                <w:sz w:val="18"/>
                <w:szCs w:val="18"/>
              </w:rPr>
              <w:t>The Woodrow et al. 2020 study – a large, comparative, blinded, controlled trial, published in a respected journal (impact factor &gt;6), is one of 57 published papers on the PKG. Despite this, it is noted that the report is critical of the Woodrow et al. 2020 study. To remove any potential confusion around the benefits and outcomes shown in the study, some important clarifications are detailed below.</w:t>
            </w:r>
          </w:p>
          <w:p w14:paraId="2B4C8C72" w14:textId="77777777" w:rsidR="00CC3175" w:rsidRPr="001B34F0" w:rsidRDefault="00CC3175" w:rsidP="00417BB1">
            <w:pPr>
              <w:rPr>
                <w:rFonts w:ascii="Arial" w:hAnsi="Arial" w:cs="Arial"/>
                <w:sz w:val="18"/>
                <w:szCs w:val="18"/>
              </w:rPr>
            </w:pPr>
          </w:p>
          <w:p w14:paraId="32B4B7EC" w14:textId="77777777" w:rsidR="00CC3175" w:rsidRPr="001B34F0" w:rsidRDefault="00CC3175" w:rsidP="00417BB1">
            <w:pPr>
              <w:rPr>
                <w:rFonts w:ascii="Arial" w:hAnsi="Arial" w:cs="Arial"/>
                <w:sz w:val="18"/>
                <w:szCs w:val="18"/>
              </w:rPr>
            </w:pPr>
            <w:r w:rsidRPr="001B34F0">
              <w:rPr>
                <w:rFonts w:ascii="Arial" w:hAnsi="Arial" w:cs="Arial"/>
                <w:sz w:val="18"/>
                <w:szCs w:val="18"/>
              </w:rPr>
              <w:t>The report specifically challenges the frequency of PKG use with the statement:</w:t>
            </w:r>
          </w:p>
          <w:p w14:paraId="5A00AFA6" w14:textId="77777777" w:rsidR="00CC3175" w:rsidRPr="001B34F0" w:rsidRDefault="00CC3175" w:rsidP="00417BB1">
            <w:pPr>
              <w:rPr>
                <w:rFonts w:ascii="Arial" w:hAnsi="Arial" w:cs="Arial"/>
                <w:sz w:val="18"/>
                <w:szCs w:val="18"/>
              </w:rPr>
            </w:pPr>
          </w:p>
          <w:p w14:paraId="675F681E" w14:textId="77777777" w:rsidR="00CC3175" w:rsidRPr="001B34F0" w:rsidRDefault="00CC3175" w:rsidP="00417BB1">
            <w:pPr>
              <w:rPr>
                <w:rFonts w:ascii="Arial" w:hAnsi="Arial" w:cs="Arial"/>
                <w:sz w:val="18"/>
                <w:szCs w:val="18"/>
              </w:rPr>
            </w:pPr>
            <w:r w:rsidRPr="001B34F0">
              <w:rPr>
                <w:rFonts w:ascii="Arial" w:hAnsi="Arial" w:cs="Arial"/>
                <w:sz w:val="18"/>
                <w:szCs w:val="18"/>
              </w:rPr>
              <w:t>“</w:t>
            </w:r>
            <w:proofErr w:type="gramStart"/>
            <w:r w:rsidRPr="001B34F0">
              <w:rPr>
                <w:rFonts w:ascii="Arial" w:hAnsi="Arial" w:cs="Arial"/>
                <w:sz w:val="18"/>
                <w:szCs w:val="18"/>
              </w:rPr>
              <w:t>clinical</w:t>
            </w:r>
            <w:proofErr w:type="gramEnd"/>
            <w:r w:rsidRPr="001B34F0">
              <w:rPr>
                <w:rFonts w:ascii="Arial" w:hAnsi="Arial" w:cs="Arial"/>
                <w:sz w:val="18"/>
                <w:szCs w:val="18"/>
              </w:rPr>
              <w:t xml:space="preserve"> experts pointed out that the PKG was used every 5 weeks in the Woodrow et al. study, which would not be realistic in the NHS…”.</w:t>
            </w:r>
          </w:p>
          <w:p w14:paraId="522A278E" w14:textId="77777777" w:rsidR="00CC3175" w:rsidRPr="001B34F0" w:rsidRDefault="00CC3175" w:rsidP="00417BB1">
            <w:pPr>
              <w:rPr>
                <w:rFonts w:ascii="Arial" w:hAnsi="Arial" w:cs="Arial"/>
                <w:sz w:val="18"/>
                <w:szCs w:val="18"/>
              </w:rPr>
            </w:pPr>
          </w:p>
          <w:p w14:paraId="363C5890" w14:textId="77777777" w:rsidR="00CC3175" w:rsidRPr="001B34F0" w:rsidRDefault="00CC3175" w:rsidP="00417BB1">
            <w:pPr>
              <w:rPr>
                <w:rFonts w:ascii="Arial" w:hAnsi="Arial" w:cs="Arial"/>
                <w:sz w:val="18"/>
                <w:szCs w:val="18"/>
              </w:rPr>
            </w:pPr>
            <w:r w:rsidRPr="001B34F0">
              <w:rPr>
                <w:rFonts w:ascii="Arial" w:hAnsi="Arial" w:cs="Arial"/>
                <w:sz w:val="18"/>
                <w:szCs w:val="18"/>
              </w:rPr>
              <w:t xml:space="preserve">It should be emphasised that the Woodrow paper demonstrated the PKG arm had better outcomes when compared to the control arm – with both study arms having the same 5-week frequency of follow-up. The 5-week follow-up was a design constraint of the protocol but show that consistent use of the PKG to augment clinical decision-making resulted in improved quality of life patient outcomes.  Therefore, it is the clinical assessment made using the objective measurements during follow-up which results in the benefit, not the frequency of the visit.  The study demonstrated that there was a statistically significant difference and clinically significant improvement in the PKG arm vs the control arm.  The findings of this study show that when the objective measurements of the PKG are utilised in treating towards a target range with consistent therapeutic adjustments (e.g., medication adjustments) as indicated by trained clinicians then uncontrolled PD symptoms improve as measured by standard PD assessments (e.g., MDS-UPDRS).  </w:t>
            </w:r>
          </w:p>
          <w:p w14:paraId="441E6E52" w14:textId="77777777" w:rsidR="00CC3175" w:rsidRPr="001B34F0" w:rsidRDefault="00CC3175" w:rsidP="00417BB1">
            <w:pPr>
              <w:rPr>
                <w:rFonts w:ascii="Arial" w:hAnsi="Arial" w:cs="Arial"/>
                <w:sz w:val="18"/>
                <w:szCs w:val="18"/>
              </w:rPr>
            </w:pPr>
          </w:p>
          <w:p w14:paraId="5E7B09BE" w14:textId="77777777" w:rsidR="00CC3175" w:rsidRPr="001B34F0" w:rsidRDefault="00CC3175" w:rsidP="00417BB1">
            <w:pPr>
              <w:rPr>
                <w:rFonts w:ascii="Arial" w:hAnsi="Arial" w:cs="Arial"/>
                <w:sz w:val="18"/>
                <w:szCs w:val="18"/>
              </w:rPr>
            </w:pPr>
            <w:r w:rsidRPr="001B34F0">
              <w:rPr>
                <w:rFonts w:ascii="Arial" w:hAnsi="Arial" w:cs="Arial"/>
                <w:sz w:val="18"/>
                <w:szCs w:val="18"/>
              </w:rPr>
              <w:t xml:space="preserve">The purpose of the technology is to provide clinical insight that might otherwise be missed, with subsequent action taken by the clinician based on the individual data of the patient (e.g., change in medication); that action continues until the patient is optimised/controlled. The speed at which this management is done, directly correlates to how quickly the patient moves towards a controlled state, thereby reducing the risk of a costly adverse event. This point is also echoed in section 3.5 Clinical effectiveness “a potential benefit of the technologies is that they may more accurately evaluate symptoms than patient recall or clinical opinion, so a reference standard based on this could underestimate technology performance”. Furthermore, section 2.2 of the Diagnostic Consultation document states “more frequent follow ups may be needed to optimise dosage or for people who need more advanced treatments”. </w:t>
            </w:r>
          </w:p>
          <w:p w14:paraId="3131A294" w14:textId="77777777" w:rsidR="00CC3175" w:rsidRPr="001B34F0" w:rsidRDefault="00CC3175" w:rsidP="00417BB1">
            <w:pPr>
              <w:rPr>
                <w:rFonts w:ascii="Arial" w:hAnsi="Arial" w:cs="Arial"/>
                <w:sz w:val="18"/>
                <w:szCs w:val="18"/>
              </w:rPr>
            </w:pPr>
          </w:p>
          <w:p w14:paraId="5836D876" w14:textId="77777777" w:rsidR="00CC3175" w:rsidRPr="001B34F0" w:rsidRDefault="00CC3175" w:rsidP="00417BB1">
            <w:pPr>
              <w:rPr>
                <w:rFonts w:ascii="Arial" w:hAnsi="Arial" w:cs="Arial"/>
                <w:sz w:val="18"/>
                <w:szCs w:val="18"/>
              </w:rPr>
            </w:pPr>
            <w:r w:rsidRPr="001B34F0">
              <w:rPr>
                <w:rFonts w:ascii="Arial" w:hAnsi="Arial" w:cs="Arial"/>
                <w:sz w:val="18"/>
                <w:szCs w:val="18"/>
              </w:rPr>
              <w:t xml:space="preserve">Additionally, NICE carried out a medical information briefing (MIB) on the PKG, published 4th May 2021. None of the other devices included in this DAP assessment have completed a MIB. The MIB confirmed that the PKG evidence was compelling and provides validated measures </w:t>
            </w:r>
            <w:proofErr w:type="gramStart"/>
            <w:r w:rsidRPr="001B34F0">
              <w:rPr>
                <w:rFonts w:ascii="Arial" w:hAnsi="Arial" w:cs="Arial"/>
                <w:sz w:val="18"/>
                <w:szCs w:val="18"/>
              </w:rPr>
              <w:t>of  PD</w:t>
            </w:r>
            <w:proofErr w:type="gramEnd"/>
            <w:r w:rsidRPr="001B34F0">
              <w:rPr>
                <w:rFonts w:ascii="Arial" w:hAnsi="Arial" w:cs="Arial"/>
                <w:sz w:val="18"/>
                <w:szCs w:val="18"/>
              </w:rPr>
              <w:t xml:space="preserve"> symptoms including bradykinesia, dyskinesia, tremor immobility and fluctuation. It was </w:t>
            </w:r>
            <w:proofErr w:type="gramStart"/>
            <w:r w:rsidRPr="001B34F0">
              <w:rPr>
                <w:rFonts w:ascii="Arial" w:hAnsi="Arial" w:cs="Arial"/>
                <w:sz w:val="18"/>
                <w:szCs w:val="18"/>
              </w:rPr>
              <w:t>on the basis of</w:t>
            </w:r>
            <w:proofErr w:type="gramEnd"/>
            <w:r w:rsidRPr="001B34F0">
              <w:rPr>
                <w:rFonts w:ascii="Arial" w:hAnsi="Arial" w:cs="Arial"/>
                <w:sz w:val="18"/>
                <w:szCs w:val="18"/>
              </w:rPr>
              <w:t xml:space="preserve"> the MIB review that the NICE team believed the PKG should progress to the Diagnostic Assessment Programme (DAP).  </w:t>
            </w:r>
          </w:p>
          <w:p w14:paraId="4B1B18C2" w14:textId="77777777" w:rsidR="00CC3175" w:rsidRPr="001B34F0" w:rsidRDefault="00CC3175" w:rsidP="00417BB1">
            <w:pPr>
              <w:rPr>
                <w:rFonts w:ascii="Arial" w:hAnsi="Arial" w:cs="Arial"/>
                <w:sz w:val="18"/>
                <w:szCs w:val="18"/>
              </w:rPr>
            </w:pPr>
          </w:p>
          <w:p w14:paraId="550AB699" w14:textId="0776C2EB" w:rsidR="00CA0CD9" w:rsidRPr="001B34F0" w:rsidRDefault="00CC3175" w:rsidP="00417BB1">
            <w:pPr>
              <w:rPr>
                <w:rFonts w:ascii="Arial" w:hAnsi="Arial" w:cs="Arial"/>
                <w:sz w:val="18"/>
                <w:szCs w:val="18"/>
              </w:rPr>
            </w:pPr>
            <w:r w:rsidRPr="001B34F0">
              <w:rPr>
                <w:rFonts w:ascii="Arial" w:hAnsi="Arial" w:cs="Arial"/>
                <w:sz w:val="18"/>
                <w:szCs w:val="18"/>
              </w:rPr>
              <w:t xml:space="preserve">Global Kinetics’ pushback to the comment that Woodrow et al is unrealistic in an NHS setting, is that the study does have relevance to the NHS – it met its primary endpoint, demonstrating PKG as a device proven to bring value to patients, clinicians, and carers alike.    </w:t>
            </w:r>
          </w:p>
        </w:tc>
        <w:tc>
          <w:tcPr>
            <w:tcW w:w="3408" w:type="dxa"/>
          </w:tcPr>
          <w:p w14:paraId="6F0601C2" w14:textId="00612844" w:rsidR="00E15DB8" w:rsidRPr="001B34F0" w:rsidRDefault="00AF1738" w:rsidP="0029718F">
            <w:pPr>
              <w:pStyle w:val="Title"/>
              <w:spacing w:before="0"/>
              <w:jc w:val="left"/>
              <w:rPr>
                <w:rFonts w:cs="Arial"/>
                <w:b w:val="0"/>
                <w:iCs/>
                <w:sz w:val="18"/>
                <w:szCs w:val="18"/>
              </w:rPr>
            </w:pPr>
            <w:r w:rsidRPr="001B34F0">
              <w:rPr>
                <w:rFonts w:cs="Arial"/>
                <w:b w:val="0"/>
                <w:iCs/>
                <w:sz w:val="18"/>
                <w:szCs w:val="18"/>
              </w:rPr>
              <w:lastRenderedPageBreak/>
              <w:t>Thank you for your comment which the committee considered.</w:t>
            </w:r>
          </w:p>
          <w:p w14:paraId="209B9378" w14:textId="2C66EE88" w:rsidR="00417BB1" w:rsidRPr="001B34F0" w:rsidRDefault="00E15DB8" w:rsidP="005B0A21">
            <w:pPr>
              <w:pStyle w:val="Title"/>
              <w:jc w:val="left"/>
              <w:rPr>
                <w:rFonts w:cs="Arial"/>
                <w:b w:val="0"/>
                <w:iCs/>
                <w:sz w:val="18"/>
                <w:szCs w:val="18"/>
              </w:rPr>
            </w:pPr>
            <w:r w:rsidRPr="001B34F0">
              <w:rPr>
                <w:rFonts w:cs="Arial"/>
                <w:b w:val="0"/>
                <w:iCs/>
                <w:sz w:val="18"/>
                <w:szCs w:val="18"/>
              </w:rPr>
              <w:t>The EAG</w:t>
            </w:r>
            <w:r w:rsidR="0029718F">
              <w:rPr>
                <w:rFonts w:cs="Arial"/>
                <w:b w:val="0"/>
                <w:iCs/>
                <w:sz w:val="18"/>
                <w:szCs w:val="18"/>
              </w:rPr>
              <w:t xml:space="preserve"> commented that </w:t>
            </w:r>
            <w:r w:rsidRPr="001B34F0">
              <w:rPr>
                <w:rFonts w:cs="Arial"/>
                <w:b w:val="0"/>
                <w:iCs/>
                <w:sz w:val="18"/>
                <w:szCs w:val="18"/>
              </w:rPr>
              <w:t>the results of a trial where assessments are performed every five weeks cannot be assumed to apply if assessments were only every six or twelve months, particularly as a longer interval would give less opportunity to modify levodopa doses.</w:t>
            </w:r>
            <w:r w:rsidR="00417BB1" w:rsidRPr="001B34F0">
              <w:rPr>
                <w:rFonts w:cs="Arial"/>
                <w:b w:val="0"/>
                <w:iCs/>
                <w:sz w:val="18"/>
                <w:szCs w:val="18"/>
              </w:rPr>
              <w:t xml:space="preserve"> </w:t>
            </w:r>
            <w:r w:rsidRPr="001B34F0">
              <w:rPr>
                <w:rFonts w:cs="Arial"/>
                <w:b w:val="0"/>
                <w:iCs/>
                <w:sz w:val="18"/>
                <w:szCs w:val="18"/>
              </w:rPr>
              <w:t>The EAG note</w:t>
            </w:r>
            <w:r w:rsidR="005B0A21" w:rsidRPr="001B34F0">
              <w:rPr>
                <w:rFonts w:cs="Arial"/>
                <w:b w:val="0"/>
                <w:iCs/>
                <w:sz w:val="18"/>
                <w:szCs w:val="18"/>
              </w:rPr>
              <w:t>d</w:t>
            </w:r>
            <w:r w:rsidRPr="001B34F0">
              <w:rPr>
                <w:rFonts w:cs="Arial"/>
                <w:b w:val="0"/>
                <w:iCs/>
                <w:sz w:val="18"/>
                <w:szCs w:val="18"/>
              </w:rPr>
              <w:t xml:space="preserve"> that if PKG assessments were only every six months then there would presumably be a consequent delay in controlling a patient’s condition, with less certainty that adverse events could be prevented.</w:t>
            </w:r>
            <w:r w:rsidR="00417BB1" w:rsidRPr="001B34F0">
              <w:rPr>
                <w:rFonts w:cs="Arial"/>
                <w:b w:val="0"/>
                <w:iCs/>
                <w:sz w:val="18"/>
                <w:szCs w:val="18"/>
              </w:rPr>
              <w:t xml:space="preserve"> </w:t>
            </w:r>
          </w:p>
          <w:p w14:paraId="292C7C10" w14:textId="77777777" w:rsidR="00417BB1" w:rsidRPr="001B34F0" w:rsidRDefault="00417BB1" w:rsidP="00417BB1">
            <w:pPr>
              <w:pStyle w:val="Title"/>
              <w:spacing w:before="0" w:after="0"/>
              <w:jc w:val="left"/>
              <w:rPr>
                <w:rFonts w:cs="Arial"/>
                <w:b w:val="0"/>
                <w:iCs/>
                <w:sz w:val="18"/>
                <w:szCs w:val="18"/>
              </w:rPr>
            </w:pPr>
          </w:p>
          <w:p w14:paraId="170BFA1B" w14:textId="6B2618A2" w:rsidR="00CA0CD9" w:rsidRPr="001B34F0" w:rsidRDefault="0029718F" w:rsidP="00417BB1">
            <w:pPr>
              <w:pStyle w:val="Title"/>
              <w:spacing w:before="0" w:after="0"/>
              <w:jc w:val="left"/>
              <w:rPr>
                <w:rFonts w:cs="Arial"/>
                <w:b w:val="0"/>
                <w:iCs/>
                <w:sz w:val="18"/>
                <w:szCs w:val="18"/>
              </w:rPr>
            </w:pPr>
            <w:r>
              <w:rPr>
                <w:rFonts w:cs="Arial"/>
                <w:b w:val="0"/>
                <w:iCs/>
                <w:sz w:val="18"/>
                <w:szCs w:val="18"/>
              </w:rPr>
              <w:t>As noted in the consultation comment, c</w:t>
            </w:r>
            <w:r w:rsidRPr="0029718F">
              <w:rPr>
                <w:rFonts w:cs="Arial"/>
                <w:b w:val="0"/>
                <w:iCs/>
                <w:sz w:val="18"/>
                <w:szCs w:val="18"/>
              </w:rPr>
              <w:t xml:space="preserve">linical experts </w:t>
            </w:r>
            <w:r>
              <w:rPr>
                <w:rFonts w:cs="Arial"/>
                <w:b w:val="0"/>
                <w:iCs/>
                <w:sz w:val="18"/>
                <w:szCs w:val="18"/>
              </w:rPr>
              <w:t>stated</w:t>
            </w:r>
            <w:r w:rsidRPr="0029718F">
              <w:rPr>
                <w:rFonts w:cs="Arial"/>
                <w:b w:val="0"/>
                <w:iCs/>
                <w:sz w:val="18"/>
                <w:szCs w:val="18"/>
              </w:rPr>
              <w:t xml:space="preserve"> PKG </w:t>
            </w:r>
            <w:r>
              <w:rPr>
                <w:rFonts w:cs="Arial"/>
                <w:b w:val="0"/>
                <w:iCs/>
                <w:sz w:val="18"/>
                <w:szCs w:val="18"/>
              </w:rPr>
              <w:t>use</w:t>
            </w:r>
            <w:r w:rsidRPr="0029718F">
              <w:rPr>
                <w:rFonts w:cs="Arial"/>
                <w:b w:val="0"/>
                <w:iCs/>
                <w:sz w:val="18"/>
                <w:szCs w:val="18"/>
              </w:rPr>
              <w:t xml:space="preserve"> every 5 weeks</w:t>
            </w:r>
            <w:r>
              <w:rPr>
                <w:rFonts w:cs="Arial"/>
                <w:b w:val="0"/>
                <w:iCs/>
                <w:sz w:val="18"/>
                <w:szCs w:val="18"/>
              </w:rPr>
              <w:t>, as</w:t>
            </w:r>
            <w:r w:rsidRPr="0029718F">
              <w:rPr>
                <w:rFonts w:cs="Arial"/>
                <w:b w:val="0"/>
                <w:iCs/>
                <w:sz w:val="18"/>
                <w:szCs w:val="18"/>
              </w:rPr>
              <w:t xml:space="preserve"> in the Woodrow et al. study, would not be realistic in the NHS</w:t>
            </w:r>
            <w:r>
              <w:rPr>
                <w:rFonts w:cs="Arial"/>
                <w:b w:val="0"/>
                <w:iCs/>
                <w:sz w:val="18"/>
                <w:szCs w:val="18"/>
              </w:rPr>
              <w:t xml:space="preserve"> (see section 3.6 of the diagnostics guidance document)</w:t>
            </w:r>
            <w:r w:rsidRPr="0029718F">
              <w:rPr>
                <w:rFonts w:cs="Arial"/>
                <w:b w:val="0"/>
                <w:iCs/>
                <w:sz w:val="18"/>
                <w:szCs w:val="18"/>
              </w:rPr>
              <w:t>.</w:t>
            </w:r>
            <w:r>
              <w:rPr>
                <w:rFonts w:cs="Arial"/>
                <w:b w:val="0"/>
                <w:iCs/>
                <w:sz w:val="18"/>
                <w:szCs w:val="18"/>
              </w:rPr>
              <w:t xml:space="preserve"> </w:t>
            </w:r>
            <w:r w:rsidR="005B0A21" w:rsidRPr="001B34F0">
              <w:rPr>
                <w:rFonts w:cs="Arial"/>
                <w:b w:val="0"/>
                <w:iCs/>
                <w:sz w:val="18"/>
                <w:szCs w:val="18"/>
              </w:rPr>
              <w:t xml:space="preserve">The committee agreed that the Woodrow trial did not reflect the </w:t>
            </w:r>
            <w:r w:rsidR="005B0A21" w:rsidRPr="001B34F0">
              <w:rPr>
                <w:rFonts w:cs="Arial"/>
                <w:b w:val="0"/>
                <w:iCs/>
                <w:sz w:val="18"/>
                <w:szCs w:val="18"/>
              </w:rPr>
              <w:lastRenderedPageBreak/>
              <w:t>likely frequency of use of the device in the NHS</w:t>
            </w:r>
            <w:r>
              <w:rPr>
                <w:rFonts w:cs="Arial"/>
                <w:b w:val="0"/>
                <w:iCs/>
                <w:sz w:val="18"/>
                <w:szCs w:val="18"/>
              </w:rPr>
              <w:t xml:space="preserve">. </w:t>
            </w:r>
            <w:r w:rsidR="005B0A21" w:rsidRPr="001B34F0">
              <w:rPr>
                <w:rFonts w:cs="Arial"/>
                <w:b w:val="0"/>
                <w:iCs/>
                <w:sz w:val="18"/>
                <w:szCs w:val="18"/>
              </w:rPr>
              <w:t xml:space="preserve"> </w:t>
            </w:r>
            <w:r w:rsidR="00925DEA">
              <w:rPr>
                <w:rFonts w:cs="Arial"/>
                <w:b w:val="0"/>
                <w:iCs/>
                <w:sz w:val="18"/>
                <w:szCs w:val="18"/>
              </w:rPr>
              <w:t>Therefore, while considering the data reported in Woodrow et al. in its decision-making (as described in</w:t>
            </w:r>
            <w:r w:rsidR="00925DEA" w:rsidRPr="00925DEA">
              <w:rPr>
                <w:rFonts w:cs="Arial"/>
                <w:b w:val="0"/>
                <w:iCs/>
                <w:sz w:val="18"/>
                <w:szCs w:val="18"/>
              </w:rPr>
              <w:t xml:space="preserve"> section 3.6 of the diagnostics guidance document</w:t>
            </w:r>
            <w:r w:rsidR="00925DEA">
              <w:rPr>
                <w:rFonts w:cs="Arial"/>
                <w:b w:val="0"/>
                <w:iCs/>
                <w:sz w:val="18"/>
                <w:szCs w:val="18"/>
              </w:rPr>
              <w:t>), the committee concluded t</w:t>
            </w:r>
            <w:r w:rsidR="00925DEA" w:rsidRPr="00925DEA">
              <w:rPr>
                <w:rFonts w:cs="Arial"/>
                <w:b w:val="0"/>
                <w:iCs/>
                <w:sz w:val="18"/>
                <w:szCs w:val="18"/>
              </w:rPr>
              <w:t>here is limited evidence on how much the technologies can improve symptoms or health-related quality of life</w:t>
            </w:r>
            <w:r w:rsidR="00925DEA">
              <w:rPr>
                <w:rFonts w:cs="Arial"/>
                <w:b w:val="0"/>
                <w:iCs/>
                <w:sz w:val="18"/>
                <w:szCs w:val="18"/>
              </w:rPr>
              <w:t xml:space="preserve">, and further data is needed for all technologies on this (see section </w:t>
            </w:r>
            <w:r w:rsidR="00925DEA" w:rsidRPr="00925DEA">
              <w:rPr>
                <w:rFonts w:cs="Arial"/>
                <w:b w:val="0"/>
                <w:iCs/>
                <w:sz w:val="18"/>
                <w:szCs w:val="18"/>
              </w:rPr>
              <w:t>3.</w:t>
            </w:r>
            <w:r w:rsidR="00925DEA">
              <w:rPr>
                <w:rFonts w:cs="Arial"/>
                <w:b w:val="0"/>
                <w:iCs/>
                <w:sz w:val="18"/>
                <w:szCs w:val="18"/>
              </w:rPr>
              <w:t>15</w:t>
            </w:r>
            <w:r w:rsidR="00925DEA" w:rsidRPr="00925DEA">
              <w:rPr>
                <w:rFonts w:cs="Arial"/>
                <w:b w:val="0"/>
                <w:iCs/>
                <w:sz w:val="18"/>
                <w:szCs w:val="18"/>
              </w:rPr>
              <w:t xml:space="preserve"> of the diagnostics guidance document</w:t>
            </w:r>
            <w:r w:rsidR="00925DEA">
              <w:rPr>
                <w:rFonts w:cs="Arial"/>
                <w:b w:val="0"/>
                <w:iCs/>
                <w:sz w:val="18"/>
                <w:szCs w:val="18"/>
              </w:rPr>
              <w:t xml:space="preserve">). </w:t>
            </w:r>
            <w:r w:rsidR="00925DEA" w:rsidRPr="00925DEA" w:rsidDel="0029718F">
              <w:rPr>
                <w:rFonts w:cs="Arial"/>
                <w:b w:val="0"/>
                <w:iCs/>
                <w:sz w:val="18"/>
                <w:szCs w:val="18"/>
              </w:rPr>
              <w:t xml:space="preserve"> </w:t>
            </w:r>
            <w:r w:rsidR="005B0A21" w:rsidRPr="001B34F0">
              <w:rPr>
                <w:rFonts w:cs="Arial"/>
                <w:b w:val="0"/>
                <w:iCs/>
                <w:sz w:val="18"/>
                <w:szCs w:val="18"/>
              </w:rPr>
              <w:t>.</w:t>
            </w:r>
          </w:p>
        </w:tc>
      </w:tr>
      <w:tr w:rsidR="00CD450B" w:rsidRPr="001B34F0" w14:paraId="589CC20A" w14:textId="77777777" w:rsidTr="00AE6638">
        <w:trPr>
          <w:trHeight w:val="470"/>
        </w:trPr>
        <w:tc>
          <w:tcPr>
            <w:tcW w:w="1230" w:type="dxa"/>
          </w:tcPr>
          <w:p w14:paraId="620A947E" w14:textId="112BF8A0" w:rsidR="00CA0CD9" w:rsidRPr="001B34F0" w:rsidRDefault="00CC3175" w:rsidP="00417BB1">
            <w:pPr>
              <w:rPr>
                <w:rFonts w:ascii="Arial" w:hAnsi="Arial" w:cs="Arial"/>
                <w:sz w:val="18"/>
                <w:szCs w:val="18"/>
              </w:rPr>
            </w:pPr>
            <w:r w:rsidRPr="001B34F0">
              <w:rPr>
                <w:rFonts w:ascii="Arial" w:hAnsi="Arial" w:cs="Arial"/>
                <w:sz w:val="18"/>
                <w:szCs w:val="18"/>
              </w:rPr>
              <w:lastRenderedPageBreak/>
              <w:t>2</w:t>
            </w:r>
          </w:p>
        </w:tc>
        <w:tc>
          <w:tcPr>
            <w:tcW w:w="1535" w:type="dxa"/>
          </w:tcPr>
          <w:p w14:paraId="4AEF8EAC" w14:textId="655A5046" w:rsidR="00CA0CD9" w:rsidRPr="001B34F0" w:rsidRDefault="00CC3175" w:rsidP="00417BB1">
            <w:pPr>
              <w:rPr>
                <w:rFonts w:ascii="Arial" w:hAnsi="Arial" w:cs="Arial"/>
                <w:sz w:val="18"/>
                <w:szCs w:val="18"/>
              </w:rPr>
            </w:pPr>
            <w:r w:rsidRPr="001B34F0">
              <w:rPr>
                <w:rFonts w:ascii="Arial" w:hAnsi="Arial" w:cs="Arial"/>
                <w:sz w:val="18"/>
                <w:szCs w:val="18"/>
              </w:rPr>
              <w:t>Parkinson’s UK (web comment)</w:t>
            </w:r>
          </w:p>
        </w:tc>
        <w:tc>
          <w:tcPr>
            <w:tcW w:w="2634" w:type="dxa"/>
          </w:tcPr>
          <w:p w14:paraId="634141B6" w14:textId="6ED5E68E" w:rsidR="00CA0CD9" w:rsidRPr="001B34F0" w:rsidRDefault="00CC3175" w:rsidP="00417BB1">
            <w:pPr>
              <w:rPr>
                <w:rFonts w:ascii="Arial" w:hAnsi="Arial" w:cs="Arial"/>
                <w:sz w:val="18"/>
                <w:szCs w:val="18"/>
              </w:rPr>
            </w:pPr>
            <w:r w:rsidRPr="001B34F0">
              <w:rPr>
                <w:rFonts w:ascii="Arial" w:hAnsi="Arial" w:cs="Arial"/>
                <w:sz w:val="18"/>
                <w:szCs w:val="18"/>
              </w:rPr>
              <w:t>1.3</w:t>
            </w:r>
            <w:r w:rsidRPr="001B34F0">
              <w:rPr>
                <w:rFonts w:ascii="Arial" w:hAnsi="Arial" w:cs="Arial"/>
                <w:sz w:val="18"/>
                <w:szCs w:val="18"/>
              </w:rPr>
              <w:tab/>
              <w:t xml:space="preserve">“The largest amount of evidence is for PKG, but its generalisability to the NHS is not certain because in the main trial more </w:t>
            </w:r>
            <w:proofErr w:type="spellStart"/>
            <w:r w:rsidRPr="001B34F0">
              <w:rPr>
                <w:rFonts w:ascii="Arial" w:hAnsi="Arial" w:cs="Arial"/>
                <w:sz w:val="18"/>
                <w:szCs w:val="18"/>
              </w:rPr>
              <w:t>check ups</w:t>
            </w:r>
            <w:proofErr w:type="spellEnd"/>
            <w:r w:rsidRPr="001B34F0">
              <w:rPr>
                <w:rFonts w:ascii="Arial" w:hAnsi="Arial" w:cs="Arial"/>
                <w:sz w:val="18"/>
                <w:szCs w:val="18"/>
              </w:rPr>
              <w:t xml:space="preserve"> were done, both for people who did and did not have the device, than they would in the NHS. The device was also used more frequently than would be expected in NHS care.”</w:t>
            </w:r>
          </w:p>
        </w:tc>
        <w:tc>
          <w:tcPr>
            <w:tcW w:w="6537" w:type="dxa"/>
          </w:tcPr>
          <w:p w14:paraId="5982CC2A" w14:textId="5F37BF59" w:rsidR="00CA0CD9" w:rsidRPr="001B34F0" w:rsidRDefault="00CC3175" w:rsidP="00417BB1">
            <w:pPr>
              <w:rPr>
                <w:rFonts w:ascii="Arial" w:hAnsi="Arial" w:cs="Arial"/>
                <w:sz w:val="18"/>
                <w:szCs w:val="18"/>
              </w:rPr>
            </w:pPr>
            <w:r w:rsidRPr="001B34F0">
              <w:rPr>
                <w:rFonts w:ascii="Arial" w:hAnsi="Arial" w:cs="Arial"/>
                <w:sz w:val="18"/>
                <w:szCs w:val="18"/>
              </w:rPr>
              <w:t xml:space="preserve">The trial (Woodrow et al (2020). ‘A blinded, controlled trial of objective measurement in Parkinson's disease.’ NPJ </w:t>
            </w:r>
            <w:proofErr w:type="spellStart"/>
            <w:r w:rsidRPr="001B34F0">
              <w:rPr>
                <w:rFonts w:ascii="Arial" w:hAnsi="Arial" w:cs="Arial"/>
                <w:sz w:val="18"/>
                <w:szCs w:val="18"/>
              </w:rPr>
              <w:t>Parkinsons</w:t>
            </w:r>
            <w:proofErr w:type="spellEnd"/>
            <w:r w:rsidRPr="001B34F0">
              <w:rPr>
                <w:rFonts w:ascii="Arial" w:hAnsi="Arial" w:cs="Arial"/>
                <w:sz w:val="18"/>
                <w:szCs w:val="18"/>
              </w:rPr>
              <w:t xml:space="preserve"> Dis </w:t>
            </w:r>
            <w:proofErr w:type="gramStart"/>
            <w:r w:rsidRPr="001B34F0">
              <w:rPr>
                <w:rFonts w:ascii="Arial" w:hAnsi="Arial" w:cs="Arial"/>
                <w:sz w:val="18"/>
                <w:szCs w:val="18"/>
              </w:rPr>
              <w:t>2020;6:35</w:t>
            </w:r>
            <w:proofErr w:type="gramEnd"/>
            <w:r w:rsidRPr="001B34F0">
              <w:rPr>
                <w:rFonts w:ascii="Arial" w:hAnsi="Arial" w:cs="Arial"/>
                <w:sz w:val="18"/>
                <w:szCs w:val="18"/>
              </w:rPr>
              <w:t xml:space="preserve">.) referred to </w:t>
            </w:r>
            <w:proofErr w:type="spellStart"/>
            <w:r w:rsidRPr="001B34F0">
              <w:rPr>
                <w:rFonts w:ascii="Arial" w:hAnsi="Arial" w:cs="Arial"/>
                <w:sz w:val="18"/>
                <w:szCs w:val="18"/>
              </w:rPr>
              <w:t>here</w:t>
            </w:r>
            <w:proofErr w:type="spellEnd"/>
            <w:r w:rsidRPr="001B34F0">
              <w:rPr>
                <w:rFonts w:ascii="Arial" w:hAnsi="Arial" w:cs="Arial"/>
                <w:sz w:val="18"/>
                <w:szCs w:val="18"/>
              </w:rPr>
              <w:t xml:space="preserve"> tested an arm using the Personal </w:t>
            </w:r>
            <w:proofErr w:type="spellStart"/>
            <w:r w:rsidRPr="001B34F0">
              <w:rPr>
                <w:rFonts w:ascii="Arial" w:hAnsi="Arial" w:cs="Arial"/>
                <w:sz w:val="18"/>
                <w:szCs w:val="18"/>
              </w:rPr>
              <w:t>Kinetigraph</w:t>
            </w:r>
            <w:proofErr w:type="spellEnd"/>
            <w:r w:rsidRPr="001B34F0">
              <w:rPr>
                <w:rFonts w:ascii="Arial" w:hAnsi="Arial" w:cs="Arial"/>
                <w:sz w:val="18"/>
                <w:szCs w:val="18"/>
              </w:rPr>
              <w:t xml:space="preserve"> (PKG) and another arm not using PKG. There was an improvement of 8.5 points on the MDS-UPDRS scale for those using the PKG compared with those who did not. Appointments were more frequent (every 5 weeks) than standard practice, as there was only a limited time to conduct the trial. Given the PKG device provides objective monitoring of symptoms, it is likely to show a more significant impact in current practice, where NICE recommends 6 or 12 months between regular appointments and where monitoring of symptoms happens less frequently. We are also aware that the device is currently being used by over 30 hospitals in the NHS, indicating generalisability for use in the NHS. We recommend that the greater frequency of appointments in this trial is not regarded as a barrier to generalisability for use in the NHS more widely.</w:t>
            </w:r>
          </w:p>
        </w:tc>
        <w:tc>
          <w:tcPr>
            <w:tcW w:w="3408" w:type="dxa"/>
          </w:tcPr>
          <w:p w14:paraId="47687159" w14:textId="77777777" w:rsidR="00D2548C" w:rsidRPr="001B34F0" w:rsidRDefault="00D2548C" w:rsidP="00EF799F">
            <w:pPr>
              <w:pStyle w:val="Title"/>
              <w:spacing w:before="0"/>
              <w:jc w:val="left"/>
              <w:rPr>
                <w:rFonts w:cs="Arial"/>
                <w:b w:val="0"/>
                <w:iCs/>
                <w:sz w:val="18"/>
                <w:szCs w:val="18"/>
              </w:rPr>
            </w:pPr>
            <w:r w:rsidRPr="001B34F0">
              <w:rPr>
                <w:rFonts w:cs="Arial"/>
                <w:b w:val="0"/>
                <w:iCs/>
                <w:sz w:val="18"/>
                <w:szCs w:val="18"/>
              </w:rPr>
              <w:t>Thank you for your comment which the committee considered.</w:t>
            </w:r>
          </w:p>
          <w:p w14:paraId="64950BDD" w14:textId="300C2B90" w:rsidR="00CA0CD9" w:rsidRPr="001B34F0" w:rsidRDefault="00D2548C" w:rsidP="00D2548C">
            <w:pPr>
              <w:pStyle w:val="Title"/>
              <w:spacing w:before="0"/>
              <w:jc w:val="left"/>
              <w:rPr>
                <w:rFonts w:cs="Arial"/>
                <w:b w:val="0"/>
                <w:iCs/>
                <w:sz w:val="18"/>
                <w:szCs w:val="18"/>
              </w:rPr>
            </w:pPr>
            <w:r w:rsidRPr="001B34F0">
              <w:rPr>
                <w:rFonts w:cs="Arial"/>
                <w:b w:val="0"/>
                <w:iCs/>
                <w:sz w:val="18"/>
                <w:szCs w:val="18"/>
              </w:rPr>
              <w:t>The EAG highlighted that t</w:t>
            </w:r>
            <w:r w:rsidR="00EF799F" w:rsidRPr="001B34F0">
              <w:rPr>
                <w:rFonts w:cs="Arial"/>
                <w:b w:val="0"/>
                <w:iCs/>
                <w:sz w:val="18"/>
                <w:szCs w:val="18"/>
              </w:rPr>
              <w:t xml:space="preserve">his is a </w:t>
            </w:r>
            <w:proofErr w:type="gramStart"/>
            <w:r w:rsidR="00EF799F" w:rsidRPr="001B34F0">
              <w:rPr>
                <w:rFonts w:cs="Arial"/>
                <w:b w:val="0"/>
                <w:iCs/>
                <w:sz w:val="18"/>
                <w:szCs w:val="18"/>
              </w:rPr>
              <w:t>mis-reading</w:t>
            </w:r>
            <w:proofErr w:type="gramEnd"/>
            <w:r w:rsidR="00EF799F" w:rsidRPr="001B34F0">
              <w:rPr>
                <w:rFonts w:cs="Arial"/>
                <w:b w:val="0"/>
                <w:iCs/>
                <w:sz w:val="18"/>
                <w:szCs w:val="18"/>
              </w:rPr>
              <w:t xml:space="preserve"> of the Woodrow paper. </w:t>
            </w:r>
            <w:r w:rsidR="004263A1">
              <w:rPr>
                <w:rFonts w:cs="Arial"/>
                <w:b w:val="0"/>
                <w:iCs/>
                <w:sz w:val="18"/>
                <w:szCs w:val="18"/>
              </w:rPr>
              <w:t>A</w:t>
            </w:r>
            <w:r w:rsidR="00EF799F" w:rsidRPr="001B34F0">
              <w:rPr>
                <w:rFonts w:cs="Arial"/>
                <w:b w:val="0"/>
                <w:iCs/>
                <w:sz w:val="18"/>
                <w:szCs w:val="18"/>
              </w:rPr>
              <w:t>ccording to EAG analysis the improvement in UPDRS-Total score for PKG compared to standard care was at most 4.2 points.</w:t>
            </w:r>
            <w:r w:rsidRPr="001B34F0">
              <w:rPr>
                <w:rFonts w:cs="Arial"/>
                <w:b w:val="0"/>
                <w:iCs/>
                <w:sz w:val="18"/>
                <w:szCs w:val="18"/>
              </w:rPr>
              <w:t xml:space="preserve"> </w:t>
            </w:r>
            <w:r w:rsidR="00EF799F" w:rsidRPr="001B34F0">
              <w:rPr>
                <w:rFonts w:cs="Arial"/>
                <w:b w:val="0"/>
                <w:iCs/>
                <w:sz w:val="18"/>
                <w:szCs w:val="18"/>
              </w:rPr>
              <w:t>The EAG d</w:t>
            </w:r>
            <w:r w:rsidRPr="001B34F0">
              <w:rPr>
                <w:rFonts w:cs="Arial"/>
                <w:b w:val="0"/>
                <w:iCs/>
                <w:sz w:val="18"/>
                <w:szCs w:val="18"/>
              </w:rPr>
              <w:t>id</w:t>
            </w:r>
            <w:r w:rsidR="00EF799F" w:rsidRPr="001B34F0">
              <w:rPr>
                <w:rFonts w:cs="Arial"/>
                <w:b w:val="0"/>
                <w:iCs/>
                <w:sz w:val="18"/>
                <w:szCs w:val="18"/>
              </w:rPr>
              <w:t xml:space="preserve"> not agree that it is “likely to show a more significant impact” if used every 6 to 12 months</w:t>
            </w:r>
            <w:r w:rsidRPr="001B34F0">
              <w:rPr>
                <w:rFonts w:cs="Arial"/>
                <w:b w:val="0"/>
                <w:iCs/>
                <w:sz w:val="18"/>
                <w:szCs w:val="18"/>
              </w:rPr>
              <w:t xml:space="preserve">, since </w:t>
            </w:r>
            <w:r w:rsidR="00EF799F" w:rsidRPr="001B34F0">
              <w:rPr>
                <w:rFonts w:cs="Arial"/>
                <w:b w:val="0"/>
                <w:iCs/>
                <w:sz w:val="18"/>
                <w:szCs w:val="18"/>
              </w:rPr>
              <w:t xml:space="preserve">there </w:t>
            </w:r>
            <w:r w:rsidRPr="001B34F0">
              <w:rPr>
                <w:rFonts w:cs="Arial"/>
                <w:b w:val="0"/>
                <w:iCs/>
                <w:sz w:val="18"/>
                <w:szCs w:val="18"/>
              </w:rPr>
              <w:t>was</w:t>
            </w:r>
            <w:r w:rsidR="00EF799F" w:rsidRPr="001B34F0">
              <w:rPr>
                <w:rFonts w:cs="Arial"/>
                <w:b w:val="0"/>
                <w:iCs/>
                <w:sz w:val="18"/>
                <w:szCs w:val="18"/>
              </w:rPr>
              <w:t xml:space="preserve"> no evidence to demonstrate the effectiveness of PKG when used routinely every 6 to 12 months.</w:t>
            </w:r>
          </w:p>
          <w:p w14:paraId="09DF5A6D" w14:textId="1887F6B2" w:rsidR="00D2548C" w:rsidRPr="001B34F0" w:rsidRDefault="00D2548C" w:rsidP="00D2548C">
            <w:pPr>
              <w:pStyle w:val="Heading1"/>
            </w:pPr>
            <w:r w:rsidRPr="001B34F0">
              <w:rPr>
                <w:rFonts w:cs="Arial"/>
                <w:b w:val="0"/>
                <w:iCs/>
                <w:sz w:val="18"/>
                <w:szCs w:val="18"/>
              </w:rPr>
              <w:t>The committee agreed that the Woodrow trial did not reflect the likely frequency of use of the device in the NHS or current standard of care. It discussed that there was no evidence reflecting device use in this context and decided not to change the DGD as a result.</w:t>
            </w:r>
          </w:p>
        </w:tc>
      </w:tr>
    </w:tbl>
    <w:p w14:paraId="21D07810" w14:textId="77777777" w:rsidR="004248FF" w:rsidRPr="001B34F0" w:rsidRDefault="004248FF" w:rsidP="00417BB1">
      <w:pPr>
        <w:pStyle w:val="Paragraph"/>
        <w:numPr>
          <w:ilvl w:val="0"/>
          <w:numId w:val="0"/>
        </w:numPr>
        <w:ind w:left="709" w:hanging="709"/>
        <w:rPr>
          <w:rFonts w:cs="Arial"/>
          <w:sz w:val="18"/>
          <w:szCs w:val="18"/>
        </w:rPr>
        <w:sectPr w:rsidR="004248FF" w:rsidRPr="001B34F0" w:rsidSect="001B0995">
          <w:headerReference w:type="even" r:id="rId8"/>
          <w:headerReference w:type="default" r:id="rId9"/>
          <w:footerReference w:type="even" r:id="rId10"/>
          <w:footerReference w:type="default" r:id="rId11"/>
          <w:headerReference w:type="first" r:id="rId12"/>
          <w:footerReference w:type="first" r:id="rId13"/>
          <w:pgSz w:w="16838" w:h="11906" w:orient="landscape"/>
          <w:pgMar w:top="1276" w:right="1440" w:bottom="1800" w:left="1440" w:header="708" w:footer="708" w:gutter="0"/>
          <w:cols w:space="708"/>
          <w:docGrid w:linePitch="360"/>
        </w:sectPr>
      </w:pPr>
    </w:p>
    <w:tbl>
      <w:tblPr>
        <w:tblStyle w:val="TableGrid"/>
        <w:tblW w:w="15344" w:type="dxa"/>
        <w:tblInd w:w="-601" w:type="dxa"/>
        <w:tblLook w:val="04A0" w:firstRow="1" w:lastRow="0" w:firstColumn="1" w:lastColumn="0" w:noHBand="0" w:noVBand="1"/>
      </w:tblPr>
      <w:tblGrid>
        <w:gridCol w:w="1232"/>
        <w:gridCol w:w="1834"/>
        <w:gridCol w:w="1692"/>
        <w:gridCol w:w="5492"/>
        <w:gridCol w:w="5094"/>
      </w:tblGrid>
      <w:tr w:rsidR="004248FF" w:rsidRPr="001B34F0" w14:paraId="7D6BC780" w14:textId="77777777" w:rsidTr="00DD70A0">
        <w:trPr>
          <w:trHeight w:val="470"/>
          <w:tblHeader/>
        </w:trPr>
        <w:tc>
          <w:tcPr>
            <w:tcW w:w="1232" w:type="dxa"/>
            <w:shd w:val="clear" w:color="auto" w:fill="D9D9D9" w:themeFill="background1" w:themeFillShade="D9"/>
            <w:vAlign w:val="center"/>
          </w:tcPr>
          <w:p w14:paraId="559AD2EE" w14:textId="77777777" w:rsidR="004248FF" w:rsidRPr="001B34F0" w:rsidRDefault="004248FF" w:rsidP="00417BB1">
            <w:pPr>
              <w:pStyle w:val="Heading1"/>
              <w:spacing w:before="0" w:after="0"/>
              <w:rPr>
                <w:rFonts w:cs="Arial"/>
                <w:iCs/>
                <w:sz w:val="18"/>
                <w:szCs w:val="18"/>
              </w:rPr>
            </w:pPr>
            <w:r w:rsidRPr="001B34F0">
              <w:rPr>
                <w:rFonts w:cs="Arial"/>
                <w:iCs/>
                <w:sz w:val="18"/>
                <w:szCs w:val="18"/>
              </w:rPr>
              <w:lastRenderedPageBreak/>
              <w:t>Comment number</w:t>
            </w:r>
          </w:p>
        </w:tc>
        <w:tc>
          <w:tcPr>
            <w:tcW w:w="1834" w:type="dxa"/>
            <w:shd w:val="clear" w:color="auto" w:fill="D9D9D9" w:themeFill="background1" w:themeFillShade="D9"/>
            <w:vAlign w:val="center"/>
          </w:tcPr>
          <w:p w14:paraId="2F9ADB7D" w14:textId="77777777" w:rsidR="004248FF" w:rsidRPr="001B34F0" w:rsidRDefault="004248FF" w:rsidP="00417BB1">
            <w:pPr>
              <w:pStyle w:val="Heading1"/>
              <w:spacing w:before="0" w:after="0"/>
              <w:rPr>
                <w:rFonts w:cs="Arial"/>
                <w:iCs/>
                <w:sz w:val="18"/>
                <w:szCs w:val="18"/>
              </w:rPr>
            </w:pPr>
            <w:r w:rsidRPr="001B34F0">
              <w:rPr>
                <w:rFonts w:cs="Arial"/>
                <w:iCs/>
                <w:sz w:val="18"/>
                <w:szCs w:val="18"/>
              </w:rPr>
              <w:t>Name and organisation</w:t>
            </w:r>
          </w:p>
        </w:tc>
        <w:tc>
          <w:tcPr>
            <w:tcW w:w="1692" w:type="dxa"/>
            <w:shd w:val="clear" w:color="auto" w:fill="D9D9D9" w:themeFill="background1" w:themeFillShade="D9"/>
            <w:vAlign w:val="center"/>
          </w:tcPr>
          <w:p w14:paraId="62E31AE2" w14:textId="77777777" w:rsidR="004248FF" w:rsidRPr="001B34F0" w:rsidRDefault="004248FF" w:rsidP="00417BB1">
            <w:pPr>
              <w:pStyle w:val="Title"/>
              <w:spacing w:before="0" w:after="0"/>
              <w:jc w:val="left"/>
              <w:rPr>
                <w:rFonts w:cs="Arial"/>
                <w:iCs/>
                <w:sz w:val="18"/>
                <w:szCs w:val="18"/>
              </w:rPr>
            </w:pPr>
            <w:r w:rsidRPr="001B34F0">
              <w:rPr>
                <w:rFonts w:cs="Arial"/>
                <w:iCs/>
                <w:sz w:val="18"/>
                <w:szCs w:val="18"/>
              </w:rPr>
              <w:t>Section number</w:t>
            </w:r>
          </w:p>
        </w:tc>
        <w:tc>
          <w:tcPr>
            <w:tcW w:w="5492" w:type="dxa"/>
            <w:shd w:val="clear" w:color="auto" w:fill="D9D9D9" w:themeFill="background1" w:themeFillShade="D9"/>
            <w:vAlign w:val="center"/>
          </w:tcPr>
          <w:p w14:paraId="3D8B2D17" w14:textId="77777777" w:rsidR="004248FF" w:rsidRPr="001B34F0" w:rsidRDefault="004248FF" w:rsidP="00417BB1">
            <w:pPr>
              <w:pStyle w:val="Title"/>
              <w:tabs>
                <w:tab w:val="left" w:pos="3444"/>
              </w:tabs>
              <w:spacing w:before="0" w:after="0"/>
              <w:jc w:val="left"/>
              <w:rPr>
                <w:rFonts w:cs="Arial"/>
                <w:iCs/>
                <w:sz w:val="18"/>
                <w:szCs w:val="18"/>
              </w:rPr>
            </w:pPr>
            <w:r w:rsidRPr="001B34F0">
              <w:rPr>
                <w:rFonts w:cs="Arial"/>
                <w:iCs/>
                <w:sz w:val="18"/>
                <w:szCs w:val="18"/>
              </w:rPr>
              <w:t>Comment</w:t>
            </w:r>
            <w:r w:rsidRPr="001B34F0">
              <w:rPr>
                <w:rFonts w:cs="Arial"/>
                <w:iCs/>
                <w:sz w:val="18"/>
                <w:szCs w:val="18"/>
              </w:rPr>
              <w:tab/>
            </w:r>
          </w:p>
        </w:tc>
        <w:tc>
          <w:tcPr>
            <w:tcW w:w="5094" w:type="dxa"/>
            <w:shd w:val="clear" w:color="auto" w:fill="D9D9D9" w:themeFill="background1" w:themeFillShade="D9"/>
            <w:vAlign w:val="center"/>
          </w:tcPr>
          <w:p w14:paraId="1F4D8ECB" w14:textId="6BC631C8" w:rsidR="004248FF" w:rsidRPr="001B34F0" w:rsidRDefault="004248FF" w:rsidP="00417BB1">
            <w:pPr>
              <w:pStyle w:val="Title"/>
              <w:spacing w:before="0" w:after="0"/>
              <w:jc w:val="left"/>
              <w:rPr>
                <w:rFonts w:cs="Arial"/>
                <w:iCs/>
                <w:sz w:val="18"/>
                <w:szCs w:val="18"/>
              </w:rPr>
            </w:pPr>
            <w:r w:rsidRPr="001B34F0">
              <w:rPr>
                <w:rFonts w:cs="Arial"/>
                <w:iCs/>
                <w:sz w:val="18"/>
                <w:szCs w:val="18"/>
              </w:rPr>
              <w:t>NICE</w:t>
            </w:r>
            <w:r w:rsidR="0029718F">
              <w:rPr>
                <w:rFonts w:cs="Arial"/>
                <w:iCs/>
                <w:sz w:val="18"/>
                <w:szCs w:val="18"/>
              </w:rPr>
              <w:t xml:space="preserve"> response</w:t>
            </w:r>
          </w:p>
        </w:tc>
      </w:tr>
      <w:tr w:rsidR="006F6E28" w:rsidRPr="001B34F0" w14:paraId="5E3BDF3C" w14:textId="77777777" w:rsidTr="00DD70A0">
        <w:trPr>
          <w:trHeight w:val="470"/>
        </w:trPr>
        <w:tc>
          <w:tcPr>
            <w:tcW w:w="1232" w:type="dxa"/>
          </w:tcPr>
          <w:p w14:paraId="2AD17DD3" w14:textId="15091E93" w:rsidR="006F6E28" w:rsidRPr="001B34F0" w:rsidRDefault="00AE6638" w:rsidP="00417BB1">
            <w:pPr>
              <w:rPr>
                <w:rFonts w:ascii="Arial" w:hAnsi="Arial" w:cs="Arial"/>
                <w:sz w:val="18"/>
                <w:szCs w:val="18"/>
              </w:rPr>
            </w:pPr>
            <w:r w:rsidRPr="001B34F0">
              <w:rPr>
                <w:rFonts w:ascii="Arial" w:hAnsi="Arial" w:cs="Arial"/>
                <w:sz w:val="18"/>
                <w:szCs w:val="18"/>
              </w:rPr>
              <w:t>3</w:t>
            </w:r>
          </w:p>
        </w:tc>
        <w:tc>
          <w:tcPr>
            <w:tcW w:w="1834" w:type="dxa"/>
          </w:tcPr>
          <w:p w14:paraId="41D4D91A" w14:textId="54C676AA" w:rsidR="006F6E28" w:rsidRPr="001B34F0" w:rsidRDefault="006F6E28" w:rsidP="00417BB1">
            <w:pPr>
              <w:rPr>
                <w:rFonts w:ascii="Arial" w:hAnsi="Arial" w:cs="Arial"/>
                <w:sz w:val="18"/>
                <w:szCs w:val="18"/>
              </w:rPr>
            </w:pPr>
            <w:r w:rsidRPr="001B34F0">
              <w:rPr>
                <w:rFonts w:ascii="Arial" w:hAnsi="Arial" w:cs="Arial"/>
                <w:sz w:val="18"/>
                <w:szCs w:val="18"/>
              </w:rPr>
              <w:t>PD Neurotechnology Limited</w:t>
            </w:r>
          </w:p>
        </w:tc>
        <w:tc>
          <w:tcPr>
            <w:tcW w:w="1692" w:type="dxa"/>
          </w:tcPr>
          <w:p w14:paraId="1D997EEF" w14:textId="38D90D20" w:rsidR="006F6E28" w:rsidRPr="001B34F0" w:rsidRDefault="006F6E28" w:rsidP="00417BB1">
            <w:pPr>
              <w:rPr>
                <w:rFonts w:ascii="Arial" w:hAnsi="Arial" w:cs="Arial"/>
                <w:sz w:val="18"/>
                <w:szCs w:val="18"/>
              </w:rPr>
            </w:pPr>
            <w:r w:rsidRPr="001B34F0">
              <w:rPr>
                <w:rFonts w:ascii="Arial" w:hAnsi="Arial" w:cs="Arial"/>
                <w:sz w:val="18"/>
                <w:szCs w:val="18"/>
              </w:rPr>
              <w:t>2.15</w:t>
            </w:r>
          </w:p>
        </w:tc>
        <w:tc>
          <w:tcPr>
            <w:tcW w:w="5492" w:type="dxa"/>
          </w:tcPr>
          <w:p w14:paraId="24A74B0D" w14:textId="79D947E8" w:rsidR="006F6E28" w:rsidRPr="001B34F0" w:rsidRDefault="006F6E28" w:rsidP="00417BB1">
            <w:pPr>
              <w:rPr>
                <w:rFonts w:ascii="Arial" w:hAnsi="Arial" w:cs="Arial"/>
                <w:sz w:val="18"/>
                <w:szCs w:val="18"/>
              </w:rPr>
            </w:pPr>
            <w:r w:rsidRPr="001B34F0">
              <w:rPr>
                <w:rFonts w:ascii="Arial" w:hAnsi="Arial" w:cs="Arial"/>
                <w:sz w:val="18"/>
                <w:szCs w:val="18"/>
              </w:rPr>
              <w:t xml:space="preserve">The price of </w:t>
            </w:r>
            <w:proofErr w:type="spellStart"/>
            <w:r w:rsidRPr="001B34F0">
              <w:rPr>
                <w:rFonts w:ascii="Arial" w:hAnsi="Arial" w:cs="Arial"/>
                <w:sz w:val="18"/>
                <w:szCs w:val="18"/>
              </w:rPr>
              <w:t>PDMonitor</w:t>
            </w:r>
            <w:proofErr w:type="spellEnd"/>
            <w:r w:rsidRPr="001B34F0">
              <w:rPr>
                <w:rFonts w:ascii="Arial" w:hAnsi="Arial" w:cs="Arial"/>
                <w:sz w:val="18"/>
                <w:szCs w:val="18"/>
              </w:rPr>
              <w:t xml:space="preserve"> is subject to use. An outright purchase is at 12,000 GBP, while a yearly subscription is at 350 GBP per month, with purchase of the device being free of charge. Depending on the context a combination of the above scenarios could apply, while discounts are also possible, based on volume. As an example, for a 2 month follow up of a patient a price quoted to an NHS hospital has been 500 GBP. All price references as per above entail unlimited number of monitoring sessions within the said time horizon.  </w:t>
            </w:r>
          </w:p>
        </w:tc>
        <w:tc>
          <w:tcPr>
            <w:tcW w:w="5094" w:type="dxa"/>
          </w:tcPr>
          <w:p w14:paraId="3A791474" w14:textId="67CA4ADC" w:rsidR="00EF799F" w:rsidRPr="001B34F0" w:rsidRDefault="000F064D" w:rsidP="00091859">
            <w:pPr>
              <w:pStyle w:val="Title"/>
              <w:spacing w:before="0"/>
              <w:jc w:val="left"/>
              <w:rPr>
                <w:rFonts w:cs="Arial"/>
                <w:b w:val="0"/>
                <w:iCs/>
                <w:sz w:val="18"/>
                <w:szCs w:val="18"/>
              </w:rPr>
            </w:pPr>
            <w:r w:rsidRPr="001B34F0">
              <w:rPr>
                <w:rFonts w:cs="Arial"/>
                <w:b w:val="0"/>
                <w:iCs/>
                <w:sz w:val="18"/>
                <w:szCs w:val="18"/>
              </w:rPr>
              <w:t xml:space="preserve">Thank you for your comment which the committee considered. </w:t>
            </w:r>
            <w:r w:rsidR="00EF799F" w:rsidRPr="001B34F0">
              <w:rPr>
                <w:rFonts w:cs="Arial"/>
                <w:b w:val="0"/>
                <w:iCs/>
                <w:sz w:val="18"/>
                <w:szCs w:val="18"/>
              </w:rPr>
              <w:t>The EAG used the costs based on company response to the NICE request for information</w:t>
            </w:r>
            <w:r w:rsidRPr="001B34F0">
              <w:rPr>
                <w:rFonts w:cs="Arial"/>
                <w:b w:val="0"/>
                <w:iCs/>
                <w:sz w:val="18"/>
                <w:szCs w:val="18"/>
              </w:rPr>
              <w:t xml:space="preserve"> (</w:t>
            </w:r>
            <w:r w:rsidR="00EF799F" w:rsidRPr="001B34F0">
              <w:rPr>
                <w:rFonts w:cs="Arial"/>
                <w:b w:val="0"/>
                <w:iCs/>
                <w:sz w:val="18"/>
                <w:szCs w:val="18"/>
              </w:rPr>
              <w:t>£12,000</w:t>
            </w:r>
            <w:r w:rsidRPr="001B34F0">
              <w:rPr>
                <w:rFonts w:cs="Arial"/>
                <w:b w:val="0"/>
                <w:iCs/>
                <w:sz w:val="18"/>
                <w:szCs w:val="18"/>
              </w:rPr>
              <w:t>)</w:t>
            </w:r>
            <w:r w:rsidR="00EF799F" w:rsidRPr="001B34F0">
              <w:rPr>
                <w:rFonts w:cs="Arial"/>
                <w:b w:val="0"/>
                <w:iCs/>
                <w:sz w:val="18"/>
                <w:szCs w:val="18"/>
              </w:rPr>
              <w:t xml:space="preserve">, </w:t>
            </w:r>
            <w:r w:rsidRPr="001B34F0">
              <w:rPr>
                <w:rFonts w:cs="Arial"/>
                <w:b w:val="0"/>
                <w:iCs/>
                <w:sz w:val="18"/>
                <w:szCs w:val="18"/>
              </w:rPr>
              <w:t>as</w:t>
            </w:r>
            <w:r w:rsidR="00EF799F" w:rsidRPr="001B34F0">
              <w:rPr>
                <w:rFonts w:cs="Arial"/>
                <w:b w:val="0"/>
                <w:iCs/>
                <w:sz w:val="18"/>
                <w:szCs w:val="18"/>
              </w:rPr>
              <w:t xml:space="preserve"> no </w:t>
            </w:r>
            <w:r w:rsidRPr="001B34F0">
              <w:rPr>
                <w:rFonts w:cs="Arial"/>
                <w:b w:val="0"/>
                <w:iCs/>
                <w:sz w:val="18"/>
                <w:szCs w:val="18"/>
              </w:rPr>
              <w:t xml:space="preserve">information on </w:t>
            </w:r>
            <w:r w:rsidR="00EF799F" w:rsidRPr="001B34F0">
              <w:rPr>
                <w:rFonts w:cs="Arial"/>
                <w:b w:val="0"/>
                <w:iCs/>
                <w:sz w:val="18"/>
                <w:szCs w:val="18"/>
              </w:rPr>
              <w:t>an alternative yearly subscription model</w:t>
            </w:r>
            <w:r w:rsidRPr="001B34F0">
              <w:rPr>
                <w:rFonts w:cs="Arial"/>
                <w:b w:val="0"/>
                <w:iCs/>
                <w:sz w:val="18"/>
                <w:szCs w:val="18"/>
              </w:rPr>
              <w:t xml:space="preserve"> was provided</w:t>
            </w:r>
            <w:r w:rsidR="00EF799F" w:rsidRPr="001B34F0">
              <w:rPr>
                <w:rFonts w:cs="Arial"/>
                <w:b w:val="0"/>
                <w:iCs/>
                <w:sz w:val="18"/>
                <w:szCs w:val="18"/>
              </w:rPr>
              <w:t xml:space="preserve">. </w:t>
            </w:r>
          </w:p>
          <w:p w14:paraId="40F6FC5A" w14:textId="4E32030E" w:rsidR="006F6E28" w:rsidRPr="001B34F0" w:rsidRDefault="00925DEA" w:rsidP="00EF799F">
            <w:pPr>
              <w:pStyle w:val="Title"/>
              <w:spacing w:before="0" w:after="0"/>
              <w:jc w:val="left"/>
              <w:rPr>
                <w:rFonts w:cs="Arial"/>
                <w:b w:val="0"/>
                <w:iCs/>
                <w:sz w:val="18"/>
                <w:szCs w:val="18"/>
              </w:rPr>
            </w:pPr>
            <w:r>
              <w:rPr>
                <w:rFonts w:cs="Arial"/>
                <w:b w:val="0"/>
                <w:iCs/>
                <w:sz w:val="18"/>
                <w:szCs w:val="18"/>
              </w:rPr>
              <w:t>S</w:t>
            </w:r>
            <w:r w:rsidR="000F064D" w:rsidRPr="001B34F0">
              <w:rPr>
                <w:rFonts w:cs="Arial"/>
                <w:b w:val="0"/>
                <w:iCs/>
                <w:sz w:val="18"/>
                <w:szCs w:val="18"/>
              </w:rPr>
              <w:t xml:space="preserve">ection 2.15 </w:t>
            </w:r>
            <w:r w:rsidR="00300130" w:rsidRPr="001B34F0">
              <w:rPr>
                <w:rFonts w:cs="Arial"/>
                <w:b w:val="0"/>
                <w:iCs/>
                <w:sz w:val="18"/>
                <w:szCs w:val="18"/>
              </w:rPr>
              <w:t xml:space="preserve">in the </w:t>
            </w:r>
            <w:r w:rsidR="000F064D" w:rsidRPr="001B34F0">
              <w:rPr>
                <w:rFonts w:cs="Arial"/>
                <w:b w:val="0"/>
                <w:iCs/>
                <w:sz w:val="18"/>
                <w:szCs w:val="18"/>
              </w:rPr>
              <w:t>DGD</w:t>
            </w:r>
            <w:r>
              <w:rPr>
                <w:rFonts w:cs="Arial"/>
                <w:b w:val="0"/>
                <w:iCs/>
                <w:sz w:val="18"/>
                <w:szCs w:val="18"/>
              </w:rPr>
              <w:t xml:space="preserve"> has been updated</w:t>
            </w:r>
            <w:r w:rsidR="000F064D" w:rsidRPr="001B34F0">
              <w:rPr>
                <w:rFonts w:cs="Arial"/>
                <w:b w:val="0"/>
                <w:iCs/>
                <w:sz w:val="18"/>
                <w:szCs w:val="18"/>
              </w:rPr>
              <w:t xml:space="preserve"> to reflect the alternative pricing model</w:t>
            </w:r>
            <w:r>
              <w:rPr>
                <w:rFonts w:cs="Arial"/>
                <w:b w:val="0"/>
                <w:iCs/>
                <w:sz w:val="18"/>
                <w:szCs w:val="18"/>
              </w:rPr>
              <w:t xml:space="preserve"> described in the consultation comment</w:t>
            </w:r>
            <w:r w:rsidR="000F064D" w:rsidRPr="001B34F0">
              <w:rPr>
                <w:rFonts w:cs="Arial"/>
                <w:b w:val="0"/>
                <w:iCs/>
                <w:sz w:val="18"/>
                <w:szCs w:val="18"/>
              </w:rPr>
              <w:t xml:space="preserve"> “At consultation on the draft guidance the company added that an alternative pricing model is available: a yearly subscription is at £350 per month, with purchase of the device being free of charge and possible discounts available based on volume.</w:t>
            </w:r>
            <w:r w:rsidR="0089790F">
              <w:rPr>
                <w:rFonts w:cs="Arial"/>
                <w:b w:val="0"/>
                <w:iCs/>
                <w:sz w:val="18"/>
                <w:szCs w:val="18"/>
              </w:rPr>
              <w:t xml:space="preserve"> </w:t>
            </w:r>
            <w:r w:rsidR="0089790F" w:rsidRPr="0089790F">
              <w:rPr>
                <w:rFonts w:cs="Arial"/>
                <w:b w:val="0"/>
                <w:iCs/>
                <w:sz w:val="18"/>
                <w:szCs w:val="18"/>
              </w:rPr>
              <w:t>The length of subscription required for this pricing model was not provided.</w:t>
            </w:r>
            <w:r w:rsidR="000F064D" w:rsidRPr="001B34F0">
              <w:rPr>
                <w:rFonts w:cs="Arial"/>
                <w:b w:val="0"/>
                <w:iCs/>
                <w:sz w:val="18"/>
                <w:szCs w:val="18"/>
              </w:rPr>
              <w:t>”</w:t>
            </w:r>
          </w:p>
        </w:tc>
      </w:tr>
      <w:tr w:rsidR="006F6E28" w:rsidRPr="001B34F0" w14:paraId="3D5770FB" w14:textId="77777777" w:rsidTr="00DD70A0">
        <w:trPr>
          <w:trHeight w:val="470"/>
        </w:trPr>
        <w:tc>
          <w:tcPr>
            <w:tcW w:w="1232" w:type="dxa"/>
          </w:tcPr>
          <w:p w14:paraId="39EFF922" w14:textId="407460E0" w:rsidR="006F6E28" w:rsidRPr="001B34F0" w:rsidRDefault="00AE6638" w:rsidP="00417BB1">
            <w:pPr>
              <w:rPr>
                <w:rFonts w:ascii="Arial" w:hAnsi="Arial" w:cs="Arial"/>
                <w:sz w:val="18"/>
                <w:szCs w:val="18"/>
              </w:rPr>
            </w:pPr>
            <w:r w:rsidRPr="001B34F0">
              <w:rPr>
                <w:rFonts w:ascii="Arial" w:hAnsi="Arial" w:cs="Arial"/>
                <w:sz w:val="18"/>
                <w:szCs w:val="18"/>
              </w:rPr>
              <w:t>4</w:t>
            </w:r>
          </w:p>
        </w:tc>
        <w:tc>
          <w:tcPr>
            <w:tcW w:w="1834" w:type="dxa"/>
          </w:tcPr>
          <w:p w14:paraId="46355C40" w14:textId="5CC34933" w:rsidR="006F6E28" w:rsidRPr="001B34F0" w:rsidRDefault="006F6E28" w:rsidP="00417BB1">
            <w:pPr>
              <w:rPr>
                <w:rFonts w:ascii="Arial" w:hAnsi="Arial" w:cs="Arial"/>
                <w:sz w:val="18"/>
                <w:szCs w:val="18"/>
              </w:rPr>
            </w:pPr>
            <w:r w:rsidRPr="001B34F0">
              <w:rPr>
                <w:rFonts w:ascii="Arial" w:hAnsi="Arial" w:cs="Arial"/>
                <w:sz w:val="18"/>
                <w:szCs w:val="18"/>
              </w:rPr>
              <w:t>Parkinson’s UK (web comment)</w:t>
            </w:r>
          </w:p>
        </w:tc>
        <w:tc>
          <w:tcPr>
            <w:tcW w:w="1692" w:type="dxa"/>
          </w:tcPr>
          <w:p w14:paraId="0820E75C" w14:textId="123C0097" w:rsidR="006F6E28" w:rsidRPr="001B34F0" w:rsidRDefault="006F6E28" w:rsidP="00417BB1">
            <w:pPr>
              <w:rPr>
                <w:rFonts w:ascii="Arial" w:hAnsi="Arial" w:cs="Arial"/>
                <w:sz w:val="18"/>
                <w:szCs w:val="18"/>
              </w:rPr>
            </w:pPr>
            <w:r w:rsidRPr="001B34F0">
              <w:rPr>
                <w:rFonts w:ascii="Arial" w:hAnsi="Arial" w:cs="Arial"/>
                <w:sz w:val="18"/>
                <w:szCs w:val="18"/>
              </w:rPr>
              <w:t>The diagnostics tests. The comparator - 2.22</w:t>
            </w:r>
          </w:p>
        </w:tc>
        <w:tc>
          <w:tcPr>
            <w:tcW w:w="5492" w:type="dxa"/>
          </w:tcPr>
          <w:p w14:paraId="22EF6558" w14:textId="77777777" w:rsidR="006F6E28" w:rsidRPr="001B34F0" w:rsidRDefault="006F6E28" w:rsidP="00417BB1">
            <w:pPr>
              <w:rPr>
                <w:rFonts w:ascii="Arial" w:hAnsi="Arial" w:cs="Arial"/>
                <w:sz w:val="18"/>
                <w:szCs w:val="18"/>
              </w:rPr>
            </w:pPr>
            <w:r w:rsidRPr="001B34F0">
              <w:rPr>
                <w:rFonts w:ascii="Arial" w:hAnsi="Arial" w:cs="Arial"/>
                <w:sz w:val="18"/>
                <w:szCs w:val="18"/>
              </w:rPr>
              <w:t>When using ‘standard care’ as the comparator to assess cost-effectiveness it will be important to distinguish when ‘standard care’ refers to a nurse-led service and when it refers to a consultant-led service. An issue raised earlier in the consultation process.</w:t>
            </w:r>
            <w:r w:rsidRPr="001B34F0">
              <w:rPr>
                <w:rFonts w:ascii="Arial" w:hAnsi="Arial" w:cs="Arial"/>
                <w:sz w:val="18"/>
                <w:szCs w:val="18"/>
              </w:rPr>
              <w:br/>
            </w:r>
            <w:r w:rsidRPr="001B34F0">
              <w:rPr>
                <w:rFonts w:ascii="Arial" w:hAnsi="Arial" w:cs="Arial"/>
                <w:sz w:val="18"/>
                <w:szCs w:val="18"/>
              </w:rPr>
              <w:br/>
              <w:t xml:space="preserve">The Economic Advisory Group (EAG) model uses NHS England 2019/2020 National Cost Collection tariffs for a Specialist Parkinson's nurse with a face-to-face consultation cost of £81 and £56 remote to represent the cost of ‘standard care’. In response to comments on the Diagnostic Assessment Report section B issue 4, the reason given for the use of the specialist nurse cost over the cost of a consultant neurologist outpatient appointment (£187 face to face, £105, remote consultation) was that survey data </w:t>
            </w:r>
            <w:r w:rsidRPr="001B34F0">
              <w:rPr>
                <w:rFonts w:ascii="Arial" w:hAnsi="Arial" w:cs="Arial"/>
                <w:sz w:val="18"/>
                <w:szCs w:val="18"/>
              </w:rPr>
              <w:lastRenderedPageBreak/>
              <w:t>(</w:t>
            </w:r>
            <w:proofErr w:type="spellStart"/>
            <w:r w:rsidRPr="001B34F0">
              <w:rPr>
                <w:rFonts w:ascii="Arial" w:hAnsi="Arial" w:cs="Arial"/>
                <w:sz w:val="18"/>
                <w:szCs w:val="18"/>
              </w:rPr>
              <w:t>Gumber</w:t>
            </w:r>
            <w:proofErr w:type="spellEnd"/>
            <w:r w:rsidRPr="001B34F0">
              <w:rPr>
                <w:rFonts w:ascii="Arial" w:hAnsi="Arial" w:cs="Arial"/>
                <w:sz w:val="18"/>
                <w:szCs w:val="18"/>
              </w:rPr>
              <w:t xml:space="preserve"> A, Ramaswamy B, Ibbotson R, Ismail M, </w:t>
            </w:r>
            <w:proofErr w:type="spellStart"/>
            <w:r w:rsidRPr="001B34F0">
              <w:rPr>
                <w:rFonts w:ascii="Arial" w:hAnsi="Arial" w:cs="Arial"/>
                <w:sz w:val="18"/>
                <w:szCs w:val="18"/>
              </w:rPr>
              <w:t>Thongchundee</w:t>
            </w:r>
            <w:proofErr w:type="spellEnd"/>
            <w:r w:rsidRPr="001B34F0">
              <w:rPr>
                <w:rFonts w:ascii="Arial" w:hAnsi="Arial" w:cs="Arial"/>
                <w:sz w:val="18"/>
                <w:szCs w:val="18"/>
              </w:rPr>
              <w:t xml:space="preserve"> O, Harrop D, et al. Economic, social and financial cost of Parkinson's on individuals, carers and their families in the UK. Project report. Sheffield: Centre for Health and Social Care Research, Sheffield Hallam University; 2017.) showed people with Parkinson's as more likely to see a Parkinson's nurse than a neurologist. However, this is based on data provided by only 610 people with Parkinson's, and, therefore, is unlikely to truly represent the wider population of people with Parkinson’s. This data showed that consultations with a Parkinson's Nurse represented 10% of total consultations, and for neurologists, 6.24%, a difference of less than four percent. For the model to only consider the cost of specialist nurse care to represent the 'Standard of Care' cost appears flawed when measuring the cost-effectiveness of the remote monitoring devices being assessed.</w:t>
            </w:r>
            <w:r w:rsidRPr="001B34F0">
              <w:rPr>
                <w:rFonts w:ascii="Arial" w:hAnsi="Arial" w:cs="Arial"/>
                <w:sz w:val="18"/>
                <w:szCs w:val="18"/>
              </w:rPr>
              <w:br/>
            </w:r>
            <w:r w:rsidRPr="001B34F0">
              <w:rPr>
                <w:rFonts w:ascii="Arial" w:hAnsi="Arial" w:cs="Arial"/>
                <w:sz w:val="18"/>
                <w:szCs w:val="18"/>
              </w:rPr>
              <w:br/>
              <w:t>We recommend that the report states that when commissioners assess the cost-effectiveness of the remote devices used in the NHS, they consider the cost implications for use by a nurse-led or consultant-led service. We further recommend that the EAG model be reviewed and amended to consider the scenario of the devices being used in a consultant-led service and in a nurse-led service.</w:t>
            </w:r>
          </w:p>
          <w:p w14:paraId="71585B4F" w14:textId="77777777" w:rsidR="006F6E28" w:rsidRPr="001B34F0" w:rsidRDefault="006F6E28" w:rsidP="00417BB1">
            <w:pPr>
              <w:rPr>
                <w:rFonts w:ascii="Arial" w:hAnsi="Arial" w:cs="Arial"/>
                <w:sz w:val="18"/>
                <w:szCs w:val="18"/>
              </w:rPr>
            </w:pPr>
          </w:p>
        </w:tc>
        <w:tc>
          <w:tcPr>
            <w:tcW w:w="5094" w:type="dxa"/>
          </w:tcPr>
          <w:p w14:paraId="0D46D701" w14:textId="77777777" w:rsidR="00300130" w:rsidRPr="001B34F0" w:rsidRDefault="000F064D" w:rsidP="00091859">
            <w:pPr>
              <w:pStyle w:val="Title"/>
              <w:spacing w:before="0"/>
              <w:jc w:val="left"/>
              <w:rPr>
                <w:rFonts w:cs="Arial"/>
                <w:b w:val="0"/>
                <w:iCs/>
                <w:sz w:val="18"/>
                <w:szCs w:val="18"/>
              </w:rPr>
            </w:pPr>
            <w:r w:rsidRPr="001B34F0">
              <w:rPr>
                <w:rFonts w:cs="Arial"/>
                <w:b w:val="0"/>
                <w:iCs/>
                <w:sz w:val="18"/>
                <w:szCs w:val="18"/>
              </w:rPr>
              <w:lastRenderedPageBreak/>
              <w:t xml:space="preserve">Thank you for your comment which the committee considered. </w:t>
            </w:r>
          </w:p>
          <w:p w14:paraId="0AC5AFDC" w14:textId="31590B84" w:rsidR="00300130" w:rsidRPr="001B34F0" w:rsidRDefault="00EF799F" w:rsidP="00300130">
            <w:pPr>
              <w:pStyle w:val="Title"/>
              <w:spacing w:before="0" w:after="0"/>
              <w:jc w:val="left"/>
              <w:rPr>
                <w:rFonts w:cs="Arial"/>
                <w:b w:val="0"/>
                <w:iCs/>
                <w:sz w:val="18"/>
                <w:szCs w:val="18"/>
              </w:rPr>
            </w:pPr>
            <w:r w:rsidRPr="001B34F0">
              <w:rPr>
                <w:rFonts w:cs="Arial"/>
                <w:b w:val="0"/>
                <w:iCs/>
                <w:sz w:val="18"/>
                <w:szCs w:val="18"/>
              </w:rPr>
              <w:t xml:space="preserve">The EAG </w:t>
            </w:r>
            <w:r w:rsidR="000F064D" w:rsidRPr="001B34F0">
              <w:rPr>
                <w:rFonts w:cs="Arial"/>
                <w:b w:val="0"/>
                <w:iCs/>
                <w:sz w:val="18"/>
                <w:szCs w:val="18"/>
              </w:rPr>
              <w:t xml:space="preserve">previously </w:t>
            </w:r>
            <w:r w:rsidRPr="001B34F0">
              <w:rPr>
                <w:rFonts w:cs="Arial"/>
                <w:b w:val="0"/>
                <w:iCs/>
                <w:sz w:val="18"/>
                <w:szCs w:val="18"/>
              </w:rPr>
              <w:t xml:space="preserve">provided a response to this point </w:t>
            </w:r>
            <w:r w:rsidR="000F064D" w:rsidRPr="001B34F0">
              <w:rPr>
                <w:rFonts w:cs="Arial"/>
                <w:b w:val="0"/>
                <w:iCs/>
                <w:sz w:val="18"/>
                <w:szCs w:val="18"/>
              </w:rPr>
              <w:t xml:space="preserve">in the appendix of its </w:t>
            </w:r>
            <w:r w:rsidRPr="001B34F0">
              <w:rPr>
                <w:rFonts w:cs="Arial"/>
                <w:b w:val="0"/>
                <w:iCs/>
                <w:sz w:val="18"/>
                <w:szCs w:val="18"/>
              </w:rPr>
              <w:t>response to the stakeholder comments (issue 4 from Global Kinetics PTY)</w:t>
            </w:r>
            <w:r w:rsidR="000F064D" w:rsidRPr="001B34F0">
              <w:rPr>
                <w:rFonts w:cs="Arial"/>
                <w:b w:val="0"/>
                <w:iCs/>
                <w:sz w:val="18"/>
                <w:szCs w:val="18"/>
              </w:rPr>
              <w:t xml:space="preserve">. The </w:t>
            </w:r>
            <w:r w:rsidRPr="001B34F0">
              <w:rPr>
                <w:rFonts w:cs="Arial"/>
                <w:b w:val="0"/>
                <w:iCs/>
                <w:sz w:val="18"/>
                <w:szCs w:val="18"/>
              </w:rPr>
              <w:t xml:space="preserve">EAG conducted an additional scenario analysis where the model used the cost of consultant neurologist outpatient appointment (£187 face to face, £105, remote consultation) instead of a nurse-led service (£81.41 face to face, £56.41, remote consultation). </w:t>
            </w:r>
            <w:r w:rsidR="00925DEA">
              <w:rPr>
                <w:rFonts w:cs="Arial"/>
                <w:b w:val="0"/>
                <w:iCs/>
                <w:sz w:val="18"/>
                <w:szCs w:val="18"/>
              </w:rPr>
              <w:t>B</w:t>
            </w:r>
            <w:r w:rsidRPr="001B34F0">
              <w:rPr>
                <w:rFonts w:cs="Arial"/>
                <w:b w:val="0"/>
                <w:iCs/>
                <w:sz w:val="18"/>
                <w:szCs w:val="18"/>
              </w:rPr>
              <w:t xml:space="preserve">oth scenarios (nurse-led service and a consultant-led service) </w:t>
            </w:r>
            <w:r w:rsidR="00925DEA">
              <w:rPr>
                <w:rFonts w:cs="Arial"/>
                <w:b w:val="0"/>
                <w:iCs/>
                <w:sz w:val="18"/>
                <w:szCs w:val="18"/>
              </w:rPr>
              <w:t>were</w:t>
            </w:r>
            <w:r w:rsidR="00925DEA" w:rsidRPr="001B34F0">
              <w:rPr>
                <w:rFonts w:cs="Arial"/>
                <w:b w:val="0"/>
                <w:iCs/>
                <w:sz w:val="18"/>
                <w:szCs w:val="18"/>
              </w:rPr>
              <w:t xml:space="preserve"> </w:t>
            </w:r>
            <w:r w:rsidR="00925DEA">
              <w:rPr>
                <w:rFonts w:cs="Arial"/>
                <w:b w:val="0"/>
                <w:iCs/>
                <w:sz w:val="18"/>
                <w:szCs w:val="18"/>
              </w:rPr>
              <w:t>available to committee for decision-making</w:t>
            </w:r>
            <w:r w:rsidRPr="001B34F0">
              <w:rPr>
                <w:rFonts w:cs="Arial"/>
                <w:b w:val="0"/>
                <w:iCs/>
                <w:sz w:val="18"/>
                <w:szCs w:val="18"/>
              </w:rPr>
              <w:t>.</w:t>
            </w:r>
            <w:r w:rsidR="00300130" w:rsidRPr="001B34F0">
              <w:rPr>
                <w:rFonts w:cs="Arial"/>
                <w:b w:val="0"/>
                <w:iCs/>
                <w:sz w:val="18"/>
                <w:szCs w:val="18"/>
              </w:rPr>
              <w:t xml:space="preserve"> </w:t>
            </w:r>
          </w:p>
          <w:p w14:paraId="3DC8DAD6" w14:textId="77777777" w:rsidR="00300130" w:rsidRPr="001B34F0" w:rsidRDefault="00300130" w:rsidP="00300130">
            <w:pPr>
              <w:pStyle w:val="Title"/>
              <w:spacing w:before="0" w:after="0"/>
              <w:jc w:val="left"/>
              <w:rPr>
                <w:rFonts w:cs="Arial"/>
                <w:b w:val="0"/>
                <w:iCs/>
                <w:sz w:val="18"/>
                <w:szCs w:val="18"/>
              </w:rPr>
            </w:pPr>
          </w:p>
          <w:p w14:paraId="5E9926EE" w14:textId="60289949" w:rsidR="00300130" w:rsidRPr="001B34F0" w:rsidRDefault="00300130" w:rsidP="00300130">
            <w:pPr>
              <w:pStyle w:val="Title"/>
              <w:spacing w:before="0" w:after="0"/>
              <w:jc w:val="left"/>
              <w:rPr>
                <w:rFonts w:cs="Arial"/>
                <w:b w:val="0"/>
                <w:iCs/>
                <w:sz w:val="18"/>
                <w:szCs w:val="18"/>
              </w:rPr>
            </w:pPr>
            <w:r w:rsidRPr="001B34F0">
              <w:rPr>
                <w:rFonts w:cs="Arial"/>
                <w:b w:val="0"/>
                <w:iCs/>
                <w:sz w:val="18"/>
                <w:szCs w:val="18"/>
              </w:rPr>
              <w:lastRenderedPageBreak/>
              <w:t xml:space="preserve">The committee </w:t>
            </w:r>
            <w:r w:rsidR="0089790F">
              <w:rPr>
                <w:rFonts w:cs="Arial"/>
                <w:b w:val="0"/>
                <w:iCs/>
                <w:sz w:val="18"/>
                <w:szCs w:val="18"/>
              </w:rPr>
              <w:t>noted that results were similar in both scenarios.</w:t>
            </w:r>
          </w:p>
          <w:p w14:paraId="65B3C9F4" w14:textId="71B302EC" w:rsidR="00300130" w:rsidRPr="001B34F0" w:rsidRDefault="00300130" w:rsidP="00300130">
            <w:pPr>
              <w:pStyle w:val="Heading1"/>
            </w:pPr>
          </w:p>
        </w:tc>
      </w:tr>
    </w:tbl>
    <w:p w14:paraId="763348A6" w14:textId="77777777" w:rsidR="004248FF" w:rsidRPr="001B34F0" w:rsidRDefault="004248FF" w:rsidP="00417BB1">
      <w:pPr>
        <w:pStyle w:val="Paragraph"/>
        <w:numPr>
          <w:ilvl w:val="0"/>
          <w:numId w:val="0"/>
        </w:numPr>
        <w:ind w:left="709" w:hanging="709"/>
        <w:rPr>
          <w:rFonts w:cs="Arial"/>
          <w:sz w:val="18"/>
          <w:szCs w:val="18"/>
        </w:rPr>
        <w:sectPr w:rsidR="004248FF" w:rsidRPr="001B34F0" w:rsidSect="001B0995">
          <w:headerReference w:type="default" r:id="rId14"/>
          <w:pgSz w:w="16838" w:h="11906" w:orient="landscape"/>
          <w:pgMar w:top="1276" w:right="1440" w:bottom="1800" w:left="1440" w:header="708" w:footer="708" w:gutter="0"/>
          <w:cols w:space="708"/>
          <w:docGrid w:linePitch="360"/>
        </w:sectPr>
      </w:pPr>
    </w:p>
    <w:tbl>
      <w:tblPr>
        <w:tblStyle w:val="TableGrid"/>
        <w:tblW w:w="15344" w:type="dxa"/>
        <w:tblInd w:w="-601" w:type="dxa"/>
        <w:tblLayout w:type="fixed"/>
        <w:tblLook w:val="04A0" w:firstRow="1" w:lastRow="0" w:firstColumn="1" w:lastColumn="0" w:noHBand="0" w:noVBand="1"/>
      </w:tblPr>
      <w:tblGrid>
        <w:gridCol w:w="1232"/>
        <w:gridCol w:w="1817"/>
        <w:gridCol w:w="2051"/>
        <w:gridCol w:w="5334"/>
        <w:gridCol w:w="4910"/>
      </w:tblGrid>
      <w:tr w:rsidR="004248FF" w:rsidRPr="001B34F0" w14:paraId="71B10D8D" w14:textId="77777777" w:rsidTr="007B55C3">
        <w:trPr>
          <w:trHeight w:val="470"/>
          <w:tblHeader/>
        </w:trPr>
        <w:tc>
          <w:tcPr>
            <w:tcW w:w="1232" w:type="dxa"/>
            <w:shd w:val="clear" w:color="auto" w:fill="D9D9D9" w:themeFill="background1" w:themeFillShade="D9"/>
            <w:vAlign w:val="center"/>
          </w:tcPr>
          <w:p w14:paraId="2876F7F3" w14:textId="77777777" w:rsidR="004248FF" w:rsidRPr="001B34F0" w:rsidRDefault="004248FF" w:rsidP="00417BB1">
            <w:pPr>
              <w:pStyle w:val="Heading1"/>
              <w:spacing w:before="0" w:after="0"/>
              <w:rPr>
                <w:rFonts w:cs="Arial"/>
                <w:iCs/>
                <w:sz w:val="18"/>
                <w:szCs w:val="18"/>
              </w:rPr>
            </w:pPr>
            <w:r w:rsidRPr="001B34F0">
              <w:rPr>
                <w:rFonts w:cs="Arial"/>
                <w:iCs/>
                <w:sz w:val="18"/>
                <w:szCs w:val="18"/>
              </w:rPr>
              <w:lastRenderedPageBreak/>
              <w:t>Comment number</w:t>
            </w:r>
          </w:p>
        </w:tc>
        <w:tc>
          <w:tcPr>
            <w:tcW w:w="1817" w:type="dxa"/>
            <w:shd w:val="clear" w:color="auto" w:fill="D9D9D9" w:themeFill="background1" w:themeFillShade="D9"/>
            <w:vAlign w:val="center"/>
          </w:tcPr>
          <w:p w14:paraId="7712F1A0" w14:textId="77777777" w:rsidR="004248FF" w:rsidRPr="001B34F0" w:rsidRDefault="004248FF" w:rsidP="00417BB1">
            <w:pPr>
              <w:pStyle w:val="Heading1"/>
              <w:spacing w:before="0" w:after="0"/>
              <w:rPr>
                <w:rFonts w:cs="Arial"/>
                <w:iCs/>
                <w:sz w:val="18"/>
                <w:szCs w:val="18"/>
              </w:rPr>
            </w:pPr>
            <w:r w:rsidRPr="001B34F0">
              <w:rPr>
                <w:rFonts w:cs="Arial"/>
                <w:iCs/>
                <w:sz w:val="18"/>
                <w:szCs w:val="18"/>
              </w:rPr>
              <w:t>Name and organisation</w:t>
            </w:r>
          </w:p>
        </w:tc>
        <w:tc>
          <w:tcPr>
            <w:tcW w:w="2051" w:type="dxa"/>
            <w:shd w:val="clear" w:color="auto" w:fill="D9D9D9" w:themeFill="background1" w:themeFillShade="D9"/>
            <w:vAlign w:val="center"/>
          </w:tcPr>
          <w:p w14:paraId="2CCC8ADA" w14:textId="77777777" w:rsidR="004248FF" w:rsidRPr="001B34F0" w:rsidRDefault="004248FF" w:rsidP="00417BB1">
            <w:pPr>
              <w:pStyle w:val="Title"/>
              <w:spacing w:before="0" w:after="0"/>
              <w:jc w:val="left"/>
              <w:rPr>
                <w:rFonts w:cs="Arial"/>
                <w:iCs/>
                <w:sz w:val="18"/>
                <w:szCs w:val="18"/>
              </w:rPr>
            </w:pPr>
            <w:r w:rsidRPr="001B34F0">
              <w:rPr>
                <w:rFonts w:cs="Arial"/>
                <w:iCs/>
                <w:sz w:val="18"/>
                <w:szCs w:val="18"/>
              </w:rPr>
              <w:t>Section number</w:t>
            </w:r>
          </w:p>
        </w:tc>
        <w:tc>
          <w:tcPr>
            <w:tcW w:w="5334" w:type="dxa"/>
            <w:shd w:val="clear" w:color="auto" w:fill="D9D9D9" w:themeFill="background1" w:themeFillShade="D9"/>
            <w:vAlign w:val="center"/>
          </w:tcPr>
          <w:p w14:paraId="3DF78D42" w14:textId="77777777" w:rsidR="004248FF" w:rsidRPr="001B34F0" w:rsidRDefault="004248FF" w:rsidP="00417BB1">
            <w:pPr>
              <w:pStyle w:val="Title"/>
              <w:tabs>
                <w:tab w:val="left" w:pos="3444"/>
              </w:tabs>
              <w:spacing w:before="0" w:after="0"/>
              <w:jc w:val="left"/>
              <w:rPr>
                <w:rFonts w:cs="Arial"/>
                <w:iCs/>
                <w:sz w:val="18"/>
                <w:szCs w:val="18"/>
              </w:rPr>
            </w:pPr>
            <w:r w:rsidRPr="001B34F0">
              <w:rPr>
                <w:rFonts w:cs="Arial"/>
                <w:iCs/>
                <w:sz w:val="18"/>
                <w:szCs w:val="18"/>
              </w:rPr>
              <w:t>Comment</w:t>
            </w:r>
            <w:r w:rsidRPr="001B34F0">
              <w:rPr>
                <w:rFonts w:cs="Arial"/>
                <w:iCs/>
                <w:sz w:val="18"/>
                <w:szCs w:val="18"/>
              </w:rPr>
              <w:tab/>
            </w:r>
          </w:p>
        </w:tc>
        <w:tc>
          <w:tcPr>
            <w:tcW w:w="4910" w:type="dxa"/>
            <w:shd w:val="clear" w:color="auto" w:fill="D9D9D9" w:themeFill="background1" w:themeFillShade="D9"/>
            <w:vAlign w:val="center"/>
          </w:tcPr>
          <w:p w14:paraId="5CF3026E" w14:textId="3E6502AF" w:rsidR="004248FF" w:rsidRPr="001B34F0" w:rsidRDefault="004248FF" w:rsidP="00417BB1">
            <w:pPr>
              <w:pStyle w:val="Title"/>
              <w:spacing w:before="0" w:after="0"/>
              <w:jc w:val="left"/>
              <w:rPr>
                <w:rFonts w:cs="Arial"/>
                <w:iCs/>
                <w:sz w:val="18"/>
                <w:szCs w:val="18"/>
              </w:rPr>
            </w:pPr>
            <w:r w:rsidRPr="001B34F0">
              <w:rPr>
                <w:rFonts w:cs="Arial"/>
                <w:iCs/>
                <w:sz w:val="18"/>
                <w:szCs w:val="18"/>
              </w:rPr>
              <w:t>NICE</w:t>
            </w:r>
            <w:r w:rsidR="0089790F">
              <w:rPr>
                <w:rFonts w:cs="Arial"/>
                <w:iCs/>
                <w:sz w:val="18"/>
                <w:szCs w:val="18"/>
              </w:rPr>
              <w:t xml:space="preserve"> response</w:t>
            </w:r>
          </w:p>
        </w:tc>
      </w:tr>
      <w:tr w:rsidR="007B55C3" w:rsidRPr="001B34F0" w14:paraId="48069EA2" w14:textId="77777777" w:rsidTr="007B55C3">
        <w:trPr>
          <w:trHeight w:val="470"/>
        </w:trPr>
        <w:tc>
          <w:tcPr>
            <w:tcW w:w="1232" w:type="dxa"/>
          </w:tcPr>
          <w:p w14:paraId="3061C107" w14:textId="047DD562" w:rsidR="007B55C3" w:rsidRPr="001B34F0" w:rsidRDefault="00AE6638" w:rsidP="00417BB1">
            <w:pPr>
              <w:rPr>
                <w:rFonts w:ascii="Arial" w:hAnsi="Arial" w:cs="Arial"/>
                <w:sz w:val="18"/>
                <w:szCs w:val="18"/>
              </w:rPr>
            </w:pPr>
            <w:r w:rsidRPr="001B34F0">
              <w:rPr>
                <w:rFonts w:ascii="Arial" w:hAnsi="Arial" w:cs="Arial"/>
                <w:sz w:val="18"/>
                <w:szCs w:val="18"/>
              </w:rPr>
              <w:t>5</w:t>
            </w:r>
          </w:p>
        </w:tc>
        <w:tc>
          <w:tcPr>
            <w:tcW w:w="1817" w:type="dxa"/>
          </w:tcPr>
          <w:p w14:paraId="3136E51D" w14:textId="4ADC0384" w:rsidR="007B55C3" w:rsidRPr="001B34F0" w:rsidRDefault="007B55C3" w:rsidP="00417BB1">
            <w:pPr>
              <w:rPr>
                <w:rFonts w:ascii="Arial" w:hAnsi="Arial" w:cs="Arial"/>
                <w:sz w:val="18"/>
                <w:szCs w:val="18"/>
              </w:rPr>
            </w:pPr>
            <w:r w:rsidRPr="001B34F0">
              <w:rPr>
                <w:rFonts w:ascii="Arial" w:hAnsi="Arial" w:cs="Arial"/>
                <w:sz w:val="18"/>
                <w:szCs w:val="18"/>
              </w:rPr>
              <w:t>Global Kinetics Corporation</w:t>
            </w:r>
          </w:p>
        </w:tc>
        <w:tc>
          <w:tcPr>
            <w:tcW w:w="2051" w:type="dxa"/>
          </w:tcPr>
          <w:p w14:paraId="22004C86" w14:textId="796E7777" w:rsidR="007B55C3" w:rsidRPr="001B34F0" w:rsidRDefault="007B55C3" w:rsidP="00417BB1">
            <w:pPr>
              <w:rPr>
                <w:rFonts w:ascii="Arial" w:hAnsi="Arial" w:cs="Arial"/>
                <w:sz w:val="18"/>
                <w:szCs w:val="18"/>
              </w:rPr>
            </w:pPr>
            <w:r w:rsidRPr="001B34F0">
              <w:rPr>
                <w:rFonts w:ascii="Arial" w:hAnsi="Arial" w:cs="Arial"/>
                <w:sz w:val="18"/>
                <w:szCs w:val="18"/>
              </w:rPr>
              <w:t>1. Recommendations</w:t>
            </w:r>
          </w:p>
        </w:tc>
        <w:tc>
          <w:tcPr>
            <w:tcW w:w="5334" w:type="dxa"/>
          </w:tcPr>
          <w:p w14:paraId="693B03D8" w14:textId="77777777" w:rsidR="007B55C3" w:rsidRPr="001B34F0" w:rsidRDefault="007B55C3" w:rsidP="00417BB1">
            <w:pPr>
              <w:rPr>
                <w:rFonts w:ascii="Arial" w:hAnsi="Arial" w:cs="Arial"/>
                <w:sz w:val="18"/>
                <w:szCs w:val="18"/>
              </w:rPr>
            </w:pPr>
            <w:r w:rsidRPr="001B34F0">
              <w:rPr>
                <w:rFonts w:ascii="Arial" w:hAnsi="Arial" w:cs="Arial"/>
                <w:sz w:val="18"/>
                <w:szCs w:val="18"/>
              </w:rPr>
              <w:t>All wearable devices operate on unique algorithms and have undergone different validation studies to demonstrate efficacy. In its current form, the draft recommendations fail to recognise the difference in clinical data available for the individual devices. Because each device included in the assessment undergoes its own validation studies, collecting ongoing evidence, efficacy data, post-market surveillance data, etc., these results are not transferable between devices, and the evidence cannot be treated in a generic fashion.</w:t>
            </w:r>
          </w:p>
          <w:p w14:paraId="180F76B9" w14:textId="77777777" w:rsidR="007B55C3" w:rsidRPr="001B34F0" w:rsidRDefault="007B55C3" w:rsidP="00417BB1">
            <w:pPr>
              <w:rPr>
                <w:rFonts w:ascii="Arial" w:hAnsi="Arial" w:cs="Arial"/>
                <w:sz w:val="18"/>
                <w:szCs w:val="18"/>
              </w:rPr>
            </w:pPr>
          </w:p>
          <w:p w14:paraId="244A5759" w14:textId="77777777" w:rsidR="007B55C3" w:rsidRPr="001B34F0" w:rsidRDefault="007B55C3" w:rsidP="00417BB1">
            <w:pPr>
              <w:rPr>
                <w:rFonts w:ascii="Arial" w:hAnsi="Arial" w:cs="Arial"/>
                <w:sz w:val="18"/>
                <w:szCs w:val="18"/>
              </w:rPr>
            </w:pPr>
            <w:r w:rsidRPr="001B34F0">
              <w:rPr>
                <w:rFonts w:ascii="Arial" w:hAnsi="Arial" w:cs="Arial"/>
                <w:sz w:val="18"/>
                <w:szCs w:val="18"/>
              </w:rPr>
              <w:t>Given the complete absence of information directly comparing the outcomes of one device with another, it is a justifiable concern that generalising PKG with other devices described in the NICE recommendation is not evidence-based.</w:t>
            </w:r>
          </w:p>
          <w:p w14:paraId="5305B764" w14:textId="77777777" w:rsidR="007B55C3" w:rsidRPr="001B34F0" w:rsidRDefault="007B55C3" w:rsidP="00417BB1">
            <w:pPr>
              <w:rPr>
                <w:rFonts w:ascii="Arial" w:hAnsi="Arial" w:cs="Arial"/>
                <w:sz w:val="18"/>
                <w:szCs w:val="18"/>
              </w:rPr>
            </w:pPr>
          </w:p>
          <w:p w14:paraId="1D594ACD" w14:textId="77777777" w:rsidR="007B55C3" w:rsidRPr="001B34F0" w:rsidRDefault="007B55C3" w:rsidP="00417BB1">
            <w:pPr>
              <w:rPr>
                <w:rFonts w:ascii="Arial" w:hAnsi="Arial" w:cs="Arial"/>
                <w:sz w:val="18"/>
                <w:szCs w:val="18"/>
              </w:rPr>
            </w:pPr>
            <w:r w:rsidRPr="001B34F0">
              <w:rPr>
                <w:rFonts w:ascii="Arial" w:hAnsi="Arial" w:cs="Arial"/>
                <w:sz w:val="18"/>
                <w:szCs w:val="18"/>
              </w:rPr>
              <w:t>Outlined below are several issues regarding the decision to recommend all devices equally, along with supporting evidence justifying the position to uniquely recognise PKG based on its clinical data:</w:t>
            </w:r>
          </w:p>
          <w:p w14:paraId="05975B4A" w14:textId="77777777" w:rsidR="007B55C3" w:rsidRPr="001B34F0" w:rsidRDefault="007B55C3" w:rsidP="00417BB1">
            <w:pPr>
              <w:rPr>
                <w:rFonts w:ascii="Arial" w:hAnsi="Arial" w:cs="Arial"/>
                <w:sz w:val="18"/>
                <w:szCs w:val="18"/>
              </w:rPr>
            </w:pPr>
          </w:p>
          <w:p w14:paraId="1A95DDEF" w14:textId="77777777" w:rsidR="007B55C3" w:rsidRPr="001B34F0" w:rsidRDefault="007B55C3" w:rsidP="00417BB1">
            <w:pPr>
              <w:numPr>
                <w:ilvl w:val="0"/>
                <w:numId w:val="22"/>
              </w:numPr>
              <w:rPr>
                <w:rFonts w:ascii="Arial" w:hAnsi="Arial" w:cs="Arial"/>
                <w:sz w:val="18"/>
                <w:szCs w:val="18"/>
              </w:rPr>
            </w:pPr>
            <w:r w:rsidRPr="001B34F0">
              <w:rPr>
                <w:rFonts w:ascii="Arial" w:hAnsi="Arial" w:cs="Arial"/>
                <w:sz w:val="18"/>
                <w:szCs w:val="18"/>
              </w:rPr>
              <w:t>PKG has completed 57 studies; a wealth of evidence – especially when compared to the other devices. The studies represent a massive scientific and financial commitment over the last 15 years by the company</w:t>
            </w:r>
            <w:r w:rsidRPr="001B34F0">
              <w:rPr>
                <w:rFonts w:ascii="Arial" w:hAnsi="Arial" w:cs="Arial"/>
                <w:color w:val="FF0000"/>
                <w:sz w:val="18"/>
                <w:szCs w:val="18"/>
              </w:rPr>
              <w:t xml:space="preserve"> </w:t>
            </w:r>
            <w:r w:rsidRPr="001B34F0">
              <w:rPr>
                <w:rFonts w:ascii="Arial" w:hAnsi="Arial" w:cs="Arial"/>
                <w:sz w:val="18"/>
                <w:szCs w:val="18"/>
              </w:rPr>
              <w:t>and we request that the Committee give greater weight to this evidence base within the recommendations.</w:t>
            </w:r>
          </w:p>
          <w:p w14:paraId="026FC835" w14:textId="77777777" w:rsidR="007B55C3" w:rsidRPr="001B34F0" w:rsidRDefault="007B55C3" w:rsidP="00417BB1">
            <w:pPr>
              <w:numPr>
                <w:ilvl w:val="0"/>
                <w:numId w:val="22"/>
              </w:numPr>
              <w:rPr>
                <w:rFonts w:ascii="Arial" w:hAnsi="Arial" w:cs="Arial"/>
                <w:sz w:val="18"/>
                <w:szCs w:val="18"/>
              </w:rPr>
            </w:pPr>
            <w:r w:rsidRPr="001B34F0">
              <w:rPr>
                <w:rFonts w:ascii="Arial" w:hAnsi="Arial" w:cs="Arial"/>
                <w:sz w:val="18"/>
                <w:szCs w:val="18"/>
              </w:rPr>
              <w:lastRenderedPageBreak/>
              <w:t xml:space="preserve">The EAG’s states “that there is too little evidence for </w:t>
            </w:r>
            <w:proofErr w:type="spellStart"/>
            <w:r w:rsidRPr="001B34F0">
              <w:rPr>
                <w:rFonts w:ascii="Arial" w:hAnsi="Arial" w:cs="Arial"/>
                <w:sz w:val="18"/>
                <w:szCs w:val="18"/>
              </w:rPr>
              <w:t>KinesiaU</w:t>
            </w:r>
            <w:proofErr w:type="spellEnd"/>
            <w:r w:rsidRPr="001B34F0">
              <w:rPr>
                <w:rFonts w:ascii="Arial" w:hAnsi="Arial" w:cs="Arial"/>
                <w:sz w:val="18"/>
                <w:szCs w:val="18"/>
              </w:rPr>
              <w:t xml:space="preserve"> or </w:t>
            </w:r>
            <w:proofErr w:type="spellStart"/>
            <w:r w:rsidRPr="001B34F0">
              <w:rPr>
                <w:rFonts w:ascii="Arial" w:hAnsi="Arial" w:cs="Arial"/>
                <w:sz w:val="18"/>
                <w:szCs w:val="18"/>
              </w:rPr>
              <w:t>PDMMonitor</w:t>
            </w:r>
            <w:proofErr w:type="spellEnd"/>
            <w:r w:rsidRPr="001B34F0">
              <w:rPr>
                <w:rFonts w:ascii="Arial" w:hAnsi="Arial" w:cs="Arial"/>
                <w:sz w:val="18"/>
                <w:szCs w:val="18"/>
              </w:rPr>
              <w:t xml:space="preserve"> to draw any conclusions as to their clinical value”</w:t>
            </w:r>
            <w:r w:rsidRPr="001B34F0">
              <w:rPr>
                <w:rFonts w:ascii="Arial" w:hAnsi="Arial" w:cs="Arial"/>
                <w:sz w:val="18"/>
                <w:szCs w:val="18"/>
                <w:vertAlign w:val="superscript"/>
              </w:rPr>
              <w:t>3</w:t>
            </w:r>
            <w:r w:rsidRPr="001B34F0">
              <w:rPr>
                <w:rFonts w:ascii="Arial" w:hAnsi="Arial" w:cs="Arial"/>
                <w:sz w:val="18"/>
                <w:szCs w:val="18"/>
              </w:rPr>
              <w:t xml:space="preserve"> and “The evidence was limited in extent and often low quality. For all devices </w:t>
            </w:r>
            <w:r w:rsidRPr="001B34F0">
              <w:rPr>
                <w:rFonts w:ascii="Arial" w:hAnsi="Arial" w:cs="Arial"/>
                <w:b/>
                <w:bCs/>
                <w:sz w:val="18"/>
                <w:szCs w:val="18"/>
              </w:rPr>
              <w:t>except PKG</w:t>
            </w:r>
            <w:r w:rsidRPr="001B34F0">
              <w:rPr>
                <w:rFonts w:ascii="Arial" w:hAnsi="Arial" w:cs="Arial"/>
                <w:sz w:val="18"/>
                <w:szCs w:val="18"/>
              </w:rPr>
              <w:t xml:space="preserve"> there was little to no evidence on the clinical impact of the technology”</w:t>
            </w:r>
            <w:r w:rsidRPr="001B34F0">
              <w:rPr>
                <w:rFonts w:ascii="Arial" w:hAnsi="Arial" w:cs="Arial"/>
                <w:sz w:val="18"/>
                <w:szCs w:val="18"/>
                <w:vertAlign w:val="superscript"/>
              </w:rPr>
              <w:t>3</w:t>
            </w:r>
            <w:r w:rsidRPr="001B34F0">
              <w:rPr>
                <w:rFonts w:ascii="Arial" w:hAnsi="Arial" w:cs="Arial"/>
                <w:sz w:val="18"/>
                <w:szCs w:val="18"/>
              </w:rPr>
              <w:t xml:space="preserve">. </w:t>
            </w:r>
          </w:p>
          <w:p w14:paraId="15605D71" w14:textId="77777777" w:rsidR="007B55C3" w:rsidRPr="001B34F0" w:rsidRDefault="007B55C3" w:rsidP="00417BB1">
            <w:pPr>
              <w:ind w:left="840"/>
              <w:rPr>
                <w:rFonts w:ascii="Arial" w:hAnsi="Arial" w:cs="Arial"/>
                <w:sz w:val="18"/>
                <w:szCs w:val="18"/>
              </w:rPr>
            </w:pPr>
          </w:p>
          <w:p w14:paraId="2CED76C5" w14:textId="77777777" w:rsidR="007B55C3" w:rsidRPr="001B34F0" w:rsidRDefault="007B55C3" w:rsidP="00417BB1">
            <w:pPr>
              <w:ind w:left="840"/>
              <w:rPr>
                <w:rFonts w:ascii="Arial" w:hAnsi="Arial" w:cs="Arial"/>
                <w:sz w:val="18"/>
                <w:szCs w:val="18"/>
              </w:rPr>
            </w:pPr>
            <w:r w:rsidRPr="001B34F0">
              <w:rPr>
                <w:rFonts w:ascii="Arial" w:hAnsi="Arial" w:cs="Arial"/>
                <w:sz w:val="18"/>
                <w:szCs w:val="18"/>
              </w:rPr>
              <w:t xml:space="preserve">The draft recommendation in its current form, however, gives insufficient weight to these statements and lists these devices together with PKG – a device with substantial positive validation and clinical utility evidence. Further, regarding including these other devices interchangeably with PKG – there is the question of legality from a medical device regulatory perspective. The EAG’s own documents recognise there is only sufficient clinical evidence to make a recommendation for the PKG. Both UK and EU MD regulations forbid clinical generalisation of devices, other than for those devices which are defined as being legally equivalent, as defined by UK and EU legislation. The current EU MDR explains legal equivalence as a medical device that can claim biological (e.g., materials and sub-characteristics), technical (e.g., design, use, performance, and sub-characteristics) and clinical equivalence (e.g., clinical conditions, population, site in the body, sub-characteristics); in claiming such, there is increased </w:t>
            </w:r>
            <w:r w:rsidRPr="001B34F0">
              <w:rPr>
                <w:rFonts w:ascii="Arial" w:hAnsi="Arial" w:cs="Arial"/>
                <w:sz w:val="18"/>
                <w:szCs w:val="18"/>
              </w:rPr>
              <w:lastRenderedPageBreak/>
              <w:t>scrutiny by Notified Bodies and Designating Authorities</w:t>
            </w:r>
            <w:r w:rsidRPr="001B34F0">
              <w:rPr>
                <w:rFonts w:ascii="Arial" w:hAnsi="Arial" w:cs="Arial"/>
                <w:sz w:val="18"/>
                <w:szCs w:val="18"/>
                <w:vertAlign w:val="superscript"/>
              </w:rPr>
              <w:t>2,4,5,6</w:t>
            </w:r>
            <w:r w:rsidRPr="001B34F0">
              <w:rPr>
                <w:rFonts w:ascii="Arial" w:hAnsi="Arial" w:cs="Arial"/>
                <w:sz w:val="18"/>
                <w:szCs w:val="18"/>
              </w:rPr>
              <w:t>.</w:t>
            </w:r>
          </w:p>
          <w:p w14:paraId="2CF22F52" w14:textId="77777777" w:rsidR="007B55C3" w:rsidRPr="001B34F0" w:rsidRDefault="007B55C3" w:rsidP="00417BB1">
            <w:pPr>
              <w:rPr>
                <w:rFonts w:ascii="Arial" w:hAnsi="Arial" w:cs="Arial"/>
                <w:sz w:val="18"/>
                <w:szCs w:val="18"/>
              </w:rPr>
            </w:pPr>
          </w:p>
          <w:p w14:paraId="620E28C4" w14:textId="77777777" w:rsidR="007B55C3" w:rsidRPr="001B34F0" w:rsidRDefault="007B55C3" w:rsidP="00417BB1">
            <w:pPr>
              <w:rPr>
                <w:rFonts w:ascii="Arial" w:hAnsi="Arial" w:cs="Arial"/>
                <w:sz w:val="18"/>
                <w:szCs w:val="18"/>
              </w:rPr>
            </w:pPr>
            <w:r w:rsidRPr="001B34F0">
              <w:rPr>
                <w:rFonts w:ascii="Arial" w:hAnsi="Arial" w:cs="Arial"/>
                <w:sz w:val="18"/>
                <w:szCs w:val="18"/>
              </w:rPr>
              <w:t>The information above, and references below, evidence why the draft recommendation is potentially insufficient from a clinical viewpoint and is incompatible with existing medical device legislation from a regulatory standpoint</w:t>
            </w:r>
            <w:r w:rsidRPr="001B34F0">
              <w:rPr>
                <w:rFonts w:ascii="Arial" w:hAnsi="Arial" w:cs="Arial"/>
                <w:sz w:val="18"/>
                <w:szCs w:val="18"/>
                <w:vertAlign w:val="superscript"/>
              </w:rPr>
              <w:t>4,5,6</w:t>
            </w:r>
            <w:r w:rsidRPr="001B34F0">
              <w:rPr>
                <w:rFonts w:ascii="Arial" w:hAnsi="Arial" w:cs="Arial"/>
                <w:sz w:val="18"/>
                <w:szCs w:val="18"/>
              </w:rPr>
              <w:t>. An accurate and legally compliant recommendation would recognise PKG as having significantly more data regarding the device mechanism, and that its algorithms have been thoroughly validated and have demonstrated clinical benefit.</w:t>
            </w:r>
          </w:p>
          <w:p w14:paraId="543EC816" w14:textId="77777777" w:rsidR="007B55C3" w:rsidRPr="001B34F0" w:rsidRDefault="007B55C3" w:rsidP="00417BB1">
            <w:pPr>
              <w:rPr>
                <w:rFonts w:ascii="Arial" w:hAnsi="Arial" w:cs="Arial"/>
                <w:sz w:val="18"/>
                <w:szCs w:val="18"/>
              </w:rPr>
            </w:pPr>
          </w:p>
          <w:p w14:paraId="078EC884" w14:textId="77777777" w:rsidR="007B55C3" w:rsidRPr="001B34F0" w:rsidRDefault="007B55C3" w:rsidP="00417BB1">
            <w:pPr>
              <w:rPr>
                <w:rFonts w:ascii="Arial" w:hAnsi="Arial" w:cs="Arial"/>
                <w:sz w:val="18"/>
                <w:szCs w:val="18"/>
              </w:rPr>
            </w:pPr>
            <w:r w:rsidRPr="001B34F0">
              <w:rPr>
                <w:rFonts w:ascii="Arial" w:hAnsi="Arial" w:cs="Arial"/>
                <w:sz w:val="18"/>
                <w:szCs w:val="18"/>
              </w:rPr>
              <w:t xml:space="preserve">The recommendation should clearly separate PKG from the other devices reviewed – as none of the other devices are, nor claim to be, legally equivalent to the PKG. A recent MHRA Consultation document outlines the importance of this too: “After careful consideration of consultation responses, the government intends to introduce requirements on entire equivalence on a biological, </w:t>
            </w:r>
            <w:proofErr w:type="gramStart"/>
            <w:r w:rsidRPr="001B34F0">
              <w:rPr>
                <w:rFonts w:ascii="Arial" w:hAnsi="Arial" w:cs="Arial"/>
                <w:sz w:val="18"/>
                <w:szCs w:val="18"/>
              </w:rPr>
              <w:t>technical</w:t>
            </w:r>
            <w:proofErr w:type="gramEnd"/>
            <w:r w:rsidRPr="001B34F0">
              <w:rPr>
                <w:rFonts w:ascii="Arial" w:hAnsi="Arial" w:cs="Arial"/>
                <w:sz w:val="18"/>
                <w:szCs w:val="18"/>
              </w:rPr>
              <w:t xml:space="preserve"> and clinical basis (please note that we have amended the wording from “physical” basis in the consultation document to “technical” basis in order to align with the recognised international terminology). </w:t>
            </w:r>
            <w:r w:rsidRPr="001B34F0">
              <w:rPr>
                <w:rFonts w:ascii="Arial" w:hAnsi="Arial" w:cs="Arial"/>
                <w:b/>
                <w:bCs/>
                <w:sz w:val="18"/>
                <w:szCs w:val="18"/>
              </w:rPr>
              <w:t>This approach would take us beyond the equivalence requirements in the EU MDR</w:t>
            </w:r>
            <w:r w:rsidRPr="001B34F0">
              <w:rPr>
                <w:rFonts w:ascii="Arial" w:hAnsi="Arial" w:cs="Arial"/>
                <w:sz w:val="18"/>
                <w:szCs w:val="18"/>
              </w:rPr>
              <w:t>”</w:t>
            </w:r>
            <w:r w:rsidRPr="001B34F0">
              <w:rPr>
                <w:rFonts w:ascii="Arial" w:hAnsi="Arial" w:cs="Arial"/>
                <w:sz w:val="18"/>
                <w:szCs w:val="18"/>
                <w:vertAlign w:val="superscript"/>
              </w:rPr>
              <w:t>1</w:t>
            </w:r>
            <w:r w:rsidRPr="001B34F0">
              <w:rPr>
                <w:rFonts w:ascii="Arial" w:hAnsi="Arial" w:cs="Arial"/>
                <w:sz w:val="18"/>
                <w:szCs w:val="18"/>
              </w:rPr>
              <w:t xml:space="preserve"> </w:t>
            </w:r>
          </w:p>
          <w:p w14:paraId="0BAF1F3D" w14:textId="77777777" w:rsidR="007B55C3" w:rsidRPr="001B34F0" w:rsidRDefault="007B55C3" w:rsidP="00417BB1">
            <w:pPr>
              <w:ind w:left="840"/>
              <w:rPr>
                <w:rFonts w:ascii="Arial" w:hAnsi="Arial" w:cs="Arial"/>
                <w:sz w:val="18"/>
                <w:szCs w:val="18"/>
              </w:rPr>
            </w:pPr>
          </w:p>
          <w:p w14:paraId="584E0BE0" w14:textId="77777777" w:rsidR="007B55C3" w:rsidRPr="001B34F0" w:rsidRDefault="007B55C3" w:rsidP="00417BB1">
            <w:pPr>
              <w:ind w:left="840"/>
              <w:rPr>
                <w:rFonts w:ascii="Arial" w:hAnsi="Arial" w:cs="Arial"/>
                <w:sz w:val="18"/>
                <w:szCs w:val="18"/>
              </w:rPr>
            </w:pPr>
          </w:p>
          <w:p w14:paraId="452A6A5D" w14:textId="77777777" w:rsidR="007B55C3" w:rsidRPr="001B34F0" w:rsidRDefault="007B55C3" w:rsidP="00417BB1">
            <w:pPr>
              <w:numPr>
                <w:ilvl w:val="0"/>
                <w:numId w:val="23"/>
              </w:numPr>
              <w:rPr>
                <w:rFonts w:ascii="Arial" w:hAnsi="Arial" w:cs="Arial"/>
                <w:sz w:val="18"/>
                <w:szCs w:val="18"/>
              </w:rPr>
            </w:pPr>
            <w:r w:rsidRPr="001B34F0">
              <w:rPr>
                <w:rFonts w:ascii="Arial" w:hAnsi="Arial" w:cs="Arial"/>
                <w:sz w:val="18"/>
                <w:szCs w:val="18"/>
              </w:rPr>
              <w:t>(Consultation on the future regulation of medical devices in the United Kingdom, MHRA, 26</w:t>
            </w:r>
            <w:r w:rsidRPr="001B34F0">
              <w:rPr>
                <w:rFonts w:ascii="Arial" w:hAnsi="Arial" w:cs="Arial"/>
                <w:sz w:val="18"/>
                <w:szCs w:val="18"/>
                <w:vertAlign w:val="superscript"/>
              </w:rPr>
              <w:t>th</w:t>
            </w:r>
            <w:r w:rsidRPr="001B34F0">
              <w:rPr>
                <w:rFonts w:ascii="Arial" w:hAnsi="Arial" w:cs="Arial"/>
                <w:sz w:val="18"/>
                <w:szCs w:val="18"/>
              </w:rPr>
              <w:t xml:space="preserve"> June </w:t>
            </w:r>
            <w:r w:rsidRPr="001B34F0">
              <w:rPr>
                <w:rFonts w:ascii="Arial" w:hAnsi="Arial" w:cs="Arial"/>
                <w:sz w:val="18"/>
                <w:szCs w:val="18"/>
              </w:rPr>
              <w:lastRenderedPageBreak/>
              <w:t xml:space="preserve">2022; </w:t>
            </w:r>
            <w:hyperlink r:id="rId15" w:history="1">
              <w:r w:rsidRPr="001B34F0">
                <w:rPr>
                  <w:rStyle w:val="Hyperlink"/>
                  <w:rFonts w:ascii="Arial" w:hAnsi="Arial" w:cs="Arial"/>
                  <w:sz w:val="18"/>
                  <w:szCs w:val="18"/>
                </w:rPr>
                <w:t>https://www.gov.uk/government/consultations/consultation-on-the-future-regulation-of-medical-devices-in-the-united-kingdom/outcome/chapter-7-clinical-investigation-and-performance-studies</w:t>
              </w:r>
            </w:hyperlink>
            <w:r w:rsidRPr="001B34F0">
              <w:rPr>
                <w:rFonts w:ascii="Arial" w:hAnsi="Arial" w:cs="Arial"/>
                <w:sz w:val="18"/>
                <w:szCs w:val="18"/>
              </w:rPr>
              <w:t xml:space="preserve"> </w:t>
            </w:r>
          </w:p>
          <w:p w14:paraId="073F5166" w14:textId="77777777" w:rsidR="007B55C3" w:rsidRPr="001B34F0" w:rsidRDefault="007B55C3" w:rsidP="00417BB1">
            <w:pPr>
              <w:numPr>
                <w:ilvl w:val="0"/>
                <w:numId w:val="23"/>
              </w:numPr>
              <w:rPr>
                <w:rFonts w:ascii="Arial" w:hAnsi="Arial" w:cs="Arial"/>
                <w:sz w:val="18"/>
                <w:szCs w:val="18"/>
              </w:rPr>
            </w:pPr>
            <w:r w:rsidRPr="001B34F0">
              <w:rPr>
                <w:rFonts w:ascii="Arial" w:hAnsi="Arial" w:cs="Arial"/>
                <w:sz w:val="18"/>
                <w:szCs w:val="18"/>
              </w:rPr>
              <w:t xml:space="preserve">MDCG 2020-05, Clinical Evaluation – Equivalence, A guide for manufacturers and Notified Bodies, April 2020 </w:t>
            </w:r>
            <w:hyperlink r:id="rId16" w:anchor=":~:text=The%20MDR%20requires%20that%20biological,with%20similar%20release%20characteristics%20of" w:history="1">
              <w:r w:rsidRPr="001B34F0">
                <w:rPr>
                  <w:rStyle w:val="Hyperlink"/>
                  <w:rFonts w:ascii="Arial" w:hAnsi="Arial" w:cs="Arial"/>
                  <w:sz w:val="18"/>
                  <w:szCs w:val="18"/>
                </w:rPr>
                <w:t>https://health.ec.europa.eu/system/files/2020-09/md_mdcg_2020_5_guidance_clinical_evaluation_equivalence_en_0.pdf#:~:text=The%20MDR%20requires%20that%20biological,with%20similar%20release%20characteristics%20of</w:t>
              </w:r>
            </w:hyperlink>
            <w:r w:rsidRPr="001B34F0">
              <w:rPr>
                <w:rFonts w:ascii="Arial" w:hAnsi="Arial" w:cs="Arial"/>
                <w:sz w:val="18"/>
                <w:szCs w:val="18"/>
              </w:rPr>
              <w:t xml:space="preserve"> </w:t>
            </w:r>
          </w:p>
          <w:p w14:paraId="232260D7" w14:textId="77777777" w:rsidR="007B55C3" w:rsidRPr="001B34F0" w:rsidRDefault="007B55C3" w:rsidP="00417BB1">
            <w:pPr>
              <w:numPr>
                <w:ilvl w:val="0"/>
                <w:numId w:val="23"/>
              </w:numPr>
              <w:rPr>
                <w:rFonts w:ascii="Arial" w:hAnsi="Arial" w:cs="Arial"/>
                <w:sz w:val="18"/>
                <w:szCs w:val="18"/>
              </w:rPr>
            </w:pPr>
            <w:r w:rsidRPr="001B34F0">
              <w:rPr>
                <w:rFonts w:ascii="Arial" w:hAnsi="Arial" w:cs="Arial"/>
                <w:sz w:val="18"/>
                <w:szCs w:val="18"/>
              </w:rPr>
              <w:t>DAP61 EAG’s Assessment Group Report, Devices for remote continuous monitoring of people with Parkinson’s disease, 2</w:t>
            </w:r>
            <w:r w:rsidRPr="001B34F0">
              <w:rPr>
                <w:rFonts w:ascii="Arial" w:hAnsi="Arial" w:cs="Arial"/>
                <w:sz w:val="18"/>
                <w:szCs w:val="18"/>
                <w:vertAlign w:val="superscript"/>
              </w:rPr>
              <w:t>nd</w:t>
            </w:r>
            <w:r w:rsidRPr="001B34F0">
              <w:rPr>
                <w:rFonts w:ascii="Arial" w:hAnsi="Arial" w:cs="Arial"/>
                <w:sz w:val="18"/>
                <w:szCs w:val="18"/>
              </w:rPr>
              <w:t xml:space="preserve"> Aug 2022, Pg 11, Conclusion and Page 3&amp;4 Limitations  </w:t>
            </w:r>
          </w:p>
          <w:p w14:paraId="78E9E714" w14:textId="77777777" w:rsidR="007B55C3" w:rsidRPr="001B34F0" w:rsidRDefault="007B55C3" w:rsidP="00417BB1">
            <w:pPr>
              <w:numPr>
                <w:ilvl w:val="0"/>
                <w:numId w:val="23"/>
              </w:numPr>
              <w:rPr>
                <w:rFonts w:ascii="Arial" w:hAnsi="Arial" w:cs="Arial"/>
                <w:sz w:val="18"/>
                <w:szCs w:val="18"/>
              </w:rPr>
            </w:pPr>
            <w:r w:rsidRPr="001B34F0">
              <w:rPr>
                <w:rFonts w:ascii="Arial" w:hAnsi="Arial" w:cs="Arial"/>
                <w:sz w:val="18"/>
                <w:szCs w:val="18"/>
              </w:rPr>
              <w:t>CLINICAL EVALUATION: MEDDEV 2.7/1 revision 4, A GUIDE FOR MANUFACTURERS AND NOTIFIED BODIES UNDER DIRECTIVES 93/42/EEC and 90/385/EE, Guidelines on Medical Devices, June 2016</w:t>
            </w:r>
          </w:p>
          <w:p w14:paraId="4052D557" w14:textId="77777777" w:rsidR="007B55C3" w:rsidRPr="001B34F0" w:rsidRDefault="007B55C3" w:rsidP="00417BB1">
            <w:pPr>
              <w:numPr>
                <w:ilvl w:val="0"/>
                <w:numId w:val="23"/>
              </w:numPr>
              <w:rPr>
                <w:rFonts w:ascii="Arial" w:hAnsi="Arial" w:cs="Arial"/>
                <w:sz w:val="18"/>
                <w:szCs w:val="18"/>
              </w:rPr>
            </w:pPr>
            <w:r w:rsidRPr="001B34F0">
              <w:rPr>
                <w:rFonts w:ascii="Arial" w:hAnsi="Arial" w:cs="Arial"/>
                <w:sz w:val="18"/>
                <w:szCs w:val="18"/>
              </w:rPr>
              <w:t>UK MDR 2002</w:t>
            </w:r>
          </w:p>
          <w:p w14:paraId="008472FF" w14:textId="44CF33CF" w:rsidR="007B55C3" w:rsidRPr="001B34F0" w:rsidRDefault="007B55C3" w:rsidP="00417BB1">
            <w:pPr>
              <w:rPr>
                <w:rFonts w:ascii="Arial" w:hAnsi="Arial" w:cs="Arial"/>
                <w:sz w:val="18"/>
                <w:szCs w:val="18"/>
              </w:rPr>
            </w:pPr>
            <w:r w:rsidRPr="001B34F0">
              <w:rPr>
                <w:rFonts w:ascii="Arial" w:hAnsi="Arial" w:cs="Arial"/>
                <w:sz w:val="18"/>
                <w:szCs w:val="18"/>
              </w:rPr>
              <w:t>MDR Regulation (EU) 2017/745</w:t>
            </w:r>
          </w:p>
        </w:tc>
        <w:tc>
          <w:tcPr>
            <w:tcW w:w="4910" w:type="dxa"/>
          </w:tcPr>
          <w:p w14:paraId="0A0B924A" w14:textId="7914174A" w:rsidR="00300130" w:rsidRDefault="00300130" w:rsidP="00925DEA">
            <w:pPr>
              <w:pStyle w:val="Title"/>
              <w:spacing w:before="0"/>
              <w:jc w:val="left"/>
              <w:rPr>
                <w:rFonts w:cs="Arial"/>
                <w:b w:val="0"/>
                <w:iCs/>
                <w:sz w:val="18"/>
                <w:szCs w:val="18"/>
              </w:rPr>
            </w:pPr>
            <w:r w:rsidRPr="001B34F0">
              <w:rPr>
                <w:rFonts w:cs="Arial"/>
                <w:b w:val="0"/>
                <w:iCs/>
                <w:sz w:val="18"/>
                <w:szCs w:val="18"/>
              </w:rPr>
              <w:lastRenderedPageBreak/>
              <w:t>Thank you for your comment which the committee considered.</w:t>
            </w:r>
          </w:p>
          <w:p w14:paraId="12CE70E4" w14:textId="4A9B98B1" w:rsidR="002B7F00" w:rsidRDefault="002B7F00" w:rsidP="002B7F00">
            <w:pPr>
              <w:pStyle w:val="Heading1"/>
              <w:rPr>
                <w:b w:val="0"/>
                <w:bCs w:val="0"/>
                <w:sz w:val="18"/>
                <w:szCs w:val="20"/>
              </w:rPr>
            </w:pPr>
            <w:r w:rsidRPr="002B7F00">
              <w:rPr>
                <w:b w:val="0"/>
                <w:bCs w:val="0"/>
                <w:sz w:val="18"/>
                <w:szCs w:val="20"/>
              </w:rPr>
              <w:t xml:space="preserve">The committee considered the EAG’s report </w:t>
            </w:r>
            <w:r>
              <w:rPr>
                <w:b w:val="0"/>
                <w:bCs w:val="0"/>
                <w:sz w:val="18"/>
                <w:szCs w:val="20"/>
              </w:rPr>
              <w:t xml:space="preserve">at the first meeting when deciding on the draft recommendations. While the EAG’s comments and conclusions are </w:t>
            </w:r>
            <w:proofErr w:type="gramStart"/>
            <w:r>
              <w:rPr>
                <w:b w:val="0"/>
                <w:bCs w:val="0"/>
                <w:sz w:val="18"/>
                <w:szCs w:val="20"/>
              </w:rPr>
              <w:t>taken into account</w:t>
            </w:r>
            <w:proofErr w:type="gramEnd"/>
            <w:r>
              <w:rPr>
                <w:b w:val="0"/>
                <w:bCs w:val="0"/>
                <w:sz w:val="18"/>
                <w:szCs w:val="20"/>
              </w:rPr>
              <w:t xml:space="preserve"> by committee, it is the committee who decide the recommendations </w:t>
            </w:r>
            <w:r w:rsidR="00C21944">
              <w:rPr>
                <w:b w:val="0"/>
                <w:bCs w:val="0"/>
                <w:sz w:val="18"/>
                <w:szCs w:val="20"/>
              </w:rPr>
              <w:t>for</w:t>
            </w:r>
            <w:r>
              <w:rPr>
                <w:b w:val="0"/>
                <w:bCs w:val="0"/>
                <w:sz w:val="18"/>
                <w:szCs w:val="20"/>
              </w:rPr>
              <w:t xml:space="preserve"> the guidance.</w:t>
            </w:r>
          </w:p>
          <w:p w14:paraId="501C2552" w14:textId="136D9008" w:rsidR="00E2164D" w:rsidRDefault="00E2164D" w:rsidP="002B7F00">
            <w:pPr>
              <w:pStyle w:val="Title"/>
              <w:jc w:val="left"/>
              <w:rPr>
                <w:b w:val="0"/>
                <w:bCs w:val="0"/>
                <w:sz w:val="18"/>
                <w:szCs w:val="18"/>
              </w:rPr>
            </w:pPr>
            <w:r>
              <w:rPr>
                <w:b w:val="0"/>
                <w:bCs w:val="0"/>
                <w:sz w:val="18"/>
                <w:szCs w:val="18"/>
              </w:rPr>
              <w:t>A</w:t>
            </w:r>
            <w:r w:rsidRPr="00E2164D">
              <w:rPr>
                <w:b w:val="0"/>
                <w:bCs w:val="0"/>
                <w:sz w:val="18"/>
                <w:szCs w:val="18"/>
              </w:rPr>
              <w:t>ll devices included in the guidance have a CE or UKCA mark</w:t>
            </w:r>
            <w:r>
              <w:rPr>
                <w:b w:val="0"/>
                <w:bCs w:val="0"/>
                <w:sz w:val="18"/>
                <w:szCs w:val="18"/>
              </w:rPr>
              <w:t>, and the devices are individual</w:t>
            </w:r>
            <w:r w:rsidR="004263A1">
              <w:rPr>
                <w:b w:val="0"/>
                <w:bCs w:val="0"/>
                <w:sz w:val="18"/>
                <w:szCs w:val="18"/>
              </w:rPr>
              <w:t>ly</w:t>
            </w:r>
            <w:r>
              <w:rPr>
                <w:b w:val="0"/>
                <w:bCs w:val="0"/>
                <w:sz w:val="18"/>
                <w:szCs w:val="18"/>
              </w:rPr>
              <w:t xml:space="preserve"> described in the opening sections of the guidance (see section 2.6 onwards).</w:t>
            </w:r>
          </w:p>
          <w:p w14:paraId="11007375" w14:textId="77C137FA" w:rsidR="002B7F00" w:rsidRDefault="002B7F00" w:rsidP="002B7F00">
            <w:pPr>
              <w:pStyle w:val="Title"/>
              <w:jc w:val="left"/>
              <w:rPr>
                <w:b w:val="0"/>
                <w:bCs w:val="0"/>
                <w:sz w:val="18"/>
                <w:szCs w:val="18"/>
              </w:rPr>
            </w:pPr>
            <w:r w:rsidRPr="002B7F00">
              <w:rPr>
                <w:b w:val="0"/>
                <w:bCs w:val="0"/>
                <w:sz w:val="18"/>
                <w:szCs w:val="18"/>
              </w:rPr>
              <w:t>The diagnostics consultation document did not state that data from 1 device could be used to show performance of another</w:t>
            </w:r>
            <w:r w:rsidR="00E2164D">
              <w:rPr>
                <w:b w:val="0"/>
                <w:bCs w:val="0"/>
                <w:sz w:val="18"/>
                <w:szCs w:val="18"/>
              </w:rPr>
              <w:t>. The committee noted the EAG’s comment</w:t>
            </w:r>
            <w:r w:rsidR="00E2164D" w:rsidRPr="00E2164D">
              <w:rPr>
                <w:b w:val="0"/>
                <w:bCs w:val="0"/>
                <w:sz w:val="18"/>
                <w:szCs w:val="18"/>
              </w:rPr>
              <w:t xml:space="preserve"> that it should not be assumed that any clinical benefits observed for 1 technology would also be found with the other technologies</w:t>
            </w:r>
            <w:r w:rsidR="00E2164D">
              <w:rPr>
                <w:b w:val="0"/>
                <w:bCs w:val="0"/>
                <w:sz w:val="18"/>
                <w:szCs w:val="18"/>
              </w:rPr>
              <w:t>, and that n</w:t>
            </w:r>
            <w:r w:rsidR="00E2164D" w:rsidRPr="00E2164D">
              <w:rPr>
                <w:b w:val="0"/>
                <w:bCs w:val="0"/>
                <w:sz w:val="18"/>
                <w:szCs w:val="18"/>
              </w:rPr>
              <w:t>o identified studies compared performance of 1 technology to another</w:t>
            </w:r>
            <w:r w:rsidR="00E2164D">
              <w:rPr>
                <w:b w:val="0"/>
                <w:bCs w:val="0"/>
                <w:sz w:val="18"/>
                <w:szCs w:val="18"/>
              </w:rPr>
              <w:t xml:space="preserve">. </w:t>
            </w:r>
            <w:r w:rsidR="00B250D9">
              <w:rPr>
                <w:b w:val="0"/>
                <w:bCs w:val="0"/>
                <w:sz w:val="18"/>
                <w:szCs w:val="18"/>
              </w:rPr>
              <w:t xml:space="preserve">The committee also </w:t>
            </w:r>
            <w:r w:rsidR="00B250D9" w:rsidRPr="00B250D9">
              <w:rPr>
                <w:b w:val="0"/>
                <w:bCs w:val="0"/>
                <w:sz w:val="18"/>
                <w:szCs w:val="18"/>
              </w:rPr>
              <w:t>noted that the technologies differed in how sensors are worn and the algorithms that they use</w:t>
            </w:r>
            <w:r w:rsidR="00B250D9">
              <w:rPr>
                <w:b w:val="0"/>
                <w:bCs w:val="0"/>
                <w:sz w:val="18"/>
                <w:szCs w:val="18"/>
              </w:rPr>
              <w:t xml:space="preserve">. </w:t>
            </w:r>
            <w:r w:rsidR="00E2164D">
              <w:rPr>
                <w:b w:val="0"/>
                <w:bCs w:val="0"/>
                <w:sz w:val="18"/>
                <w:szCs w:val="18"/>
              </w:rPr>
              <w:t>Further text has been added to section 3.15 of the diagnostics guidance document to reflect this. The committee concluded that there is limited evidence for all technologies assessed in terms of how much they improve symptoms or health-</w:t>
            </w:r>
            <w:r w:rsidR="00E2164D">
              <w:rPr>
                <w:b w:val="0"/>
                <w:bCs w:val="0"/>
                <w:sz w:val="18"/>
                <w:szCs w:val="18"/>
              </w:rPr>
              <w:lastRenderedPageBreak/>
              <w:t>related quality of life (see section 3.6 in the diagnostics consultation document), and that further</w:t>
            </w:r>
            <w:r w:rsidR="00E2164D" w:rsidRPr="00E2164D">
              <w:rPr>
                <w:b w:val="0"/>
                <w:bCs w:val="0"/>
                <w:sz w:val="18"/>
                <w:szCs w:val="18"/>
              </w:rPr>
              <w:t xml:space="preserve"> data is needed for all technologies on</w:t>
            </w:r>
            <w:r w:rsidR="00E2164D">
              <w:rPr>
                <w:b w:val="0"/>
                <w:bCs w:val="0"/>
                <w:sz w:val="18"/>
                <w:szCs w:val="18"/>
              </w:rPr>
              <w:t xml:space="preserve"> this. Further text has been added to section 3.15 in the diagnostics guidance document to highlight this</w:t>
            </w:r>
            <w:r w:rsidR="00B250D9">
              <w:rPr>
                <w:b w:val="0"/>
                <w:bCs w:val="0"/>
                <w:sz w:val="18"/>
                <w:szCs w:val="18"/>
              </w:rPr>
              <w:t xml:space="preserve"> point</w:t>
            </w:r>
            <w:r w:rsidR="00E2164D">
              <w:rPr>
                <w:b w:val="0"/>
                <w:bCs w:val="0"/>
                <w:sz w:val="18"/>
                <w:szCs w:val="18"/>
              </w:rPr>
              <w:t xml:space="preserve">. As described in responses to consultation comments above, </w:t>
            </w:r>
            <w:r w:rsidR="00B250D9">
              <w:rPr>
                <w:b w:val="0"/>
                <w:bCs w:val="0"/>
                <w:sz w:val="18"/>
                <w:szCs w:val="18"/>
              </w:rPr>
              <w:t>the committee considered data from</w:t>
            </w:r>
            <w:r w:rsidR="00E2164D">
              <w:rPr>
                <w:b w:val="0"/>
                <w:bCs w:val="0"/>
                <w:sz w:val="18"/>
                <w:szCs w:val="18"/>
              </w:rPr>
              <w:t xml:space="preserve"> of the Woodrow et al. study</w:t>
            </w:r>
            <w:r w:rsidR="00B250D9">
              <w:rPr>
                <w:b w:val="0"/>
                <w:bCs w:val="0"/>
                <w:sz w:val="18"/>
                <w:szCs w:val="18"/>
              </w:rPr>
              <w:t xml:space="preserve"> in its decision-making</w:t>
            </w:r>
            <w:r w:rsidR="00E2164D">
              <w:rPr>
                <w:b w:val="0"/>
                <w:bCs w:val="0"/>
                <w:sz w:val="18"/>
                <w:szCs w:val="18"/>
              </w:rPr>
              <w:t>.</w:t>
            </w:r>
          </w:p>
          <w:p w14:paraId="4A8D6D4D" w14:textId="37B9D71D" w:rsidR="00B250D9" w:rsidRPr="00B250D9" w:rsidRDefault="00B250D9" w:rsidP="00B250D9">
            <w:pPr>
              <w:pStyle w:val="Title"/>
              <w:jc w:val="left"/>
              <w:rPr>
                <w:b w:val="0"/>
                <w:bCs w:val="0"/>
                <w:sz w:val="18"/>
              </w:rPr>
            </w:pPr>
            <w:r>
              <w:rPr>
                <w:b w:val="0"/>
                <w:bCs w:val="0"/>
                <w:sz w:val="18"/>
              </w:rPr>
              <w:t xml:space="preserve">The committee noted in the first meeting for this topic that the PKG had the most evidence of the technologies considered (see section </w:t>
            </w:r>
            <w:r w:rsidRPr="00B250D9">
              <w:rPr>
                <w:b w:val="0"/>
                <w:bCs w:val="0"/>
                <w:sz w:val="18"/>
              </w:rPr>
              <w:t xml:space="preserve">3.15 of the </w:t>
            </w:r>
            <w:r>
              <w:rPr>
                <w:b w:val="0"/>
                <w:bCs w:val="0"/>
                <w:sz w:val="18"/>
              </w:rPr>
              <w:t>diagnostics consultation document, and in the section on ‘Why the committee made these recommendations’).  The committee noted that a lot of identified data, including for the PKG, was on test accuracy. It had concern about</w:t>
            </w:r>
            <w:r w:rsidRPr="00B250D9">
              <w:rPr>
                <w:b w:val="0"/>
                <w:bCs w:val="0"/>
                <w:sz w:val="18"/>
              </w:rPr>
              <w:t xml:space="preserve"> how suitable accuracy estimates are to assess the performance of these technologies (see section 3.5</w:t>
            </w:r>
            <w:r>
              <w:rPr>
                <w:b w:val="0"/>
                <w:bCs w:val="0"/>
                <w:sz w:val="18"/>
              </w:rPr>
              <w:t xml:space="preserve"> </w:t>
            </w:r>
            <w:r w:rsidRPr="00B250D9">
              <w:rPr>
                <w:b w:val="0"/>
                <w:bCs w:val="0"/>
                <w:sz w:val="18"/>
              </w:rPr>
              <w:t xml:space="preserve">of the </w:t>
            </w:r>
            <w:r>
              <w:rPr>
                <w:b w:val="0"/>
                <w:bCs w:val="0"/>
                <w:sz w:val="18"/>
              </w:rPr>
              <w:t>diagnostics consultation document</w:t>
            </w:r>
            <w:r w:rsidRPr="00B250D9">
              <w:rPr>
                <w:b w:val="0"/>
                <w:bCs w:val="0"/>
                <w:sz w:val="18"/>
              </w:rPr>
              <w:t>)</w:t>
            </w:r>
            <w:r>
              <w:rPr>
                <w:b w:val="0"/>
                <w:bCs w:val="0"/>
                <w:sz w:val="18"/>
              </w:rPr>
              <w:t xml:space="preserve"> and considered </w:t>
            </w:r>
            <w:r w:rsidRPr="00B250D9">
              <w:rPr>
                <w:b w:val="0"/>
                <w:bCs w:val="0"/>
                <w:sz w:val="18"/>
              </w:rPr>
              <w:t>that it is uncertain how much remote monitoring devices would change decisions about care in the NHS (see section 3.8</w:t>
            </w:r>
            <w:r>
              <w:rPr>
                <w:b w:val="0"/>
                <w:bCs w:val="0"/>
                <w:sz w:val="18"/>
              </w:rPr>
              <w:t xml:space="preserve"> </w:t>
            </w:r>
            <w:r w:rsidRPr="00B250D9">
              <w:rPr>
                <w:b w:val="0"/>
                <w:bCs w:val="0"/>
                <w:sz w:val="18"/>
              </w:rPr>
              <w:t xml:space="preserve">of the </w:t>
            </w:r>
            <w:r>
              <w:rPr>
                <w:b w:val="0"/>
                <w:bCs w:val="0"/>
                <w:sz w:val="18"/>
              </w:rPr>
              <w:t>diagnostics consultation document</w:t>
            </w:r>
            <w:r w:rsidRPr="00B250D9">
              <w:rPr>
                <w:b w:val="0"/>
                <w:bCs w:val="0"/>
                <w:sz w:val="18"/>
              </w:rPr>
              <w:t>).</w:t>
            </w:r>
            <w:r>
              <w:rPr>
                <w:b w:val="0"/>
                <w:bCs w:val="0"/>
                <w:sz w:val="18"/>
              </w:rPr>
              <w:t xml:space="preserve"> </w:t>
            </w:r>
          </w:p>
          <w:p w14:paraId="57363AA1" w14:textId="061DD3BB" w:rsidR="00F01011" w:rsidRPr="001B34F0" w:rsidRDefault="00F01011" w:rsidP="00C21944">
            <w:pPr>
              <w:pStyle w:val="Title"/>
              <w:jc w:val="left"/>
              <w:rPr>
                <w:rFonts w:cs="Arial"/>
                <w:b w:val="0"/>
                <w:iCs/>
                <w:sz w:val="18"/>
                <w:szCs w:val="18"/>
              </w:rPr>
            </w:pPr>
          </w:p>
          <w:p w14:paraId="567409B4" w14:textId="0CDC1674" w:rsidR="00F01011" w:rsidRPr="001B34F0" w:rsidRDefault="00F01011" w:rsidP="00F01011">
            <w:pPr>
              <w:pStyle w:val="Title"/>
              <w:jc w:val="left"/>
              <w:rPr>
                <w:rFonts w:cs="Arial"/>
                <w:b w:val="0"/>
                <w:iCs/>
                <w:sz w:val="18"/>
                <w:szCs w:val="18"/>
              </w:rPr>
            </w:pPr>
          </w:p>
          <w:p w14:paraId="72560E4B" w14:textId="6A6F4F40" w:rsidR="00F01011" w:rsidRPr="001B34F0" w:rsidRDefault="00F01011" w:rsidP="00F01011">
            <w:pPr>
              <w:pStyle w:val="Heading1"/>
            </w:pPr>
          </w:p>
          <w:p w14:paraId="4B403BC4" w14:textId="7A41AF28" w:rsidR="00F01011" w:rsidRPr="001B34F0" w:rsidRDefault="00F01011" w:rsidP="00F01011">
            <w:pPr>
              <w:pStyle w:val="Paragraph"/>
              <w:numPr>
                <w:ilvl w:val="0"/>
                <w:numId w:val="0"/>
              </w:numPr>
              <w:ind w:left="709" w:hanging="709"/>
            </w:pPr>
          </w:p>
          <w:p w14:paraId="44E99362" w14:textId="77777777" w:rsidR="00F01011" w:rsidRPr="001B34F0" w:rsidRDefault="00F01011" w:rsidP="00F01011">
            <w:pPr>
              <w:pStyle w:val="Paragraph"/>
              <w:numPr>
                <w:ilvl w:val="0"/>
                <w:numId w:val="0"/>
              </w:numPr>
              <w:ind w:left="709" w:hanging="709"/>
            </w:pPr>
          </w:p>
          <w:p w14:paraId="743C4A98" w14:textId="2D133E76" w:rsidR="007B55C3" w:rsidRPr="001B34F0" w:rsidRDefault="007B55C3" w:rsidP="00F01011">
            <w:pPr>
              <w:pStyle w:val="Title"/>
              <w:spacing w:before="0" w:after="0"/>
              <w:jc w:val="left"/>
              <w:rPr>
                <w:rFonts w:cs="Arial"/>
                <w:b w:val="0"/>
                <w:iCs/>
                <w:sz w:val="18"/>
                <w:szCs w:val="18"/>
              </w:rPr>
            </w:pPr>
          </w:p>
        </w:tc>
      </w:tr>
      <w:tr w:rsidR="006C1D8B" w:rsidRPr="001B34F0" w14:paraId="4D7BC00C" w14:textId="77777777" w:rsidTr="007B55C3">
        <w:trPr>
          <w:trHeight w:val="470"/>
        </w:trPr>
        <w:tc>
          <w:tcPr>
            <w:tcW w:w="1232" w:type="dxa"/>
          </w:tcPr>
          <w:p w14:paraId="41008425" w14:textId="5A4F6121" w:rsidR="006C1D8B" w:rsidRPr="001B34F0" w:rsidRDefault="00AE6638" w:rsidP="00417BB1">
            <w:pPr>
              <w:rPr>
                <w:rFonts w:ascii="Arial" w:hAnsi="Arial" w:cs="Arial"/>
                <w:sz w:val="18"/>
                <w:szCs w:val="18"/>
              </w:rPr>
            </w:pPr>
            <w:r w:rsidRPr="001B34F0">
              <w:rPr>
                <w:rFonts w:ascii="Arial" w:hAnsi="Arial" w:cs="Arial"/>
                <w:sz w:val="18"/>
                <w:szCs w:val="18"/>
              </w:rPr>
              <w:lastRenderedPageBreak/>
              <w:t>6</w:t>
            </w:r>
          </w:p>
        </w:tc>
        <w:tc>
          <w:tcPr>
            <w:tcW w:w="1817" w:type="dxa"/>
          </w:tcPr>
          <w:p w14:paraId="4BDA4A5F" w14:textId="4ED39FAF" w:rsidR="006C1D8B" w:rsidRPr="001B34F0" w:rsidRDefault="006C1D8B" w:rsidP="00417BB1">
            <w:pPr>
              <w:rPr>
                <w:rFonts w:ascii="Arial" w:hAnsi="Arial" w:cs="Arial"/>
                <w:sz w:val="18"/>
                <w:szCs w:val="18"/>
              </w:rPr>
            </w:pPr>
            <w:r w:rsidRPr="001B34F0">
              <w:rPr>
                <w:rFonts w:ascii="Arial" w:hAnsi="Arial" w:cs="Arial"/>
                <w:sz w:val="18"/>
                <w:szCs w:val="18"/>
              </w:rPr>
              <w:t>Global Kinetics Corporation</w:t>
            </w:r>
          </w:p>
        </w:tc>
        <w:tc>
          <w:tcPr>
            <w:tcW w:w="2051" w:type="dxa"/>
          </w:tcPr>
          <w:p w14:paraId="1063EA91" w14:textId="27A1E780" w:rsidR="006C1D8B" w:rsidRPr="001B34F0" w:rsidRDefault="006C1D8B" w:rsidP="00417BB1">
            <w:pPr>
              <w:rPr>
                <w:rFonts w:ascii="Arial" w:hAnsi="Arial" w:cs="Arial"/>
                <w:sz w:val="18"/>
                <w:szCs w:val="18"/>
              </w:rPr>
            </w:pPr>
            <w:r w:rsidRPr="001B34F0">
              <w:rPr>
                <w:rFonts w:ascii="Arial" w:hAnsi="Arial" w:cs="Arial"/>
                <w:sz w:val="18"/>
                <w:szCs w:val="18"/>
              </w:rPr>
              <w:t>4. Evidence generation recommendations</w:t>
            </w:r>
          </w:p>
        </w:tc>
        <w:tc>
          <w:tcPr>
            <w:tcW w:w="5334" w:type="dxa"/>
          </w:tcPr>
          <w:p w14:paraId="30FE772C" w14:textId="77777777" w:rsidR="006C1D8B" w:rsidRPr="001B34F0" w:rsidRDefault="006C1D8B" w:rsidP="00417BB1">
            <w:pPr>
              <w:rPr>
                <w:rFonts w:ascii="Arial" w:hAnsi="Arial" w:cs="Arial"/>
                <w:sz w:val="18"/>
                <w:szCs w:val="18"/>
              </w:rPr>
            </w:pPr>
            <w:r w:rsidRPr="001B34F0">
              <w:rPr>
                <w:rFonts w:ascii="Arial" w:hAnsi="Arial" w:cs="Arial"/>
                <w:sz w:val="18"/>
                <w:szCs w:val="18"/>
              </w:rPr>
              <w:t xml:space="preserve">The PKG is currently in use clinically in 33 NHS hospitals and community-based services; over 12,000 NHS patients have utilised the PKG since 2015 – and this alone speaks to the success of the PKG. From a post-market studies perspective, </w:t>
            </w:r>
            <w:r w:rsidRPr="001B34F0">
              <w:rPr>
                <w:rFonts w:ascii="Arial" w:hAnsi="Arial" w:cs="Arial"/>
                <w:sz w:val="18"/>
                <w:szCs w:val="18"/>
              </w:rPr>
              <w:lastRenderedPageBreak/>
              <w:t xml:space="preserve">there have been &gt;7 clinical posters and 5 publications on NHS patients. Additionally, there was an EU/UK </w:t>
            </w:r>
            <w:proofErr w:type="gramStart"/>
            <w:r w:rsidRPr="001B34F0">
              <w:rPr>
                <w:rFonts w:ascii="Arial" w:hAnsi="Arial" w:cs="Arial"/>
                <w:sz w:val="18"/>
                <w:szCs w:val="18"/>
              </w:rPr>
              <w:t>experts</w:t>
            </w:r>
            <w:proofErr w:type="gramEnd"/>
            <w:r w:rsidRPr="001B34F0">
              <w:rPr>
                <w:rFonts w:ascii="Arial" w:hAnsi="Arial" w:cs="Arial"/>
                <w:sz w:val="18"/>
                <w:szCs w:val="18"/>
              </w:rPr>
              <w:t xml:space="preserve"> consensus publication in 2018.  GKC agrees with NICE that further data collection is required. GKC will continue to gain evidence through hospital evaluations, audits and clinical trials and is committed to obtaining and publishing meaningful real-world data. GKC will continue to actively adhere to the Post Market Surveillance (PMS) and Post Market Clinical Follow-up (PMCF) requirements, as defined in the EU MDR legislation for a Class </w:t>
            </w:r>
            <w:proofErr w:type="spellStart"/>
            <w:r w:rsidRPr="001B34F0">
              <w:rPr>
                <w:rFonts w:ascii="Arial" w:hAnsi="Arial" w:cs="Arial"/>
                <w:sz w:val="18"/>
                <w:szCs w:val="18"/>
              </w:rPr>
              <w:t>iia</w:t>
            </w:r>
            <w:proofErr w:type="spellEnd"/>
            <w:r w:rsidRPr="001B34F0">
              <w:rPr>
                <w:rFonts w:ascii="Arial" w:hAnsi="Arial" w:cs="Arial"/>
                <w:sz w:val="18"/>
                <w:szCs w:val="18"/>
              </w:rPr>
              <w:t xml:space="preserve"> medical device. We are aware such requirements will apparently be mirrored by the UK, as stated in a recent MHRA consultation document: “…it remains the government’s intention to proceed with the proposal to amend the UK medical devices regulations to clarify and strengthen the requirement for manufacturers to implement a post-market surveillance system, in respect of all medical devices they have placed on the UK market”</w:t>
            </w:r>
            <w:r w:rsidRPr="001B34F0">
              <w:rPr>
                <w:rFonts w:ascii="Arial" w:hAnsi="Arial" w:cs="Arial"/>
                <w:sz w:val="18"/>
                <w:szCs w:val="18"/>
                <w:vertAlign w:val="superscript"/>
              </w:rPr>
              <w:t>1</w:t>
            </w:r>
            <w:r w:rsidRPr="001B34F0">
              <w:rPr>
                <w:rFonts w:ascii="Arial" w:hAnsi="Arial" w:cs="Arial"/>
                <w:sz w:val="18"/>
                <w:szCs w:val="18"/>
              </w:rPr>
              <w:t xml:space="preserve">. </w:t>
            </w:r>
          </w:p>
          <w:p w14:paraId="2D2EA9E7" w14:textId="77777777" w:rsidR="006C1D8B" w:rsidRPr="001B34F0" w:rsidRDefault="006C1D8B" w:rsidP="00417BB1">
            <w:pPr>
              <w:rPr>
                <w:rFonts w:ascii="Arial" w:hAnsi="Arial" w:cs="Arial"/>
                <w:sz w:val="18"/>
                <w:szCs w:val="18"/>
              </w:rPr>
            </w:pPr>
          </w:p>
          <w:p w14:paraId="7238D15D" w14:textId="77777777" w:rsidR="006C1D8B" w:rsidRPr="001B34F0" w:rsidRDefault="006C1D8B" w:rsidP="00417BB1">
            <w:pPr>
              <w:numPr>
                <w:ilvl w:val="0"/>
                <w:numId w:val="24"/>
              </w:numPr>
              <w:rPr>
                <w:rFonts w:ascii="Arial" w:hAnsi="Arial" w:cs="Arial"/>
                <w:sz w:val="18"/>
                <w:szCs w:val="18"/>
              </w:rPr>
            </w:pPr>
            <w:r w:rsidRPr="001B34F0">
              <w:rPr>
                <w:rFonts w:ascii="Arial" w:hAnsi="Arial" w:cs="Arial"/>
                <w:sz w:val="18"/>
                <w:szCs w:val="18"/>
              </w:rPr>
              <w:t>(Consultation on the future regulation of medical devices in the United Kingdom, MHRA, 26</w:t>
            </w:r>
            <w:r w:rsidRPr="001B34F0">
              <w:rPr>
                <w:rFonts w:ascii="Arial" w:hAnsi="Arial" w:cs="Arial"/>
                <w:sz w:val="18"/>
                <w:szCs w:val="18"/>
                <w:vertAlign w:val="superscript"/>
              </w:rPr>
              <w:t>th</w:t>
            </w:r>
            <w:r w:rsidRPr="001B34F0">
              <w:rPr>
                <w:rFonts w:ascii="Arial" w:hAnsi="Arial" w:cs="Arial"/>
                <w:sz w:val="18"/>
                <w:szCs w:val="18"/>
              </w:rPr>
              <w:t xml:space="preserve"> June 2022; </w:t>
            </w:r>
            <w:hyperlink r:id="rId17" w:history="1">
              <w:r w:rsidRPr="001B34F0">
                <w:rPr>
                  <w:rStyle w:val="Hyperlink"/>
                  <w:rFonts w:ascii="Arial" w:hAnsi="Arial" w:cs="Arial"/>
                  <w:sz w:val="18"/>
                  <w:szCs w:val="18"/>
                </w:rPr>
                <w:t>https://www.gov.uk/government/consultations/consultation-on-the-future-regulation-of-medical-devices-in-the-united-kingdom/outcome/chapter-7-clinical-investigation-and-performance-studies</w:t>
              </w:r>
            </w:hyperlink>
            <w:r w:rsidRPr="001B34F0">
              <w:rPr>
                <w:rFonts w:ascii="Arial" w:hAnsi="Arial" w:cs="Arial"/>
                <w:sz w:val="18"/>
                <w:szCs w:val="18"/>
              </w:rPr>
              <w:t xml:space="preserve"> </w:t>
            </w:r>
          </w:p>
          <w:p w14:paraId="642A7E29" w14:textId="77777777" w:rsidR="006C1D8B" w:rsidRPr="001B34F0" w:rsidRDefault="006C1D8B" w:rsidP="00417BB1">
            <w:pPr>
              <w:rPr>
                <w:rFonts w:ascii="Arial" w:hAnsi="Arial" w:cs="Arial"/>
                <w:sz w:val="18"/>
                <w:szCs w:val="18"/>
              </w:rPr>
            </w:pPr>
          </w:p>
        </w:tc>
        <w:tc>
          <w:tcPr>
            <w:tcW w:w="4910" w:type="dxa"/>
          </w:tcPr>
          <w:p w14:paraId="4D36E1A8" w14:textId="5867CE30" w:rsidR="006C1D8B" w:rsidRPr="001B34F0" w:rsidRDefault="00D2548C" w:rsidP="00417BB1">
            <w:pPr>
              <w:pStyle w:val="Title"/>
              <w:spacing w:before="0" w:after="0"/>
              <w:jc w:val="left"/>
              <w:rPr>
                <w:rFonts w:cs="Arial"/>
                <w:b w:val="0"/>
                <w:bCs w:val="0"/>
                <w:iCs/>
                <w:sz w:val="18"/>
                <w:szCs w:val="18"/>
              </w:rPr>
            </w:pPr>
            <w:r w:rsidRPr="001B34F0">
              <w:rPr>
                <w:rFonts w:cs="Arial"/>
                <w:b w:val="0"/>
                <w:bCs w:val="0"/>
                <w:sz w:val="18"/>
                <w:szCs w:val="18"/>
              </w:rPr>
              <w:lastRenderedPageBreak/>
              <w:t>Thank you for your comment which the committee considered.</w:t>
            </w:r>
          </w:p>
        </w:tc>
      </w:tr>
      <w:tr w:rsidR="00AE6AC2" w:rsidRPr="001B34F0" w14:paraId="72406C3B" w14:textId="77777777" w:rsidTr="007B55C3">
        <w:trPr>
          <w:trHeight w:val="470"/>
        </w:trPr>
        <w:tc>
          <w:tcPr>
            <w:tcW w:w="1232" w:type="dxa"/>
          </w:tcPr>
          <w:p w14:paraId="32048204" w14:textId="790B63C9" w:rsidR="00AE6AC2" w:rsidRPr="001B34F0" w:rsidRDefault="00AE6638" w:rsidP="00417BB1">
            <w:pPr>
              <w:rPr>
                <w:rFonts w:ascii="Arial" w:hAnsi="Arial" w:cs="Arial"/>
                <w:sz w:val="18"/>
                <w:szCs w:val="18"/>
              </w:rPr>
            </w:pPr>
            <w:r w:rsidRPr="001B34F0">
              <w:rPr>
                <w:rFonts w:ascii="Arial" w:hAnsi="Arial" w:cs="Arial"/>
                <w:sz w:val="18"/>
                <w:szCs w:val="18"/>
              </w:rPr>
              <w:lastRenderedPageBreak/>
              <w:t>7</w:t>
            </w:r>
          </w:p>
        </w:tc>
        <w:tc>
          <w:tcPr>
            <w:tcW w:w="1817" w:type="dxa"/>
          </w:tcPr>
          <w:p w14:paraId="71FCACFD" w14:textId="1148BD91" w:rsidR="00AE6AC2" w:rsidRPr="001B34F0" w:rsidRDefault="00AE6AC2" w:rsidP="00417BB1">
            <w:pPr>
              <w:rPr>
                <w:rFonts w:ascii="Arial" w:hAnsi="Arial" w:cs="Arial"/>
                <w:sz w:val="18"/>
                <w:szCs w:val="18"/>
              </w:rPr>
            </w:pPr>
            <w:r w:rsidRPr="001B34F0">
              <w:rPr>
                <w:rFonts w:ascii="Arial" w:hAnsi="Arial" w:cs="Arial"/>
                <w:sz w:val="18"/>
                <w:szCs w:val="18"/>
              </w:rPr>
              <w:t>Global Kinetics Corporation</w:t>
            </w:r>
          </w:p>
        </w:tc>
        <w:tc>
          <w:tcPr>
            <w:tcW w:w="2051" w:type="dxa"/>
          </w:tcPr>
          <w:p w14:paraId="05856870" w14:textId="5A21DCA6" w:rsidR="00AE6AC2" w:rsidRPr="001B34F0" w:rsidRDefault="00AE6AC2" w:rsidP="00417BB1">
            <w:pPr>
              <w:rPr>
                <w:rFonts w:ascii="Arial" w:hAnsi="Arial" w:cs="Arial"/>
                <w:sz w:val="18"/>
                <w:szCs w:val="18"/>
              </w:rPr>
            </w:pPr>
            <w:r w:rsidRPr="001B34F0">
              <w:rPr>
                <w:rFonts w:ascii="Arial" w:hAnsi="Arial" w:cs="Arial"/>
                <w:sz w:val="18"/>
                <w:szCs w:val="18"/>
              </w:rPr>
              <w:t>3.1 People with Parkinson’s disease could benefit from remote monitoring technologies</w:t>
            </w:r>
          </w:p>
        </w:tc>
        <w:tc>
          <w:tcPr>
            <w:tcW w:w="5334" w:type="dxa"/>
          </w:tcPr>
          <w:p w14:paraId="75E05E89" w14:textId="77777777" w:rsidR="00AE6AC2" w:rsidRPr="001B34F0" w:rsidRDefault="00AE6AC2" w:rsidP="00417BB1">
            <w:pPr>
              <w:rPr>
                <w:rFonts w:ascii="Arial" w:hAnsi="Arial" w:cs="Arial"/>
                <w:sz w:val="18"/>
                <w:szCs w:val="18"/>
              </w:rPr>
            </w:pPr>
            <w:r w:rsidRPr="001B34F0">
              <w:rPr>
                <w:rFonts w:ascii="Arial" w:hAnsi="Arial" w:cs="Arial"/>
                <w:sz w:val="18"/>
                <w:szCs w:val="18"/>
              </w:rPr>
              <w:t xml:space="preserve">Patient and carer comments in the NICE DAP 61 only refer to their experience of wearing the PKG. This is again borne out in comments made by the patients and carers in part 1 of the committee meeting. It is inaccurate to state that all the patient feedback relates to </w:t>
            </w:r>
            <w:proofErr w:type="gramStart"/>
            <w:r w:rsidRPr="001B34F0">
              <w:rPr>
                <w:rFonts w:ascii="Arial" w:hAnsi="Arial" w:cs="Arial"/>
                <w:sz w:val="18"/>
                <w:szCs w:val="18"/>
              </w:rPr>
              <w:t>all of</w:t>
            </w:r>
            <w:proofErr w:type="gramEnd"/>
            <w:r w:rsidRPr="001B34F0">
              <w:rPr>
                <w:rFonts w:ascii="Arial" w:hAnsi="Arial" w:cs="Arial"/>
                <w:sz w:val="18"/>
                <w:szCs w:val="18"/>
              </w:rPr>
              <w:t xml:space="preserve"> the devices. </w:t>
            </w:r>
          </w:p>
          <w:p w14:paraId="3B97A4E8" w14:textId="77777777" w:rsidR="00AE6AC2" w:rsidRPr="001B34F0" w:rsidRDefault="00AE6AC2" w:rsidP="00417BB1">
            <w:pPr>
              <w:rPr>
                <w:rFonts w:ascii="Arial" w:hAnsi="Arial" w:cs="Arial"/>
                <w:sz w:val="18"/>
                <w:szCs w:val="18"/>
              </w:rPr>
            </w:pPr>
          </w:p>
          <w:p w14:paraId="439E2AED" w14:textId="77777777" w:rsidR="00AE6AC2" w:rsidRPr="001B34F0" w:rsidRDefault="00AE6AC2" w:rsidP="00417BB1">
            <w:pPr>
              <w:rPr>
                <w:rFonts w:ascii="Arial" w:hAnsi="Arial" w:cs="Arial"/>
                <w:sz w:val="18"/>
                <w:szCs w:val="18"/>
              </w:rPr>
            </w:pPr>
            <w:r w:rsidRPr="001B34F0">
              <w:rPr>
                <w:rFonts w:ascii="Arial" w:hAnsi="Arial" w:cs="Arial"/>
                <w:sz w:val="18"/>
                <w:szCs w:val="18"/>
              </w:rPr>
              <w:t xml:space="preserve">As discussed, the strategy of grouping medical devices together which are not legally equivalent is contrary to current legislation – and, as such, should be reassessed. Some devices have specific algorithms that must be validated; some devices have completely different modes of action or positioning on a patient, etc. Therefore, patients will ultimately have very different experiences, and output from the devices will consequently be very different. The regulations are there to protect patients and every device must produce its own clinical data for it to be assessed and made available to patients. </w:t>
            </w:r>
          </w:p>
          <w:p w14:paraId="25E1AD5A" w14:textId="77777777" w:rsidR="00AE6AC2" w:rsidRPr="001B34F0" w:rsidRDefault="00AE6AC2" w:rsidP="00417BB1">
            <w:pPr>
              <w:rPr>
                <w:rFonts w:ascii="Arial" w:hAnsi="Arial" w:cs="Arial"/>
                <w:sz w:val="18"/>
                <w:szCs w:val="18"/>
              </w:rPr>
            </w:pPr>
          </w:p>
          <w:p w14:paraId="6A045458" w14:textId="3DAEA25C" w:rsidR="00AE6AC2" w:rsidRPr="001B34F0" w:rsidRDefault="00AE6AC2" w:rsidP="00417BB1">
            <w:pPr>
              <w:rPr>
                <w:rFonts w:ascii="Arial" w:hAnsi="Arial" w:cs="Arial"/>
                <w:sz w:val="18"/>
                <w:szCs w:val="18"/>
              </w:rPr>
            </w:pPr>
            <w:r w:rsidRPr="001B34F0">
              <w:rPr>
                <w:rFonts w:ascii="Arial" w:hAnsi="Arial" w:cs="Arial"/>
                <w:sz w:val="18"/>
                <w:szCs w:val="18"/>
              </w:rPr>
              <w:t>It is fair for GKC to assume that where a difference exists in the quality and amount of clinical data between the PKG (substantial amounts of high quality data) and the other devices, that this should be accurately reflected in the NICE recommendation. E.g., for consistency – if NICE expects patient feedback on each device, devices that make that data available vs those that don’t should be dealt with entirely differently, not grouped together. In this case, there is no substantiating evidence to support the patients’ comments on any of the wearables apart from the PKG.</w:t>
            </w:r>
          </w:p>
        </w:tc>
        <w:tc>
          <w:tcPr>
            <w:tcW w:w="4910" w:type="dxa"/>
          </w:tcPr>
          <w:p w14:paraId="77E64E98" w14:textId="77777777" w:rsidR="00D2548C" w:rsidRPr="001B34F0" w:rsidRDefault="00D2548C" w:rsidP="00091859">
            <w:pPr>
              <w:pStyle w:val="Title"/>
              <w:spacing w:before="0"/>
              <w:jc w:val="left"/>
              <w:rPr>
                <w:rFonts w:cs="Arial"/>
                <w:b w:val="0"/>
                <w:iCs/>
                <w:sz w:val="18"/>
                <w:szCs w:val="18"/>
              </w:rPr>
            </w:pPr>
            <w:r w:rsidRPr="001B34F0">
              <w:rPr>
                <w:rFonts w:cs="Arial"/>
                <w:b w:val="0"/>
                <w:iCs/>
                <w:sz w:val="18"/>
                <w:szCs w:val="18"/>
              </w:rPr>
              <w:t>Thank you for your comment which the committee considered.</w:t>
            </w:r>
          </w:p>
          <w:p w14:paraId="4324B4FF" w14:textId="5CDBE866" w:rsidR="00AE6AC2" w:rsidRPr="001B34F0" w:rsidRDefault="002B17B0" w:rsidP="00774112">
            <w:pPr>
              <w:pStyle w:val="Title"/>
              <w:jc w:val="left"/>
              <w:rPr>
                <w:rFonts w:cs="Arial"/>
                <w:b w:val="0"/>
                <w:iCs/>
                <w:sz w:val="18"/>
                <w:szCs w:val="18"/>
              </w:rPr>
            </w:pPr>
            <w:r>
              <w:rPr>
                <w:rFonts w:cs="Arial"/>
                <w:b w:val="0"/>
                <w:iCs/>
                <w:sz w:val="18"/>
                <w:szCs w:val="18"/>
              </w:rPr>
              <w:t xml:space="preserve"> The committee considered that all devices assessed have the potential to have benefits for people with Parkinson’s disease and their </w:t>
            </w:r>
            <w:proofErr w:type="spellStart"/>
            <w:r>
              <w:rPr>
                <w:rFonts w:cs="Arial"/>
                <w:b w:val="0"/>
                <w:iCs/>
                <w:sz w:val="18"/>
                <w:szCs w:val="18"/>
              </w:rPr>
              <w:t>carers</w:t>
            </w:r>
            <w:proofErr w:type="spellEnd"/>
            <w:r>
              <w:rPr>
                <w:rFonts w:cs="Arial"/>
                <w:b w:val="0"/>
                <w:iCs/>
                <w:sz w:val="18"/>
                <w:szCs w:val="18"/>
              </w:rPr>
              <w:t>, as described in section 3.1 of the diagnostics consultation document.</w:t>
            </w:r>
            <w:r w:rsidR="00AC1C93">
              <w:rPr>
                <w:rFonts w:cs="Arial"/>
                <w:b w:val="0"/>
                <w:iCs/>
                <w:sz w:val="18"/>
                <w:szCs w:val="18"/>
              </w:rPr>
              <w:t xml:space="preserve"> The difference in the number of sensors and how they are worn for the different technologies was described in the diagnostics consultation document (from section 2.6).</w:t>
            </w:r>
            <w:r>
              <w:rPr>
                <w:rFonts w:cs="Arial"/>
                <w:b w:val="0"/>
                <w:iCs/>
                <w:sz w:val="18"/>
                <w:szCs w:val="18"/>
              </w:rPr>
              <w:t xml:space="preserve"> </w:t>
            </w:r>
            <w:r w:rsidR="00AC1C93" w:rsidRPr="00AC1C93">
              <w:rPr>
                <w:rFonts w:cs="Arial"/>
                <w:b w:val="0"/>
                <w:iCs/>
                <w:sz w:val="18"/>
                <w:szCs w:val="18"/>
              </w:rPr>
              <w:t>The committee noted that the devices differ in how they work and where sensors are attached, so some may be more suited to some people than others, for example people with missing limbs or with restricted movement</w:t>
            </w:r>
            <w:r w:rsidR="00AC1C93">
              <w:rPr>
                <w:rFonts w:cs="Arial"/>
                <w:b w:val="0"/>
                <w:iCs/>
                <w:sz w:val="18"/>
                <w:szCs w:val="18"/>
              </w:rPr>
              <w:t xml:space="preserve"> (see section 3.1 of the diagnostics consultation document)</w:t>
            </w:r>
            <w:r w:rsidR="00AC1C93" w:rsidRPr="00AC1C93">
              <w:rPr>
                <w:rFonts w:cs="Arial"/>
                <w:b w:val="0"/>
                <w:iCs/>
                <w:sz w:val="18"/>
                <w:szCs w:val="18"/>
              </w:rPr>
              <w:t>.</w:t>
            </w:r>
            <w:r w:rsidR="00AC1C93">
              <w:rPr>
                <w:rFonts w:cs="Arial"/>
                <w:b w:val="0"/>
                <w:iCs/>
                <w:sz w:val="18"/>
                <w:szCs w:val="18"/>
              </w:rPr>
              <w:t>S</w:t>
            </w:r>
            <w:r w:rsidR="00774112" w:rsidRPr="001B34F0">
              <w:rPr>
                <w:rFonts w:cs="Arial"/>
                <w:b w:val="0"/>
                <w:iCs/>
                <w:sz w:val="18"/>
                <w:szCs w:val="18"/>
              </w:rPr>
              <w:t xml:space="preserve">ection 3.1 </w:t>
            </w:r>
            <w:r w:rsidR="00AC1C93">
              <w:rPr>
                <w:rFonts w:cs="Arial"/>
                <w:b w:val="0"/>
                <w:iCs/>
                <w:sz w:val="18"/>
                <w:szCs w:val="18"/>
              </w:rPr>
              <w:t xml:space="preserve">of the final guidance document has been amended to note </w:t>
            </w:r>
            <w:r w:rsidR="00774112" w:rsidRPr="001B34F0">
              <w:rPr>
                <w:rFonts w:cs="Arial"/>
                <w:b w:val="0"/>
                <w:iCs/>
                <w:sz w:val="18"/>
                <w:szCs w:val="18"/>
              </w:rPr>
              <w:t xml:space="preserve">that “The EAG identified 8 papers that reported patient or carer opinions on PKG, 2 papers on STAT-ON, 1 on Kinesia 360 and 1 on </w:t>
            </w:r>
            <w:proofErr w:type="spellStart"/>
            <w:r w:rsidR="00774112" w:rsidRPr="001B34F0">
              <w:rPr>
                <w:rFonts w:cs="Arial"/>
                <w:b w:val="0"/>
                <w:iCs/>
                <w:sz w:val="18"/>
                <w:szCs w:val="18"/>
              </w:rPr>
              <w:t>KinesiaU</w:t>
            </w:r>
            <w:proofErr w:type="spellEnd"/>
            <w:r w:rsidR="00774112" w:rsidRPr="001B34F0">
              <w:rPr>
                <w:rFonts w:cs="Arial"/>
                <w:b w:val="0"/>
                <w:iCs/>
                <w:sz w:val="18"/>
                <w:szCs w:val="18"/>
              </w:rPr>
              <w:t>.”</w:t>
            </w:r>
          </w:p>
        </w:tc>
      </w:tr>
      <w:tr w:rsidR="00AE6AC2" w:rsidRPr="001B34F0" w14:paraId="31CD290E" w14:textId="77777777" w:rsidTr="007B55C3">
        <w:trPr>
          <w:trHeight w:val="470"/>
        </w:trPr>
        <w:tc>
          <w:tcPr>
            <w:tcW w:w="1232" w:type="dxa"/>
          </w:tcPr>
          <w:p w14:paraId="242C24F4" w14:textId="2D5631FE" w:rsidR="00AE6AC2" w:rsidRPr="001B34F0" w:rsidRDefault="00AE6638" w:rsidP="00417BB1">
            <w:pPr>
              <w:rPr>
                <w:rFonts w:ascii="Arial" w:hAnsi="Arial" w:cs="Arial"/>
                <w:sz w:val="18"/>
                <w:szCs w:val="18"/>
              </w:rPr>
            </w:pPr>
            <w:r w:rsidRPr="001B34F0">
              <w:rPr>
                <w:rFonts w:ascii="Arial" w:hAnsi="Arial" w:cs="Arial"/>
                <w:sz w:val="18"/>
                <w:szCs w:val="18"/>
              </w:rPr>
              <w:lastRenderedPageBreak/>
              <w:t>8</w:t>
            </w:r>
          </w:p>
        </w:tc>
        <w:tc>
          <w:tcPr>
            <w:tcW w:w="1817" w:type="dxa"/>
          </w:tcPr>
          <w:p w14:paraId="4C9261A2" w14:textId="0ED26F61" w:rsidR="00AE6AC2" w:rsidRPr="001B34F0" w:rsidRDefault="00AE6AC2" w:rsidP="00417BB1">
            <w:pPr>
              <w:rPr>
                <w:rFonts w:ascii="Arial" w:hAnsi="Arial" w:cs="Arial"/>
                <w:sz w:val="18"/>
                <w:szCs w:val="18"/>
              </w:rPr>
            </w:pPr>
            <w:r w:rsidRPr="001B34F0">
              <w:rPr>
                <w:rFonts w:ascii="Arial" w:hAnsi="Arial" w:cs="Arial"/>
                <w:sz w:val="18"/>
                <w:szCs w:val="18"/>
              </w:rPr>
              <w:t xml:space="preserve">Great Lakes </w:t>
            </w:r>
            <w:proofErr w:type="spellStart"/>
            <w:r w:rsidRPr="001B34F0">
              <w:rPr>
                <w:rFonts w:ascii="Arial" w:hAnsi="Arial" w:cs="Arial"/>
                <w:sz w:val="18"/>
                <w:szCs w:val="18"/>
              </w:rPr>
              <w:t>NeuroTechnologies</w:t>
            </w:r>
            <w:proofErr w:type="spellEnd"/>
          </w:p>
        </w:tc>
        <w:tc>
          <w:tcPr>
            <w:tcW w:w="2051" w:type="dxa"/>
          </w:tcPr>
          <w:p w14:paraId="26B85826" w14:textId="3A078560" w:rsidR="00AE6AC2" w:rsidRPr="001B34F0" w:rsidRDefault="00AE6AC2" w:rsidP="00417BB1">
            <w:pPr>
              <w:rPr>
                <w:rFonts w:ascii="Arial" w:hAnsi="Arial" w:cs="Arial"/>
                <w:sz w:val="18"/>
                <w:szCs w:val="18"/>
              </w:rPr>
            </w:pPr>
            <w:r w:rsidRPr="001B34F0">
              <w:rPr>
                <w:rFonts w:ascii="Arial" w:hAnsi="Arial" w:cs="Arial"/>
                <w:sz w:val="18"/>
                <w:szCs w:val="18"/>
              </w:rPr>
              <w:t>1</w:t>
            </w:r>
          </w:p>
        </w:tc>
        <w:tc>
          <w:tcPr>
            <w:tcW w:w="5334" w:type="dxa"/>
          </w:tcPr>
          <w:p w14:paraId="4D948300" w14:textId="77777777" w:rsidR="00AE6AC2" w:rsidRPr="001B34F0" w:rsidRDefault="00AE6AC2" w:rsidP="00417BB1">
            <w:pPr>
              <w:rPr>
                <w:rFonts w:ascii="Arial" w:hAnsi="Arial" w:cs="Arial"/>
                <w:sz w:val="18"/>
                <w:szCs w:val="18"/>
              </w:rPr>
            </w:pPr>
            <w:r w:rsidRPr="001B34F0">
              <w:rPr>
                <w:rFonts w:ascii="Arial" w:hAnsi="Arial" w:cs="Arial"/>
                <w:sz w:val="18"/>
                <w:szCs w:val="18"/>
              </w:rPr>
              <w:t xml:space="preserve">We appreciate the recommendation that further evidence should be generated and we look forward to working with the NHS and healthcare providers in the UK on such a project. </w:t>
            </w:r>
          </w:p>
          <w:p w14:paraId="091A6A8C" w14:textId="77777777" w:rsidR="00AE6AC2" w:rsidRPr="001B34F0" w:rsidRDefault="00AE6AC2" w:rsidP="00417BB1">
            <w:pPr>
              <w:rPr>
                <w:rFonts w:ascii="Arial" w:hAnsi="Arial" w:cs="Arial"/>
                <w:sz w:val="18"/>
                <w:szCs w:val="18"/>
              </w:rPr>
            </w:pPr>
          </w:p>
        </w:tc>
        <w:tc>
          <w:tcPr>
            <w:tcW w:w="4910" w:type="dxa"/>
          </w:tcPr>
          <w:p w14:paraId="55762DF0" w14:textId="3800C9CB" w:rsidR="00AE6AC2" w:rsidRPr="001B34F0" w:rsidRDefault="00774112" w:rsidP="00417BB1">
            <w:pPr>
              <w:pStyle w:val="Title"/>
              <w:spacing w:before="0" w:after="0"/>
              <w:jc w:val="left"/>
              <w:rPr>
                <w:rFonts w:cs="Arial"/>
                <w:b w:val="0"/>
                <w:iCs/>
                <w:sz w:val="18"/>
                <w:szCs w:val="18"/>
              </w:rPr>
            </w:pPr>
            <w:r w:rsidRPr="001B34F0">
              <w:rPr>
                <w:rFonts w:cs="Arial"/>
                <w:b w:val="0"/>
                <w:sz w:val="18"/>
                <w:szCs w:val="18"/>
              </w:rPr>
              <w:t>Thank you for your comment which the committee considered.</w:t>
            </w:r>
          </w:p>
        </w:tc>
      </w:tr>
    </w:tbl>
    <w:p w14:paraId="3A1A7038" w14:textId="77777777" w:rsidR="004248FF" w:rsidRPr="001B34F0" w:rsidRDefault="004248FF" w:rsidP="00417BB1">
      <w:pPr>
        <w:pStyle w:val="Paragraph"/>
        <w:numPr>
          <w:ilvl w:val="0"/>
          <w:numId w:val="0"/>
        </w:numPr>
        <w:ind w:left="709" w:hanging="709"/>
        <w:rPr>
          <w:rFonts w:cs="Arial"/>
          <w:sz w:val="18"/>
          <w:szCs w:val="18"/>
        </w:rPr>
        <w:sectPr w:rsidR="004248FF" w:rsidRPr="001B34F0" w:rsidSect="001B0995">
          <w:headerReference w:type="default" r:id="rId18"/>
          <w:pgSz w:w="16838" w:h="11906" w:orient="landscape"/>
          <w:pgMar w:top="1276" w:right="1440" w:bottom="1800" w:left="1440" w:header="708" w:footer="708" w:gutter="0"/>
          <w:cols w:space="708"/>
          <w:docGrid w:linePitch="360"/>
        </w:sectPr>
      </w:pPr>
    </w:p>
    <w:tbl>
      <w:tblPr>
        <w:tblStyle w:val="TableGrid"/>
        <w:tblW w:w="15344" w:type="dxa"/>
        <w:tblInd w:w="-601" w:type="dxa"/>
        <w:tblLook w:val="04A0" w:firstRow="1" w:lastRow="0" w:firstColumn="1" w:lastColumn="0" w:noHBand="0" w:noVBand="1"/>
      </w:tblPr>
      <w:tblGrid>
        <w:gridCol w:w="1231"/>
        <w:gridCol w:w="1777"/>
        <w:gridCol w:w="1965"/>
        <w:gridCol w:w="6099"/>
        <w:gridCol w:w="4272"/>
      </w:tblGrid>
      <w:tr w:rsidR="004248FF" w:rsidRPr="001B34F0" w14:paraId="017F8F46" w14:textId="77777777" w:rsidTr="006F6E28">
        <w:trPr>
          <w:trHeight w:val="470"/>
          <w:tblHeader/>
        </w:trPr>
        <w:tc>
          <w:tcPr>
            <w:tcW w:w="1231" w:type="dxa"/>
            <w:shd w:val="clear" w:color="auto" w:fill="D9D9D9" w:themeFill="background1" w:themeFillShade="D9"/>
            <w:vAlign w:val="center"/>
          </w:tcPr>
          <w:p w14:paraId="234FE32C" w14:textId="77777777" w:rsidR="004248FF" w:rsidRPr="001B34F0" w:rsidRDefault="004248FF" w:rsidP="00417BB1">
            <w:pPr>
              <w:pStyle w:val="Heading1"/>
              <w:spacing w:before="0" w:after="0"/>
              <w:rPr>
                <w:rFonts w:cs="Arial"/>
                <w:iCs/>
                <w:sz w:val="18"/>
                <w:szCs w:val="18"/>
              </w:rPr>
            </w:pPr>
            <w:r w:rsidRPr="001B34F0">
              <w:rPr>
                <w:rFonts w:cs="Arial"/>
                <w:iCs/>
                <w:sz w:val="18"/>
                <w:szCs w:val="18"/>
              </w:rPr>
              <w:lastRenderedPageBreak/>
              <w:t>Comment number</w:t>
            </w:r>
          </w:p>
        </w:tc>
        <w:tc>
          <w:tcPr>
            <w:tcW w:w="1777" w:type="dxa"/>
            <w:shd w:val="clear" w:color="auto" w:fill="D9D9D9" w:themeFill="background1" w:themeFillShade="D9"/>
            <w:vAlign w:val="center"/>
          </w:tcPr>
          <w:p w14:paraId="4ACAC5C2" w14:textId="77777777" w:rsidR="004248FF" w:rsidRPr="001B34F0" w:rsidRDefault="004248FF" w:rsidP="00417BB1">
            <w:pPr>
              <w:pStyle w:val="Heading1"/>
              <w:spacing w:before="0" w:after="0"/>
              <w:rPr>
                <w:rFonts w:cs="Arial"/>
                <w:iCs/>
                <w:sz w:val="18"/>
                <w:szCs w:val="18"/>
              </w:rPr>
            </w:pPr>
            <w:r w:rsidRPr="001B34F0">
              <w:rPr>
                <w:rFonts w:cs="Arial"/>
                <w:iCs/>
                <w:sz w:val="18"/>
                <w:szCs w:val="18"/>
              </w:rPr>
              <w:t>Name and organisation</w:t>
            </w:r>
          </w:p>
        </w:tc>
        <w:tc>
          <w:tcPr>
            <w:tcW w:w="1965" w:type="dxa"/>
            <w:shd w:val="clear" w:color="auto" w:fill="D9D9D9" w:themeFill="background1" w:themeFillShade="D9"/>
            <w:vAlign w:val="center"/>
          </w:tcPr>
          <w:p w14:paraId="601174D9" w14:textId="77777777" w:rsidR="004248FF" w:rsidRPr="001B34F0" w:rsidRDefault="004248FF" w:rsidP="00417BB1">
            <w:pPr>
              <w:pStyle w:val="Title"/>
              <w:spacing w:before="0" w:after="0"/>
              <w:jc w:val="left"/>
              <w:rPr>
                <w:rFonts w:cs="Arial"/>
                <w:iCs/>
                <w:sz w:val="18"/>
                <w:szCs w:val="18"/>
              </w:rPr>
            </w:pPr>
            <w:r w:rsidRPr="001B34F0">
              <w:rPr>
                <w:rFonts w:cs="Arial"/>
                <w:iCs/>
                <w:sz w:val="18"/>
                <w:szCs w:val="18"/>
              </w:rPr>
              <w:t>Section number</w:t>
            </w:r>
          </w:p>
        </w:tc>
        <w:tc>
          <w:tcPr>
            <w:tcW w:w="6099" w:type="dxa"/>
            <w:shd w:val="clear" w:color="auto" w:fill="D9D9D9" w:themeFill="background1" w:themeFillShade="D9"/>
            <w:vAlign w:val="center"/>
          </w:tcPr>
          <w:p w14:paraId="18BC8CB7" w14:textId="77777777" w:rsidR="004248FF" w:rsidRPr="001B34F0" w:rsidRDefault="004248FF" w:rsidP="00417BB1">
            <w:pPr>
              <w:pStyle w:val="Title"/>
              <w:tabs>
                <w:tab w:val="left" w:pos="3444"/>
              </w:tabs>
              <w:spacing w:before="0" w:after="0"/>
              <w:jc w:val="left"/>
              <w:rPr>
                <w:rFonts w:cs="Arial"/>
                <w:iCs/>
                <w:sz w:val="18"/>
                <w:szCs w:val="18"/>
              </w:rPr>
            </w:pPr>
            <w:r w:rsidRPr="001B34F0">
              <w:rPr>
                <w:rFonts w:cs="Arial"/>
                <w:iCs/>
                <w:sz w:val="18"/>
                <w:szCs w:val="18"/>
              </w:rPr>
              <w:t>Comment</w:t>
            </w:r>
            <w:r w:rsidRPr="001B34F0">
              <w:rPr>
                <w:rFonts w:cs="Arial"/>
                <w:iCs/>
                <w:sz w:val="18"/>
                <w:szCs w:val="18"/>
              </w:rPr>
              <w:tab/>
            </w:r>
          </w:p>
        </w:tc>
        <w:tc>
          <w:tcPr>
            <w:tcW w:w="4272" w:type="dxa"/>
            <w:shd w:val="clear" w:color="auto" w:fill="D9D9D9" w:themeFill="background1" w:themeFillShade="D9"/>
            <w:vAlign w:val="center"/>
          </w:tcPr>
          <w:p w14:paraId="146F00D4" w14:textId="77777777" w:rsidR="004248FF" w:rsidRPr="001B34F0" w:rsidRDefault="004248FF" w:rsidP="00417BB1">
            <w:pPr>
              <w:pStyle w:val="Title"/>
              <w:spacing w:before="0" w:after="0"/>
              <w:jc w:val="left"/>
              <w:rPr>
                <w:rFonts w:cs="Arial"/>
                <w:iCs/>
                <w:sz w:val="18"/>
                <w:szCs w:val="18"/>
              </w:rPr>
            </w:pPr>
            <w:r w:rsidRPr="001B34F0">
              <w:rPr>
                <w:rFonts w:cs="Arial"/>
                <w:iCs/>
                <w:sz w:val="18"/>
                <w:szCs w:val="18"/>
              </w:rPr>
              <w:t>NICE/EAG considerations</w:t>
            </w:r>
          </w:p>
        </w:tc>
      </w:tr>
      <w:tr w:rsidR="006F6E28" w:rsidRPr="001B34F0" w14:paraId="2E07D579" w14:textId="77777777" w:rsidTr="006F6E28">
        <w:trPr>
          <w:trHeight w:val="470"/>
        </w:trPr>
        <w:tc>
          <w:tcPr>
            <w:tcW w:w="1231" w:type="dxa"/>
          </w:tcPr>
          <w:p w14:paraId="12CB8E17" w14:textId="538A97B3" w:rsidR="006F6E28" w:rsidRPr="001B34F0" w:rsidRDefault="00AE6638" w:rsidP="00417BB1">
            <w:pPr>
              <w:rPr>
                <w:rFonts w:ascii="Arial" w:hAnsi="Arial" w:cs="Arial"/>
                <w:sz w:val="18"/>
                <w:szCs w:val="18"/>
              </w:rPr>
            </w:pPr>
            <w:r w:rsidRPr="001B34F0">
              <w:rPr>
                <w:rFonts w:ascii="Arial" w:hAnsi="Arial" w:cs="Arial"/>
                <w:sz w:val="18"/>
                <w:szCs w:val="18"/>
              </w:rPr>
              <w:t>9</w:t>
            </w:r>
          </w:p>
        </w:tc>
        <w:tc>
          <w:tcPr>
            <w:tcW w:w="1777" w:type="dxa"/>
          </w:tcPr>
          <w:p w14:paraId="2616CE7E" w14:textId="4F5AE846" w:rsidR="006F6E28" w:rsidRPr="001B34F0" w:rsidRDefault="006F6E28" w:rsidP="00417BB1">
            <w:pPr>
              <w:rPr>
                <w:rFonts w:ascii="Arial" w:hAnsi="Arial" w:cs="Arial"/>
                <w:sz w:val="18"/>
                <w:szCs w:val="18"/>
              </w:rPr>
            </w:pPr>
            <w:r w:rsidRPr="001B34F0">
              <w:rPr>
                <w:rFonts w:ascii="Arial" w:hAnsi="Arial" w:cs="Arial"/>
                <w:sz w:val="18"/>
                <w:szCs w:val="18"/>
              </w:rPr>
              <w:t>PD Neurotechnology Limited</w:t>
            </w:r>
          </w:p>
        </w:tc>
        <w:tc>
          <w:tcPr>
            <w:tcW w:w="1965" w:type="dxa"/>
          </w:tcPr>
          <w:p w14:paraId="53FC6BD9" w14:textId="67368558" w:rsidR="006F6E28" w:rsidRPr="001B34F0" w:rsidRDefault="006F6E28" w:rsidP="00417BB1">
            <w:pPr>
              <w:rPr>
                <w:rFonts w:ascii="Arial" w:hAnsi="Arial" w:cs="Arial"/>
                <w:sz w:val="18"/>
                <w:szCs w:val="18"/>
              </w:rPr>
            </w:pPr>
            <w:r w:rsidRPr="001B34F0">
              <w:rPr>
                <w:rFonts w:ascii="Arial" w:hAnsi="Arial" w:cs="Arial"/>
                <w:sz w:val="18"/>
                <w:szCs w:val="18"/>
              </w:rPr>
              <w:t>General</w:t>
            </w:r>
          </w:p>
        </w:tc>
        <w:tc>
          <w:tcPr>
            <w:tcW w:w="6099" w:type="dxa"/>
          </w:tcPr>
          <w:p w14:paraId="15C246E4" w14:textId="31A6782E" w:rsidR="006F6E28" w:rsidRPr="001B34F0" w:rsidRDefault="006F6E28" w:rsidP="00417BB1">
            <w:pPr>
              <w:rPr>
                <w:rFonts w:ascii="Arial" w:hAnsi="Arial" w:cs="Arial"/>
                <w:sz w:val="18"/>
                <w:szCs w:val="18"/>
              </w:rPr>
            </w:pPr>
            <w:r w:rsidRPr="001B34F0">
              <w:rPr>
                <w:rFonts w:ascii="Arial" w:hAnsi="Arial" w:cs="Arial"/>
                <w:sz w:val="18"/>
                <w:szCs w:val="18"/>
                <w:lang w:val="en-US"/>
              </w:rPr>
              <w:t xml:space="preserve">There is likely evidence to be published or to be submitted for publishing until January 2023. What is the cutoff point for new evidence to be </w:t>
            </w:r>
            <w:proofErr w:type="gramStart"/>
            <w:r w:rsidRPr="001B34F0">
              <w:rPr>
                <w:rFonts w:ascii="Arial" w:hAnsi="Arial" w:cs="Arial"/>
                <w:sz w:val="18"/>
                <w:szCs w:val="18"/>
                <w:lang w:val="en-US"/>
              </w:rPr>
              <w:t>taken into account</w:t>
            </w:r>
            <w:proofErr w:type="gramEnd"/>
            <w:r w:rsidRPr="001B34F0">
              <w:rPr>
                <w:rFonts w:ascii="Arial" w:hAnsi="Arial" w:cs="Arial"/>
                <w:sz w:val="18"/>
                <w:szCs w:val="18"/>
                <w:lang w:val="en-US"/>
              </w:rPr>
              <w:t>? What about after January 2023?</w:t>
            </w:r>
          </w:p>
        </w:tc>
        <w:tc>
          <w:tcPr>
            <w:tcW w:w="4272" w:type="dxa"/>
          </w:tcPr>
          <w:p w14:paraId="4445D6B7" w14:textId="77777777" w:rsidR="00EB41A9" w:rsidRPr="001B34F0" w:rsidRDefault="00EB41A9" w:rsidP="00EB41A9">
            <w:pPr>
              <w:pStyle w:val="Title"/>
              <w:spacing w:before="0" w:after="0"/>
              <w:jc w:val="left"/>
              <w:rPr>
                <w:rFonts w:cs="Arial"/>
                <w:b w:val="0"/>
                <w:iCs/>
                <w:sz w:val="18"/>
                <w:szCs w:val="18"/>
              </w:rPr>
            </w:pPr>
            <w:r w:rsidRPr="001B34F0">
              <w:rPr>
                <w:rFonts w:cs="Arial"/>
                <w:b w:val="0"/>
                <w:iCs/>
                <w:sz w:val="18"/>
                <w:szCs w:val="18"/>
              </w:rPr>
              <w:t xml:space="preserve">Thank you for your comment which the committee considered. </w:t>
            </w:r>
          </w:p>
          <w:p w14:paraId="4567C12E" w14:textId="77777777" w:rsidR="00EB41A9" w:rsidRPr="001B34F0" w:rsidRDefault="00EB41A9" w:rsidP="00EB41A9">
            <w:pPr>
              <w:pStyle w:val="Title"/>
              <w:spacing w:before="0" w:after="0"/>
              <w:jc w:val="left"/>
              <w:rPr>
                <w:rFonts w:cs="Arial"/>
                <w:b w:val="0"/>
                <w:iCs/>
                <w:sz w:val="18"/>
                <w:szCs w:val="18"/>
              </w:rPr>
            </w:pPr>
          </w:p>
          <w:p w14:paraId="5926513F" w14:textId="1967D3C0" w:rsidR="00EB41A9" w:rsidRPr="001B34F0" w:rsidRDefault="00B7434F" w:rsidP="002702C7">
            <w:pPr>
              <w:pStyle w:val="Title"/>
              <w:spacing w:before="0"/>
              <w:jc w:val="left"/>
              <w:rPr>
                <w:rFonts w:cs="Arial"/>
                <w:b w:val="0"/>
                <w:iCs/>
                <w:sz w:val="18"/>
                <w:szCs w:val="18"/>
              </w:rPr>
            </w:pPr>
            <w:r>
              <w:rPr>
                <w:rFonts w:cs="Arial"/>
                <w:b w:val="0"/>
                <w:iCs/>
                <w:sz w:val="18"/>
                <w:szCs w:val="18"/>
              </w:rPr>
              <w:t xml:space="preserve">Please make </w:t>
            </w:r>
            <w:r w:rsidR="00EB41A9" w:rsidRPr="001B34F0">
              <w:rPr>
                <w:rFonts w:cs="Arial"/>
                <w:b w:val="0"/>
                <w:iCs/>
                <w:sz w:val="18"/>
                <w:szCs w:val="18"/>
              </w:rPr>
              <w:t>NICE aware of new and relevant evidence as it becomes available. New evidence can be submitted to the diagnostics assessment programme at diagostics@nice.org.uk</w:t>
            </w:r>
          </w:p>
        </w:tc>
      </w:tr>
      <w:tr w:rsidR="006F6E28" w:rsidRPr="00D818FC" w14:paraId="0143B724" w14:textId="77777777" w:rsidTr="006F6E28">
        <w:trPr>
          <w:trHeight w:val="470"/>
        </w:trPr>
        <w:tc>
          <w:tcPr>
            <w:tcW w:w="1231" w:type="dxa"/>
          </w:tcPr>
          <w:p w14:paraId="7D9558E5" w14:textId="3A262A9C" w:rsidR="006F6E28" w:rsidRPr="001B34F0" w:rsidRDefault="00AE6638" w:rsidP="00417BB1">
            <w:pPr>
              <w:rPr>
                <w:rFonts w:ascii="Arial" w:hAnsi="Arial" w:cs="Arial"/>
                <w:sz w:val="18"/>
                <w:szCs w:val="18"/>
              </w:rPr>
            </w:pPr>
            <w:r w:rsidRPr="001B34F0">
              <w:rPr>
                <w:rFonts w:ascii="Arial" w:hAnsi="Arial" w:cs="Arial"/>
                <w:sz w:val="18"/>
                <w:szCs w:val="18"/>
              </w:rPr>
              <w:t>10</w:t>
            </w:r>
          </w:p>
        </w:tc>
        <w:tc>
          <w:tcPr>
            <w:tcW w:w="1777" w:type="dxa"/>
          </w:tcPr>
          <w:p w14:paraId="65805681" w14:textId="22AE2001" w:rsidR="006F6E28" w:rsidRPr="001B34F0" w:rsidRDefault="006F6E28" w:rsidP="00417BB1">
            <w:pPr>
              <w:rPr>
                <w:rFonts w:ascii="Arial" w:hAnsi="Arial" w:cs="Arial"/>
                <w:sz w:val="18"/>
                <w:szCs w:val="18"/>
              </w:rPr>
            </w:pPr>
            <w:r w:rsidRPr="001B34F0">
              <w:rPr>
                <w:rFonts w:ascii="Arial" w:hAnsi="Arial" w:cs="Arial"/>
                <w:sz w:val="18"/>
                <w:szCs w:val="18"/>
              </w:rPr>
              <w:t>Parkinson’s UK (web comment)</w:t>
            </w:r>
          </w:p>
        </w:tc>
        <w:tc>
          <w:tcPr>
            <w:tcW w:w="1965" w:type="dxa"/>
          </w:tcPr>
          <w:p w14:paraId="078382E3" w14:textId="6CB379CE" w:rsidR="006F6E28" w:rsidRPr="001B34F0" w:rsidRDefault="006F6E28" w:rsidP="00417BB1">
            <w:pPr>
              <w:rPr>
                <w:rFonts w:ascii="Arial" w:hAnsi="Arial" w:cs="Arial"/>
                <w:sz w:val="18"/>
                <w:szCs w:val="18"/>
              </w:rPr>
            </w:pPr>
            <w:r w:rsidRPr="001B34F0">
              <w:rPr>
                <w:rFonts w:ascii="Arial" w:hAnsi="Arial" w:cs="Arial"/>
                <w:sz w:val="18"/>
                <w:szCs w:val="18"/>
              </w:rPr>
              <w:t>Committee-discussion. People with Parkinson's disease could benefit from remote monitoring technologies 3.1.  “It recognised that offering face to face appointments is still essential, and that remote assessment would not replace this entirely, but could offer more flexible options for care for some people.”</w:t>
            </w:r>
          </w:p>
        </w:tc>
        <w:tc>
          <w:tcPr>
            <w:tcW w:w="6099" w:type="dxa"/>
          </w:tcPr>
          <w:p w14:paraId="5B40E0C8" w14:textId="3C54BB9D" w:rsidR="006F6E28" w:rsidRPr="001B34F0" w:rsidRDefault="006F6E28" w:rsidP="00417BB1">
            <w:pPr>
              <w:rPr>
                <w:rFonts w:ascii="Arial" w:hAnsi="Arial" w:cs="Arial"/>
                <w:sz w:val="18"/>
                <w:szCs w:val="18"/>
              </w:rPr>
            </w:pPr>
            <w:r w:rsidRPr="001B34F0">
              <w:rPr>
                <w:rFonts w:ascii="Arial" w:hAnsi="Arial" w:cs="Arial"/>
                <w:sz w:val="18"/>
                <w:szCs w:val="18"/>
              </w:rPr>
              <w:t>We believe it needs to be made clear that remote monitoring is not intended to replace face-to-face appointments but to complement face-to-face appointments by providing objective monitoring of symptoms to improve decision-making and outcomes for people with Parkinson's. We recommend the wording is amended here to give more clarity that remote monitoring is to complement and not replace face-to-face appointments.</w:t>
            </w:r>
          </w:p>
        </w:tc>
        <w:tc>
          <w:tcPr>
            <w:tcW w:w="4272" w:type="dxa"/>
          </w:tcPr>
          <w:p w14:paraId="2B981BE2" w14:textId="77777777" w:rsidR="00EB41A9" w:rsidRPr="001B34F0" w:rsidRDefault="00EB41A9" w:rsidP="00417BB1">
            <w:pPr>
              <w:pStyle w:val="Title"/>
              <w:spacing w:before="0" w:after="0"/>
              <w:jc w:val="left"/>
              <w:rPr>
                <w:rFonts w:cs="Arial"/>
                <w:b w:val="0"/>
                <w:sz w:val="18"/>
                <w:szCs w:val="18"/>
              </w:rPr>
            </w:pPr>
            <w:r w:rsidRPr="001B34F0">
              <w:rPr>
                <w:rFonts w:cs="Arial"/>
                <w:b w:val="0"/>
                <w:sz w:val="18"/>
                <w:szCs w:val="18"/>
              </w:rPr>
              <w:t>Thank you for your comment which the committee considered.</w:t>
            </w:r>
          </w:p>
          <w:p w14:paraId="10CD357C" w14:textId="77777777" w:rsidR="00EB41A9" w:rsidRPr="001B34F0" w:rsidRDefault="00EB41A9" w:rsidP="00417BB1">
            <w:pPr>
              <w:pStyle w:val="Title"/>
              <w:spacing w:before="0" w:after="0"/>
              <w:jc w:val="left"/>
              <w:rPr>
                <w:rFonts w:cs="Arial"/>
                <w:b w:val="0"/>
                <w:sz w:val="18"/>
                <w:szCs w:val="18"/>
              </w:rPr>
            </w:pPr>
          </w:p>
          <w:p w14:paraId="62FC39D6" w14:textId="7EABE60A" w:rsidR="006F6E28" w:rsidRPr="00D818FC" w:rsidRDefault="00EB41A9" w:rsidP="00417BB1">
            <w:pPr>
              <w:pStyle w:val="Title"/>
              <w:spacing w:before="0" w:after="0"/>
              <w:jc w:val="left"/>
              <w:rPr>
                <w:rFonts w:cs="Arial"/>
                <w:b w:val="0"/>
                <w:iCs/>
                <w:sz w:val="18"/>
                <w:szCs w:val="18"/>
              </w:rPr>
            </w:pPr>
            <w:r w:rsidRPr="001B34F0">
              <w:rPr>
                <w:rFonts w:cs="Arial"/>
                <w:b w:val="0"/>
                <w:sz w:val="18"/>
                <w:szCs w:val="18"/>
              </w:rPr>
              <w:t>The committee decided to change the text in section 3.1 to</w:t>
            </w:r>
            <w:r w:rsidR="00AC1C93">
              <w:rPr>
                <w:rFonts w:cs="Arial"/>
                <w:b w:val="0"/>
                <w:sz w:val="18"/>
                <w:szCs w:val="18"/>
              </w:rPr>
              <w:t xml:space="preserve"> further emphasize this point</w:t>
            </w:r>
            <w:r w:rsidRPr="001B34F0">
              <w:rPr>
                <w:rFonts w:cs="Arial"/>
                <w:b w:val="0"/>
                <w:sz w:val="18"/>
                <w:szCs w:val="18"/>
              </w:rPr>
              <w:t xml:space="preserve"> “Experts commented that use of the technology should be considered complementary to face-to-face appointments.”</w:t>
            </w:r>
          </w:p>
        </w:tc>
      </w:tr>
    </w:tbl>
    <w:p w14:paraId="3CCD2B7C" w14:textId="77777777" w:rsidR="004248FF" w:rsidRPr="00D818FC" w:rsidRDefault="004248FF" w:rsidP="00417BB1">
      <w:pPr>
        <w:pStyle w:val="Paragraph"/>
        <w:numPr>
          <w:ilvl w:val="0"/>
          <w:numId w:val="0"/>
        </w:numPr>
        <w:rPr>
          <w:rFonts w:cs="Arial"/>
          <w:sz w:val="18"/>
          <w:szCs w:val="18"/>
        </w:rPr>
        <w:sectPr w:rsidR="004248FF" w:rsidRPr="00D818FC" w:rsidSect="001B0995">
          <w:headerReference w:type="default" r:id="rId19"/>
          <w:pgSz w:w="16838" w:h="11906" w:orient="landscape"/>
          <w:pgMar w:top="1276" w:right="1440" w:bottom="1800" w:left="1440" w:header="708" w:footer="708" w:gutter="0"/>
          <w:cols w:space="708"/>
          <w:docGrid w:linePitch="360"/>
        </w:sectPr>
      </w:pPr>
    </w:p>
    <w:p w14:paraId="35E8D21C" w14:textId="77777777" w:rsidR="001D1639" w:rsidRPr="00D818FC" w:rsidRDefault="001D1639" w:rsidP="00417BB1">
      <w:pPr>
        <w:pStyle w:val="Paragraph"/>
        <w:numPr>
          <w:ilvl w:val="0"/>
          <w:numId w:val="0"/>
        </w:numPr>
        <w:rPr>
          <w:rFonts w:cs="Arial"/>
          <w:sz w:val="18"/>
          <w:szCs w:val="18"/>
        </w:rPr>
      </w:pPr>
    </w:p>
    <w:sectPr w:rsidR="001D1639" w:rsidRPr="00D818FC" w:rsidSect="001B0995">
      <w:headerReference w:type="default" r:id="rId20"/>
      <w:pgSz w:w="16838" w:h="11906" w:orient="landscape"/>
      <w:pgMar w:top="1276"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06816" w14:textId="77777777" w:rsidR="009B3B86" w:rsidRDefault="009B3B86" w:rsidP="00446BEE">
      <w:r>
        <w:separator/>
      </w:r>
    </w:p>
  </w:endnote>
  <w:endnote w:type="continuationSeparator" w:id="0">
    <w:p w14:paraId="2DCBC9B2" w14:textId="77777777" w:rsidR="009B3B86" w:rsidRDefault="009B3B86"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708A5" w14:textId="77777777" w:rsidR="00AE6638" w:rsidRDefault="00AE66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0071288"/>
      <w:docPartObj>
        <w:docPartGallery w:val="Page Numbers (Bottom of Page)"/>
        <w:docPartUnique/>
      </w:docPartObj>
    </w:sdtPr>
    <w:sdtEndPr/>
    <w:sdtContent>
      <w:sdt>
        <w:sdtPr>
          <w:id w:val="-1669238322"/>
          <w:docPartObj>
            <w:docPartGallery w:val="Page Numbers (Top of Page)"/>
            <w:docPartUnique/>
          </w:docPartObj>
        </w:sdtPr>
        <w:sdtEndPr/>
        <w:sdtContent>
          <w:p w14:paraId="3CDBC310" w14:textId="77777777" w:rsidR="002F0B70" w:rsidRDefault="002F0B70">
            <w:pPr>
              <w:pStyle w:val="Footer"/>
              <w:jc w:val="center"/>
            </w:pPr>
            <w:r w:rsidRPr="002F0B70">
              <w:rPr>
                <w:szCs w:val="20"/>
              </w:rPr>
              <w:t xml:space="preserve">Page </w:t>
            </w:r>
            <w:r w:rsidRPr="002F0B70">
              <w:rPr>
                <w:bCs/>
                <w:szCs w:val="20"/>
              </w:rPr>
              <w:fldChar w:fldCharType="begin"/>
            </w:r>
            <w:r w:rsidRPr="002F0B70">
              <w:rPr>
                <w:bCs/>
                <w:szCs w:val="20"/>
              </w:rPr>
              <w:instrText xml:space="preserve"> PAGE </w:instrText>
            </w:r>
            <w:r w:rsidRPr="002F0B70">
              <w:rPr>
                <w:bCs/>
                <w:szCs w:val="20"/>
              </w:rPr>
              <w:fldChar w:fldCharType="separate"/>
            </w:r>
            <w:r w:rsidR="008D7792">
              <w:rPr>
                <w:bCs/>
                <w:noProof/>
                <w:szCs w:val="20"/>
              </w:rPr>
              <w:t>1</w:t>
            </w:r>
            <w:r w:rsidRPr="002F0B70">
              <w:rPr>
                <w:bCs/>
                <w:szCs w:val="20"/>
              </w:rPr>
              <w:fldChar w:fldCharType="end"/>
            </w:r>
            <w:r w:rsidRPr="002F0B70">
              <w:rPr>
                <w:szCs w:val="20"/>
              </w:rPr>
              <w:t xml:space="preserve"> of </w:t>
            </w:r>
            <w:r w:rsidRPr="002F0B70">
              <w:rPr>
                <w:bCs/>
                <w:szCs w:val="20"/>
              </w:rPr>
              <w:fldChar w:fldCharType="begin"/>
            </w:r>
            <w:r w:rsidRPr="002F0B70">
              <w:rPr>
                <w:bCs/>
                <w:szCs w:val="20"/>
              </w:rPr>
              <w:instrText xml:space="preserve"> NUMPAGES  </w:instrText>
            </w:r>
            <w:r w:rsidRPr="002F0B70">
              <w:rPr>
                <w:bCs/>
                <w:szCs w:val="20"/>
              </w:rPr>
              <w:fldChar w:fldCharType="separate"/>
            </w:r>
            <w:r w:rsidR="008D7792">
              <w:rPr>
                <w:bCs/>
                <w:noProof/>
                <w:szCs w:val="20"/>
              </w:rPr>
              <w:t>20</w:t>
            </w:r>
            <w:r w:rsidRPr="002F0B70">
              <w:rPr>
                <w:bCs/>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4D25D" w14:textId="77777777" w:rsidR="00AE6638" w:rsidRDefault="00AE6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D9AAD" w14:textId="77777777" w:rsidR="009B3B86" w:rsidRDefault="009B3B86" w:rsidP="00446BEE">
      <w:r>
        <w:separator/>
      </w:r>
    </w:p>
  </w:footnote>
  <w:footnote w:type="continuationSeparator" w:id="0">
    <w:p w14:paraId="2A459488" w14:textId="77777777" w:rsidR="009B3B86" w:rsidRDefault="009B3B86"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E23FD" w14:textId="77777777" w:rsidR="00AE6638" w:rsidRDefault="00AE66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C2911" w14:textId="77777777" w:rsidR="0085508F" w:rsidRDefault="0085508F" w:rsidP="0085508F">
    <w:pPr>
      <w:rPr>
        <w:rFonts w:ascii="Arial" w:eastAsia="Calibri" w:hAnsi="Arial" w:cs="Arial"/>
        <w:b/>
        <w:sz w:val="22"/>
      </w:rPr>
    </w:pPr>
    <w:r>
      <w:rPr>
        <w:noProof/>
      </w:rPr>
      <w:drawing>
        <wp:anchor distT="0" distB="0" distL="114300" distR="114300" simplePos="0" relativeHeight="251659264" behindDoc="1" locked="0" layoutInCell="1" allowOverlap="1" wp14:anchorId="50A9D36F" wp14:editId="1E21300E">
          <wp:simplePos x="0" y="0"/>
          <wp:positionH relativeFrom="margin">
            <wp:posOffset>-741680</wp:posOffset>
          </wp:positionH>
          <wp:positionV relativeFrom="margin">
            <wp:posOffset>-1951990</wp:posOffset>
          </wp:positionV>
          <wp:extent cx="2715260" cy="269240"/>
          <wp:effectExtent l="0" t="0" r="8890" b="0"/>
          <wp:wrapTight wrapText="bothSides">
            <wp:wrapPolygon edited="0">
              <wp:start x="0" y="0"/>
              <wp:lineTo x="0" y="19868"/>
              <wp:lineTo x="21519" y="19868"/>
              <wp:lineTo x="21519" y="12226"/>
              <wp:lineTo x="1682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5260" cy="269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B02C38" w14:textId="77777777" w:rsidR="0085508F" w:rsidRDefault="0085508F" w:rsidP="0085508F">
    <w:pPr>
      <w:rPr>
        <w:rFonts w:ascii="Arial" w:eastAsia="Calibri" w:hAnsi="Arial" w:cs="Arial"/>
        <w:b/>
        <w:sz w:val="22"/>
      </w:rPr>
    </w:pPr>
  </w:p>
  <w:p w14:paraId="7A9D3F46" w14:textId="77777777" w:rsidR="0085508F" w:rsidRPr="009D6849" w:rsidRDefault="0085508F" w:rsidP="0085508F">
    <w:pPr>
      <w:jc w:val="center"/>
      <w:rPr>
        <w:rFonts w:ascii="Arial" w:eastAsia="Calibri" w:hAnsi="Arial" w:cs="Arial"/>
        <w:b/>
        <w:sz w:val="22"/>
      </w:rPr>
    </w:pPr>
    <w:r w:rsidRPr="009D6849">
      <w:rPr>
        <w:rFonts w:ascii="Arial" w:eastAsia="Calibri" w:hAnsi="Arial" w:cs="Arial"/>
        <w:b/>
        <w:sz w:val="22"/>
      </w:rPr>
      <w:t xml:space="preserve">DIAGNOSTICS ASSESSMENT PROGRAMME </w:t>
    </w:r>
  </w:p>
  <w:p w14:paraId="7D9165F3" w14:textId="77777777" w:rsidR="0085508F" w:rsidRPr="002F0B70" w:rsidRDefault="0085508F" w:rsidP="0085508F">
    <w:pPr>
      <w:pStyle w:val="Header"/>
      <w:jc w:val="center"/>
      <w:rPr>
        <w:rFonts w:cs="Arial"/>
        <w:b/>
        <w:bCs/>
        <w:sz w:val="14"/>
      </w:rPr>
    </w:pPr>
  </w:p>
  <w:p w14:paraId="4E010F7E" w14:textId="56208C64" w:rsidR="0085508F" w:rsidRDefault="00DA4F12" w:rsidP="0085508F">
    <w:pPr>
      <w:pStyle w:val="Header"/>
      <w:jc w:val="center"/>
      <w:rPr>
        <w:rFonts w:cs="Arial"/>
        <w:b/>
        <w:bCs/>
        <w:sz w:val="22"/>
      </w:rPr>
    </w:pPr>
    <w:r w:rsidRPr="00DA4F12">
      <w:rPr>
        <w:rFonts w:cs="Arial"/>
        <w:b/>
        <w:bCs/>
        <w:sz w:val="22"/>
      </w:rPr>
      <w:t>Devices for remote monitoring of Parkinson’s disease</w:t>
    </w:r>
  </w:p>
  <w:p w14:paraId="19BC2420" w14:textId="77777777" w:rsidR="0085508F" w:rsidRPr="002F0B70" w:rsidRDefault="0085508F" w:rsidP="0085508F">
    <w:pPr>
      <w:pStyle w:val="Header"/>
      <w:jc w:val="center"/>
      <w:rPr>
        <w:rFonts w:cs="Arial"/>
        <w:b/>
        <w:bCs/>
        <w:sz w:val="14"/>
      </w:rPr>
    </w:pPr>
  </w:p>
  <w:p w14:paraId="61C2A0D0" w14:textId="77777777" w:rsidR="0085508F" w:rsidRPr="009D6849" w:rsidRDefault="0085508F" w:rsidP="0085508F">
    <w:pPr>
      <w:pStyle w:val="Header"/>
      <w:jc w:val="center"/>
      <w:rPr>
        <w:rFonts w:cs="Arial"/>
        <w:b/>
        <w:bCs/>
        <w:sz w:val="22"/>
      </w:rPr>
    </w:pPr>
    <w:r w:rsidRPr="009D6849">
      <w:rPr>
        <w:rFonts w:cs="Arial"/>
        <w:b/>
        <w:bCs/>
        <w:sz w:val="22"/>
      </w:rPr>
      <w:t>Diagnostics Consultation Document – Comments</w:t>
    </w:r>
  </w:p>
  <w:p w14:paraId="02A02674" w14:textId="77777777" w:rsidR="0085508F" w:rsidRPr="002F0B70" w:rsidRDefault="0085508F" w:rsidP="0085508F">
    <w:pPr>
      <w:pStyle w:val="Header"/>
      <w:jc w:val="center"/>
      <w:rPr>
        <w:rFonts w:cs="Arial"/>
        <w:b/>
        <w:bCs/>
        <w:sz w:val="14"/>
      </w:rPr>
    </w:pPr>
  </w:p>
  <w:p w14:paraId="54EFF047" w14:textId="00FF401C" w:rsidR="0085508F" w:rsidRDefault="0085508F" w:rsidP="0085508F">
    <w:pPr>
      <w:pStyle w:val="Header"/>
      <w:jc w:val="center"/>
      <w:rPr>
        <w:rFonts w:cs="Arial"/>
        <w:b/>
        <w:bCs/>
        <w:sz w:val="22"/>
      </w:rPr>
    </w:pPr>
    <w:r w:rsidRPr="009D6849">
      <w:rPr>
        <w:rFonts w:cs="Arial"/>
        <w:b/>
        <w:bCs/>
        <w:sz w:val="22"/>
      </w:rPr>
      <w:t xml:space="preserve">Diagnostics Advisory Committee date: </w:t>
    </w:r>
    <w:bookmarkStart w:id="0" w:name="_Hlk117066120"/>
    <w:r w:rsidR="00DA4F12" w:rsidRPr="00DA4F12">
      <w:rPr>
        <w:rFonts w:cs="Arial"/>
        <w:b/>
        <w:bCs/>
        <w:sz w:val="22"/>
      </w:rPr>
      <w:t>Monday 31</w:t>
    </w:r>
    <w:r w:rsidR="00DA4F12" w:rsidRPr="00DA4F12">
      <w:rPr>
        <w:rFonts w:cs="Arial"/>
        <w:b/>
        <w:bCs/>
        <w:sz w:val="22"/>
        <w:vertAlign w:val="superscript"/>
      </w:rPr>
      <w:t>st</w:t>
    </w:r>
    <w:r w:rsidR="00DA4F12" w:rsidRPr="00DA4F12">
      <w:rPr>
        <w:rFonts w:cs="Arial"/>
        <w:b/>
        <w:bCs/>
        <w:sz w:val="22"/>
      </w:rPr>
      <w:t xml:space="preserve"> October 2022</w:t>
    </w:r>
    <w:bookmarkEnd w:id="0"/>
  </w:p>
  <w:p w14:paraId="13E1C038" w14:textId="77777777" w:rsidR="0085508F" w:rsidRDefault="0085508F" w:rsidP="0085508F">
    <w:pPr>
      <w:pStyle w:val="Header"/>
      <w:jc w:val="center"/>
      <w:rPr>
        <w:rFonts w:cs="Arial"/>
        <w:b/>
        <w:bCs/>
        <w:sz w:val="22"/>
      </w:rPr>
    </w:pPr>
  </w:p>
  <w:p w14:paraId="5697E874" w14:textId="65CBD9E7" w:rsidR="0085508F" w:rsidRDefault="0085508F" w:rsidP="0085508F">
    <w:pPr>
      <w:pStyle w:val="Header"/>
      <w:jc w:val="center"/>
      <w:rPr>
        <w:rFonts w:cs="Arial"/>
        <w:b/>
        <w:bCs/>
        <w:sz w:val="22"/>
      </w:rPr>
    </w:pPr>
    <w:r>
      <w:rPr>
        <w:rFonts w:cs="Arial"/>
        <w:b/>
        <w:bCs/>
        <w:sz w:val="22"/>
      </w:rPr>
      <w:t xml:space="preserve">THEME: </w:t>
    </w:r>
    <w:r w:rsidR="0090516B">
      <w:rPr>
        <w:rFonts w:cs="Arial"/>
        <w:b/>
        <w:bCs/>
        <w:sz w:val="22"/>
      </w:rPr>
      <w:t>Clinical evidence</w:t>
    </w:r>
  </w:p>
  <w:p w14:paraId="1CBD8841" w14:textId="77777777" w:rsidR="0085508F" w:rsidRDefault="0085508F">
    <w:pPr>
      <w:pStyle w:val="Header"/>
    </w:pPr>
  </w:p>
  <w:p w14:paraId="2E20DE7C" w14:textId="77777777" w:rsidR="001B0995" w:rsidRDefault="001B0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69EBE" w14:textId="77777777" w:rsidR="00AE6638" w:rsidRDefault="00AE66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6A48F" w14:textId="77777777" w:rsidR="004248FF" w:rsidRDefault="004248FF" w:rsidP="0085508F">
    <w:pPr>
      <w:rPr>
        <w:rFonts w:ascii="Arial" w:eastAsia="Calibri" w:hAnsi="Arial" w:cs="Arial"/>
        <w:b/>
        <w:sz w:val="22"/>
      </w:rPr>
    </w:pPr>
    <w:r>
      <w:rPr>
        <w:noProof/>
      </w:rPr>
      <w:drawing>
        <wp:anchor distT="0" distB="0" distL="114300" distR="114300" simplePos="0" relativeHeight="251661312" behindDoc="1" locked="0" layoutInCell="1" allowOverlap="1" wp14:anchorId="7A3D3DAF" wp14:editId="1A74500C">
          <wp:simplePos x="0" y="0"/>
          <wp:positionH relativeFrom="margin">
            <wp:posOffset>-741680</wp:posOffset>
          </wp:positionH>
          <wp:positionV relativeFrom="margin">
            <wp:posOffset>-1951990</wp:posOffset>
          </wp:positionV>
          <wp:extent cx="2715260" cy="269240"/>
          <wp:effectExtent l="0" t="0" r="8890" b="0"/>
          <wp:wrapTight wrapText="bothSides">
            <wp:wrapPolygon edited="0">
              <wp:start x="0" y="0"/>
              <wp:lineTo x="0" y="19868"/>
              <wp:lineTo x="21519" y="19868"/>
              <wp:lineTo x="21519" y="12226"/>
              <wp:lineTo x="1682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5260" cy="269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33F69E" w14:textId="77777777" w:rsidR="004248FF" w:rsidRDefault="004248FF" w:rsidP="0085508F">
    <w:pPr>
      <w:rPr>
        <w:rFonts w:ascii="Arial" w:eastAsia="Calibri" w:hAnsi="Arial" w:cs="Arial"/>
        <w:b/>
        <w:sz w:val="22"/>
      </w:rPr>
    </w:pPr>
  </w:p>
  <w:p w14:paraId="1C88B7D5" w14:textId="77777777" w:rsidR="004248FF" w:rsidRPr="009D6849" w:rsidRDefault="004248FF" w:rsidP="0085508F">
    <w:pPr>
      <w:jc w:val="center"/>
      <w:rPr>
        <w:rFonts w:ascii="Arial" w:eastAsia="Calibri" w:hAnsi="Arial" w:cs="Arial"/>
        <w:b/>
        <w:sz w:val="22"/>
      </w:rPr>
    </w:pPr>
    <w:r w:rsidRPr="009D6849">
      <w:rPr>
        <w:rFonts w:ascii="Arial" w:eastAsia="Calibri" w:hAnsi="Arial" w:cs="Arial"/>
        <w:b/>
        <w:sz w:val="22"/>
      </w:rPr>
      <w:t xml:space="preserve">DIAGNOSTICS ASSESSMENT PROGRAMME </w:t>
    </w:r>
  </w:p>
  <w:p w14:paraId="44013534" w14:textId="77777777" w:rsidR="004248FF" w:rsidRPr="002F0B70" w:rsidRDefault="004248FF" w:rsidP="0085508F">
    <w:pPr>
      <w:pStyle w:val="Header"/>
      <w:jc w:val="center"/>
      <w:rPr>
        <w:rFonts w:cs="Arial"/>
        <w:b/>
        <w:bCs/>
        <w:sz w:val="14"/>
      </w:rPr>
    </w:pPr>
  </w:p>
  <w:p w14:paraId="7D62E906" w14:textId="2BB985A4" w:rsidR="004248FF" w:rsidRDefault="006F1AEC" w:rsidP="0085508F">
    <w:pPr>
      <w:pStyle w:val="Header"/>
      <w:jc w:val="center"/>
      <w:rPr>
        <w:rFonts w:cs="Arial"/>
        <w:b/>
        <w:bCs/>
        <w:sz w:val="22"/>
      </w:rPr>
    </w:pPr>
    <w:r w:rsidRPr="006F1AEC">
      <w:rPr>
        <w:rFonts w:cs="Arial"/>
        <w:b/>
        <w:bCs/>
        <w:sz w:val="22"/>
      </w:rPr>
      <w:t>Devices for remote monitoring of Parkinson’s disease</w:t>
    </w:r>
  </w:p>
  <w:p w14:paraId="569282EA" w14:textId="77777777" w:rsidR="004248FF" w:rsidRPr="002F0B70" w:rsidRDefault="004248FF" w:rsidP="0085508F">
    <w:pPr>
      <w:pStyle w:val="Header"/>
      <w:jc w:val="center"/>
      <w:rPr>
        <w:rFonts w:cs="Arial"/>
        <w:b/>
        <w:bCs/>
        <w:sz w:val="14"/>
      </w:rPr>
    </w:pPr>
  </w:p>
  <w:p w14:paraId="4DB52F09" w14:textId="77777777" w:rsidR="004248FF" w:rsidRPr="009D6849" w:rsidRDefault="004248FF" w:rsidP="0085508F">
    <w:pPr>
      <w:pStyle w:val="Header"/>
      <w:jc w:val="center"/>
      <w:rPr>
        <w:rFonts w:cs="Arial"/>
        <w:b/>
        <w:bCs/>
        <w:sz w:val="22"/>
      </w:rPr>
    </w:pPr>
    <w:r w:rsidRPr="009D6849">
      <w:rPr>
        <w:rFonts w:cs="Arial"/>
        <w:b/>
        <w:bCs/>
        <w:sz w:val="22"/>
      </w:rPr>
      <w:t>Diagnostics Consultation Document – Comments</w:t>
    </w:r>
  </w:p>
  <w:p w14:paraId="3ADA58EB" w14:textId="77777777" w:rsidR="004248FF" w:rsidRPr="002F0B70" w:rsidRDefault="004248FF" w:rsidP="0085508F">
    <w:pPr>
      <w:pStyle w:val="Header"/>
      <w:jc w:val="center"/>
      <w:rPr>
        <w:rFonts w:cs="Arial"/>
        <w:b/>
        <w:bCs/>
        <w:sz w:val="14"/>
      </w:rPr>
    </w:pPr>
  </w:p>
  <w:p w14:paraId="6591F162" w14:textId="2BABB452" w:rsidR="004248FF" w:rsidRDefault="004248FF" w:rsidP="0085508F">
    <w:pPr>
      <w:pStyle w:val="Header"/>
      <w:jc w:val="center"/>
      <w:rPr>
        <w:rFonts w:cs="Arial"/>
        <w:b/>
        <w:bCs/>
        <w:sz w:val="22"/>
      </w:rPr>
    </w:pPr>
    <w:r w:rsidRPr="009D6849">
      <w:rPr>
        <w:rFonts w:cs="Arial"/>
        <w:b/>
        <w:bCs/>
        <w:sz w:val="22"/>
      </w:rPr>
      <w:t xml:space="preserve">Diagnostics Advisory Committee date: </w:t>
    </w:r>
    <w:r w:rsidR="006F1AEC" w:rsidRPr="006F1AEC">
      <w:rPr>
        <w:rFonts w:cs="Arial"/>
        <w:b/>
        <w:bCs/>
        <w:sz w:val="22"/>
      </w:rPr>
      <w:t>Monday 31st October 2022</w:t>
    </w:r>
  </w:p>
  <w:p w14:paraId="2AE6176B" w14:textId="77777777" w:rsidR="004248FF" w:rsidRDefault="004248FF" w:rsidP="0085508F">
    <w:pPr>
      <w:pStyle w:val="Header"/>
      <w:jc w:val="center"/>
      <w:rPr>
        <w:rFonts w:cs="Arial"/>
        <w:b/>
        <w:bCs/>
        <w:sz w:val="22"/>
      </w:rPr>
    </w:pPr>
  </w:p>
  <w:p w14:paraId="581D1D0A" w14:textId="6FC1D101" w:rsidR="004248FF" w:rsidRDefault="004248FF" w:rsidP="0085508F">
    <w:pPr>
      <w:pStyle w:val="Header"/>
      <w:jc w:val="center"/>
      <w:rPr>
        <w:rFonts w:cs="Arial"/>
        <w:b/>
        <w:bCs/>
        <w:sz w:val="22"/>
      </w:rPr>
    </w:pPr>
    <w:r>
      <w:rPr>
        <w:rFonts w:cs="Arial"/>
        <w:b/>
        <w:bCs/>
        <w:sz w:val="22"/>
      </w:rPr>
      <w:t xml:space="preserve">THEME: </w:t>
    </w:r>
    <w:r w:rsidR="0090516B">
      <w:rPr>
        <w:rFonts w:cs="Arial"/>
        <w:b/>
        <w:bCs/>
        <w:sz w:val="22"/>
      </w:rPr>
      <w:t>Economic model</w:t>
    </w:r>
    <w:r w:rsidR="00206246">
      <w:rPr>
        <w:rFonts w:cs="Arial"/>
        <w:b/>
        <w:bCs/>
        <w:sz w:val="22"/>
      </w:rPr>
      <w:t>ling</w:t>
    </w:r>
  </w:p>
  <w:p w14:paraId="6FEFF92C" w14:textId="77777777" w:rsidR="004248FF" w:rsidRDefault="004248FF">
    <w:pPr>
      <w:pStyle w:val="Header"/>
    </w:pPr>
  </w:p>
  <w:p w14:paraId="64370671" w14:textId="77777777" w:rsidR="004248FF" w:rsidRDefault="004248F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FD46" w14:textId="77777777" w:rsidR="004248FF" w:rsidRDefault="004248FF" w:rsidP="0085508F">
    <w:pPr>
      <w:rPr>
        <w:rFonts w:ascii="Arial" w:eastAsia="Calibri" w:hAnsi="Arial" w:cs="Arial"/>
        <w:b/>
        <w:sz w:val="22"/>
      </w:rPr>
    </w:pPr>
    <w:r>
      <w:rPr>
        <w:noProof/>
      </w:rPr>
      <w:drawing>
        <wp:anchor distT="0" distB="0" distL="114300" distR="114300" simplePos="0" relativeHeight="251663360" behindDoc="1" locked="0" layoutInCell="1" allowOverlap="1" wp14:anchorId="7B2F9E5E" wp14:editId="6CDB7D53">
          <wp:simplePos x="0" y="0"/>
          <wp:positionH relativeFrom="margin">
            <wp:posOffset>-741680</wp:posOffset>
          </wp:positionH>
          <wp:positionV relativeFrom="margin">
            <wp:posOffset>-1951990</wp:posOffset>
          </wp:positionV>
          <wp:extent cx="2715260" cy="269240"/>
          <wp:effectExtent l="0" t="0" r="8890" b="0"/>
          <wp:wrapTight wrapText="bothSides">
            <wp:wrapPolygon edited="0">
              <wp:start x="0" y="0"/>
              <wp:lineTo x="0" y="19868"/>
              <wp:lineTo x="21519" y="19868"/>
              <wp:lineTo x="21519" y="12226"/>
              <wp:lineTo x="1682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5260" cy="269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90352E" w14:textId="77777777" w:rsidR="004248FF" w:rsidRDefault="004248FF" w:rsidP="0085508F">
    <w:pPr>
      <w:rPr>
        <w:rFonts w:ascii="Arial" w:eastAsia="Calibri" w:hAnsi="Arial" w:cs="Arial"/>
        <w:b/>
        <w:sz w:val="22"/>
      </w:rPr>
    </w:pPr>
  </w:p>
  <w:p w14:paraId="0454FBE2" w14:textId="77777777" w:rsidR="004248FF" w:rsidRPr="009D6849" w:rsidRDefault="004248FF" w:rsidP="0085508F">
    <w:pPr>
      <w:jc w:val="center"/>
      <w:rPr>
        <w:rFonts w:ascii="Arial" w:eastAsia="Calibri" w:hAnsi="Arial" w:cs="Arial"/>
        <w:b/>
        <w:sz w:val="22"/>
      </w:rPr>
    </w:pPr>
    <w:r w:rsidRPr="009D6849">
      <w:rPr>
        <w:rFonts w:ascii="Arial" w:eastAsia="Calibri" w:hAnsi="Arial" w:cs="Arial"/>
        <w:b/>
        <w:sz w:val="22"/>
      </w:rPr>
      <w:t xml:space="preserve">DIAGNOSTICS ASSESSMENT PROGRAMME </w:t>
    </w:r>
  </w:p>
  <w:p w14:paraId="4B4FBC3B" w14:textId="77777777" w:rsidR="004248FF" w:rsidRPr="002F0B70" w:rsidRDefault="004248FF" w:rsidP="0085508F">
    <w:pPr>
      <w:pStyle w:val="Header"/>
      <w:jc w:val="center"/>
      <w:rPr>
        <w:rFonts w:cs="Arial"/>
        <w:b/>
        <w:bCs/>
        <w:sz w:val="14"/>
      </w:rPr>
    </w:pPr>
  </w:p>
  <w:p w14:paraId="4CF506F0" w14:textId="37A33D78" w:rsidR="004248FF" w:rsidRDefault="006F1AEC" w:rsidP="0085508F">
    <w:pPr>
      <w:pStyle w:val="Header"/>
      <w:jc w:val="center"/>
      <w:rPr>
        <w:rFonts w:cs="Arial"/>
        <w:b/>
        <w:bCs/>
        <w:sz w:val="22"/>
      </w:rPr>
    </w:pPr>
    <w:r w:rsidRPr="006F1AEC">
      <w:rPr>
        <w:rFonts w:cs="Arial"/>
        <w:b/>
        <w:bCs/>
        <w:sz w:val="22"/>
      </w:rPr>
      <w:t>Devices for remote monitoring of Parkinson’s disease</w:t>
    </w:r>
  </w:p>
  <w:p w14:paraId="6F18076A" w14:textId="77777777" w:rsidR="004248FF" w:rsidRPr="002F0B70" w:rsidRDefault="004248FF" w:rsidP="0085508F">
    <w:pPr>
      <w:pStyle w:val="Header"/>
      <w:jc w:val="center"/>
      <w:rPr>
        <w:rFonts w:cs="Arial"/>
        <w:b/>
        <w:bCs/>
        <w:sz w:val="14"/>
      </w:rPr>
    </w:pPr>
  </w:p>
  <w:p w14:paraId="07E172BC" w14:textId="77777777" w:rsidR="004248FF" w:rsidRPr="009D6849" w:rsidRDefault="004248FF" w:rsidP="0085508F">
    <w:pPr>
      <w:pStyle w:val="Header"/>
      <w:jc w:val="center"/>
      <w:rPr>
        <w:rFonts w:cs="Arial"/>
        <w:b/>
        <w:bCs/>
        <w:sz w:val="22"/>
      </w:rPr>
    </w:pPr>
    <w:r w:rsidRPr="009D6849">
      <w:rPr>
        <w:rFonts w:cs="Arial"/>
        <w:b/>
        <w:bCs/>
        <w:sz w:val="22"/>
      </w:rPr>
      <w:t>Diagnostics Consultation Document – Comments</w:t>
    </w:r>
  </w:p>
  <w:p w14:paraId="6EFB4846" w14:textId="77777777" w:rsidR="004248FF" w:rsidRPr="002F0B70" w:rsidRDefault="004248FF" w:rsidP="0085508F">
    <w:pPr>
      <w:pStyle w:val="Header"/>
      <w:jc w:val="center"/>
      <w:rPr>
        <w:rFonts w:cs="Arial"/>
        <w:b/>
        <w:bCs/>
        <w:sz w:val="14"/>
      </w:rPr>
    </w:pPr>
  </w:p>
  <w:p w14:paraId="39108530" w14:textId="7F128091" w:rsidR="004248FF" w:rsidRDefault="004248FF" w:rsidP="0085508F">
    <w:pPr>
      <w:pStyle w:val="Header"/>
      <w:jc w:val="center"/>
      <w:rPr>
        <w:rFonts w:cs="Arial"/>
        <w:b/>
        <w:bCs/>
        <w:sz w:val="22"/>
      </w:rPr>
    </w:pPr>
    <w:r w:rsidRPr="009D6849">
      <w:rPr>
        <w:rFonts w:cs="Arial"/>
        <w:b/>
        <w:bCs/>
        <w:sz w:val="22"/>
      </w:rPr>
      <w:t xml:space="preserve">Diagnostics Advisory Committee date: </w:t>
    </w:r>
    <w:r w:rsidR="006F1AEC" w:rsidRPr="006F1AEC">
      <w:rPr>
        <w:rFonts w:cs="Arial"/>
        <w:b/>
        <w:bCs/>
        <w:sz w:val="22"/>
      </w:rPr>
      <w:t>Monday 31st October 2022</w:t>
    </w:r>
  </w:p>
  <w:p w14:paraId="49D261AC" w14:textId="77777777" w:rsidR="004248FF" w:rsidRDefault="004248FF" w:rsidP="0085508F">
    <w:pPr>
      <w:pStyle w:val="Header"/>
      <w:jc w:val="center"/>
      <w:rPr>
        <w:rFonts w:cs="Arial"/>
        <w:b/>
        <w:bCs/>
        <w:sz w:val="22"/>
      </w:rPr>
    </w:pPr>
  </w:p>
  <w:p w14:paraId="26F9D828" w14:textId="12400032" w:rsidR="004248FF" w:rsidRDefault="004248FF" w:rsidP="0085508F">
    <w:pPr>
      <w:pStyle w:val="Header"/>
      <w:jc w:val="center"/>
      <w:rPr>
        <w:rFonts w:cs="Arial"/>
        <w:b/>
        <w:bCs/>
        <w:sz w:val="22"/>
      </w:rPr>
    </w:pPr>
    <w:r>
      <w:rPr>
        <w:rFonts w:cs="Arial"/>
        <w:b/>
        <w:bCs/>
        <w:sz w:val="22"/>
      </w:rPr>
      <w:t xml:space="preserve">THEME: </w:t>
    </w:r>
    <w:r w:rsidR="0090516B">
      <w:rPr>
        <w:rFonts w:cs="Arial"/>
        <w:b/>
        <w:bCs/>
        <w:sz w:val="22"/>
      </w:rPr>
      <w:t>Recommendations</w:t>
    </w:r>
  </w:p>
  <w:p w14:paraId="59E633BF" w14:textId="77777777" w:rsidR="004248FF" w:rsidRDefault="004248FF">
    <w:pPr>
      <w:pStyle w:val="Header"/>
    </w:pPr>
  </w:p>
  <w:p w14:paraId="6F5C0F95" w14:textId="77777777" w:rsidR="004248FF" w:rsidRDefault="004248F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45813" w14:textId="77777777" w:rsidR="004248FF" w:rsidRDefault="004248FF" w:rsidP="0085508F">
    <w:pPr>
      <w:rPr>
        <w:rFonts w:ascii="Arial" w:eastAsia="Calibri" w:hAnsi="Arial" w:cs="Arial"/>
        <w:b/>
        <w:sz w:val="22"/>
      </w:rPr>
    </w:pPr>
    <w:r>
      <w:rPr>
        <w:noProof/>
      </w:rPr>
      <w:drawing>
        <wp:anchor distT="0" distB="0" distL="114300" distR="114300" simplePos="0" relativeHeight="251665408" behindDoc="1" locked="0" layoutInCell="1" allowOverlap="1" wp14:anchorId="3B63B8B0" wp14:editId="7BB10230">
          <wp:simplePos x="0" y="0"/>
          <wp:positionH relativeFrom="margin">
            <wp:posOffset>-741680</wp:posOffset>
          </wp:positionH>
          <wp:positionV relativeFrom="margin">
            <wp:posOffset>-1951990</wp:posOffset>
          </wp:positionV>
          <wp:extent cx="2715260" cy="269240"/>
          <wp:effectExtent l="0" t="0" r="8890" b="0"/>
          <wp:wrapTight wrapText="bothSides">
            <wp:wrapPolygon edited="0">
              <wp:start x="0" y="0"/>
              <wp:lineTo x="0" y="19868"/>
              <wp:lineTo x="21519" y="19868"/>
              <wp:lineTo x="21519" y="12226"/>
              <wp:lineTo x="1682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5260" cy="269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13A62B" w14:textId="77777777" w:rsidR="004248FF" w:rsidRDefault="004248FF" w:rsidP="0085508F">
    <w:pPr>
      <w:rPr>
        <w:rFonts w:ascii="Arial" w:eastAsia="Calibri" w:hAnsi="Arial" w:cs="Arial"/>
        <w:b/>
        <w:sz w:val="22"/>
      </w:rPr>
    </w:pPr>
  </w:p>
  <w:p w14:paraId="5FDAB495" w14:textId="77777777" w:rsidR="004248FF" w:rsidRPr="009D6849" w:rsidRDefault="004248FF" w:rsidP="0085508F">
    <w:pPr>
      <w:jc w:val="center"/>
      <w:rPr>
        <w:rFonts w:ascii="Arial" w:eastAsia="Calibri" w:hAnsi="Arial" w:cs="Arial"/>
        <w:b/>
        <w:sz w:val="22"/>
      </w:rPr>
    </w:pPr>
    <w:r w:rsidRPr="009D6849">
      <w:rPr>
        <w:rFonts w:ascii="Arial" w:eastAsia="Calibri" w:hAnsi="Arial" w:cs="Arial"/>
        <w:b/>
        <w:sz w:val="22"/>
      </w:rPr>
      <w:t xml:space="preserve">DIAGNOSTICS ASSESSMENT PROGRAMME </w:t>
    </w:r>
  </w:p>
  <w:p w14:paraId="644EA6CC" w14:textId="77777777" w:rsidR="004248FF" w:rsidRPr="002F0B70" w:rsidRDefault="004248FF" w:rsidP="0085508F">
    <w:pPr>
      <w:pStyle w:val="Header"/>
      <w:jc w:val="center"/>
      <w:rPr>
        <w:rFonts w:cs="Arial"/>
        <w:b/>
        <w:bCs/>
        <w:sz w:val="14"/>
      </w:rPr>
    </w:pPr>
  </w:p>
  <w:p w14:paraId="19C83E33" w14:textId="63411550" w:rsidR="004248FF" w:rsidRDefault="006F1AEC" w:rsidP="0085508F">
    <w:pPr>
      <w:pStyle w:val="Header"/>
      <w:jc w:val="center"/>
      <w:rPr>
        <w:rFonts w:cs="Arial"/>
        <w:b/>
        <w:bCs/>
        <w:sz w:val="22"/>
      </w:rPr>
    </w:pPr>
    <w:r w:rsidRPr="006F1AEC">
      <w:rPr>
        <w:rFonts w:cs="Arial"/>
        <w:b/>
        <w:bCs/>
        <w:sz w:val="22"/>
      </w:rPr>
      <w:t>Devices for remote monitoring of Parkinson’s disease</w:t>
    </w:r>
  </w:p>
  <w:p w14:paraId="52DB786D" w14:textId="77777777" w:rsidR="006F1AEC" w:rsidRPr="002F0B70" w:rsidRDefault="006F1AEC" w:rsidP="0085508F">
    <w:pPr>
      <w:pStyle w:val="Header"/>
      <w:jc w:val="center"/>
      <w:rPr>
        <w:rFonts w:cs="Arial"/>
        <w:b/>
        <w:bCs/>
        <w:sz w:val="14"/>
      </w:rPr>
    </w:pPr>
  </w:p>
  <w:p w14:paraId="3206EDD0" w14:textId="77777777" w:rsidR="004248FF" w:rsidRPr="009D6849" w:rsidRDefault="004248FF" w:rsidP="0085508F">
    <w:pPr>
      <w:pStyle w:val="Header"/>
      <w:jc w:val="center"/>
      <w:rPr>
        <w:rFonts w:cs="Arial"/>
        <w:b/>
        <w:bCs/>
        <w:sz w:val="22"/>
      </w:rPr>
    </w:pPr>
    <w:r w:rsidRPr="009D6849">
      <w:rPr>
        <w:rFonts w:cs="Arial"/>
        <w:b/>
        <w:bCs/>
        <w:sz w:val="22"/>
      </w:rPr>
      <w:t>Diagnostics Consultation Document – Comments</w:t>
    </w:r>
  </w:p>
  <w:p w14:paraId="4EDE22BF" w14:textId="77777777" w:rsidR="004248FF" w:rsidRPr="002F0B70" w:rsidRDefault="004248FF" w:rsidP="0085508F">
    <w:pPr>
      <w:pStyle w:val="Header"/>
      <w:jc w:val="center"/>
      <w:rPr>
        <w:rFonts w:cs="Arial"/>
        <w:b/>
        <w:bCs/>
        <w:sz w:val="14"/>
      </w:rPr>
    </w:pPr>
  </w:p>
  <w:p w14:paraId="3AE7DF97" w14:textId="6598B258" w:rsidR="004248FF" w:rsidRDefault="004248FF" w:rsidP="0085508F">
    <w:pPr>
      <w:pStyle w:val="Header"/>
      <w:jc w:val="center"/>
      <w:rPr>
        <w:rFonts w:cs="Arial"/>
        <w:b/>
        <w:bCs/>
        <w:sz w:val="22"/>
      </w:rPr>
    </w:pPr>
    <w:r w:rsidRPr="009D6849">
      <w:rPr>
        <w:rFonts w:cs="Arial"/>
        <w:b/>
        <w:bCs/>
        <w:sz w:val="22"/>
      </w:rPr>
      <w:t xml:space="preserve">Diagnostics Advisory Committee date: </w:t>
    </w:r>
    <w:r w:rsidR="006F1AEC" w:rsidRPr="006F1AEC">
      <w:rPr>
        <w:rFonts w:cs="Arial"/>
        <w:b/>
        <w:bCs/>
        <w:sz w:val="22"/>
      </w:rPr>
      <w:t>Monday 31st October 2022</w:t>
    </w:r>
  </w:p>
  <w:p w14:paraId="6C797467" w14:textId="77777777" w:rsidR="004248FF" w:rsidRDefault="004248FF" w:rsidP="0085508F">
    <w:pPr>
      <w:pStyle w:val="Header"/>
      <w:jc w:val="center"/>
      <w:rPr>
        <w:rFonts w:cs="Arial"/>
        <w:b/>
        <w:bCs/>
        <w:sz w:val="22"/>
      </w:rPr>
    </w:pPr>
  </w:p>
  <w:p w14:paraId="0A737760" w14:textId="729C17F7" w:rsidR="004248FF" w:rsidRDefault="004248FF" w:rsidP="0085508F">
    <w:pPr>
      <w:pStyle w:val="Header"/>
      <w:jc w:val="center"/>
      <w:rPr>
        <w:rFonts w:cs="Arial"/>
        <w:b/>
        <w:bCs/>
        <w:sz w:val="22"/>
      </w:rPr>
    </w:pPr>
    <w:r>
      <w:rPr>
        <w:rFonts w:cs="Arial"/>
        <w:b/>
        <w:bCs/>
        <w:sz w:val="22"/>
      </w:rPr>
      <w:t xml:space="preserve">THEME: </w:t>
    </w:r>
    <w:r w:rsidR="00AE6638">
      <w:rPr>
        <w:rFonts w:cs="Arial"/>
        <w:b/>
        <w:bCs/>
        <w:sz w:val="22"/>
      </w:rPr>
      <w:t>R</w:t>
    </w:r>
    <w:r w:rsidR="00AE6638" w:rsidRPr="00AE6638">
      <w:rPr>
        <w:rFonts w:cs="Arial"/>
        <w:b/>
        <w:bCs/>
        <w:sz w:val="22"/>
      </w:rPr>
      <w:t>equests for clarification in guidance and on further process</w:t>
    </w:r>
  </w:p>
  <w:p w14:paraId="0AB75D58" w14:textId="77777777" w:rsidR="004248FF" w:rsidRDefault="004248FF">
    <w:pPr>
      <w:pStyle w:val="Header"/>
    </w:pPr>
  </w:p>
  <w:p w14:paraId="3784A6AD" w14:textId="77777777" w:rsidR="004248FF" w:rsidRDefault="004248F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EF70F" w14:textId="77777777" w:rsidR="004248FF" w:rsidRDefault="004248FF" w:rsidP="0085508F">
    <w:pPr>
      <w:rPr>
        <w:rFonts w:ascii="Arial" w:eastAsia="Calibri" w:hAnsi="Arial" w:cs="Arial"/>
        <w:b/>
        <w:sz w:val="22"/>
      </w:rPr>
    </w:pPr>
    <w:r>
      <w:rPr>
        <w:noProof/>
      </w:rPr>
      <w:drawing>
        <wp:anchor distT="0" distB="0" distL="114300" distR="114300" simplePos="0" relativeHeight="251675648" behindDoc="1" locked="0" layoutInCell="1" allowOverlap="1" wp14:anchorId="117E21A0" wp14:editId="2EDCA86E">
          <wp:simplePos x="0" y="0"/>
          <wp:positionH relativeFrom="margin">
            <wp:posOffset>-741680</wp:posOffset>
          </wp:positionH>
          <wp:positionV relativeFrom="margin">
            <wp:posOffset>-1951990</wp:posOffset>
          </wp:positionV>
          <wp:extent cx="2715260" cy="269240"/>
          <wp:effectExtent l="0" t="0" r="8890" b="0"/>
          <wp:wrapTight wrapText="bothSides">
            <wp:wrapPolygon edited="0">
              <wp:start x="0" y="0"/>
              <wp:lineTo x="0" y="19868"/>
              <wp:lineTo x="21519" y="19868"/>
              <wp:lineTo x="21519" y="12226"/>
              <wp:lineTo x="16821"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5260" cy="269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A8AFF3" w14:textId="77777777" w:rsidR="004248FF" w:rsidRDefault="004248FF" w:rsidP="0085508F">
    <w:pPr>
      <w:rPr>
        <w:rFonts w:ascii="Arial" w:eastAsia="Calibri" w:hAnsi="Arial" w:cs="Arial"/>
        <w:b/>
        <w:sz w:val="22"/>
      </w:rPr>
    </w:pPr>
  </w:p>
  <w:p w14:paraId="68C6B418" w14:textId="77777777" w:rsidR="004248FF" w:rsidRDefault="004248FF">
    <w:pPr>
      <w:pStyle w:val="Header"/>
    </w:pPr>
  </w:p>
  <w:p w14:paraId="29F7E7F1" w14:textId="77777777" w:rsidR="004248FF" w:rsidRDefault="004248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085C6C"/>
    <w:multiLevelType w:val="hybridMultilevel"/>
    <w:tmpl w:val="1ECE4B2C"/>
    <w:lvl w:ilvl="0" w:tplc="FFFFFFFF">
      <w:start w:val="1"/>
      <w:numFmt w:val="decimal"/>
      <w:lvlText w:val="%1."/>
      <w:lvlJc w:val="left"/>
      <w:pPr>
        <w:ind w:left="1200" w:hanging="360"/>
      </w:pPr>
      <w:rPr>
        <w:rFonts w:hint="default"/>
        <w:sz w:val="18"/>
      </w:r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34414F"/>
    <w:multiLevelType w:val="hybridMultilevel"/>
    <w:tmpl w:val="1ECE4B2C"/>
    <w:lvl w:ilvl="0" w:tplc="247CFA8A">
      <w:start w:val="1"/>
      <w:numFmt w:val="decimal"/>
      <w:lvlText w:val="%1."/>
      <w:lvlJc w:val="left"/>
      <w:pPr>
        <w:ind w:left="1200" w:hanging="360"/>
      </w:pPr>
      <w:rPr>
        <w:rFonts w:hint="default"/>
        <w:sz w:val="18"/>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13" w15:restartNumberingAfterBreak="0">
    <w:nsid w:val="38B23457"/>
    <w:multiLevelType w:val="hybridMultilevel"/>
    <w:tmpl w:val="ADA2B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810C21"/>
    <w:multiLevelType w:val="hybridMultilevel"/>
    <w:tmpl w:val="C42438F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733A3679"/>
    <w:multiLevelType w:val="hybridMultilevel"/>
    <w:tmpl w:val="776AC2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42582788">
    <w:abstractNumId w:val="14"/>
  </w:num>
  <w:num w:numId="2" w16cid:durableId="92825948">
    <w:abstractNumId w:val="15"/>
  </w:num>
  <w:num w:numId="3" w16cid:durableId="480737650">
    <w:abstractNumId w:val="15"/>
    <w:lvlOverride w:ilvl="0">
      <w:startOverride w:val="1"/>
    </w:lvlOverride>
  </w:num>
  <w:num w:numId="4" w16cid:durableId="170531342">
    <w:abstractNumId w:val="15"/>
    <w:lvlOverride w:ilvl="0">
      <w:startOverride w:val="1"/>
    </w:lvlOverride>
  </w:num>
  <w:num w:numId="5" w16cid:durableId="254872853">
    <w:abstractNumId w:val="15"/>
    <w:lvlOverride w:ilvl="0">
      <w:startOverride w:val="1"/>
    </w:lvlOverride>
  </w:num>
  <w:num w:numId="6" w16cid:durableId="789932793">
    <w:abstractNumId w:val="15"/>
    <w:lvlOverride w:ilvl="0">
      <w:startOverride w:val="1"/>
    </w:lvlOverride>
  </w:num>
  <w:num w:numId="7" w16cid:durableId="2117862658">
    <w:abstractNumId w:val="15"/>
    <w:lvlOverride w:ilvl="0">
      <w:startOverride w:val="1"/>
    </w:lvlOverride>
  </w:num>
  <w:num w:numId="8" w16cid:durableId="1962758542">
    <w:abstractNumId w:val="9"/>
  </w:num>
  <w:num w:numId="9" w16cid:durableId="1847086933">
    <w:abstractNumId w:val="7"/>
  </w:num>
  <w:num w:numId="10" w16cid:durableId="820654970">
    <w:abstractNumId w:val="6"/>
  </w:num>
  <w:num w:numId="11" w16cid:durableId="901524294">
    <w:abstractNumId w:val="5"/>
  </w:num>
  <w:num w:numId="12" w16cid:durableId="640766895">
    <w:abstractNumId w:val="4"/>
  </w:num>
  <w:num w:numId="13" w16cid:durableId="25177164">
    <w:abstractNumId w:val="8"/>
  </w:num>
  <w:num w:numId="14" w16cid:durableId="1645895071">
    <w:abstractNumId w:val="3"/>
  </w:num>
  <w:num w:numId="15" w16cid:durableId="658533794">
    <w:abstractNumId w:val="2"/>
  </w:num>
  <w:num w:numId="16" w16cid:durableId="410079184">
    <w:abstractNumId w:val="1"/>
  </w:num>
  <w:num w:numId="17" w16cid:durableId="1493106930">
    <w:abstractNumId w:val="0"/>
  </w:num>
  <w:num w:numId="18" w16cid:durableId="1741908485">
    <w:abstractNumId w:val="11"/>
  </w:num>
  <w:num w:numId="19" w16cid:durableId="701590723">
    <w:abstractNumId w:val="11"/>
    <w:lvlOverride w:ilvl="0">
      <w:startOverride w:val="1"/>
    </w:lvlOverride>
  </w:num>
  <w:num w:numId="20" w16cid:durableId="539056581">
    <w:abstractNumId w:val="17"/>
  </w:num>
  <w:num w:numId="21" w16cid:durableId="360009761">
    <w:abstractNumId w:val="13"/>
  </w:num>
  <w:num w:numId="22" w16cid:durableId="142553468">
    <w:abstractNumId w:val="16"/>
  </w:num>
  <w:num w:numId="23" w16cid:durableId="495463332">
    <w:abstractNumId w:val="12"/>
  </w:num>
  <w:num w:numId="24" w16cid:durableId="769024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826"/>
    <w:rsid w:val="000053F8"/>
    <w:rsid w:val="00010DCB"/>
    <w:rsid w:val="00024D0A"/>
    <w:rsid w:val="000472DC"/>
    <w:rsid w:val="0005009D"/>
    <w:rsid w:val="00070065"/>
    <w:rsid w:val="00091859"/>
    <w:rsid w:val="000A4FEE"/>
    <w:rsid w:val="000B5939"/>
    <w:rsid w:val="000B7C61"/>
    <w:rsid w:val="000F05EA"/>
    <w:rsid w:val="000F064D"/>
    <w:rsid w:val="00111CCE"/>
    <w:rsid w:val="001134E7"/>
    <w:rsid w:val="00115826"/>
    <w:rsid w:val="0017169E"/>
    <w:rsid w:val="001727CC"/>
    <w:rsid w:val="001B0995"/>
    <w:rsid w:val="001B0EE9"/>
    <w:rsid w:val="001B34F0"/>
    <w:rsid w:val="001B457E"/>
    <w:rsid w:val="001B65B3"/>
    <w:rsid w:val="001D1639"/>
    <w:rsid w:val="00206246"/>
    <w:rsid w:val="00223DAF"/>
    <w:rsid w:val="002408EA"/>
    <w:rsid w:val="002702C7"/>
    <w:rsid w:val="002819D7"/>
    <w:rsid w:val="0029718F"/>
    <w:rsid w:val="0029735E"/>
    <w:rsid w:val="002A243E"/>
    <w:rsid w:val="002B17B0"/>
    <w:rsid w:val="002B7F00"/>
    <w:rsid w:val="002C1A7E"/>
    <w:rsid w:val="002D3376"/>
    <w:rsid w:val="002E6606"/>
    <w:rsid w:val="002F0B70"/>
    <w:rsid w:val="00300130"/>
    <w:rsid w:val="00311ED0"/>
    <w:rsid w:val="003648C5"/>
    <w:rsid w:val="003722FA"/>
    <w:rsid w:val="003C7AAF"/>
    <w:rsid w:val="003F193F"/>
    <w:rsid w:val="003F29F4"/>
    <w:rsid w:val="004075B6"/>
    <w:rsid w:val="00417BB1"/>
    <w:rsid w:val="00420952"/>
    <w:rsid w:val="004248FF"/>
    <w:rsid w:val="004263A1"/>
    <w:rsid w:val="00446BEE"/>
    <w:rsid w:val="00495B90"/>
    <w:rsid w:val="004A4CF3"/>
    <w:rsid w:val="004F6436"/>
    <w:rsid w:val="005025A1"/>
    <w:rsid w:val="00544BEB"/>
    <w:rsid w:val="005521D3"/>
    <w:rsid w:val="00562467"/>
    <w:rsid w:val="005703E5"/>
    <w:rsid w:val="0057537F"/>
    <w:rsid w:val="005B0A21"/>
    <w:rsid w:val="00641376"/>
    <w:rsid w:val="006921E1"/>
    <w:rsid w:val="006B3D2D"/>
    <w:rsid w:val="006C1D8B"/>
    <w:rsid w:val="006E1660"/>
    <w:rsid w:val="006F1AEC"/>
    <w:rsid w:val="006F4B25"/>
    <w:rsid w:val="006F6E28"/>
    <w:rsid w:val="007001BE"/>
    <w:rsid w:val="00736348"/>
    <w:rsid w:val="0074292C"/>
    <w:rsid w:val="0074566A"/>
    <w:rsid w:val="00774112"/>
    <w:rsid w:val="007862A8"/>
    <w:rsid w:val="007B55C3"/>
    <w:rsid w:val="007D5C4C"/>
    <w:rsid w:val="007F1EAF"/>
    <w:rsid w:val="0085508F"/>
    <w:rsid w:val="00861B92"/>
    <w:rsid w:val="008814FB"/>
    <w:rsid w:val="0089790F"/>
    <w:rsid w:val="008D7792"/>
    <w:rsid w:val="008F5E30"/>
    <w:rsid w:val="0090516B"/>
    <w:rsid w:val="00914D7F"/>
    <w:rsid w:val="00925DEA"/>
    <w:rsid w:val="00973A68"/>
    <w:rsid w:val="009B174F"/>
    <w:rsid w:val="009B3B86"/>
    <w:rsid w:val="009D4F68"/>
    <w:rsid w:val="009D6849"/>
    <w:rsid w:val="009E680B"/>
    <w:rsid w:val="00A15A1F"/>
    <w:rsid w:val="00A2782B"/>
    <w:rsid w:val="00A326CF"/>
    <w:rsid w:val="00A3325A"/>
    <w:rsid w:val="00A43013"/>
    <w:rsid w:val="00AB5BF1"/>
    <w:rsid w:val="00AC1C93"/>
    <w:rsid w:val="00AD2445"/>
    <w:rsid w:val="00AE6638"/>
    <w:rsid w:val="00AE6AC2"/>
    <w:rsid w:val="00AF108A"/>
    <w:rsid w:val="00AF1738"/>
    <w:rsid w:val="00AF3918"/>
    <w:rsid w:val="00B02E55"/>
    <w:rsid w:val="00B036C1"/>
    <w:rsid w:val="00B250D9"/>
    <w:rsid w:val="00B5431F"/>
    <w:rsid w:val="00B7434F"/>
    <w:rsid w:val="00BB2FAE"/>
    <w:rsid w:val="00BB3595"/>
    <w:rsid w:val="00BE31DF"/>
    <w:rsid w:val="00BF7FE0"/>
    <w:rsid w:val="00C21944"/>
    <w:rsid w:val="00C62E03"/>
    <w:rsid w:val="00C96411"/>
    <w:rsid w:val="00CA0CD9"/>
    <w:rsid w:val="00CA1916"/>
    <w:rsid w:val="00CA4497"/>
    <w:rsid w:val="00CC3175"/>
    <w:rsid w:val="00CD450B"/>
    <w:rsid w:val="00CF58B7"/>
    <w:rsid w:val="00CF6E6F"/>
    <w:rsid w:val="00D2548C"/>
    <w:rsid w:val="00D351C1"/>
    <w:rsid w:val="00D35EFB"/>
    <w:rsid w:val="00D504B3"/>
    <w:rsid w:val="00D71322"/>
    <w:rsid w:val="00D818FC"/>
    <w:rsid w:val="00D86BF0"/>
    <w:rsid w:val="00DA4F12"/>
    <w:rsid w:val="00DD0606"/>
    <w:rsid w:val="00DF1390"/>
    <w:rsid w:val="00E15DB8"/>
    <w:rsid w:val="00E2164D"/>
    <w:rsid w:val="00E411F7"/>
    <w:rsid w:val="00E51920"/>
    <w:rsid w:val="00E64120"/>
    <w:rsid w:val="00E660A1"/>
    <w:rsid w:val="00E951A0"/>
    <w:rsid w:val="00EB0706"/>
    <w:rsid w:val="00EB41A9"/>
    <w:rsid w:val="00EF799F"/>
    <w:rsid w:val="00F01011"/>
    <w:rsid w:val="00F0472E"/>
    <w:rsid w:val="00F055F1"/>
    <w:rsid w:val="00F1774F"/>
    <w:rsid w:val="00F42927"/>
    <w:rsid w:val="00F54B15"/>
    <w:rsid w:val="00F610AF"/>
    <w:rsid w:val="00F77F33"/>
    <w:rsid w:val="00FA2C5A"/>
    <w:rsid w:val="00FC2D11"/>
    <w:rsid w:val="00FC6230"/>
    <w:rsid w:val="00FF422F"/>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632F5"/>
  <w15:docId w15:val="{2A7269A3-5990-4BA7-90E9-04ECEFBA8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numPr>
        <w:numId w:val="1"/>
      </w:numPr>
      <w:spacing w:before="240" w:after="240" w:line="360" w:lineRule="auto"/>
      <w:ind w:left="709" w:hanging="709"/>
    </w:pPr>
    <w:rPr>
      <w:rFonts w:ascii="Arial" w:hAnsi="Arial"/>
    </w:rPr>
  </w:style>
  <w:style w:type="paragraph" w:styleId="Title">
    <w:name w:val="Title"/>
    <w:basedOn w:val="Normal"/>
    <w:next w:val="Heading1"/>
    <w:link w:val="TitleChar"/>
    <w:uiPriority w:val="99"/>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uiPriority w:val="99"/>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861B92"/>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1D1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422F"/>
    <w:pPr>
      <w:spacing w:before="120" w:line="360" w:lineRule="auto"/>
      <w:ind w:left="720"/>
      <w:contextualSpacing/>
    </w:pPr>
    <w:rPr>
      <w:rFonts w:ascii="Arial" w:eastAsiaTheme="minorEastAsia" w:hAnsi="Arial"/>
      <w:sz w:val="20"/>
      <w:szCs w:val="20"/>
      <w:lang w:eastAsia="ja-JP"/>
    </w:rPr>
  </w:style>
  <w:style w:type="character" w:styleId="Hyperlink">
    <w:name w:val="Hyperlink"/>
    <w:basedOn w:val="DefaultParagraphFont"/>
    <w:uiPriority w:val="99"/>
    <w:unhideWhenUsed/>
    <w:rsid w:val="002A243E"/>
    <w:rPr>
      <w:color w:val="0000FF"/>
      <w:u w:val="single"/>
    </w:rPr>
  </w:style>
  <w:style w:type="character" w:customStyle="1" w:styleId="small">
    <w:name w:val="small"/>
    <w:basedOn w:val="DefaultParagraphFont"/>
    <w:rsid w:val="002A243E"/>
  </w:style>
  <w:style w:type="table" w:styleId="MediumList2-Accent6">
    <w:name w:val="Medium List 2 Accent 6"/>
    <w:basedOn w:val="TableNormal"/>
    <w:uiPriority w:val="66"/>
    <w:rsid w:val="001B099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semiHidden/>
    <w:unhideWhenUsed/>
    <w:rsid w:val="0005009D"/>
    <w:rPr>
      <w:sz w:val="16"/>
      <w:szCs w:val="16"/>
    </w:rPr>
  </w:style>
  <w:style w:type="paragraph" w:styleId="CommentText">
    <w:name w:val="annotation text"/>
    <w:basedOn w:val="Normal"/>
    <w:link w:val="CommentTextChar"/>
    <w:unhideWhenUsed/>
    <w:rsid w:val="0005009D"/>
    <w:rPr>
      <w:sz w:val="20"/>
      <w:szCs w:val="20"/>
    </w:rPr>
  </w:style>
  <w:style w:type="character" w:customStyle="1" w:styleId="CommentTextChar">
    <w:name w:val="Comment Text Char"/>
    <w:basedOn w:val="DefaultParagraphFont"/>
    <w:link w:val="CommentText"/>
    <w:rsid w:val="0005009D"/>
  </w:style>
  <w:style w:type="paragraph" w:styleId="CommentSubject">
    <w:name w:val="annotation subject"/>
    <w:basedOn w:val="CommentText"/>
    <w:next w:val="CommentText"/>
    <w:link w:val="CommentSubjectChar"/>
    <w:semiHidden/>
    <w:unhideWhenUsed/>
    <w:rsid w:val="0005009D"/>
    <w:rPr>
      <w:b/>
      <w:bCs/>
    </w:rPr>
  </w:style>
  <w:style w:type="character" w:customStyle="1" w:styleId="CommentSubjectChar">
    <w:name w:val="Comment Subject Char"/>
    <w:basedOn w:val="CommentTextChar"/>
    <w:link w:val="CommentSubject"/>
    <w:semiHidden/>
    <w:rsid w:val="0005009D"/>
    <w:rPr>
      <w:b/>
      <w:bCs/>
    </w:rPr>
  </w:style>
  <w:style w:type="paragraph" w:styleId="Revision">
    <w:name w:val="Revision"/>
    <w:hidden/>
    <w:uiPriority w:val="99"/>
    <w:semiHidden/>
    <w:rsid w:val="002062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78845">
      <w:bodyDiv w:val="1"/>
      <w:marLeft w:val="0"/>
      <w:marRight w:val="0"/>
      <w:marTop w:val="0"/>
      <w:marBottom w:val="0"/>
      <w:divBdr>
        <w:top w:val="none" w:sz="0" w:space="0" w:color="auto"/>
        <w:left w:val="none" w:sz="0" w:space="0" w:color="auto"/>
        <w:bottom w:val="none" w:sz="0" w:space="0" w:color="auto"/>
        <w:right w:val="none" w:sz="0" w:space="0" w:color="auto"/>
      </w:divBdr>
    </w:div>
    <w:div w:id="1297486909">
      <w:bodyDiv w:val="1"/>
      <w:marLeft w:val="0"/>
      <w:marRight w:val="0"/>
      <w:marTop w:val="0"/>
      <w:marBottom w:val="0"/>
      <w:divBdr>
        <w:top w:val="none" w:sz="0" w:space="0" w:color="auto"/>
        <w:left w:val="none" w:sz="0" w:space="0" w:color="auto"/>
        <w:bottom w:val="none" w:sz="0" w:space="0" w:color="auto"/>
        <w:right w:val="none" w:sz="0" w:space="0" w:color="auto"/>
      </w:divBdr>
    </w:div>
    <w:div w:id="1514683199">
      <w:bodyDiv w:val="1"/>
      <w:marLeft w:val="0"/>
      <w:marRight w:val="0"/>
      <w:marTop w:val="0"/>
      <w:marBottom w:val="0"/>
      <w:divBdr>
        <w:top w:val="none" w:sz="0" w:space="0" w:color="auto"/>
        <w:left w:val="none" w:sz="0" w:space="0" w:color="auto"/>
        <w:bottom w:val="none" w:sz="0" w:space="0" w:color="auto"/>
        <w:right w:val="none" w:sz="0" w:space="0" w:color="auto"/>
      </w:divBdr>
    </w:div>
    <w:div w:id="172459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gov.uk/government/consultations/consultation-on-the-future-regulation-of-medical-devices-in-the-united-kingdom/outcome/chapter-7-clinical-investigation-and-performance-studies" TargetMode="External"/><Relationship Id="rId2" Type="http://schemas.openxmlformats.org/officeDocument/2006/relationships/numbering" Target="numbering.xml"/><Relationship Id="rId16" Type="http://schemas.openxmlformats.org/officeDocument/2006/relationships/hyperlink" Target="https://health.ec.europa.eu/system/files/2020-09/md_mdcg_2020_5_guidance_clinical_evaluation_equivalence_en_0.pdf" TargetMode="Externa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uk/government/consultations/consultation-on-the-future-regulation-of-medical-devices-in-the-united-kingdom/outcome/chapter-7-clinical-investigation-and-performance-studies"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iagnostics%20Programme\05%20-%20Templates\10%20-%20Consultation\Template%20-%20Themed%20consultation%20comments%20ta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316E0-29F3-4454-A61A-997F43CA9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Themed consultation comments table</Template>
  <TotalTime>1</TotalTime>
  <Pages>14</Pages>
  <Words>3692</Words>
  <Characters>21254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24897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Unwin</dc:creator>
  <cp:lastModifiedBy>Alexandra Sexton</cp:lastModifiedBy>
  <cp:revision>2</cp:revision>
  <dcterms:created xsi:type="dcterms:W3CDTF">2022-11-30T09:58:00Z</dcterms:created>
  <dcterms:modified xsi:type="dcterms:W3CDTF">2022-11-30T09:58:00Z</dcterms:modified>
</cp:coreProperties>
</file>