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E45E" w14:textId="261C1010" w:rsidR="00604AFB" w:rsidRPr="00960D49" w:rsidDel="00703BCC" w:rsidRDefault="00A43675" w:rsidP="69A795BA">
      <w:pPr>
        <w:pStyle w:val="Title1"/>
      </w:pPr>
      <w:proofErr w:type="spellStart"/>
      <w:r w:rsidRPr="00F8400C">
        <w:rPr>
          <w:rFonts w:ascii="Segoe UI" w:hAnsi="Segoe UI" w:cs="Segoe UI"/>
          <w:color w:val="000000"/>
          <w:szCs w:val="40"/>
        </w:rPr>
        <w:t>AposHealth</w:t>
      </w:r>
      <w:proofErr w:type="spellEnd"/>
      <w:r w:rsidRPr="00F8400C">
        <w:rPr>
          <w:rFonts w:ascii="Segoe UI" w:hAnsi="Segoe UI" w:cs="Segoe UI"/>
          <w:color w:val="000000"/>
          <w:szCs w:val="40"/>
        </w:rPr>
        <w:t xml:space="preserve"> for osteoarthritis of the knee</w:t>
      </w:r>
      <w:r w:rsidRPr="00960D49">
        <w:t xml:space="preserve"> </w:t>
      </w:r>
    </w:p>
    <w:p w14:paraId="6D3141E1" w14:textId="19176AE2" w:rsidR="00B83E3E" w:rsidRDefault="00875FAA" w:rsidP="00BE61F6">
      <w:pPr>
        <w:pStyle w:val="Guidanceissuedate"/>
      </w:pPr>
      <w:r>
        <w:t>29</w:t>
      </w:r>
      <w:r w:rsidR="00B83E3E">
        <w:t> </w:t>
      </w:r>
      <w:r>
        <w:t>October</w:t>
      </w:r>
      <w:r w:rsidR="00B83E3E">
        <w:t> 2024</w:t>
      </w:r>
    </w:p>
    <w:p w14:paraId="71F38A1C" w14:textId="15B950E6" w:rsidR="00B83E3E" w:rsidRDefault="00B83E3E" w:rsidP="00BE61F6">
      <w:pPr>
        <w:pStyle w:val="Heading1"/>
      </w:pPr>
      <w:r>
        <w:t>Resource impact summary report</w:t>
      </w:r>
    </w:p>
    <w:tbl>
      <w:tblPr>
        <w:tblStyle w:val="PanelPrimary"/>
        <w:tblW w:w="5000" w:type="pct"/>
        <w:tblLook w:val="0000" w:firstRow="0" w:lastRow="0" w:firstColumn="0" w:lastColumn="0" w:noHBand="0" w:noVBand="0"/>
      </w:tblPr>
      <w:tblGrid>
        <w:gridCol w:w="8967"/>
      </w:tblGrid>
      <w:tr w:rsidR="00B83E3E" w:rsidRPr="00675A31" w14:paraId="3A07F87B" w14:textId="77777777" w:rsidTr="002054B1">
        <w:tc>
          <w:tcPr>
            <w:tcW w:w="5000" w:type="pct"/>
          </w:tcPr>
          <w:p w14:paraId="10E19B1A" w14:textId="0F52043E" w:rsidR="00B83E3E" w:rsidRPr="00675A31" w:rsidRDefault="00B83E3E" w:rsidP="002054B1">
            <w:pPr>
              <w:rPr>
                <w:rFonts w:ascii="Arial" w:hAnsi="Arial" w:cs="Arial"/>
              </w:rPr>
            </w:pPr>
            <w:r w:rsidRPr="0077771F">
              <w:rPr>
                <w:rFonts w:ascii="Arial" w:hAnsi="Arial" w:cs="Arial"/>
              </w:rPr>
              <w:t xml:space="preserve">This summary report is based on the NICE assumptions used in the </w:t>
            </w:r>
            <w:hyperlink r:id="rId11" w:history="1">
              <w:r w:rsidRPr="0077771F">
                <w:rPr>
                  <w:rStyle w:val="Hyperlink"/>
                  <w:rFonts w:ascii="Arial" w:hAnsi="Arial" w:cs="Arial"/>
                </w:rPr>
                <w:t>resource impact template</w:t>
              </w:r>
            </w:hyperlink>
            <w:r w:rsidRPr="0077771F">
              <w:rPr>
                <w:rFonts w:ascii="Arial" w:hAnsi="Arial" w:cs="Arial"/>
              </w:rPr>
              <w:t>. Users can amend the ‘Inputs and eligible population’ and ‘Unit costs’ worksheets in the template to reflect local data and assumptions.</w:t>
            </w:r>
          </w:p>
        </w:tc>
      </w:tr>
    </w:tbl>
    <w:p w14:paraId="2F30B84B" w14:textId="79FA7617" w:rsidR="00E27A94" w:rsidRDefault="00B83E3E" w:rsidP="00BE61F6">
      <w:pPr>
        <w:pStyle w:val="Heading2"/>
      </w:pPr>
      <w:r w:rsidRPr="00B83E3E">
        <w:t>Recommendation</w:t>
      </w:r>
      <w:r>
        <w:t>s</w:t>
      </w:r>
    </w:p>
    <w:p w14:paraId="02B8C829" w14:textId="24D02E40" w:rsidR="00F65616" w:rsidRPr="00B83E3E" w:rsidRDefault="00F65616" w:rsidP="00BE61F6">
      <w:pPr>
        <w:pStyle w:val="NICEnormal"/>
      </w:pPr>
      <w:r w:rsidRPr="00B83E3E">
        <w:t xml:space="preserve">NICE has recommended </w:t>
      </w:r>
      <w:proofErr w:type="spellStart"/>
      <w:r w:rsidRPr="00B83E3E">
        <w:t>AposHealth</w:t>
      </w:r>
      <w:proofErr w:type="spellEnd"/>
      <w:r w:rsidRPr="00B83E3E">
        <w:t xml:space="preserve"> as a cost</w:t>
      </w:r>
      <w:r w:rsidR="00EF7C6F">
        <w:t>-</w:t>
      </w:r>
      <w:r w:rsidRPr="00B83E3E">
        <w:t xml:space="preserve">saving option to manage knee osteoarthritis in </w:t>
      </w:r>
      <w:r w:rsidR="00225E84">
        <w:t xml:space="preserve">adults </w:t>
      </w:r>
      <w:r w:rsidRPr="00B83E3E">
        <w:t>only if non-surgical standard care has not worked well enough and their condition meets the referral criteria for total knee replacement surgery, but they do not want surgery.</w:t>
      </w:r>
    </w:p>
    <w:p w14:paraId="05E37C41" w14:textId="77777777" w:rsidR="00F65616" w:rsidRPr="00B83E3E" w:rsidRDefault="00F65616" w:rsidP="00BE61F6">
      <w:pPr>
        <w:pStyle w:val="NICEnormal"/>
      </w:pPr>
      <w:r w:rsidRPr="00B83E3E">
        <w:t xml:space="preserve">Further data collection is recommended on quality of life, health resource use and long-term rates of knee replacement for people with knee osteoarthritis that meets the criteria for total knee replacement surgery, but who do not want surgery and are using </w:t>
      </w:r>
      <w:proofErr w:type="spellStart"/>
      <w:r w:rsidRPr="00B83E3E">
        <w:t>AposHealth</w:t>
      </w:r>
      <w:proofErr w:type="spellEnd"/>
      <w:r w:rsidRPr="00B83E3E">
        <w:t xml:space="preserve"> in the NHS.</w:t>
      </w:r>
    </w:p>
    <w:p w14:paraId="6FA81DD8" w14:textId="5B420419" w:rsidR="00254BEF" w:rsidRPr="00B83E3E" w:rsidRDefault="00F65616" w:rsidP="00BE61F6">
      <w:pPr>
        <w:pStyle w:val="NICEnormal"/>
      </w:pPr>
      <w:r w:rsidRPr="00B83E3E">
        <w:t xml:space="preserve">Further research is recommended on </w:t>
      </w:r>
      <w:proofErr w:type="spellStart"/>
      <w:r w:rsidRPr="00B83E3E">
        <w:t>AposHealth</w:t>
      </w:r>
      <w:proofErr w:type="spellEnd"/>
      <w:r w:rsidRPr="00B83E3E">
        <w:t xml:space="preserve"> for people with knee osteoarthritis that meets the criteria for total knee replacement surgery who cannot have surgery and people who do not meet the referral criteria for total knee replacement surgery.</w:t>
      </w:r>
    </w:p>
    <w:p w14:paraId="1E950166" w14:textId="2285F244" w:rsidR="00110869" w:rsidRDefault="00DE0BB6" w:rsidP="00BE61F6">
      <w:pPr>
        <w:pStyle w:val="Heading2"/>
      </w:pPr>
      <w:r>
        <w:t>Eligible p</w:t>
      </w:r>
      <w:r w:rsidR="000A75AF">
        <w:t>opulation</w:t>
      </w:r>
      <w:r w:rsidR="006D521C">
        <w:t xml:space="preserve"> for </w:t>
      </w:r>
      <w:proofErr w:type="spellStart"/>
      <w:r w:rsidR="00F65616">
        <w:t>AposHealth</w:t>
      </w:r>
      <w:proofErr w:type="spellEnd"/>
    </w:p>
    <w:p w14:paraId="5785A240" w14:textId="225D7907" w:rsidR="00852B0A" w:rsidRPr="00B83E3E" w:rsidRDefault="00852B0A" w:rsidP="00BE61F6">
      <w:pPr>
        <w:pStyle w:val="NICEnormal"/>
      </w:pPr>
      <w:r w:rsidRPr="00B83E3E">
        <w:t>Around 4.8</w:t>
      </w:r>
      <w:r w:rsidR="00EF7C6F">
        <w:t> </w:t>
      </w:r>
      <w:r w:rsidRPr="00B83E3E">
        <w:t>million people aged 16</w:t>
      </w:r>
      <w:r w:rsidR="00EF7C6F">
        <w:t> </w:t>
      </w:r>
      <w:r w:rsidRPr="00B83E3E">
        <w:t xml:space="preserve">years and </w:t>
      </w:r>
      <w:r w:rsidR="00EF7C6F" w:rsidRPr="00B83E3E">
        <w:t>o</w:t>
      </w:r>
      <w:r w:rsidR="00EF7C6F">
        <w:t>v</w:t>
      </w:r>
      <w:r w:rsidR="00EF7C6F" w:rsidRPr="00B83E3E">
        <w:t xml:space="preserve">er </w:t>
      </w:r>
      <w:r w:rsidRPr="00B83E3E">
        <w:t>in England have symptomatic clinically diagnosed osteoarthritis (Swain et al</w:t>
      </w:r>
      <w:r w:rsidR="00EF7C6F">
        <w:t>.</w:t>
      </w:r>
      <w:r w:rsidRPr="00B83E3E">
        <w:t xml:space="preserve"> 2020). Of these, 83% (3.96</w:t>
      </w:r>
      <w:r w:rsidR="00EF7C6F">
        <w:t> </w:t>
      </w:r>
      <w:r w:rsidRPr="00B83E3E">
        <w:t>million) are estimated to have knee osteoarthritis (Vos, Theo et al</w:t>
      </w:r>
      <w:r w:rsidR="00EF7C6F">
        <w:t>.</w:t>
      </w:r>
      <w:r w:rsidRPr="00B83E3E">
        <w:t xml:space="preserve"> 2012).</w:t>
      </w:r>
    </w:p>
    <w:p w14:paraId="3A5DE0B1" w14:textId="77777777" w:rsidR="00EB579E" w:rsidRPr="00B83E3E" w:rsidRDefault="00852B0A" w:rsidP="00BE61F6">
      <w:pPr>
        <w:pStyle w:val="NICEnormal"/>
      </w:pPr>
      <w:r w:rsidRPr="00B83E3E">
        <w:t xml:space="preserve">It is not known how many of these would not sufficiently benefit from non-surgical standard care treatment and could be eligible for </w:t>
      </w:r>
      <w:proofErr w:type="spellStart"/>
      <w:r w:rsidRPr="00B83E3E">
        <w:t>AposHealth</w:t>
      </w:r>
      <w:proofErr w:type="spellEnd"/>
      <w:r w:rsidRPr="00B83E3E">
        <w:t xml:space="preserve">. </w:t>
      </w:r>
    </w:p>
    <w:p w14:paraId="34EF0CE6" w14:textId="0C33A5C5" w:rsidR="00852B0A" w:rsidRPr="00B83E3E" w:rsidRDefault="00852B0A" w:rsidP="00BE61F6">
      <w:pPr>
        <w:pStyle w:val="NICEnormal"/>
      </w:pPr>
      <w:r w:rsidRPr="00B83E3E">
        <w:t xml:space="preserve">Based on the </w:t>
      </w:r>
      <w:hyperlink r:id="rId12">
        <w:r w:rsidR="00EF7C6F">
          <w:rPr>
            <w:rStyle w:val="Hyperlink"/>
          </w:rPr>
          <w:t>National Joint Registry 20th Annual Report (2023)</w:t>
        </w:r>
      </w:hyperlink>
      <w:r w:rsidR="00020B0C" w:rsidRPr="00B83E3E">
        <w:t>,</w:t>
      </w:r>
      <w:r w:rsidRPr="00B83E3E">
        <w:t xml:space="preserve"> around 84,400 knee replacement procedures were carried out </w:t>
      </w:r>
      <w:r w:rsidR="00A12D24">
        <w:t xml:space="preserve">by the NHS </w:t>
      </w:r>
      <w:r w:rsidRPr="00B83E3E">
        <w:t>in England and Wales in 2022. Of these it is estimated around 97.4% (82,200)</w:t>
      </w:r>
      <w:r w:rsidR="00F422F9" w:rsidRPr="00B83E3E">
        <w:t xml:space="preserve"> were attributable to osteoarthritis.</w:t>
      </w:r>
    </w:p>
    <w:p w14:paraId="03A5650A" w14:textId="5A43F176" w:rsidR="004E0844" w:rsidRDefault="00DC4D38" w:rsidP="00BB7345">
      <w:pPr>
        <w:pStyle w:val="Heading2"/>
      </w:pPr>
      <w:r w:rsidRPr="00506E84">
        <w:lastRenderedPageBreak/>
        <w:t>T</w:t>
      </w:r>
      <w:r w:rsidR="00BC368E" w:rsidRPr="00506E84">
        <w:t>reatment options</w:t>
      </w:r>
      <w:r w:rsidRPr="00506E84">
        <w:t xml:space="preserve"> </w:t>
      </w:r>
      <w:r w:rsidR="007A6B5F">
        <w:t xml:space="preserve">for </w:t>
      </w:r>
      <w:r w:rsidR="009B1DAF">
        <w:t xml:space="preserve">the </w:t>
      </w:r>
      <w:r w:rsidRPr="00506E84">
        <w:t>eligible population</w:t>
      </w:r>
    </w:p>
    <w:p w14:paraId="2E694A66" w14:textId="459B0837" w:rsidR="00F422F9" w:rsidRPr="00B83E3E" w:rsidRDefault="00503C74" w:rsidP="00BE61F6">
      <w:pPr>
        <w:pStyle w:val="NICEnormal"/>
      </w:pPr>
      <w:r w:rsidRPr="00B83E3E">
        <w:t xml:space="preserve">Treatment of knee osteoarthritis depends on the severity of symptoms. Current </w:t>
      </w:r>
      <w:r w:rsidR="00053C96" w:rsidRPr="00B83E3E">
        <w:t xml:space="preserve">standard care </w:t>
      </w:r>
      <w:r w:rsidRPr="00B83E3E">
        <w:t>treatment options include pharmacological and non-pharmacological treatments.</w:t>
      </w:r>
      <w:r w:rsidR="008F2964" w:rsidRPr="00B83E3E">
        <w:t xml:space="preserve"> See </w:t>
      </w:r>
      <w:r w:rsidR="00F005AE" w:rsidRPr="00B83E3E">
        <w:t xml:space="preserve">the </w:t>
      </w:r>
      <w:hyperlink r:id="rId13" w:anchor="care-pathway" w:history="1">
        <w:r w:rsidR="00F005AE" w:rsidRPr="00B83E3E">
          <w:rPr>
            <w:rStyle w:val="Hyperlink"/>
          </w:rPr>
          <w:t>care pathway</w:t>
        </w:r>
        <w:r w:rsidR="00C0405B" w:rsidRPr="00B83E3E">
          <w:rPr>
            <w:rStyle w:val="Hyperlink"/>
          </w:rPr>
          <w:t xml:space="preserve"> section in the guidance</w:t>
        </w:r>
      </w:hyperlink>
      <w:r w:rsidR="00F005AE" w:rsidRPr="00B83E3E">
        <w:t>.</w:t>
      </w:r>
      <w:r w:rsidR="008F2964" w:rsidRPr="00B83E3E">
        <w:t xml:space="preserve"> </w:t>
      </w:r>
    </w:p>
    <w:p w14:paraId="52797281" w14:textId="002B7150" w:rsidR="00503C74" w:rsidRPr="00B83E3E" w:rsidRDefault="00C129BF" w:rsidP="00BE61F6">
      <w:pPr>
        <w:pStyle w:val="NICEnormal"/>
      </w:pPr>
      <w:r w:rsidRPr="00B83E3E">
        <w:t xml:space="preserve">Referral for knee surgery should be considered for people who experience joint symptoms (such as pain, stiffness, reduced function or progressive joint deformity) that have a substantial impact on their quality of life, and if non-surgical management is ineffective or unsuitable. </w:t>
      </w:r>
      <w:r w:rsidR="00012846" w:rsidRPr="00B83E3E">
        <w:t xml:space="preserve">Non-surgical standard care includes many different elements of healthcare resources, and it is not clear what elements of non-surgical standard care resources are avoided when using </w:t>
      </w:r>
      <w:proofErr w:type="spellStart"/>
      <w:r w:rsidR="00012846" w:rsidRPr="00B83E3E">
        <w:t>AposHealth</w:t>
      </w:r>
      <w:proofErr w:type="spellEnd"/>
      <w:r w:rsidR="00B802FE" w:rsidRPr="00B83E3E">
        <w:t>.</w:t>
      </w:r>
      <w:r w:rsidR="005633F9" w:rsidRPr="00B83E3E">
        <w:t xml:space="preserve"> The non-surgical standard care resources avoided when using </w:t>
      </w:r>
      <w:proofErr w:type="spellStart"/>
      <w:r w:rsidR="005633F9" w:rsidRPr="00B83E3E">
        <w:t>AposHealth</w:t>
      </w:r>
      <w:proofErr w:type="spellEnd"/>
      <w:r w:rsidR="005633F9" w:rsidRPr="00B83E3E">
        <w:t xml:space="preserve"> will need to be estimated at a local level as this will be determined by the non-standard care that is currently in place. </w:t>
      </w:r>
    </w:p>
    <w:p w14:paraId="6C3C408A" w14:textId="6A5939EC" w:rsidR="00506E84" w:rsidRPr="00B83E3E" w:rsidRDefault="00AE5363" w:rsidP="00BE61F6">
      <w:pPr>
        <w:pStyle w:val="NICEnormal"/>
      </w:pPr>
      <w:r w:rsidRPr="00B83E3E">
        <w:t>For more information about the treatments, such as dose and average treatment duration, see the</w:t>
      </w:r>
      <w:r w:rsidR="00184BBB" w:rsidRPr="00B83E3E">
        <w:t xml:space="preserve"> </w:t>
      </w:r>
      <w:hyperlink r:id="rId14" w:history="1">
        <w:r w:rsidR="00184BBB" w:rsidRPr="00B83E3E">
          <w:rPr>
            <w:rStyle w:val="Hyperlink"/>
          </w:rPr>
          <w:t>resource impact template</w:t>
        </w:r>
      </w:hyperlink>
      <w:r w:rsidR="00184BBB" w:rsidRPr="00B83E3E">
        <w:t>.</w:t>
      </w:r>
    </w:p>
    <w:p w14:paraId="63292882" w14:textId="51BAB530" w:rsidR="004C1EA9" w:rsidRPr="00AE5363" w:rsidRDefault="004C1EA9" w:rsidP="00BE61F6">
      <w:pPr>
        <w:pStyle w:val="Heading2"/>
      </w:pPr>
      <w:r w:rsidRPr="00AE5363">
        <w:t>Financial r</w:t>
      </w:r>
      <w:r w:rsidR="00360877" w:rsidRPr="00AE5363">
        <w:t xml:space="preserve">esource </w:t>
      </w:r>
      <w:r w:rsidRPr="00AE5363">
        <w:t>impact</w:t>
      </w:r>
      <w:r w:rsidR="00295089" w:rsidRPr="00AE5363">
        <w:t xml:space="preserve"> (cash items)</w:t>
      </w:r>
    </w:p>
    <w:p w14:paraId="0987CE67" w14:textId="7BAD94DC" w:rsidR="00E00325" w:rsidRDefault="00EF7C6F" w:rsidP="00BE61F6">
      <w:pPr>
        <w:pStyle w:val="NICEnormal"/>
      </w:pPr>
      <w:r>
        <w:t>The t</w:t>
      </w:r>
      <w:r w:rsidR="00E00325">
        <w:t xml:space="preserve">otal upfront cost of </w:t>
      </w:r>
      <w:proofErr w:type="spellStart"/>
      <w:r w:rsidR="00E00325">
        <w:t>AposHealth</w:t>
      </w:r>
      <w:proofErr w:type="spellEnd"/>
      <w:r w:rsidR="00E00325">
        <w:t xml:space="preserve"> is estimated at £800 </w:t>
      </w:r>
      <w:r w:rsidR="006C12F2">
        <w:t>excluding</w:t>
      </w:r>
      <w:r w:rsidR="00E00325">
        <w:t xml:space="preserve"> VAT (£960 </w:t>
      </w:r>
      <w:r w:rsidR="00603712">
        <w:t>including</w:t>
      </w:r>
      <w:r w:rsidR="00E00325">
        <w:t xml:space="preserve"> VAT) per person per treatment programme for both knees. The treatment programme includes </w:t>
      </w:r>
      <w:proofErr w:type="spellStart"/>
      <w:r w:rsidR="00E00325">
        <w:t>AposHealth</w:t>
      </w:r>
      <w:proofErr w:type="spellEnd"/>
      <w:r w:rsidR="00E00325">
        <w:t xml:space="preserve"> shoes and parts (unlimited whil</w:t>
      </w:r>
      <w:r w:rsidR="00C0405B">
        <w:t>e</w:t>
      </w:r>
      <w:r w:rsidR="00E00325">
        <w:t xml:space="preserve"> in the programme), access to standardised outcome measures on the </w:t>
      </w:r>
      <w:proofErr w:type="spellStart"/>
      <w:r w:rsidR="00E00325">
        <w:t>AposHealth</w:t>
      </w:r>
      <w:proofErr w:type="spellEnd"/>
      <w:r w:rsidR="00E00325">
        <w:t xml:space="preserve"> clinical tracking system and training of healthcare professionals (</w:t>
      </w:r>
      <w:r w:rsidR="00E00325" w:rsidRPr="009A1F85">
        <w:t>typically consist</w:t>
      </w:r>
      <w:r w:rsidR="00E00325">
        <w:t>ing</w:t>
      </w:r>
      <w:r w:rsidR="00E00325" w:rsidRPr="009A1F85">
        <w:t xml:space="preserve"> of 6 hours theory training, and 5 to 10 observed calibrations that are delivered as part of routine service provision).</w:t>
      </w:r>
      <w:r w:rsidR="00E00325">
        <w:t xml:space="preserve"> There could be additional costs for backfill of staff attending training.</w:t>
      </w:r>
    </w:p>
    <w:p w14:paraId="693C9575" w14:textId="7AC3AC2C" w:rsidR="00E00325" w:rsidRPr="00DD0CA1" w:rsidRDefault="00E00325" w:rsidP="00BE61F6">
      <w:pPr>
        <w:pStyle w:val="NICEnormal"/>
      </w:pPr>
      <w:r>
        <w:rPr>
          <w:rFonts w:cs="Arial"/>
        </w:rPr>
        <w:t xml:space="preserve">Potential cost savings from </w:t>
      </w:r>
      <w:proofErr w:type="spellStart"/>
      <w:r w:rsidRPr="000319B4">
        <w:rPr>
          <w:rFonts w:cs="Arial"/>
        </w:rPr>
        <w:t>AposHealth</w:t>
      </w:r>
      <w:proofErr w:type="spellEnd"/>
      <w:r>
        <w:rPr>
          <w:rFonts w:cs="Arial"/>
        </w:rPr>
        <w:t xml:space="preserve"> </w:t>
      </w:r>
      <w:r w:rsidRPr="000319B4">
        <w:rPr>
          <w:rFonts w:cs="Arial"/>
        </w:rPr>
        <w:t xml:space="preserve">mainly come from a reduction </w:t>
      </w:r>
      <w:r>
        <w:rPr>
          <w:rFonts w:cs="Arial"/>
        </w:rPr>
        <w:t xml:space="preserve">in surgical </w:t>
      </w:r>
      <w:r w:rsidRPr="000319B4">
        <w:rPr>
          <w:rFonts w:cs="Arial"/>
        </w:rPr>
        <w:t>standard care resource use and a reduction in knee replacement surgery</w:t>
      </w:r>
      <w:r>
        <w:rPr>
          <w:rFonts w:cs="Arial"/>
        </w:rPr>
        <w:t xml:space="preserve">. </w:t>
      </w:r>
      <w:r w:rsidRPr="00AF7A35">
        <w:rPr>
          <w:rFonts w:cs="Arial"/>
        </w:rPr>
        <w:t xml:space="preserve">The </w:t>
      </w:r>
      <w:r w:rsidR="00F244C7">
        <w:rPr>
          <w:rFonts w:cs="Arial"/>
        </w:rPr>
        <w:t xml:space="preserve">unit </w:t>
      </w:r>
      <w:r w:rsidRPr="00AF7A35">
        <w:rPr>
          <w:rFonts w:cs="Arial"/>
        </w:rPr>
        <w:t xml:space="preserve">cost of </w:t>
      </w:r>
      <w:r>
        <w:rPr>
          <w:rFonts w:cs="Arial"/>
        </w:rPr>
        <w:t xml:space="preserve">knee replacement </w:t>
      </w:r>
      <w:r w:rsidRPr="00AF7A35">
        <w:rPr>
          <w:rFonts w:cs="Arial"/>
        </w:rPr>
        <w:t>surge</w:t>
      </w:r>
      <w:r w:rsidRPr="00B83E3E">
        <w:t>ry is £</w:t>
      </w:r>
      <w:r w:rsidR="00CC2DAC" w:rsidRPr="00B83E3E">
        <w:t>9</w:t>
      </w:r>
      <w:r w:rsidR="003D6AB0" w:rsidRPr="00B83E3E">
        <w:t>,</w:t>
      </w:r>
      <w:r w:rsidR="00746DD5" w:rsidRPr="00B83E3E">
        <w:t>872</w:t>
      </w:r>
      <w:r w:rsidRPr="00B83E3E">
        <w:t xml:space="preserve"> (</w:t>
      </w:r>
      <w:hyperlink r:id="rId15" w:history="1">
        <w:r w:rsidR="00B60808" w:rsidRPr="00B83E3E">
          <w:rPr>
            <w:rStyle w:val="Hyperlink"/>
          </w:rPr>
          <w:t>NHS National Cost Collection data, 2022-23</w:t>
        </w:r>
      </w:hyperlink>
      <w:r w:rsidRPr="00B83E3E">
        <w:t>)</w:t>
      </w:r>
      <w:r w:rsidR="005E7315" w:rsidRPr="00B83E3E">
        <w:t xml:space="preserve"> based on </w:t>
      </w:r>
      <w:r w:rsidR="007C669C" w:rsidRPr="00B83E3E">
        <w:t xml:space="preserve">the </w:t>
      </w:r>
      <w:r w:rsidR="00F244C7" w:rsidRPr="00B83E3E">
        <w:t xml:space="preserve">average </w:t>
      </w:r>
      <w:r w:rsidR="000038F4" w:rsidRPr="00B83E3E">
        <w:t xml:space="preserve">prices </w:t>
      </w:r>
      <w:r w:rsidR="004E3709" w:rsidRPr="00B83E3E">
        <w:t xml:space="preserve">of knee surgery </w:t>
      </w:r>
      <w:r w:rsidR="000038F4" w:rsidRPr="00B83E3E">
        <w:t xml:space="preserve">per </w:t>
      </w:r>
      <w:r w:rsidR="00CF05A5" w:rsidRPr="00B83E3E">
        <w:t>integrated care board (</w:t>
      </w:r>
      <w:r w:rsidR="000038F4" w:rsidRPr="00B83E3E">
        <w:t>ICB</w:t>
      </w:r>
      <w:r w:rsidR="00CF05A5" w:rsidRPr="00B83E3E">
        <w:t>)</w:t>
      </w:r>
      <w:r w:rsidRPr="00B83E3E">
        <w:t>.</w:t>
      </w:r>
    </w:p>
    <w:p w14:paraId="714D4C96" w14:textId="77777777" w:rsidR="002B2171" w:rsidRDefault="002B2171" w:rsidP="002B2171">
      <w:pPr>
        <w:pStyle w:val="Bulletleft1"/>
        <w:numPr>
          <w:ilvl w:val="0"/>
          <w:numId w:val="0"/>
        </w:numPr>
        <w:spacing w:line="240" w:lineRule="auto"/>
        <w:rPr>
          <w:rFonts w:cs="Arial"/>
        </w:rPr>
      </w:pPr>
    </w:p>
    <w:p w14:paraId="4B996CCB" w14:textId="74547B64" w:rsidR="00481750" w:rsidRDefault="00481750" w:rsidP="00BE61F6">
      <w:pPr>
        <w:pStyle w:val="NICEnormal"/>
      </w:pPr>
      <w:r w:rsidRPr="0A4DBBEF">
        <w:lastRenderedPageBreak/>
        <w:t xml:space="preserve">A </w:t>
      </w:r>
      <w:hyperlink r:id="rId16">
        <w:r w:rsidRPr="0A4DBBEF">
          <w:rPr>
            <w:rStyle w:val="Hyperlink"/>
            <w:rFonts w:cs="Arial"/>
          </w:rPr>
          <w:t>resource impact template</w:t>
        </w:r>
      </w:hyperlink>
      <w:r w:rsidRPr="0A4DBBEF">
        <w:t xml:space="preserve"> has been developed and published alongside this report</w:t>
      </w:r>
      <w:r>
        <w:t xml:space="preserve">. </w:t>
      </w:r>
      <w:r w:rsidR="006A1030" w:rsidRPr="006A1030">
        <w:t xml:space="preserve">The template provides an illustration of the potential resource impact based on an estimated 100 people using </w:t>
      </w:r>
      <w:proofErr w:type="spellStart"/>
      <w:r w:rsidR="006A1030" w:rsidRPr="006A1030">
        <w:t>AposHealth</w:t>
      </w:r>
      <w:proofErr w:type="spellEnd"/>
      <w:r w:rsidR="006A1030" w:rsidRPr="006A1030">
        <w:t xml:space="preserve"> over 5</w:t>
      </w:r>
      <w:r w:rsidR="00EF7C6F">
        <w:t> </w:t>
      </w:r>
      <w:r w:rsidR="006A1030" w:rsidRPr="006A1030">
        <w:t>years compared to standard care</w:t>
      </w:r>
      <w:r w:rsidR="00834694">
        <w:t>.</w:t>
      </w:r>
      <w:r w:rsidRPr="004F78B0">
        <w:t xml:space="preserve"> The figures are based on the economic model </w:t>
      </w:r>
      <w:r w:rsidRPr="67B0BDC5">
        <w:t>(</w:t>
      </w:r>
      <w:r>
        <w:t>national</w:t>
      </w:r>
      <w:r w:rsidRPr="67B0BDC5">
        <w:t xml:space="preserve"> prices tab in the template</w:t>
      </w:r>
      <w:r w:rsidRPr="5C808115">
        <w:t>).</w:t>
      </w:r>
    </w:p>
    <w:p w14:paraId="57EF7F90" w14:textId="15F2244F" w:rsidR="00481750" w:rsidRDefault="00CF05A5" w:rsidP="00BE61F6">
      <w:pPr>
        <w:pStyle w:val="NICEnormal"/>
      </w:pPr>
      <w:r>
        <w:t>Table</w:t>
      </w:r>
      <w:r w:rsidR="00EF7C6F">
        <w:t> </w:t>
      </w:r>
      <w:r>
        <w:t>1</w:t>
      </w:r>
      <w:r w:rsidR="00481750" w:rsidRPr="6165F262">
        <w:t xml:space="preserve"> highlights the most significant savings </w:t>
      </w:r>
      <w:r w:rsidR="00EF7C6F">
        <w:t>that</w:t>
      </w:r>
      <w:r w:rsidR="00EF7C6F" w:rsidRPr="6165F262">
        <w:t xml:space="preserve"> </w:t>
      </w:r>
      <w:r w:rsidR="00481750" w:rsidRPr="6165F262">
        <w:t xml:space="preserve">are attributable to fewer </w:t>
      </w:r>
      <w:r w:rsidR="00EF7C6F" w:rsidRPr="6165F262">
        <w:t>surger</w:t>
      </w:r>
      <w:r w:rsidR="00EF7C6F">
        <w:t>ies</w:t>
      </w:r>
      <w:r w:rsidR="00EF7C6F" w:rsidRPr="6165F262">
        <w:t xml:space="preserve"> </w:t>
      </w:r>
      <w:r w:rsidR="00481750" w:rsidRPr="6165F262">
        <w:t xml:space="preserve">associated with </w:t>
      </w:r>
      <w:proofErr w:type="spellStart"/>
      <w:r w:rsidR="00481750" w:rsidRPr="6165F262">
        <w:t>AposHealth</w:t>
      </w:r>
      <w:proofErr w:type="spellEnd"/>
      <w:r w:rsidR="00481750" w:rsidRPr="6165F262">
        <w:t xml:space="preserve"> compared to standard care. Users will need to use local assumptions to estimate the potential resource impact for their locality.</w:t>
      </w:r>
    </w:p>
    <w:p w14:paraId="6253DAD7" w14:textId="1E74AAC8" w:rsidR="00CF05A5" w:rsidRDefault="00CF05A5" w:rsidP="00BE61F6">
      <w:pPr>
        <w:pStyle w:val="Caption"/>
      </w:pPr>
      <w:r>
        <w:t>Table 1 Financial impact (cash items) in England</w:t>
      </w:r>
    </w:p>
    <w:p w14:paraId="5B2BC49B" w14:textId="322CF65E" w:rsidR="6165F262" w:rsidRDefault="6165F262" w:rsidP="6165F262">
      <w:pPr>
        <w:pStyle w:val="NICEnormalsinglespacing"/>
        <w:rPr>
          <w:rFonts w:cs="Arial"/>
        </w:rPr>
      </w:pPr>
    </w:p>
    <w:p w14:paraId="1456A800" w14:textId="762A4AB9" w:rsidR="6165F262" w:rsidRDefault="6165F262" w:rsidP="6165F262">
      <w:pPr>
        <w:pStyle w:val="NICEnormalsinglespacing"/>
        <w:rPr>
          <w:rFonts w:cs="Arial"/>
        </w:rPr>
      </w:pPr>
    </w:p>
    <w:p w14:paraId="5A211840" w14:textId="187F263C" w:rsidR="6165F262" w:rsidRDefault="6165F262" w:rsidP="6165F262">
      <w:pPr>
        <w:pStyle w:val="NICEnormalsinglespacing"/>
        <w:rPr>
          <w:rFonts w:cs="Arial"/>
        </w:rPr>
      </w:pPr>
    </w:p>
    <w:p w14:paraId="19FD8CA9" w14:textId="77777777" w:rsidR="00481750" w:rsidRDefault="00481750" w:rsidP="00481750">
      <w:pPr>
        <w:pStyle w:val="Bulletleft1"/>
        <w:numPr>
          <w:ilvl w:val="0"/>
          <w:numId w:val="0"/>
        </w:numPr>
        <w:spacing w:line="240" w:lineRule="auto"/>
        <w:rPr>
          <w:rFonts w:cs="Arial"/>
        </w:rPr>
      </w:pPr>
    </w:p>
    <w:tbl>
      <w:tblPr>
        <w:tblStyle w:val="TableGridLight"/>
        <w:tblW w:w="9130" w:type="dxa"/>
        <w:tblLook w:val="04A0" w:firstRow="1" w:lastRow="0" w:firstColumn="1" w:lastColumn="0" w:noHBand="0" w:noVBand="1"/>
        <w:tblCaption w:val="Table 1 Financial resource impact (cash items) in England"/>
        <w:tblDescription w:val="This table shows the estimated cash impact (including drug costs) in each of the next 5 years"/>
      </w:tblPr>
      <w:tblGrid>
        <w:gridCol w:w="1872"/>
        <w:gridCol w:w="1254"/>
        <w:gridCol w:w="1212"/>
        <w:gridCol w:w="1134"/>
        <w:gridCol w:w="1177"/>
        <w:gridCol w:w="1115"/>
        <w:gridCol w:w="1366"/>
      </w:tblGrid>
      <w:tr w:rsidR="001310B0" w14:paraId="32C51A15" w14:textId="77777777" w:rsidTr="00111D12">
        <w:trPr>
          <w:trHeight w:hRule="exact" w:val="794"/>
        </w:trPr>
        <w:tc>
          <w:tcPr>
            <w:tcW w:w="1872" w:type="dxa"/>
          </w:tcPr>
          <w:p w14:paraId="2F09DE9A" w14:textId="3273FF20" w:rsidR="00481750" w:rsidRPr="009C0C50" w:rsidRDefault="00481750" w:rsidP="00BE61F6">
            <w:pPr>
              <w:pStyle w:val="Tableheading"/>
            </w:pPr>
            <w:r w:rsidRPr="009C0C50">
              <w:lastRenderedPageBreak/>
              <w:t>Details</w:t>
            </w:r>
          </w:p>
        </w:tc>
        <w:tc>
          <w:tcPr>
            <w:tcW w:w="1254" w:type="dxa"/>
            <w:vAlign w:val="center"/>
          </w:tcPr>
          <w:p w14:paraId="28AD7E0F" w14:textId="77777777" w:rsidR="00481750" w:rsidRPr="009C0C50" w:rsidRDefault="00481750" w:rsidP="00BE61F6">
            <w:pPr>
              <w:pStyle w:val="Tableheading"/>
            </w:pPr>
            <w:r w:rsidRPr="009C0C50">
              <w:t>Year 1</w:t>
            </w:r>
          </w:p>
        </w:tc>
        <w:tc>
          <w:tcPr>
            <w:tcW w:w="1212" w:type="dxa"/>
            <w:vAlign w:val="center"/>
          </w:tcPr>
          <w:p w14:paraId="22C9BD33" w14:textId="77777777" w:rsidR="00481750" w:rsidRPr="009C0C50" w:rsidRDefault="00481750" w:rsidP="00BE61F6">
            <w:pPr>
              <w:pStyle w:val="Tableheading"/>
            </w:pPr>
            <w:r w:rsidRPr="009C0C50">
              <w:t>Year 2</w:t>
            </w:r>
          </w:p>
        </w:tc>
        <w:tc>
          <w:tcPr>
            <w:tcW w:w="1134" w:type="dxa"/>
            <w:vAlign w:val="center"/>
          </w:tcPr>
          <w:p w14:paraId="306C0666" w14:textId="77777777" w:rsidR="00481750" w:rsidRPr="009C0C50" w:rsidRDefault="00481750" w:rsidP="00BE61F6">
            <w:pPr>
              <w:pStyle w:val="Tableheading"/>
            </w:pPr>
            <w:r w:rsidRPr="009C0C50">
              <w:t>Year 3</w:t>
            </w:r>
          </w:p>
        </w:tc>
        <w:tc>
          <w:tcPr>
            <w:tcW w:w="1177" w:type="dxa"/>
            <w:vAlign w:val="center"/>
          </w:tcPr>
          <w:p w14:paraId="3B3E4BB9" w14:textId="77777777" w:rsidR="00481750" w:rsidRPr="009C0C50" w:rsidRDefault="00481750" w:rsidP="00BE61F6">
            <w:pPr>
              <w:pStyle w:val="Tableheading"/>
            </w:pPr>
            <w:r w:rsidRPr="009C0C50">
              <w:t>Year 4</w:t>
            </w:r>
          </w:p>
        </w:tc>
        <w:tc>
          <w:tcPr>
            <w:tcW w:w="1115" w:type="dxa"/>
            <w:vAlign w:val="center"/>
          </w:tcPr>
          <w:p w14:paraId="5FEBDBC9" w14:textId="77777777" w:rsidR="00481750" w:rsidRPr="009C0C50" w:rsidRDefault="00481750" w:rsidP="00BE61F6">
            <w:pPr>
              <w:pStyle w:val="Tableheading"/>
            </w:pPr>
            <w:r w:rsidRPr="009C0C50">
              <w:t>Year 5</w:t>
            </w:r>
          </w:p>
        </w:tc>
        <w:tc>
          <w:tcPr>
            <w:tcW w:w="1366" w:type="dxa"/>
          </w:tcPr>
          <w:p w14:paraId="765B9737" w14:textId="05679BB5" w:rsidR="00481750" w:rsidRPr="009C0C50" w:rsidRDefault="00481750" w:rsidP="00BE61F6">
            <w:pPr>
              <w:pStyle w:val="Tableheading"/>
            </w:pPr>
            <w:r>
              <w:t>5</w:t>
            </w:r>
            <w:r w:rsidR="00F17DBF">
              <w:noBreakHyphen/>
            </w:r>
            <w:r>
              <w:t>year cumulative total</w:t>
            </w:r>
          </w:p>
        </w:tc>
      </w:tr>
      <w:tr w:rsidR="001310B0" w14:paraId="0B00B57C" w14:textId="77777777" w:rsidTr="00111D12">
        <w:trPr>
          <w:trHeight w:hRule="exact" w:val="848"/>
        </w:trPr>
        <w:tc>
          <w:tcPr>
            <w:tcW w:w="1872" w:type="dxa"/>
            <w:vAlign w:val="center"/>
          </w:tcPr>
          <w:p w14:paraId="4E867045" w14:textId="06198819" w:rsidR="00481750" w:rsidRPr="005F7537" w:rsidRDefault="00481750" w:rsidP="001C4597">
            <w:pPr>
              <w:pStyle w:val="Tabletext"/>
              <w:rPr>
                <w:b/>
                <w:bCs/>
              </w:rPr>
            </w:pPr>
            <w:r w:rsidRPr="005F7537">
              <w:rPr>
                <w:b/>
                <w:bCs/>
              </w:rPr>
              <w:t xml:space="preserve">Upfront cost with </w:t>
            </w:r>
            <w:proofErr w:type="spellStart"/>
            <w:r w:rsidRPr="005F7537">
              <w:rPr>
                <w:b/>
                <w:bCs/>
              </w:rPr>
              <w:t>AposHealth</w:t>
            </w:r>
            <w:proofErr w:type="spellEnd"/>
            <w:r w:rsidR="00EF7C6F">
              <w:rPr>
                <w:b/>
                <w:bCs/>
              </w:rPr>
              <w:t>, £</w:t>
            </w:r>
          </w:p>
        </w:tc>
        <w:tc>
          <w:tcPr>
            <w:tcW w:w="1254" w:type="dxa"/>
            <w:vAlign w:val="center"/>
          </w:tcPr>
          <w:p w14:paraId="168DDC56" w14:textId="10D9D0E8" w:rsidR="00481750" w:rsidRPr="005F7537" w:rsidRDefault="00834694" w:rsidP="001C4597">
            <w:pPr>
              <w:pStyle w:val="Tabletext"/>
              <w:jc w:val="right"/>
              <w:rPr>
                <w:b/>
                <w:bCs/>
              </w:rPr>
            </w:pPr>
            <w:r>
              <w:rPr>
                <w:b/>
                <w:bCs/>
              </w:rPr>
              <w:t>96</w:t>
            </w:r>
            <w:r w:rsidR="00481750">
              <w:rPr>
                <w:b/>
                <w:bCs/>
              </w:rPr>
              <w:t>,000</w:t>
            </w:r>
          </w:p>
        </w:tc>
        <w:tc>
          <w:tcPr>
            <w:tcW w:w="1212" w:type="dxa"/>
            <w:vAlign w:val="center"/>
          </w:tcPr>
          <w:p w14:paraId="5B4A9DD7" w14:textId="2345AEFE" w:rsidR="00481750" w:rsidRDefault="00EF7C6F" w:rsidP="001C4597">
            <w:pPr>
              <w:pStyle w:val="Tabletext"/>
              <w:jc w:val="right"/>
            </w:pPr>
            <w:r>
              <w:t>–</w:t>
            </w:r>
          </w:p>
        </w:tc>
        <w:tc>
          <w:tcPr>
            <w:tcW w:w="1134" w:type="dxa"/>
            <w:vAlign w:val="center"/>
          </w:tcPr>
          <w:p w14:paraId="58962FB3" w14:textId="00E06B4A" w:rsidR="00481750" w:rsidRDefault="00EF7C6F" w:rsidP="001C4597">
            <w:pPr>
              <w:pStyle w:val="Tabletext"/>
              <w:jc w:val="right"/>
            </w:pPr>
            <w:r>
              <w:t>–</w:t>
            </w:r>
          </w:p>
        </w:tc>
        <w:tc>
          <w:tcPr>
            <w:tcW w:w="1177" w:type="dxa"/>
            <w:vAlign w:val="center"/>
          </w:tcPr>
          <w:p w14:paraId="14B0C3C4" w14:textId="5FC4CE2F" w:rsidR="00481750" w:rsidRDefault="00EF7C6F" w:rsidP="001C4597">
            <w:pPr>
              <w:pStyle w:val="Tabletext"/>
              <w:jc w:val="right"/>
            </w:pPr>
            <w:r>
              <w:t>–</w:t>
            </w:r>
          </w:p>
        </w:tc>
        <w:tc>
          <w:tcPr>
            <w:tcW w:w="1115" w:type="dxa"/>
            <w:vAlign w:val="center"/>
          </w:tcPr>
          <w:p w14:paraId="5C52F298" w14:textId="15868C51" w:rsidR="00481750" w:rsidRDefault="00EF7C6F" w:rsidP="001C4597">
            <w:pPr>
              <w:pStyle w:val="Tabletext"/>
              <w:jc w:val="right"/>
            </w:pPr>
            <w:r>
              <w:t>–</w:t>
            </w:r>
          </w:p>
        </w:tc>
        <w:tc>
          <w:tcPr>
            <w:tcW w:w="1366" w:type="dxa"/>
            <w:vAlign w:val="center"/>
          </w:tcPr>
          <w:p w14:paraId="75319A7D" w14:textId="0F30055D" w:rsidR="00481750" w:rsidRPr="003C045C" w:rsidRDefault="00834694" w:rsidP="001C4597">
            <w:pPr>
              <w:pStyle w:val="Tabletext"/>
              <w:jc w:val="right"/>
              <w:rPr>
                <w:b/>
                <w:bCs/>
              </w:rPr>
            </w:pPr>
            <w:r>
              <w:rPr>
                <w:b/>
                <w:bCs/>
              </w:rPr>
              <w:t>96</w:t>
            </w:r>
            <w:r w:rsidR="00481750" w:rsidRPr="003C045C">
              <w:rPr>
                <w:b/>
                <w:bCs/>
              </w:rPr>
              <w:t>,000</w:t>
            </w:r>
          </w:p>
        </w:tc>
      </w:tr>
      <w:tr w:rsidR="001310B0" w14:paraId="48A3ACEF" w14:textId="77777777" w:rsidTr="00111D12">
        <w:trPr>
          <w:trHeight w:hRule="exact" w:val="923"/>
        </w:trPr>
        <w:tc>
          <w:tcPr>
            <w:tcW w:w="1872" w:type="dxa"/>
          </w:tcPr>
          <w:p w14:paraId="353F0421" w14:textId="213033D1" w:rsidR="00481750" w:rsidRDefault="00225E84" w:rsidP="001C4597">
            <w:pPr>
              <w:pStyle w:val="Tabletext"/>
            </w:pPr>
            <w:r>
              <w:t>Number of people</w:t>
            </w:r>
            <w:r w:rsidR="00481750">
              <w:t xml:space="preserve"> </w:t>
            </w:r>
            <w:r w:rsidR="00CF05A5">
              <w:t xml:space="preserve">having </w:t>
            </w:r>
            <w:proofErr w:type="spellStart"/>
            <w:r w:rsidR="00481750">
              <w:t>AposHealth</w:t>
            </w:r>
            <w:proofErr w:type="spellEnd"/>
            <w:r w:rsidR="00481750">
              <w:t xml:space="preserve"> </w:t>
            </w:r>
          </w:p>
        </w:tc>
        <w:tc>
          <w:tcPr>
            <w:tcW w:w="1254" w:type="dxa"/>
            <w:vAlign w:val="center"/>
          </w:tcPr>
          <w:p w14:paraId="4D8E34AA" w14:textId="77777777" w:rsidR="00481750" w:rsidRDefault="00481750" w:rsidP="001C4597">
            <w:pPr>
              <w:pStyle w:val="Tabletext"/>
              <w:jc w:val="right"/>
            </w:pPr>
            <w:r>
              <w:t>100</w:t>
            </w:r>
          </w:p>
        </w:tc>
        <w:tc>
          <w:tcPr>
            <w:tcW w:w="1212" w:type="dxa"/>
            <w:vAlign w:val="center"/>
          </w:tcPr>
          <w:p w14:paraId="63872CF5" w14:textId="77777777" w:rsidR="00481750" w:rsidRDefault="00481750" w:rsidP="001C4597">
            <w:pPr>
              <w:pStyle w:val="Tabletext"/>
              <w:jc w:val="right"/>
            </w:pPr>
            <w:r>
              <w:t>91</w:t>
            </w:r>
          </w:p>
        </w:tc>
        <w:tc>
          <w:tcPr>
            <w:tcW w:w="1134" w:type="dxa"/>
            <w:vAlign w:val="center"/>
          </w:tcPr>
          <w:p w14:paraId="53D48C9E" w14:textId="77777777" w:rsidR="00481750" w:rsidRDefault="00481750" w:rsidP="001C4597">
            <w:pPr>
              <w:pStyle w:val="Tabletext"/>
              <w:jc w:val="right"/>
            </w:pPr>
            <w:r>
              <w:t>84</w:t>
            </w:r>
          </w:p>
        </w:tc>
        <w:tc>
          <w:tcPr>
            <w:tcW w:w="1177" w:type="dxa"/>
            <w:vAlign w:val="center"/>
          </w:tcPr>
          <w:p w14:paraId="1C236C88" w14:textId="77777777" w:rsidR="00481750" w:rsidRDefault="00481750" w:rsidP="001C4597">
            <w:pPr>
              <w:pStyle w:val="Tabletext"/>
              <w:jc w:val="right"/>
            </w:pPr>
            <w:r>
              <w:t>76</w:t>
            </w:r>
          </w:p>
        </w:tc>
        <w:tc>
          <w:tcPr>
            <w:tcW w:w="1115" w:type="dxa"/>
            <w:vAlign w:val="center"/>
          </w:tcPr>
          <w:p w14:paraId="16075CCC" w14:textId="77777777" w:rsidR="00481750" w:rsidRDefault="00481750" w:rsidP="001C4597">
            <w:pPr>
              <w:pStyle w:val="Tabletext"/>
              <w:jc w:val="right"/>
            </w:pPr>
            <w:r>
              <w:t>70</w:t>
            </w:r>
          </w:p>
        </w:tc>
        <w:tc>
          <w:tcPr>
            <w:tcW w:w="1366" w:type="dxa"/>
            <w:vAlign w:val="center"/>
          </w:tcPr>
          <w:p w14:paraId="337FCB36" w14:textId="77777777" w:rsidR="00481750" w:rsidRDefault="00481750" w:rsidP="001C4597">
            <w:pPr>
              <w:pStyle w:val="Tabletext"/>
              <w:jc w:val="right"/>
            </w:pPr>
            <w:r>
              <w:t>100</w:t>
            </w:r>
          </w:p>
        </w:tc>
      </w:tr>
      <w:tr w:rsidR="001310B0" w14:paraId="447E4582" w14:textId="77777777" w:rsidTr="00111D12">
        <w:trPr>
          <w:trHeight w:hRule="exact" w:val="1404"/>
        </w:trPr>
        <w:tc>
          <w:tcPr>
            <w:tcW w:w="1872" w:type="dxa"/>
          </w:tcPr>
          <w:p w14:paraId="4A2E3041" w14:textId="2785E9DD" w:rsidR="00481750" w:rsidRPr="00BC15D2" w:rsidRDefault="00481750" w:rsidP="001C4597">
            <w:pPr>
              <w:pStyle w:val="Tabletext"/>
              <w:rPr>
                <w:b/>
                <w:bCs/>
              </w:rPr>
            </w:pPr>
            <w:r w:rsidRPr="00BC15D2">
              <w:rPr>
                <w:b/>
                <w:bCs/>
              </w:rPr>
              <w:t xml:space="preserve">Number of people </w:t>
            </w:r>
            <w:r w:rsidR="00CF05A5">
              <w:rPr>
                <w:b/>
                <w:bCs/>
              </w:rPr>
              <w:t>having</w:t>
            </w:r>
            <w:r w:rsidR="00CF05A5" w:rsidRPr="00BC15D2">
              <w:rPr>
                <w:b/>
                <w:bCs/>
              </w:rPr>
              <w:t xml:space="preserve"> </w:t>
            </w:r>
            <w:r w:rsidRPr="00BC15D2">
              <w:rPr>
                <w:b/>
                <w:bCs/>
              </w:rPr>
              <w:t>knee surgery</w:t>
            </w:r>
          </w:p>
        </w:tc>
        <w:tc>
          <w:tcPr>
            <w:tcW w:w="1254" w:type="dxa"/>
            <w:vAlign w:val="center"/>
          </w:tcPr>
          <w:p w14:paraId="68FE08E0" w14:textId="6AF201B6" w:rsidR="00481750" w:rsidRDefault="00EF7C6F" w:rsidP="001C4597">
            <w:pPr>
              <w:pStyle w:val="Tabletext"/>
              <w:jc w:val="right"/>
            </w:pPr>
            <w:r>
              <w:t>–</w:t>
            </w:r>
          </w:p>
        </w:tc>
        <w:tc>
          <w:tcPr>
            <w:tcW w:w="1212" w:type="dxa"/>
            <w:vAlign w:val="center"/>
          </w:tcPr>
          <w:p w14:paraId="74A75C5A" w14:textId="3D4BCC0A" w:rsidR="00481750" w:rsidRDefault="00EF7C6F" w:rsidP="001C4597">
            <w:pPr>
              <w:pStyle w:val="Tabletext"/>
              <w:jc w:val="right"/>
            </w:pPr>
            <w:r>
              <w:t>–</w:t>
            </w:r>
          </w:p>
        </w:tc>
        <w:tc>
          <w:tcPr>
            <w:tcW w:w="1134" w:type="dxa"/>
            <w:vAlign w:val="center"/>
          </w:tcPr>
          <w:p w14:paraId="538EE6E0" w14:textId="211C4785" w:rsidR="00481750" w:rsidRDefault="00EF7C6F" w:rsidP="001C4597">
            <w:pPr>
              <w:pStyle w:val="Tabletext"/>
              <w:jc w:val="right"/>
            </w:pPr>
            <w:r>
              <w:t>–</w:t>
            </w:r>
          </w:p>
        </w:tc>
        <w:tc>
          <w:tcPr>
            <w:tcW w:w="1177" w:type="dxa"/>
            <w:vAlign w:val="center"/>
          </w:tcPr>
          <w:p w14:paraId="2C3BF4B8" w14:textId="40D622E2" w:rsidR="00481750" w:rsidRDefault="00EF7C6F" w:rsidP="001C4597">
            <w:pPr>
              <w:pStyle w:val="Tabletext"/>
              <w:jc w:val="right"/>
            </w:pPr>
            <w:r>
              <w:t>–</w:t>
            </w:r>
          </w:p>
        </w:tc>
        <w:tc>
          <w:tcPr>
            <w:tcW w:w="1115" w:type="dxa"/>
            <w:vAlign w:val="center"/>
          </w:tcPr>
          <w:p w14:paraId="13280C6A" w14:textId="73A09B23" w:rsidR="00481750" w:rsidRDefault="00EF7C6F" w:rsidP="001C4597">
            <w:pPr>
              <w:pStyle w:val="Tabletext"/>
              <w:jc w:val="right"/>
            </w:pPr>
            <w:r>
              <w:t>–</w:t>
            </w:r>
          </w:p>
        </w:tc>
        <w:tc>
          <w:tcPr>
            <w:tcW w:w="1366" w:type="dxa"/>
            <w:vAlign w:val="center"/>
          </w:tcPr>
          <w:p w14:paraId="0271029F" w14:textId="7A564F3D" w:rsidR="00481750" w:rsidRDefault="00EF7C6F" w:rsidP="001C4597">
            <w:pPr>
              <w:pStyle w:val="Tabletext"/>
              <w:jc w:val="right"/>
            </w:pPr>
            <w:r>
              <w:t>–</w:t>
            </w:r>
          </w:p>
        </w:tc>
      </w:tr>
      <w:tr w:rsidR="001310B0" w14:paraId="2043DDAF" w14:textId="77777777" w:rsidTr="00111D12">
        <w:trPr>
          <w:trHeight w:hRule="exact" w:val="397"/>
        </w:trPr>
        <w:tc>
          <w:tcPr>
            <w:tcW w:w="1872" w:type="dxa"/>
          </w:tcPr>
          <w:p w14:paraId="3B3D6B77" w14:textId="77777777" w:rsidR="00481750" w:rsidRDefault="00481750" w:rsidP="001C4597">
            <w:pPr>
              <w:pStyle w:val="Tabletext"/>
            </w:pPr>
            <w:r>
              <w:t xml:space="preserve">With </w:t>
            </w:r>
            <w:proofErr w:type="spellStart"/>
            <w:r>
              <w:t>AposHealth</w:t>
            </w:r>
            <w:proofErr w:type="spellEnd"/>
          </w:p>
        </w:tc>
        <w:tc>
          <w:tcPr>
            <w:tcW w:w="1254" w:type="dxa"/>
            <w:vAlign w:val="center"/>
          </w:tcPr>
          <w:p w14:paraId="3E50798A" w14:textId="77777777" w:rsidR="00481750" w:rsidRDefault="00481750" w:rsidP="001C4597">
            <w:pPr>
              <w:pStyle w:val="Tabletext"/>
              <w:jc w:val="right"/>
            </w:pPr>
            <w:r>
              <w:t>9</w:t>
            </w:r>
          </w:p>
        </w:tc>
        <w:tc>
          <w:tcPr>
            <w:tcW w:w="1212" w:type="dxa"/>
            <w:vAlign w:val="center"/>
          </w:tcPr>
          <w:p w14:paraId="30537DA6" w14:textId="77777777" w:rsidR="00481750" w:rsidRDefault="00481750" w:rsidP="001C4597">
            <w:pPr>
              <w:pStyle w:val="Tabletext"/>
              <w:jc w:val="right"/>
            </w:pPr>
            <w:r>
              <w:t>9</w:t>
            </w:r>
          </w:p>
        </w:tc>
        <w:tc>
          <w:tcPr>
            <w:tcW w:w="1134" w:type="dxa"/>
            <w:vAlign w:val="center"/>
          </w:tcPr>
          <w:p w14:paraId="0E080CF8" w14:textId="77777777" w:rsidR="00481750" w:rsidRDefault="00481750" w:rsidP="001C4597">
            <w:pPr>
              <w:pStyle w:val="Tabletext"/>
              <w:jc w:val="right"/>
            </w:pPr>
            <w:r>
              <w:t>8</w:t>
            </w:r>
          </w:p>
        </w:tc>
        <w:tc>
          <w:tcPr>
            <w:tcW w:w="1177" w:type="dxa"/>
            <w:vAlign w:val="center"/>
          </w:tcPr>
          <w:p w14:paraId="65E63A64" w14:textId="77777777" w:rsidR="00481750" w:rsidRDefault="00481750" w:rsidP="001C4597">
            <w:pPr>
              <w:pStyle w:val="Tabletext"/>
              <w:jc w:val="right"/>
            </w:pPr>
            <w:r>
              <w:t>7</w:t>
            </w:r>
          </w:p>
        </w:tc>
        <w:tc>
          <w:tcPr>
            <w:tcW w:w="1115" w:type="dxa"/>
            <w:vAlign w:val="center"/>
          </w:tcPr>
          <w:p w14:paraId="4C5B064A" w14:textId="77777777" w:rsidR="00481750" w:rsidRDefault="00481750" w:rsidP="001C4597">
            <w:pPr>
              <w:pStyle w:val="Tabletext"/>
              <w:jc w:val="right"/>
            </w:pPr>
            <w:r>
              <w:t>7</w:t>
            </w:r>
          </w:p>
        </w:tc>
        <w:tc>
          <w:tcPr>
            <w:tcW w:w="1366" w:type="dxa"/>
            <w:vAlign w:val="center"/>
          </w:tcPr>
          <w:p w14:paraId="5B0D174D" w14:textId="77777777" w:rsidR="00481750" w:rsidRDefault="00481750" w:rsidP="001C4597">
            <w:pPr>
              <w:pStyle w:val="Tabletext"/>
              <w:jc w:val="right"/>
            </w:pPr>
            <w:r>
              <w:t>40</w:t>
            </w:r>
          </w:p>
        </w:tc>
      </w:tr>
      <w:tr w:rsidR="001310B0" w14:paraId="1D7730F3" w14:textId="77777777" w:rsidTr="00111D12">
        <w:trPr>
          <w:trHeight w:hRule="exact" w:val="619"/>
        </w:trPr>
        <w:tc>
          <w:tcPr>
            <w:tcW w:w="1872" w:type="dxa"/>
          </w:tcPr>
          <w:p w14:paraId="669C4DF3" w14:textId="77777777" w:rsidR="00481750" w:rsidRPr="009C0C50" w:rsidRDefault="00481750" w:rsidP="001C4597">
            <w:pPr>
              <w:pStyle w:val="Tabletext"/>
              <w:rPr>
                <w:b/>
                <w:bCs/>
              </w:rPr>
            </w:pPr>
            <w:r>
              <w:t>With standard care</w:t>
            </w:r>
          </w:p>
        </w:tc>
        <w:tc>
          <w:tcPr>
            <w:tcW w:w="1254" w:type="dxa"/>
            <w:vAlign w:val="center"/>
          </w:tcPr>
          <w:p w14:paraId="15675924" w14:textId="77777777" w:rsidR="00481750" w:rsidRPr="009C0C50" w:rsidRDefault="00481750" w:rsidP="001C4597">
            <w:pPr>
              <w:pStyle w:val="Tabletext"/>
              <w:jc w:val="right"/>
              <w:rPr>
                <w:b/>
                <w:bCs/>
              </w:rPr>
            </w:pPr>
            <w:r>
              <w:t>34</w:t>
            </w:r>
          </w:p>
        </w:tc>
        <w:tc>
          <w:tcPr>
            <w:tcW w:w="1212" w:type="dxa"/>
            <w:vAlign w:val="center"/>
          </w:tcPr>
          <w:p w14:paraId="38D38934" w14:textId="77777777" w:rsidR="00481750" w:rsidRPr="009C0C50" w:rsidRDefault="00481750" w:rsidP="001C4597">
            <w:pPr>
              <w:pStyle w:val="Tabletext"/>
              <w:jc w:val="right"/>
              <w:rPr>
                <w:b/>
                <w:bCs/>
              </w:rPr>
            </w:pPr>
            <w:r>
              <w:t>23</w:t>
            </w:r>
          </w:p>
        </w:tc>
        <w:tc>
          <w:tcPr>
            <w:tcW w:w="1134" w:type="dxa"/>
            <w:vAlign w:val="center"/>
          </w:tcPr>
          <w:p w14:paraId="2643628A" w14:textId="77777777" w:rsidR="00481750" w:rsidRPr="009C0C50" w:rsidRDefault="00481750" w:rsidP="001C4597">
            <w:pPr>
              <w:pStyle w:val="Tabletext"/>
              <w:jc w:val="right"/>
              <w:rPr>
                <w:b/>
                <w:bCs/>
              </w:rPr>
            </w:pPr>
            <w:r>
              <w:t>15</w:t>
            </w:r>
          </w:p>
        </w:tc>
        <w:tc>
          <w:tcPr>
            <w:tcW w:w="1177" w:type="dxa"/>
            <w:vAlign w:val="center"/>
          </w:tcPr>
          <w:p w14:paraId="02280906" w14:textId="77777777" w:rsidR="00481750" w:rsidRPr="009C0C50" w:rsidRDefault="00481750" w:rsidP="001C4597">
            <w:pPr>
              <w:pStyle w:val="Tabletext"/>
              <w:jc w:val="right"/>
              <w:rPr>
                <w:b/>
                <w:bCs/>
              </w:rPr>
            </w:pPr>
            <w:r>
              <w:t>10</w:t>
            </w:r>
          </w:p>
        </w:tc>
        <w:tc>
          <w:tcPr>
            <w:tcW w:w="1115" w:type="dxa"/>
            <w:vAlign w:val="center"/>
          </w:tcPr>
          <w:p w14:paraId="54EEEA32" w14:textId="77777777" w:rsidR="00481750" w:rsidRPr="009C0C50" w:rsidRDefault="00481750" w:rsidP="001C4597">
            <w:pPr>
              <w:pStyle w:val="Tabletext"/>
              <w:jc w:val="right"/>
              <w:rPr>
                <w:b/>
                <w:bCs/>
              </w:rPr>
            </w:pPr>
            <w:r>
              <w:t>7</w:t>
            </w:r>
          </w:p>
        </w:tc>
        <w:tc>
          <w:tcPr>
            <w:tcW w:w="1366" w:type="dxa"/>
            <w:vAlign w:val="center"/>
          </w:tcPr>
          <w:p w14:paraId="6C9B50C9" w14:textId="77777777" w:rsidR="00481750" w:rsidRDefault="00481750" w:rsidP="001C4597">
            <w:pPr>
              <w:pStyle w:val="Tabletext"/>
              <w:jc w:val="right"/>
            </w:pPr>
            <w:r>
              <w:t>89</w:t>
            </w:r>
          </w:p>
        </w:tc>
      </w:tr>
      <w:tr w:rsidR="001310B0" w:rsidRPr="001A26D3" w14:paraId="144145ED" w14:textId="77777777" w:rsidTr="00111D12">
        <w:trPr>
          <w:trHeight w:val="397"/>
        </w:trPr>
        <w:tc>
          <w:tcPr>
            <w:tcW w:w="1872" w:type="dxa"/>
          </w:tcPr>
          <w:p w14:paraId="009D8C8F" w14:textId="77777777" w:rsidR="00481750" w:rsidRPr="001A26D3" w:rsidRDefault="00481750" w:rsidP="001C4597">
            <w:pPr>
              <w:pStyle w:val="Tabletext"/>
              <w:rPr>
                <w:b/>
                <w:bCs/>
              </w:rPr>
            </w:pPr>
            <w:r w:rsidRPr="001A26D3">
              <w:rPr>
                <w:b/>
                <w:bCs/>
              </w:rPr>
              <w:t xml:space="preserve">Capacity saving per year </w:t>
            </w:r>
          </w:p>
        </w:tc>
        <w:tc>
          <w:tcPr>
            <w:tcW w:w="1254" w:type="dxa"/>
            <w:vAlign w:val="center"/>
          </w:tcPr>
          <w:p w14:paraId="3725F8DB" w14:textId="77777777" w:rsidR="00481750" w:rsidRPr="001A26D3" w:rsidRDefault="00481750" w:rsidP="001C4597">
            <w:pPr>
              <w:pStyle w:val="Tabletext"/>
              <w:jc w:val="right"/>
              <w:rPr>
                <w:b/>
                <w:bCs/>
              </w:rPr>
            </w:pPr>
            <w:r w:rsidRPr="001A26D3">
              <w:rPr>
                <w:b/>
                <w:bCs/>
              </w:rPr>
              <w:t>25</w:t>
            </w:r>
          </w:p>
        </w:tc>
        <w:tc>
          <w:tcPr>
            <w:tcW w:w="1212" w:type="dxa"/>
            <w:vAlign w:val="center"/>
          </w:tcPr>
          <w:p w14:paraId="46C8B829" w14:textId="77777777" w:rsidR="00481750" w:rsidRPr="001A26D3" w:rsidRDefault="00481750" w:rsidP="001C4597">
            <w:pPr>
              <w:pStyle w:val="Tabletext"/>
              <w:jc w:val="right"/>
              <w:rPr>
                <w:b/>
                <w:bCs/>
              </w:rPr>
            </w:pPr>
            <w:r w:rsidRPr="001A26D3">
              <w:rPr>
                <w:b/>
                <w:bCs/>
              </w:rPr>
              <w:t>1</w:t>
            </w:r>
            <w:r>
              <w:rPr>
                <w:b/>
                <w:bCs/>
              </w:rPr>
              <w:t>4</w:t>
            </w:r>
          </w:p>
        </w:tc>
        <w:tc>
          <w:tcPr>
            <w:tcW w:w="1134" w:type="dxa"/>
            <w:vAlign w:val="center"/>
          </w:tcPr>
          <w:p w14:paraId="1D4DD098" w14:textId="77777777" w:rsidR="00481750" w:rsidRPr="001A26D3" w:rsidRDefault="00481750" w:rsidP="001C4597">
            <w:pPr>
              <w:pStyle w:val="Tabletext"/>
              <w:jc w:val="right"/>
              <w:rPr>
                <w:b/>
                <w:bCs/>
              </w:rPr>
            </w:pPr>
            <w:r>
              <w:rPr>
                <w:b/>
                <w:bCs/>
              </w:rPr>
              <w:t>7</w:t>
            </w:r>
          </w:p>
        </w:tc>
        <w:tc>
          <w:tcPr>
            <w:tcW w:w="1177" w:type="dxa"/>
            <w:vAlign w:val="center"/>
          </w:tcPr>
          <w:p w14:paraId="4D480693" w14:textId="77777777" w:rsidR="00481750" w:rsidRPr="001A26D3" w:rsidRDefault="00481750" w:rsidP="001C4597">
            <w:pPr>
              <w:pStyle w:val="Tabletext"/>
              <w:jc w:val="right"/>
              <w:rPr>
                <w:b/>
                <w:bCs/>
              </w:rPr>
            </w:pPr>
            <w:r w:rsidRPr="001A26D3">
              <w:rPr>
                <w:b/>
                <w:bCs/>
              </w:rPr>
              <w:t>3</w:t>
            </w:r>
          </w:p>
        </w:tc>
        <w:tc>
          <w:tcPr>
            <w:tcW w:w="1115" w:type="dxa"/>
            <w:vAlign w:val="center"/>
          </w:tcPr>
          <w:p w14:paraId="5F310772" w14:textId="77777777" w:rsidR="00481750" w:rsidRPr="001A26D3" w:rsidRDefault="00481750" w:rsidP="001C4597">
            <w:pPr>
              <w:pStyle w:val="Tabletext"/>
              <w:jc w:val="right"/>
              <w:rPr>
                <w:b/>
                <w:bCs/>
              </w:rPr>
            </w:pPr>
            <w:r>
              <w:rPr>
                <w:b/>
                <w:bCs/>
              </w:rPr>
              <w:t>0</w:t>
            </w:r>
          </w:p>
        </w:tc>
        <w:tc>
          <w:tcPr>
            <w:tcW w:w="1366" w:type="dxa"/>
            <w:vAlign w:val="center"/>
          </w:tcPr>
          <w:p w14:paraId="76F79CA4" w14:textId="77777777" w:rsidR="00481750" w:rsidRPr="001A26D3" w:rsidRDefault="00481750" w:rsidP="001C4597">
            <w:pPr>
              <w:pStyle w:val="Tabletext"/>
              <w:jc w:val="right"/>
              <w:rPr>
                <w:b/>
                <w:bCs/>
              </w:rPr>
            </w:pPr>
            <w:r>
              <w:rPr>
                <w:b/>
                <w:bCs/>
              </w:rPr>
              <w:t>49</w:t>
            </w:r>
          </w:p>
        </w:tc>
      </w:tr>
      <w:tr w:rsidR="001310B0" w14:paraId="363DE98D" w14:textId="77777777" w:rsidTr="00111D12">
        <w:trPr>
          <w:trHeight w:hRule="exact" w:val="1132"/>
        </w:trPr>
        <w:tc>
          <w:tcPr>
            <w:tcW w:w="1872" w:type="dxa"/>
            <w:vAlign w:val="center"/>
          </w:tcPr>
          <w:p w14:paraId="272462CD" w14:textId="1C03AD5A" w:rsidR="00481750" w:rsidRPr="00A21831" w:rsidRDefault="00481750" w:rsidP="001C4597">
            <w:pPr>
              <w:pStyle w:val="Tabletext"/>
            </w:pPr>
            <w:r w:rsidRPr="00A21831">
              <w:t>Equivalent list saved</w:t>
            </w:r>
            <w:r>
              <w:t xml:space="preserve"> (per 4</w:t>
            </w:r>
            <w:r w:rsidR="00EF7C6F">
              <w:rPr>
                <w:vertAlign w:val="subscript"/>
              </w:rPr>
              <w:noBreakHyphen/>
            </w:r>
            <w:r>
              <w:t>hour theatre list</w:t>
            </w:r>
            <w:r w:rsidR="00EF7C6F">
              <w:t xml:space="preserve">; </w:t>
            </w:r>
            <w:r w:rsidRPr="00BC15D2">
              <w:rPr>
                <w:b/>
                <w:bCs/>
              </w:rPr>
              <w:t>a</w:t>
            </w:r>
            <w:r>
              <w:t>)</w:t>
            </w:r>
          </w:p>
        </w:tc>
        <w:tc>
          <w:tcPr>
            <w:tcW w:w="1254" w:type="dxa"/>
            <w:vAlign w:val="center"/>
          </w:tcPr>
          <w:p w14:paraId="39EF13D0" w14:textId="77777777" w:rsidR="00481750" w:rsidRPr="00A21831" w:rsidRDefault="00481750" w:rsidP="001C4597">
            <w:pPr>
              <w:pStyle w:val="Tabletext"/>
              <w:jc w:val="right"/>
            </w:pPr>
            <w:r w:rsidRPr="00A21831">
              <w:t>12</w:t>
            </w:r>
          </w:p>
        </w:tc>
        <w:tc>
          <w:tcPr>
            <w:tcW w:w="1212" w:type="dxa"/>
            <w:vAlign w:val="center"/>
          </w:tcPr>
          <w:p w14:paraId="23D7D507" w14:textId="77777777" w:rsidR="00481750" w:rsidRPr="00A21831" w:rsidRDefault="00481750" w:rsidP="001C4597">
            <w:pPr>
              <w:pStyle w:val="Tabletext"/>
              <w:jc w:val="right"/>
            </w:pPr>
            <w:r w:rsidRPr="00A21831">
              <w:t>7</w:t>
            </w:r>
          </w:p>
        </w:tc>
        <w:tc>
          <w:tcPr>
            <w:tcW w:w="1134" w:type="dxa"/>
            <w:vAlign w:val="center"/>
          </w:tcPr>
          <w:p w14:paraId="2A142571" w14:textId="77777777" w:rsidR="00481750" w:rsidRPr="00A21831" w:rsidRDefault="00481750" w:rsidP="001C4597">
            <w:pPr>
              <w:pStyle w:val="Tabletext"/>
              <w:jc w:val="right"/>
            </w:pPr>
            <w:r>
              <w:t>3.5</w:t>
            </w:r>
          </w:p>
        </w:tc>
        <w:tc>
          <w:tcPr>
            <w:tcW w:w="1177" w:type="dxa"/>
            <w:vAlign w:val="center"/>
          </w:tcPr>
          <w:p w14:paraId="61ED26DB" w14:textId="77777777" w:rsidR="00481750" w:rsidRPr="00A21831" w:rsidRDefault="00481750" w:rsidP="001C4597">
            <w:pPr>
              <w:pStyle w:val="Tabletext"/>
              <w:jc w:val="right"/>
            </w:pPr>
            <w:r w:rsidRPr="00A21831">
              <w:t>1.5</w:t>
            </w:r>
          </w:p>
        </w:tc>
        <w:tc>
          <w:tcPr>
            <w:tcW w:w="1115" w:type="dxa"/>
            <w:vAlign w:val="center"/>
          </w:tcPr>
          <w:p w14:paraId="61F89259" w14:textId="77777777" w:rsidR="00481750" w:rsidRPr="00A21831" w:rsidRDefault="00481750" w:rsidP="001C4597">
            <w:pPr>
              <w:pStyle w:val="Tabletext"/>
              <w:jc w:val="right"/>
            </w:pPr>
            <w:r>
              <w:t>0</w:t>
            </w:r>
          </w:p>
        </w:tc>
        <w:tc>
          <w:tcPr>
            <w:tcW w:w="1366" w:type="dxa"/>
            <w:vAlign w:val="center"/>
          </w:tcPr>
          <w:p w14:paraId="181344AA" w14:textId="77777777" w:rsidR="00481750" w:rsidRDefault="00481750" w:rsidP="001C4597">
            <w:pPr>
              <w:pStyle w:val="Tabletext"/>
              <w:jc w:val="right"/>
            </w:pPr>
            <w:r>
              <w:t>24</w:t>
            </w:r>
          </w:p>
        </w:tc>
      </w:tr>
      <w:tr w:rsidR="001310B0" w14:paraId="5BC53590" w14:textId="77777777" w:rsidTr="00111D12">
        <w:trPr>
          <w:trHeight w:hRule="exact" w:val="684"/>
        </w:trPr>
        <w:tc>
          <w:tcPr>
            <w:tcW w:w="1872" w:type="dxa"/>
            <w:vAlign w:val="center"/>
          </w:tcPr>
          <w:p w14:paraId="00359E1E" w14:textId="77777777" w:rsidR="00481750" w:rsidRPr="009C0C50" w:rsidRDefault="00481750" w:rsidP="001C4597">
            <w:pPr>
              <w:pStyle w:val="Tabletext"/>
              <w:rPr>
                <w:b/>
                <w:bCs/>
              </w:rPr>
            </w:pPr>
            <w:r>
              <w:rPr>
                <w:b/>
                <w:bCs/>
              </w:rPr>
              <w:t>Cost of knee surgery (b)</w:t>
            </w:r>
          </w:p>
        </w:tc>
        <w:tc>
          <w:tcPr>
            <w:tcW w:w="1254" w:type="dxa"/>
            <w:vAlign w:val="center"/>
          </w:tcPr>
          <w:p w14:paraId="23FF9AD9" w14:textId="78C8FB44" w:rsidR="00481750" w:rsidRPr="00111D12" w:rsidRDefault="00EF7C6F" w:rsidP="00111D12">
            <w:pPr>
              <w:pStyle w:val="Tabletext"/>
              <w:jc w:val="right"/>
            </w:pPr>
            <w:r w:rsidRPr="00111D12">
              <w:t>–</w:t>
            </w:r>
          </w:p>
        </w:tc>
        <w:tc>
          <w:tcPr>
            <w:tcW w:w="1212" w:type="dxa"/>
            <w:vAlign w:val="center"/>
          </w:tcPr>
          <w:p w14:paraId="1FE44848" w14:textId="635F3F0C" w:rsidR="00481750" w:rsidRPr="00111D12" w:rsidRDefault="00EF7C6F" w:rsidP="00111D12">
            <w:pPr>
              <w:pStyle w:val="Tabletext"/>
              <w:jc w:val="right"/>
            </w:pPr>
            <w:r w:rsidRPr="00111D12">
              <w:t>–</w:t>
            </w:r>
          </w:p>
        </w:tc>
        <w:tc>
          <w:tcPr>
            <w:tcW w:w="1134" w:type="dxa"/>
            <w:vAlign w:val="center"/>
          </w:tcPr>
          <w:p w14:paraId="13B5C508" w14:textId="3A38EEFE" w:rsidR="00481750" w:rsidRPr="00111D12" w:rsidRDefault="00EF7C6F" w:rsidP="00111D12">
            <w:pPr>
              <w:pStyle w:val="Tabletext"/>
              <w:jc w:val="right"/>
            </w:pPr>
            <w:r w:rsidRPr="00111D12">
              <w:t>–</w:t>
            </w:r>
          </w:p>
        </w:tc>
        <w:tc>
          <w:tcPr>
            <w:tcW w:w="1177" w:type="dxa"/>
            <w:vAlign w:val="center"/>
          </w:tcPr>
          <w:p w14:paraId="3F547356" w14:textId="1FA0F449" w:rsidR="00481750" w:rsidRPr="00111D12" w:rsidRDefault="00EF7C6F" w:rsidP="00111D12">
            <w:pPr>
              <w:pStyle w:val="Tabletext"/>
              <w:jc w:val="right"/>
            </w:pPr>
            <w:r w:rsidRPr="00111D12">
              <w:t>–</w:t>
            </w:r>
          </w:p>
        </w:tc>
        <w:tc>
          <w:tcPr>
            <w:tcW w:w="1115" w:type="dxa"/>
            <w:vAlign w:val="center"/>
          </w:tcPr>
          <w:p w14:paraId="25D98342" w14:textId="2956DBFF" w:rsidR="00481750" w:rsidRPr="00111D12" w:rsidRDefault="00EF7C6F" w:rsidP="00111D12">
            <w:pPr>
              <w:pStyle w:val="Tabletext"/>
              <w:jc w:val="right"/>
            </w:pPr>
            <w:r w:rsidRPr="00111D12">
              <w:t>–</w:t>
            </w:r>
          </w:p>
        </w:tc>
        <w:tc>
          <w:tcPr>
            <w:tcW w:w="1366" w:type="dxa"/>
            <w:vAlign w:val="center"/>
          </w:tcPr>
          <w:p w14:paraId="248D4CBA" w14:textId="27DAFC3E" w:rsidR="00481750" w:rsidRPr="00111D12" w:rsidRDefault="00EF7C6F" w:rsidP="00EF7C6F">
            <w:pPr>
              <w:pStyle w:val="Tabletext"/>
              <w:jc w:val="right"/>
            </w:pPr>
            <w:r w:rsidRPr="00111D12">
              <w:t>–</w:t>
            </w:r>
          </w:p>
        </w:tc>
      </w:tr>
      <w:tr w:rsidR="001310B0" w14:paraId="1B7D9363" w14:textId="77777777" w:rsidTr="00111D12">
        <w:trPr>
          <w:trHeight w:val="397"/>
        </w:trPr>
        <w:tc>
          <w:tcPr>
            <w:tcW w:w="1872" w:type="dxa"/>
            <w:vAlign w:val="center"/>
          </w:tcPr>
          <w:p w14:paraId="37A4C5C8" w14:textId="6AC955F6" w:rsidR="00481750" w:rsidRPr="001A26D3" w:rsidRDefault="00481750" w:rsidP="001C4597">
            <w:pPr>
              <w:pStyle w:val="Tabletext"/>
            </w:pPr>
            <w:r>
              <w:t>With</w:t>
            </w:r>
            <w:r w:rsidRPr="001A26D3">
              <w:t xml:space="preserve"> </w:t>
            </w:r>
            <w:proofErr w:type="spellStart"/>
            <w:r w:rsidRPr="001A26D3">
              <w:t>AposHealth</w:t>
            </w:r>
            <w:proofErr w:type="spellEnd"/>
            <w:r w:rsidR="00EF7C6F">
              <w:t>, £</w:t>
            </w:r>
          </w:p>
        </w:tc>
        <w:tc>
          <w:tcPr>
            <w:tcW w:w="1254" w:type="dxa"/>
            <w:vAlign w:val="center"/>
          </w:tcPr>
          <w:p w14:paraId="474455C9" w14:textId="2D417D25" w:rsidR="00481750" w:rsidRPr="001A26D3" w:rsidRDefault="00481750" w:rsidP="001C4597">
            <w:pPr>
              <w:pStyle w:val="Tabletext"/>
              <w:jc w:val="right"/>
            </w:pPr>
            <w:r>
              <w:t>9</w:t>
            </w:r>
            <w:r w:rsidR="00520CD0">
              <w:t>3</w:t>
            </w:r>
            <w:r>
              <w:t>,</w:t>
            </w:r>
            <w:r w:rsidR="0005001C">
              <w:t>150</w:t>
            </w:r>
          </w:p>
        </w:tc>
        <w:tc>
          <w:tcPr>
            <w:tcW w:w="1212" w:type="dxa"/>
            <w:vAlign w:val="center"/>
          </w:tcPr>
          <w:p w14:paraId="239BC87A" w14:textId="446ABB40" w:rsidR="00481750" w:rsidRPr="001A26D3" w:rsidRDefault="00481750" w:rsidP="001C4597">
            <w:pPr>
              <w:pStyle w:val="Tabletext"/>
              <w:jc w:val="right"/>
            </w:pPr>
            <w:r>
              <w:t>8</w:t>
            </w:r>
            <w:r w:rsidR="00BA4F19">
              <w:t>5</w:t>
            </w:r>
            <w:r>
              <w:t>,</w:t>
            </w:r>
            <w:r w:rsidR="00BA4F19">
              <w:t>050</w:t>
            </w:r>
          </w:p>
        </w:tc>
        <w:tc>
          <w:tcPr>
            <w:tcW w:w="1134" w:type="dxa"/>
            <w:vAlign w:val="center"/>
          </w:tcPr>
          <w:p w14:paraId="2A66BC99" w14:textId="4D9E52AD" w:rsidR="00481750" w:rsidRPr="001A26D3" w:rsidRDefault="004B09A8" w:rsidP="001C4597">
            <w:pPr>
              <w:pStyle w:val="Tabletext"/>
              <w:jc w:val="right"/>
            </w:pPr>
            <w:r>
              <w:t>77,6</w:t>
            </w:r>
            <w:r w:rsidR="00D77807">
              <w:t>6</w:t>
            </w:r>
            <w:r w:rsidR="00CF4A41">
              <w:t>0</w:t>
            </w:r>
          </w:p>
        </w:tc>
        <w:tc>
          <w:tcPr>
            <w:tcW w:w="1177" w:type="dxa"/>
            <w:vAlign w:val="center"/>
          </w:tcPr>
          <w:p w14:paraId="425E0FF9" w14:textId="4DD69B2D" w:rsidR="00481750" w:rsidRPr="001A26D3" w:rsidRDefault="00481750" w:rsidP="001C4597">
            <w:pPr>
              <w:pStyle w:val="Tabletext"/>
              <w:jc w:val="right"/>
            </w:pPr>
            <w:r>
              <w:t>7</w:t>
            </w:r>
            <w:r w:rsidR="00246C09">
              <w:t>0</w:t>
            </w:r>
            <w:r>
              <w:t>,</w:t>
            </w:r>
            <w:r w:rsidR="00DA013A">
              <w:t>920</w:t>
            </w:r>
          </w:p>
        </w:tc>
        <w:tc>
          <w:tcPr>
            <w:tcW w:w="1115" w:type="dxa"/>
            <w:vAlign w:val="center"/>
          </w:tcPr>
          <w:p w14:paraId="2D97ADDB" w14:textId="3D0BEF81" w:rsidR="00481750" w:rsidRPr="001A26D3" w:rsidRDefault="00F13CE1" w:rsidP="001C4597">
            <w:pPr>
              <w:pStyle w:val="Tabletext"/>
              <w:jc w:val="right"/>
            </w:pPr>
            <w:r>
              <w:t>64,760</w:t>
            </w:r>
          </w:p>
        </w:tc>
        <w:tc>
          <w:tcPr>
            <w:tcW w:w="1366" w:type="dxa"/>
            <w:vAlign w:val="center"/>
          </w:tcPr>
          <w:p w14:paraId="2EF581B4" w14:textId="0DEFFFC2" w:rsidR="00481750" w:rsidRPr="001A26D3" w:rsidRDefault="00141F70" w:rsidP="001C4597">
            <w:pPr>
              <w:pStyle w:val="Tabletext"/>
              <w:jc w:val="right"/>
            </w:pPr>
            <w:r>
              <w:t>391,540</w:t>
            </w:r>
          </w:p>
        </w:tc>
      </w:tr>
      <w:tr w:rsidR="001310B0" w14:paraId="7F1CD78F" w14:textId="77777777" w:rsidTr="00111D12">
        <w:trPr>
          <w:trHeight w:val="397"/>
        </w:trPr>
        <w:tc>
          <w:tcPr>
            <w:tcW w:w="1872" w:type="dxa"/>
            <w:vAlign w:val="center"/>
          </w:tcPr>
          <w:p w14:paraId="3B8BEAE6" w14:textId="6925FB30" w:rsidR="00481750" w:rsidRPr="001A26D3" w:rsidRDefault="00481750" w:rsidP="001C4597">
            <w:pPr>
              <w:pStyle w:val="Tabletext"/>
            </w:pPr>
            <w:r>
              <w:t>With s</w:t>
            </w:r>
            <w:r w:rsidRPr="001A26D3">
              <w:t>tandard care</w:t>
            </w:r>
            <w:r w:rsidR="00EF7C6F">
              <w:t>, £</w:t>
            </w:r>
          </w:p>
        </w:tc>
        <w:tc>
          <w:tcPr>
            <w:tcW w:w="1254" w:type="dxa"/>
            <w:vAlign w:val="center"/>
          </w:tcPr>
          <w:p w14:paraId="01BF3A4C" w14:textId="561F3F0E" w:rsidR="00481750" w:rsidRPr="001A26D3" w:rsidRDefault="00481750" w:rsidP="001C4597">
            <w:pPr>
              <w:pStyle w:val="Tabletext"/>
              <w:jc w:val="right"/>
            </w:pPr>
            <w:r>
              <w:t>3</w:t>
            </w:r>
            <w:r w:rsidR="00942987">
              <w:t>36</w:t>
            </w:r>
            <w:r>
              <w:t>,</w:t>
            </w:r>
            <w:r w:rsidR="00942987">
              <w:t>050</w:t>
            </w:r>
          </w:p>
        </w:tc>
        <w:tc>
          <w:tcPr>
            <w:tcW w:w="1212" w:type="dxa"/>
            <w:vAlign w:val="center"/>
          </w:tcPr>
          <w:p w14:paraId="202C26B1" w14:textId="07C2ED15" w:rsidR="00481750" w:rsidRPr="001A26D3" w:rsidRDefault="00481750" w:rsidP="001C4597">
            <w:pPr>
              <w:pStyle w:val="Tabletext"/>
              <w:jc w:val="right"/>
            </w:pPr>
            <w:r>
              <w:t>2</w:t>
            </w:r>
            <w:r w:rsidR="00BE7271">
              <w:t>25,150</w:t>
            </w:r>
          </w:p>
        </w:tc>
        <w:tc>
          <w:tcPr>
            <w:tcW w:w="1134" w:type="dxa"/>
            <w:vAlign w:val="center"/>
          </w:tcPr>
          <w:p w14:paraId="58D506CE" w14:textId="5C0DEECE" w:rsidR="00481750" w:rsidRPr="001A26D3" w:rsidRDefault="00ED29E2" w:rsidP="001C4597">
            <w:pPr>
              <w:pStyle w:val="Tabletext"/>
              <w:jc w:val="right"/>
            </w:pPr>
            <w:r>
              <w:t>150,850</w:t>
            </w:r>
          </w:p>
        </w:tc>
        <w:tc>
          <w:tcPr>
            <w:tcW w:w="1177" w:type="dxa"/>
            <w:vAlign w:val="center"/>
          </w:tcPr>
          <w:p w14:paraId="7F72E7A5" w14:textId="1D8F4D2C" w:rsidR="00481750" w:rsidRPr="001A26D3" w:rsidRDefault="00481750" w:rsidP="001C4597">
            <w:pPr>
              <w:pStyle w:val="Tabletext"/>
              <w:jc w:val="right"/>
            </w:pPr>
            <w:r>
              <w:t>1</w:t>
            </w:r>
            <w:r w:rsidR="00BC6C31">
              <w:t>01,070</w:t>
            </w:r>
          </w:p>
        </w:tc>
        <w:tc>
          <w:tcPr>
            <w:tcW w:w="1115" w:type="dxa"/>
            <w:vAlign w:val="center"/>
          </w:tcPr>
          <w:p w14:paraId="762DAAD6" w14:textId="1D905FE3" w:rsidR="00481750" w:rsidRPr="001A26D3" w:rsidRDefault="00056B40" w:rsidP="001C4597">
            <w:pPr>
              <w:pStyle w:val="Tabletext"/>
              <w:jc w:val="right"/>
            </w:pPr>
            <w:r>
              <w:t>67,720</w:t>
            </w:r>
          </w:p>
        </w:tc>
        <w:tc>
          <w:tcPr>
            <w:tcW w:w="1366" w:type="dxa"/>
            <w:vAlign w:val="center"/>
          </w:tcPr>
          <w:p w14:paraId="50FFC45C" w14:textId="46BB4535" w:rsidR="00481750" w:rsidRPr="001A26D3" w:rsidRDefault="0076263C" w:rsidP="001C4597">
            <w:pPr>
              <w:pStyle w:val="Tabletext"/>
              <w:jc w:val="right"/>
            </w:pPr>
            <w:r>
              <w:t>880,840</w:t>
            </w:r>
          </w:p>
        </w:tc>
      </w:tr>
      <w:tr w:rsidR="001310B0" w14:paraId="03031545" w14:textId="77777777" w:rsidTr="00111D12">
        <w:trPr>
          <w:trHeight w:hRule="exact" w:val="592"/>
        </w:trPr>
        <w:tc>
          <w:tcPr>
            <w:tcW w:w="1872" w:type="dxa"/>
          </w:tcPr>
          <w:p w14:paraId="1086767F" w14:textId="2DD764AE" w:rsidR="00481750" w:rsidRPr="009C0C50" w:rsidRDefault="00481750" w:rsidP="001C4597">
            <w:pPr>
              <w:pStyle w:val="Tabletext"/>
              <w:rPr>
                <w:b/>
                <w:bCs/>
              </w:rPr>
            </w:pPr>
            <w:r>
              <w:rPr>
                <w:b/>
                <w:bCs/>
              </w:rPr>
              <w:t>Savings per year</w:t>
            </w:r>
            <w:r w:rsidR="00EF7C6F">
              <w:rPr>
                <w:b/>
                <w:bCs/>
              </w:rPr>
              <w:t>, £</w:t>
            </w:r>
          </w:p>
        </w:tc>
        <w:tc>
          <w:tcPr>
            <w:tcW w:w="1254" w:type="dxa"/>
            <w:vAlign w:val="center"/>
          </w:tcPr>
          <w:p w14:paraId="117CAF32" w14:textId="2E99A601" w:rsidR="00481750" w:rsidRPr="009C0C50" w:rsidRDefault="00481750" w:rsidP="001C4597">
            <w:pPr>
              <w:pStyle w:val="Tabletext"/>
              <w:jc w:val="right"/>
              <w:rPr>
                <w:b/>
                <w:bCs/>
              </w:rPr>
            </w:pPr>
            <w:r>
              <w:rPr>
                <w:b/>
                <w:bCs/>
              </w:rPr>
              <w:t>24</w:t>
            </w:r>
            <w:r w:rsidR="004330F9">
              <w:rPr>
                <w:b/>
                <w:bCs/>
              </w:rPr>
              <w:t>2</w:t>
            </w:r>
            <w:r>
              <w:rPr>
                <w:b/>
                <w:bCs/>
              </w:rPr>
              <w:t>,</w:t>
            </w:r>
            <w:r w:rsidR="004330F9">
              <w:rPr>
                <w:b/>
                <w:bCs/>
              </w:rPr>
              <w:t>900</w:t>
            </w:r>
          </w:p>
        </w:tc>
        <w:tc>
          <w:tcPr>
            <w:tcW w:w="1212" w:type="dxa"/>
            <w:vAlign w:val="center"/>
          </w:tcPr>
          <w:p w14:paraId="7759C875" w14:textId="5782504D" w:rsidR="00481750" w:rsidRPr="009C0C50" w:rsidRDefault="00961A8F" w:rsidP="001C4597">
            <w:pPr>
              <w:pStyle w:val="Tabletext"/>
              <w:jc w:val="right"/>
              <w:rPr>
                <w:b/>
                <w:bCs/>
              </w:rPr>
            </w:pPr>
            <w:r>
              <w:rPr>
                <w:b/>
                <w:bCs/>
              </w:rPr>
              <w:t>140,100</w:t>
            </w:r>
          </w:p>
        </w:tc>
        <w:tc>
          <w:tcPr>
            <w:tcW w:w="1134" w:type="dxa"/>
            <w:vAlign w:val="center"/>
          </w:tcPr>
          <w:p w14:paraId="4A6C32A7" w14:textId="3D4F6EF1" w:rsidR="00481750" w:rsidRPr="009C0C50" w:rsidRDefault="00BD3BC6" w:rsidP="001C4597">
            <w:pPr>
              <w:pStyle w:val="Tabletext"/>
              <w:jc w:val="right"/>
              <w:rPr>
                <w:b/>
                <w:bCs/>
              </w:rPr>
            </w:pPr>
            <w:r>
              <w:rPr>
                <w:b/>
                <w:bCs/>
              </w:rPr>
              <w:t>73,1</w:t>
            </w:r>
            <w:r w:rsidR="00D77807">
              <w:rPr>
                <w:b/>
                <w:bCs/>
              </w:rPr>
              <w:t>9</w:t>
            </w:r>
            <w:r>
              <w:rPr>
                <w:b/>
                <w:bCs/>
              </w:rPr>
              <w:t>0</w:t>
            </w:r>
          </w:p>
        </w:tc>
        <w:tc>
          <w:tcPr>
            <w:tcW w:w="1177" w:type="dxa"/>
            <w:vAlign w:val="center"/>
          </w:tcPr>
          <w:p w14:paraId="33E01E24" w14:textId="2B5FECA4" w:rsidR="00481750" w:rsidRPr="009C0C50" w:rsidRDefault="007C7E17" w:rsidP="001C4597">
            <w:pPr>
              <w:pStyle w:val="Tabletext"/>
              <w:jc w:val="right"/>
              <w:rPr>
                <w:b/>
                <w:bCs/>
              </w:rPr>
            </w:pPr>
            <w:r>
              <w:rPr>
                <w:b/>
                <w:bCs/>
              </w:rPr>
              <w:t>30,150</w:t>
            </w:r>
          </w:p>
        </w:tc>
        <w:tc>
          <w:tcPr>
            <w:tcW w:w="1115" w:type="dxa"/>
            <w:vAlign w:val="center"/>
          </w:tcPr>
          <w:p w14:paraId="37F10D04" w14:textId="1A06284C" w:rsidR="00481750" w:rsidRPr="009C0C50" w:rsidRDefault="007D7F27" w:rsidP="001C4597">
            <w:pPr>
              <w:pStyle w:val="Tabletext"/>
              <w:jc w:val="right"/>
              <w:rPr>
                <w:b/>
                <w:bCs/>
              </w:rPr>
            </w:pPr>
            <w:r>
              <w:rPr>
                <w:b/>
                <w:bCs/>
              </w:rPr>
              <w:t>2,960</w:t>
            </w:r>
          </w:p>
        </w:tc>
        <w:tc>
          <w:tcPr>
            <w:tcW w:w="1366" w:type="dxa"/>
            <w:vAlign w:val="center"/>
          </w:tcPr>
          <w:p w14:paraId="358D264D" w14:textId="7944A17B" w:rsidR="00481750" w:rsidRDefault="0066327D" w:rsidP="001C4597">
            <w:pPr>
              <w:pStyle w:val="Tabletext"/>
              <w:jc w:val="right"/>
              <w:rPr>
                <w:b/>
                <w:bCs/>
              </w:rPr>
            </w:pPr>
            <w:r>
              <w:rPr>
                <w:b/>
                <w:bCs/>
              </w:rPr>
              <w:t>489,300</w:t>
            </w:r>
          </w:p>
        </w:tc>
      </w:tr>
      <w:tr w:rsidR="00F17DBF" w14:paraId="16C4D3B2" w14:textId="77777777" w:rsidTr="00111D12">
        <w:trPr>
          <w:trHeight w:hRule="exact" w:val="592"/>
        </w:trPr>
        <w:tc>
          <w:tcPr>
            <w:tcW w:w="1872" w:type="dxa"/>
          </w:tcPr>
          <w:p w14:paraId="28539B82" w14:textId="77777777" w:rsidR="00F17DBF" w:rsidRDefault="00F17DBF" w:rsidP="00F17DBF">
            <w:pPr>
              <w:pStyle w:val="Tabletext"/>
              <w:rPr>
                <w:b/>
                <w:bCs/>
              </w:rPr>
            </w:pPr>
            <w:r>
              <w:rPr>
                <w:b/>
                <w:bCs/>
              </w:rPr>
              <w:t>Cost of standard care</w:t>
            </w:r>
          </w:p>
        </w:tc>
        <w:tc>
          <w:tcPr>
            <w:tcW w:w="1254" w:type="dxa"/>
            <w:vAlign w:val="center"/>
          </w:tcPr>
          <w:p w14:paraId="2A81A0D9" w14:textId="694896ED" w:rsidR="00F17DBF" w:rsidRDefault="00F17DBF" w:rsidP="00F17DBF">
            <w:pPr>
              <w:pStyle w:val="Tabletext"/>
              <w:jc w:val="right"/>
              <w:rPr>
                <w:b/>
                <w:bCs/>
              </w:rPr>
            </w:pPr>
            <w:r w:rsidRPr="006F4521">
              <w:t>–</w:t>
            </w:r>
          </w:p>
        </w:tc>
        <w:tc>
          <w:tcPr>
            <w:tcW w:w="1212" w:type="dxa"/>
            <w:vAlign w:val="center"/>
          </w:tcPr>
          <w:p w14:paraId="4A046E69" w14:textId="20D2F856" w:rsidR="00F17DBF" w:rsidRDefault="00F17DBF" w:rsidP="00F17DBF">
            <w:pPr>
              <w:pStyle w:val="Tabletext"/>
              <w:jc w:val="right"/>
              <w:rPr>
                <w:b/>
                <w:bCs/>
              </w:rPr>
            </w:pPr>
            <w:r w:rsidRPr="006F4521">
              <w:t>–</w:t>
            </w:r>
          </w:p>
        </w:tc>
        <w:tc>
          <w:tcPr>
            <w:tcW w:w="1134" w:type="dxa"/>
            <w:vAlign w:val="center"/>
          </w:tcPr>
          <w:p w14:paraId="270C9A39" w14:textId="588DC6D8" w:rsidR="00F17DBF" w:rsidRDefault="00F17DBF" w:rsidP="00F17DBF">
            <w:pPr>
              <w:pStyle w:val="Tabletext"/>
              <w:jc w:val="right"/>
              <w:rPr>
                <w:b/>
                <w:bCs/>
              </w:rPr>
            </w:pPr>
            <w:r w:rsidRPr="006F4521">
              <w:t>–</w:t>
            </w:r>
          </w:p>
        </w:tc>
        <w:tc>
          <w:tcPr>
            <w:tcW w:w="1177" w:type="dxa"/>
            <w:vAlign w:val="center"/>
          </w:tcPr>
          <w:p w14:paraId="29853BA6" w14:textId="521230DF" w:rsidR="00F17DBF" w:rsidRDefault="00F17DBF" w:rsidP="00F17DBF">
            <w:pPr>
              <w:pStyle w:val="Tabletext"/>
              <w:jc w:val="right"/>
              <w:rPr>
                <w:b/>
                <w:bCs/>
              </w:rPr>
            </w:pPr>
            <w:r w:rsidRPr="006F4521">
              <w:t>–</w:t>
            </w:r>
          </w:p>
        </w:tc>
        <w:tc>
          <w:tcPr>
            <w:tcW w:w="1115" w:type="dxa"/>
            <w:vAlign w:val="center"/>
          </w:tcPr>
          <w:p w14:paraId="774E18F5" w14:textId="1EE9C423" w:rsidR="00F17DBF" w:rsidRDefault="00F17DBF" w:rsidP="00F17DBF">
            <w:pPr>
              <w:pStyle w:val="Tabletext"/>
              <w:jc w:val="right"/>
              <w:rPr>
                <w:b/>
                <w:bCs/>
              </w:rPr>
            </w:pPr>
            <w:r w:rsidRPr="006F4521">
              <w:t>–</w:t>
            </w:r>
          </w:p>
        </w:tc>
        <w:tc>
          <w:tcPr>
            <w:tcW w:w="1366" w:type="dxa"/>
            <w:vAlign w:val="center"/>
          </w:tcPr>
          <w:p w14:paraId="0A205E0D" w14:textId="0916467D" w:rsidR="00F17DBF" w:rsidRDefault="00F17DBF" w:rsidP="00F17DBF">
            <w:pPr>
              <w:pStyle w:val="Tabletext"/>
              <w:jc w:val="right"/>
              <w:rPr>
                <w:b/>
                <w:bCs/>
              </w:rPr>
            </w:pPr>
            <w:r w:rsidRPr="006F4521">
              <w:t>–</w:t>
            </w:r>
          </w:p>
        </w:tc>
      </w:tr>
      <w:tr w:rsidR="00F17DBF" w14:paraId="7B21DC26" w14:textId="77777777" w:rsidTr="00111D12">
        <w:trPr>
          <w:trHeight w:hRule="exact" w:val="592"/>
        </w:trPr>
        <w:tc>
          <w:tcPr>
            <w:tcW w:w="1872" w:type="dxa"/>
          </w:tcPr>
          <w:p w14:paraId="17FA0545" w14:textId="1AEA52D3" w:rsidR="00F17DBF" w:rsidRPr="005921CD" w:rsidRDefault="00F17DBF" w:rsidP="00F17DBF">
            <w:pPr>
              <w:pStyle w:val="Tabletext"/>
            </w:pPr>
            <w:r w:rsidRPr="005921CD">
              <w:t xml:space="preserve">With </w:t>
            </w:r>
            <w:proofErr w:type="spellStart"/>
            <w:r w:rsidRPr="005921CD">
              <w:t>AposHealth</w:t>
            </w:r>
            <w:proofErr w:type="spellEnd"/>
            <w:r>
              <w:t>, £</w:t>
            </w:r>
          </w:p>
        </w:tc>
        <w:tc>
          <w:tcPr>
            <w:tcW w:w="1254" w:type="dxa"/>
            <w:vAlign w:val="center"/>
          </w:tcPr>
          <w:p w14:paraId="6DA8E4FB" w14:textId="7D6B278F" w:rsidR="00F17DBF" w:rsidRPr="005921CD" w:rsidRDefault="00F17DBF" w:rsidP="00F17DBF">
            <w:pPr>
              <w:pStyle w:val="Tabletext"/>
              <w:jc w:val="right"/>
            </w:pPr>
            <w:r>
              <w:t>1,710</w:t>
            </w:r>
          </w:p>
        </w:tc>
        <w:tc>
          <w:tcPr>
            <w:tcW w:w="1212" w:type="dxa"/>
            <w:vAlign w:val="center"/>
          </w:tcPr>
          <w:p w14:paraId="036564E0" w14:textId="12D99B1A" w:rsidR="00F17DBF" w:rsidRPr="005921CD" w:rsidRDefault="00F17DBF" w:rsidP="00F17DBF">
            <w:pPr>
              <w:pStyle w:val="Tabletext"/>
              <w:jc w:val="right"/>
            </w:pPr>
            <w:r>
              <w:t>1,560</w:t>
            </w:r>
          </w:p>
        </w:tc>
        <w:tc>
          <w:tcPr>
            <w:tcW w:w="1134" w:type="dxa"/>
            <w:vAlign w:val="center"/>
          </w:tcPr>
          <w:p w14:paraId="63DBAA3B" w14:textId="411FFB8D" w:rsidR="00F17DBF" w:rsidRPr="005921CD" w:rsidRDefault="00F17DBF" w:rsidP="00F17DBF">
            <w:pPr>
              <w:pStyle w:val="Tabletext"/>
              <w:jc w:val="right"/>
            </w:pPr>
            <w:r>
              <w:t>1,420</w:t>
            </w:r>
          </w:p>
        </w:tc>
        <w:tc>
          <w:tcPr>
            <w:tcW w:w="1177" w:type="dxa"/>
            <w:vAlign w:val="center"/>
          </w:tcPr>
          <w:p w14:paraId="7D1E96DC" w14:textId="03023887" w:rsidR="00F17DBF" w:rsidRPr="005921CD" w:rsidRDefault="00F17DBF" w:rsidP="00F17DBF">
            <w:pPr>
              <w:pStyle w:val="Tabletext"/>
              <w:jc w:val="right"/>
            </w:pPr>
            <w:r>
              <w:t>1,300</w:t>
            </w:r>
          </w:p>
        </w:tc>
        <w:tc>
          <w:tcPr>
            <w:tcW w:w="1115" w:type="dxa"/>
            <w:vAlign w:val="center"/>
          </w:tcPr>
          <w:p w14:paraId="198E78AD" w14:textId="073F4087" w:rsidR="00F17DBF" w:rsidRPr="005921CD" w:rsidRDefault="00F17DBF" w:rsidP="00F17DBF">
            <w:pPr>
              <w:pStyle w:val="Tabletext"/>
              <w:jc w:val="right"/>
            </w:pPr>
            <w:r>
              <w:t>1,190</w:t>
            </w:r>
          </w:p>
        </w:tc>
        <w:tc>
          <w:tcPr>
            <w:tcW w:w="1366" w:type="dxa"/>
            <w:vAlign w:val="center"/>
          </w:tcPr>
          <w:p w14:paraId="09B836FA" w14:textId="209B3857" w:rsidR="00F17DBF" w:rsidRPr="005921CD" w:rsidRDefault="00F17DBF" w:rsidP="00F17DBF">
            <w:pPr>
              <w:pStyle w:val="Tabletext"/>
              <w:jc w:val="right"/>
            </w:pPr>
            <w:r>
              <w:t>7,180</w:t>
            </w:r>
          </w:p>
        </w:tc>
      </w:tr>
      <w:tr w:rsidR="00F17DBF" w14:paraId="68F47CCC" w14:textId="77777777" w:rsidTr="00111D12">
        <w:trPr>
          <w:trHeight w:hRule="exact" w:val="592"/>
        </w:trPr>
        <w:tc>
          <w:tcPr>
            <w:tcW w:w="1872" w:type="dxa"/>
          </w:tcPr>
          <w:p w14:paraId="5D079B02" w14:textId="42C006CD" w:rsidR="00F17DBF" w:rsidRPr="005921CD" w:rsidRDefault="00F17DBF" w:rsidP="00F17DBF">
            <w:pPr>
              <w:pStyle w:val="Tabletext"/>
            </w:pPr>
            <w:r w:rsidRPr="005921CD">
              <w:t>With standard care</w:t>
            </w:r>
            <w:r>
              <w:t>, £</w:t>
            </w:r>
          </w:p>
        </w:tc>
        <w:tc>
          <w:tcPr>
            <w:tcW w:w="1254" w:type="dxa"/>
            <w:vAlign w:val="center"/>
          </w:tcPr>
          <w:p w14:paraId="07D289A6" w14:textId="500FE303" w:rsidR="00F17DBF" w:rsidRPr="005921CD" w:rsidRDefault="00F17DBF" w:rsidP="00F17DBF">
            <w:pPr>
              <w:pStyle w:val="Tabletext"/>
              <w:jc w:val="right"/>
            </w:pPr>
            <w:r>
              <w:t>6,160</w:t>
            </w:r>
          </w:p>
        </w:tc>
        <w:tc>
          <w:tcPr>
            <w:tcW w:w="1212" w:type="dxa"/>
            <w:vAlign w:val="center"/>
          </w:tcPr>
          <w:p w14:paraId="32F76AB0" w14:textId="03F13CD9" w:rsidR="00F17DBF" w:rsidRPr="005921CD" w:rsidRDefault="00F17DBF" w:rsidP="00F17DBF">
            <w:pPr>
              <w:pStyle w:val="Tabletext"/>
              <w:jc w:val="right"/>
            </w:pPr>
            <w:r>
              <w:t>4,130</w:t>
            </w:r>
          </w:p>
        </w:tc>
        <w:tc>
          <w:tcPr>
            <w:tcW w:w="1134" w:type="dxa"/>
            <w:vAlign w:val="center"/>
          </w:tcPr>
          <w:p w14:paraId="58C4C36B" w14:textId="0C84D936" w:rsidR="00F17DBF" w:rsidRPr="005921CD" w:rsidRDefault="00F17DBF" w:rsidP="00F17DBF">
            <w:pPr>
              <w:pStyle w:val="Tabletext"/>
              <w:jc w:val="right"/>
            </w:pPr>
            <w:r>
              <w:t>2,770</w:t>
            </w:r>
          </w:p>
        </w:tc>
        <w:tc>
          <w:tcPr>
            <w:tcW w:w="1177" w:type="dxa"/>
            <w:vAlign w:val="center"/>
          </w:tcPr>
          <w:p w14:paraId="0F89C5C7" w14:textId="5F8DAE67" w:rsidR="00F17DBF" w:rsidRPr="005921CD" w:rsidRDefault="00F17DBF" w:rsidP="00F17DBF">
            <w:pPr>
              <w:pStyle w:val="Tabletext"/>
              <w:jc w:val="right"/>
            </w:pPr>
            <w:r>
              <w:t>1,850</w:t>
            </w:r>
          </w:p>
        </w:tc>
        <w:tc>
          <w:tcPr>
            <w:tcW w:w="1115" w:type="dxa"/>
            <w:vAlign w:val="center"/>
          </w:tcPr>
          <w:p w14:paraId="337517F8" w14:textId="596891B0" w:rsidR="00F17DBF" w:rsidRPr="005921CD" w:rsidRDefault="00F17DBF" w:rsidP="00F17DBF">
            <w:pPr>
              <w:pStyle w:val="Tabletext"/>
              <w:jc w:val="right"/>
            </w:pPr>
            <w:r>
              <w:t>1,240</w:t>
            </w:r>
          </w:p>
        </w:tc>
        <w:tc>
          <w:tcPr>
            <w:tcW w:w="1366" w:type="dxa"/>
            <w:vAlign w:val="center"/>
          </w:tcPr>
          <w:p w14:paraId="2E25532C" w14:textId="1BA9F8D6" w:rsidR="00F17DBF" w:rsidRPr="005921CD" w:rsidRDefault="00F17DBF" w:rsidP="00F17DBF">
            <w:pPr>
              <w:pStyle w:val="Tabletext"/>
              <w:jc w:val="right"/>
            </w:pPr>
            <w:r>
              <w:t>16,150</w:t>
            </w:r>
          </w:p>
        </w:tc>
      </w:tr>
      <w:tr w:rsidR="00F17DBF" w14:paraId="25E52D2C" w14:textId="77777777" w:rsidTr="00111D12">
        <w:trPr>
          <w:trHeight w:hRule="exact" w:val="592"/>
        </w:trPr>
        <w:tc>
          <w:tcPr>
            <w:tcW w:w="1872" w:type="dxa"/>
          </w:tcPr>
          <w:p w14:paraId="066498B2" w14:textId="06A7BE8A" w:rsidR="00F17DBF" w:rsidRDefault="00F17DBF" w:rsidP="00F17DBF">
            <w:pPr>
              <w:pStyle w:val="Tabletext"/>
              <w:rPr>
                <w:b/>
                <w:bCs/>
              </w:rPr>
            </w:pPr>
            <w:r>
              <w:rPr>
                <w:b/>
                <w:bCs/>
              </w:rPr>
              <w:t>Savings per year, £</w:t>
            </w:r>
          </w:p>
        </w:tc>
        <w:tc>
          <w:tcPr>
            <w:tcW w:w="1254" w:type="dxa"/>
            <w:vAlign w:val="center"/>
          </w:tcPr>
          <w:p w14:paraId="5C429E6F" w14:textId="33AE8817" w:rsidR="00F17DBF" w:rsidRDefault="00F17DBF" w:rsidP="00F17DBF">
            <w:pPr>
              <w:pStyle w:val="Tabletext"/>
              <w:jc w:val="right"/>
              <w:rPr>
                <w:b/>
                <w:bCs/>
              </w:rPr>
            </w:pPr>
            <w:r>
              <w:rPr>
                <w:b/>
                <w:bCs/>
              </w:rPr>
              <w:t>4,450</w:t>
            </w:r>
          </w:p>
        </w:tc>
        <w:tc>
          <w:tcPr>
            <w:tcW w:w="1212" w:type="dxa"/>
            <w:vAlign w:val="center"/>
          </w:tcPr>
          <w:p w14:paraId="02C4E3E4" w14:textId="49A7BBB0" w:rsidR="00F17DBF" w:rsidRDefault="00F17DBF" w:rsidP="00F17DBF">
            <w:pPr>
              <w:pStyle w:val="Tabletext"/>
              <w:jc w:val="right"/>
              <w:rPr>
                <w:b/>
                <w:bCs/>
              </w:rPr>
            </w:pPr>
            <w:r>
              <w:rPr>
                <w:b/>
                <w:bCs/>
              </w:rPr>
              <w:t>2.570</w:t>
            </w:r>
          </w:p>
        </w:tc>
        <w:tc>
          <w:tcPr>
            <w:tcW w:w="1134" w:type="dxa"/>
            <w:vAlign w:val="center"/>
          </w:tcPr>
          <w:p w14:paraId="566753F4" w14:textId="42D826E7" w:rsidR="00F17DBF" w:rsidRDefault="00F17DBF" w:rsidP="00F17DBF">
            <w:pPr>
              <w:pStyle w:val="Tabletext"/>
              <w:jc w:val="right"/>
              <w:rPr>
                <w:b/>
                <w:bCs/>
              </w:rPr>
            </w:pPr>
            <w:r>
              <w:rPr>
                <w:b/>
                <w:bCs/>
              </w:rPr>
              <w:t>1,350</w:t>
            </w:r>
          </w:p>
        </w:tc>
        <w:tc>
          <w:tcPr>
            <w:tcW w:w="1177" w:type="dxa"/>
            <w:vAlign w:val="center"/>
          </w:tcPr>
          <w:p w14:paraId="550CA556" w14:textId="79594F32" w:rsidR="00F17DBF" w:rsidRDefault="00F17DBF" w:rsidP="00F17DBF">
            <w:pPr>
              <w:pStyle w:val="Tabletext"/>
              <w:jc w:val="right"/>
              <w:rPr>
                <w:b/>
                <w:bCs/>
              </w:rPr>
            </w:pPr>
            <w:r>
              <w:rPr>
                <w:b/>
                <w:bCs/>
              </w:rPr>
              <w:t>550</w:t>
            </w:r>
          </w:p>
        </w:tc>
        <w:tc>
          <w:tcPr>
            <w:tcW w:w="1115" w:type="dxa"/>
            <w:vAlign w:val="center"/>
          </w:tcPr>
          <w:p w14:paraId="612FC216" w14:textId="724024DA" w:rsidR="00F17DBF" w:rsidRDefault="00F17DBF" w:rsidP="00F17DBF">
            <w:pPr>
              <w:pStyle w:val="Tabletext"/>
              <w:jc w:val="right"/>
              <w:rPr>
                <w:b/>
                <w:bCs/>
              </w:rPr>
            </w:pPr>
            <w:r>
              <w:rPr>
                <w:b/>
                <w:bCs/>
              </w:rPr>
              <w:t>50</w:t>
            </w:r>
          </w:p>
        </w:tc>
        <w:tc>
          <w:tcPr>
            <w:tcW w:w="1366" w:type="dxa"/>
            <w:vAlign w:val="center"/>
          </w:tcPr>
          <w:p w14:paraId="0035AAC6" w14:textId="21D2AA6B" w:rsidR="00F17DBF" w:rsidRDefault="00F17DBF" w:rsidP="00F17DBF">
            <w:pPr>
              <w:pStyle w:val="Tabletext"/>
              <w:jc w:val="right"/>
              <w:rPr>
                <w:b/>
                <w:bCs/>
              </w:rPr>
            </w:pPr>
            <w:r>
              <w:rPr>
                <w:b/>
                <w:bCs/>
              </w:rPr>
              <w:t>8.970</w:t>
            </w:r>
          </w:p>
        </w:tc>
      </w:tr>
      <w:tr w:rsidR="00F17DBF" w14:paraId="73CEB23C" w14:textId="77777777" w:rsidTr="00111D12">
        <w:trPr>
          <w:trHeight w:hRule="exact" w:val="592"/>
        </w:trPr>
        <w:tc>
          <w:tcPr>
            <w:tcW w:w="1872" w:type="dxa"/>
            <w:vAlign w:val="center"/>
          </w:tcPr>
          <w:p w14:paraId="29DB7C56" w14:textId="15F7846A" w:rsidR="00F17DBF" w:rsidRDefault="00F17DBF" w:rsidP="00F17DBF">
            <w:pPr>
              <w:pStyle w:val="Tabletext"/>
              <w:rPr>
                <w:b/>
                <w:bCs/>
              </w:rPr>
            </w:pPr>
            <w:r>
              <w:rPr>
                <w:b/>
                <w:bCs/>
              </w:rPr>
              <w:t>Net savings, £</w:t>
            </w:r>
          </w:p>
        </w:tc>
        <w:tc>
          <w:tcPr>
            <w:tcW w:w="1254" w:type="dxa"/>
            <w:vAlign w:val="center"/>
          </w:tcPr>
          <w:p w14:paraId="643DA5A3" w14:textId="539FA628" w:rsidR="00F17DBF" w:rsidRDefault="00F17DBF" w:rsidP="00F17DBF">
            <w:pPr>
              <w:pStyle w:val="Tabletext"/>
              <w:jc w:val="right"/>
              <w:rPr>
                <w:b/>
                <w:bCs/>
              </w:rPr>
            </w:pPr>
            <w:r>
              <w:rPr>
                <w:b/>
                <w:bCs/>
              </w:rPr>
              <w:t>247,350</w:t>
            </w:r>
          </w:p>
        </w:tc>
        <w:tc>
          <w:tcPr>
            <w:tcW w:w="1212" w:type="dxa"/>
            <w:vAlign w:val="center"/>
          </w:tcPr>
          <w:p w14:paraId="2C085979" w14:textId="2EB62998" w:rsidR="00F17DBF" w:rsidRDefault="00F17DBF" w:rsidP="00F17DBF">
            <w:pPr>
              <w:pStyle w:val="Tabletext"/>
              <w:jc w:val="right"/>
              <w:rPr>
                <w:b/>
                <w:bCs/>
              </w:rPr>
            </w:pPr>
            <w:r>
              <w:rPr>
                <w:b/>
                <w:bCs/>
              </w:rPr>
              <w:t>142,670</w:t>
            </w:r>
          </w:p>
        </w:tc>
        <w:tc>
          <w:tcPr>
            <w:tcW w:w="1134" w:type="dxa"/>
            <w:vAlign w:val="center"/>
          </w:tcPr>
          <w:p w14:paraId="575D4914" w14:textId="1D6676A0" w:rsidR="00F17DBF" w:rsidRDefault="00F17DBF" w:rsidP="00F17DBF">
            <w:pPr>
              <w:pStyle w:val="Tabletext"/>
              <w:jc w:val="right"/>
              <w:rPr>
                <w:b/>
                <w:bCs/>
              </w:rPr>
            </w:pPr>
            <w:r>
              <w:rPr>
                <w:b/>
                <w:bCs/>
              </w:rPr>
              <w:t>74,540</w:t>
            </w:r>
          </w:p>
        </w:tc>
        <w:tc>
          <w:tcPr>
            <w:tcW w:w="1177" w:type="dxa"/>
            <w:vAlign w:val="center"/>
          </w:tcPr>
          <w:p w14:paraId="30C9611A" w14:textId="7EE199C2" w:rsidR="00F17DBF" w:rsidRDefault="00F17DBF" w:rsidP="00F17DBF">
            <w:pPr>
              <w:pStyle w:val="Tabletext"/>
              <w:jc w:val="right"/>
              <w:rPr>
                <w:b/>
                <w:bCs/>
              </w:rPr>
            </w:pPr>
            <w:r>
              <w:rPr>
                <w:b/>
                <w:bCs/>
              </w:rPr>
              <w:t>30,700</w:t>
            </w:r>
          </w:p>
        </w:tc>
        <w:tc>
          <w:tcPr>
            <w:tcW w:w="1115" w:type="dxa"/>
            <w:vAlign w:val="center"/>
          </w:tcPr>
          <w:p w14:paraId="389EFE4F" w14:textId="2FD4AC2D" w:rsidR="00F17DBF" w:rsidRDefault="00F17DBF" w:rsidP="00F17DBF">
            <w:pPr>
              <w:pStyle w:val="Tabletext"/>
              <w:jc w:val="right"/>
              <w:rPr>
                <w:b/>
                <w:bCs/>
              </w:rPr>
            </w:pPr>
            <w:r>
              <w:rPr>
                <w:b/>
                <w:bCs/>
              </w:rPr>
              <w:t>3,010</w:t>
            </w:r>
          </w:p>
        </w:tc>
        <w:tc>
          <w:tcPr>
            <w:tcW w:w="1366" w:type="dxa"/>
            <w:vAlign w:val="center"/>
          </w:tcPr>
          <w:p w14:paraId="468EEAB3" w14:textId="0CDE0834" w:rsidR="00F17DBF" w:rsidRDefault="00F17DBF" w:rsidP="00F17DBF">
            <w:pPr>
              <w:pStyle w:val="Tabletext"/>
              <w:jc w:val="right"/>
              <w:rPr>
                <w:b/>
                <w:bCs/>
              </w:rPr>
            </w:pPr>
            <w:r>
              <w:rPr>
                <w:b/>
                <w:bCs/>
              </w:rPr>
              <w:t>498,270</w:t>
            </w:r>
          </w:p>
        </w:tc>
      </w:tr>
    </w:tbl>
    <w:p w14:paraId="5B98A680" w14:textId="77777777" w:rsidR="00481750" w:rsidRPr="00A3386D" w:rsidRDefault="00481750" w:rsidP="00481750">
      <w:pPr>
        <w:pStyle w:val="FootnoteText"/>
        <w:rPr>
          <w:rFonts w:cs="Arial"/>
        </w:rPr>
      </w:pPr>
    </w:p>
    <w:p w14:paraId="0A385C56" w14:textId="753B7ED8" w:rsidR="00481750" w:rsidRPr="00A9176A" w:rsidRDefault="00481750" w:rsidP="00BE61F6">
      <w:pPr>
        <w:pStyle w:val="NICEnormal"/>
        <w:rPr>
          <w:rStyle w:val="Hyperlink"/>
          <w:rFonts w:cs="Arial"/>
        </w:rPr>
      </w:pPr>
      <w:r w:rsidRPr="00A9176A">
        <w:t xml:space="preserve">The equivalent list data is based on the </w:t>
      </w:r>
      <w:hyperlink r:id="rId17" w:history="1">
        <w:r w:rsidR="00CF05A5" w:rsidRPr="00CF05A5">
          <w:rPr>
            <w:rStyle w:val="Hyperlink"/>
            <w:rFonts w:cs="Arial"/>
          </w:rPr>
          <w:t>Getting it Right First Time (</w:t>
        </w:r>
        <w:r w:rsidRPr="00CF05A5">
          <w:rPr>
            <w:rStyle w:val="Hyperlink"/>
            <w:rFonts w:cs="Arial"/>
          </w:rPr>
          <w:t>GIRFT</w:t>
        </w:r>
        <w:r w:rsidR="00CF05A5" w:rsidRPr="00CF05A5">
          <w:rPr>
            <w:rStyle w:val="Hyperlink"/>
            <w:rFonts w:cs="Arial"/>
          </w:rPr>
          <w:t>)</w:t>
        </w:r>
      </w:hyperlink>
      <w:r w:rsidRPr="00A9176A">
        <w:t xml:space="preserve"> theatre productivity standards HVLC </w:t>
      </w:r>
      <w:r w:rsidR="00F17DBF">
        <w:t>(</w:t>
      </w:r>
      <w:r w:rsidR="00F17DBF" w:rsidRPr="00F17DBF">
        <w:t>high-volume, low complexity</w:t>
      </w:r>
      <w:r w:rsidR="00F17DBF">
        <w:t xml:space="preserve">) </w:t>
      </w:r>
      <w:r w:rsidRPr="00A9176A">
        <w:t xml:space="preserve">cases per </w:t>
      </w:r>
      <w:r w:rsidR="00F17DBF">
        <w:t>4</w:t>
      </w:r>
      <w:r w:rsidR="00F17DBF">
        <w:noBreakHyphen/>
      </w:r>
      <w:r w:rsidRPr="00A9176A">
        <w:t xml:space="preserve">hour theatre list. </w:t>
      </w:r>
    </w:p>
    <w:p w14:paraId="19A3ABA3" w14:textId="77777777" w:rsidR="00F6279F" w:rsidRDefault="00F6279F" w:rsidP="002A3DA2">
      <w:pPr>
        <w:pStyle w:val="NICEnormal"/>
        <w:spacing w:after="120" w:line="240" w:lineRule="auto"/>
      </w:pPr>
    </w:p>
    <w:p w14:paraId="5E8BAD13" w14:textId="5D54DEBA" w:rsidR="00E27D9A" w:rsidRPr="00E27D9A" w:rsidRDefault="00E27D9A" w:rsidP="002A3DA2">
      <w:pPr>
        <w:pStyle w:val="NICEnormal"/>
        <w:spacing w:after="120" w:line="240" w:lineRule="auto"/>
        <w:rPr>
          <w:b/>
        </w:rPr>
      </w:pPr>
      <w:r w:rsidRPr="00B83E3E">
        <w:lastRenderedPageBreak/>
        <w:t>F</w:t>
      </w:r>
      <w:r w:rsidR="00066D52" w:rsidRPr="00B83E3E">
        <w:t>or f</w:t>
      </w:r>
      <w:r w:rsidRPr="00B83E3E">
        <w:t xml:space="preserve">urther analysis </w:t>
      </w:r>
      <w:r w:rsidR="00066D52" w:rsidRPr="00B83E3E">
        <w:t xml:space="preserve">or to calculate the </w:t>
      </w:r>
      <w:r w:rsidR="005C7B1F" w:rsidRPr="00B83E3E">
        <w:t xml:space="preserve">financial impact of cash items, see the </w:t>
      </w:r>
      <w:hyperlink r:id="rId18" w:history="1">
        <w:r w:rsidRPr="00B83E3E">
          <w:rPr>
            <w:rStyle w:val="Hyperlink"/>
          </w:rPr>
          <w:t>resource impact template</w:t>
        </w:r>
      </w:hyperlink>
      <w:r w:rsidR="005C7B1F">
        <w:t>.</w:t>
      </w:r>
    </w:p>
    <w:p w14:paraId="48F6B07D" w14:textId="3196EB29" w:rsidR="004C1EA9" w:rsidRDefault="004C1EA9" w:rsidP="00BE61F6">
      <w:pPr>
        <w:pStyle w:val="Heading2"/>
      </w:pPr>
      <w:r>
        <w:t xml:space="preserve">Capacity </w:t>
      </w:r>
      <w:r w:rsidRPr="00F4565A">
        <w:t>impact</w:t>
      </w:r>
    </w:p>
    <w:p w14:paraId="2295DD7A" w14:textId="067E146A" w:rsidR="00246108" w:rsidRDefault="008501C5" w:rsidP="00BE61F6">
      <w:pPr>
        <w:pStyle w:val="NICEnormal"/>
      </w:pPr>
      <w:r>
        <w:t>T</w:t>
      </w:r>
      <w:r w:rsidR="0077091E">
        <w:t xml:space="preserve">he use of </w:t>
      </w:r>
      <w:proofErr w:type="spellStart"/>
      <w:r w:rsidR="0077091E">
        <w:t>AposHealth</w:t>
      </w:r>
      <w:proofErr w:type="spellEnd"/>
      <w:r w:rsidR="0077091E">
        <w:t xml:space="preserve"> may also save costs associated with surgery complications, and revision of knee surgery and rehabilitation. Also, available evidence further suggests a 15% reduction in healthcare resource use such as GP,</w:t>
      </w:r>
      <w:r w:rsidR="0077091E" w:rsidRPr="004A35F6">
        <w:t xml:space="preserve"> </w:t>
      </w:r>
      <w:r w:rsidR="0077091E">
        <w:t>orthotic services and orthopaedic appointments.</w:t>
      </w:r>
    </w:p>
    <w:p w14:paraId="05350EB8" w14:textId="4E9C5163" w:rsidR="00246108" w:rsidRDefault="00246108" w:rsidP="00BE61F6">
      <w:pPr>
        <w:pStyle w:val="NICEnormal"/>
      </w:pPr>
      <w:r w:rsidRPr="006D1ADD">
        <w:t xml:space="preserve">The economic model included the benefit associated with these non-surgical interventions with a 15% reduction when </w:t>
      </w:r>
      <w:proofErr w:type="spellStart"/>
      <w:r w:rsidRPr="006D1ADD">
        <w:t>AposHealth</w:t>
      </w:r>
      <w:proofErr w:type="spellEnd"/>
      <w:r w:rsidRPr="006D1ADD">
        <w:t xml:space="preserve"> is used instead of standard care. </w:t>
      </w:r>
      <w:r w:rsidR="00F17DBF">
        <w:t>But</w:t>
      </w:r>
      <w:r w:rsidRPr="006D1ADD">
        <w:t xml:space="preserve"> the economic model did not provide a breakdown of the elements that constituted the benefit. </w:t>
      </w:r>
    </w:p>
    <w:p w14:paraId="7B5EEBE9" w14:textId="5DEB2ABD" w:rsidR="00AD234A" w:rsidRDefault="0077091E" w:rsidP="00BE61F6">
      <w:pPr>
        <w:pStyle w:val="NICEnormal"/>
      </w:pPr>
      <w:r>
        <w:t xml:space="preserve">The evidence indicates non-surgical standard care for people with severe osteoarthritis is associated with an additional 2.58 GP appointments per person per year compared to people without osteoarthritis. Based on 100 people this translates to 258 GP appointments per year. With </w:t>
      </w:r>
      <w:proofErr w:type="spellStart"/>
      <w:r>
        <w:t>AposHealth</w:t>
      </w:r>
      <w:proofErr w:type="spellEnd"/>
      <w:r>
        <w:t xml:space="preserve"> this reduces to 218, </w:t>
      </w:r>
      <w:r w:rsidR="00F17DBF">
        <w:t xml:space="preserve">so </w:t>
      </w:r>
      <w:r>
        <w:t>saving 39 GP appointments per year.</w:t>
      </w:r>
    </w:p>
    <w:p w14:paraId="64E6F31F" w14:textId="00EB6D6E" w:rsidR="006D1ADD" w:rsidRDefault="006D1ADD" w:rsidP="00BE61F6">
      <w:pPr>
        <w:pStyle w:val="NICEnormal"/>
      </w:pPr>
      <w:r w:rsidRPr="006D1ADD">
        <w:t xml:space="preserve">Because the evidence for the potential cost savings is limited, further data collection is recommended to understand if cost savings are made once </w:t>
      </w:r>
      <w:proofErr w:type="spellStart"/>
      <w:r w:rsidRPr="006D1ADD">
        <w:t>AposHealth</w:t>
      </w:r>
      <w:proofErr w:type="spellEnd"/>
      <w:r w:rsidRPr="006D1ADD">
        <w:t xml:space="preserve"> is used in the NHS.</w:t>
      </w:r>
    </w:p>
    <w:p w14:paraId="29426E66" w14:textId="719890D4" w:rsidR="00021BD1" w:rsidRPr="00546F59" w:rsidRDefault="00D349B8" w:rsidP="00BE61F6">
      <w:pPr>
        <w:pStyle w:val="NICEnormal"/>
      </w:pPr>
      <w:r w:rsidRPr="00116A9D">
        <w:t>F</w:t>
      </w:r>
      <w:r w:rsidR="00F4565A">
        <w:t>or f</w:t>
      </w:r>
      <w:r w:rsidRPr="00116A9D">
        <w:t>urther analysis</w:t>
      </w:r>
      <w:r w:rsidR="00D30811">
        <w:t xml:space="preserve"> or to calculate</w:t>
      </w:r>
      <w:r w:rsidRPr="00116A9D">
        <w:t xml:space="preserve"> </w:t>
      </w:r>
      <w:r w:rsidR="00D30811">
        <w:t xml:space="preserve">the financial capacity impact from a commissioner </w:t>
      </w:r>
      <w:r w:rsidR="00CD1DF9">
        <w:t xml:space="preserve">(national) </w:t>
      </w:r>
      <w:r w:rsidR="00D30811">
        <w:t>and provider</w:t>
      </w:r>
      <w:r w:rsidR="00CD1DF9">
        <w:t xml:space="preserve"> (local) </w:t>
      </w:r>
      <w:r w:rsidR="00D30811">
        <w:t>perspective, see</w:t>
      </w:r>
      <w:r w:rsidRPr="00116A9D">
        <w:t xml:space="preserve"> the </w:t>
      </w:r>
      <w:hyperlink r:id="rId19" w:history="1">
        <w:r w:rsidRPr="00116A9D">
          <w:rPr>
            <w:rStyle w:val="Hyperlink"/>
          </w:rPr>
          <w:t>resource impact template</w:t>
        </w:r>
      </w:hyperlink>
      <w:r w:rsidR="00D30811">
        <w:t>.</w:t>
      </w:r>
    </w:p>
    <w:p w14:paraId="5484201F" w14:textId="77777777" w:rsidR="00CF0DA3" w:rsidRDefault="00CF0DA3" w:rsidP="00BE61F6">
      <w:pPr>
        <w:pStyle w:val="Heading2"/>
      </w:pPr>
      <w:r>
        <w:t xml:space="preserve">Key </w:t>
      </w:r>
      <w:r w:rsidRPr="00F4565A">
        <w:t>information</w:t>
      </w:r>
    </w:p>
    <w:p w14:paraId="6DB37C8F" w14:textId="329E71C4" w:rsidR="00BC1AFE" w:rsidRPr="00BC1AFE" w:rsidRDefault="00BC1AFE" w:rsidP="00F4565A">
      <w:pPr>
        <w:pStyle w:val="Caption"/>
      </w:pPr>
      <w:r>
        <w:t xml:space="preserve">Table </w:t>
      </w:r>
      <w:r w:rsidR="00CF05A5">
        <w:t xml:space="preserve">2 </w:t>
      </w:r>
      <w:r>
        <w:t>Key information</w:t>
      </w:r>
    </w:p>
    <w:tbl>
      <w:tblPr>
        <w:tblStyle w:val="TableGridLight"/>
        <w:tblW w:w="8642" w:type="dxa"/>
        <w:tblLook w:val="04A0" w:firstRow="1" w:lastRow="0" w:firstColumn="1" w:lastColumn="0" w:noHBand="0" w:noVBand="1"/>
        <w:tblCaption w:val="Table 2 Key information"/>
        <w:tblDescription w:val="This table shows key information about the resource impact for the technology, including time from publication to routine commissioning funding, programme budgeting category, commissioners, providers, and pathway position."/>
      </w:tblPr>
      <w:tblGrid>
        <w:gridCol w:w="3539"/>
        <w:gridCol w:w="5103"/>
      </w:tblGrid>
      <w:tr w:rsidR="00CF0DA3" w14:paraId="53CD25B3" w14:textId="77777777" w:rsidTr="001C4597">
        <w:tc>
          <w:tcPr>
            <w:tcW w:w="3539" w:type="dxa"/>
            <w:tcBorders>
              <w:top w:val="single" w:sz="6" w:space="0" w:color="auto"/>
              <w:left w:val="single" w:sz="6" w:space="0" w:color="auto"/>
              <w:bottom w:val="single" w:sz="6" w:space="0" w:color="auto"/>
              <w:right w:val="single" w:sz="6" w:space="0" w:color="auto"/>
            </w:tcBorders>
          </w:tcPr>
          <w:p w14:paraId="6BD13846" w14:textId="77777777" w:rsidR="00CF0DA3" w:rsidRDefault="00CF0DA3" w:rsidP="00F4565A">
            <w:pPr>
              <w:pStyle w:val="Tableheading"/>
            </w:pPr>
            <w:r>
              <w:t>Time from publication to routine commissioning funding</w:t>
            </w:r>
          </w:p>
        </w:tc>
        <w:tc>
          <w:tcPr>
            <w:tcW w:w="5103" w:type="dxa"/>
            <w:tcBorders>
              <w:top w:val="single" w:sz="6" w:space="0" w:color="auto"/>
              <w:left w:val="single" w:sz="6" w:space="0" w:color="auto"/>
              <w:bottom w:val="single" w:sz="6" w:space="0" w:color="auto"/>
              <w:right w:val="single" w:sz="6" w:space="0" w:color="auto"/>
            </w:tcBorders>
          </w:tcPr>
          <w:p w14:paraId="5468CEAA" w14:textId="01F3A6FE" w:rsidR="00CF0DA3" w:rsidRPr="00477F03" w:rsidRDefault="00B00782" w:rsidP="00F4565A">
            <w:pPr>
              <w:pStyle w:val="Tabletext"/>
            </w:pPr>
            <w:r>
              <w:t>N/</w:t>
            </w:r>
            <w:r w:rsidR="004E45A9">
              <w:t>A</w:t>
            </w:r>
          </w:p>
        </w:tc>
      </w:tr>
      <w:tr w:rsidR="00CF0DA3" w14:paraId="0B49490D" w14:textId="77777777" w:rsidTr="001C4597">
        <w:tc>
          <w:tcPr>
            <w:tcW w:w="3539" w:type="dxa"/>
            <w:tcBorders>
              <w:top w:val="single" w:sz="6" w:space="0" w:color="auto"/>
              <w:left w:val="single" w:sz="6" w:space="0" w:color="auto"/>
              <w:bottom w:val="single" w:sz="6" w:space="0" w:color="auto"/>
              <w:right w:val="single" w:sz="6" w:space="0" w:color="auto"/>
            </w:tcBorders>
          </w:tcPr>
          <w:p w14:paraId="002C2AFC" w14:textId="77777777" w:rsidR="00CF0DA3" w:rsidRDefault="00CF0DA3" w:rsidP="00F4565A">
            <w:pPr>
              <w:pStyle w:val="Tableheading"/>
            </w:pPr>
            <w:r>
              <w:t>Programme budgeting category</w:t>
            </w:r>
          </w:p>
        </w:tc>
        <w:tc>
          <w:tcPr>
            <w:tcW w:w="5103" w:type="dxa"/>
            <w:tcBorders>
              <w:top w:val="single" w:sz="6" w:space="0" w:color="auto"/>
              <w:left w:val="single" w:sz="6" w:space="0" w:color="auto"/>
              <w:bottom w:val="single" w:sz="6" w:space="0" w:color="auto"/>
              <w:right w:val="single" w:sz="6" w:space="0" w:color="auto"/>
            </w:tcBorders>
          </w:tcPr>
          <w:p w14:paraId="3979A8B0" w14:textId="21D38475" w:rsidR="00CF0DA3" w:rsidRPr="00477F03" w:rsidRDefault="00D70BA5" w:rsidP="00F4565A">
            <w:pPr>
              <w:pStyle w:val="Tabletext"/>
            </w:pPr>
            <w:r>
              <w:t>PBC15</w:t>
            </w:r>
            <w:r w:rsidR="000C64F7">
              <w:t xml:space="preserve"> </w:t>
            </w:r>
            <w:r w:rsidR="000C64F7" w:rsidRPr="000C64F7">
              <w:t>Problems of the Musculoskeletal system</w:t>
            </w:r>
          </w:p>
        </w:tc>
      </w:tr>
      <w:tr w:rsidR="00CF0DA3" w14:paraId="49BDCB2A" w14:textId="77777777" w:rsidTr="001C4597">
        <w:tc>
          <w:tcPr>
            <w:tcW w:w="3539" w:type="dxa"/>
            <w:tcBorders>
              <w:top w:val="single" w:sz="6" w:space="0" w:color="auto"/>
              <w:left w:val="single" w:sz="6" w:space="0" w:color="auto"/>
              <w:bottom w:val="single" w:sz="6" w:space="0" w:color="auto"/>
              <w:right w:val="single" w:sz="6" w:space="0" w:color="auto"/>
            </w:tcBorders>
          </w:tcPr>
          <w:p w14:paraId="158422CF" w14:textId="77777777" w:rsidR="00CF0DA3" w:rsidRDefault="00CF0DA3" w:rsidP="00F4565A">
            <w:pPr>
              <w:pStyle w:val="Tableheading"/>
            </w:pPr>
            <w:r>
              <w:t>Commissioner(s)</w:t>
            </w:r>
          </w:p>
        </w:tc>
        <w:tc>
          <w:tcPr>
            <w:tcW w:w="5103" w:type="dxa"/>
            <w:tcBorders>
              <w:top w:val="single" w:sz="6" w:space="0" w:color="auto"/>
              <w:left w:val="single" w:sz="6" w:space="0" w:color="auto"/>
              <w:bottom w:val="single" w:sz="6" w:space="0" w:color="auto"/>
              <w:right w:val="single" w:sz="6" w:space="0" w:color="auto"/>
            </w:tcBorders>
          </w:tcPr>
          <w:p w14:paraId="093823B0" w14:textId="00551D16" w:rsidR="00CF0DA3" w:rsidRPr="00477F03" w:rsidRDefault="00870A18" w:rsidP="00F4565A">
            <w:pPr>
              <w:pStyle w:val="Tabletext"/>
            </w:pPr>
            <w:r>
              <w:t>I</w:t>
            </w:r>
            <w:r w:rsidR="00CF0DA3" w:rsidRPr="00477F03">
              <w:t>ntegrated care boards</w:t>
            </w:r>
          </w:p>
        </w:tc>
      </w:tr>
      <w:tr w:rsidR="00CF0DA3" w14:paraId="7B5E21B2" w14:textId="77777777" w:rsidTr="001C4597">
        <w:tc>
          <w:tcPr>
            <w:tcW w:w="3539" w:type="dxa"/>
            <w:tcBorders>
              <w:top w:val="single" w:sz="6" w:space="0" w:color="auto"/>
              <w:left w:val="single" w:sz="6" w:space="0" w:color="auto"/>
              <w:bottom w:val="single" w:sz="6" w:space="0" w:color="auto"/>
              <w:right w:val="single" w:sz="6" w:space="0" w:color="auto"/>
            </w:tcBorders>
          </w:tcPr>
          <w:p w14:paraId="1127D4E4" w14:textId="77777777" w:rsidR="00CF0DA3" w:rsidRDefault="00CF0DA3" w:rsidP="00F4565A">
            <w:pPr>
              <w:pStyle w:val="Tableheading"/>
            </w:pPr>
            <w:r>
              <w:t>Provider(s)</w:t>
            </w:r>
          </w:p>
        </w:tc>
        <w:tc>
          <w:tcPr>
            <w:tcW w:w="5103" w:type="dxa"/>
            <w:tcBorders>
              <w:top w:val="single" w:sz="6" w:space="0" w:color="auto"/>
              <w:left w:val="single" w:sz="6" w:space="0" w:color="auto"/>
              <w:bottom w:val="single" w:sz="6" w:space="0" w:color="auto"/>
              <w:right w:val="single" w:sz="4" w:space="0" w:color="000000" w:themeColor="text1"/>
            </w:tcBorders>
          </w:tcPr>
          <w:p w14:paraId="401EDF02" w14:textId="25820157" w:rsidR="00CF0DA3" w:rsidRPr="00477F03" w:rsidRDefault="00087611" w:rsidP="00F4565A">
            <w:pPr>
              <w:pStyle w:val="Tabletext"/>
            </w:pPr>
            <w:r w:rsidRPr="00087611">
              <w:t xml:space="preserve">Primary care, </w:t>
            </w:r>
            <w:r w:rsidR="00F17DBF">
              <w:t>c</w:t>
            </w:r>
            <w:r w:rsidR="00F17DBF" w:rsidRPr="00087611">
              <w:t xml:space="preserve">ommunity </w:t>
            </w:r>
            <w:r w:rsidRPr="00087611">
              <w:t xml:space="preserve">health care and </w:t>
            </w:r>
            <w:r w:rsidR="00F17DBF">
              <w:t>s</w:t>
            </w:r>
            <w:r w:rsidR="00F17DBF" w:rsidRPr="00087611">
              <w:t xml:space="preserve">econdary </w:t>
            </w:r>
            <w:r w:rsidRPr="00087611">
              <w:t>care - acute</w:t>
            </w:r>
          </w:p>
        </w:tc>
      </w:tr>
      <w:tr w:rsidR="00CF0DA3" w14:paraId="03B64E04" w14:textId="77777777" w:rsidTr="001C4597">
        <w:tc>
          <w:tcPr>
            <w:tcW w:w="3539" w:type="dxa"/>
            <w:tcBorders>
              <w:top w:val="single" w:sz="6" w:space="0" w:color="auto"/>
              <w:left w:val="single" w:sz="6" w:space="0" w:color="auto"/>
              <w:bottom w:val="single" w:sz="6" w:space="0" w:color="auto"/>
              <w:right w:val="single" w:sz="6" w:space="0" w:color="auto"/>
            </w:tcBorders>
          </w:tcPr>
          <w:p w14:paraId="653F9EED" w14:textId="77777777" w:rsidR="00CF0DA3" w:rsidRDefault="00CF0DA3" w:rsidP="00F4565A">
            <w:pPr>
              <w:pStyle w:val="Tableheading"/>
            </w:pPr>
            <w:r>
              <w:t>Pathway position</w:t>
            </w:r>
          </w:p>
        </w:tc>
        <w:tc>
          <w:tcPr>
            <w:tcW w:w="5103" w:type="dxa"/>
            <w:tcBorders>
              <w:top w:val="single" w:sz="6" w:space="0" w:color="auto"/>
              <w:left w:val="single" w:sz="6" w:space="0" w:color="auto"/>
              <w:bottom w:val="single" w:sz="6" w:space="0" w:color="auto"/>
              <w:right w:val="single" w:sz="4" w:space="0" w:color="000000" w:themeColor="text1"/>
            </w:tcBorders>
          </w:tcPr>
          <w:p w14:paraId="54C0CE47" w14:textId="46DCDEE1" w:rsidR="00CF0DA3" w:rsidRPr="00477F03" w:rsidRDefault="001F4D79" w:rsidP="00F4565A">
            <w:pPr>
              <w:pStyle w:val="Tabletext"/>
            </w:pPr>
            <w:r>
              <w:t>N/A</w:t>
            </w:r>
          </w:p>
        </w:tc>
      </w:tr>
    </w:tbl>
    <w:p w14:paraId="21E650FB" w14:textId="77777777" w:rsidR="00021BD1" w:rsidRPr="00E009D4" w:rsidRDefault="00021BD1" w:rsidP="00E009D4">
      <w:pPr>
        <w:pStyle w:val="NICEnormal"/>
      </w:pPr>
    </w:p>
    <w:p w14:paraId="36271E0D" w14:textId="4D197A31" w:rsidR="003F2C10" w:rsidRDefault="003F2C10" w:rsidP="00111D12">
      <w:pPr>
        <w:pStyle w:val="Heading2"/>
      </w:pPr>
      <w:r>
        <w:lastRenderedPageBreak/>
        <w:t xml:space="preserve">About this resource impact summary </w:t>
      </w:r>
      <w:r w:rsidRPr="006C4C02">
        <w:t>report</w:t>
      </w:r>
    </w:p>
    <w:p w14:paraId="15B8A29B" w14:textId="417D3E4C" w:rsidR="003F2C10" w:rsidRPr="00B83E3E" w:rsidRDefault="003F2C10" w:rsidP="00BE61F6">
      <w:pPr>
        <w:pStyle w:val="NICEnormal"/>
      </w:pPr>
      <w:r w:rsidRPr="00B83E3E">
        <w:t xml:space="preserve">This resource impact </w:t>
      </w:r>
      <w:r w:rsidR="001449F4" w:rsidRPr="00B83E3E">
        <w:t>summary</w:t>
      </w:r>
      <w:r w:rsidRPr="00B83E3E">
        <w:t xml:space="preserve"> report accompanies the </w:t>
      </w:r>
      <w:hyperlink r:id="rId20" w:history="1">
        <w:r w:rsidRPr="00B83E3E">
          <w:rPr>
            <w:rStyle w:val="Hyperlink"/>
          </w:rPr>
          <w:t xml:space="preserve">NICE </w:t>
        </w:r>
        <w:r w:rsidR="00100B0C">
          <w:rPr>
            <w:rStyle w:val="Hyperlink"/>
          </w:rPr>
          <w:t xml:space="preserve">health </w:t>
        </w:r>
        <w:r w:rsidR="000D17B3">
          <w:rPr>
            <w:rStyle w:val="Hyperlink"/>
          </w:rPr>
          <w:t xml:space="preserve">technologies </w:t>
        </w:r>
        <w:r w:rsidRPr="00B83E3E">
          <w:rPr>
            <w:rStyle w:val="Hyperlink"/>
          </w:rPr>
          <w:t xml:space="preserve">guidance on </w:t>
        </w:r>
        <w:proofErr w:type="spellStart"/>
        <w:r w:rsidR="00853424" w:rsidRPr="00B83E3E">
          <w:rPr>
            <w:rStyle w:val="Hyperlink"/>
          </w:rPr>
          <w:t>AposHealth</w:t>
        </w:r>
        <w:proofErr w:type="spellEnd"/>
        <w:r w:rsidR="00853424" w:rsidRPr="00B83E3E">
          <w:rPr>
            <w:rStyle w:val="Hyperlink"/>
          </w:rPr>
          <w:t xml:space="preserve"> for </w:t>
        </w:r>
        <w:r w:rsidR="00F17DBF">
          <w:rPr>
            <w:rStyle w:val="Hyperlink"/>
          </w:rPr>
          <w:t xml:space="preserve">knee </w:t>
        </w:r>
        <w:r w:rsidR="00853424" w:rsidRPr="00B83E3E">
          <w:rPr>
            <w:rStyle w:val="Hyperlink"/>
          </w:rPr>
          <w:t>osteoarthritis</w:t>
        </w:r>
      </w:hyperlink>
      <w:r w:rsidR="00853424" w:rsidRPr="00B83E3E">
        <w:t xml:space="preserve"> </w:t>
      </w:r>
      <w:r w:rsidRPr="00B83E3E">
        <w:t>and should be read with it.</w:t>
      </w:r>
    </w:p>
    <w:p w14:paraId="5240FF92" w14:textId="36340A39" w:rsidR="001428D0" w:rsidRDefault="001428D0" w:rsidP="00AE223C">
      <w:pPr>
        <w:pStyle w:val="NICEnormalsinglespacing"/>
        <w:spacing w:after="120"/>
        <w:rPr>
          <w:b/>
          <w:bCs/>
        </w:rPr>
      </w:pPr>
    </w:p>
    <w:p w14:paraId="20847FB5" w14:textId="5D6A4E0C" w:rsidR="00AB2244" w:rsidRPr="005800E9" w:rsidRDefault="00AB2244" w:rsidP="00AB2244">
      <w:pPr>
        <w:pStyle w:val="NICEnormalsinglespacing"/>
        <w:rPr>
          <w:b/>
          <w:bCs/>
        </w:rPr>
      </w:pPr>
      <w:r w:rsidRPr="005800E9">
        <w:rPr>
          <w:b/>
          <w:bCs/>
        </w:rPr>
        <w:t>References</w:t>
      </w:r>
    </w:p>
    <w:p w14:paraId="0F4B8294" w14:textId="77777777" w:rsidR="001428D0" w:rsidRPr="005800E9" w:rsidRDefault="001428D0" w:rsidP="001428D0">
      <w:pPr>
        <w:pStyle w:val="References"/>
      </w:pPr>
      <w:r w:rsidRPr="005800E9">
        <w:t xml:space="preserve">S. Swain y, A. </w:t>
      </w:r>
      <w:proofErr w:type="spellStart"/>
      <w:r w:rsidRPr="005800E9">
        <w:t>Sarmanova</w:t>
      </w:r>
      <w:proofErr w:type="spellEnd"/>
      <w:r w:rsidRPr="005800E9">
        <w:t xml:space="preserve"> z, C. Mallen x, C.F. Kuo k, C. Coupland, M. Doherty y and W. Zhang y. Trends in incidence and prevalence of osteoarthritis in the United Kingdom: findings from the Clinical Practice Research Datalink (CPRD). Osteoarthritis and Cartilage volume 2, issue 6, June 2020, Pages 792-801.</w:t>
      </w:r>
    </w:p>
    <w:p w14:paraId="5EDD25E1" w14:textId="77777777" w:rsidR="001428D0" w:rsidRDefault="001428D0" w:rsidP="001428D0">
      <w:pPr>
        <w:pStyle w:val="References"/>
        <w:rPr>
          <w:noProof/>
          <w:lang w:eastAsia="en-GB"/>
        </w:rPr>
      </w:pPr>
      <w:r w:rsidRPr="005800E9">
        <w:t>Vos, Theo et al. “Years lived with disability (YLDs) for 1160 sequelae of 289 diseases and injuries 1990-2010: a systematic analysis for the Global Burden of Disease Study 2010.” Lancet (London, England) vol. 380,9859 (2012): 2163-96. doi:10.1016/S0140-6736(12)61729</w:t>
      </w:r>
      <w:r w:rsidRPr="005800E9">
        <w:rPr>
          <w:noProof/>
          <w:lang w:eastAsia="en-GB"/>
        </w:rPr>
        <w:t>-2</w:t>
      </w:r>
      <w:r>
        <w:rPr>
          <w:noProof/>
          <w:lang w:eastAsia="en-GB"/>
        </w:rPr>
        <w:t>.</w:t>
      </w:r>
    </w:p>
    <w:p w14:paraId="650318D4" w14:textId="77777777" w:rsidR="001428D0" w:rsidRDefault="001428D0" w:rsidP="001428D0">
      <w:pPr>
        <w:pStyle w:val="References"/>
        <w:rPr>
          <w:noProof/>
          <w:lang w:eastAsia="en-GB"/>
        </w:rPr>
      </w:pPr>
      <w:r w:rsidRPr="001C5DB5">
        <w:rPr>
          <w:noProof/>
          <w:lang w:eastAsia="en-GB"/>
        </w:rPr>
        <w:t>NHS National Cost Collection data, 2020-21</w:t>
      </w:r>
      <w:r>
        <w:rPr>
          <w:noProof/>
          <w:lang w:eastAsia="en-GB"/>
        </w:rPr>
        <w:t xml:space="preserve">. </w:t>
      </w:r>
      <w:r w:rsidRPr="002E486B">
        <w:rPr>
          <w:noProof/>
          <w:lang w:eastAsia="en-GB"/>
        </w:rPr>
        <w:t xml:space="preserve">National Schedule of NHS Costs Year </w:t>
      </w:r>
      <w:r>
        <w:rPr>
          <w:noProof/>
          <w:lang w:eastAsia="en-GB"/>
        </w:rPr>
        <w:t>–</w:t>
      </w:r>
      <w:r w:rsidRPr="002E486B">
        <w:rPr>
          <w:noProof/>
          <w:lang w:eastAsia="en-GB"/>
        </w:rPr>
        <w:t xml:space="preserve"> All NHS trusts and NHS foundation trusts </w:t>
      </w:r>
      <w:r>
        <w:rPr>
          <w:noProof/>
          <w:lang w:eastAsia="en-GB"/>
        </w:rPr>
        <w:t>–</w:t>
      </w:r>
      <w:r w:rsidRPr="002E486B">
        <w:rPr>
          <w:noProof/>
          <w:lang w:eastAsia="en-GB"/>
        </w:rPr>
        <w:t xml:space="preserve"> HRG Data</w:t>
      </w:r>
      <w:r>
        <w:rPr>
          <w:noProof/>
          <w:lang w:eastAsia="en-GB"/>
        </w:rPr>
        <w:t xml:space="preserve">. </w:t>
      </w:r>
      <w:hyperlink r:id="rId21" w:anchor="ncc1819" w:history="1">
        <w:r w:rsidRPr="00847C7D">
          <w:rPr>
            <w:rStyle w:val="Hyperlink"/>
            <w:noProof/>
            <w:lang w:eastAsia="en-GB"/>
          </w:rPr>
          <w:t>NHS England 2023</w:t>
        </w:r>
      </w:hyperlink>
      <w:r>
        <w:rPr>
          <w:noProof/>
          <w:lang w:eastAsia="en-GB"/>
        </w:rPr>
        <w:t>.</w:t>
      </w:r>
    </w:p>
    <w:p w14:paraId="29C4C922" w14:textId="317D784E" w:rsidR="002838A9" w:rsidRPr="000B5B02" w:rsidRDefault="002838A9" w:rsidP="00EB688F">
      <w:pPr>
        <w:pStyle w:val="NICEnormalsinglespacing"/>
        <w:rPr>
          <w:noProof/>
          <w:lang w:eastAsia="en-GB"/>
        </w:rPr>
      </w:pPr>
    </w:p>
    <w:sectPr w:rsidR="002838A9" w:rsidRPr="000B5B02" w:rsidSect="00124C81">
      <w:pgSz w:w="11907" w:h="16840" w:code="9"/>
      <w:pgMar w:top="1247" w:right="1440" w:bottom="124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C4BFB" w14:textId="77777777" w:rsidR="00802D48" w:rsidRDefault="00802D48">
      <w:r>
        <w:separator/>
      </w:r>
    </w:p>
  </w:endnote>
  <w:endnote w:type="continuationSeparator" w:id="0">
    <w:p w14:paraId="6F0983F2" w14:textId="77777777" w:rsidR="00802D48" w:rsidRDefault="00802D48">
      <w:r>
        <w:continuationSeparator/>
      </w:r>
    </w:p>
  </w:endnote>
  <w:endnote w:type="continuationNotice" w:id="1">
    <w:p w14:paraId="3B80539E" w14:textId="77777777" w:rsidR="00802D48" w:rsidRDefault="00802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32B4" w14:textId="77777777" w:rsidR="00802D48" w:rsidRDefault="00802D48">
      <w:r>
        <w:separator/>
      </w:r>
    </w:p>
  </w:footnote>
  <w:footnote w:type="continuationSeparator" w:id="0">
    <w:p w14:paraId="4B09C0D5" w14:textId="77777777" w:rsidR="00802D48" w:rsidRDefault="00802D48">
      <w:r>
        <w:continuationSeparator/>
      </w:r>
    </w:p>
  </w:footnote>
  <w:footnote w:type="continuationNotice" w:id="1">
    <w:p w14:paraId="7D57A301" w14:textId="77777777" w:rsidR="00802D48" w:rsidRDefault="00802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84273C"/>
    <w:multiLevelType w:val="hybridMultilevel"/>
    <w:tmpl w:val="0D3E85BC"/>
    <w:lvl w:ilvl="0" w:tplc="5E08E1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CB04EB7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ABD783C"/>
    <w:multiLevelType w:val="hybridMultilevel"/>
    <w:tmpl w:val="23A0264C"/>
    <w:lvl w:ilvl="0" w:tplc="DE0CF6EA">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BFD6540"/>
    <w:multiLevelType w:val="hybridMultilevel"/>
    <w:tmpl w:val="F2262D02"/>
    <w:lvl w:ilvl="0" w:tplc="48FEA0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FF51BA3"/>
    <w:multiLevelType w:val="hybridMultilevel"/>
    <w:tmpl w:val="C8E241A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16cid:durableId="1598706489">
    <w:abstractNumId w:val="1"/>
  </w:num>
  <w:num w:numId="2" w16cid:durableId="975840403">
    <w:abstractNumId w:val="24"/>
  </w:num>
  <w:num w:numId="3" w16cid:durableId="435833594">
    <w:abstractNumId w:val="13"/>
  </w:num>
  <w:num w:numId="4" w16cid:durableId="932055666">
    <w:abstractNumId w:val="14"/>
  </w:num>
  <w:num w:numId="5" w16cid:durableId="84689021">
    <w:abstractNumId w:val="0"/>
  </w:num>
  <w:num w:numId="6" w16cid:durableId="941955393">
    <w:abstractNumId w:val="2"/>
  </w:num>
  <w:num w:numId="7" w16cid:durableId="897715384">
    <w:abstractNumId w:val="9"/>
  </w:num>
  <w:num w:numId="8" w16cid:durableId="160395246">
    <w:abstractNumId w:val="4"/>
  </w:num>
  <w:num w:numId="9" w16cid:durableId="1624533179">
    <w:abstractNumId w:val="6"/>
  </w:num>
  <w:num w:numId="10" w16cid:durableId="1790969815">
    <w:abstractNumId w:val="11"/>
  </w:num>
  <w:num w:numId="11" w16cid:durableId="1655449331">
    <w:abstractNumId w:val="10"/>
  </w:num>
  <w:num w:numId="12" w16cid:durableId="40792883">
    <w:abstractNumId w:val="12"/>
  </w:num>
  <w:num w:numId="13" w16cid:durableId="1002245276">
    <w:abstractNumId w:val="17"/>
  </w:num>
  <w:num w:numId="14" w16cid:durableId="2073262943">
    <w:abstractNumId w:val="3"/>
  </w:num>
  <w:num w:numId="15" w16cid:durableId="662666740">
    <w:abstractNumId w:val="22"/>
  </w:num>
  <w:num w:numId="16" w16cid:durableId="151720947">
    <w:abstractNumId w:val="7"/>
  </w:num>
  <w:num w:numId="17" w16cid:durableId="285281621">
    <w:abstractNumId w:val="15"/>
  </w:num>
  <w:num w:numId="18" w16cid:durableId="15889322">
    <w:abstractNumId w:val="19"/>
  </w:num>
  <w:num w:numId="19" w16cid:durableId="808934306">
    <w:abstractNumId w:val="5"/>
  </w:num>
  <w:num w:numId="20" w16cid:durableId="1565094532">
    <w:abstractNumId w:val="25"/>
  </w:num>
  <w:num w:numId="21" w16cid:durableId="113402519">
    <w:abstractNumId w:val="9"/>
  </w:num>
  <w:num w:numId="22" w16cid:durableId="1930697683">
    <w:abstractNumId w:val="9"/>
  </w:num>
  <w:num w:numId="23" w16cid:durableId="77554751">
    <w:abstractNumId w:val="9"/>
  </w:num>
  <w:num w:numId="24" w16cid:durableId="1071000521">
    <w:abstractNumId w:val="27"/>
  </w:num>
  <w:num w:numId="25" w16cid:durableId="633603244">
    <w:abstractNumId w:val="0"/>
  </w:num>
  <w:num w:numId="26" w16cid:durableId="667639667">
    <w:abstractNumId w:val="0"/>
  </w:num>
  <w:num w:numId="27" w16cid:durableId="1880388128">
    <w:abstractNumId w:val="0"/>
  </w:num>
  <w:num w:numId="28" w16cid:durableId="95289783">
    <w:abstractNumId w:val="0"/>
  </w:num>
  <w:num w:numId="29" w16cid:durableId="1336298480">
    <w:abstractNumId w:val="0"/>
  </w:num>
  <w:num w:numId="30" w16cid:durableId="963317835">
    <w:abstractNumId w:val="8"/>
  </w:num>
  <w:num w:numId="31" w16cid:durableId="2010789024">
    <w:abstractNumId w:val="16"/>
  </w:num>
  <w:num w:numId="32" w16cid:durableId="1259557275">
    <w:abstractNumId w:val="0"/>
  </w:num>
  <w:num w:numId="33" w16cid:durableId="235944323">
    <w:abstractNumId w:val="0"/>
  </w:num>
  <w:num w:numId="34" w16cid:durableId="677003354">
    <w:abstractNumId w:val="0"/>
  </w:num>
  <w:num w:numId="35" w16cid:durableId="1655793590">
    <w:abstractNumId w:val="0"/>
  </w:num>
  <w:num w:numId="36" w16cid:durableId="1632051408">
    <w:abstractNumId w:val="0"/>
  </w:num>
  <w:num w:numId="37" w16cid:durableId="1642732640">
    <w:abstractNumId w:val="0"/>
  </w:num>
  <w:num w:numId="38" w16cid:durableId="763191247">
    <w:abstractNumId w:val="0"/>
  </w:num>
  <w:num w:numId="39" w16cid:durableId="436562089">
    <w:abstractNumId w:val="0"/>
  </w:num>
  <w:num w:numId="40" w16cid:durableId="1968732482">
    <w:abstractNumId w:val="4"/>
  </w:num>
  <w:num w:numId="41" w16cid:durableId="1625817351">
    <w:abstractNumId w:val="0"/>
  </w:num>
  <w:num w:numId="42" w16cid:durableId="509023690">
    <w:abstractNumId w:val="6"/>
  </w:num>
  <w:num w:numId="43" w16cid:durableId="556162501">
    <w:abstractNumId w:val="13"/>
  </w:num>
  <w:num w:numId="44" w16cid:durableId="379595816">
    <w:abstractNumId w:val="14"/>
  </w:num>
  <w:num w:numId="45" w16cid:durableId="769813313">
    <w:abstractNumId w:val="2"/>
  </w:num>
  <w:num w:numId="46" w16cid:durableId="1620258461">
    <w:abstractNumId w:val="4"/>
  </w:num>
  <w:num w:numId="47" w16cid:durableId="2138913578">
    <w:abstractNumId w:val="1"/>
  </w:num>
  <w:num w:numId="48" w16cid:durableId="195629308">
    <w:abstractNumId w:val="24"/>
  </w:num>
  <w:num w:numId="49" w16cid:durableId="1435008829">
    <w:abstractNumId w:val="9"/>
  </w:num>
  <w:num w:numId="50" w16cid:durableId="367490794">
    <w:abstractNumId w:val="9"/>
  </w:num>
  <w:num w:numId="51" w16cid:durableId="950480661">
    <w:abstractNumId w:val="21"/>
  </w:num>
  <w:num w:numId="52" w16cid:durableId="1832064918">
    <w:abstractNumId w:val="20"/>
  </w:num>
  <w:num w:numId="53" w16cid:durableId="46801806">
    <w:abstractNumId w:val="17"/>
  </w:num>
  <w:num w:numId="54" w16cid:durableId="641424431">
    <w:abstractNumId w:val="23"/>
  </w:num>
  <w:num w:numId="55" w16cid:durableId="424423087">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E4"/>
    <w:rsid w:val="000006D3"/>
    <w:rsid w:val="000038F4"/>
    <w:rsid w:val="0000592A"/>
    <w:rsid w:val="0000602F"/>
    <w:rsid w:val="000119FB"/>
    <w:rsid w:val="00011B05"/>
    <w:rsid w:val="00012846"/>
    <w:rsid w:val="00016583"/>
    <w:rsid w:val="00020097"/>
    <w:rsid w:val="00020B0C"/>
    <w:rsid w:val="000218E2"/>
    <w:rsid w:val="00021BD1"/>
    <w:rsid w:val="00025B6A"/>
    <w:rsid w:val="00025CAF"/>
    <w:rsid w:val="00031B40"/>
    <w:rsid w:val="00031E15"/>
    <w:rsid w:val="000324F5"/>
    <w:rsid w:val="000339FD"/>
    <w:rsid w:val="0004442F"/>
    <w:rsid w:val="0004487A"/>
    <w:rsid w:val="00046B02"/>
    <w:rsid w:val="0005001C"/>
    <w:rsid w:val="00050AD5"/>
    <w:rsid w:val="000517D4"/>
    <w:rsid w:val="00053C96"/>
    <w:rsid w:val="00055792"/>
    <w:rsid w:val="00056B40"/>
    <w:rsid w:val="0005724F"/>
    <w:rsid w:val="000611F2"/>
    <w:rsid w:val="00063763"/>
    <w:rsid w:val="00066D52"/>
    <w:rsid w:val="00066DA4"/>
    <w:rsid w:val="00070225"/>
    <w:rsid w:val="000720A6"/>
    <w:rsid w:val="00076F8D"/>
    <w:rsid w:val="00085DDF"/>
    <w:rsid w:val="0008656C"/>
    <w:rsid w:val="0008679D"/>
    <w:rsid w:val="00087611"/>
    <w:rsid w:val="00087F2B"/>
    <w:rsid w:val="00093308"/>
    <w:rsid w:val="000959DB"/>
    <w:rsid w:val="00097342"/>
    <w:rsid w:val="000A3BD6"/>
    <w:rsid w:val="000A4C63"/>
    <w:rsid w:val="000A6446"/>
    <w:rsid w:val="000A66E0"/>
    <w:rsid w:val="000A74F2"/>
    <w:rsid w:val="000A75AF"/>
    <w:rsid w:val="000B0537"/>
    <w:rsid w:val="000B0A6F"/>
    <w:rsid w:val="000B5B02"/>
    <w:rsid w:val="000B773E"/>
    <w:rsid w:val="000B7BBD"/>
    <w:rsid w:val="000B7DF5"/>
    <w:rsid w:val="000B7FFB"/>
    <w:rsid w:val="000C011A"/>
    <w:rsid w:val="000C1491"/>
    <w:rsid w:val="000C2814"/>
    <w:rsid w:val="000C64F7"/>
    <w:rsid w:val="000D0ED6"/>
    <w:rsid w:val="000D17B3"/>
    <w:rsid w:val="000D189B"/>
    <w:rsid w:val="000D52A3"/>
    <w:rsid w:val="000D6C3D"/>
    <w:rsid w:val="000E2B39"/>
    <w:rsid w:val="000E2D69"/>
    <w:rsid w:val="000F24C6"/>
    <w:rsid w:val="000F4025"/>
    <w:rsid w:val="000F52AB"/>
    <w:rsid w:val="000F6AC5"/>
    <w:rsid w:val="000F76FA"/>
    <w:rsid w:val="00100031"/>
    <w:rsid w:val="001000F8"/>
    <w:rsid w:val="00100B0C"/>
    <w:rsid w:val="0010128E"/>
    <w:rsid w:val="001017BE"/>
    <w:rsid w:val="00101F34"/>
    <w:rsid w:val="0010305B"/>
    <w:rsid w:val="001037CE"/>
    <w:rsid w:val="00105544"/>
    <w:rsid w:val="00107A53"/>
    <w:rsid w:val="00110869"/>
    <w:rsid w:val="00111D12"/>
    <w:rsid w:val="001139F4"/>
    <w:rsid w:val="00115005"/>
    <w:rsid w:val="0011617D"/>
    <w:rsid w:val="00116A9D"/>
    <w:rsid w:val="00117403"/>
    <w:rsid w:val="00120D5D"/>
    <w:rsid w:val="00124C81"/>
    <w:rsid w:val="00125917"/>
    <w:rsid w:val="001310B0"/>
    <w:rsid w:val="00135159"/>
    <w:rsid w:val="00140F1A"/>
    <w:rsid w:val="00141F70"/>
    <w:rsid w:val="001428D0"/>
    <w:rsid w:val="001449F4"/>
    <w:rsid w:val="00145575"/>
    <w:rsid w:val="00146DFF"/>
    <w:rsid w:val="00155E58"/>
    <w:rsid w:val="00161AA0"/>
    <w:rsid w:val="0016524A"/>
    <w:rsid w:val="00174703"/>
    <w:rsid w:val="00175FEE"/>
    <w:rsid w:val="001809AF"/>
    <w:rsid w:val="00184BBB"/>
    <w:rsid w:val="00192B6D"/>
    <w:rsid w:val="001956FC"/>
    <w:rsid w:val="00195B3E"/>
    <w:rsid w:val="001969DE"/>
    <w:rsid w:val="00196AFB"/>
    <w:rsid w:val="00197F35"/>
    <w:rsid w:val="001A3FEB"/>
    <w:rsid w:val="001A4152"/>
    <w:rsid w:val="001A479D"/>
    <w:rsid w:val="001A703F"/>
    <w:rsid w:val="001B0672"/>
    <w:rsid w:val="001B304B"/>
    <w:rsid w:val="001B3AA5"/>
    <w:rsid w:val="001B6914"/>
    <w:rsid w:val="001B733E"/>
    <w:rsid w:val="001C3761"/>
    <w:rsid w:val="001C4597"/>
    <w:rsid w:val="001C71B7"/>
    <w:rsid w:val="001C73A8"/>
    <w:rsid w:val="001D027E"/>
    <w:rsid w:val="001D3FE2"/>
    <w:rsid w:val="001D4FC8"/>
    <w:rsid w:val="001D6561"/>
    <w:rsid w:val="001E3FB6"/>
    <w:rsid w:val="001E46B0"/>
    <w:rsid w:val="001E6C52"/>
    <w:rsid w:val="001F1074"/>
    <w:rsid w:val="001F4D79"/>
    <w:rsid w:val="002015BA"/>
    <w:rsid w:val="0020664A"/>
    <w:rsid w:val="002066EC"/>
    <w:rsid w:val="0021227E"/>
    <w:rsid w:val="0021477D"/>
    <w:rsid w:val="00216814"/>
    <w:rsid w:val="0022108D"/>
    <w:rsid w:val="00223B9C"/>
    <w:rsid w:val="00225E84"/>
    <w:rsid w:val="00230026"/>
    <w:rsid w:val="00231F29"/>
    <w:rsid w:val="00234D65"/>
    <w:rsid w:val="00235CAB"/>
    <w:rsid w:val="002364E6"/>
    <w:rsid w:val="002410C8"/>
    <w:rsid w:val="0024301C"/>
    <w:rsid w:val="00244CB5"/>
    <w:rsid w:val="00246108"/>
    <w:rsid w:val="00246C09"/>
    <w:rsid w:val="002548EB"/>
    <w:rsid w:val="00254BEF"/>
    <w:rsid w:val="0025534E"/>
    <w:rsid w:val="00256222"/>
    <w:rsid w:val="00257B8A"/>
    <w:rsid w:val="002606FE"/>
    <w:rsid w:val="00260DDD"/>
    <w:rsid w:val="002610DD"/>
    <w:rsid w:val="00262479"/>
    <w:rsid w:val="00265F19"/>
    <w:rsid w:val="002665CB"/>
    <w:rsid w:val="00271563"/>
    <w:rsid w:val="00272078"/>
    <w:rsid w:val="00272D38"/>
    <w:rsid w:val="002738E2"/>
    <w:rsid w:val="00273FBD"/>
    <w:rsid w:val="00274B1E"/>
    <w:rsid w:val="00275215"/>
    <w:rsid w:val="00277963"/>
    <w:rsid w:val="002838A9"/>
    <w:rsid w:val="00283BFB"/>
    <w:rsid w:val="00284D4D"/>
    <w:rsid w:val="00290B1A"/>
    <w:rsid w:val="00295089"/>
    <w:rsid w:val="002A0E98"/>
    <w:rsid w:val="002A3DA2"/>
    <w:rsid w:val="002A4CD8"/>
    <w:rsid w:val="002A6175"/>
    <w:rsid w:val="002B2171"/>
    <w:rsid w:val="002B69AD"/>
    <w:rsid w:val="002C1AF8"/>
    <w:rsid w:val="002C2143"/>
    <w:rsid w:val="002D090C"/>
    <w:rsid w:val="002D2F69"/>
    <w:rsid w:val="002D3A52"/>
    <w:rsid w:val="002D4681"/>
    <w:rsid w:val="002E1C8A"/>
    <w:rsid w:val="002E222C"/>
    <w:rsid w:val="002E3FF5"/>
    <w:rsid w:val="002E624D"/>
    <w:rsid w:val="002E63A2"/>
    <w:rsid w:val="002E7B36"/>
    <w:rsid w:val="002F12F7"/>
    <w:rsid w:val="002F21AE"/>
    <w:rsid w:val="002F26A3"/>
    <w:rsid w:val="002F279A"/>
    <w:rsid w:val="002F5DAC"/>
    <w:rsid w:val="0030096B"/>
    <w:rsid w:val="0030539B"/>
    <w:rsid w:val="003057AC"/>
    <w:rsid w:val="00306004"/>
    <w:rsid w:val="00306677"/>
    <w:rsid w:val="00306D0C"/>
    <w:rsid w:val="0031664C"/>
    <w:rsid w:val="00322FA6"/>
    <w:rsid w:val="00325C23"/>
    <w:rsid w:val="00327BE1"/>
    <w:rsid w:val="003300CA"/>
    <w:rsid w:val="003330E6"/>
    <w:rsid w:val="003333BE"/>
    <w:rsid w:val="00333FD7"/>
    <w:rsid w:val="00335375"/>
    <w:rsid w:val="0033613B"/>
    <w:rsid w:val="00340887"/>
    <w:rsid w:val="003443C5"/>
    <w:rsid w:val="003512E8"/>
    <w:rsid w:val="00352ED1"/>
    <w:rsid w:val="003534B2"/>
    <w:rsid w:val="00353669"/>
    <w:rsid w:val="00354EA8"/>
    <w:rsid w:val="003565A6"/>
    <w:rsid w:val="00360877"/>
    <w:rsid w:val="00362C37"/>
    <w:rsid w:val="003652E1"/>
    <w:rsid w:val="00366220"/>
    <w:rsid w:val="003665B9"/>
    <w:rsid w:val="00370DF9"/>
    <w:rsid w:val="00372321"/>
    <w:rsid w:val="003730B4"/>
    <w:rsid w:val="003768D3"/>
    <w:rsid w:val="00376F27"/>
    <w:rsid w:val="00381860"/>
    <w:rsid w:val="00381A1B"/>
    <w:rsid w:val="00382B31"/>
    <w:rsid w:val="00383BA6"/>
    <w:rsid w:val="00383F93"/>
    <w:rsid w:val="003842E5"/>
    <w:rsid w:val="00385D04"/>
    <w:rsid w:val="00387C51"/>
    <w:rsid w:val="00395C38"/>
    <w:rsid w:val="00396540"/>
    <w:rsid w:val="003A0F9C"/>
    <w:rsid w:val="003A267E"/>
    <w:rsid w:val="003A3974"/>
    <w:rsid w:val="003A46D6"/>
    <w:rsid w:val="003A7696"/>
    <w:rsid w:val="003B2E89"/>
    <w:rsid w:val="003B3AE1"/>
    <w:rsid w:val="003B5C28"/>
    <w:rsid w:val="003C22D1"/>
    <w:rsid w:val="003C3013"/>
    <w:rsid w:val="003C36AC"/>
    <w:rsid w:val="003C3705"/>
    <w:rsid w:val="003C4376"/>
    <w:rsid w:val="003C44E0"/>
    <w:rsid w:val="003C4D5F"/>
    <w:rsid w:val="003C548F"/>
    <w:rsid w:val="003C556C"/>
    <w:rsid w:val="003C69E7"/>
    <w:rsid w:val="003C6B39"/>
    <w:rsid w:val="003D035D"/>
    <w:rsid w:val="003D0E20"/>
    <w:rsid w:val="003D6AB0"/>
    <w:rsid w:val="003D7757"/>
    <w:rsid w:val="003E33CC"/>
    <w:rsid w:val="003E4F11"/>
    <w:rsid w:val="003E66BE"/>
    <w:rsid w:val="003F2C10"/>
    <w:rsid w:val="003F684F"/>
    <w:rsid w:val="003F6E0E"/>
    <w:rsid w:val="003F77BD"/>
    <w:rsid w:val="003F7C1F"/>
    <w:rsid w:val="004038E5"/>
    <w:rsid w:val="0040752D"/>
    <w:rsid w:val="0040786D"/>
    <w:rsid w:val="00411B9A"/>
    <w:rsid w:val="00415E0C"/>
    <w:rsid w:val="00417163"/>
    <w:rsid w:val="0042056B"/>
    <w:rsid w:val="00420B68"/>
    <w:rsid w:val="00420B81"/>
    <w:rsid w:val="00420DE4"/>
    <w:rsid w:val="00424E84"/>
    <w:rsid w:val="00424F1D"/>
    <w:rsid w:val="00425629"/>
    <w:rsid w:val="00427406"/>
    <w:rsid w:val="0042758D"/>
    <w:rsid w:val="0043147A"/>
    <w:rsid w:val="00432BA6"/>
    <w:rsid w:val="00432BF4"/>
    <w:rsid w:val="004330F9"/>
    <w:rsid w:val="00434AE5"/>
    <w:rsid w:val="004355F1"/>
    <w:rsid w:val="00436229"/>
    <w:rsid w:val="00436638"/>
    <w:rsid w:val="00437CF7"/>
    <w:rsid w:val="004402BF"/>
    <w:rsid w:val="00440470"/>
    <w:rsid w:val="00443F8C"/>
    <w:rsid w:val="00447F4C"/>
    <w:rsid w:val="0045017F"/>
    <w:rsid w:val="00453F87"/>
    <w:rsid w:val="00454FD4"/>
    <w:rsid w:val="004606A0"/>
    <w:rsid w:val="00461C5D"/>
    <w:rsid w:val="00461DCB"/>
    <w:rsid w:val="00461E73"/>
    <w:rsid w:val="00463F29"/>
    <w:rsid w:val="0046446F"/>
    <w:rsid w:val="00464D59"/>
    <w:rsid w:val="00465E8C"/>
    <w:rsid w:val="0047117E"/>
    <w:rsid w:val="0047345A"/>
    <w:rsid w:val="00474949"/>
    <w:rsid w:val="00477F03"/>
    <w:rsid w:val="00481750"/>
    <w:rsid w:val="00481836"/>
    <w:rsid w:val="004820E9"/>
    <w:rsid w:val="0048249A"/>
    <w:rsid w:val="0048361F"/>
    <w:rsid w:val="004923C3"/>
    <w:rsid w:val="00492EF0"/>
    <w:rsid w:val="00493895"/>
    <w:rsid w:val="00493DB9"/>
    <w:rsid w:val="004A0839"/>
    <w:rsid w:val="004A40D0"/>
    <w:rsid w:val="004B03D5"/>
    <w:rsid w:val="004B09A8"/>
    <w:rsid w:val="004B1B91"/>
    <w:rsid w:val="004B2DF3"/>
    <w:rsid w:val="004B3175"/>
    <w:rsid w:val="004B394E"/>
    <w:rsid w:val="004B3E13"/>
    <w:rsid w:val="004B514C"/>
    <w:rsid w:val="004B5C4C"/>
    <w:rsid w:val="004B7E1F"/>
    <w:rsid w:val="004C014F"/>
    <w:rsid w:val="004C16C7"/>
    <w:rsid w:val="004C1EA9"/>
    <w:rsid w:val="004C214D"/>
    <w:rsid w:val="004C2595"/>
    <w:rsid w:val="004C3AF4"/>
    <w:rsid w:val="004C3EE1"/>
    <w:rsid w:val="004E0844"/>
    <w:rsid w:val="004E3192"/>
    <w:rsid w:val="004E3709"/>
    <w:rsid w:val="004E4137"/>
    <w:rsid w:val="004E45A9"/>
    <w:rsid w:val="004E68F1"/>
    <w:rsid w:val="004F1962"/>
    <w:rsid w:val="004F76A6"/>
    <w:rsid w:val="0050051D"/>
    <w:rsid w:val="00502ED1"/>
    <w:rsid w:val="00503C74"/>
    <w:rsid w:val="005042F6"/>
    <w:rsid w:val="0050592C"/>
    <w:rsid w:val="00506E84"/>
    <w:rsid w:val="00507215"/>
    <w:rsid w:val="00507E19"/>
    <w:rsid w:val="0051185F"/>
    <w:rsid w:val="005125DE"/>
    <w:rsid w:val="00515062"/>
    <w:rsid w:val="00520CD0"/>
    <w:rsid w:val="00521940"/>
    <w:rsid w:val="00522FB3"/>
    <w:rsid w:val="00523306"/>
    <w:rsid w:val="00524FCC"/>
    <w:rsid w:val="00525521"/>
    <w:rsid w:val="0052606B"/>
    <w:rsid w:val="005268DB"/>
    <w:rsid w:val="00526C07"/>
    <w:rsid w:val="00527E41"/>
    <w:rsid w:val="00530396"/>
    <w:rsid w:val="00530748"/>
    <w:rsid w:val="00530D37"/>
    <w:rsid w:val="00530E29"/>
    <w:rsid w:val="00531C2F"/>
    <w:rsid w:val="0053387C"/>
    <w:rsid w:val="005410BF"/>
    <w:rsid w:val="0054168C"/>
    <w:rsid w:val="00544458"/>
    <w:rsid w:val="00546343"/>
    <w:rsid w:val="00546F59"/>
    <w:rsid w:val="00550C1D"/>
    <w:rsid w:val="00550F31"/>
    <w:rsid w:val="00554D36"/>
    <w:rsid w:val="00556C98"/>
    <w:rsid w:val="00561346"/>
    <w:rsid w:val="00561E27"/>
    <w:rsid w:val="005633F9"/>
    <w:rsid w:val="00564A10"/>
    <w:rsid w:val="00564A94"/>
    <w:rsid w:val="00564D95"/>
    <w:rsid w:val="005713E5"/>
    <w:rsid w:val="00572029"/>
    <w:rsid w:val="00575D0C"/>
    <w:rsid w:val="00575E20"/>
    <w:rsid w:val="00576465"/>
    <w:rsid w:val="0058136D"/>
    <w:rsid w:val="005838C6"/>
    <w:rsid w:val="00584AD8"/>
    <w:rsid w:val="00585735"/>
    <w:rsid w:val="0058612E"/>
    <w:rsid w:val="0058757C"/>
    <w:rsid w:val="00587B21"/>
    <w:rsid w:val="00590E07"/>
    <w:rsid w:val="00592A0B"/>
    <w:rsid w:val="0059308E"/>
    <w:rsid w:val="005A017A"/>
    <w:rsid w:val="005A0FF4"/>
    <w:rsid w:val="005A1494"/>
    <w:rsid w:val="005A4D3B"/>
    <w:rsid w:val="005B0269"/>
    <w:rsid w:val="005B06D5"/>
    <w:rsid w:val="005B12C7"/>
    <w:rsid w:val="005B5AE1"/>
    <w:rsid w:val="005B6C2E"/>
    <w:rsid w:val="005B7EBF"/>
    <w:rsid w:val="005C051F"/>
    <w:rsid w:val="005C4C3E"/>
    <w:rsid w:val="005C52AF"/>
    <w:rsid w:val="005C54C1"/>
    <w:rsid w:val="005C762E"/>
    <w:rsid w:val="005C7B1F"/>
    <w:rsid w:val="005D098C"/>
    <w:rsid w:val="005D45C5"/>
    <w:rsid w:val="005D5B9E"/>
    <w:rsid w:val="005D5F7D"/>
    <w:rsid w:val="005D771B"/>
    <w:rsid w:val="005E2E5E"/>
    <w:rsid w:val="005E30F3"/>
    <w:rsid w:val="005E352D"/>
    <w:rsid w:val="005E52EE"/>
    <w:rsid w:val="005E5958"/>
    <w:rsid w:val="005E6FCA"/>
    <w:rsid w:val="005E7315"/>
    <w:rsid w:val="005E76D6"/>
    <w:rsid w:val="005F5EC0"/>
    <w:rsid w:val="005F60AE"/>
    <w:rsid w:val="006004DA"/>
    <w:rsid w:val="00603712"/>
    <w:rsid w:val="006039CC"/>
    <w:rsid w:val="006045D6"/>
    <w:rsid w:val="00604AFB"/>
    <w:rsid w:val="0060536A"/>
    <w:rsid w:val="00605F33"/>
    <w:rsid w:val="0060662A"/>
    <w:rsid w:val="00607C3F"/>
    <w:rsid w:val="00612789"/>
    <w:rsid w:val="00614AF4"/>
    <w:rsid w:val="00614BDA"/>
    <w:rsid w:val="00616924"/>
    <w:rsid w:val="00620A79"/>
    <w:rsid w:val="0062266D"/>
    <w:rsid w:val="0062339C"/>
    <w:rsid w:val="00624868"/>
    <w:rsid w:val="00626EBE"/>
    <w:rsid w:val="006331B4"/>
    <w:rsid w:val="006343F3"/>
    <w:rsid w:val="00640825"/>
    <w:rsid w:val="006410A4"/>
    <w:rsid w:val="00642906"/>
    <w:rsid w:val="00644BC6"/>
    <w:rsid w:val="00644ECF"/>
    <w:rsid w:val="006457EF"/>
    <w:rsid w:val="00647F2A"/>
    <w:rsid w:val="0065029A"/>
    <w:rsid w:val="00652D96"/>
    <w:rsid w:val="006547A1"/>
    <w:rsid w:val="00655C94"/>
    <w:rsid w:val="0065777D"/>
    <w:rsid w:val="0066327D"/>
    <w:rsid w:val="00666860"/>
    <w:rsid w:val="006677CC"/>
    <w:rsid w:val="00667AE5"/>
    <w:rsid w:val="00667C38"/>
    <w:rsid w:val="0067306F"/>
    <w:rsid w:val="00674850"/>
    <w:rsid w:val="006757DF"/>
    <w:rsid w:val="00681565"/>
    <w:rsid w:val="00682B75"/>
    <w:rsid w:val="00682DEA"/>
    <w:rsid w:val="00687927"/>
    <w:rsid w:val="006901C1"/>
    <w:rsid w:val="0069128A"/>
    <w:rsid w:val="00692EA7"/>
    <w:rsid w:val="00693E83"/>
    <w:rsid w:val="006940D8"/>
    <w:rsid w:val="0069613E"/>
    <w:rsid w:val="00696681"/>
    <w:rsid w:val="0069770B"/>
    <w:rsid w:val="00697865"/>
    <w:rsid w:val="006A1030"/>
    <w:rsid w:val="006A318D"/>
    <w:rsid w:val="006A3DCC"/>
    <w:rsid w:val="006A5C8A"/>
    <w:rsid w:val="006A635E"/>
    <w:rsid w:val="006A721F"/>
    <w:rsid w:val="006A7DA9"/>
    <w:rsid w:val="006B0594"/>
    <w:rsid w:val="006B0665"/>
    <w:rsid w:val="006B4CA3"/>
    <w:rsid w:val="006B52D2"/>
    <w:rsid w:val="006C043A"/>
    <w:rsid w:val="006C12F2"/>
    <w:rsid w:val="006C38E8"/>
    <w:rsid w:val="006C4301"/>
    <w:rsid w:val="006C6403"/>
    <w:rsid w:val="006C649D"/>
    <w:rsid w:val="006C6D11"/>
    <w:rsid w:val="006D1ADD"/>
    <w:rsid w:val="006D3F7C"/>
    <w:rsid w:val="006D4650"/>
    <w:rsid w:val="006D521C"/>
    <w:rsid w:val="006D55ED"/>
    <w:rsid w:val="006D6C55"/>
    <w:rsid w:val="006D73F1"/>
    <w:rsid w:val="006D7CAC"/>
    <w:rsid w:val="006E060B"/>
    <w:rsid w:val="006E0F01"/>
    <w:rsid w:val="006E10E2"/>
    <w:rsid w:val="006E26CC"/>
    <w:rsid w:val="006E5A28"/>
    <w:rsid w:val="006F2FF3"/>
    <w:rsid w:val="0070031C"/>
    <w:rsid w:val="00700C0B"/>
    <w:rsid w:val="007032E3"/>
    <w:rsid w:val="00703BCC"/>
    <w:rsid w:val="007137D6"/>
    <w:rsid w:val="00715052"/>
    <w:rsid w:val="00720B9F"/>
    <w:rsid w:val="00722D55"/>
    <w:rsid w:val="007268F0"/>
    <w:rsid w:val="00731524"/>
    <w:rsid w:val="00731AD2"/>
    <w:rsid w:val="00732519"/>
    <w:rsid w:val="00732B75"/>
    <w:rsid w:val="0073346F"/>
    <w:rsid w:val="00736AA2"/>
    <w:rsid w:val="00736B7B"/>
    <w:rsid w:val="0074248F"/>
    <w:rsid w:val="00746DD5"/>
    <w:rsid w:val="00750054"/>
    <w:rsid w:val="00751A0A"/>
    <w:rsid w:val="0075321A"/>
    <w:rsid w:val="00760941"/>
    <w:rsid w:val="00761733"/>
    <w:rsid w:val="0076263C"/>
    <w:rsid w:val="00763A46"/>
    <w:rsid w:val="0077091E"/>
    <w:rsid w:val="00771F03"/>
    <w:rsid w:val="0077326D"/>
    <w:rsid w:val="0077771F"/>
    <w:rsid w:val="00780293"/>
    <w:rsid w:val="00782FB2"/>
    <w:rsid w:val="00783AB9"/>
    <w:rsid w:val="00786452"/>
    <w:rsid w:val="0078666B"/>
    <w:rsid w:val="00787664"/>
    <w:rsid w:val="0079012E"/>
    <w:rsid w:val="00790DA0"/>
    <w:rsid w:val="007921F8"/>
    <w:rsid w:val="00796A7A"/>
    <w:rsid w:val="00797DDA"/>
    <w:rsid w:val="007A2BA5"/>
    <w:rsid w:val="007A4EEE"/>
    <w:rsid w:val="007A5ECA"/>
    <w:rsid w:val="007A6B5F"/>
    <w:rsid w:val="007B0E7F"/>
    <w:rsid w:val="007B49A7"/>
    <w:rsid w:val="007B6DB1"/>
    <w:rsid w:val="007B7F7D"/>
    <w:rsid w:val="007C1889"/>
    <w:rsid w:val="007C3129"/>
    <w:rsid w:val="007C669C"/>
    <w:rsid w:val="007C6C0C"/>
    <w:rsid w:val="007C6E88"/>
    <w:rsid w:val="007C7E17"/>
    <w:rsid w:val="007D4F57"/>
    <w:rsid w:val="007D5CF7"/>
    <w:rsid w:val="007D5E33"/>
    <w:rsid w:val="007D61C8"/>
    <w:rsid w:val="007D7F27"/>
    <w:rsid w:val="007E1F6C"/>
    <w:rsid w:val="007E36DC"/>
    <w:rsid w:val="007E64D0"/>
    <w:rsid w:val="007E6A88"/>
    <w:rsid w:val="007E6AA5"/>
    <w:rsid w:val="007E6C02"/>
    <w:rsid w:val="007E7DDD"/>
    <w:rsid w:val="007F2A85"/>
    <w:rsid w:val="007F40C8"/>
    <w:rsid w:val="007F4DE1"/>
    <w:rsid w:val="008005AC"/>
    <w:rsid w:val="00802238"/>
    <w:rsid w:val="00802D48"/>
    <w:rsid w:val="008048F9"/>
    <w:rsid w:val="008068B3"/>
    <w:rsid w:val="0081093D"/>
    <w:rsid w:val="00813323"/>
    <w:rsid w:val="00816DAF"/>
    <w:rsid w:val="00817C4A"/>
    <w:rsid w:val="00820DCC"/>
    <w:rsid w:val="0082200D"/>
    <w:rsid w:val="00823A32"/>
    <w:rsid w:val="0082732E"/>
    <w:rsid w:val="008275A6"/>
    <w:rsid w:val="00827930"/>
    <w:rsid w:val="00830043"/>
    <w:rsid w:val="00834694"/>
    <w:rsid w:val="00834FCA"/>
    <w:rsid w:val="00836D64"/>
    <w:rsid w:val="00836F67"/>
    <w:rsid w:val="008375AF"/>
    <w:rsid w:val="0083775C"/>
    <w:rsid w:val="008404AF"/>
    <w:rsid w:val="008431D4"/>
    <w:rsid w:val="008442BB"/>
    <w:rsid w:val="0084494B"/>
    <w:rsid w:val="008475B9"/>
    <w:rsid w:val="008501C5"/>
    <w:rsid w:val="008505C3"/>
    <w:rsid w:val="00850FCB"/>
    <w:rsid w:val="00851D79"/>
    <w:rsid w:val="00852218"/>
    <w:rsid w:val="00852B0A"/>
    <w:rsid w:val="00853424"/>
    <w:rsid w:val="00856932"/>
    <w:rsid w:val="00856991"/>
    <w:rsid w:val="00857C12"/>
    <w:rsid w:val="00860724"/>
    <w:rsid w:val="0086406E"/>
    <w:rsid w:val="0086472B"/>
    <w:rsid w:val="00865686"/>
    <w:rsid w:val="00866528"/>
    <w:rsid w:val="00867548"/>
    <w:rsid w:val="00870928"/>
    <w:rsid w:val="00870A18"/>
    <w:rsid w:val="00870A58"/>
    <w:rsid w:val="00874A98"/>
    <w:rsid w:val="00874C3B"/>
    <w:rsid w:val="00874DF4"/>
    <w:rsid w:val="00875FAA"/>
    <w:rsid w:val="008763ED"/>
    <w:rsid w:val="008769BB"/>
    <w:rsid w:val="008771E2"/>
    <w:rsid w:val="00877774"/>
    <w:rsid w:val="00881EB5"/>
    <w:rsid w:val="00883CD0"/>
    <w:rsid w:val="00885726"/>
    <w:rsid w:val="00886A5A"/>
    <w:rsid w:val="008876A5"/>
    <w:rsid w:val="00887806"/>
    <w:rsid w:val="00890F2B"/>
    <w:rsid w:val="00892DA9"/>
    <w:rsid w:val="00897087"/>
    <w:rsid w:val="008A1E14"/>
    <w:rsid w:val="008A33C3"/>
    <w:rsid w:val="008A3FB8"/>
    <w:rsid w:val="008A59AF"/>
    <w:rsid w:val="008A6727"/>
    <w:rsid w:val="008B0146"/>
    <w:rsid w:val="008B24A3"/>
    <w:rsid w:val="008B354D"/>
    <w:rsid w:val="008B3E3D"/>
    <w:rsid w:val="008B6E5E"/>
    <w:rsid w:val="008B6FE2"/>
    <w:rsid w:val="008C2203"/>
    <w:rsid w:val="008C33EE"/>
    <w:rsid w:val="008C3409"/>
    <w:rsid w:val="008C3EDB"/>
    <w:rsid w:val="008C794E"/>
    <w:rsid w:val="008D4AD8"/>
    <w:rsid w:val="008D54D1"/>
    <w:rsid w:val="008D5931"/>
    <w:rsid w:val="008D7010"/>
    <w:rsid w:val="008E063D"/>
    <w:rsid w:val="008E6494"/>
    <w:rsid w:val="008E7585"/>
    <w:rsid w:val="008F03D4"/>
    <w:rsid w:val="008F0B0A"/>
    <w:rsid w:val="008F12F1"/>
    <w:rsid w:val="008F2964"/>
    <w:rsid w:val="008F2A41"/>
    <w:rsid w:val="008F7275"/>
    <w:rsid w:val="00901264"/>
    <w:rsid w:val="00901E23"/>
    <w:rsid w:val="00906852"/>
    <w:rsid w:val="00911EDC"/>
    <w:rsid w:val="0091438E"/>
    <w:rsid w:val="00922C5C"/>
    <w:rsid w:val="0092657D"/>
    <w:rsid w:val="009267CA"/>
    <w:rsid w:val="009303FE"/>
    <w:rsid w:val="00930B13"/>
    <w:rsid w:val="00933899"/>
    <w:rsid w:val="0093564F"/>
    <w:rsid w:val="00936CEE"/>
    <w:rsid w:val="00941AE1"/>
    <w:rsid w:val="009427F1"/>
    <w:rsid w:val="00942987"/>
    <w:rsid w:val="009429A4"/>
    <w:rsid w:val="0094366C"/>
    <w:rsid w:val="0094429A"/>
    <w:rsid w:val="0094626E"/>
    <w:rsid w:val="00946E11"/>
    <w:rsid w:val="0095182A"/>
    <w:rsid w:val="00953ADF"/>
    <w:rsid w:val="00954ADA"/>
    <w:rsid w:val="0095762B"/>
    <w:rsid w:val="00960AFC"/>
    <w:rsid w:val="00960D49"/>
    <w:rsid w:val="00961A8F"/>
    <w:rsid w:val="009631D9"/>
    <w:rsid w:val="00965183"/>
    <w:rsid w:val="009766B9"/>
    <w:rsid w:val="00977FD7"/>
    <w:rsid w:val="0098075C"/>
    <w:rsid w:val="00980C93"/>
    <w:rsid w:val="00981BAD"/>
    <w:rsid w:val="00982B83"/>
    <w:rsid w:val="009863FD"/>
    <w:rsid w:val="0099008F"/>
    <w:rsid w:val="009914E7"/>
    <w:rsid w:val="009920E1"/>
    <w:rsid w:val="00994AE5"/>
    <w:rsid w:val="00996EF0"/>
    <w:rsid w:val="009A29EB"/>
    <w:rsid w:val="009A4D8D"/>
    <w:rsid w:val="009A5F0C"/>
    <w:rsid w:val="009A6800"/>
    <w:rsid w:val="009B078B"/>
    <w:rsid w:val="009B1DAF"/>
    <w:rsid w:val="009B2A63"/>
    <w:rsid w:val="009B621A"/>
    <w:rsid w:val="009B6519"/>
    <w:rsid w:val="009C0A56"/>
    <w:rsid w:val="009C0F54"/>
    <w:rsid w:val="009C1B03"/>
    <w:rsid w:val="009C215B"/>
    <w:rsid w:val="009C45D9"/>
    <w:rsid w:val="009C6466"/>
    <w:rsid w:val="009C6D74"/>
    <w:rsid w:val="009C6F32"/>
    <w:rsid w:val="009D1514"/>
    <w:rsid w:val="009D2A3F"/>
    <w:rsid w:val="009D5563"/>
    <w:rsid w:val="009F01BB"/>
    <w:rsid w:val="009F081F"/>
    <w:rsid w:val="009F1192"/>
    <w:rsid w:val="009F2F4C"/>
    <w:rsid w:val="00A02D88"/>
    <w:rsid w:val="00A063FC"/>
    <w:rsid w:val="00A06657"/>
    <w:rsid w:val="00A121E5"/>
    <w:rsid w:val="00A1294A"/>
    <w:rsid w:val="00A12B22"/>
    <w:rsid w:val="00A12D24"/>
    <w:rsid w:val="00A168D6"/>
    <w:rsid w:val="00A16973"/>
    <w:rsid w:val="00A1760E"/>
    <w:rsid w:val="00A215F4"/>
    <w:rsid w:val="00A21C96"/>
    <w:rsid w:val="00A2576D"/>
    <w:rsid w:val="00A33C63"/>
    <w:rsid w:val="00A37590"/>
    <w:rsid w:val="00A40703"/>
    <w:rsid w:val="00A42014"/>
    <w:rsid w:val="00A42BDC"/>
    <w:rsid w:val="00A43073"/>
    <w:rsid w:val="00A43675"/>
    <w:rsid w:val="00A46DB8"/>
    <w:rsid w:val="00A470C8"/>
    <w:rsid w:val="00A47D94"/>
    <w:rsid w:val="00A50F79"/>
    <w:rsid w:val="00A533B0"/>
    <w:rsid w:val="00A63191"/>
    <w:rsid w:val="00A644BF"/>
    <w:rsid w:val="00A64DB0"/>
    <w:rsid w:val="00A738CB"/>
    <w:rsid w:val="00A73DAD"/>
    <w:rsid w:val="00A74229"/>
    <w:rsid w:val="00A748B2"/>
    <w:rsid w:val="00A8033C"/>
    <w:rsid w:val="00A82323"/>
    <w:rsid w:val="00A827EC"/>
    <w:rsid w:val="00A837E2"/>
    <w:rsid w:val="00A86D3D"/>
    <w:rsid w:val="00A902D0"/>
    <w:rsid w:val="00A91F29"/>
    <w:rsid w:val="00AA3D42"/>
    <w:rsid w:val="00AA4A4F"/>
    <w:rsid w:val="00AA5E37"/>
    <w:rsid w:val="00AA7D3B"/>
    <w:rsid w:val="00AB164F"/>
    <w:rsid w:val="00AB1B8A"/>
    <w:rsid w:val="00AB2244"/>
    <w:rsid w:val="00AB2948"/>
    <w:rsid w:val="00AB39FA"/>
    <w:rsid w:val="00AB536C"/>
    <w:rsid w:val="00AB7EA3"/>
    <w:rsid w:val="00AC4FCA"/>
    <w:rsid w:val="00AC5C23"/>
    <w:rsid w:val="00AD0114"/>
    <w:rsid w:val="00AD10DD"/>
    <w:rsid w:val="00AD13EC"/>
    <w:rsid w:val="00AD234A"/>
    <w:rsid w:val="00AD6933"/>
    <w:rsid w:val="00AD6B7B"/>
    <w:rsid w:val="00AE223C"/>
    <w:rsid w:val="00AE3233"/>
    <w:rsid w:val="00AE38A1"/>
    <w:rsid w:val="00AE52FC"/>
    <w:rsid w:val="00AE5363"/>
    <w:rsid w:val="00AE6345"/>
    <w:rsid w:val="00AF033F"/>
    <w:rsid w:val="00AF0CA5"/>
    <w:rsid w:val="00AF3DB5"/>
    <w:rsid w:val="00AF6101"/>
    <w:rsid w:val="00AF67FE"/>
    <w:rsid w:val="00B00782"/>
    <w:rsid w:val="00B04404"/>
    <w:rsid w:val="00B0454E"/>
    <w:rsid w:val="00B073CE"/>
    <w:rsid w:val="00B11F72"/>
    <w:rsid w:val="00B1320B"/>
    <w:rsid w:val="00B14B9B"/>
    <w:rsid w:val="00B21AC8"/>
    <w:rsid w:val="00B22BA0"/>
    <w:rsid w:val="00B232AF"/>
    <w:rsid w:val="00B26C3D"/>
    <w:rsid w:val="00B2734C"/>
    <w:rsid w:val="00B37035"/>
    <w:rsid w:val="00B40295"/>
    <w:rsid w:val="00B41581"/>
    <w:rsid w:val="00B4195F"/>
    <w:rsid w:val="00B43324"/>
    <w:rsid w:val="00B43BBF"/>
    <w:rsid w:val="00B513CE"/>
    <w:rsid w:val="00B540A2"/>
    <w:rsid w:val="00B550F6"/>
    <w:rsid w:val="00B60114"/>
    <w:rsid w:val="00B60808"/>
    <w:rsid w:val="00B64B0F"/>
    <w:rsid w:val="00B66641"/>
    <w:rsid w:val="00B66AF1"/>
    <w:rsid w:val="00B67E19"/>
    <w:rsid w:val="00B67EB3"/>
    <w:rsid w:val="00B71044"/>
    <w:rsid w:val="00B71366"/>
    <w:rsid w:val="00B74440"/>
    <w:rsid w:val="00B74937"/>
    <w:rsid w:val="00B765CF"/>
    <w:rsid w:val="00B7709E"/>
    <w:rsid w:val="00B802FE"/>
    <w:rsid w:val="00B813DD"/>
    <w:rsid w:val="00B83E3E"/>
    <w:rsid w:val="00B85552"/>
    <w:rsid w:val="00B856D9"/>
    <w:rsid w:val="00B93A86"/>
    <w:rsid w:val="00B93B4C"/>
    <w:rsid w:val="00BA38E8"/>
    <w:rsid w:val="00BA3B64"/>
    <w:rsid w:val="00BA468A"/>
    <w:rsid w:val="00BA4F19"/>
    <w:rsid w:val="00BA5150"/>
    <w:rsid w:val="00BA669A"/>
    <w:rsid w:val="00BA7C77"/>
    <w:rsid w:val="00BB047B"/>
    <w:rsid w:val="00BB6398"/>
    <w:rsid w:val="00BB7345"/>
    <w:rsid w:val="00BB7552"/>
    <w:rsid w:val="00BC0602"/>
    <w:rsid w:val="00BC1AFE"/>
    <w:rsid w:val="00BC368E"/>
    <w:rsid w:val="00BC4A2A"/>
    <w:rsid w:val="00BC52F2"/>
    <w:rsid w:val="00BC6C31"/>
    <w:rsid w:val="00BD0372"/>
    <w:rsid w:val="00BD3BC6"/>
    <w:rsid w:val="00BD568E"/>
    <w:rsid w:val="00BD6978"/>
    <w:rsid w:val="00BD70DF"/>
    <w:rsid w:val="00BD7667"/>
    <w:rsid w:val="00BE33BE"/>
    <w:rsid w:val="00BE516F"/>
    <w:rsid w:val="00BE5E2F"/>
    <w:rsid w:val="00BE61F6"/>
    <w:rsid w:val="00BE7271"/>
    <w:rsid w:val="00BF1994"/>
    <w:rsid w:val="00C00216"/>
    <w:rsid w:val="00C01490"/>
    <w:rsid w:val="00C0405B"/>
    <w:rsid w:val="00C10A29"/>
    <w:rsid w:val="00C129BF"/>
    <w:rsid w:val="00C139CA"/>
    <w:rsid w:val="00C14D57"/>
    <w:rsid w:val="00C22285"/>
    <w:rsid w:val="00C22A58"/>
    <w:rsid w:val="00C24051"/>
    <w:rsid w:val="00C3145C"/>
    <w:rsid w:val="00C3210D"/>
    <w:rsid w:val="00C322A5"/>
    <w:rsid w:val="00C35C6D"/>
    <w:rsid w:val="00C40789"/>
    <w:rsid w:val="00C4364C"/>
    <w:rsid w:val="00C4408B"/>
    <w:rsid w:val="00C47C48"/>
    <w:rsid w:val="00C51429"/>
    <w:rsid w:val="00C6119F"/>
    <w:rsid w:val="00C61887"/>
    <w:rsid w:val="00C62416"/>
    <w:rsid w:val="00C624E8"/>
    <w:rsid w:val="00C6261A"/>
    <w:rsid w:val="00C650E6"/>
    <w:rsid w:val="00C65B98"/>
    <w:rsid w:val="00C66455"/>
    <w:rsid w:val="00C66DFD"/>
    <w:rsid w:val="00C66F7A"/>
    <w:rsid w:val="00C672BD"/>
    <w:rsid w:val="00C67676"/>
    <w:rsid w:val="00C677B3"/>
    <w:rsid w:val="00C74818"/>
    <w:rsid w:val="00C74E50"/>
    <w:rsid w:val="00C773A4"/>
    <w:rsid w:val="00C804FC"/>
    <w:rsid w:val="00C8235C"/>
    <w:rsid w:val="00C82F3F"/>
    <w:rsid w:val="00C84F2D"/>
    <w:rsid w:val="00C856E1"/>
    <w:rsid w:val="00C863E4"/>
    <w:rsid w:val="00C86CCD"/>
    <w:rsid w:val="00C87318"/>
    <w:rsid w:val="00C875E7"/>
    <w:rsid w:val="00C9287D"/>
    <w:rsid w:val="00C92DC9"/>
    <w:rsid w:val="00C94455"/>
    <w:rsid w:val="00C94791"/>
    <w:rsid w:val="00CA1C1B"/>
    <w:rsid w:val="00CA1D21"/>
    <w:rsid w:val="00CA6E52"/>
    <w:rsid w:val="00CB0C40"/>
    <w:rsid w:val="00CB2ECF"/>
    <w:rsid w:val="00CB67D5"/>
    <w:rsid w:val="00CB6D5A"/>
    <w:rsid w:val="00CC12A7"/>
    <w:rsid w:val="00CC1A4C"/>
    <w:rsid w:val="00CC2DAC"/>
    <w:rsid w:val="00CC731A"/>
    <w:rsid w:val="00CC73C5"/>
    <w:rsid w:val="00CC7D1D"/>
    <w:rsid w:val="00CD1DF9"/>
    <w:rsid w:val="00CD3497"/>
    <w:rsid w:val="00CD4535"/>
    <w:rsid w:val="00CD7303"/>
    <w:rsid w:val="00CE12CA"/>
    <w:rsid w:val="00CF05A5"/>
    <w:rsid w:val="00CF0DA3"/>
    <w:rsid w:val="00CF30B7"/>
    <w:rsid w:val="00CF4A41"/>
    <w:rsid w:val="00CF5452"/>
    <w:rsid w:val="00CF585A"/>
    <w:rsid w:val="00CF5D71"/>
    <w:rsid w:val="00CF6D66"/>
    <w:rsid w:val="00CF70C0"/>
    <w:rsid w:val="00D0064A"/>
    <w:rsid w:val="00D00AAC"/>
    <w:rsid w:val="00D012E7"/>
    <w:rsid w:val="00D03681"/>
    <w:rsid w:val="00D04075"/>
    <w:rsid w:val="00D04272"/>
    <w:rsid w:val="00D07991"/>
    <w:rsid w:val="00D10077"/>
    <w:rsid w:val="00D126AA"/>
    <w:rsid w:val="00D13FE7"/>
    <w:rsid w:val="00D17A9E"/>
    <w:rsid w:val="00D23DBD"/>
    <w:rsid w:val="00D246E3"/>
    <w:rsid w:val="00D30811"/>
    <w:rsid w:val="00D34639"/>
    <w:rsid w:val="00D34845"/>
    <w:rsid w:val="00D349B8"/>
    <w:rsid w:val="00D34A3A"/>
    <w:rsid w:val="00D34AD5"/>
    <w:rsid w:val="00D35A37"/>
    <w:rsid w:val="00D3612A"/>
    <w:rsid w:val="00D36CE6"/>
    <w:rsid w:val="00D37703"/>
    <w:rsid w:val="00D37874"/>
    <w:rsid w:val="00D37F25"/>
    <w:rsid w:val="00D459D6"/>
    <w:rsid w:val="00D46E0A"/>
    <w:rsid w:val="00D4739F"/>
    <w:rsid w:val="00D51BD9"/>
    <w:rsid w:val="00D53518"/>
    <w:rsid w:val="00D5435B"/>
    <w:rsid w:val="00D550D7"/>
    <w:rsid w:val="00D67639"/>
    <w:rsid w:val="00D70BA5"/>
    <w:rsid w:val="00D70ECC"/>
    <w:rsid w:val="00D71E10"/>
    <w:rsid w:val="00D743FC"/>
    <w:rsid w:val="00D77807"/>
    <w:rsid w:val="00D81643"/>
    <w:rsid w:val="00D81704"/>
    <w:rsid w:val="00D8237F"/>
    <w:rsid w:val="00D82AE2"/>
    <w:rsid w:val="00D85268"/>
    <w:rsid w:val="00D90BE9"/>
    <w:rsid w:val="00D90E90"/>
    <w:rsid w:val="00D9148D"/>
    <w:rsid w:val="00D92033"/>
    <w:rsid w:val="00D93FB2"/>
    <w:rsid w:val="00D96AA3"/>
    <w:rsid w:val="00D97312"/>
    <w:rsid w:val="00D97BB9"/>
    <w:rsid w:val="00DA013A"/>
    <w:rsid w:val="00DA0D5B"/>
    <w:rsid w:val="00DA5E1E"/>
    <w:rsid w:val="00DB046D"/>
    <w:rsid w:val="00DB0677"/>
    <w:rsid w:val="00DB2239"/>
    <w:rsid w:val="00DB331D"/>
    <w:rsid w:val="00DB38DB"/>
    <w:rsid w:val="00DB5211"/>
    <w:rsid w:val="00DB5FF3"/>
    <w:rsid w:val="00DC4D38"/>
    <w:rsid w:val="00DD0CA1"/>
    <w:rsid w:val="00DD3BF6"/>
    <w:rsid w:val="00DD6CA2"/>
    <w:rsid w:val="00DD7813"/>
    <w:rsid w:val="00DD7831"/>
    <w:rsid w:val="00DE0BB6"/>
    <w:rsid w:val="00DE0E29"/>
    <w:rsid w:val="00DE14E7"/>
    <w:rsid w:val="00DE62BB"/>
    <w:rsid w:val="00DE62F0"/>
    <w:rsid w:val="00DE643F"/>
    <w:rsid w:val="00DE6CF6"/>
    <w:rsid w:val="00E00325"/>
    <w:rsid w:val="00E009D4"/>
    <w:rsid w:val="00E036ED"/>
    <w:rsid w:val="00E0748A"/>
    <w:rsid w:val="00E15572"/>
    <w:rsid w:val="00E15847"/>
    <w:rsid w:val="00E15EFF"/>
    <w:rsid w:val="00E22F1B"/>
    <w:rsid w:val="00E22F7A"/>
    <w:rsid w:val="00E23258"/>
    <w:rsid w:val="00E27A94"/>
    <w:rsid w:val="00E27D9A"/>
    <w:rsid w:val="00E30A8B"/>
    <w:rsid w:val="00E410A4"/>
    <w:rsid w:val="00E41F5C"/>
    <w:rsid w:val="00E42D56"/>
    <w:rsid w:val="00E4622C"/>
    <w:rsid w:val="00E47072"/>
    <w:rsid w:val="00E474FD"/>
    <w:rsid w:val="00E502C2"/>
    <w:rsid w:val="00E50942"/>
    <w:rsid w:val="00E51FFB"/>
    <w:rsid w:val="00E57666"/>
    <w:rsid w:val="00E601F5"/>
    <w:rsid w:val="00E6026B"/>
    <w:rsid w:val="00E604D5"/>
    <w:rsid w:val="00E60AD0"/>
    <w:rsid w:val="00E61D74"/>
    <w:rsid w:val="00E63036"/>
    <w:rsid w:val="00E641E7"/>
    <w:rsid w:val="00E702D4"/>
    <w:rsid w:val="00E70520"/>
    <w:rsid w:val="00E71147"/>
    <w:rsid w:val="00E71488"/>
    <w:rsid w:val="00E75235"/>
    <w:rsid w:val="00E840B5"/>
    <w:rsid w:val="00E85951"/>
    <w:rsid w:val="00E87527"/>
    <w:rsid w:val="00E925EA"/>
    <w:rsid w:val="00E928CE"/>
    <w:rsid w:val="00E94C7A"/>
    <w:rsid w:val="00EA1E01"/>
    <w:rsid w:val="00EB1101"/>
    <w:rsid w:val="00EB1674"/>
    <w:rsid w:val="00EB28CA"/>
    <w:rsid w:val="00EB579E"/>
    <w:rsid w:val="00EB688F"/>
    <w:rsid w:val="00EB6CAE"/>
    <w:rsid w:val="00EC4169"/>
    <w:rsid w:val="00EC649D"/>
    <w:rsid w:val="00EC695D"/>
    <w:rsid w:val="00ED29E2"/>
    <w:rsid w:val="00ED4210"/>
    <w:rsid w:val="00ED5440"/>
    <w:rsid w:val="00ED560C"/>
    <w:rsid w:val="00ED6676"/>
    <w:rsid w:val="00ED73F6"/>
    <w:rsid w:val="00ED74B4"/>
    <w:rsid w:val="00EE0578"/>
    <w:rsid w:val="00EE0617"/>
    <w:rsid w:val="00EE0E9A"/>
    <w:rsid w:val="00EE1307"/>
    <w:rsid w:val="00EE20A0"/>
    <w:rsid w:val="00EE3D43"/>
    <w:rsid w:val="00EE547D"/>
    <w:rsid w:val="00EF04AF"/>
    <w:rsid w:val="00EF04C1"/>
    <w:rsid w:val="00EF12A4"/>
    <w:rsid w:val="00EF4204"/>
    <w:rsid w:val="00EF4A3D"/>
    <w:rsid w:val="00EF4E68"/>
    <w:rsid w:val="00EF55D0"/>
    <w:rsid w:val="00EF5DFB"/>
    <w:rsid w:val="00EF631B"/>
    <w:rsid w:val="00EF7C6F"/>
    <w:rsid w:val="00F005AE"/>
    <w:rsid w:val="00F04192"/>
    <w:rsid w:val="00F1292B"/>
    <w:rsid w:val="00F12EE7"/>
    <w:rsid w:val="00F13CE1"/>
    <w:rsid w:val="00F140F5"/>
    <w:rsid w:val="00F15A66"/>
    <w:rsid w:val="00F17336"/>
    <w:rsid w:val="00F17DBF"/>
    <w:rsid w:val="00F21484"/>
    <w:rsid w:val="00F21817"/>
    <w:rsid w:val="00F22452"/>
    <w:rsid w:val="00F244C7"/>
    <w:rsid w:val="00F2684C"/>
    <w:rsid w:val="00F268BA"/>
    <w:rsid w:val="00F26A9F"/>
    <w:rsid w:val="00F272C4"/>
    <w:rsid w:val="00F36C85"/>
    <w:rsid w:val="00F37153"/>
    <w:rsid w:val="00F40C75"/>
    <w:rsid w:val="00F422F9"/>
    <w:rsid w:val="00F427F3"/>
    <w:rsid w:val="00F428CA"/>
    <w:rsid w:val="00F43EE3"/>
    <w:rsid w:val="00F4565A"/>
    <w:rsid w:val="00F526E3"/>
    <w:rsid w:val="00F53F73"/>
    <w:rsid w:val="00F5472C"/>
    <w:rsid w:val="00F55F0C"/>
    <w:rsid w:val="00F57A15"/>
    <w:rsid w:val="00F60648"/>
    <w:rsid w:val="00F625F6"/>
    <w:rsid w:val="00F6279F"/>
    <w:rsid w:val="00F633AA"/>
    <w:rsid w:val="00F65616"/>
    <w:rsid w:val="00F7257E"/>
    <w:rsid w:val="00F76BEA"/>
    <w:rsid w:val="00F80C66"/>
    <w:rsid w:val="00F81FFB"/>
    <w:rsid w:val="00F855B5"/>
    <w:rsid w:val="00F86AF2"/>
    <w:rsid w:val="00F941C2"/>
    <w:rsid w:val="00FA7FA9"/>
    <w:rsid w:val="00FB27B0"/>
    <w:rsid w:val="00FB5D7B"/>
    <w:rsid w:val="00FB78FE"/>
    <w:rsid w:val="00FC2AD8"/>
    <w:rsid w:val="00FC35E1"/>
    <w:rsid w:val="00FC3E0F"/>
    <w:rsid w:val="00FC7B03"/>
    <w:rsid w:val="00FC7C0E"/>
    <w:rsid w:val="00FD507D"/>
    <w:rsid w:val="00FD579B"/>
    <w:rsid w:val="00FE3486"/>
    <w:rsid w:val="00FE5F03"/>
    <w:rsid w:val="00FE6581"/>
    <w:rsid w:val="00FF1317"/>
    <w:rsid w:val="00FF5831"/>
    <w:rsid w:val="00FF5BA9"/>
    <w:rsid w:val="022F9085"/>
    <w:rsid w:val="1C7087B0"/>
    <w:rsid w:val="1EEEF7E5"/>
    <w:rsid w:val="3C2719B5"/>
    <w:rsid w:val="3CDDAB5C"/>
    <w:rsid w:val="4197BC8A"/>
    <w:rsid w:val="6165F262"/>
    <w:rsid w:val="69A795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6EE2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2"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annotation text" w:qFormat="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Strong" w:locked="1" w:uiPriority="22"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639"/>
    <w:rPr>
      <w:sz w:val="24"/>
      <w:szCs w:val="24"/>
      <w:lang w:eastAsia="en-US"/>
    </w:rPr>
  </w:style>
  <w:style w:type="paragraph" w:styleId="Heading1">
    <w:name w:val="heading 1"/>
    <w:basedOn w:val="Normal"/>
    <w:next w:val="NICEnormal"/>
    <w:link w:val="Heading1Char"/>
    <w:qFormat/>
    <w:rsid w:val="008D54D1"/>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8D54D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8D54D1"/>
    <w:pPr>
      <w:spacing w:before="120" w:after="60" w:line="360" w:lineRule="auto"/>
      <w:outlineLvl w:val="2"/>
    </w:pPr>
    <w:rPr>
      <w:rFonts w:ascii="Arial" w:hAnsi="Arial" w:cs="Arial"/>
      <w:b/>
      <w:bCs/>
      <w:sz w:val="26"/>
      <w:szCs w:val="26"/>
    </w:rPr>
  </w:style>
  <w:style w:type="paragraph" w:styleId="Heading4">
    <w:name w:val="heading 4"/>
    <w:basedOn w:val="Normal"/>
    <w:next w:val="NICEnormal"/>
    <w:qFormat/>
    <w:rsid w:val="008D54D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D54D1"/>
    <w:pPr>
      <w:spacing w:after="240" w:line="360" w:lineRule="auto"/>
    </w:pPr>
    <w:rPr>
      <w:rFonts w:ascii="Arial" w:hAnsi="Arial"/>
      <w:sz w:val="24"/>
      <w:szCs w:val="24"/>
      <w:lang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locked/>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8D54D1"/>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D54D1"/>
    <w:pPr>
      <w:numPr>
        <w:numId w:val="50"/>
      </w:numPr>
    </w:pPr>
    <w:rPr>
      <w:szCs w:val="24"/>
    </w:rPr>
  </w:style>
  <w:style w:type="paragraph" w:customStyle="1" w:styleId="Numberedheading2">
    <w:name w:val="Numbered heading 2"/>
    <w:basedOn w:val="Heading2"/>
    <w:next w:val="NICEnormal"/>
    <w:link w:val="Numberedheading2Char"/>
    <w:rsid w:val="008D54D1"/>
  </w:style>
  <w:style w:type="paragraph" w:customStyle="1" w:styleId="Numberedheading3">
    <w:name w:val="Numbered heading 3"/>
    <w:basedOn w:val="Heading3"/>
    <w:next w:val="NICEnormal"/>
    <w:rsid w:val="00C51429"/>
  </w:style>
  <w:style w:type="paragraph" w:customStyle="1" w:styleId="Numberedlevel4text">
    <w:name w:val="Numbered level 4 text"/>
    <w:basedOn w:val="NICEnormal"/>
    <w:next w:val="NICEnormal"/>
    <w:rsid w:val="0092657D"/>
  </w:style>
  <w:style w:type="paragraph" w:customStyle="1" w:styleId="Numberedlevel3text">
    <w:name w:val="Numbered level 3 text"/>
    <w:basedOn w:val="Numberedheading3"/>
    <w:rsid w:val="0092657D"/>
    <w:pPr>
      <w:spacing w:before="0" w:after="240"/>
    </w:pPr>
    <w:rPr>
      <w:b w:val="0"/>
      <w:sz w:val="24"/>
    </w:rPr>
  </w:style>
  <w:style w:type="paragraph" w:customStyle="1" w:styleId="Bulletindent2">
    <w:name w:val="Bullet indent 2"/>
    <w:basedOn w:val="NICEnormal"/>
    <w:rsid w:val="008D54D1"/>
    <w:pPr>
      <w:numPr>
        <w:ilvl w:val="1"/>
        <w:numId w:val="43"/>
      </w:numPr>
      <w:spacing w:after="0"/>
    </w:pPr>
  </w:style>
  <w:style w:type="paragraph" w:customStyle="1" w:styleId="Title16ptleft">
    <w:name w:val="Title 16 pt left"/>
    <w:basedOn w:val="Title16pt"/>
    <w:locked/>
    <w:rsid w:val="00D37F25"/>
    <w:pPr>
      <w:jc w:val="left"/>
    </w:pPr>
  </w:style>
  <w:style w:type="paragraph" w:customStyle="1" w:styleId="Bulletleft1">
    <w:name w:val="Bullet left 1"/>
    <w:basedOn w:val="NICEnormal"/>
    <w:qFormat/>
    <w:rsid w:val="008D54D1"/>
    <w:pPr>
      <w:numPr>
        <w:numId w:val="45"/>
      </w:numPr>
      <w:spacing w:after="0"/>
    </w:pPr>
  </w:style>
  <w:style w:type="paragraph" w:customStyle="1" w:styleId="Bulletleft2">
    <w:name w:val="Bullet left 2"/>
    <w:basedOn w:val="NICEnormal"/>
    <w:rsid w:val="008D54D1"/>
    <w:pPr>
      <w:numPr>
        <w:ilvl w:val="1"/>
        <w:numId w:val="47"/>
      </w:numPr>
      <w:spacing w:after="0"/>
    </w:pPr>
  </w:style>
  <w:style w:type="paragraph" w:customStyle="1" w:styleId="Bulletleft3">
    <w:name w:val="Bullet left 3"/>
    <w:basedOn w:val="NICEnormal"/>
    <w:rsid w:val="008D54D1"/>
    <w:pPr>
      <w:numPr>
        <w:ilvl w:val="2"/>
        <w:numId w:val="48"/>
      </w:numPr>
      <w:spacing w:after="0"/>
    </w:pPr>
  </w:style>
  <w:style w:type="paragraph" w:customStyle="1" w:styleId="Bulletindent1">
    <w:name w:val="Bullet indent 1"/>
    <w:basedOn w:val="NICEnormal"/>
    <w:link w:val="Bulletindent1Char"/>
    <w:rsid w:val="008D54D1"/>
    <w:pPr>
      <w:numPr>
        <w:numId w:val="41"/>
      </w:numPr>
      <w:spacing w:after="0"/>
    </w:pPr>
  </w:style>
  <w:style w:type="character" w:customStyle="1" w:styleId="Heading1Char">
    <w:name w:val="Heading 1 Char"/>
    <w:link w:val="Heading1"/>
    <w:rsid w:val="008D54D1"/>
    <w:rPr>
      <w:rFonts w:ascii="Arial" w:hAnsi="Arial" w:cs="Arial"/>
      <w:b/>
      <w:bCs/>
      <w:kern w:val="32"/>
      <w:sz w:val="32"/>
      <w:szCs w:val="32"/>
      <w:lang w:eastAsia="en-US"/>
    </w:rPr>
  </w:style>
  <w:style w:type="character" w:customStyle="1" w:styleId="Numberedheading1CharChar">
    <w:name w:val="Numbered heading 1 Char Char"/>
    <w:link w:val="Numberedheading1"/>
    <w:rsid w:val="008D54D1"/>
    <w:rPr>
      <w:rFonts w:ascii="Arial" w:hAnsi="Arial" w:cs="Arial"/>
      <w:b/>
      <w:bCs/>
      <w:kern w:val="32"/>
      <w:sz w:val="32"/>
      <w:szCs w:val="24"/>
      <w:lang w:eastAsia="en-US"/>
    </w:rPr>
  </w:style>
  <w:style w:type="paragraph" w:customStyle="1" w:styleId="Bulletindent3">
    <w:name w:val="Bullet indent 3"/>
    <w:basedOn w:val="NICEnormal"/>
    <w:rsid w:val="008D54D1"/>
    <w:pPr>
      <w:numPr>
        <w:ilvl w:val="2"/>
        <w:numId w:val="44"/>
      </w:numPr>
      <w:spacing w:after="0"/>
    </w:pPr>
  </w:style>
  <w:style w:type="paragraph" w:customStyle="1" w:styleId="Numberedlevel2text">
    <w:name w:val="Numbered level 2 text"/>
    <w:basedOn w:val="Normal"/>
    <w:link w:val="Numberedlevel2textChar"/>
    <w:qFormat/>
    <w:rsid w:val="008D54D1"/>
    <w:pPr>
      <w:numPr>
        <w:ilvl w:val="1"/>
        <w:numId w:val="50"/>
      </w:numPr>
      <w:spacing w:after="240" w:line="360" w:lineRule="auto"/>
    </w:pPr>
    <w:rPr>
      <w:rFonts w:ascii="Arial" w:hAnsi="Arial"/>
      <w:bCs/>
      <w:iCs/>
      <w:szCs w:val="28"/>
      <w:lang w:val="x-none"/>
    </w:rPr>
  </w:style>
  <w:style w:type="paragraph" w:customStyle="1" w:styleId="Bulletleft1last">
    <w:name w:val="Bullet left 1 last"/>
    <w:basedOn w:val="NICEnormal"/>
    <w:link w:val="Bulletleft1lastChar"/>
    <w:rsid w:val="008D54D1"/>
    <w:pPr>
      <w:numPr>
        <w:numId w:val="4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8D54D1"/>
    <w:pPr>
      <w:tabs>
        <w:tab w:val="center" w:pos="4153"/>
        <w:tab w:val="right" w:pos="8306"/>
      </w:tabs>
    </w:pPr>
  </w:style>
  <w:style w:type="paragraph" w:styleId="Footer">
    <w:name w:val="footer"/>
    <w:basedOn w:val="NICEnormalsinglespacing"/>
    <w:rsid w:val="008D54D1"/>
    <w:pPr>
      <w:tabs>
        <w:tab w:val="center" w:pos="4153"/>
        <w:tab w:val="right" w:pos="8306"/>
      </w:tabs>
    </w:pPr>
  </w:style>
  <w:style w:type="character" w:styleId="PageNumber">
    <w:name w:val="page number"/>
    <w:rsid w:val="008D54D1"/>
    <w:rPr>
      <w:rFonts w:ascii="Arial" w:hAnsi="Arial"/>
      <w:sz w:val="24"/>
    </w:rPr>
  </w:style>
  <w:style w:type="paragraph" w:customStyle="1" w:styleId="Bulletindent1last">
    <w:name w:val="Bullet indent 1 last"/>
    <w:basedOn w:val="NICEnormal"/>
    <w:next w:val="NICEnormal"/>
    <w:rsid w:val="008D54D1"/>
    <w:pPr>
      <w:numPr>
        <w:numId w:val="42"/>
      </w:numPr>
    </w:pPr>
  </w:style>
  <w:style w:type="paragraph" w:customStyle="1" w:styleId="NICEnormalindented">
    <w:name w:val="NICE normal indented"/>
    <w:basedOn w:val="NICEnormal"/>
    <w:rsid w:val="008D54D1"/>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8D54D1"/>
    <w:pPr>
      <w:keepNext/>
      <w:spacing w:after="60"/>
    </w:pPr>
    <w:rPr>
      <w:sz w:val="22"/>
    </w:rPr>
  </w:style>
  <w:style w:type="paragraph" w:customStyle="1" w:styleId="TabletextIPoverviewevidence">
    <w:name w:val="Table text IP overview evidence"/>
    <w:basedOn w:val="Tabletext"/>
    <w:locked/>
    <w:rsid w:val="00BD0372"/>
    <w:rPr>
      <w:sz w:val="18"/>
    </w:rPr>
  </w:style>
  <w:style w:type="paragraph" w:customStyle="1" w:styleId="Introtextbullet">
    <w:name w:val="Intro text bullet"/>
    <w:basedOn w:val="Introtext"/>
    <w:locked/>
    <w:rsid w:val="00E0748A"/>
    <w:pPr>
      <w:numPr>
        <w:numId w:val="20"/>
      </w:numPr>
    </w:pPr>
  </w:style>
  <w:style w:type="paragraph" w:customStyle="1" w:styleId="Section2paragraphs">
    <w:name w:val="Section 2 paragraphs"/>
    <w:basedOn w:val="NICEnormal"/>
    <w:locked/>
    <w:rsid w:val="00161AA0"/>
    <w:pPr>
      <w:numPr>
        <w:numId w:val="10"/>
      </w:numPr>
    </w:pPr>
  </w:style>
  <w:style w:type="paragraph" w:customStyle="1" w:styleId="Section3paragraphs">
    <w:name w:val="Section 3 paragraphs"/>
    <w:basedOn w:val="NICEnormal"/>
    <w:locked/>
    <w:rsid w:val="00D37703"/>
    <w:pPr>
      <w:numPr>
        <w:numId w:val="11"/>
      </w:numPr>
    </w:pPr>
  </w:style>
  <w:style w:type="paragraph" w:customStyle="1" w:styleId="Section411paragraphs">
    <w:name w:val="Section 4.1.1 paragraphs"/>
    <w:basedOn w:val="NICEnormal"/>
    <w:locked/>
    <w:rsid w:val="00D37703"/>
    <w:pPr>
      <w:numPr>
        <w:numId w:val="12"/>
      </w:numPr>
    </w:pPr>
  </w:style>
  <w:style w:type="character" w:customStyle="1" w:styleId="Heading2Char">
    <w:name w:val="Heading 2 Char"/>
    <w:link w:val="Heading2"/>
    <w:rsid w:val="008D54D1"/>
    <w:rPr>
      <w:rFonts w:ascii="Arial" w:hAnsi="Arial" w:cs="Arial"/>
      <w:b/>
      <w:bCs/>
      <w:sz w:val="28"/>
      <w:szCs w:val="28"/>
      <w:lang w:eastAsia="en-US"/>
    </w:rPr>
  </w:style>
  <w:style w:type="character" w:customStyle="1" w:styleId="Numberedheading2Char">
    <w:name w:val="Numbered heading 2 Char"/>
    <w:basedOn w:val="Heading2Char"/>
    <w:link w:val="Numberedheading2"/>
    <w:rsid w:val="008D54D1"/>
    <w:rPr>
      <w:rFonts w:ascii="Arial" w:hAnsi="Arial" w:cs="Arial"/>
      <w:b/>
      <w:bCs/>
      <w:sz w:val="28"/>
      <w:szCs w:val="28"/>
      <w:lang w:eastAsia="en-US"/>
    </w:rPr>
  </w:style>
  <w:style w:type="paragraph" w:customStyle="1" w:styleId="Section412paragraphs">
    <w:name w:val="Section 4.1.2 paragraphs"/>
    <w:basedOn w:val="NICEnormal"/>
    <w:locked/>
    <w:rsid w:val="008D54D1"/>
    <w:pPr>
      <w:numPr>
        <w:numId w:val="53"/>
      </w:numPr>
    </w:pPr>
  </w:style>
  <w:style w:type="paragraph" w:customStyle="1" w:styleId="Section42paragraphs">
    <w:name w:val="Section 4.2 paragraphs"/>
    <w:basedOn w:val="NICEnormal"/>
    <w:locked/>
    <w:rsid w:val="00D37703"/>
    <w:pPr>
      <w:numPr>
        <w:numId w:val="14"/>
      </w:numPr>
    </w:pPr>
  </w:style>
  <w:style w:type="paragraph" w:customStyle="1" w:styleId="Section43paragraphs">
    <w:name w:val="Section 4.3 paragraphs"/>
    <w:basedOn w:val="NICEnormal"/>
    <w:locked/>
    <w:rsid w:val="00AB39FA"/>
    <w:pPr>
      <w:numPr>
        <w:numId w:val="15"/>
      </w:numPr>
    </w:pPr>
  </w:style>
  <w:style w:type="paragraph" w:customStyle="1" w:styleId="Appendixlevel1">
    <w:name w:val="Appendix level 1"/>
    <w:basedOn w:val="NICEnormal"/>
    <w:autoRedefine/>
    <w:locked/>
    <w:rsid w:val="004B514C"/>
    <w:pPr>
      <w:numPr>
        <w:numId w:val="16"/>
      </w:numPr>
      <w:spacing w:before="240"/>
    </w:pPr>
  </w:style>
  <w:style w:type="paragraph" w:customStyle="1" w:styleId="Appendixlevel2">
    <w:name w:val="Appendix level 2"/>
    <w:basedOn w:val="NICEnormal"/>
    <w:locked/>
    <w:rsid w:val="00612789"/>
    <w:pPr>
      <w:numPr>
        <w:numId w:val="17"/>
      </w:numPr>
      <w:spacing w:before="240"/>
    </w:pPr>
  </w:style>
  <w:style w:type="paragraph" w:customStyle="1" w:styleId="Appendixbullet">
    <w:name w:val="Appendix bullet"/>
    <w:basedOn w:val="NICEnormal"/>
    <w:locked/>
    <w:rsid w:val="004B514C"/>
    <w:pPr>
      <w:numPr>
        <w:numId w:val="18"/>
      </w:numPr>
      <w:spacing w:after="0" w:line="240" w:lineRule="auto"/>
    </w:pPr>
  </w:style>
  <w:style w:type="paragraph" w:customStyle="1" w:styleId="Appendixreferences">
    <w:name w:val="Appendix references"/>
    <w:basedOn w:val="NICEnormal"/>
    <w:locked/>
    <w:rsid w:val="00E0748A"/>
    <w:pPr>
      <w:tabs>
        <w:tab w:val="left" w:pos="567"/>
      </w:tabs>
      <w:spacing w:after="120"/>
      <w:ind w:left="567"/>
    </w:pPr>
  </w:style>
  <w:style w:type="paragraph" w:customStyle="1" w:styleId="References">
    <w:name w:val="References"/>
    <w:basedOn w:val="NICEnormalsinglespacing"/>
    <w:locked/>
    <w:rsid w:val="00A06657"/>
    <w:pPr>
      <w:numPr>
        <w:numId w:val="19"/>
      </w:numPr>
      <w:spacing w:after="120"/>
    </w:pPr>
  </w:style>
  <w:style w:type="paragraph" w:customStyle="1" w:styleId="Appendixindent">
    <w:name w:val="Appendix indent"/>
    <w:basedOn w:val="NICEnormal"/>
    <w:locked/>
    <w:rsid w:val="003A3974"/>
    <w:pPr>
      <w:ind w:left="567"/>
    </w:pPr>
  </w:style>
  <w:style w:type="table" w:styleId="TableGrid">
    <w:name w:val="Table Grid"/>
    <w:basedOn w:val="TableNormal"/>
    <w:locked/>
    <w:rsid w:val="008D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54D1"/>
    <w:rPr>
      <w:color w:val="0000FF"/>
      <w:u w:val="single"/>
    </w:rPr>
  </w:style>
  <w:style w:type="paragraph" w:styleId="TOC1">
    <w:name w:val="toc 1"/>
    <w:basedOn w:val="Normal"/>
    <w:next w:val="Normal"/>
    <w:autoRedefine/>
    <w:rsid w:val="008D54D1"/>
    <w:pPr>
      <w:spacing w:after="100"/>
    </w:pPr>
  </w:style>
  <w:style w:type="paragraph" w:styleId="TOC2">
    <w:name w:val="toc 2"/>
    <w:basedOn w:val="Normal"/>
    <w:next w:val="Normal"/>
    <w:autoRedefine/>
    <w:uiPriority w:val="39"/>
    <w:rsid w:val="00820DCC"/>
    <w:pPr>
      <w:spacing w:line="360" w:lineRule="auto"/>
      <w:ind w:left="567"/>
    </w:pPr>
    <w:rPr>
      <w:rFonts w:ascii="Arial" w:hAnsi="Arial"/>
      <w:i/>
    </w:rPr>
  </w:style>
  <w:style w:type="character" w:styleId="CommentReference">
    <w:name w:val="annotation reference"/>
    <w:qFormat/>
    <w:locked/>
    <w:rsid w:val="008D54D1"/>
    <w:rPr>
      <w:sz w:val="16"/>
      <w:szCs w:val="16"/>
    </w:rPr>
  </w:style>
  <w:style w:type="paragraph" w:styleId="CommentText">
    <w:name w:val="annotation text"/>
    <w:basedOn w:val="Normal"/>
    <w:link w:val="CommentTextChar"/>
    <w:qFormat/>
    <w:rsid w:val="008D54D1"/>
    <w:rPr>
      <w:sz w:val="20"/>
      <w:szCs w:val="20"/>
      <w:lang w:val="x-none"/>
    </w:rPr>
  </w:style>
  <w:style w:type="paragraph" w:styleId="CommentSubject">
    <w:name w:val="annotation subject"/>
    <w:basedOn w:val="CommentText"/>
    <w:next w:val="CommentText"/>
    <w:semiHidden/>
    <w:locked/>
    <w:rsid w:val="008D54D1"/>
    <w:rPr>
      <w:b/>
      <w:bCs/>
    </w:rPr>
  </w:style>
  <w:style w:type="paragraph" w:styleId="BalloonText">
    <w:name w:val="Balloon Text"/>
    <w:basedOn w:val="Normal"/>
    <w:semiHidden/>
    <w:rsid w:val="00DA5E1E"/>
    <w:rPr>
      <w:rFonts w:ascii="Tahoma" w:hAnsi="Tahoma" w:cs="Tahoma"/>
      <w:sz w:val="16"/>
      <w:szCs w:val="16"/>
    </w:rPr>
  </w:style>
  <w:style w:type="paragraph" w:customStyle="1" w:styleId="Frontpagetitle">
    <w:name w:val="Front page title"/>
    <w:basedOn w:val="NICEnormalsinglespacing"/>
    <w:rsid w:val="00EF04C1"/>
    <w:pPr>
      <w:jc w:val="center"/>
    </w:pPr>
    <w:rPr>
      <w:rFonts w:cs="Arial"/>
      <w:sz w:val="48"/>
      <w:szCs w:val="48"/>
    </w:rPr>
  </w:style>
  <w:style w:type="paragraph" w:customStyle="1" w:styleId="Frontpagedate">
    <w:name w:val="Front page date"/>
    <w:basedOn w:val="NICEnormalsinglespacing"/>
    <w:rsid w:val="00EF04C1"/>
    <w:rPr>
      <w:rFonts w:cs="Arial"/>
      <w:sz w:val="32"/>
      <w:szCs w:val="32"/>
    </w:rPr>
  </w:style>
  <w:style w:type="paragraph" w:customStyle="1" w:styleId="Frontpageguidelinenumber">
    <w:name w:val="Front page guideline number"/>
    <w:basedOn w:val="NICEnormalsinglespacing"/>
    <w:rsid w:val="00EF04C1"/>
    <w:rPr>
      <w:rFonts w:cs="Arial"/>
      <w:color w:val="FFFFFF"/>
      <w:sz w:val="32"/>
      <w:szCs w:val="32"/>
    </w:rPr>
  </w:style>
  <w:style w:type="paragraph" w:customStyle="1" w:styleId="NICEnormal10">
    <w:name w:val="NICE normal 10"/>
    <w:basedOn w:val="NICEnormal"/>
    <w:rsid w:val="0000592A"/>
    <w:pPr>
      <w:spacing w:line="240" w:lineRule="auto"/>
    </w:pPr>
    <w:rPr>
      <w:sz w:val="20"/>
    </w:rPr>
  </w:style>
  <w:style w:type="character" w:customStyle="1" w:styleId="NICEnormalChar">
    <w:name w:val="NICE normal Char"/>
    <w:link w:val="NICEnormal"/>
    <w:rsid w:val="008D54D1"/>
    <w:rPr>
      <w:rFonts w:ascii="Arial" w:hAnsi="Arial"/>
      <w:sz w:val="24"/>
      <w:szCs w:val="24"/>
      <w:lang w:eastAsia="en-US"/>
    </w:rPr>
  </w:style>
  <w:style w:type="paragraph" w:styleId="FootnoteText">
    <w:name w:val="footnote text"/>
    <w:basedOn w:val="Normal"/>
    <w:link w:val="FootnoteTextChar"/>
    <w:rsid w:val="008D54D1"/>
    <w:rPr>
      <w:sz w:val="20"/>
      <w:szCs w:val="20"/>
    </w:rPr>
  </w:style>
  <w:style w:type="character" w:customStyle="1" w:styleId="FootnoteTextChar">
    <w:name w:val="Footnote Text Char"/>
    <w:link w:val="FootnoteText"/>
    <w:rsid w:val="008D54D1"/>
    <w:rPr>
      <w:lang w:eastAsia="en-US"/>
    </w:rPr>
  </w:style>
  <w:style w:type="character" w:styleId="FootnoteReference">
    <w:name w:val="footnote reference"/>
    <w:locked/>
    <w:rsid w:val="008D54D1"/>
    <w:rPr>
      <w:vertAlign w:val="superscript"/>
    </w:rPr>
  </w:style>
  <w:style w:type="paragraph" w:styleId="NoSpacing">
    <w:name w:val="No Spacing"/>
    <w:link w:val="NoSpacingChar"/>
    <w:uiPriority w:val="1"/>
    <w:qFormat/>
    <w:rsid w:val="006757DF"/>
    <w:rPr>
      <w:rFonts w:ascii="Calibri" w:eastAsia="MS Mincho" w:hAnsi="Calibri"/>
      <w:sz w:val="22"/>
      <w:szCs w:val="22"/>
      <w:lang w:val="en-US" w:eastAsia="ja-JP"/>
    </w:rPr>
  </w:style>
  <w:style w:type="character" w:customStyle="1" w:styleId="NoSpacingChar">
    <w:name w:val="No Spacing Char"/>
    <w:link w:val="NoSpacing"/>
    <w:uiPriority w:val="1"/>
    <w:rsid w:val="006757DF"/>
    <w:rPr>
      <w:rFonts w:ascii="Calibri" w:eastAsia="MS Mincho" w:hAnsi="Calibri"/>
      <w:sz w:val="22"/>
      <w:szCs w:val="22"/>
      <w:lang w:val="en-US" w:eastAsia="ja-JP" w:bidi="ar-SA"/>
    </w:rPr>
  </w:style>
  <w:style w:type="paragraph" w:styleId="Revision">
    <w:name w:val="Revision"/>
    <w:hidden/>
    <w:uiPriority w:val="99"/>
    <w:semiHidden/>
    <w:rsid w:val="008769BB"/>
    <w:rPr>
      <w:sz w:val="24"/>
      <w:szCs w:val="24"/>
      <w:lang w:eastAsia="en-US"/>
    </w:rPr>
  </w:style>
  <w:style w:type="character" w:styleId="FollowedHyperlink">
    <w:name w:val="FollowedHyperlink"/>
    <w:rsid w:val="008D54D1"/>
    <w:rPr>
      <w:color w:val="800080"/>
      <w:u w:val="single"/>
    </w:rPr>
  </w:style>
  <w:style w:type="character" w:customStyle="1" w:styleId="CommentTextChar">
    <w:name w:val="Comment Text Char"/>
    <w:link w:val="CommentText"/>
    <w:qFormat/>
    <w:rsid w:val="008D54D1"/>
    <w:rPr>
      <w:lang w:val="x-none" w:eastAsia="en-US"/>
    </w:rPr>
  </w:style>
  <w:style w:type="paragraph" w:styleId="NormalWeb">
    <w:name w:val="Normal (Web)"/>
    <w:basedOn w:val="Normal"/>
    <w:uiPriority w:val="99"/>
    <w:unhideWhenUsed/>
    <w:locked/>
    <w:rsid w:val="00751A0A"/>
    <w:pPr>
      <w:spacing w:before="100" w:beforeAutospacing="1" w:after="100" w:afterAutospacing="1"/>
    </w:pPr>
    <w:rPr>
      <w:lang w:eastAsia="en-GB"/>
    </w:rPr>
  </w:style>
  <w:style w:type="character" w:styleId="Strong">
    <w:name w:val="Strong"/>
    <w:uiPriority w:val="22"/>
    <w:qFormat/>
    <w:locked/>
    <w:rsid w:val="00751A0A"/>
    <w:rPr>
      <w:b/>
      <w:bCs/>
    </w:rPr>
  </w:style>
  <w:style w:type="character" w:customStyle="1" w:styleId="apple-converted-space">
    <w:name w:val="apple-converted-space"/>
    <w:rsid w:val="00751A0A"/>
  </w:style>
  <w:style w:type="character" w:styleId="UnresolvedMention">
    <w:name w:val="Unresolved Mention"/>
    <w:basedOn w:val="DefaultParagraphFont"/>
    <w:uiPriority w:val="99"/>
    <w:semiHidden/>
    <w:unhideWhenUsed/>
    <w:rsid w:val="00731524"/>
    <w:rPr>
      <w:color w:val="605E5C"/>
      <w:shd w:val="clear" w:color="auto" w:fill="E1DFDD"/>
    </w:rPr>
  </w:style>
  <w:style w:type="table" w:styleId="TableGridLight">
    <w:name w:val="Grid Table Light"/>
    <w:basedOn w:val="TableNormal"/>
    <w:uiPriority w:val="40"/>
    <w:rsid w:val="001108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indent1Char">
    <w:name w:val="Bullet indent 1 Char"/>
    <w:link w:val="Bulletindent1"/>
    <w:rsid w:val="008D54D1"/>
    <w:rPr>
      <w:rFonts w:ascii="Arial" w:hAnsi="Arial"/>
      <w:sz w:val="24"/>
      <w:szCs w:val="24"/>
      <w:lang w:eastAsia="en-US"/>
    </w:rPr>
  </w:style>
  <w:style w:type="character" w:customStyle="1" w:styleId="Bulletleft1lastChar">
    <w:name w:val="Bullet left 1 last Char"/>
    <w:link w:val="Bulletleft1last"/>
    <w:rsid w:val="008D54D1"/>
    <w:rPr>
      <w:rFonts w:ascii="Arial" w:hAnsi="Arial" w:cs="Arial"/>
      <w:sz w:val="24"/>
      <w:szCs w:val="24"/>
      <w:lang w:eastAsia="en-US"/>
    </w:rPr>
  </w:style>
  <w:style w:type="paragraph" w:customStyle="1" w:styleId="Bullets">
    <w:name w:val="Bullets"/>
    <w:basedOn w:val="Normal"/>
    <w:uiPriority w:val="5"/>
    <w:qFormat/>
    <w:rsid w:val="008D54D1"/>
    <w:pPr>
      <w:spacing w:after="120" w:line="276" w:lineRule="auto"/>
      <w:ind w:left="1134" w:hanging="454"/>
    </w:pPr>
    <w:rPr>
      <w:rFonts w:ascii="Arial" w:hAnsi="Arial"/>
      <w:lang w:eastAsia="en-GB"/>
    </w:rPr>
  </w:style>
  <w:style w:type="paragraph" w:styleId="Caption">
    <w:name w:val="caption"/>
    <w:basedOn w:val="NICEnormal"/>
    <w:next w:val="NICEnormal"/>
    <w:unhideWhenUsed/>
    <w:qFormat/>
    <w:rsid w:val="008D54D1"/>
    <w:pPr>
      <w:keepNext/>
      <w:spacing w:after="200"/>
    </w:pPr>
    <w:rPr>
      <w:b/>
      <w:bCs/>
      <w:iCs/>
      <w:szCs w:val="18"/>
    </w:rPr>
  </w:style>
  <w:style w:type="paragraph" w:customStyle="1" w:styleId="Documentissuedate">
    <w:name w:val="Document issue date"/>
    <w:basedOn w:val="NICEnormal"/>
    <w:qFormat/>
    <w:rsid w:val="008D54D1"/>
    <w:rPr>
      <w:lang w:val="en-US"/>
    </w:rPr>
  </w:style>
  <w:style w:type="paragraph" w:customStyle="1" w:styleId="Guidanceissuedate">
    <w:name w:val="Guidance issue date"/>
    <w:basedOn w:val="NICEnormal"/>
    <w:qFormat/>
    <w:rsid w:val="008D54D1"/>
    <w:rPr>
      <w:lang w:val="en-US"/>
    </w:rPr>
  </w:style>
  <w:style w:type="character" w:customStyle="1" w:styleId="Heading3Char">
    <w:name w:val="Heading 3 Char"/>
    <w:basedOn w:val="DefaultParagraphFont"/>
    <w:link w:val="Heading3"/>
    <w:rsid w:val="008D54D1"/>
    <w:rPr>
      <w:rFonts w:ascii="Arial" w:hAnsi="Arial" w:cs="Arial"/>
      <w:b/>
      <w:bCs/>
      <w:sz w:val="26"/>
      <w:szCs w:val="26"/>
      <w:lang w:eastAsia="en-US"/>
    </w:rPr>
  </w:style>
  <w:style w:type="paragraph" w:styleId="ListParagraph">
    <w:name w:val="List Paragraph"/>
    <w:basedOn w:val="Normal"/>
    <w:uiPriority w:val="34"/>
    <w:qFormat/>
    <w:rsid w:val="008D54D1"/>
    <w:pPr>
      <w:ind w:left="720"/>
      <w:contextualSpacing/>
    </w:pPr>
    <w:rPr>
      <w:lang w:eastAsia="en-GB"/>
    </w:rPr>
  </w:style>
  <w:style w:type="character" w:customStyle="1" w:styleId="Numberedlevel2textChar">
    <w:name w:val="Numbered level 2 text Char"/>
    <w:link w:val="Numberedlevel2text"/>
    <w:rsid w:val="008D54D1"/>
    <w:rPr>
      <w:rFonts w:ascii="Arial" w:hAnsi="Arial"/>
      <w:bCs/>
      <w:iCs/>
      <w:sz w:val="24"/>
      <w:szCs w:val="28"/>
      <w:lang w:val="x-none" w:eastAsia="en-US"/>
    </w:rPr>
  </w:style>
  <w:style w:type="table" w:customStyle="1" w:styleId="PanelDefault">
    <w:name w:val="Panel (Default)"/>
    <w:basedOn w:val="TableNormal"/>
    <w:uiPriority w:val="99"/>
    <w:rsid w:val="008D54D1"/>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8D54D1"/>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8D54D1"/>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8D54D1"/>
    <w:pPr>
      <w:numPr>
        <w:numId w:val="5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8D54D1"/>
    <w:rPr>
      <w:color w:val="FFFFFF" w:themeColor="background1"/>
      <w:u w:val="single"/>
    </w:rPr>
  </w:style>
  <w:style w:type="paragraph" w:customStyle="1" w:styleId="Paragraphnonumbers">
    <w:name w:val="Paragraph no numbers"/>
    <w:basedOn w:val="Normal"/>
    <w:uiPriority w:val="99"/>
    <w:qFormat/>
    <w:rsid w:val="008D54D1"/>
    <w:pPr>
      <w:spacing w:after="240" w:line="276" w:lineRule="auto"/>
    </w:pPr>
    <w:rPr>
      <w:rFonts w:ascii="Arial" w:hAnsi="Arial"/>
      <w:lang w:eastAsia="en-GB"/>
    </w:rPr>
  </w:style>
  <w:style w:type="paragraph" w:customStyle="1" w:styleId="ParagraphNumbered">
    <w:name w:val="Paragraph Numbered"/>
    <w:basedOn w:val="Normal"/>
    <w:uiPriority w:val="4"/>
    <w:qFormat/>
    <w:rsid w:val="008D54D1"/>
    <w:pPr>
      <w:numPr>
        <w:numId w:val="52"/>
      </w:numPr>
      <w:tabs>
        <w:tab w:val="num" w:pos="360"/>
        <w:tab w:val="left" w:pos="426"/>
      </w:tabs>
      <w:spacing w:after="240" w:line="360" w:lineRule="auto"/>
    </w:pPr>
    <w:rPr>
      <w:rFonts w:ascii="Arial" w:hAnsi="Arial"/>
    </w:rPr>
  </w:style>
  <w:style w:type="character" w:styleId="PlaceholderText">
    <w:name w:val="Placeholder Text"/>
    <w:basedOn w:val="DefaultParagraphFont"/>
    <w:uiPriority w:val="99"/>
    <w:semiHidden/>
    <w:rsid w:val="008D54D1"/>
    <w:rPr>
      <w:color w:val="808080"/>
    </w:rPr>
  </w:style>
  <w:style w:type="paragraph" w:styleId="Quote">
    <w:name w:val="Quote"/>
    <w:basedOn w:val="NICEnormal"/>
    <w:next w:val="NICEnormal"/>
    <w:link w:val="QuoteChar"/>
    <w:uiPriority w:val="29"/>
    <w:qFormat/>
    <w:rsid w:val="008D54D1"/>
    <w:pPr>
      <w:spacing w:before="200" w:after="160"/>
      <w:ind w:left="864" w:right="864"/>
      <w:jc w:val="center"/>
    </w:pPr>
    <w:rPr>
      <w:iCs/>
    </w:rPr>
  </w:style>
  <w:style w:type="character" w:customStyle="1" w:styleId="QuoteChar">
    <w:name w:val="Quote Char"/>
    <w:basedOn w:val="DefaultParagraphFont"/>
    <w:link w:val="Quote"/>
    <w:uiPriority w:val="29"/>
    <w:rsid w:val="008D54D1"/>
    <w:rPr>
      <w:rFonts w:ascii="Arial" w:hAnsi="Arial"/>
      <w:iCs/>
      <w:sz w:val="24"/>
      <w:szCs w:val="24"/>
      <w:lang w:eastAsia="en-US"/>
    </w:rPr>
  </w:style>
  <w:style w:type="paragraph" w:customStyle="1" w:styleId="Tablebullet">
    <w:name w:val="Table bullet"/>
    <w:basedOn w:val="Tabletext"/>
    <w:qFormat/>
    <w:rsid w:val="008D54D1"/>
    <w:pPr>
      <w:numPr>
        <w:numId w:val="54"/>
      </w:numPr>
    </w:pPr>
  </w:style>
  <w:style w:type="paragraph" w:customStyle="1" w:styleId="Tableheading">
    <w:name w:val="Table heading"/>
    <w:basedOn w:val="Tabletext"/>
    <w:qFormat/>
    <w:rsid w:val="008D54D1"/>
    <w:rPr>
      <w:b/>
    </w:rPr>
  </w:style>
  <w:style w:type="paragraph" w:customStyle="1" w:styleId="Title1">
    <w:name w:val="Title 1"/>
    <w:basedOn w:val="Normal"/>
    <w:qFormat/>
    <w:rsid w:val="008D54D1"/>
    <w:pPr>
      <w:keepNext/>
      <w:spacing w:before="240" w:after="240"/>
      <w:jc w:val="center"/>
      <w:outlineLvl w:val="0"/>
    </w:pPr>
    <w:rPr>
      <w:rFonts w:ascii="Arial" w:hAnsi="Arial" w:cs="Arial"/>
      <w:b/>
      <w:bCs/>
      <w:kern w:val="28"/>
      <w:sz w:val="40"/>
      <w:szCs w:val="32"/>
    </w:rPr>
  </w:style>
  <w:style w:type="paragraph" w:customStyle="1" w:styleId="Title2">
    <w:name w:val="Title 2"/>
    <w:basedOn w:val="Normal"/>
    <w:rsid w:val="008D54D1"/>
    <w:pPr>
      <w:keepNext/>
      <w:spacing w:before="240" w:after="24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6010">
      <w:bodyDiv w:val="1"/>
      <w:marLeft w:val="0"/>
      <w:marRight w:val="0"/>
      <w:marTop w:val="0"/>
      <w:marBottom w:val="0"/>
      <w:divBdr>
        <w:top w:val="none" w:sz="0" w:space="0" w:color="auto"/>
        <w:left w:val="none" w:sz="0" w:space="0" w:color="auto"/>
        <w:bottom w:val="none" w:sz="0" w:space="0" w:color="auto"/>
        <w:right w:val="none" w:sz="0" w:space="0" w:color="auto"/>
      </w:divBdr>
    </w:div>
    <w:div w:id="10491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htg671/chapter/2-The-technology" TargetMode="External"/><Relationship Id="rId18" Type="http://schemas.openxmlformats.org/officeDocument/2006/relationships/hyperlink" Target="https://www.nice.org.uk/guidance/htg671/resources" TargetMode="External"/><Relationship Id="rId3" Type="http://schemas.openxmlformats.org/officeDocument/2006/relationships/customXml" Target="../customXml/item3.xml"/><Relationship Id="rId21" Type="http://schemas.openxmlformats.org/officeDocument/2006/relationships/hyperlink" Target="https://www.england.nhs.uk/costing-in-the-nhs/national-cost-collection/" TargetMode="External"/><Relationship Id="rId7" Type="http://schemas.openxmlformats.org/officeDocument/2006/relationships/settings" Target="settings.xml"/><Relationship Id="rId12" Type="http://schemas.openxmlformats.org/officeDocument/2006/relationships/hyperlink" Target="https://reports.njrcentre.org.uk/" TargetMode="External"/><Relationship Id="rId17" Type="http://schemas.openxmlformats.org/officeDocument/2006/relationships/hyperlink" Target="https://gettingitrightfirsttime.co.uk/" TargetMode="External"/><Relationship Id="rId2" Type="http://schemas.openxmlformats.org/officeDocument/2006/relationships/customXml" Target="../customXml/item2.xml"/><Relationship Id="rId16" Type="http://schemas.openxmlformats.org/officeDocument/2006/relationships/hyperlink" Target="https://www.nice.org.uk/guidance/htg671/resources" TargetMode="External"/><Relationship Id="rId20" Type="http://schemas.openxmlformats.org/officeDocument/2006/relationships/hyperlink" Target="https://www.nice.org.uk/guidance/htg671/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htg671/resources" TargetMode="External"/><Relationship Id="rId5" Type="http://schemas.openxmlformats.org/officeDocument/2006/relationships/numbering" Target="numbering.xml"/><Relationship Id="rId15" Type="http://schemas.openxmlformats.org/officeDocument/2006/relationships/hyperlink" Target="https://www.england.nhs.uk/publication/2022-23-national-cost-collection-data-publica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ice.org.uk/guidance/htg671/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htg671/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9456BF0FC3654992BB01F701E3BF13" ma:contentTypeVersion="16" ma:contentTypeDescription="Create a new document." ma:contentTypeScope="" ma:versionID="9c122098d4e003b4384c4da8d0c27443">
  <xsd:schema xmlns:xsd="http://www.w3.org/2001/XMLSchema" xmlns:xs="http://www.w3.org/2001/XMLSchema" xmlns:p="http://schemas.microsoft.com/office/2006/metadata/properties" xmlns:ns2="acaf4567-dc07-471f-892c-2bcb86ef35ae" xmlns:ns3="c1f338ac-e338-414f-952c-f74dcc6d59e1" xmlns:ns4="0eb656aa-4e79-4e95-9076-bc119a23e0cc" targetNamespace="http://schemas.microsoft.com/office/2006/metadata/properties" ma:root="true" ma:fieldsID="d886e9f0196ab673da6bef6c2dfa2844" ns2:_="" ns3:_="" ns4:_="">
    <xsd:import namespace="acaf4567-dc07-471f-892c-2bcb86ef35ae"/>
    <xsd:import namespace="c1f338ac-e338-414f-952c-f74dcc6d59e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geb11f8ce9d940728585fae6d5409a45" minOccurs="0"/>
                <xsd:element ref="ns4:TaxCatchAll"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f4567-dc07-471f-892c-2bcb86ef3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geb11f8ce9d940728585fae6d5409a45" ma:index="18" nillable="true" ma:taxonomy="true" ma:internalName="geb11f8ce9d940728585fae6d5409a45" ma:taxonomyFieldName="Display_x0020_Status" ma:displayName="Display Status" ma:default="" ma:fieldId="{0eb11f8c-e9d9-4072-8585-fae6d5409a45}" ma:taxonomyMulti="true" ma:sspId="9abb4586-6e39-4769-a9e9-e64cee0e77fc" ma:termSetId="a3edbbf6-09fc-44dd-a9a2-ad1f41badab5"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f338ac-e338-414f-952c-f74dcc6d59e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e1930f-003b-4c79-bb18-414e791589f1}" ma:internalName="TaxCatchAll" ma:showField="CatchAllData" ma:web="c1f338ac-e338-414f-952c-f74dcc6d59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b11f8ce9d940728585fae6d5409a45 xmlns="acaf4567-dc07-471f-892c-2bcb86ef35ae">
      <Terms xmlns="http://schemas.microsoft.com/office/infopath/2007/PartnerControls"/>
    </geb11f8ce9d940728585fae6d5409a45>
    <lcf76f155ced4ddcb4097134ff3c332f xmlns="acaf4567-dc07-471f-892c-2bcb86ef35a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91EA48A6-E7D5-444B-9BD0-F7EB07F2FFA2}">
  <ds:schemaRefs>
    <ds:schemaRef ds:uri="http://schemas.microsoft.com/sharepoint/v3/contenttype/forms"/>
  </ds:schemaRefs>
</ds:datastoreItem>
</file>

<file path=customXml/itemProps2.xml><?xml version="1.0" encoding="utf-8"?>
<ds:datastoreItem xmlns:ds="http://schemas.openxmlformats.org/officeDocument/2006/customXml" ds:itemID="{EFDC2954-4A15-4C52-92E6-4CB7636C8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f4567-dc07-471f-892c-2bcb86ef35ae"/>
    <ds:schemaRef ds:uri="c1f338ac-e338-414f-952c-f74dcc6d59e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992B2-5D84-4EC9-B419-B5CAADBD6BAB}">
  <ds:schemaRefs>
    <ds:schemaRef ds:uri="http://schemas.openxmlformats.org/officeDocument/2006/bibliography"/>
  </ds:schemaRefs>
</ds:datastoreItem>
</file>

<file path=customXml/itemProps4.xml><?xml version="1.0" encoding="utf-8"?>
<ds:datastoreItem xmlns:ds="http://schemas.openxmlformats.org/officeDocument/2006/customXml" ds:itemID="{4321783C-688F-4D75-9894-EC71A93112C7}">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0eb656aa-4e79-4e95-9076-bc119a23e0cc"/>
    <ds:schemaRef ds:uri="c1f338ac-e338-414f-952c-f74dcc6d59e1"/>
    <ds:schemaRef ds:uri="acaf4567-dc07-471f-892c-2bcb86ef35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7678</Characters>
  <Application>Microsoft Office Word</Application>
  <DocSecurity>0</DocSecurity>
  <Lines>307</Lines>
  <Paragraphs>185</Paragraphs>
  <ScaleCrop>false</ScaleCrop>
  <HeadingPairs>
    <vt:vector size="2" baseType="variant">
      <vt:variant>
        <vt:lpstr>Title</vt:lpstr>
      </vt:variant>
      <vt:variant>
        <vt:i4>1</vt:i4>
      </vt:variant>
    </vt:vector>
  </HeadingPairs>
  <TitlesOfParts>
    <vt:vector size="1" baseType="lpstr">
      <vt:lpstr>MTG76 AposHealth for osteoarthritis of the knee: resource impact summary report 29/10/2024</vt:lpstr>
    </vt:vector>
  </TitlesOfParts>
  <Company/>
  <LinksUpToDate>false</LinksUpToDate>
  <CharactersWithSpaces>8726</CharactersWithSpaces>
  <SharedDoc>false</SharedDoc>
  <HLinks>
    <vt:vector size="78" baseType="variant">
      <vt:variant>
        <vt:i4>4980828</vt:i4>
      </vt:variant>
      <vt:variant>
        <vt:i4>33</vt:i4>
      </vt:variant>
      <vt:variant>
        <vt:i4>0</vt:i4>
      </vt:variant>
      <vt:variant>
        <vt:i4>5</vt:i4>
      </vt:variant>
      <vt:variant>
        <vt:lpwstr>https://www.england.nhs.uk/costing-in-the-nhs/national-cost-collection/</vt:lpwstr>
      </vt:variant>
      <vt:variant>
        <vt:lpwstr>ncc1819</vt:lpwstr>
      </vt:variant>
      <vt:variant>
        <vt:i4>1245255</vt:i4>
      </vt:variant>
      <vt:variant>
        <vt:i4>30</vt:i4>
      </vt:variant>
      <vt:variant>
        <vt:i4>0</vt:i4>
      </vt:variant>
      <vt:variant>
        <vt:i4>5</vt:i4>
      </vt:variant>
      <vt:variant>
        <vt:lpwstr>https://www.nice.org.uk/terms-and-conditions</vt:lpwstr>
      </vt:variant>
      <vt:variant>
        <vt:lpwstr/>
      </vt:variant>
      <vt:variant>
        <vt:i4>2883704</vt:i4>
      </vt:variant>
      <vt:variant>
        <vt:i4>27</vt:i4>
      </vt:variant>
      <vt:variant>
        <vt:i4>0</vt:i4>
      </vt:variant>
      <vt:variant>
        <vt:i4>5</vt:i4>
      </vt:variant>
      <vt:variant>
        <vt:lpwstr>http://www.nice.org.uk/terms-and-conditions</vt:lpwstr>
      </vt:variant>
      <vt:variant>
        <vt:lpwstr/>
      </vt:variant>
      <vt:variant>
        <vt:i4>5505030</vt:i4>
      </vt:variant>
      <vt:variant>
        <vt:i4>24</vt:i4>
      </vt:variant>
      <vt:variant>
        <vt:i4>0</vt:i4>
      </vt:variant>
      <vt:variant>
        <vt:i4>5</vt:i4>
      </vt:variant>
      <vt:variant>
        <vt:lpwstr>https://www.nice.org.uk/guidance/mtg76/resources</vt:lpwstr>
      </vt:variant>
      <vt:variant>
        <vt:lpwstr/>
      </vt:variant>
      <vt:variant>
        <vt:i4>5505030</vt:i4>
      </vt:variant>
      <vt:variant>
        <vt:i4>21</vt:i4>
      </vt:variant>
      <vt:variant>
        <vt:i4>0</vt:i4>
      </vt:variant>
      <vt:variant>
        <vt:i4>5</vt:i4>
      </vt:variant>
      <vt:variant>
        <vt:lpwstr>https://www.nice.org.uk/guidance/mtg76/resources</vt:lpwstr>
      </vt:variant>
      <vt:variant>
        <vt:lpwstr/>
      </vt:variant>
      <vt:variant>
        <vt:i4>5505030</vt:i4>
      </vt:variant>
      <vt:variant>
        <vt:i4>18</vt:i4>
      </vt:variant>
      <vt:variant>
        <vt:i4>0</vt:i4>
      </vt:variant>
      <vt:variant>
        <vt:i4>5</vt:i4>
      </vt:variant>
      <vt:variant>
        <vt:lpwstr>https://www.nice.org.uk/guidance/mtg76/resources</vt:lpwstr>
      </vt:variant>
      <vt:variant>
        <vt:lpwstr/>
      </vt:variant>
      <vt:variant>
        <vt:i4>8257634</vt:i4>
      </vt:variant>
      <vt:variant>
        <vt:i4>15</vt:i4>
      </vt:variant>
      <vt:variant>
        <vt:i4>0</vt:i4>
      </vt:variant>
      <vt:variant>
        <vt:i4>5</vt:i4>
      </vt:variant>
      <vt:variant>
        <vt:lpwstr>https://gettingitrightfirsttime.co.uk/</vt:lpwstr>
      </vt:variant>
      <vt:variant>
        <vt:lpwstr/>
      </vt:variant>
      <vt:variant>
        <vt:i4>5505030</vt:i4>
      </vt:variant>
      <vt:variant>
        <vt:i4>12</vt:i4>
      </vt:variant>
      <vt:variant>
        <vt:i4>0</vt:i4>
      </vt:variant>
      <vt:variant>
        <vt:i4>5</vt:i4>
      </vt:variant>
      <vt:variant>
        <vt:lpwstr>https://www.nice.org.uk/guidance/mtg76/resources</vt:lpwstr>
      </vt:variant>
      <vt:variant>
        <vt:lpwstr/>
      </vt:variant>
      <vt:variant>
        <vt:i4>4653151</vt:i4>
      </vt:variant>
      <vt:variant>
        <vt:i4>9</vt:i4>
      </vt:variant>
      <vt:variant>
        <vt:i4>0</vt:i4>
      </vt:variant>
      <vt:variant>
        <vt:i4>5</vt:i4>
      </vt:variant>
      <vt:variant>
        <vt:lpwstr>https://www.england.nhs.uk/publication/2022-23-national-cost-collection-data-publication/</vt:lpwstr>
      </vt:variant>
      <vt:variant>
        <vt:lpwstr/>
      </vt:variant>
      <vt:variant>
        <vt:i4>5505030</vt:i4>
      </vt:variant>
      <vt:variant>
        <vt:i4>6</vt:i4>
      </vt:variant>
      <vt:variant>
        <vt:i4>0</vt:i4>
      </vt:variant>
      <vt:variant>
        <vt:i4>5</vt:i4>
      </vt:variant>
      <vt:variant>
        <vt:lpwstr>https://www.nice.org.uk/guidance/mtg76/resources</vt:lpwstr>
      </vt:variant>
      <vt:variant>
        <vt:lpwstr/>
      </vt:variant>
      <vt:variant>
        <vt:i4>6619180</vt:i4>
      </vt:variant>
      <vt:variant>
        <vt:i4>3</vt:i4>
      </vt:variant>
      <vt:variant>
        <vt:i4>0</vt:i4>
      </vt:variant>
      <vt:variant>
        <vt:i4>5</vt:i4>
      </vt:variant>
      <vt:variant>
        <vt:lpwstr>https://www.nice.org.uk/guidance/mtg76/chapter/2-The-technology</vt:lpwstr>
      </vt:variant>
      <vt:variant>
        <vt:lpwstr/>
      </vt:variant>
      <vt:variant>
        <vt:i4>5046358</vt:i4>
      </vt:variant>
      <vt:variant>
        <vt:i4>0</vt:i4>
      </vt:variant>
      <vt:variant>
        <vt:i4>0</vt:i4>
      </vt:variant>
      <vt:variant>
        <vt:i4>5</vt:i4>
      </vt:variant>
      <vt:variant>
        <vt:lpwstr>https://reports.njrcentre.org.uk/</vt:lpwstr>
      </vt:variant>
      <vt:variant>
        <vt:lpwstr/>
      </vt:variant>
      <vt:variant>
        <vt:i4>5505030</vt:i4>
      </vt:variant>
      <vt:variant>
        <vt:i4>0</vt:i4>
      </vt:variant>
      <vt:variant>
        <vt:i4>0</vt:i4>
      </vt:variant>
      <vt:variant>
        <vt:i4>5</vt:i4>
      </vt:variant>
      <vt:variant>
        <vt:lpwstr>https://www.nice.org.uk/guidance/mtg76/resources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HTG671 AposHealth for osteoarthritis of the knee: resource impact summary report</dc:title>
  <dc:subject/>
  <dc:creator/>
  <cp:keywords/>
  <cp:lastModifiedBy/>
  <cp:revision>1</cp:revision>
  <dcterms:created xsi:type="dcterms:W3CDTF">2024-10-29T14:34:00Z</dcterms:created>
  <dcterms:modified xsi:type="dcterms:W3CDTF">2025-12-15T14:31:00Z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2024-09-05T16:11:59Z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f6f457c4-8139-4cf8-bfdb-003e0c3659dd</vt:lpwstr>
  </property>
  <property fmtid="{D5CDD505-2E9C-101B-9397-08002B2CF9AE}" pid="8" name="MSIP_Label_c69d85d5-6d9e-4305-a294-1f636ec0f2d6_ContentBits">
    <vt:lpwstr>0</vt:lpwstr>
  </property>
  <property fmtid="{D5CDD505-2E9C-101B-9397-08002B2CF9AE}" pid="9" name="ContentTypeId">
    <vt:lpwstr>0x010100B99456BF0FC3654992BB01F701E3BF13</vt:lpwstr>
  </property>
  <property fmtid="{D5CDD505-2E9C-101B-9397-08002B2CF9AE}" pid="10" name="MediaServiceImageTags">
    <vt:lpwstr/>
  </property>
  <property fmtid="{D5CDD505-2E9C-101B-9397-08002B2CF9AE}" pid="11" name="Display Status">
    <vt:lpwstr/>
  </property>
</Properties>
</file>