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52E45E" w14:textId="0EEDC96B" w:rsidR="00437CF7" w:rsidRDefault="004B51B7" w:rsidP="00B4130D">
      <w:pPr>
        <w:pStyle w:val="Title1"/>
        <w:rPr>
          <w:rFonts w:ascii="Segoe UI" w:hAnsi="Segoe UI" w:cs="Segoe UI"/>
          <w:b w:val="0"/>
          <w:bCs w:val="0"/>
          <w:color w:val="000000"/>
          <w:szCs w:val="40"/>
        </w:rPr>
      </w:pPr>
      <w:r w:rsidRPr="004B51B7">
        <w:rPr>
          <w:rFonts w:ascii="Segoe UI" w:hAnsi="Segoe UI" w:cs="Segoe UI"/>
          <w:color w:val="000000"/>
          <w:szCs w:val="40"/>
        </w:rPr>
        <w:t xml:space="preserve">Kurin Lock for </w:t>
      </w:r>
      <w:r w:rsidR="00B4130D">
        <w:rPr>
          <w:rFonts w:ascii="Segoe UI" w:hAnsi="Segoe UI" w:cs="Segoe UI"/>
          <w:color w:val="000000"/>
          <w:szCs w:val="40"/>
        </w:rPr>
        <w:t>b</w:t>
      </w:r>
      <w:r w:rsidRPr="004B51B7">
        <w:rPr>
          <w:rFonts w:ascii="Segoe UI" w:hAnsi="Segoe UI" w:cs="Segoe UI"/>
          <w:color w:val="000000"/>
          <w:szCs w:val="40"/>
        </w:rPr>
        <w:t xml:space="preserve">lood </w:t>
      </w:r>
      <w:r w:rsidR="00B4130D">
        <w:rPr>
          <w:rFonts w:ascii="Segoe UI" w:hAnsi="Segoe UI" w:cs="Segoe UI"/>
          <w:color w:val="000000"/>
          <w:szCs w:val="40"/>
        </w:rPr>
        <w:t>c</w:t>
      </w:r>
      <w:r w:rsidRPr="00B4130D">
        <w:t>ulture</w:t>
      </w:r>
      <w:r w:rsidRPr="004B51B7">
        <w:rPr>
          <w:rFonts w:ascii="Segoe UI" w:hAnsi="Segoe UI" w:cs="Segoe UI"/>
          <w:color w:val="000000"/>
          <w:szCs w:val="40"/>
        </w:rPr>
        <w:t xml:space="preserve"> </w:t>
      </w:r>
      <w:r w:rsidR="00B4130D">
        <w:rPr>
          <w:rFonts w:ascii="Segoe UI" w:hAnsi="Segoe UI" w:cs="Segoe UI"/>
          <w:color w:val="000000"/>
          <w:szCs w:val="40"/>
        </w:rPr>
        <w:t>c</w:t>
      </w:r>
      <w:r w:rsidRPr="004B51B7">
        <w:rPr>
          <w:rFonts w:ascii="Segoe UI" w:hAnsi="Segoe UI" w:cs="Segoe UI"/>
          <w:color w:val="000000"/>
          <w:szCs w:val="40"/>
        </w:rPr>
        <w:t>ollection</w:t>
      </w:r>
    </w:p>
    <w:p w14:paraId="2A6547B7" w14:textId="3221896E" w:rsidR="00CB3283" w:rsidRDefault="00B4130D" w:rsidP="00B4130D">
      <w:pPr>
        <w:pStyle w:val="Guidanceissuedate"/>
        <w:rPr>
          <w:rFonts w:cs="Arial"/>
          <w:b/>
          <w:bCs/>
          <w:color w:val="000000"/>
          <w:kern w:val="28"/>
          <w:sz w:val="36"/>
          <w:szCs w:val="36"/>
        </w:rPr>
      </w:pPr>
      <w:r>
        <w:t>03 April 2024</w:t>
      </w:r>
    </w:p>
    <w:p w14:paraId="3B0FCE7A" w14:textId="3C9D3AE1" w:rsidR="00025B6A" w:rsidRPr="00B4130D" w:rsidRDefault="00025B6A" w:rsidP="00B4130D">
      <w:pPr>
        <w:pStyle w:val="Heading1"/>
        <w:rPr>
          <w:lang w:val="en-GB"/>
        </w:rPr>
      </w:pPr>
      <w:r w:rsidRPr="00B4130D">
        <w:rPr>
          <w:lang w:val="en-GB"/>
        </w:rPr>
        <w:t xml:space="preserve">Resource impact </w:t>
      </w:r>
      <w:r w:rsidR="00C2558B" w:rsidRPr="00B4130D">
        <w:rPr>
          <w:lang w:val="en-GB"/>
        </w:rPr>
        <w:t>summary report</w:t>
      </w:r>
    </w:p>
    <w:tbl>
      <w:tblPr>
        <w:tblStyle w:val="PanelPrimary"/>
        <w:tblW w:w="5000" w:type="pct"/>
        <w:tblLook w:val="0000" w:firstRow="0" w:lastRow="0" w:firstColumn="0" w:lastColumn="0" w:noHBand="0" w:noVBand="0"/>
      </w:tblPr>
      <w:tblGrid>
        <w:gridCol w:w="8967"/>
      </w:tblGrid>
      <w:tr w:rsidR="00B4130D" w:rsidRPr="004330E5" w14:paraId="5861DC93" w14:textId="77777777" w:rsidTr="00624730">
        <w:tc>
          <w:tcPr>
            <w:tcW w:w="5000" w:type="pct"/>
          </w:tcPr>
          <w:p w14:paraId="19B88F65" w14:textId="7E148713" w:rsidR="00B4130D" w:rsidRPr="004330E5" w:rsidRDefault="00B4130D" w:rsidP="00B4130D">
            <w:r w:rsidRPr="0077771F">
              <w:rPr>
                <w:rFonts w:ascii="Arial" w:hAnsi="Arial" w:cs="Arial"/>
              </w:rPr>
              <w:t xml:space="preserve">This summary report is based on the NICE assumptions used in the </w:t>
            </w:r>
            <w:hyperlink r:id="rId7" w:history="1">
              <w:r w:rsidRPr="0077771F">
                <w:rPr>
                  <w:rStyle w:val="Hyperlink"/>
                  <w:rFonts w:ascii="Arial" w:hAnsi="Arial" w:cs="Arial"/>
                </w:rPr>
                <w:t>resource impact template</w:t>
              </w:r>
            </w:hyperlink>
            <w:r w:rsidRPr="0077771F">
              <w:rPr>
                <w:rFonts w:ascii="Arial" w:hAnsi="Arial" w:cs="Arial"/>
              </w:rPr>
              <w:t>. Users can amend the ‘Inputs and eligible population’ and ‘Unit costs’ worksheets in the template to reflect local data and assumptions.</w:t>
            </w:r>
          </w:p>
        </w:tc>
      </w:tr>
    </w:tbl>
    <w:p w14:paraId="642A123A" w14:textId="77777777" w:rsidR="00D26C52" w:rsidRDefault="00D26C52" w:rsidP="00D57A48">
      <w:pPr>
        <w:pStyle w:val="NICEnormalsinglespacing"/>
        <w:rPr>
          <w:rFonts w:cs="Arial"/>
        </w:rPr>
      </w:pPr>
    </w:p>
    <w:p w14:paraId="7299DC4D" w14:textId="46C3E55B" w:rsidR="00BE641A" w:rsidRDefault="002A06CA" w:rsidP="00984D86">
      <w:pPr>
        <w:pStyle w:val="NICEnormalsinglespacing"/>
      </w:pPr>
      <w:r>
        <w:rPr>
          <w:rFonts w:cs="Arial"/>
        </w:rPr>
        <w:t xml:space="preserve">NICE has recommended </w:t>
      </w:r>
      <w:r w:rsidR="0028316C">
        <w:rPr>
          <w:rFonts w:cs="Arial"/>
        </w:rPr>
        <w:t xml:space="preserve">that </w:t>
      </w:r>
      <w:r w:rsidR="00984D86" w:rsidRPr="00984D86">
        <w:rPr>
          <w:rFonts w:cs="Arial"/>
        </w:rPr>
        <w:t>Kurin Lock can be used in the NHS to reduce contamination in blood culture collection in emergency departments with high blood culture contamination rates while more evidence is generated</w:t>
      </w:r>
      <w:r>
        <w:rPr>
          <w:rFonts w:cs="Arial"/>
        </w:rPr>
        <w:t>.</w:t>
      </w:r>
    </w:p>
    <w:p w14:paraId="512D61B4" w14:textId="3BE37B9D" w:rsidR="00C865E1" w:rsidRDefault="000D4270" w:rsidP="00B152B5">
      <w:pPr>
        <w:pStyle w:val="NICEnormalsinglespacing"/>
        <w:rPr>
          <w:rFonts w:cs="Arial"/>
        </w:rPr>
      </w:pPr>
      <w:r w:rsidRPr="000D4270">
        <w:rPr>
          <w:rFonts w:cs="Arial"/>
        </w:rPr>
        <w:t>Kurin Lock is intended for use in secondary care, for people who have blood culture samples taken when bloodstream infections are suspected</w:t>
      </w:r>
      <w:r>
        <w:rPr>
          <w:rFonts w:cs="Arial"/>
        </w:rPr>
        <w:t>.</w:t>
      </w:r>
      <w:r w:rsidR="003F3909">
        <w:rPr>
          <w:rFonts w:cs="Arial"/>
        </w:rPr>
        <w:t xml:space="preserve"> </w:t>
      </w:r>
      <w:r w:rsidRPr="000D4270">
        <w:rPr>
          <w:rFonts w:cs="Arial"/>
        </w:rPr>
        <w:t xml:space="preserve">Adopting Kurin Lock would need no change to standard practice. </w:t>
      </w:r>
      <w:r w:rsidR="003F3909">
        <w:rPr>
          <w:rFonts w:cs="Arial"/>
        </w:rPr>
        <w:t xml:space="preserve">It has no additional staffing demands compared </w:t>
      </w:r>
      <w:r w:rsidR="00D74556">
        <w:rPr>
          <w:rFonts w:cs="Arial"/>
        </w:rPr>
        <w:t xml:space="preserve">with </w:t>
      </w:r>
      <w:r w:rsidR="003F3909">
        <w:rPr>
          <w:rFonts w:cs="Arial"/>
        </w:rPr>
        <w:t xml:space="preserve">standard care but some </w:t>
      </w:r>
      <w:r>
        <w:rPr>
          <w:rFonts w:cs="Arial"/>
        </w:rPr>
        <w:t xml:space="preserve">minimal </w:t>
      </w:r>
      <w:r w:rsidR="003F3909">
        <w:rPr>
          <w:rFonts w:cs="Arial"/>
        </w:rPr>
        <w:t>training on the use of the device may be needed.</w:t>
      </w:r>
    </w:p>
    <w:p w14:paraId="600BFD26" w14:textId="4EA5F17B" w:rsidR="002F76C0" w:rsidRDefault="002A06CA" w:rsidP="00B152B5">
      <w:pPr>
        <w:pStyle w:val="NICEnormalsinglespacing"/>
        <w:rPr>
          <w:rFonts w:cs="Arial"/>
        </w:rPr>
      </w:pPr>
      <w:r w:rsidRPr="002A06CA">
        <w:rPr>
          <w:rFonts w:cs="Arial"/>
        </w:rPr>
        <w:t xml:space="preserve">Current management involves cleaning the injection site with antiseptic, inserting </w:t>
      </w:r>
      <w:r w:rsidR="00580D67">
        <w:rPr>
          <w:rFonts w:cs="Arial"/>
        </w:rPr>
        <w:t>a</w:t>
      </w:r>
      <w:r w:rsidR="00580D67" w:rsidRPr="002A06CA">
        <w:rPr>
          <w:rFonts w:cs="Arial"/>
        </w:rPr>
        <w:t xml:space="preserve"> </w:t>
      </w:r>
      <w:r w:rsidRPr="002A06CA">
        <w:rPr>
          <w:rFonts w:cs="Arial"/>
        </w:rPr>
        <w:t>needle, and collecting blood directly into blood culture collection bottles.</w:t>
      </w:r>
    </w:p>
    <w:p w14:paraId="7514BBED" w14:textId="0A7CF0CE" w:rsidR="00444226" w:rsidRDefault="00EB25B4" w:rsidP="00360517">
      <w:pPr>
        <w:pStyle w:val="NICEnormalsinglespacing"/>
        <w:rPr>
          <w:rFonts w:cs="Arial"/>
        </w:rPr>
      </w:pPr>
      <w:r>
        <w:t>There are a</w:t>
      </w:r>
      <w:r w:rsidRPr="00EB25B4">
        <w:t>round 16.7 million attendances in major A&amp;E units in England (</w:t>
      </w:r>
      <w:hyperlink r:id="rId8" w:history="1">
        <w:r>
          <w:rPr>
            <w:rStyle w:val="Hyperlink"/>
          </w:rPr>
          <w:t>Hospital Accident &amp; Emergency Activity, 2022-23 - NHS Digital</w:t>
        </w:r>
      </w:hyperlink>
      <w:r w:rsidRPr="00EB25B4">
        <w:t>)</w:t>
      </w:r>
      <w:r>
        <w:t xml:space="preserve">. </w:t>
      </w:r>
      <w:r w:rsidR="002A06CA" w:rsidRPr="002A06CA">
        <w:rPr>
          <w:rFonts w:cs="Arial"/>
        </w:rPr>
        <w:t xml:space="preserve">Blood culture contamination or false positive blood culture results can have detrimental effects on the patient and health service. </w:t>
      </w:r>
      <w:r>
        <w:rPr>
          <w:rFonts w:cs="Arial"/>
        </w:rPr>
        <w:t xml:space="preserve">This may have </w:t>
      </w:r>
      <w:r w:rsidR="00822D0B">
        <w:rPr>
          <w:rFonts w:cs="Arial"/>
        </w:rPr>
        <w:t xml:space="preserve">capacity implications </w:t>
      </w:r>
      <w:r w:rsidR="001B0597">
        <w:rPr>
          <w:rFonts w:cs="Arial"/>
        </w:rPr>
        <w:t xml:space="preserve">through </w:t>
      </w:r>
      <w:r w:rsidR="002A06CA" w:rsidRPr="002A06CA">
        <w:rPr>
          <w:rFonts w:cs="Arial"/>
        </w:rPr>
        <w:t xml:space="preserve">people </w:t>
      </w:r>
      <w:r w:rsidR="001B0597">
        <w:rPr>
          <w:rFonts w:cs="Arial"/>
        </w:rPr>
        <w:t xml:space="preserve">having </w:t>
      </w:r>
      <w:r w:rsidR="002A06CA" w:rsidRPr="002A06CA">
        <w:rPr>
          <w:rFonts w:cs="Arial"/>
        </w:rPr>
        <w:t>extend</w:t>
      </w:r>
      <w:r w:rsidR="00822D0B">
        <w:rPr>
          <w:rFonts w:cs="Arial"/>
        </w:rPr>
        <w:t>ed</w:t>
      </w:r>
      <w:r w:rsidR="002A06CA" w:rsidRPr="002A06CA">
        <w:rPr>
          <w:rFonts w:cs="Arial"/>
        </w:rPr>
        <w:t xml:space="preserve"> hospital stays</w:t>
      </w:r>
      <w:r w:rsidR="00A564DE">
        <w:rPr>
          <w:rFonts w:cs="Arial"/>
        </w:rPr>
        <w:t>,</w:t>
      </w:r>
      <w:r w:rsidR="002A06CA" w:rsidRPr="002A06CA">
        <w:rPr>
          <w:rFonts w:cs="Arial"/>
        </w:rPr>
        <w:t xml:space="preserve"> </w:t>
      </w:r>
      <w:r w:rsidR="00E83D1D">
        <w:rPr>
          <w:rFonts w:cs="Arial"/>
        </w:rPr>
        <w:t xml:space="preserve">antibiotic exposure and </w:t>
      </w:r>
      <w:r w:rsidR="00D730BE">
        <w:rPr>
          <w:rFonts w:cs="Arial"/>
        </w:rPr>
        <w:t>diagnostic investigations.</w:t>
      </w:r>
    </w:p>
    <w:p w14:paraId="68F6B0B8" w14:textId="3609E33B" w:rsidR="00EB25B4" w:rsidRDefault="00EB25B4" w:rsidP="00B152B5">
      <w:pPr>
        <w:pStyle w:val="NICEnormalsinglespacing"/>
        <w:rPr>
          <w:rFonts w:cs="Arial"/>
        </w:rPr>
      </w:pPr>
      <w:r w:rsidRPr="00EB25B4">
        <w:rPr>
          <w:rFonts w:cs="Arial"/>
        </w:rPr>
        <w:t>Kurin Lock cost</w:t>
      </w:r>
      <w:r w:rsidR="009203E6">
        <w:rPr>
          <w:rFonts w:cs="Arial"/>
        </w:rPr>
        <w:t>s</w:t>
      </w:r>
      <w:r w:rsidRPr="00EB25B4">
        <w:rPr>
          <w:rFonts w:cs="Arial"/>
        </w:rPr>
        <w:t xml:space="preserve"> £19.50 per device</w:t>
      </w:r>
      <w:r>
        <w:rPr>
          <w:rFonts w:cs="Arial"/>
        </w:rPr>
        <w:t xml:space="preserve"> and with 2 devices used per person, the total cost i</w:t>
      </w:r>
      <w:r w:rsidRPr="00EB25B4">
        <w:rPr>
          <w:rFonts w:cs="Arial"/>
        </w:rPr>
        <w:t>s £39</w:t>
      </w:r>
      <w:r>
        <w:rPr>
          <w:rFonts w:cs="Arial"/>
        </w:rPr>
        <w:t xml:space="preserve"> per test.</w:t>
      </w:r>
      <w:r w:rsidRPr="00EB25B4">
        <w:rPr>
          <w:rFonts w:cs="Arial"/>
        </w:rPr>
        <w:t xml:space="preserve"> S</w:t>
      </w:r>
      <w:r>
        <w:rPr>
          <w:rFonts w:cs="Arial"/>
        </w:rPr>
        <w:t>tandard care device</w:t>
      </w:r>
      <w:r w:rsidR="009203E6">
        <w:rPr>
          <w:rFonts w:cs="Arial"/>
        </w:rPr>
        <w:t>s</w:t>
      </w:r>
      <w:r>
        <w:rPr>
          <w:rFonts w:cs="Arial"/>
        </w:rPr>
        <w:t xml:space="preserve"> cost £0.96 per person. Therefore, an additional cost of </w:t>
      </w:r>
      <w:r w:rsidR="009203E6">
        <w:rPr>
          <w:rFonts w:cs="Arial"/>
        </w:rPr>
        <w:t xml:space="preserve">around </w:t>
      </w:r>
      <w:r>
        <w:rPr>
          <w:rFonts w:cs="Arial"/>
        </w:rPr>
        <w:t>£38 per person per test</w:t>
      </w:r>
      <w:r w:rsidR="009B6F91">
        <w:rPr>
          <w:rFonts w:cs="Arial"/>
        </w:rPr>
        <w:t xml:space="preserve"> would be </w:t>
      </w:r>
      <w:r w:rsidR="00A47BEE">
        <w:rPr>
          <w:rFonts w:cs="Arial"/>
        </w:rPr>
        <w:t>incurred</w:t>
      </w:r>
      <w:r w:rsidR="009B6F91">
        <w:rPr>
          <w:rFonts w:cs="Arial"/>
        </w:rPr>
        <w:t xml:space="preserve"> </w:t>
      </w:r>
      <w:r w:rsidR="60D70E71" w:rsidRPr="39353223">
        <w:rPr>
          <w:rFonts w:cs="Arial"/>
        </w:rPr>
        <w:t>when</w:t>
      </w:r>
      <w:r w:rsidR="009B6F91">
        <w:rPr>
          <w:rFonts w:cs="Arial"/>
        </w:rPr>
        <w:t xml:space="preserve"> </w:t>
      </w:r>
      <w:r w:rsidR="00B55D38">
        <w:rPr>
          <w:rFonts w:cs="Arial"/>
        </w:rPr>
        <w:t>using a Kurin Lock device</w:t>
      </w:r>
      <w:r>
        <w:rPr>
          <w:rFonts w:cs="Arial"/>
        </w:rPr>
        <w:t>.</w:t>
      </w:r>
      <w:r w:rsidR="00F02A88">
        <w:rPr>
          <w:rFonts w:cs="Arial"/>
        </w:rPr>
        <w:t xml:space="preserve"> </w:t>
      </w:r>
      <w:r w:rsidR="00E21B99">
        <w:rPr>
          <w:rFonts w:cs="Arial"/>
        </w:rPr>
        <w:t>However, bed day benefits may offset this cost</w:t>
      </w:r>
      <w:r w:rsidR="004A538F">
        <w:rPr>
          <w:rFonts w:cs="Arial"/>
        </w:rPr>
        <w:t>.</w:t>
      </w:r>
      <w:r w:rsidR="00F02A88">
        <w:rPr>
          <w:rFonts w:cs="Arial"/>
        </w:rPr>
        <w:t xml:space="preserve"> Bed </w:t>
      </w:r>
      <w:r w:rsidR="004A538F">
        <w:rPr>
          <w:rFonts w:cs="Arial"/>
        </w:rPr>
        <w:t xml:space="preserve">savings may help patient flow and elective </w:t>
      </w:r>
      <w:r w:rsidR="0005530A">
        <w:rPr>
          <w:rFonts w:cs="Arial"/>
        </w:rPr>
        <w:t>activity to be undertaken.</w:t>
      </w:r>
      <w:r w:rsidR="00C2730A">
        <w:rPr>
          <w:rFonts w:cs="Arial"/>
        </w:rPr>
        <w:t xml:space="preserve"> </w:t>
      </w:r>
    </w:p>
    <w:p w14:paraId="68EC862C" w14:textId="1BDCE7A4" w:rsidR="00380CD9" w:rsidRDefault="00C94E47" w:rsidP="00022FB0">
      <w:pPr>
        <w:pStyle w:val="NICEnormalsinglespacing"/>
        <w:rPr>
          <w:rFonts w:cs="Arial"/>
        </w:rPr>
      </w:pPr>
      <w:r>
        <w:rPr>
          <w:rFonts w:cs="Arial"/>
        </w:rPr>
        <w:t xml:space="preserve">A </w:t>
      </w:r>
      <w:hyperlink r:id="rId9">
        <w:r w:rsidRPr="6E06349C">
          <w:rPr>
            <w:rStyle w:val="Hyperlink"/>
            <w:rFonts w:cs="Arial"/>
          </w:rPr>
          <w:t>resource impact template</w:t>
        </w:r>
      </w:hyperlink>
      <w:r>
        <w:rPr>
          <w:rFonts w:cs="Arial"/>
        </w:rPr>
        <w:t xml:space="preserve"> has been developed and published alongside this report</w:t>
      </w:r>
      <w:r w:rsidR="00783004">
        <w:rPr>
          <w:rFonts w:cs="Arial"/>
        </w:rPr>
        <w:t>.</w:t>
      </w:r>
      <w:r>
        <w:rPr>
          <w:rFonts w:cs="Arial"/>
        </w:rPr>
        <w:t xml:space="preserve"> </w:t>
      </w:r>
      <w:r w:rsidR="00783004">
        <w:rPr>
          <w:rFonts w:cs="Arial"/>
        </w:rPr>
        <w:t>The</w:t>
      </w:r>
      <w:r w:rsidR="00391F9E">
        <w:rPr>
          <w:rFonts w:cs="Arial"/>
        </w:rPr>
        <w:t xml:space="preserve"> te</w:t>
      </w:r>
      <w:r w:rsidR="00554F81">
        <w:rPr>
          <w:rFonts w:cs="Arial"/>
        </w:rPr>
        <w:t>mp</w:t>
      </w:r>
      <w:r w:rsidR="00D867A4">
        <w:rPr>
          <w:rFonts w:cs="Arial"/>
        </w:rPr>
        <w:t>late</w:t>
      </w:r>
      <w:r w:rsidR="00554F81">
        <w:rPr>
          <w:rFonts w:cs="Arial"/>
        </w:rPr>
        <w:t xml:space="preserve"> provides an </w:t>
      </w:r>
      <w:r w:rsidR="00554F81" w:rsidRPr="56A57813">
        <w:rPr>
          <w:rFonts w:cs="Arial"/>
        </w:rPr>
        <w:t>illustrati</w:t>
      </w:r>
      <w:r w:rsidR="7BD1DE78" w:rsidRPr="56A57813">
        <w:rPr>
          <w:rFonts w:cs="Arial"/>
        </w:rPr>
        <w:t>on</w:t>
      </w:r>
      <w:r w:rsidR="23B4E030" w:rsidRPr="56A57813">
        <w:rPr>
          <w:rFonts w:cs="Arial"/>
        </w:rPr>
        <w:t xml:space="preserve"> of th</w:t>
      </w:r>
      <w:r w:rsidR="00A816CE">
        <w:rPr>
          <w:rFonts w:cs="Arial"/>
        </w:rPr>
        <w:t>e</w:t>
      </w:r>
      <w:r w:rsidR="00554F81" w:rsidRPr="56A57813">
        <w:rPr>
          <w:rFonts w:cs="Arial"/>
        </w:rPr>
        <w:t xml:space="preserve"> </w:t>
      </w:r>
      <w:r w:rsidR="00554F81">
        <w:rPr>
          <w:rFonts w:cs="Arial"/>
        </w:rPr>
        <w:t>potential resource impact</w:t>
      </w:r>
      <w:r w:rsidR="05162D2D" w:rsidRPr="56A57813">
        <w:rPr>
          <w:rFonts w:cs="Arial"/>
        </w:rPr>
        <w:t>. It is</w:t>
      </w:r>
      <w:r w:rsidR="00554F81" w:rsidRPr="56A57813">
        <w:rPr>
          <w:rFonts w:cs="Arial"/>
        </w:rPr>
        <w:t xml:space="preserve"> </w:t>
      </w:r>
      <w:r w:rsidR="00554F81">
        <w:rPr>
          <w:rFonts w:cs="Arial"/>
        </w:rPr>
        <w:t xml:space="preserve">based on an </w:t>
      </w:r>
      <w:r w:rsidR="00CB30EB">
        <w:rPr>
          <w:rFonts w:cs="Arial"/>
        </w:rPr>
        <w:t xml:space="preserve">estimated </w:t>
      </w:r>
      <w:r w:rsidR="00D25431">
        <w:rPr>
          <w:rFonts w:cs="Arial"/>
        </w:rPr>
        <w:t xml:space="preserve">10,000 people </w:t>
      </w:r>
      <w:r w:rsidR="00685AEF">
        <w:rPr>
          <w:rFonts w:cs="Arial"/>
        </w:rPr>
        <w:t>having</w:t>
      </w:r>
      <w:r w:rsidR="00685AEF" w:rsidRPr="56A57813">
        <w:rPr>
          <w:rFonts w:cs="Arial"/>
        </w:rPr>
        <w:t xml:space="preserve"> </w:t>
      </w:r>
      <w:r w:rsidR="27186E03" w:rsidRPr="56A57813">
        <w:rPr>
          <w:rFonts w:cs="Arial"/>
        </w:rPr>
        <w:t xml:space="preserve">a blood </w:t>
      </w:r>
      <w:r w:rsidR="626F8B08" w:rsidRPr="56A57813">
        <w:rPr>
          <w:rFonts w:cs="Arial"/>
        </w:rPr>
        <w:t xml:space="preserve">culture </w:t>
      </w:r>
      <w:r w:rsidR="27186E03" w:rsidRPr="56A57813">
        <w:rPr>
          <w:rFonts w:cs="Arial"/>
        </w:rPr>
        <w:t>test</w:t>
      </w:r>
      <w:r w:rsidR="4B621278" w:rsidRPr="7F1AE161">
        <w:rPr>
          <w:rFonts w:cs="Arial"/>
        </w:rPr>
        <w:t>,</w:t>
      </w:r>
      <w:r w:rsidR="5A845AD6" w:rsidRPr="56A57813">
        <w:rPr>
          <w:rFonts w:cs="Arial"/>
        </w:rPr>
        <w:t xml:space="preserve"> of which 10% </w:t>
      </w:r>
      <w:r w:rsidR="0016149E">
        <w:rPr>
          <w:rFonts w:cs="Arial"/>
        </w:rPr>
        <w:t xml:space="preserve">(1,000) </w:t>
      </w:r>
      <w:r w:rsidR="00BD5C24">
        <w:rPr>
          <w:rFonts w:cs="Arial"/>
        </w:rPr>
        <w:t xml:space="preserve">are </w:t>
      </w:r>
      <w:r w:rsidR="00AD0197">
        <w:rPr>
          <w:rFonts w:cs="Arial"/>
        </w:rPr>
        <w:t xml:space="preserve">done </w:t>
      </w:r>
      <w:r w:rsidR="5A845AD6" w:rsidRPr="08CC9D57">
        <w:rPr>
          <w:rFonts w:cs="Arial"/>
        </w:rPr>
        <w:t>using</w:t>
      </w:r>
      <w:r w:rsidR="5A845AD6" w:rsidRPr="56A57813">
        <w:rPr>
          <w:rFonts w:cs="Arial"/>
        </w:rPr>
        <w:t xml:space="preserve"> Kurin Lock</w:t>
      </w:r>
      <w:r w:rsidR="00783004">
        <w:rPr>
          <w:rFonts w:cs="Arial"/>
        </w:rPr>
        <w:t>.</w:t>
      </w:r>
      <w:r w:rsidR="00090AFB">
        <w:rPr>
          <w:rFonts w:cs="Arial"/>
        </w:rPr>
        <w:t xml:space="preserve"> </w:t>
      </w:r>
      <w:r w:rsidR="00380CD9" w:rsidRPr="00380CD9">
        <w:rPr>
          <w:rFonts w:cs="Arial"/>
        </w:rPr>
        <w:t xml:space="preserve">The table below </w:t>
      </w:r>
      <w:r w:rsidR="00380CD9">
        <w:rPr>
          <w:rFonts w:cs="Arial"/>
        </w:rPr>
        <w:t>shows</w:t>
      </w:r>
      <w:r w:rsidR="00380CD9" w:rsidRPr="00380CD9">
        <w:rPr>
          <w:rFonts w:cs="Arial"/>
        </w:rPr>
        <w:t xml:space="preserve"> the </w:t>
      </w:r>
      <w:r w:rsidR="00090AFB">
        <w:rPr>
          <w:rFonts w:cs="Arial"/>
        </w:rPr>
        <w:t xml:space="preserve">associated </w:t>
      </w:r>
      <w:r w:rsidR="00380CD9" w:rsidRPr="00380CD9">
        <w:rPr>
          <w:rFonts w:cs="Arial"/>
        </w:rPr>
        <w:t>potential costs and savings from adopting Kurin Lock. The figures are based on the economic model evidence looking at 1 patient</w:t>
      </w:r>
      <w:r w:rsidR="00455456">
        <w:rPr>
          <w:rFonts w:cs="Arial"/>
        </w:rPr>
        <w:t>.</w:t>
      </w:r>
    </w:p>
    <w:p w14:paraId="6827D7CE" w14:textId="596F5E01" w:rsidR="00095104" w:rsidRDefault="00095104" w:rsidP="00FB3EE2">
      <w:pPr>
        <w:pStyle w:val="Tabletitle"/>
      </w:pPr>
      <w:r>
        <w:lastRenderedPageBreak/>
        <w:t xml:space="preserve">Table 1: </w:t>
      </w:r>
      <w:r w:rsidR="007C1FD9">
        <w:t>P</w:t>
      </w:r>
      <w:r>
        <w:t xml:space="preserve">otential savings from using Kurin Lock compared </w:t>
      </w:r>
      <w:r w:rsidR="00AD0197">
        <w:t xml:space="preserve">with </w:t>
      </w:r>
      <w:r>
        <w:t>standard care in England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5949"/>
        <w:gridCol w:w="1275"/>
        <w:gridCol w:w="1793"/>
      </w:tblGrid>
      <w:tr w:rsidR="00142000" w14:paraId="343861BB" w14:textId="77777777" w:rsidTr="008F3B96">
        <w:tc>
          <w:tcPr>
            <w:tcW w:w="3299" w:type="pct"/>
          </w:tcPr>
          <w:p w14:paraId="28DF6E5C" w14:textId="18FADB83" w:rsidR="00142000" w:rsidRPr="001D1471" w:rsidRDefault="00142000" w:rsidP="00142000">
            <w:pPr>
              <w:pStyle w:val="Tabletext"/>
              <w:rPr>
                <w:b/>
                <w:bCs/>
              </w:rPr>
            </w:pPr>
            <w:r w:rsidRPr="00FB3EE2">
              <w:rPr>
                <w:b/>
                <w:bCs/>
              </w:rPr>
              <w:t>Details</w:t>
            </w:r>
          </w:p>
        </w:tc>
        <w:tc>
          <w:tcPr>
            <w:tcW w:w="707" w:type="pct"/>
          </w:tcPr>
          <w:p w14:paraId="1E997992" w14:textId="6AC3EA95" w:rsidR="00142000" w:rsidRPr="001D1471" w:rsidRDefault="00142000" w:rsidP="00142000">
            <w:pPr>
              <w:pStyle w:val="Tabletext"/>
              <w:rPr>
                <w:b/>
                <w:bCs/>
              </w:rPr>
            </w:pPr>
            <w:r w:rsidRPr="00FB3EE2">
              <w:rPr>
                <w:b/>
                <w:bCs/>
              </w:rPr>
              <w:t>Unit cost</w:t>
            </w:r>
          </w:p>
        </w:tc>
        <w:tc>
          <w:tcPr>
            <w:tcW w:w="994" w:type="pct"/>
            <w:vAlign w:val="center"/>
          </w:tcPr>
          <w:p w14:paraId="00D987B9" w14:textId="571B4C6E" w:rsidR="00142000" w:rsidRPr="001D1471" w:rsidRDefault="00142000" w:rsidP="00142000">
            <w:pPr>
              <w:pStyle w:val="Tabletext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Attendances</w:t>
            </w:r>
          </w:p>
        </w:tc>
      </w:tr>
      <w:tr w:rsidR="001608EC" w14:paraId="2AD03B83" w14:textId="77777777" w:rsidTr="008F3B96">
        <w:tc>
          <w:tcPr>
            <w:tcW w:w="3299" w:type="pct"/>
          </w:tcPr>
          <w:p w14:paraId="3D2F3265" w14:textId="6FD87371" w:rsidR="001608EC" w:rsidRPr="00E4254F" w:rsidRDefault="00133577" w:rsidP="00142000">
            <w:pPr>
              <w:pStyle w:val="Tabletext"/>
              <w:rPr>
                <w:b/>
                <w:bCs/>
              </w:rPr>
            </w:pPr>
            <w:r>
              <w:rPr>
                <w:b/>
                <w:bCs/>
              </w:rPr>
              <w:t xml:space="preserve">Number of </w:t>
            </w:r>
            <w:r w:rsidR="00B04146">
              <w:rPr>
                <w:b/>
                <w:bCs/>
              </w:rPr>
              <w:t>blood culture tests</w:t>
            </w:r>
          </w:p>
        </w:tc>
        <w:tc>
          <w:tcPr>
            <w:tcW w:w="707" w:type="pct"/>
          </w:tcPr>
          <w:p w14:paraId="56AD1BAA" w14:textId="25268734" w:rsidR="001608EC" w:rsidRPr="00B152B5" w:rsidRDefault="005560E4" w:rsidP="00142000">
            <w:pPr>
              <w:pStyle w:val="Tabletext"/>
            </w:pPr>
            <w:r w:rsidRPr="00B152B5">
              <w:t>-</w:t>
            </w:r>
          </w:p>
        </w:tc>
        <w:tc>
          <w:tcPr>
            <w:tcW w:w="994" w:type="pct"/>
            <w:vAlign w:val="center"/>
          </w:tcPr>
          <w:p w14:paraId="4A0B33D4" w14:textId="75B74CE0" w:rsidR="001608EC" w:rsidRDefault="00133577" w:rsidP="00142000">
            <w:pPr>
              <w:pStyle w:val="Tabletext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10,000</w:t>
            </w:r>
          </w:p>
        </w:tc>
      </w:tr>
      <w:tr w:rsidR="001608EC" w14:paraId="360202E4" w14:textId="61A1FDA3" w:rsidTr="008F3B96">
        <w:tc>
          <w:tcPr>
            <w:tcW w:w="3299" w:type="pct"/>
          </w:tcPr>
          <w:p w14:paraId="40A99ED1" w14:textId="339D1654" w:rsidR="001608EC" w:rsidRPr="00B152B5" w:rsidRDefault="005560E4" w:rsidP="005560E4">
            <w:pPr>
              <w:pStyle w:val="Tabletext"/>
            </w:pPr>
            <w:r w:rsidRPr="00B152B5">
              <w:t>-</w:t>
            </w:r>
          </w:p>
        </w:tc>
        <w:tc>
          <w:tcPr>
            <w:tcW w:w="707" w:type="pct"/>
          </w:tcPr>
          <w:p w14:paraId="463E925D" w14:textId="79E21DBC" w:rsidR="001608EC" w:rsidRPr="00B152B5" w:rsidRDefault="005560E4" w:rsidP="005560E4">
            <w:pPr>
              <w:pStyle w:val="Tabletext"/>
            </w:pPr>
            <w:r w:rsidRPr="00B152B5">
              <w:t>-</w:t>
            </w:r>
          </w:p>
        </w:tc>
        <w:tc>
          <w:tcPr>
            <w:tcW w:w="994" w:type="pct"/>
            <w:vAlign w:val="center"/>
          </w:tcPr>
          <w:p w14:paraId="6981DCD7" w14:textId="39E00034" w:rsidR="001608EC" w:rsidRPr="00B152B5" w:rsidRDefault="005560E4" w:rsidP="00B152B5">
            <w:pPr>
              <w:pStyle w:val="Tabletext"/>
            </w:pPr>
            <w:r w:rsidRPr="00B152B5">
              <w:t>-</w:t>
            </w:r>
          </w:p>
        </w:tc>
      </w:tr>
      <w:tr w:rsidR="00142000" w14:paraId="1F380193" w14:textId="77777777" w:rsidTr="008F3B96">
        <w:tc>
          <w:tcPr>
            <w:tcW w:w="3299" w:type="pct"/>
          </w:tcPr>
          <w:p w14:paraId="0739B255" w14:textId="60B2FE63" w:rsidR="00142000" w:rsidRPr="00671A74" w:rsidRDefault="00142000" w:rsidP="00142000">
            <w:pPr>
              <w:pStyle w:val="Tabletext"/>
            </w:pPr>
            <w:r w:rsidRPr="00671A74">
              <w:t>Kurin Lock uptake</w:t>
            </w:r>
          </w:p>
        </w:tc>
        <w:tc>
          <w:tcPr>
            <w:tcW w:w="707" w:type="pct"/>
          </w:tcPr>
          <w:p w14:paraId="4B7B0CDE" w14:textId="1CA87645" w:rsidR="00142000" w:rsidRPr="00B152B5" w:rsidRDefault="005560E4" w:rsidP="00142000">
            <w:pPr>
              <w:pStyle w:val="Tabletext"/>
            </w:pPr>
            <w:r w:rsidRPr="00B152B5">
              <w:t>-</w:t>
            </w:r>
          </w:p>
        </w:tc>
        <w:tc>
          <w:tcPr>
            <w:tcW w:w="994" w:type="pct"/>
            <w:vAlign w:val="center"/>
          </w:tcPr>
          <w:p w14:paraId="4AA97E02" w14:textId="16AF93E1" w:rsidR="00142000" w:rsidRPr="00E4254F" w:rsidRDefault="00361616" w:rsidP="00142000">
            <w:pPr>
              <w:pStyle w:val="Tabletext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  <w:r w:rsidR="00142000" w:rsidRPr="00E4254F">
              <w:rPr>
                <w:b/>
                <w:bCs/>
              </w:rPr>
              <w:t>%</w:t>
            </w:r>
          </w:p>
        </w:tc>
      </w:tr>
      <w:tr w:rsidR="00142000" w14:paraId="67B174F1" w14:textId="77777777" w:rsidTr="008F3B96">
        <w:tc>
          <w:tcPr>
            <w:tcW w:w="3299" w:type="pct"/>
          </w:tcPr>
          <w:p w14:paraId="3795B8D6" w14:textId="053B052B" w:rsidR="00142000" w:rsidRDefault="00142000" w:rsidP="00142000">
            <w:pPr>
              <w:pStyle w:val="Tabletext"/>
            </w:pPr>
            <w:r>
              <w:t xml:space="preserve">Equivalent number of </w:t>
            </w:r>
            <w:r w:rsidR="00671A74">
              <w:t>blood culture tests</w:t>
            </w:r>
            <w:r>
              <w:t xml:space="preserve"> </w:t>
            </w:r>
          </w:p>
        </w:tc>
        <w:tc>
          <w:tcPr>
            <w:tcW w:w="707" w:type="pct"/>
          </w:tcPr>
          <w:p w14:paraId="05E0CD40" w14:textId="2BD4F724" w:rsidR="00142000" w:rsidRPr="005560E4" w:rsidRDefault="005560E4" w:rsidP="00142000">
            <w:pPr>
              <w:pStyle w:val="Tabletext"/>
            </w:pPr>
            <w:r w:rsidRPr="005560E4">
              <w:t>-</w:t>
            </w:r>
          </w:p>
        </w:tc>
        <w:tc>
          <w:tcPr>
            <w:tcW w:w="994" w:type="pct"/>
            <w:vAlign w:val="center"/>
          </w:tcPr>
          <w:p w14:paraId="1C2ECC1F" w14:textId="78FC3413" w:rsidR="00142000" w:rsidRDefault="00355F85" w:rsidP="00142000">
            <w:pPr>
              <w:pStyle w:val="Tabletext"/>
              <w:jc w:val="right"/>
            </w:pPr>
            <w:r>
              <w:t>1</w:t>
            </w:r>
            <w:r w:rsidR="003F68E7">
              <w:t>,</w:t>
            </w:r>
            <w:r>
              <w:t>000</w:t>
            </w:r>
          </w:p>
        </w:tc>
      </w:tr>
      <w:tr w:rsidR="00142000" w14:paraId="2A602683" w14:textId="46FDD2DD" w:rsidTr="008F3B96">
        <w:tc>
          <w:tcPr>
            <w:tcW w:w="3299" w:type="pct"/>
          </w:tcPr>
          <w:p w14:paraId="08B86305" w14:textId="322145FB" w:rsidR="00142000" w:rsidRPr="00457527" w:rsidRDefault="005560E4" w:rsidP="00142000">
            <w:pPr>
              <w:pStyle w:val="Tabletext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707" w:type="pct"/>
          </w:tcPr>
          <w:p w14:paraId="24BB6AD2" w14:textId="6CB636FD" w:rsidR="00142000" w:rsidRPr="00B152B5" w:rsidRDefault="005560E4" w:rsidP="00142000">
            <w:pPr>
              <w:pStyle w:val="Tabletext"/>
            </w:pPr>
            <w:r w:rsidRPr="00B152B5">
              <w:t>-</w:t>
            </w:r>
          </w:p>
        </w:tc>
        <w:tc>
          <w:tcPr>
            <w:tcW w:w="994" w:type="pct"/>
            <w:vAlign w:val="center"/>
          </w:tcPr>
          <w:p w14:paraId="44FDB003" w14:textId="13408FC1" w:rsidR="00142000" w:rsidRPr="00B152B5" w:rsidRDefault="005560E4" w:rsidP="00B152B5">
            <w:pPr>
              <w:pStyle w:val="Tabletext"/>
            </w:pPr>
            <w:r w:rsidRPr="00B152B5">
              <w:t>-</w:t>
            </w:r>
          </w:p>
        </w:tc>
      </w:tr>
      <w:tr w:rsidR="00142000" w14:paraId="58ADB4CA" w14:textId="77777777" w:rsidTr="008F3B96">
        <w:tc>
          <w:tcPr>
            <w:tcW w:w="3299" w:type="pct"/>
          </w:tcPr>
          <w:p w14:paraId="1C704903" w14:textId="7FEB44BF" w:rsidR="00142000" w:rsidRPr="00457527" w:rsidRDefault="00142000" w:rsidP="00142000">
            <w:pPr>
              <w:pStyle w:val="Tabletext"/>
              <w:rPr>
                <w:b/>
                <w:bCs/>
              </w:rPr>
            </w:pPr>
            <w:r w:rsidRPr="00457527">
              <w:rPr>
                <w:b/>
                <w:bCs/>
              </w:rPr>
              <w:t>Costs</w:t>
            </w:r>
          </w:p>
        </w:tc>
        <w:tc>
          <w:tcPr>
            <w:tcW w:w="707" w:type="pct"/>
          </w:tcPr>
          <w:p w14:paraId="1AADC51E" w14:textId="7FB95888" w:rsidR="00142000" w:rsidRPr="005560E4" w:rsidRDefault="00142000" w:rsidP="00142000">
            <w:pPr>
              <w:pStyle w:val="Tabletext"/>
              <w:rPr>
                <w:b/>
                <w:bCs/>
              </w:rPr>
            </w:pPr>
          </w:p>
        </w:tc>
        <w:tc>
          <w:tcPr>
            <w:tcW w:w="994" w:type="pct"/>
            <w:vAlign w:val="center"/>
          </w:tcPr>
          <w:p w14:paraId="176FDF40" w14:textId="6E9636B7" w:rsidR="00142000" w:rsidRPr="00457527" w:rsidRDefault="00142000" w:rsidP="005560E4">
            <w:pPr>
              <w:pStyle w:val="Tabletext"/>
              <w:jc w:val="right"/>
              <w:rPr>
                <w:b/>
                <w:bCs/>
              </w:rPr>
            </w:pPr>
          </w:p>
        </w:tc>
      </w:tr>
      <w:tr w:rsidR="00142000" w14:paraId="3361B41D" w14:textId="77777777" w:rsidTr="008F3B96">
        <w:tc>
          <w:tcPr>
            <w:tcW w:w="3299" w:type="pct"/>
          </w:tcPr>
          <w:p w14:paraId="3BF68326" w14:textId="6DEA8279" w:rsidR="00142000" w:rsidRDefault="00142000" w:rsidP="00142000">
            <w:pPr>
              <w:pStyle w:val="Tabletext"/>
            </w:pPr>
            <w:r>
              <w:t>Kurin Lock (2 devices per person)</w:t>
            </w:r>
          </w:p>
        </w:tc>
        <w:tc>
          <w:tcPr>
            <w:tcW w:w="707" w:type="pct"/>
            <w:vAlign w:val="center"/>
          </w:tcPr>
          <w:p w14:paraId="7B1216A7" w14:textId="53EEC89F" w:rsidR="00142000" w:rsidRDefault="00142000" w:rsidP="00142000">
            <w:pPr>
              <w:pStyle w:val="Tabletext"/>
              <w:jc w:val="right"/>
            </w:pPr>
            <w:r>
              <w:t>£39.00</w:t>
            </w:r>
          </w:p>
        </w:tc>
        <w:tc>
          <w:tcPr>
            <w:tcW w:w="994" w:type="pct"/>
            <w:vAlign w:val="center"/>
          </w:tcPr>
          <w:p w14:paraId="7FFBFA4D" w14:textId="4698FDD6" w:rsidR="00142000" w:rsidRDefault="21B24DAC" w:rsidP="00142000">
            <w:pPr>
              <w:pStyle w:val="Tabletext"/>
              <w:jc w:val="right"/>
            </w:pPr>
            <w:r>
              <w:t>£</w:t>
            </w:r>
            <w:r w:rsidR="00F46C05">
              <w:t>39,000</w:t>
            </w:r>
          </w:p>
        </w:tc>
      </w:tr>
      <w:tr w:rsidR="00142000" w14:paraId="03D1CBBF" w14:textId="77777777" w:rsidTr="008F3B96">
        <w:tc>
          <w:tcPr>
            <w:tcW w:w="3299" w:type="pct"/>
          </w:tcPr>
          <w:p w14:paraId="1DE028E1" w14:textId="20CC8DC3" w:rsidR="00142000" w:rsidRDefault="00142000" w:rsidP="00142000">
            <w:pPr>
              <w:pStyle w:val="Tabletext"/>
            </w:pPr>
            <w:r>
              <w:t>Standard care (2 devices per person)</w:t>
            </w:r>
          </w:p>
        </w:tc>
        <w:tc>
          <w:tcPr>
            <w:tcW w:w="707" w:type="pct"/>
            <w:vAlign w:val="center"/>
          </w:tcPr>
          <w:p w14:paraId="3B8D05B9" w14:textId="664F8B14" w:rsidR="00142000" w:rsidRDefault="00142000" w:rsidP="00142000">
            <w:pPr>
              <w:pStyle w:val="Tabletext"/>
              <w:jc w:val="right"/>
            </w:pPr>
            <w:r>
              <w:t>£0.96</w:t>
            </w:r>
          </w:p>
        </w:tc>
        <w:tc>
          <w:tcPr>
            <w:tcW w:w="994" w:type="pct"/>
            <w:vAlign w:val="center"/>
          </w:tcPr>
          <w:p w14:paraId="2C2156B6" w14:textId="6FF94BCA" w:rsidR="00142000" w:rsidRDefault="72CF02E7" w:rsidP="00142000">
            <w:pPr>
              <w:pStyle w:val="Tabletext"/>
              <w:jc w:val="right"/>
            </w:pPr>
            <w:r>
              <w:t>£</w:t>
            </w:r>
            <w:r w:rsidR="00F135E2">
              <w:t>960</w:t>
            </w:r>
          </w:p>
        </w:tc>
      </w:tr>
      <w:tr w:rsidR="00142000" w14:paraId="0EC98BCE" w14:textId="77777777" w:rsidTr="008F3B96">
        <w:tc>
          <w:tcPr>
            <w:tcW w:w="3299" w:type="pct"/>
          </w:tcPr>
          <w:p w14:paraId="228210D1" w14:textId="7B9C3655" w:rsidR="00142000" w:rsidRPr="00440431" w:rsidRDefault="00142000" w:rsidP="00142000">
            <w:pPr>
              <w:pStyle w:val="Tabletext"/>
              <w:rPr>
                <w:b/>
                <w:bCs/>
              </w:rPr>
            </w:pPr>
            <w:r w:rsidRPr="00440431">
              <w:rPr>
                <w:b/>
                <w:bCs/>
              </w:rPr>
              <w:t>Additional cost</w:t>
            </w:r>
          </w:p>
        </w:tc>
        <w:tc>
          <w:tcPr>
            <w:tcW w:w="707" w:type="pct"/>
            <w:vAlign w:val="center"/>
          </w:tcPr>
          <w:p w14:paraId="72CBDEC4" w14:textId="0C52B1CD" w:rsidR="00142000" w:rsidRPr="00440431" w:rsidRDefault="00142000" w:rsidP="00142000">
            <w:pPr>
              <w:pStyle w:val="Tabletext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£38.04</w:t>
            </w:r>
          </w:p>
        </w:tc>
        <w:tc>
          <w:tcPr>
            <w:tcW w:w="994" w:type="pct"/>
            <w:vAlign w:val="center"/>
          </w:tcPr>
          <w:p w14:paraId="122DF1ED" w14:textId="677D0ECD" w:rsidR="00142000" w:rsidRPr="00440431" w:rsidRDefault="4BBCFDF6" w:rsidP="00142000">
            <w:pPr>
              <w:pStyle w:val="Tabletext"/>
              <w:jc w:val="right"/>
              <w:rPr>
                <w:b/>
                <w:bCs/>
              </w:rPr>
            </w:pPr>
            <w:r w:rsidRPr="71F769B8">
              <w:rPr>
                <w:b/>
                <w:bCs/>
              </w:rPr>
              <w:t>£</w:t>
            </w:r>
            <w:r w:rsidR="00F135E2">
              <w:rPr>
                <w:b/>
                <w:bCs/>
              </w:rPr>
              <w:t>38,</w:t>
            </w:r>
            <w:r w:rsidR="005058B7">
              <w:rPr>
                <w:b/>
                <w:bCs/>
              </w:rPr>
              <w:t>0</w:t>
            </w:r>
            <w:r w:rsidR="00F135E2">
              <w:rPr>
                <w:b/>
                <w:bCs/>
              </w:rPr>
              <w:t>40</w:t>
            </w:r>
          </w:p>
        </w:tc>
      </w:tr>
      <w:tr w:rsidR="00142000" w14:paraId="4F03D333" w14:textId="13F3B9E5" w:rsidTr="008F3B96">
        <w:tc>
          <w:tcPr>
            <w:tcW w:w="3299" w:type="pct"/>
          </w:tcPr>
          <w:p w14:paraId="3B528B5C" w14:textId="073AD93D" w:rsidR="00142000" w:rsidRPr="00B152B5" w:rsidRDefault="005560E4" w:rsidP="005560E4">
            <w:pPr>
              <w:pStyle w:val="Tabletext"/>
            </w:pPr>
            <w:r w:rsidRPr="00B152B5">
              <w:t>-</w:t>
            </w:r>
          </w:p>
        </w:tc>
        <w:tc>
          <w:tcPr>
            <w:tcW w:w="707" w:type="pct"/>
            <w:vAlign w:val="center"/>
          </w:tcPr>
          <w:p w14:paraId="68B92AF3" w14:textId="43DA6EE6" w:rsidR="00142000" w:rsidRPr="005560E4" w:rsidRDefault="005560E4" w:rsidP="00B152B5">
            <w:pPr>
              <w:pStyle w:val="Tabletext"/>
            </w:pPr>
            <w:r w:rsidRPr="005560E4">
              <w:t>-</w:t>
            </w:r>
          </w:p>
        </w:tc>
        <w:tc>
          <w:tcPr>
            <w:tcW w:w="994" w:type="pct"/>
            <w:vAlign w:val="center"/>
          </w:tcPr>
          <w:p w14:paraId="22B1A703" w14:textId="4ED9C2E4" w:rsidR="00142000" w:rsidRPr="005560E4" w:rsidRDefault="005560E4" w:rsidP="00B152B5">
            <w:pPr>
              <w:pStyle w:val="Tabletext"/>
            </w:pPr>
            <w:r w:rsidRPr="005560E4">
              <w:t>-</w:t>
            </w:r>
          </w:p>
        </w:tc>
      </w:tr>
      <w:tr w:rsidR="00142000" w14:paraId="12E07291" w14:textId="77777777" w:rsidTr="008F3B96">
        <w:tc>
          <w:tcPr>
            <w:tcW w:w="3299" w:type="pct"/>
          </w:tcPr>
          <w:p w14:paraId="207208A8" w14:textId="2C9B604F" w:rsidR="00142000" w:rsidRDefault="5B23B155" w:rsidP="761B12B8">
            <w:pPr>
              <w:pStyle w:val="Tabletext"/>
              <w:rPr>
                <w:b/>
                <w:bCs/>
              </w:rPr>
            </w:pPr>
            <w:r w:rsidRPr="761B12B8">
              <w:rPr>
                <w:b/>
                <w:bCs/>
              </w:rPr>
              <w:t>Benefits</w:t>
            </w:r>
            <w:r w:rsidR="4AF81EDB" w:rsidRPr="761B12B8">
              <w:rPr>
                <w:b/>
                <w:bCs/>
              </w:rPr>
              <w:t xml:space="preserve"> based on activity detail below</w:t>
            </w:r>
          </w:p>
        </w:tc>
        <w:tc>
          <w:tcPr>
            <w:tcW w:w="707" w:type="pct"/>
          </w:tcPr>
          <w:p w14:paraId="51C2DD13" w14:textId="30EEF9E4" w:rsidR="00142000" w:rsidRDefault="005560E4" w:rsidP="00B152B5">
            <w:pPr>
              <w:pStyle w:val="Tabletext"/>
            </w:pPr>
            <w:r>
              <w:t>-</w:t>
            </w:r>
          </w:p>
        </w:tc>
        <w:tc>
          <w:tcPr>
            <w:tcW w:w="994" w:type="pct"/>
            <w:vAlign w:val="center"/>
          </w:tcPr>
          <w:p w14:paraId="3BA80166" w14:textId="7C00ABC1" w:rsidR="00142000" w:rsidRDefault="005560E4" w:rsidP="00B152B5">
            <w:pPr>
              <w:pStyle w:val="Tabletext"/>
            </w:pPr>
            <w:r>
              <w:t>-</w:t>
            </w:r>
          </w:p>
        </w:tc>
      </w:tr>
      <w:tr w:rsidR="00142000" w14:paraId="59C8513E" w14:textId="77777777" w:rsidTr="008F3B96">
        <w:tc>
          <w:tcPr>
            <w:tcW w:w="3299" w:type="pct"/>
          </w:tcPr>
          <w:p w14:paraId="4797F347" w14:textId="25C96D4E" w:rsidR="00142000" w:rsidRDefault="00142000" w:rsidP="00142000">
            <w:pPr>
              <w:pStyle w:val="Tabletext"/>
            </w:pPr>
            <w:r>
              <w:t>Bed days savings</w:t>
            </w:r>
            <w:r w:rsidR="00C05A13">
              <w:t xml:space="preserve"> (based on</w:t>
            </w:r>
            <w:r w:rsidR="00F87B7E">
              <w:t xml:space="preserve"> the</w:t>
            </w:r>
            <w:r w:rsidR="00C05A13">
              <w:t xml:space="preserve"> </w:t>
            </w:r>
            <w:r w:rsidR="005D4AC1">
              <w:t xml:space="preserve">rate </w:t>
            </w:r>
            <w:r w:rsidR="00F87B7E">
              <w:t>used in the economic assessment report</w:t>
            </w:r>
            <w:r w:rsidR="00B17A43">
              <w:t>)</w:t>
            </w:r>
          </w:p>
        </w:tc>
        <w:tc>
          <w:tcPr>
            <w:tcW w:w="707" w:type="pct"/>
            <w:vAlign w:val="center"/>
          </w:tcPr>
          <w:p w14:paraId="2B5CB307" w14:textId="75B77B34" w:rsidR="00142000" w:rsidRPr="0085682F" w:rsidRDefault="00142000" w:rsidP="00142000">
            <w:pPr>
              <w:pStyle w:val="Tabletext"/>
              <w:jc w:val="right"/>
            </w:pPr>
            <w:r w:rsidRPr="0085682F">
              <w:t>£</w:t>
            </w:r>
            <w:r w:rsidR="00020137">
              <w:t>692</w:t>
            </w:r>
            <w:r>
              <w:t>.00</w:t>
            </w:r>
          </w:p>
        </w:tc>
        <w:tc>
          <w:tcPr>
            <w:tcW w:w="994" w:type="pct"/>
            <w:vAlign w:val="center"/>
          </w:tcPr>
          <w:p w14:paraId="1E4CCAEB" w14:textId="583B3AC9" w:rsidR="00142000" w:rsidRDefault="48882924" w:rsidP="00142000">
            <w:pPr>
              <w:pStyle w:val="Tabletext"/>
              <w:jc w:val="right"/>
            </w:pPr>
            <w:r>
              <w:t>£</w:t>
            </w:r>
            <w:r w:rsidR="00797D34">
              <w:t>102</w:t>
            </w:r>
            <w:r w:rsidR="00077136">
              <w:t>,</w:t>
            </w:r>
            <w:r w:rsidR="00797D34">
              <w:t>979</w:t>
            </w:r>
          </w:p>
        </w:tc>
      </w:tr>
      <w:tr w:rsidR="002D3302" w14:paraId="08A2248E" w14:textId="54BE33AA" w:rsidTr="3F023391">
        <w:trPr>
          <w:trHeight w:val="300"/>
        </w:trPr>
        <w:tc>
          <w:tcPr>
            <w:tcW w:w="3299" w:type="pct"/>
          </w:tcPr>
          <w:p w14:paraId="6E0AD232" w14:textId="3ABCCD22" w:rsidR="002D3302" w:rsidRDefault="005560E4" w:rsidP="005560E4">
            <w:pPr>
              <w:pStyle w:val="Tabletext"/>
            </w:pPr>
            <w:r>
              <w:t>-</w:t>
            </w:r>
          </w:p>
        </w:tc>
        <w:tc>
          <w:tcPr>
            <w:tcW w:w="707" w:type="pct"/>
            <w:vAlign w:val="center"/>
          </w:tcPr>
          <w:p w14:paraId="302EC85E" w14:textId="7C407E98" w:rsidR="002D3302" w:rsidRPr="0085682F" w:rsidRDefault="005560E4" w:rsidP="00B152B5">
            <w:pPr>
              <w:pStyle w:val="Tabletext"/>
            </w:pPr>
            <w:r>
              <w:t>-</w:t>
            </w:r>
          </w:p>
        </w:tc>
        <w:tc>
          <w:tcPr>
            <w:tcW w:w="994" w:type="pct"/>
            <w:vAlign w:val="center"/>
          </w:tcPr>
          <w:p w14:paraId="0DC98FE6" w14:textId="574D86E4" w:rsidR="002D3302" w:rsidRDefault="005560E4" w:rsidP="00B152B5">
            <w:pPr>
              <w:pStyle w:val="Tabletext"/>
            </w:pPr>
            <w:r>
              <w:t>-</w:t>
            </w:r>
          </w:p>
        </w:tc>
      </w:tr>
      <w:tr w:rsidR="002D3302" w14:paraId="33D3F730" w14:textId="77777777" w:rsidTr="008F3B96">
        <w:tc>
          <w:tcPr>
            <w:tcW w:w="3299" w:type="pct"/>
          </w:tcPr>
          <w:p w14:paraId="4EB26BAE" w14:textId="32DD5BFB" w:rsidR="002D3302" w:rsidRPr="00440431" w:rsidRDefault="002D3302" w:rsidP="002D3302">
            <w:pPr>
              <w:pStyle w:val="Tabletext"/>
              <w:rPr>
                <w:b/>
                <w:bCs/>
              </w:rPr>
            </w:pPr>
            <w:r w:rsidRPr="00440431">
              <w:rPr>
                <w:b/>
                <w:bCs/>
              </w:rPr>
              <w:t>Total</w:t>
            </w:r>
            <w:r>
              <w:rPr>
                <w:b/>
                <w:bCs/>
              </w:rPr>
              <w:t xml:space="preserve"> savings</w:t>
            </w:r>
          </w:p>
        </w:tc>
        <w:tc>
          <w:tcPr>
            <w:tcW w:w="707" w:type="pct"/>
          </w:tcPr>
          <w:p w14:paraId="2DD9C2AF" w14:textId="04AD8E6D" w:rsidR="002D3302" w:rsidRPr="005560E4" w:rsidRDefault="002D3302" w:rsidP="00AD0197">
            <w:pPr>
              <w:pStyle w:val="Tabletext"/>
              <w:rPr>
                <w:b/>
                <w:bCs/>
              </w:rPr>
            </w:pPr>
          </w:p>
        </w:tc>
        <w:tc>
          <w:tcPr>
            <w:tcW w:w="994" w:type="pct"/>
            <w:vAlign w:val="center"/>
          </w:tcPr>
          <w:p w14:paraId="160E9090" w14:textId="75BEFCFE" w:rsidR="002D3302" w:rsidRPr="00440431" w:rsidRDefault="002D3302" w:rsidP="002D3302">
            <w:pPr>
              <w:pStyle w:val="Tabletext"/>
              <w:jc w:val="right"/>
              <w:rPr>
                <w:b/>
                <w:bCs/>
              </w:rPr>
            </w:pPr>
            <w:r w:rsidRPr="67A6A0B4">
              <w:rPr>
                <w:b/>
                <w:bCs/>
              </w:rPr>
              <w:t>£</w:t>
            </w:r>
            <w:r w:rsidR="00991B86">
              <w:rPr>
                <w:b/>
                <w:bCs/>
              </w:rPr>
              <w:t>204</w:t>
            </w:r>
            <w:r w:rsidR="00E20E61">
              <w:rPr>
                <w:b/>
                <w:bCs/>
              </w:rPr>
              <w:t>,</w:t>
            </w:r>
            <w:r w:rsidR="004A4F22">
              <w:rPr>
                <w:b/>
                <w:bCs/>
              </w:rPr>
              <w:t>188</w:t>
            </w:r>
          </w:p>
        </w:tc>
      </w:tr>
      <w:tr w:rsidR="002D3302" w14:paraId="0CFEB1E5" w14:textId="4EFEF077" w:rsidTr="008F3B96">
        <w:tc>
          <w:tcPr>
            <w:tcW w:w="3299" w:type="pct"/>
          </w:tcPr>
          <w:p w14:paraId="647B756C" w14:textId="615E6016" w:rsidR="002D3302" w:rsidRDefault="005560E4" w:rsidP="005560E4">
            <w:pPr>
              <w:pStyle w:val="Tabletext"/>
            </w:pPr>
            <w:r>
              <w:t>-</w:t>
            </w:r>
          </w:p>
        </w:tc>
        <w:tc>
          <w:tcPr>
            <w:tcW w:w="707" w:type="pct"/>
          </w:tcPr>
          <w:p w14:paraId="6F549157" w14:textId="227E9C28" w:rsidR="002D3302" w:rsidRPr="00AD0197" w:rsidRDefault="005560E4" w:rsidP="005560E4">
            <w:pPr>
              <w:pStyle w:val="Tabletext"/>
            </w:pPr>
            <w:r>
              <w:t>-</w:t>
            </w:r>
          </w:p>
        </w:tc>
        <w:tc>
          <w:tcPr>
            <w:tcW w:w="994" w:type="pct"/>
            <w:vAlign w:val="center"/>
          </w:tcPr>
          <w:p w14:paraId="1A58A008" w14:textId="2B329FDD" w:rsidR="002D3302" w:rsidRDefault="005560E4" w:rsidP="00B152B5">
            <w:pPr>
              <w:pStyle w:val="Tabletext"/>
            </w:pPr>
            <w:r>
              <w:t>-</w:t>
            </w:r>
          </w:p>
        </w:tc>
      </w:tr>
      <w:tr w:rsidR="002D3302" w14:paraId="364DDD67" w14:textId="77777777" w:rsidTr="008F3B96">
        <w:tc>
          <w:tcPr>
            <w:tcW w:w="3299" w:type="pct"/>
            <w:vAlign w:val="center"/>
          </w:tcPr>
          <w:p w14:paraId="65BEBDBC" w14:textId="6EAD4636" w:rsidR="002D3302" w:rsidRPr="00440431" w:rsidRDefault="002D3302" w:rsidP="00AD0197">
            <w:pPr>
              <w:pStyle w:val="Tabletext"/>
              <w:rPr>
                <w:b/>
                <w:bCs/>
              </w:rPr>
            </w:pPr>
            <w:r w:rsidRPr="00440431">
              <w:rPr>
                <w:b/>
                <w:bCs/>
              </w:rPr>
              <w:t>Net costs/savings</w:t>
            </w:r>
          </w:p>
        </w:tc>
        <w:tc>
          <w:tcPr>
            <w:tcW w:w="707" w:type="pct"/>
            <w:vAlign w:val="center"/>
          </w:tcPr>
          <w:p w14:paraId="6181B235" w14:textId="113DA333" w:rsidR="002D3302" w:rsidRPr="005560E4" w:rsidRDefault="002D3302" w:rsidP="005560E4">
            <w:pPr>
              <w:pStyle w:val="Tabletext"/>
              <w:jc w:val="right"/>
              <w:rPr>
                <w:b/>
                <w:bCs/>
              </w:rPr>
            </w:pPr>
          </w:p>
        </w:tc>
        <w:tc>
          <w:tcPr>
            <w:tcW w:w="994" w:type="pct"/>
            <w:vAlign w:val="center"/>
          </w:tcPr>
          <w:p w14:paraId="479E7E16" w14:textId="4452F9E1" w:rsidR="002D3302" w:rsidRPr="00440431" w:rsidRDefault="002D3302" w:rsidP="002D3302">
            <w:pPr>
              <w:pStyle w:val="Tabletext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-£</w:t>
            </w:r>
            <w:r w:rsidR="004A4F22">
              <w:rPr>
                <w:b/>
                <w:bCs/>
              </w:rPr>
              <w:t>166</w:t>
            </w:r>
            <w:r w:rsidRPr="63A64CC4">
              <w:rPr>
                <w:b/>
                <w:bCs/>
              </w:rPr>
              <w:t>,</w:t>
            </w:r>
            <w:r w:rsidR="004A4F22">
              <w:rPr>
                <w:b/>
                <w:bCs/>
              </w:rPr>
              <w:t>148</w:t>
            </w:r>
          </w:p>
        </w:tc>
      </w:tr>
      <w:tr w:rsidR="002D3302" w14:paraId="1B2B0BD4" w14:textId="74FB02BF" w:rsidTr="008F3B96">
        <w:trPr>
          <w:trHeight w:val="300"/>
        </w:trPr>
        <w:tc>
          <w:tcPr>
            <w:tcW w:w="3299" w:type="pct"/>
            <w:vAlign w:val="center"/>
          </w:tcPr>
          <w:p w14:paraId="2905B010" w14:textId="3B669A74" w:rsidR="002D3302" w:rsidRPr="00B152B5" w:rsidRDefault="005560E4" w:rsidP="005560E4">
            <w:pPr>
              <w:pStyle w:val="Tabletext"/>
            </w:pPr>
            <w:r w:rsidRPr="00B152B5">
              <w:t>-</w:t>
            </w:r>
          </w:p>
        </w:tc>
        <w:tc>
          <w:tcPr>
            <w:tcW w:w="707" w:type="pct"/>
            <w:vAlign w:val="center"/>
          </w:tcPr>
          <w:p w14:paraId="2E44DFDE" w14:textId="26EC8258" w:rsidR="002D3302" w:rsidRPr="00B152B5" w:rsidRDefault="005560E4" w:rsidP="00B152B5">
            <w:pPr>
              <w:pStyle w:val="Tabletext"/>
            </w:pPr>
            <w:r w:rsidRPr="00B152B5">
              <w:t>-</w:t>
            </w:r>
          </w:p>
        </w:tc>
        <w:tc>
          <w:tcPr>
            <w:tcW w:w="994" w:type="pct"/>
            <w:vAlign w:val="center"/>
          </w:tcPr>
          <w:p w14:paraId="1CE79ADE" w14:textId="41697CD8" w:rsidR="002D3302" w:rsidRPr="00B152B5" w:rsidRDefault="005560E4" w:rsidP="00B152B5">
            <w:pPr>
              <w:pStyle w:val="Tabletext"/>
            </w:pPr>
            <w:r w:rsidRPr="00B152B5">
              <w:t>-</w:t>
            </w:r>
          </w:p>
        </w:tc>
      </w:tr>
      <w:tr w:rsidR="002D3302" w:rsidRPr="00AD0197" w14:paraId="34AB4634" w14:textId="77777777" w:rsidTr="008F3B96">
        <w:trPr>
          <w:trHeight w:val="300"/>
        </w:trPr>
        <w:tc>
          <w:tcPr>
            <w:tcW w:w="3299" w:type="pct"/>
            <w:vAlign w:val="center"/>
          </w:tcPr>
          <w:p w14:paraId="51BEA0E7" w14:textId="46EF8CB4" w:rsidR="002D3302" w:rsidRDefault="002D3302" w:rsidP="00AD0197">
            <w:pPr>
              <w:pStyle w:val="Tabletext"/>
              <w:rPr>
                <w:b/>
                <w:bCs/>
              </w:rPr>
            </w:pPr>
            <w:r w:rsidRPr="67A6A0B4">
              <w:rPr>
                <w:b/>
                <w:bCs/>
              </w:rPr>
              <w:t>Cost saving activity</w:t>
            </w:r>
          </w:p>
        </w:tc>
        <w:tc>
          <w:tcPr>
            <w:tcW w:w="707" w:type="pct"/>
            <w:vAlign w:val="center"/>
          </w:tcPr>
          <w:p w14:paraId="2AD7ED1C" w14:textId="2F6793B1" w:rsidR="002D3302" w:rsidRPr="00B152B5" w:rsidRDefault="005560E4" w:rsidP="00B152B5">
            <w:pPr>
              <w:pStyle w:val="Tabletext"/>
            </w:pPr>
            <w:r w:rsidRPr="00B152B5">
              <w:t>-</w:t>
            </w:r>
          </w:p>
        </w:tc>
        <w:tc>
          <w:tcPr>
            <w:tcW w:w="994" w:type="pct"/>
            <w:vAlign w:val="center"/>
          </w:tcPr>
          <w:p w14:paraId="07213F96" w14:textId="37E988D7" w:rsidR="002D3302" w:rsidRPr="00B152B5" w:rsidRDefault="005560E4" w:rsidP="00B152B5">
            <w:pPr>
              <w:pStyle w:val="Tabletext"/>
            </w:pPr>
            <w:r w:rsidRPr="00B152B5">
              <w:t>-</w:t>
            </w:r>
          </w:p>
        </w:tc>
      </w:tr>
      <w:tr w:rsidR="002D3302" w14:paraId="0CE00F8D" w14:textId="77777777" w:rsidTr="008F3B96">
        <w:trPr>
          <w:trHeight w:val="300"/>
        </w:trPr>
        <w:tc>
          <w:tcPr>
            <w:tcW w:w="3299" w:type="pct"/>
            <w:vAlign w:val="center"/>
          </w:tcPr>
          <w:p w14:paraId="282A14FD" w14:textId="6290A670" w:rsidR="002D3302" w:rsidRPr="00F41FEB" w:rsidRDefault="002D3302" w:rsidP="002D3302">
            <w:pPr>
              <w:pStyle w:val="Tabletext"/>
            </w:pPr>
            <w:r w:rsidRPr="00F41FEB">
              <w:t>Bed days avoided</w:t>
            </w:r>
          </w:p>
        </w:tc>
        <w:tc>
          <w:tcPr>
            <w:tcW w:w="707" w:type="pct"/>
            <w:vAlign w:val="center"/>
          </w:tcPr>
          <w:p w14:paraId="32B123B7" w14:textId="1FBEDE53" w:rsidR="002D3302" w:rsidRPr="00AD0197" w:rsidRDefault="005560E4" w:rsidP="00B152B5">
            <w:pPr>
              <w:pStyle w:val="Tabletext"/>
            </w:pPr>
            <w:r>
              <w:t>-</w:t>
            </w:r>
          </w:p>
        </w:tc>
        <w:tc>
          <w:tcPr>
            <w:tcW w:w="994" w:type="pct"/>
            <w:vAlign w:val="center"/>
          </w:tcPr>
          <w:p w14:paraId="38F2B5E9" w14:textId="27D814F3" w:rsidR="002D3302" w:rsidRPr="00F41FEB" w:rsidRDefault="00B65D20" w:rsidP="002D3302">
            <w:pPr>
              <w:pStyle w:val="Tabletext"/>
              <w:jc w:val="right"/>
            </w:pPr>
            <w:r>
              <w:t>295</w:t>
            </w:r>
          </w:p>
        </w:tc>
      </w:tr>
    </w:tbl>
    <w:p w14:paraId="75231833" w14:textId="77777777" w:rsidR="00095104" w:rsidRDefault="00095104" w:rsidP="00E46754">
      <w:pPr>
        <w:rPr>
          <w:rFonts w:ascii="Arial" w:hAnsi="Arial" w:cs="Arial"/>
        </w:rPr>
      </w:pPr>
    </w:p>
    <w:p w14:paraId="613F3971" w14:textId="58D0123F" w:rsidR="002B5C1E" w:rsidRDefault="00C85599" w:rsidP="00B152B5">
      <w:pPr>
        <w:pStyle w:val="NICEnormalsinglespacing"/>
        <w:rPr>
          <w:rFonts w:cs="Arial"/>
        </w:rPr>
      </w:pPr>
      <w:r>
        <w:rPr>
          <w:rFonts w:cs="Arial"/>
        </w:rPr>
        <w:t>The saving is attribut</w:t>
      </w:r>
      <w:r w:rsidR="00B32451">
        <w:rPr>
          <w:rFonts w:cs="Arial"/>
        </w:rPr>
        <w:t>able</w:t>
      </w:r>
      <w:r>
        <w:rPr>
          <w:rFonts w:cs="Arial"/>
        </w:rPr>
        <w:t xml:space="preserve"> to </w:t>
      </w:r>
      <w:r w:rsidR="00B44D28">
        <w:rPr>
          <w:rFonts w:cs="Arial"/>
        </w:rPr>
        <w:t xml:space="preserve">the </w:t>
      </w:r>
      <w:r>
        <w:rPr>
          <w:rFonts w:cs="Arial"/>
        </w:rPr>
        <w:t>bed</w:t>
      </w:r>
      <w:r w:rsidR="003F700B">
        <w:rPr>
          <w:rFonts w:cs="Arial"/>
        </w:rPr>
        <w:t xml:space="preserve"> days avoided</w:t>
      </w:r>
      <w:r w:rsidR="001B7922">
        <w:rPr>
          <w:rFonts w:cs="Arial"/>
        </w:rPr>
        <w:t xml:space="preserve"> based on a tariff cost of £692</w:t>
      </w:r>
      <w:r w:rsidR="00EA61D0">
        <w:rPr>
          <w:rFonts w:cs="Arial"/>
        </w:rPr>
        <w:t xml:space="preserve">. The </w:t>
      </w:r>
      <w:r w:rsidR="001264F6" w:rsidRPr="3CFF3538">
        <w:rPr>
          <w:rFonts w:cs="Arial"/>
        </w:rPr>
        <w:t>unit cost</w:t>
      </w:r>
      <w:r w:rsidR="00EA61D0">
        <w:rPr>
          <w:rFonts w:cs="Arial"/>
        </w:rPr>
        <w:t xml:space="preserve"> was</w:t>
      </w:r>
      <w:r w:rsidR="001264F6" w:rsidRPr="3CFF3538">
        <w:rPr>
          <w:rFonts w:cs="Arial"/>
        </w:rPr>
        <w:t xml:space="preserve"> based on the external assessment group (EAG) model. In practice, the bed day savings may be lower.</w:t>
      </w:r>
      <w:r w:rsidR="003F700B">
        <w:rPr>
          <w:rFonts w:cs="Arial"/>
        </w:rPr>
        <w:t xml:space="preserve"> </w:t>
      </w:r>
      <w:r w:rsidR="001B7922">
        <w:rPr>
          <w:rFonts w:cs="Arial"/>
        </w:rPr>
        <w:t>Blood culture tests and antibiotic use</w:t>
      </w:r>
      <w:r w:rsidR="005560E4">
        <w:rPr>
          <w:rFonts w:cs="Arial"/>
        </w:rPr>
        <w:t xml:space="preserve"> are</w:t>
      </w:r>
      <w:r w:rsidR="001B7922">
        <w:rPr>
          <w:rFonts w:cs="Arial"/>
        </w:rPr>
        <w:t xml:space="preserve"> assumed to be covered by the tariff</w:t>
      </w:r>
      <w:r w:rsidR="005560E4">
        <w:rPr>
          <w:rFonts w:cs="Arial"/>
        </w:rPr>
        <w:t>.</w:t>
      </w:r>
    </w:p>
    <w:p w14:paraId="6F470879" w14:textId="1F52E28A" w:rsidR="005B4A9F" w:rsidRDefault="002B5C1E" w:rsidP="00B152B5">
      <w:pPr>
        <w:pStyle w:val="NICEnormalsinglespacing"/>
        <w:rPr>
          <w:rFonts w:cs="Arial"/>
        </w:rPr>
      </w:pPr>
      <w:r>
        <w:rPr>
          <w:rFonts w:cs="Arial"/>
        </w:rPr>
        <w:t xml:space="preserve">A </w:t>
      </w:r>
      <w:r w:rsidR="003F700B">
        <w:rPr>
          <w:rFonts w:cs="Arial"/>
        </w:rPr>
        <w:t xml:space="preserve">bed day cost of </w:t>
      </w:r>
      <w:r w:rsidR="00AA4D12">
        <w:rPr>
          <w:rFonts w:cs="Arial"/>
        </w:rPr>
        <w:t xml:space="preserve">around </w:t>
      </w:r>
      <w:r w:rsidR="00B44D28">
        <w:rPr>
          <w:rFonts w:cs="Arial"/>
        </w:rPr>
        <w:t>£31</w:t>
      </w:r>
      <w:r w:rsidR="00AA4D12">
        <w:rPr>
          <w:rFonts w:cs="Arial"/>
        </w:rPr>
        <w:t>6</w:t>
      </w:r>
      <w:r w:rsidR="00B44D28">
        <w:rPr>
          <w:rFonts w:cs="Arial"/>
        </w:rPr>
        <w:t xml:space="preserve"> </w:t>
      </w:r>
      <w:r w:rsidR="00A07642">
        <w:rPr>
          <w:rFonts w:cs="Arial"/>
        </w:rPr>
        <w:t xml:space="preserve">would be </w:t>
      </w:r>
      <w:r w:rsidR="005560E4">
        <w:rPr>
          <w:rFonts w:cs="Arial"/>
        </w:rPr>
        <w:t xml:space="preserve">needed </w:t>
      </w:r>
      <w:proofErr w:type="gramStart"/>
      <w:r w:rsidR="00A07642">
        <w:rPr>
          <w:rFonts w:cs="Arial"/>
        </w:rPr>
        <w:t>in order for</w:t>
      </w:r>
      <w:proofErr w:type="gramEnd"/>
      <w:r w:rsidR="00A07642">
        <w:rPr>
          <w:rFonts w:cs="Arial"/>
        </w:rPr>
        <w:t xml:space="preserve"> Kurin Lock to break</w:t>
      </w:r>
      <w:r w:rsidR="00AD0197">
        <w:rPr>
          <w:rFonts w:cs="Arial"/>
        </w:rPr>
        <w:t xml:space="preserve"> </w:t>
      </w:r>
      <w:r w:rsidR="00A07642">
        <w:rPr>
          <w:rFonts w:cs="Arial"/>
        </w:rPr>
        <w:t>even.</w:t>
      </w:r>
      <w:r w:rsidR="005B4A9F">
        <w:rPr>
          <w:rFonts w:cs="Arial"/>
        </w:rPr>
        <w:t xml:space="preserve"> </w:t>
      </w:r>
    </w:p>
    <w:p w14:paraId="7764B7FE" w14:textId="77777777" w:rsidR="00022FB0" w:rsidRDefault="00022FB0" w:rsidP="00022FB0">
      <w:pPr>
        <w:pStyle w:val="NICEnormalsinglespacing"/>
      </w:pPr>
      <w:r>
        <w:t xml:space="preserve">The capacity </w:t>
      </w:r>
      <w:r w:rsidRPr="00AD0197">
        <w:rPr>
          <w:rFonts w:cs="Arial"/>
        </w:rPr>
        <w:t>impacts</w:t>
      </w:r>
      <w:r>
        <w:t xml:space="preserve"> are a result of a </w:t>
      </w:r>
      <w:r w:rsidRPr="005156C3">
        <w:t>reduction in blood culture test contamination</w:t>
      </w:r>
      <w:r>
        <w:t xml:space="preserve"> and the associated benefits such as:</w:t>
      </w:r>
    </w:p>
    <w:p w14:paraId="6DF3760B" w14:textId="49C98AF8" w:rsidR="00022FB0" w:rsidRPr="0086150B" w:rsidRDefault="00022FB0" w:rsidP="00022FB0">
      <w:pPr>
        <w:pStyle w:val="Bulletleft1"/>
        <w:numPr>
          <w:ilvl w:val="0"/>
          <w:numId w:val="5"/>
        </w:numPr>
        <w:tabs>
          <w:tab w:val="clear" w:pos="1418"/>
          <w:tab w:val="num" w:pos="284"/>
        </w:tabs>
        <w:spacing w:after="120" w:line="240" w:lineRule="auto"/>
        <w:ind w:left="284"/>
      </w:pPr>
      <w:r w:rsidRPr="0086150B">
        <w:t xml:space="preserve">reduction in length of stay </w:t>
      </w:r>
      <w:r w:rsidR="005560E4">
        <w:t>because of</w:t>
      </w:r>
      <w:r w:rsidRPr="0086150B">
        <w:t xml:space="preserve"> reduced blood culture contamination</w:t>
      </w:r>
    </w:p>
    <w:p w14:paraId="30047E0E" w14:textId="190F91F2" w:rsidR="00022FB0" w:rsidRPr="005156C3" w:rsidRDefault="00022FB0" w:rsidP="00022FB0">
      <w:pPr>
        <w:pStyle w:val="Bulletleft1"/>
        <w:numPr>
          <w:ilvl w:val="0"/>
          <w:numId w:val="5"/>
        </w:numPr>
        <w:tabs>
          <w:tab w:val="clear" w:pos="1418"/>
          <w:tab w:val="num" w:pos="284"/>
        </w:tabs>
        <w:spacing w:after="120" w:line="240" w:lineRule="auto"/>
        <w:ind w:left="284"/>
      </w:pPr>
      <w:r w:rsidRPr="0086150B">
        <w:t>red</w:t>
      </w:r>
      <w:r w:rsidRPr="005156C3">
        <w:t>uction in laboratory tests</w:t>
      </w:r>
      <w:r w:rsidR="005560E4">
        <w:t xml:space="preserve"> and </w:t>
      </w:r>
      <w:r w:rsidRPr="005156C3">
        <w:t xml:space="preserve">investigations </w:t>
      </w:r>
      <w:r w:rsidR="005560E4">
        <w:t>because of</w:t>
      </w:r>
      <w:r w:rsidRPr="005156C3">
        <w:t xml:space="preserve"> reduced blood culture contamination</w:t>
      </w:r>
    </w:p>
    <w:p w14:paraId="3764B4E1" w14:textId="03DC208A" w:rsidR="00022FB0" w:rsidRDefault="00022FB0" w:rsidP="00022FB0">
      <w:pPr>
        <w:pStyle w:val="Bulletleft1"/>
        <w:numPr>
          <w:ilvl w:val="0"/>
          <w:numId w:val="8"/>
        </w:numPr>
        <w:tabs>
          <w:tab w:val="clear" w:pos="568"/>
          <w:tab w:val="num" w:pos="284"/>
        </w:tabs>
        <w:spacing w:line="240" w:lineRule="auto"/>
        <w:ind w:left="284"/>
      </w:pPr>
      <w:r w:rsidRPr="005156C3">
        <w:t xml:space="preserve">reduced days of antibiotics use and the associated costs. </w:t>
      </w:r>
      <w:r>
        <w:t>However, t</w:t>
      </w:r>
      <w:r w:rsidRPr="005156C3">
        <w:t>he associated cash savings are</w:t>
      </w:r>
      <w:r>
        <w:t xml:space="preserve"> unlikely </w:t>
      </w:r>
      <w:r w:rsidRPr="0071025D">
        <w:t xml:space="preserve">to be realised if prescriptions </w:t>
      </w:r>
      <w:r>
        <w:t xml:space="preserve">are </w:t>
      </w:r>
      <w:r w:rsidRPr="0071025D">
        <w:t xml:space="preserve">based on </w:t>
      </w:r>
      <w:r w:rsidR="00383E77">
        <w:t>packs issued to an individual</w:t>
      </w:r>
      <w:r>
        <w:t>.</w:t>
      </w:r>
    </w:p>
    <w:p w14:paraId="2D7BF4C1" w14:textId="77777777" w:rsidR="00022FB0" w:rsidRPr="00484448" w:rsidRDefault="00022FB0" w:rsidP="00022FB0">
      <w:pPr>
        <w:pStyle w:val="Bulletleft1"/>
        <w:spacing w:line="240" w:lineRule="auto"/>
        <w:ind w:left="284"/>
      </w:pPr>
    </w:p>
    <w:p w14:paraId="076961DD" w14:textId="3D95883F" w:rsidR="00022FB0" w:rsidRDefault="00022FB0" w:rsidP="00B152B5">
      <w:pPr>
        <w:pStyle w:val="NICEnormalsinglespacing"/>
        <w:rPr>
          <w:rFonts w:cs="Arial"/>
        </w:rPr>
      </w:pPr>
      <w:r>
        <w:rPr>
          <w:rFonts w:cs="Arial"/>
        </w:rPr>
        <w:t xml:space="preserve">These benefits may also provide some savings to offset some of the potential costs that may result from using Kurin lock compared </w:t>
      </w:r>
      <w:r w:rsidR="005560E4">
        <w:rPr>
          <w:rFonts w:cs="Arial"/>
        </w:rPr>
        <w:t xml:space="preserve">with </w:t>
      </w:r>
      <w:r>
        <w:rPr>
          <w:rFonts w:cs="Arial"/>
        </w:rPr>
        <w:t>standard care.</w:t>
      </w:r>
    </w:p>
    <w:p w14:paraId="7523AF3B" w14:textId="202CB9A3" w:rsidR="00022FB0" w:rsidRDefault="00022FB0" w:rsidP="2FDB2B7E">
      <w:pPr>
        <w:rPr>
          <w:rFonts w:ascii="Arial" w:hAnsi="Arial" w:cs="Arial"/>
        </w:rPr>
      </w:pPr>
    </w:p>
    <w:p w14:paraId="1C6CAAC5" w14:textId="2C98BA25" w:rsidR="00022FB0" w:rsidRDefault="3AFD7DF0" w:rsidP="002957D3">
      <w:pPr>
        <w:pStyle w:val="NICEnormalsinglespacing"/>
      </w:pPr>
      <w:r>
        <w:lastRenderedPageBreak/>
        <w:t xml:space="preserve">The template helps organisations to assess costs and the associated capacity impacts from using Kurin Lock compared </w:t>
      </w:r>
      <w:r w:rsidR="005560E4">
        <w:t xml:space="preserve">with </w:t>
      </w:r>
      <w:r>
        <w:t xml:space="preserve">standard care. </w:t>
      </w:r>
      <w:r w:rsidRPr="567F3DD6">
        <w:rPr>
          <w:rFonts w:cs="Arial"/>
        </w:rPr>
        <w:t xml:space="preserve">Organisations can amend the template by inputting local data </w:t>
      </w:r>
      <w:r w:rsidR="00A816CE" w:rsidRPr="567F3DD6">
        <w:rPr>
          <w:rFonts w:cs="Arial"/>
        </w:rPr>
        <w:t>to</w:t>
      </w:r>
      <w:r w:rsidRPr="567F3DD6">
        <w:rPr>
          <w:rFonts w:cs="Arial"/>
        </w:rPr>
        <w:t xml:space="preserve"> estimate the resource impact at a local level.</w:t>
      </w:r>
    </w:p>
    <w:p w14:paraId="69484619" w14:textId="3738E317" w:rsidR="00D57A48" w:rsidRDefault="00532C6A" w:rsidP="002957D3">
      <w:pPr>
        <w:pStyle w:val="NICEnormalsinglespacing"/>
        <w:rPr>
          <w:noProof/>
          <w:lang w:eastAsia="en-GB"/>
        </w:rPr>
      </w:pPr>
      <w:r w:rsidRPr="00D967FD">
        <w:t xml:space="preserve">Blood </w:t>
      </w:r>
      <w:r w:rsidRPr="00532C6A">
        <w:t>culture</w:t>
      </w:r>
      <w:r w:rsidR="002957D3" w:rsidRPr="00532C6A">
        <w:t xml:space="preserve"> services </w:t>
      </w:r>
      <w:r w:rsidR="002957D3" w:rsidRPr="00532C6A">
        <w:rPr>
          <w:noProof/>
          <w:lang w:eastAsia="en-GB"/>
        </w:rPr>
        <w:t xml:space="preserve">are commissioned by </w:t>
      </w:r>
      <w:r w:rsidR="002957D3" w:rsidRPr="00D967FD">
        <w:rPr>
          <w:noProof/>
          <w:lang w:eastAsia="en-GB"/>
        </w:rPr>
        <w:t xml:space="preserve">integrated care </w:t>
      </w:r>
      <w:r w:rsidR="00D37A53" w:rsidRPr="00D967FD">
        <w:rPr>
          <w:noProof/>
          <w:lang w:eastAsia="en-GB"/>
        </w:rPr>
        <w:t>boards</w:t>
      </w:r>
      <w:r>
        <w:rPr>
          <w:noProof/>
          <w:lang w:eastAsia="en-GB"/>
        </w:rPr>
        <w:t>.</w:t>
      </w:r>
      <w:r w:rsidR="002957D3" w:rsidRPr="00532C6A">
        <w:rPr>
          <w:noProof/>
          <w:lang w:eastAsia="en-GB"/>
        </w:rPr>
        <w:t xml:space="preserve"> </w:t>
      </w:r>
      <w:r w:rsidR="002957D3" w:rsidRPr="00532C6A">
        <w:t xml:space="preserve">Providers are </w:t>
      </w:r>
      <w:r w:rsidR="002957D3" w:rsidRPr="00D967FD">
        <w:t>NHS hospital trusts</w:t>
      </w:r>
      <w:r>
        <w:t xml:space="preserve"> and </w:t>
      </w:r>
      <w:r w:rsidR="002957D3" w:rsidRPr="00D967FD">
        <w:t>secondary care providers</w:t>
      </w:r>
      <w:r w:rsidR="002957D3" w:rsidRPr="00532C6A">
        <w:rPr>
          <w:noProof/>
          <w:lang w:eastAsia="en-GB"/>
        </w:rPr>
        <w:t>.</w:t>
      </w:r>
    </w:p>
    <w:p w14:paraId="29DF68B8" w14:textId="77777777" w:rsidR="00B4130D" w:rsidRPr="00B4130D" w:rsidRDefault="00B4130D" w:rsidP="00B4130D">
      <w:pPr>
        <w:keepNext/>
        <w:spacing w:before="240" w:after="60" w:line="360" w:lineRule="auto"/>
        <w:outlineLvl w:val="1"/>
        <w:rPr>
          <w:rFonts w:ascii="Arial" w:hAnsi="Arial" w:cs="Arial"/>
          <w:b/>
          <w:bCs/>
          <w:sz w:val="28"/>
          <w:szCs w:val="28"/>
        </w:rPr>
      </w:pPr>
      <w:r w:rsidRPr="00B4130D">
        <w:rPr>
          <w:rFonts w:ascii="Arial" w:hAnsi="Arial" w:cs="Arial"/>
          <w:b/>
          <w:bCs/>
          <w:sz w:val="28"/>
          <w:szCs w:val="28"/>
        </w:rPr>
        <w:t>About this resource impact summary report</w:t>
      </w:r>
    </w:p>
    <w:p w14:paraId="7AC11416" w14:textId="63664E95" w:rsidR="00B4130D" w:rsidRPr="00B4130D" w:rsidRDefault="00B4130D" w:rsidP="00B4130D">
      <w:pPr>
        <w:spacing w:after="240" w:line="360" w:lineRule="auto"/>
        <w:rPr>
          <w:rFonts w:ascii="Arial" w:hAnsi="Arial"/>
        </w:rPr>
      </w:pPr>
      <w:r w:rsidRPr="00B4130D">
        <w:rPr>
          <w:rFonts w:ascii="Arial" w:hAnsi="Arial"/>
        </w:rPr>
        <w:t xml:space="preserve">This resource impact summary report accompanies the </w:t>
      </w:r>
      <w:hyperlink r:id="rId10" w:history="1">
        <w:r w:rsidRPr="00B4130D">
          <w:rPr>
            <w:rStyle w:val="Hyperlink"/>
            <w:rFonts w:ascii="Arial" w:hAnsi="Arial"/>
          </w:rPr>
          <w:t>NICE guidance on Kurin Lock for blood culture collection</w:t>
        </w:r>
      </w:hyperlink>
      <w:r w:rsidRPr="00B4130D">
        <w:rPr>
          <w:rFonts w:ascii="Arial" w:hAnsi="Arial"/>
        </w:rPr>
        <w:t xml:space="preserve"> and should be read with it. See </w:t>
      </w:r>
      <w:hyperlink r:id="rId11">
        <w:r w:rsidRPr="00B4130D">
          <w:rPr>
            <w:rFonts w:ascii="Arial" w:hAnsi="Arial"/>
            <w:color w:val="0000FF"/>
            <w:u w:val="single"/>
          </w:rPr>
          <w:t>terms and conditions on the NICE website</w:t>
        </w:r>
      </w:hyperlink>
      <w:r w:rsidRPr="00B4130D">
        <w:rPr>
          <w:rFonts w:ascii="Arial" w:hAnsi="Arial"/>
        </w:rPr>
        <w:t>.</w:t>
      </w:r>
    </w:p>
    <w:p w14:paraId="5C2C8780" w14:textId="15002CD0" w:rsidR="00B4130D" w:rsidRPr="00B4130D" w:rsidRDefault="00B4130D" w:rsidP="00B4130D">
      <w:pPr>
        <w:spacing w:after="240" w:line="360" w:lineRule="auto"/>
        <w:rPr>
          <w:rFonts w:ascii="Arial" w:hAnsi="Arial"/>
          <w:highlight w:val="green"/>
        </w:rPr>
      </w:pPr>
      <w:r w:rsidRPr="00B4130D">
        <w:rPr>
          <w:rFonts w:ascii="Arial" w:hAnsi="Arial"/>
        </w:rPr>
        <w:t>ISBN: 978-1-4731-6125-528</w:t>
      </w:r>
    </w:p>
    <w:p w14:paraId="329E4D7F" w14:textId="77777777" w:rsidR="00B4130D" w:rsidRDefault="00B4130D" w:rsidP="002957D3">
      <w:pPr>
        <w:pStyle w:val="NICEnormalsinglespacing"/>
        <w:rPr>
          <w:noProof/>
          <w:lang w:eastAsia="en-GB"/>
        </w:rPr>
      </w:pPr>
    </w:p>
    <w:sectPr w:rsidR="00B4130D" w:rsidSect="009633BE">
      <w:pgSz w:w="11907" w:h="16840" w:code="9"/>
      <w:pgMar w:top="1440" w:right="1440" w:bottom="1440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C501DB" w14:textId="77777777" w:rsidR="00A32496" w:rsidRDefault="00A32496">
      <w:r>
        <w:separator/>
      </w:r>
    </w:p>
  </w:endnote>
  <w:endnote w:type="continuationSeparator" w:id="0">
    <w:p w14:paraId="0137CEF2" w14:textId="77777777" w:rsidR="00A32496" w:rsidRDefault="00A32496">
      <w:r>
        <w:continuationSeparator/>
      </w:r>
    </w:p>
  </w:endnote>
  <w:endnote w:type="continuationNotice" w:id="1">
    <w:p w14:paraId="17E4049F" w14:textId="77777777" w:rsidR="00A32496" w:rsidRDefault="00A3249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EE474E" w14:textId="77777777" w:rsidR="00A32496" w:rsidRDefault="00A32496">
      <w:r>
        <w:separator/>
      </w:r>
    </w:p>
  </w:footnote>
  <w:footnote w:type="continuationSeparator" w:id="0">
    <w:p w14:paraId="63652341" w14:textId="77777777" w:rsidR="00A32496" w:rsidRDefault="00A32496">
      <w:r>
        <w:continuationSeparator/>
      </w:r>
    </w:p>
  </w:footnote>
  <w:footnote w:type="continuationNotice" w:id="1">
    <w:p w14:paraId="1FC2E0E4" w14:textId="77777777" w:rsidR="00A32496" w:rsidRDefault="00A3249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D0FAC"/>
    <w:multiLevelType w:val="multilevel"/>
    <w:tmpl w:val="72188DC4"/>
    <w:lvl w:ilvl="0">
      <w:start w:val="1"/>
      <w:numFmt w:val="bullet"/>
      <w:pStyle w:val="Bulletindent1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</w:rPr>
    </w:lvl>
    <w:lvl w:ilvl="2">
      <w:start w:val="1"/>
      <w:numFmt w:val="bullet"/>
      <w:lvlText w:val="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324"/>
        </w:tabs>
        <w:ind w:left="323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04"/>
        </w:tabs>
        <w:ind w:left="374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84"/>
        </w:tabs>
        <w:ind w:left="424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204"/>
        </w:tabs>
        <w:ind w:left="474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284"/>
        </w:tabs>
        <w:ind w:left="5324" w:hanging="1440"/>
      </w:pPr>
      <w:rPr>
        <w:rFonts w:hint="default"/>
      </w:rPr>
    </w:lvl>
  </w:abstractNum>
  <w:abstractNum w:abstractNumId="1" w15:restartNumberingAfterBreak="0">
    <w:nsid w:val="08FA0E5D"/>
    <w:multiLevelType w:val="hybridMultilevel"/>
    <w:tmpl w:val="7FDA5B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377270"/>
    <w:multiLevelType w:val="multilevel"/>
    <w:tmpl w:val="2B6892E8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pStyle w:val="Bulletleft2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2">
      <w:start w:val="1"/>
      <w:numFmt w:val="bullet"/>
      <w:lvlText w:val=""/>
      <w:lvlJc w:val="left"/>
      <w:pPr>
        <w:tabs>
          <w:tab w:val="num" w:pos="1364"/>
        </w:tabs>
        <w:ind w:left="1364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084"/>
        </w:tabs>
        <w:ind w:left="208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444"/>
        </w:tabs>
        <w:ind w:left="244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64"/>
        </w:tabs>
        <w:ind w:left="316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24"/>
        </w:tabs>
        <w:ind w:left="3524" w:hanging="360"/>
      </w:pPr>
      <w:rPr>
        <w:rFonts w:hint="default"/>
      </w:rPr>
    </w:lvl>
  </w:abstractNum>
  <w:abstractNum w:abstractNumId="3" w15:restartNumberingAfterBreak="0">
    <w:nsid w:val="15017405"/>
    <w:multiLevelType w:val="multilevel"/>
    <w:tmpl w:val="B0A899F0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2">
      <w:start w:val="1"/>
      <w:numFmt w:val="bullet"/>
      <w:lvlText w:val="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084"/>
        </w:tabs>
        <w:ind w:left="208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444"/>
        </w:tabs>
        <w:ind w:left="244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64"/>
        </w:tabs>
        <w:ind w:left="316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24"/>
        </w:tabs>
        <w:ind w:left="3524" w:hanging="360"/>
      </w:pPr>
      <w:rPr>
        <w:rFonts w:hint="default"/>
      </w:rPr>
    </w:lvl>
  </w:abstractNum>
  <w:abstractNum w:abstractNumId="4" w15:restartNumberingAfterBreak="0">
    <w:nsid w:val="18DD126E"/>
    <w:multiLevelType w:val="hybridMultilevel"/>
    <w:tmpl w:val="55BA164C"/>
    <w:lvl w:ilvl="0" w:tplc="C2D2877C">
      <w:start w:val="1"/>
      <w:numFmt w:val="lowerLetter"/>
      <w:pStyle w:val="Section42paragraphs"/>
      <w:lvlText w:val="%1)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B8D3711"/>
    <w:multiLevelType w:val="hybridMultilevel"/>
    <w:tmpl w:val="12EE7D60"/>
    <w:lvl w:ilvl="0" w:tplc="C6A8CC88">
      <w:start w:val="4"/>
      <w:numFmt w:val="bullet"/>
      <w:pStyle w:val="Bulletleft1last"/>
      <w:lvlText w:val=""/>
      <w:lvlJc w:val="left"/>
      <w:pPr>
        <w:tabs>
          <w:tab w:val="num" w:pos="568"/>
        </w:tabs>
        <w:ind w:left="568" w:hanging="284"/>
      </w:pPr>
      <w:rPr>
        <w:rFonts w:ascii="Symbol" w:hAnsi="Symbol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1E82154F"/>
    <w:multiLevelType w:val="hybridMultilevel"/>
    <w:tmpl w:val="7C58E3B2"/>
    <w:lvl w:ilvl="0" w:tplc="6B96DAE0">
      <w:start w:val="1"/>
      <w:numFmt w:val="decimal"/>
      <w:pStyle w:val="References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2C22BA8"/>
    <w:multiLevelType w:val="hybridMultilevel"/>
    <w:tmpl w:val="191A4934"/>
    <w:lvl w:ilvl="0" w:tplc="E7C28008">
      <w:start w:val="4"/>
      <w:numFmt w:val="bullet"/>
      <w:pStyle w:val="Bulletindent1las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7F707D"/>
    <w:multiLevelType w:val="hybridMultilevel"/>
    <w:tmpl w:val="B01CC2F0"/>
    <w:lvl w:ilvl="0" w:tplc="E2649A9E">
      <w:start w:val="1"/>
      <w:numFmt w:val="upperLetter"/>
      <w:pStyle w:val="Appendixlevel1"/>
      <w:lvlText w:val="%1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9CC3584"/>
    <w:multiLevelType w:val="multilevel"/>
    <w:tmpl w:val="4F12E31A"/>
    <w:lvl w:ilvl="0">
      <w:start w:val="1"/>
      <w:numFmt w:val="decimal"/>
      <w:pStyle w:val="Numberedheading1"/>
      <w:lvlText w:val="%1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pStyle w:val="Numberedheading2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pStyle w:val="Numberedheading3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  <w:sz w:val="24"/>
        <w:szCs w:val="24"/>
      </w:rPr>
    </w:lvl>
    <w:lvl w:ilvl="3">
      <w:start w:val="1"/>
      <w:numFmt w:val="decimal"/>
      <w:pStyle w:val="Numberedlevel4text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4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4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2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280"/>
        </w:tabs>
        <w:ind w:left="4320" w:hanging="1440"/>
      </w:pPr>
      <w:rPr>
        <w:rFonts w:hint="default"/>
      </w:rPr>
    </w:lvl>
  </w:abstractNum>
  <w:abstractNum w:abstractNumId="10" w15:restartNumberingAfterBreak="0">
    <w:nsid w:val="2C9057BE"/>
    <w:multiLevelType w:val="hybridMultilevel"/>
    <w:tmpl w:val="D00ACD5C"/>
    <w:lvl w:ilvl="0" w:tplc="20582D18">
      <w:start w:val="1"/>
      <w:numFmt w:val="lowerLetter"/>
      <w:pStyle w:val="Section3paragraphs"/>
      <w:lvlText w:val="%1)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4526E2E"/>
    <w:multiLevelType w:val="hybridMultilevel"/>
    <w:tmpl w:val="5EB82B2A"/>
    <w:lvl w:ilvl="0" w:tplc="C824C56C">
      <w:start w:val="1"/>
      <w:numFmt w:val="lowerLetter"/>
      <w:pStyle w:val="Section2paragraphs"/>
      <w:lvlText w:val="%1)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7BD105E"/>
    <w:multiLevelType w:val="hybridMultilevel"/>
    <w:tmpl w:val="47001F08"/>
    <w:lvl w:ilvl="0" w:tplc="50AA0F7C">
      <w:start w:val="1"/>
      <w:numFmt w:val="lowerLetter"/>
      <w:pStyle w:val="Section411paragraphs"/>
      <w:lvlText w:val="%1)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E4E7347"/>
    <w:multiLevelType w:val="hybridMultilevel"/>
    <w:tmpl w:val="55AE57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41B7135"/>
    <w:multiLevelType w:val="multilevel"/>
    <w:tmpl w:val="A710AC7A"/>
    <w:lvl w:ilvl="0">
      <w:start w:val="1"/>
      <w:numFmt w:val="bulle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</w:rPr>
    </w:lvl>
    <w:lvl w:ilvl="1">
      <w:start w:val="1"/>
      <w:numFmt w:val="bullet"/>
      <w:pStyle w:val="Bulletindent2"/>
      <w:lvlText w:val="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</w:rPr>
    </w:lvl>
    <w:lvl w:ilvl="2">
      <w:start w:val="1"/>
      <w:numFmt w:val="decimal"/>
      <w:lvlText w:val="%3.%1.%2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324"/>
        </w:tabs>
        <w:ind w:left="323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04"/>
        </w:tabs>
        <w:ind w:left="374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84"/>
        </w:tabs>
        <w:ind w:left="424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204"/>
        </w:tabs>
        <w:ind w:left="474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284"/>
        </w:tabs>
        <w:ind w:left="5324" w:hanging="1440"/>
      </w:pPr>
      <w:rPr>
        <w:rFonts w:hint="default"/>
      </w:rPr>
    </w:lvl>
  </w:abstractNum>
  <w:abstractNum w:abstractNumId="15" w15:restartNumberingAfterBreak="0">
    <w:nsid w:val="470E2489"/>
    <w:multiLevelType w:val="multilevel"/>
    <w:tmpl w:val="CF7423B4"/>
    <w:lvl w:ilvl="0">
      <w:start w:val="1"/>
      <w:numFmt w:val="bulle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</w:rPr>
    </w:lvl>
    <w:lvl w:ilvl="2">
      <w:start w:val="1"/>
      <w:numFmt w:val="bullet"/>
      <w:pStyle w:val="Bulletindent3"/>
      <w:lvlText w:val="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324"/>
        </w:tabs>
        <w:ind w:left="323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04"/>
        </w:tabs>
        <w:ind w:left="374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84"/>
        </w:tabs>
        <w:ind w:left="424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204"/>
        </w:tabs>
        <w:ind w:left="474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284"/>
        </w:tabs>
        <w:ind w:left="5324" w:hanging="1440"/>
      </w:pPr>
      <w:rPr>
        <w:rFonts w:hint="default"/>
      </w:rPr>
    </w:lvl>
  </w:abstractNum>
  <w:abstractNum w:abstractNumId="16" w15:restartNumberingAfterBreak="0">
    <w:nsid w:val="4ABD783C"/>
    <w:multiLevelType w:val="hybridMultilevel"/>
    <w:tmpl w:val="23A0264C"/>
    <w:lvl w:ilvl="0" w:tplc="DE0CF6EA">
      <w:start w:val="1"/>
      <w:numFmt w:val="upperRoman"/>
      <w:pStyle w:val="Appendixlevel2"/>
      <w:lvlText w:val="%1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F76329A"/>
    <w:multiLevelType w:val="hybridMultilevel"/>
    <w:tmpl w:val="C66009F6"/>
    <w:lvl w:ilvl="0" w:tplc="C05C3916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15A3F96"/>
    <w:multiLevelType w:val="hybridMultilevel"/>
    <w:tmpl w:val="44A27922"/>
    <w:lvl w:ilvl="0" w:tplc="D87233D4">
      <w:start w:val="1"/>
      <w:numFmt w:val="lowerLetter"/>
      <w:pStyle w:val="Section412paragraphs"/>
      <w:lvlText w:val="%1)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43841DF"/>
    <w:multiLevelType w:val="multilevel"/>
    <w:tmpl w:val="0809001D"/>
    <w:name w:val="numberedheadings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588F36E6"/>
    <w:multiLevelType w:val="hybridMultilevel"/>
    <w:tmpl w:val="14320908"/>
    <w:lvl w:ilvl="0" w:tplc="4EEC47A6">
      <w:start w:val="1"/>
      <w:numFmt w:val="bullet"/>
      <w:pStyle w:val="Appendixbullet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89A4B9E"/>
    <w:multiLevelType w:val="hybridMultilevel"/>
    <w:tmpl w:val="42F41F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EB16514"/>
    <w:multiLevelType w:val="hybridMultilevel"/>
    <w:tmpl w:val="0D1C6444"/>
    <w:lvl w:ilvl="0" w:tplc="25CE9C96">
      <w:start w:val="1"/>
      <w:numFmt w:val="lowerLetter"/>
      <w:pStyle w:val="Section43paragraphs"/>
      <w:lvlText w:val="%1)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6C20063"/>
    <w:multiLevelType w:val="multilevel"/>
    <w:tmpl w:val="043E412C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2">
      <w:start w:val="1"/>
      <w:numFmt w:val="bullet"/>
      <w:pStyle w:val="Bulletleft3"/>
      <w:lvlText w:val="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084"/>
        </w:tabs>
        <w:ind w:left="208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444"/>
        </w:tabs>
        <w:ind w:left="244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64"/>
        </w:tabs>
        <w:ind w:left="316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24"/>
        </w:tabs>
        <w:ind w:left="3524" w:hanging="360"/>
      </w:pPr>
      <w:rPr>
        <w:rFonts w:hint="default"/>
      </w:rPr>
    </w:lvl>
  </w:abstractNum>
  <w:abstractNum w:abstractNumId="24" w15:restartNumberingAfterBreak="0">
    <w:nsid w:val="6CF25CA5"/>
    <w:multiLevelType w:val="hybridMultilevel"/>
    <w:tmpl w:val="02EA36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4EE31D1"/>
    <w:multiLevelType w:val="hybridMultilevel"/>
    <w:tmpl w:val="DBA847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65F6245"/>
    <w:multiLevelType w:val="hybridMultilevel"/>
    <w:tmpl w:val="8226756E"/>
    <w:lvl w:ilvl="0" w:tplc="EE7C94EE">
      <w:start w:val="1"/>
      <w:numFmt w:val="bullet"/>
      <w:pStyle w:val="Introtex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b w:val="0"/>
        <w:i w:val="0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E770260"/>
    <w:multiLevelType w:val="multilevel"/>
    <w:tmpl w:val="0809001D"/>
    <w:name w:val="numberedheadings3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721753560">
    <w:abstractNumId w:val="2"/>
  </w:num>
  <w:num w:numId="2" w16cid:durableId="1285893138">
    <w:abstractNumId w:val="23"/>
  </w:num>
  <w:num w:numId="3" w16cid:durableId="106118100">
    <w:abstractNumId w:val="14"/>
  </w:num>
  <w:num w:numId="4" w16cid:durableId="266475245">
    <w:abstractNumId w:val="15"/>
  </w:num>
  <w:num w:numId="5" w16cid:durableId="288558649">
    <w:abstractNumId w:val="0"/>
  </w:num>
  <w:num w:numId="6" w16cid:durableId="1450004721">
    <w:abstractNumId w:val="3"/>
  </w:num>
  <w:num w:numId="7" w16cid:durableId="1746221165">
    <w:abstractNumId w:val="9"/>
  </w:num>
  <w:num w:numId="8" w16cid:durableId="106900074">
    <w:abstractNumId w:val="5"/>
  </w:num>
  <w:num w:numId="9" w16cid:durableId="920917763">
    <w:abstractNumId w:val="7"/>
  </w:num>
  <w:num w:numId="10" w16cid:durableId="1215117893">
    <w:abstractNumId w:val="11"/>
  </w:num>
  <w:num w:numId="11" w16cid:durableId="2139378189">
    <w:abstractNumId w:val="10"/>
  </w:num>
  <w:num w:numId="12" w16cid:durableId="1088691055">
    <w:abstractNumId w:val="12"/>
  </w:num>
  <w:num w:numId="13" w16cid:durableId="84762956">
    <w:abstractNumId w:val="18"/>
  </w:num>
  <w:num w:numId="14" w16cid:durableId="653337857">
    <w:abstractNumId w:val="4"/>
  </w:num>
  <w:num w:numId="15" w16cid:durableId="421486223">
    <w:abstractNumId w:val="22"/>
  </w:num>
  <w:num w:numId="16" w16cid:durableId="1314721344">
    <w:abstractNumId w:val="8"/>
  </w:num>
  <w:num w:numId="17" w16cid:durableId="2131434735">
    <w:abstractNumId w:val="16"/>
  </w:num>
  <w:num w:numId="18" w16cid:durableId="134690268">
    <w:abstractNumId w:val="20"/>
  </w:num>
  <w:num w:numId="19" w16cid:durableId="1220171156">
    <w:abstractNumId w:val="6"/>
  </w:num>
  <w:num w:numId="20" w16cid:durableId="1495799329">
    <w:abstractNumId w:val="26"/>
  </w:num>
  <w:num w:numId="21" w16cid:durableId="513423018">
    <w:abstractNumId w:val="9"/>
  </w:num>
  <w:num w:numId="22" w16cid:durableId="1615626127">
    <w:abstractNumId w:val="9"/>
  </w:num>
  <w:num w:numId="23" w16cid:durableId="1482430420">
    <w:abstractNumId w:val="9"/>
  </w:num>
  <w:num w:numId="24" w16cid:durableId="373698370">
    <w:abstractNumId w:val="24"/>
  </w:num>
  <w:num w:numId="25" w16cid:durableId="2083721559">
    <w:abstractNumId w:val="21"/>
  </w:num>
  <w:num w:numId="26" w16cid:durableId="649864250">
    <w:abstractNumId w:val="25"/>
  </w:num>
  <w:num w:numId="27" w16cid:durableId="1311204113">
    <w:abstractNumId w:val="13"/>
  </w:num>
  <w:num w:numId="28" w16cid:durableId="1715960215">
    <w:abstractNumId w:val="17"/>
  </w:num>
  <w:num w:numId="29" w16cid:durableId="1471290422">
    <w:abstractNumId w:val="1"/>
  </w:num>
  <w:num w:numId="30" w16cid:durableId="1781413432">
    <w:abstractNumId w:val="3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20"/>
  <w:characterSpacingControl w:val="doNotCompress"/>
  <w:hdrShapeDefaults>
    <o:shapedefaults v:ext="edit" spidmax="2050" style="mso-position-vertical-relative:line" fill="f" fillcolor="white" stroke="f">
      <v:fill color="white" on="f"/>
      <v:stroke on="f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DE4"/>
    <w:rsid w:val="000006D3"/>
    <w:rsid w:val="00001C57"/>
    <w:rsid w:val="00004CA5"/>
    <w:rsid w:val="0000592A"/>
    <w:rsid w:val="000110ED"/>
    <w:rsid w:val="000119FB"/>
    <w:rsid w:val="00016583"/>
    <w:rsid w:val="00016891"/>
    <w:rsid w:val="00020097"/>
    <w:rsid w:val="00020137"/>
    <w:rsid w:val="00022FB0"/>
    <w:rsid w:val="000246B8"/>
    <w:rsid w:val="00025B6A"/>
    <w:rsid w:val="0003725B"/>
    <w:rsid w:val="000378B3"/>
    <w:rsid w:val="0003795D"/>
    <w:rsid w:val="00041835"/>
    <w:rsid w:val="0004442F"/>
    <w:rsid w:val="00046B02"/>
    <w:rsid w:val="0005039E"/>
    <w:rsid w:val="00050AD5"/>
    <w:rsid w:val="00052102"/>
    <w:rsid w:val="0005530A"/>
    <w:rsid w:val="000553DF"/>
    <w:rsid w:val="00055792"/>
    <w:rsid w:val="000611F2"/>
    <w:rsid w:val="00061E2E"/>
    <w:rsid w:val="00063763"/>
    <w:rsid w:val="00063C25"/>
    <w:rsid w:val="00065268"/>
    <w:rsid w:val="00065430"/>
    <w:rsid w:val="00066DA4"/>
    <w:rsid w:val="00070225"/>
    <w:rsid w:val="0007399A"/>
    <w:rsid w:val="000739E1"/>
    <w:rsid w:val="00076F8D"/>
    <w:rsid w:val="00077136"/>
    <w:rsid w:val="00083794"/>
    <w:rsid w:val="00085B8E"/>
    <w:rsid w:val="0008656C"/>
    <w:rsid w:val="0008679D"/>
    <w:rsid w:val="00087F2B"/>
    <w:rsid w:val="00090AFB"/>
    <w:rsid w:val="00094A6C"/>
    <w:rsid w:val="00095104"/>
    <w:rsid w:val="000959DB"/>
    <w:rsid w:val="00095F29"/>
    <w:rsid w:val="000A1668"/>
    <w:rsid w:val="000A2CB6"/>
    <w:rsid w:val="000A3241"/>
    <w:rsid w:val="000A4EE2"/>
    <w:rsid w:val="000A5986"/>
    <w:rsid w:val="000A66E0"/>
    <w:rsid w:val="000B0537"/>
    <w:rsid w:val="000B0A6F"/>
    <w:rsid w:val="000B5B02"/>
    <w:rsid w:val="000B7532"/>
    <w:rsid w:val="000B773E"/>
    <w:rsid w:val="000B7DF5"/>
    <w:rsid w:val="000C08DA"/>
    <w:rsid w:val="000C1491"/>
    <w:rsid w:val="000C1D1B"/>
    <w:rsid w:val="000C67E4"/>
    <w:rsid w:val="000D05F8"/>
    <w:rsid w:val="000D0ED6"/>
    <w:rsid w:val="000D189B"/>
    <w:rsid w:val="000D221B"/>
    <w:rsid w:val="000D4270"/>
    <w:rsid w:val="000D436E"/>
    <w:rsid w:val="000D52A3"/>
    <w:rsid w:val="000D5D2F"/>
    <w:rsid w:val="000D75ED"/>
    <w:rsid w:val="000E2B39"/>
    <w:rsid w:val="000E7991"/>
    <w:rsid w:val="000F11EB"/>
    <w:rsid w:val="000F24C6"/>
    <w:rsid w:val="000F59AE"/>
    <w:rsid w:val="000F6AC5"/>
    <w:rsid w:val="000F6DD0"/>
    <w:rsid w:val="000F7281"/>
    <w:rsid w:val="000F75B7"/>
    <w:rsid w:val="00100031"/>
    <w:rsid w:val="001000F8"/>
    <w:rsid w:val="00101611"/>
    <w:rsid w:val="00101F34"/>
    <w:rsid w:val="00103931"/>
    <w:rsid w:val="0010413B"/>
    <w:rsid w:val="00105544"/>
    <w:rsid w:val="00105EFD"/>
    <w:rsid w:val="00107A53"/>
    <w:rsid w:val="00115005"/>
    <w:rsid w:val="00117403"/>
    <w:rsid w:val="00121872"/>
    <w:rsid w:val="0012581E"/>
    <w:rsid w:val="00125917"/>
    <w:rsid w:val="001264F6"/>
    <w:rsid w:val="00133577"/>
    <w:rsid w:val="00134ADB"/>
    <w:rsid w:val="00135159"/>
    <w:rsid w:val="001356F4"/>
    <w:rsid w:val="001374E8"/>
    <w:rsid w:val="00142000"/>
    <w:rsid w:val="00145575"/>
    <w:rsid w:val="00146BAB"/>
    <w:rsid w:val="00155E58"/>
    <w:rsid w:val="001608EC"/>
    <w:rsid w:val="00160B32"/>
    <w:rsid w:val="0016149E"/>
    <w:rsid w:val="00161AA0"/>
    <w:rsid w:val="00161E61"/>
    <w:rsid w:val="00162F80"/>
    <w:rsid w:val="00163B9A"/>
    <w:rsid w:val="00174703"/>
    <w:rsid w:val="001809AF"/>
    <w:rsid w:val="00183BE5"/>
    <w:rsid w:val="001869DF"/>
    <w:rsid w:val="00187EA7"/>
    <w:rsid w:val="00187F0F"/>
    <w:rsid w:val="00192B6D"/>
    <w:rsid w:val="001952E8"/>
    <w:rsid w:val="001956FC"/>
    <w:rsid w:val="001969DE"/>
    <w:rsid w:val="00196D97"/>
    <w:rsid w:val="001972AF"/>
    <w:rsid w:val="001975ED"/>
    <w:rsid w:val="001A163B"/>
    <w:rsid w:val="001A6854"/>
    <w:rsid w:val="001A7B72"/>
    <w:rsid w:val="001B0597"/>
    <w:rsid w:val="001B0672"/>
    <w:rsid w:val="001B3774"/>
    <w:rsid w:val="001B3F8B"/>
    <w:rsid w:val="001B760B"/>
    <w:rsid w:val="001B7922"/>
    <w:rsid w:val="001C1C5F"/>
    <w:rsid w:val="001C2856"/>
    <w:rsid w:val="001C3115"/>
    <w:rsid w:val="001C3761"/>
    <w:rsid w:val="001C7366"/>
    <w:rsid w:val="001C73A8"/>
    <w:rsid w:val="001C7F62"/>
    <w:rsid w:val="001D027E"/>
    <w:rsid w:val="001D1471"/>
    <w:rsid w:val="001D2AB0"/>
    <w:rsid w:val="001D3FE2"/>
    <w:rsid w:val="001D6561"/>
    <w:rsid w:val="001E077B"/>
    <w:rsid w:val="001E111D"/>
    <w:rsid w:val="001E21D8"/>
    <w:rsid w:val="001E3FB6"/>
    <w:rsid w:val="001E458B"/>
    <w:rsid w:val="001F1074"/>
    <w:rsid w:val="001F2AC5"/>
    <w:rsid w:val="001F3011"/>
    <w:rsid w:val="001F34B4"/>
    <w:rsid w:val="001F38E8"/>
    <w:rsid w:val="001F7CD9"/>
    <w:rsid w:val="002015BA"/>
    <w:rsid w:val="0020191C"/>
    <w:rsid w:val="00202402"/>
    <w:rsid w:val="002066EC"/>
    <w:rsid w:val="0021227E"/>
    <w:rsid w:val="0021477D"/>
    <w:rsid w:val="00216814"/>
    <w:rsid w:val="00223B9C"/>
    <w:rsid w:val="0022764C"/>
    <w:rsid w:val="00230026"/>
    <w:rsid w:val="00230CB6"/>
    <w:rsid w:val="00234D65"/>
    <w:rsid w:val="00235CAB"/>
    <w:rsid w:val="00236319"/>
    <w:rsid w:val="00242D9B"/>
    <w:rsid w:val="00242DC0"/>
    <w:rsid w:val="002473F0"/>
    <w:rsid w:val="0025100A"/>
    <w:rsid w:val="0025440C"/>
    <w:rsid w:val="002548EB"/>
    <w:rsid w:val="0025534E"/>
    <w:rsid w:val="00256222"/>
    <w:rsid w:val="00257B8A"/>
    <w:rsid w:val="00262479"/>
    <w:rsid w:val="00262E6F"/>
    <w:rsid w:val="002632A3"/>
    <w:rsid w:val="00264059"/>
    <w:rsid w:val="00264407"/>
    <w:rsid w:val="00265F19"/>
    <w:rsid w:val="002664D1"/>
    <w:rsid w:val="002665CB"/>
    <w:rsid w:val="00266AA4"/>
    <w:rsid w:val="00271563"/>
    <w:rsid w:val="00271E48"/>
    <w:rsid w:val="002738E2"/>
    <w:rsid w:val="00275215"/>
    <w:rsid w:val="00277116"/>
    <w:rsid w:val="00277963"/>
    <w:rsid w:val="0028316C"/>
    <w:rsid w:val="0028361D"/>
    <w:rsid w:val="002838A9"/>
    <w:rsid w:val="00283BFB"/>
    <w:rsid w:val="00290B1A"/>
    <w:rsid w:val="00294AFE"/>
    <w:rsid w:val="002957D3"/>
    <w:rsid w:val="0029773E"/>
    <w:rsid w:val="00297F8B"/>
    <w:rsid w:val="002A06CA"/>
    <w:rsid w:val="002A5257"/>
    <w:rsid w:val="002B24F2"/>
    <w:rsid w:val="002B2F0E"/>
    <w:rsid w:val="002B5C1E"/>
    <w:rsid w:val="002B78F2"/>
    <w:rsid w:val="002C0E9F"/>
    <w:rsid w:val="002C2143"/>
    <w:rsid w:val="002C4358"/>
    <w:rsid w:val="002C4D4F"/>
    <w:rsid w:val="002D090C"/>
    <w:rsid w:val="002D265C"/>
    <w:rsid w:val="002D3302"/>
    <w:rsid w:val="002D3A52"/>
    <w:rsid w:val="002D4681"/>
    <w:rsid w:val="002D484A"/>
    <w:rsid w:val="002D4F59"/>
    <w:rsid w:val="002D61ED"/>
    <w:rsid w:val="002D7DD9"/>
    <w:rsid w:val="002E1A4D"/>
    <w:rsid w:val="002E1C8A"/>
    <w:rsid w:val="002E1F26"/>
    <w:rsid w:val="002E222C"/>
    <w:rsid w:val="002E3162"/>
    <w:rsid w:val="002E63A2"/>
    <w:rsid w:val="002E7590"/>
    <w:rsid w:val="002E7B36"/>
    <w:rsid w:val="002F279A"/>
    <w:rsid w:val="002F2B99"/>
    <w:rsid w:val="002F76C0"/>
    <w:rsid w:val="002F7B53"/>
    <w:rsid w:val="0030096B"/>
    <w:rsid w:val="00302B1B"/>
    <w:rsid w:val="00303137"/>
    <w:rsid w:val="0030366A"/>
    <w:rsid w:val="003057AC"/>
    <w:rsid w:val="00306004"/>
    <w:rsid w:val="00306F24"/>
    <w:rsid w:val="00313888"/>
    <w:rsid w:val="00313A26"/>
    <w:rsid w:val="0031664C"/>
    <w:rsid w:val="00317367"/>
    <w:rsid w:val="003211C9"/>
    <w:rsid w:val="00324775"/>
    <w:rsid w:val="00327536"/>
    <w:rsid w:val="00331C56"/>
    <w:rsid w:val="003330E6"/>
    <w:rsid w:val="003333BE"/>
    <w:rsid w:val="0033613B"/>
    <w:rsid w:val="00336728"/>
    <w:rsid w:val="0033679D"/>
    <w:rsid w:val="00340554"/>
    <w:rsid w:val="00340887"/>
    <w:rsid w:val="00344FAB"/>
    <w:rsid w:val="00345C49"/>
    <w:rsid w:val="00345CA8"/>
    <w:rsid w:val="003478F4"/>
    <w:rsid w:val="00350E81"/>
    <w:rsid w:val="003527BF"/>
    <w:rsid w:val="00353669"/>
    <w:rsid w:val="00355517"/>
    <w:rsid w:val="00355F85"/>
    <w:rsid w:val="003565A6"/>
    <w:rsid w:val="00360517"/>
    <w:rsid w:val="00361616"/>
    <w:rsid w:val="003616C8"/>
    <w:rsid w:val="00361764"/>
    <w:rsid w:val="003617E9"/>
    <w:rsid w:val="00362C37"/>
    <w:rsid w:val="00363AAF"/>
    <w:rsid w:val="00365B1D"/>
    <w:rsid w:val="003665B9"/>
    <w:rsid w:val="003704DD"/>
    <w:rsid w:val="00371D01"/>
    <w:rsid w:val="00372E2A"/>
    <w:rsid w:val="0038098D"/>
    <w:rsid w:val="00380A45"/>
    <w:rsid w:val="00380CD9"/>
    <w:rsid w:val="00380F40"/>
    <w:rsid w:val="0038124F"/>
    <w:rsid w:val="00381A1B"/>
    <w:rsid w:val="00382B31"/>
    <w:rsid w:val="00383A69"/>
    <w:rsid w:val="00383E77"/>
    <w:rsid w:val="00383F93"/>
    <w:rsid w:val="003842E5"/>
    <w:rsid w:val="00384A19"/>
    <w:rsid w:val="0038648C"/>
    <w:rsid w:val="00387C51"/>
    <w:rsid w:val="003907AA"/>
    <w:rsid w:val="00391F9E"/>
    <w:rsid w:val="00395C38"/>
    <w:rsid w:val="003972E6"/>
    <w:rsid w:val="003A0F9C"/>
    <w:rsid w:val="003A3974"/>
    <w:rsid w:val="003A3F54"/>
    <w:rsid w:val="003A46D6"/>
    <w:rsid w:val="003A7696"/>
    <w:rsid w:val="003B0A16"/>
    <w:rsid w:val="003B1E6F"/>
    <w:rsid w:val="003B2E89"/>
    <w:rsid w:val="003B3FDF"/>
    <w:rsid w:val="003B4BE1"/>
    <w:rsid w:val="003B4F47"/>
    <w:rsid w:val="003B6559"/>
    <w:rsid w:val="003B7401"/>
    <w:rsid w:val="003C00FB"/>
    <w:rsid w:val="003C0182"/>
    <w:rsid w:val="003C22D1"/>
    <w:rsid w:val="003C2A63"/>
    <w:rsid w:val="003C36AC"/>
    <w:rsid w:val="003C3B82"/>
    <w:rsid w:val="003C4376"/>
    <w:rsid w:val="003C548F"/>
    <w:rsid w:val="003C6B39"/>
    <w:rsid w:val="003D035D"/>
    <w:rsid w:val="003D0E20"/>
    <w:rsid w:val="003E335E"/>
    <w:rsid w:val="003E55F3"/>
    <w:rsid w:val="003F2D5D"/>
    <w:rsid w:val="003F3909"/>
    <w:rsid w:val="003F684F"/>
    <w:rsid w:val="003F68E7"/>
    <w:rsid w:val="003F700B"/>
    <w:rsid w:val="003F7140"/>
    <w:rsid w:val="003F71ED"/>
    <w:rsid w:val="003F77BD"/>
    <w:rsid w:val="00401C11"/>
    <w:rsid w:val="004038E5"/>
    <w:rsid w:val="00403BA3"/>
    <w:rsid w:val="0040724C"/>
    <w:rsid w:val="004147CF"/>
    <w:rsid w:val="0041644D"/>
    <w:rsid w:val="00416733"/>
    <w:rsid w:val="00417163"/>
    <w:rsid w:val="0042056B"/>
    <w:rsid w:val="00420DE4"/>
    <w:rsid w:val="004220D0"/>
    <w:rsid w:val="00422EF5"/>
    <w:rsid w:val="00427588"/>
    <w:rsid w:val="0042758D"/>
    <w:rsid w:val="004304D4"/>
    <w:rsid w:val="00430852"/>
    <w:rsid w:val="0043147A"/>
    <w:rsid w:val="00432267"/>
    <w:rsid w:val="00432BA6"/>
    <w:rsid w:val="00434AE5"/>
    <w:rsid w:val="004355F1"/>
    <w:rsid w:val="00436229"/>
    <w:rsid w:val="00436638"/>
    <w:rsid w:val="00437CF7"/>
    <w:rsid w:val="004402BF"/>
    <w:rsid w:val="00440431"/>
    <w:rsid w:val="00443697"/>
    <w:rsid w:val="00444226"/>
    <w:rsid w:val="0045017F"/>
    <w:rsid w:val="00450A7E"/>
    <w:rsid w:val="00452FF6"/>
    <w:rsid w:val="00453F87"/>
    <w:rsid w:val="004548BE"/>
    <w:rsid w:val="00455456"/>
    <w:rsid w:val="00457527"/>
    <w:rsid w:val="004604CF"/>
    <w:rsid w:val="00461E73"/>
    <w:rsid w:val="00462733"/>
    <w:rsid w:val="0046446F"/>
    <w:rsid w:val="00464D59"/>
    <w:rsid w:val="00467110"/>
    <w:rsid w:val="0047117E"/>
    <w:rsid w:val="004758F3"/>
    <w:rsid w:val="00480428"/>
    <w:rsid w:val="004820E9"/>
    <w:rsid w:val="0048249A"/>
    <w:rsid w:val="0048256A"/>
    <w:rsid w:val="00482C86"/>
    <w:rsid w:val="0048361F"/>
    <w:rsid w:val="00483781"/>
    <w:rsid w:val="00484448"/>
    <w:rsid w:val="004854FD"/>
    <w:rsid w:val="00492EF0"/>
    <w:rsid w:val="00493895"/>
    <w:rsid w:val="004A40D0"/>
    <w:rsid w:val="004A4BB2"/>
    <w:rsid w:val="004A4F22"/>
    <w:rsid w:val="004A538F"/>
    <w:rsid w:val="004B2185"/>
    <w:rsid w:val="004B3175"/>
    <w:rsid w:val="004B394E"/>
    <w:rsid w:val="004B514C"/>
    <w:rsid w:val="004B51B7"/>
    <w:rsid w:val="004B5C4C"/>
    <w:rsid w:val="004B6F12"/>
    <w:rsid w:val="004C0D2C"/>
    <w:rsid w:val="004C286E"/>
    <w:rsid w:val="004C3AF4"/>
    <w:rsid w:val="004C3EE1"/>
    <w:rsid w:val="004C4DA6"/>
    <w:rsid w:val="004C67B1"/>
    <w:rsid w:val="004C78F3"/>
    <w:rsid w:val="004D0FDB"/>
    <w:rsid w:val="004D18C1"/>
    <w:rsid w:val="004D1B62"/>
    <w:rsid w:val="004D2F19"/>
    <w:rsid w:val="004D69FF"/>
    <w:rsid w:val="004E337E"/>
    <w:rsid w:val="004E50E8"/>
    <w:rsid w:val="004F0B3E"/>
    <w:rsid w:val="004F0E85"/>
    <w:rsid w:val="004F1962"/>
    <w:rsid w:val="004F76A6"/>
    <w:rsid w:val="0050051D"/>
    <w:rsid w:val="0050252D"/>
    <w:rsid w:val="005042F6"/>
    <w:rsid w:val="005058B7"/>
    <w:rsid w:val="0050594F"/>
    <w:rsid w:val="00507215"/>
    <w:rsid w:val="00512C36"/>
    <w:rsid w:val="00513F05"/>
    <w:rsid w:val="00515062"/>
    <w:rsid w:val="005156C3"/>
    <w:rsid w:val="00515E70"/>
    <w:rsid w:val="00520FAA"/>
    <w:rsid w:val="00521940"/>
    <w:rsid w:val="00522FB3"/>
    <w:rsid w:val="005239A4"/>
    <w:rsid w:val="0052606B"/>
    <w:rsid w:val="00526C07"/>
    <w:rsid w:val="00527E41"/>
    <w:rsid w:val="00530748"/>
    <w:rsid w:val="00530D37"/>
    <w:rsid w:val="00530E29"/>
    <w:rsid w:val="00530EBC"/>
    <w:rsid w:val="00531C2F"/>
    <w:rsid w:val="00532328"/>
    <w:rsid w:val="0053284A"/>
    <w:rsid w:val="00532C6A"/>
    <w:rsid w:val="0053346F"/>
    <w:rsid w:val="0053387C"/>
    <w:rsid w:val="00533FCC"/>
    <w:rsid w:val="005351A0"/>
    <w:rsid w:val="005353A8"/>
    <w:rsid w:val="005410C2"/>
    <w:rsid w:val="0054132B"/>
    <w:rsid w:val="0054164A"/>
    <w:rsid w:val="0054168C"/>
    <w:rsid w:val="00546343"/>
    <w:rsid w:val="00547358"/>
    <w:rsid w:val="00551FEA"/>
    <w:rsid w:val="00554F81"/>
    <w:rsid w:val="00555CD5"/>
    <w:rsid w:val="005560E4"/>
    <w:rsid w:val="00556C98"/>
    <w:rsid w:val="00561346"/>
    <w:rsid w:val="00561E27"/>
    <w:rsid w:val="00564322"/>
    <w:rsid w:val="00564A10"/>
    <w:rsid w:val="00564D95"/>
    <w:rsid w:val="005663E4"/>
    <w:rsid w:val="00572029"/>
    <w:rsid w:val="00573D9F"/>
    <w:rsid w:val="00574043"/>
    <w:rsid w:val="00575E20"/>
    <w:rsid w:val="00580D67"/>
    <w:rsid w:val="00583682"/>
    <w:rsid w:val="00583871"/>
    <w:rsid w:val="0058439B"/>
    <w:rsid w:val="00586DFB"/>
    <w:rsid w:val="00587B21"/>
    <w:rsid w:val="00587C0F"/>
    <w:rsid w:val="00590AEA"/>
    <w:rsid w:val="00592A0B"/>
    <w:rsid w:val="0059308E"/>
    <w:rsid w:val="00597102"/>
    <w:rsid w:val="005A223C"/>
    <w:rsid w:val="005A23B8"/>
    <w:rsid w:val="005A2EEC"/>
    <w:rsid w:val="005A4F3F"/>
    <w:rsid w:val="005B0269"/>
    <w:rsid w:val="005B0644"/>
    <w:rsid w:val="005B06D5"/>
    <w:rsid w:val="005B2F59"/>
    <w:rsid w:val="005B4A9F"/>
    <w:rsid w:val="005B54C7"/>
    <w:rsid w:val="005B5AE1"/>
    <w:rsid w:val="005B5B17"/>
    <w:rsid w:val="005B6B2E"/>
    <w:rsid w:val="005C051F"/>
    <w:rsid w:val="005C05E6"/>
    <w:rsid w:val="005C4A4D"/>
    <w:rsid w:val="005C54C1"/>
    <w:rsid w:val="005C762E"/>
    <w:rsid w:val="005D017C"/>
    <w:rsid w:val="005D098C"/>
    <w:rsid w:val="005D3715"/>
    <w:rsid w:val="005D45C5"/>
    <w:rsid w:val="005D4AC1"/>
    <w:rsid w:val="005D5B9E"/>
    <w:rsid w:val="005D5F15"/>
    <w:rsid w:val="005D5F7D"/>
    <w:rsid w:val="005D6BBF"/>
    <w:rsid w:val="005E185F"/>
    <w:rsid w:val="005E1B35"/>
    <w:rsid w:val="005E30F3"/>
    <w:rsid w:val="005E352D"/>
    <w:rsid w:val="005E5958"/>
    <w:rsid w:val="005E76D6"/>
    <w:rsid w:val="005E7DED"/>
    <w:rsid w:val="005E7FB1"/>
    <w:rsid w:val="005F2415"/>
    <w:rsid w:val="005F55D6"/>
    <w:rsid w:val="005F5EC0"/>
    <w:rsid w:val="005F71E3"/>
    <w:rsid w:val="00602179"/>
    <w:rsid w:val="00603141"/>
    <w:rsid w:val="00603A8B"/>
    <w:rsid w:val="006045D6"/>
    <w:rsid w:val="00604AFB"/>
    <w:rsid w:val="0060536A"/>
    <w:rsid w:val="00605F33"/>
    <w:rsid w:val="0060662A"/>
    <w:rsid w:val="006120EB"/>
    <w:rsid w:val="00612789"/>
    <w:rsid w:val="00613933"/>
    <w:rsid w:val="00614AF4"/>
    <w:rsid w:val="00614BDA"/>
    <w:rsid w:val="00614C34"/>
    <w:rsid w:val="00616924"/>
    <w:rsid w:val="00617EDF"/>
    <w:rsid w:val="0062266D"/>
    <w:rsid w:val="00624868"/>
    <w:rsid w:val="0062533C"/>
    <w:rsid w:val="00627E24"/>
    <w:rsid w:val="006331B4"/>
    <w:rsid w:val="00633D06"/>
    <w:rsid w:val="006343F3"/>
    <w:rsid w:val="00642906"/>
    <w:rsid w:val="00644FB7"/>
    <w:rsid w:val="00645670"/>
    <w:rsid w:val="006457EF"/>
    <w:rsid w:val="0064655C"/>
    <w:rsid w:val="0064735D"/>
    <w:rsid w:val="00651F1C"/>
    <w:rsid w:val="00654620"/>
    <w:rsid w:val="006547A1"/>
    <w:rsid w:val="0065777D"/>
    <w:rsid w:val="00660B3C"/>
    <w:rsid w:val="00662446"/>
    <w:rsid w:val="00662EE5"/>
    <w:rsid w:val="00665D35"/>
    <w:rsid w:val="00667875"/>
    <w:rsid w:val="00667AE5"/>
    <w:rsid w:val="00670269"/>
    <w:rsid w:val="00670711"/>
    <w:rsid w:val="00671A74"/>
    <w:rsid w:val="006757DF"/>
    <w:rsid w:val="00682B75"/>
    <w:rsid w:val="00685AEF"/>
    <w:rsid w:val="0068789D"/>
    <w:rsid w:val="00687FD2"/>
    <w:rsid w:val="006901C1"/>
    <w:rsid w:val="006909C9"/>
    <w:rsid w:val="0069128A"/>
    <w:rsid w:val="0069613E"/>
    <w:rsid w:val="00696C78"/>
    <w:rsid w:val="006A007D"/>
    <w:rsid w:val="006A318D"/>
    <w:rsid w:val="006A3311"/>
    <w:rsid w:val="006A3DA2"/>
    <w:rsid w:val="006A3DCC"/>
    <w:rsid w:val="006A721F"/>
    <w:rsid w:val="006B0004"/>
    <w:rsid w:val="006B0D57"/>
    <w:rsid w:val="006B1E37"/>
    <w:rsid w:val="006B34D5"/>
    <w:rsid w:val="006B3633"/>
    <w:rsid w:val="006B4CA3"/>
    <w:rsid w:val="006C38E8"/>
    <w:rsid w:val="006C546D"/>
    <w:rsid w:val="006C6403"/>
    <w:rsid w:val="006C649D"/>
    <w:rsid w:val="006C6BBF"/>
    <w:rsid w:val="006C6D11"/>
    <w:rsid w:val="006D3F7C"/>
    <w:rsid w:val="006D4650"/>
    <w:rsid w:val="006D55ED"/>
    <w:rsid w:val="006D73F1"/>
    <w:rsid w:val="006E060B"/>
    <w:rsid w:val="006E10E2"/>
    <w:rsid w:val="006E26CC"/>
    <w:rsid w:val="006E2BF4"/>
    <w:rsid w:val="006E489B"/>
    <w:rsid w:val="006E49F6"/>
    <w:rsid w:val="006E51A0"/>
    <w:rsid w:val="006E6F55"/>
    <w:rsid w:val="006F0610"/>
    <w:rsid w:val="006F60CC"/>
    <w:rsid w:val="006F69EA"/>
    <w:rsid w:val="0070031C"/>
    <w:rsid w:val="00700C0B"/>
    <w:rsid w:val="00700C1D"/>
    <w:rsid w:val="007032E3"/>
    <w:rsid w:val="00703694"/>
    <w:rsid w:val="00706539"/>
    <w:rsid w:val="0071025D"/>
    <w:rsid w:val="007137D6"/>
    <w:rsid w:val="00715052"/>
    <w:rsid w:val="007157D6"/>
    <w:rsid w:val="00720B9F"/>
    <w:rsid w:val="00731AD2"/>
    <w:rsid w:val="00732519"/>
    <w:rsid w:val="00737387"/>
    <w:rsid w:val="0074268C"/>
    <w:rsid w:val="00742CCB"/>
    <w:rsid w:val="007455FF"/>
    <w:rsid w:val="00750054"/>
    <w:rsid w:val="00751A0A"/>
    <w:rsid w:val="0075321A"/>
    <w:rsid w:val="00755664"/>
    <w:rsid w:val="00760A09"/>
    <w:rsid w:val="00761416"/>
    <w:rsid w:val="0076168B"/>
    <w:rsid w:val="00761733"/>
    <w:rsid w:val="00761761"/>
    <w:rsid w:val="00765B7B"/>
    <w:rsid w:val="00771F03"/>
    <w:rsid w:val="00783004"/>
    <w:rsid w:val="007831AA"/>
    <w:rsid w:val="00784007"/>
    <w:rsid w:val="0078666B"/>
    <w:rsid w:val="0079012E"/>
    <w:rsid w:val="007921F8"/>
    <w:rsid w:val="0079601A"/>
    <w:rsid w:val="00797D34"/>
    <w:rsid w:val="00797DDA"/>
    <w:rsid w:val="007A0F8F"/>
    <w:rsid w:val="007A2BA5"/>
    <w:rsid w:val="007A364D"/>
    <w:rsid w:val="007A4EEE"/>
    <w:rsid w:val="007A5878"/>
    <w:rsid w:val="007A5888"/>
    <w:rsid w:val="007A6D17"/>
    <w:rsid w:val="007B187A"/>
    <w:rsid w:val="007B4546"/>
    <w:rsid w:val="007B6DB1"/>
    <w:rsid w:val="007B7F7D"/>
    <w:rsid w:val="007C1FD9"/>
    <w:rsid w:val="007C23ED"/>
    <w:rsid w:val="007C3452"/>
    <w:rsid w:val="007C6E88"/>
    <w:rsid w:val="007C7626"/>
    <w:rsid w:val="007D55CA"/>
    <w:rsid w:val="007D5E33"/>
    <w:rsid w:val="007E1ED9"/>
    <w:rsid w:val="007E6DF2"/>
    <w:rsid w:val="007E7D00"/>
    <w:rsid w:val="007E7DDD"/>
    <w:rsid w:val="007F4DE1"/>
    <w:rsid w:val="008005AC"/>
    <w:rsid w:val="008011A2"/>
    <w:rsid w:val="00802187"/>
    <w:rsid w:val="00802238"/>
    <w:rsid w:val="008048F9"/>
    <w:rsid w:val="008068B3"/>
    <w:rsid w:val="00807768"/>
    <w:rsid w:val="00813323"/>
    <w:rsid w:val="0081612A"/>
    <w:rsid w:val="00816EE0"/>
    <w:rsid w:val="00817B1E"/>
    <w:rsid w:val="00817C4A"/>
    <w:rsid w:val="0082079B"/>
    <w:rsid w:val="00820D2E"/>
    <w:rsid w:val="00820DCC"/>
    <w:rsid w:val="0082200D"/>
    <w:rsid w:val="00822D0B"/>
    <w:rsid w:val="00822EE1"/>
    <w:rsid w:val="008265B9"/>
    <w:rsid w:val="00830043"/>
    <w:rsid w:val="00831D2F"/>
    <w:rsid w:val="0083347C"/>
    <w:rsid w:val="00833F5D"/>
    <w:rsid w:val="00835CAE"/>
    <w:rsid w:val="00836700"/>
    <w:rsid w:val="008418F4"/>
    <w:rsid w:val="008438E0"/>
    <w:rsid w:val="0084390B"/>
    <w:rsid w:val="0084494B"/>
    <w:rsid w:val="00845121"/>
    <w:rsid w:val="008475B9"/>
    <w:rsid w:val="008505C3"/>
    <w:rsid w:val="00851D79"/>
    <w:rsid w:val="00852324"/>
    <w:rsid w:val="00853C9B"/>
    <w:rsid w:val="0085682F"/>
    <w:rsid w:val="0086150B"/>
    <w:rsid w:val="008638D0"/>
    <w:rsid w:val="0086406E"/>
    <w:rsid w:val="0086472B"/>
    <w:rsid w:val="00864E37"/>
    <w:rsid w:val="0086581A"/>
    <w:rsid w:val="0086657D"/>
    <w:rsid w:val="00870928"/>
    <w:rsid w:val="0087304A"/>
    <w:rsid w:val="00874F89"/>
    <w:rsid w:val="00875286"/>
    <w:rsid w:val="008763ED"/>
    <w:rsid w:val="008769BB"/>
    <w:rsid w:val="00877774"/>
    <w:rsid w:val="008778AA"/>
    <w:rsid w:val="00880AC1"/>
    <w:rsid w:val="00885726"/>
    <w:rsid w:val="008864FD"/>
    <w:rsid w:val="00887C3B"/>
    <w:rsid w:val="00890F2B"/>
    <w:rsid w:val="00892CA7"/>
    <w:rsid w:val="00897087"/>
    <w:rsid w:val="0089746B"/>
    <w:rsid w:val="008A0F27"/>
    <w:rsid w:val="008A1E14"/>
    <w:rsid w:val="008A33C3"/>
    <w:rsid w:val="008A3C8E"/>
    <w:rsid w:val="008A439B"/>
    <w:rsid w:val="008A59AF"/>
    <w:rsid w:val="008B47F8"/>
    <w:rsid w:val="008B6FE2"/>
    <w:rsid w:val="008B753F"/>
    <w:rsid w:val="008C3409"/>
    <w:rsid w:val="008C3D65"/>
    <w:rsid w:val="008C78EA"/>
    <w:rsid w:val="008D17B0"/>
    <w:rsid w:val="008D36D1"/>
    <w:rsid w:val="008D4AD8"/>
    <w:rsid w:val="008D68EA"/>
    <w:rsid w:val="008E193A"/>
    <w:rsid w:val="008E23FE"/>
    <w:rsid w:val="008E2FBB"/>
    <w:rsid w:val="008E7585"/>
    <w:rsid w:val="008E7E60"/>
    <w:rsid w:val="008F03D4"/>
    <w:rsid w:val="008F2810"/>
    <w:rsid w:val="008F2A41"/>
    <w:rsid w:val="008F3092"/>
    <w:rsid w:val="008F3B96"/>
    <w:rsid w:val="008F546E"/>
    <w:rsid w:val="008F7275"/>
    <w:rsid w:val="00901E23"/>
    <w:rsid w:val="00904D7F"/>
    <w:rsid w:val="00905556"/>
    <w:rsid w:val="00910C60"/>
    <w:rsid w:val="00912C11"/>
    <w:rsid w:val="00913937"/>
    <w:rsid w:val="0091438E"/>
    <w:rsid w:val="0091590F"/>
    <w:rsid w:val="009203E6"/>
    <w:rsid w:val="0092157B"/>
    <w:rsid w:val="009216C7"/>
    <w:rsid w:val="0092657D"/>
    <w:rsid w:val="00930647"/>
    <w:rsid w:val="0093726D"/>
    <w:rsid w:val="00940E9B"/>
    <w:rsid w:val="009427F1"/>
    <w:rsid w:val="0094366C"/>
    <w:rsid w:val="0094429A"/>
    <w:rsid w:val="0094626E"/>
    <w:rsid w:val="0095182A"/>
    <w:rsid w:val="00953ADF"/>
    <w:rsid w:val="009571B1"/>
    <w:rsid w:val="00960AFC"/>
    <w:rsid w:val="00960D49"/>
    <w:rsid w:val="00961C34"/>
    <w:rsid w:val="009623BE"/>
    <w:rsid w:val="009631D9"/>
    <w:rsid w:val="009633BE"/>
    <w:rsid w:val="00964C7E"/>
    <w:rsid w:val="00965C4E"/>
    <w:rsid w:val="00971BAA"/>
    <w:rsid w:val="009766B9"/>
    <w:rsid w:val="00980C93"/>
    <w:rsid w:val="00981BAD"/>
    <w:rsid w:val="00982B83"/>
    <w:rsid w:val="00984D86"/>
    <w:rsid w:val="00987039"/>
    <w:rsid w:val="009914E7"/>
    <w:rsid w:val="00991B86"/>
    <w:rsid w:val="009920E1"/>
    <w:rsid w:val="009937B6"/>
    <w:rsid w:val="00994B11"/>
    <w:rsid w:val="009A0186"/>
    <w:rsid w:val="009A0BD1"/>
    <w:rsid w:val="009A2AD6"/>
    <w:rsid w:val="009A629A"/>
    <w:rsid w:val="009B4F79"/>
    <w:rsid w:val="009B621A"/>
    <w:rsid w:val="009B62C2"/>
    <w:rsid w:val="009B6F91"/>
    <w:rsid w:val="009C0A56"/>
    <w:rsid w:val="009C0D09"/>
    <w:rsid w:val="009C0F54"/>
    <w:rsid w:val="009C1B03"/>
    <w:rsid w:val="009C215B"/>
    <w:rsid w:val="009C45D9"/>
    <w:rsid w:val="009C5A23"/>
    <w:rsid w:val="009C6466"/>
    <w:rsid w:val="009C6F32"/>
    <w:rsid w:val="009D0E16"/>
    <w:rsid w:val="009E555D"/>
    <w:rsid w:val="009F081F"/>
    <w:rsid w:val="009F2F4C"/>
    <w:rsid w:val="009F5A37"/>
    <w:rsid w:val="009F66D2"/>
    <w:rsid w:val="00A02D88"/>
    <w:rsid w:val="00A05E38"/>
    <w:rsid w:val="00A063FC"/>
    <w:rsid w:val="00A06657"/>
    <w:rsid w:val="00A07642"/>
    <w:rsid w:val="00A121E5"/>
    <w:rsid w:val="00A125B3"/>
    <w:rsid w:val="00A1294A"/>
    <w:rsid w:val="00A12B22"/>
    <w:rsid w:val="00A14F0D"/>
    <w:rsid w:val="00A1760E"/>
    <w:rsid w:val="00A17C84"/>
    <w:rsid w:val="00A22603"/>
    <w:rsid w:val="00A23EBD"/>
    <w:rsid w:val="00A23FC6"/>
    <w:rsid w:val="00A255D3"/>
    <w:rsid w:val="00A30E0A"/>
    <w:rsid w:val="00A32496"/>
    <w:rsid w:val="00A33408"/>
    <w:rsid w:val="00A33909"/>
    <w:rsid w:val="00A33C63"/>
    <w:rsid w:val="00A3691D"/>
    <w:rsid w:val="00A4123E"/>
    <w:rsid w:val="00A42014"/>
    <w:rsid w:val="00A4296B"/>
    <w:rsid w:val="00A42C92"/>
    <w:rsid w:val="00A42DD9"/>
    <w:rsid w:val="00A43073"/>
    <w:rsid w:val="00A44567"/>
    <w:rsid w:val="00A46DB8"/>
    <w:rsid w:val="00A47738"/>
    <w:rsid w:val="00A47BEE"/>
    <w:rsid w:val="00A51066"/>
    <w:rsid w:val="00A533B0"/>
    <w:rsid w:val="00A564DE"/>
    <w:rsid w:val="00A612DC"/>
    <w:rsid w:val="00A644BF"/>
    <w:rsid w:val="00A64DB0"/>
    <w:rsid w:val="00A66F0F"/>
    <w:rsid w:val="00A70DE9"/>
    <w:rsid w:val="00A748B2"/>
    <w:rsid w:val="00A75DC2"/>
    <w:rsid w:val="00A76731"/>
    <w:rsid w:val="00A76767"/>
    <w:rsid w:val="00A77814"/>
    <w:rsid w:val="00A816CE"/>
    <w:rsid w:val="00A82323"/>
    <w:rsid w:val="00A853FB"/>
    <w:rsid w:val="00A86D3D"/>
    <w:rsid w:val="00A87877"/>
    <w:rsid w:val="00A96521"/>
    <w:rsid w:val="00AA3D42"/>
    <w:rsid w:val="00AA4D12"/>
    <w:rsid w:val="00AA557B"/>
    <w:rsid w:val="00AB164F"/>
    <w:rsid w:val="00AB1B8A"/>
    <w:rsid w:val="00AB1C77"/>
    <w:rsid w:val="00AB27C4"/>
    <w:rsid w:val="00AB2948"/>
    <w:rsid w:val="00AB39FA"/>
    <w:rsid w:val="00AB5054"/>
    <w:rsid w:val="00AB5D04"/>
    <w:rsid w:val="00AB7BBF"/>
    <w:rsid w:val="00AB7EA3"/>
    <w:rsid w:val="00AC395C"/>
    <w:rsid w:val="00AC4C6D"/>
    <w:rsid w:val="00AC4FCA"/>
    <w:rsid w:val="00AC5C23"/>
    <w:rsid w:val="00AD0092"/>
    <w:rsid w:val="00AD0197"/>
    <w:rsid w:val="00AD10DD"/>
    <w:rsid w:val="00AD1520"/>
    <w:rsid w:val="00AD1F38"/>
    <w:rsid w:val="00AD3DF9"/>
    <w:rsid w:val="00AD6933"/>
    <w:rsid w:val="00AD6B7B"/>
    <w:rsid w:val="00AD7D94"/>
    <w:rsid w:val="00AE3233"/>
    <w:rsid w:val="00AE4EFB"/>
    <w:rsid w:val="00AE5E11"/>
    <w:rsid w:val="00AE6345"/>
    <w:rsid w:val="00AF033F"/>
    <w:rsid w:val="00AF0558"/>
    <w:rsid w:val="00AF3DB5"/>
    <w:rsid w:val="00AF6101"/>
    <w:rsid w:val="00AF67FE"/>
    <w:rsid w:val="00B01D5A"/>
    <w:rsid w:val="00B02F56"/>
    <w:rsid w:val="00B03D66"/>
    <w:rsid w:val="00B04146"/>
    <w:rsid w:val="00B04404"/>
    <w:rsid w:val="00B0454E"/>
    <w:rsid w:val="00B11B6E"/>
    <w:rsid w:val="00B12BDA"/>
    <w:rsid w:val="00B1320B"/>
    <w:rsid w:val="00B14762"/>
    <w:rsid w:val="00B149D2"/>
    <w:rsid w:val="00B14B9B"/>
    <w:rsid w:val="00B14F51"/>
    <w:rsid w:val="00B152B5"/>
    <w:rsid w:val="00B17A43"/>
    <w:rsid w:val="00B21009"/>
    <w:rsid w:val="00B21480"/>
    <w:rsid w:val="00B21AC8"/>
    <w:rsid w:val="00B22BA0"/>
    <w:rsid w:val="00B23147"/>
    <w:rsid w:val="00B232AF"/>
    <w:rsid w:val="00B25EE7"/>
    <w:rsid w:val="00B2731D"/>
    <w:rsid w:val="00B323C0"/>
    <w:rsid w:val="00B32451"/>
    <w:rsid w:val="00B3305E"/>
    <w:rsid w:val="00B36122"/>
    <w:rsid w:val="00B36138"/>
    <w:rsid w:val="00B40295"/>
    <w:rsid w:val="00B4130D"/>
    <w:rsid w:val="00B44D28"/>
    <w:rsid w:val="00B551BA"/>
    <w:rsid w:val="00B55D38"/>
    <w:rsid w:val="00B64B0F"/>
    <w:rsid w:val="00B65D20"/>
    <w:rsid w:val="00B66AF1"/>
    <w:rsid w:val="00B67EE1"/>
    <w:rsid w:val="00B71145"/>
    <w:rsid w:val="00B724FB"/>
    <w:rsid w:val="00B74440"/>
    <w:rsid w:val="00B74937"/>
    <w:rsid w:val="00B765CF"/>
    <w:rsid w:val="00B773C4"/>
    <w:rsid w:val="00B82443"/>
    <w:rsid w:val="00B84783"/>
    <w:rsid w:val="00B856D9"/>
    <w:rsid w:val="00B86AEB"/>
    <w:rsid w:val="00B91A21"/>
    <w:rsid w:val="00BA4D44"/>
    <w:rsid w:val="00BA5150"/>
    <w:rsid w:val="00BB047B"/>
    <w:rsid w:val="00BB119D"/>
    <w:rsid w:val="00BB16D7"/>
    <w:rsid w:val="00BB2496"/>
    <w:rsid w:val="00BB2E33"/>
    <w:rsid w:val="00BB3A2B"/>
    <w:rsid w:val="00BB58EB"/>
    <w:rsid w:val="00BB6398"/>
    <w:rsid w:val="00BB6479"/>
    <w:rsid w:val="00BB7D18"/>
    <w:rsid w:val="00BC0602"/>
    <w:rsid w:val="00BC52F2"/>
    <w:rsid w:val="00BC5F08"/>
    <w:rsid w:val="00BD0372"/>
    <w:rsid w:val="00BD1664"/>
    <w:rsid w:val="00BD2212"/>
    <w:rsid w:val="00BD599D"/>
    <w:rsid w:val="00BD5C24"/>
    <w:rsid w:val="00BD6278"/>
    <w:rsid w:val="00BD6978"/>
    <w:rsid w:val="00BD70DF"/>
    <w:rsid w:val="00BE1EF3"/>
    <w:rsid w:val="00BE231F"/>
    <w:rsid w:val="00BE641A"/>
    <w:rsid w:val="00BE7289"/>
    <w:rsid w:val="00BF2473"/>
    <w:rsid w:val="00BF275A"/>
    <w:rsid w:val="00BF41FE"/>
    <w:rsid w:val="00BF4A39"/>
    <w:rsid w:val="00BF6CD1"/>
    <w:rsid w:val="00C00216"/>
    <w:rsid w:val="00C01490"/>
    <w:rsid w:val="00C03298"/>
    <w:rsid w:val="00C05A13"/>
    <w:rsid w:val="00C1238F"/>
    <w:rsid w:val="00C139CA"/>
    <w:rsid w:val="00C1513A"/>
    <w:rsid w:val="00C1582F"/>
    <w:rsid w:val="00C20FBF"/>
    <w:rsid w:val="00C21756"/>
    <w:rsid w:val="00C22A58"/>
    <w:rsid w:val="00C22F72"/>
    <w:rsid w:val="00C24051"/>
    <w:rsid w:val="00C2558B"/>
    <w:rsid w:val="00C2730A"/>
    <w:rsid w:val="00C27B4B"/>
    <w:rsid w:val="00C3210D"/>
    <w:rsid w:val="00C345EB"/>
    <w:rsid w:val="00C42023"/>
    <w:rsid w:val="00C430C7"/>
    <w:rsid w:val="00C44F59"/>
    <w:rsid w:val="00C47BDE"/>
    <w:rsid w:val="00C47C48"/>
    <w:rsid w:val="00C47EDB"/>
    <w:rsid w:val="00C5064D"/>
    <w:rsid w:val="00C51042"/>
    <w:rsid w:val="00C51429"/>
    <w:rsid w:val="00C521C8"/>
    <w:rsid w:val="00C54813"/>
    <w:rsid w:val="00C55672"/>
    <w:rsid w:val="00C565AE"/>
    <w:rsid w:val="00C57EE1"/>
    <w:rsid w:val="00C62295"/>
    <w:rsid w:val="00C62416"/>
    <w:rsid w:val="00C650E6"/>
    <w:rsid w:val="00C65B98"/>
    <w:rsid w:val="00C66455"/>
    <w:rsid w:val="00C66E06"/>
    <w:rsid w:val="00C66F7A"/>
    <w:rsid w:val="00C677B3"/>
    <w:rsid w:val="00C73658"/>
    <w:rsid w:val="00C74E50"/>
    <w:rsid w:val="00C75266"/>
    <w:rsid w:val="00C804FC"/>
    <w:rsid w:val="00C85599"/>
    <w:rsid w:val="00C856E1"/>
    <w:rsid w:val="00C863E4"/>
    <w:rsid w:val="00C865E1"/>
    <w:rsid w:val="00C875E7"/>
    <w:rsid w:val="00C92DC9"/>
    <w:rsid w:val="00C94E47"/>
    <w:rsid w:val="00C961E2"/>
    <w:rsid w:val="00C972F2"/>
    <w:rsid w:val="00CA1C1B"/>
    <w:rsid w:val="00CA22D0"/>
    <w:rsid w:val="00CA3438"/>
    <w:rsid w:val="00CA44A0"/>
    <w:rsid w:val="00CA6F81"/>
    <w:rsid w:val="00CA77AA"/>
    <w:rsid w:val="00CB0C40"/>
    <w:rsid w:val="00CB30EB"/>
    <w:rsid w:val="00CB3283"/>
    <w:rsid w:val="00CB6678"/>
    <w:rsid w:val="00CB67D5"/>
    <w:rsid w:val="00CC1A4C"/>
    <w:rsid w:val="00CC345A"/>
    <w:rsid w:val="00CC5248"/>
    <w:rsid w:val="00CC59C2"/>
    <w:rsid w:val="00CC73C5"/>
    <w:rsid w:val="00CC7D1D"/>
    <w:rsid w:val="00CD3E30"/>
    <w:rsid w:val="00CD4535"/>
    <w:rsid w:val="00CD4E49"/>
    <w:rsid w:val="00CD7303"/>
    <w:rsid w:val="00CF0413"/>
    <w:rsid w:val="00CF2165"/>
    <w:rsid w:val="00CF30B7"/>
    <w:rsid w:val="00CF5AC1"/>
    <w:rsid w:val="00CF5D71"/>
    <w:rsid w:val="00CF70C0"/>
    <w:rsid w:val="00D0064A"/>
    <w:rsid w:val="00D0144E"/>
    <w:rsid w:val="00D04075"/>
    <w:rsid w:val="00D0637C"/>
    <w:rsid w:val="00D07991"/>
    <w:rsid w:val="00D10077"/>
    <w:rsid w:val="00D103A9"/>
    <w:rsid w:val="00D145F4"/>
    <w:rsid w:val="00D15CEC"/>
    <w:rsid w:val="00D21341"/>
    <w:rsid w:val="00D21440"/>
    <w:rsid w:val="00D246E3"/>
    <w:rsid w:val="00D25431"/>
    <w:rsid w:val="00D26C52"/>
    <w:rsid w:val="00D314C8"/>
    <w:rsid w:val="00D3337A"/>
    <w:rsid w:val="00D34A3A"/>
    <w:rsid w:val="00D35A37"/>
    <w:rsid w:val="00D3612A"/>
    <w:rsid w:val="00D36CE6"/>
    <w:rsid w:val="00D3737F"/>
    <w:rsid w:val="00D37703"/>
    <w:rsid w:val="00D37874"/>
    <w:rsid w:val="00D37A53"/>
    <w:rsid w:val="00D37F25"/>
    <w:rsid w:val="00D42365"/>
    <w:rsid w:val="00D459D6"/>
    <w:rsid w:val="00D475DC"/>
    <w:rsid w:val="00D52F56"/>
    <w:rsid w:val="00D53518"/>
    <w:rsid w:val="00D53C4C"/>
    <w:rsid w:val="00D542D2"/>
    <w:rsid w:val="00D55BBB"/>
    <w:rsid w:val="00D5628E"/>
    <w:rsid w:val="00D57167"/>
    <w:rsid w:val="00D57A48"/>
    <w:rsid w:val="00D60451"/>
    <w:rsid w:val="00D64B41"/>
    <w:rsid w:val="00D64D96"/>
    <w:rsid w:val="00D70ECC"/>
    <w:rsid w:val="00D72DC8"/>
    <w:rsid w:val="00D730BE"/>
    <w:rsid w:val="00D743FC"/>
    <w:rsid w:val="00D74556"/>
    <w:rsid w:val="00D76ADF"/>
    <w:rsid w:val="00D77EEF"/>
    <w:rsid w:val="00D81573"/>
    <w:rsid w:val="00D81704"/>
    <w:rsid w:val="00D8237F"/>
    <w:rsid w:val="00D82715"/>
    <w:rsid w:val="00D867A4"/>
    <w:rsid w:val="00D902F7"/>
    <w:rsid w:val="00D93802"/>
    <w:rsid w:val="00D93FB2"/>
    <w:rsid w:val="00D95BC9"/>
    <w:rsid w:val="00D967FD"/>
    <w:rsid w:val="00D96AA3"/>
    <w:rsid w:val="00D97640"/>
    <w:rsid w:val="00DA0D5B"/>
    <w:rsid w:val="00DA1700"/>
    <w:rsid w:val="00DA2CC0"/>
    <w:rsid w:val="00DA55A3"/>
    <w:rsid w:val="00DA5E1E"/>
    <w:rsid w:val="00DB046D"/>
    <w:rsid w:val="00DB1B2C"/>
    <w:rsid w:val="00DD61F3"/>
    <w:rsid w:val="00DD6CA2"/>
    <w:rsid w:val="00DD7831"/>
    <w:rsid w:val="00DE1664"/>
    <w:rsid w:val="00DE1F6A"/>
    <w:rsid w:val="00DE5561"/>
    <w:rsid w:val="00DE5823"/>
    <w:rsid w:val="00DE62F0"/>
    <w:rsid w:val="00DE643F"/>
    <w:rsid w:val="00DE7150"/>
    <w:rsid w:val="00DF0434"/>
    <w:rsid w:val="00DF16DF"/>
    <w:rsid w:val="00DF5E81"/>
    <w:rsid w:val="00DF5E9E"/>
    <w:rsid w:val="00DF67CC"/>
    <w:rsid w:val="00E0299D"/>
    <w:rsid w:val="00E02BF4"/>
    <w:rsid w:val="00E036ED"/>
    <w:rsid w:val="00E03AD5"/>
    <w:rsid w:val="00E064C8"/>
    <w:rsid w:val="00E0748A"/>
    <w:rsid w:val="00E12C61"/>
    <w:rsid w:val="00E15572"/>
    <w:rsid w:val="00E1578A"/>
    <w:rsid w:val="00E15847"/>
    <w:rsid w:val="00E20E61"/>
    <w:rsid w:val="00E21B99"/>
    <w:rsid w:val="00E23258"/>
    <w:rsid w:val="00E240C0"/>
    <w:rsid w:val="00E4254F"/>
    <w:rsid w:val="00E42B5A"/>
    <w:rsid w:val="00E46032"/>
    <w:rsid w:val="00E4622C"/>
    <w:rsid w:val="00E46754"/>
    <w:rsid w:val="00E47072"/>
    <w:rsid w:val="00E474FD"/>
    <w:rsid w:val="00E51FFB"/>
    <w:rsid w:val="00E52AD3"/>
    <w:rsid w:val="00E57666"/>
    <w:rsid w:val="00E604D5"/>
    <w:rsid w:val="00E60AD0"/>
    <w:rsid w:val="00E63036"/>
    <w:rsid w:val="00E66F5B"/>
    <w:rsid w:val="00E702D4"/>
    <w:rsid w:val="00E70520"/>
    <w:rsid w:val="00E71147"/>
    <w:rsid w:val="00E71488"/>
    <w:rsid w:val="00E74BE7"/>
    <w:rsid w:val="00E74D7C"/>
    <w:rsid w:val="00E756D4"/>
    <w:rsid w:val="00E772EE"/>
    <w:rsid w:val="00E77EBC"/>
    <w:rsid w:val="00E80550"/>
    <w:rsid w:val="00E821D0"/>
    <w:rsid w:val="00E83D1D"/>
    <w:rsid w:val="00E925EA"/>
    <w:rsid w:val="00E928CE"/>
    <w:rsid w:val="00E935BC"/>
    <w:rsid w:val="00E942DC"/>
    <w:rsid w:val="00E95D1F"/>
    <w:rsid w:val="00E960D3"/>
    <w:rsid w:val="00EA1E01"/>
    <w:rsid w:val="00EA61D0"/>
    <w:rsid w:val="00EB1101"/>
    <w:rsid w:val="00EB1674"/>
    <w:rsid w:val="00EB25B4"/>
    <w:rsid w:val="00EB2C37"/>
    <w:rsid w:val="00EB3646"/>
    <w:rsid w:val="00EB4F63"/>
    <w:rsid w:val="00EB53E7"/>
    <w:rsid w:val="00EB688F"/>
    <w:rsid w:val="00EB698E"/>
    <w:rsid w:val="00EB7D11"/>
    <w:rsid w:val="00EC1041"/>
    <w:rsid w:val="00EC15D4"/>
    <w:rsid w:val="00EC4169"/>
    <w:rsid w:val="00EC42C4"/>
    <w:rsid w:val="00EC4497"/>
    <w:rsid w:val="00EC450A"/>
    <w:rsid w:val="00EC649D"/>
    <w:rsid w:val="00EC78AF"/>
    <w:rsid w:val="00ED02D4"/>
    <w:rsid w:val="00ED0711"/>
    <w:rsid w:val="00ED2EE7"/>
    <w:rsid w:val="00ED405E"/>
    <w:rsid w:val="00ED47E1"/>
    <w:rsid w:val="00ED5440"/>
    <w:rsid w:val="00ED6A42"/>
    <w:rsid w:val="00ED73F6"/>
    <w:rsid w:val="00ED74B4"/>
    <w:rsid w:val="00ED7BB3"/>
    <w:rsid w:val="00EE0578"/>
    <w:rsid w:val="00EE0617"/>
    <w:rsid w:val="00EE1307"/>
    <w:rsid w:val="00EE71F2"/>
    <w:rsid w:val="00EE731E"/>
    <w:rsid w:val="00EE7E0E"/>
    <w:rsid w:val="00EF04AF"/>
    <w:rsid w:val="00EF04C1"/>
    <w:rsid w:val="00EF12A4"/>
    <w:rsid w:val="00EF4204"/>
    <w:rsid w:val="00EF4A3D"/>
    <w:rsid w:val="00EF5DFB"/>
    <w:rsid w:val="00EF631B"/>
    <w:rsid w:val="00EF7EE0"/>
    <w:rsid w:val="00F01A70"/>
    <w:rsid w:val="00F02A88"/>
    <w:rsid w:val="00F03AA9"/>
    <w:rsid w:val="00F04192"/>
    <w:rsid w:val="00F06D5A"/>
    <w:rsid w:val="00F07DFF"/>
    <w:rsid w:val="00F135E2"/>
    <w:rsid w:val="00F140F5"/>
    <w:rsid w:val="00F142DB"/>
    <w:rsid w:val="00F15A66"/>
    <w:rsid w:val="00F169B4"/>
    <w:rsid w:val="00F17336"/>
    <w:rsid w:val="00F21484"/>
    <w:rsid w:val="00F214E0"/>
    <w:rsid w:val="00F230CC"/>
    <w:rsid w:val="00F24E96"/>
    <w:rsid w:val="00F2684C"/>
    <w:rsid w:val="00F268BA"/>
    <w:rsid w:val="00F26A9F"/>
    <w:rsid w:val="00F272C4"/>
    <w:rsid w:val="00F30F01"/>
    <w:rsid w:val="00F32F67"/>
    <w:rsid w:val="00F33B86"/>
    <w:rsid w:val="00F35301"/>
    <w:rsid w:val="00F3565A"/>
    <w:rsid w:val="00F402F7"/>
    <w:rsid w:val="00F40C75"/>
    <w:rsid w:val="00F415B7"/>
    <w:rsid w:val="00F41FEB"/>
    <w:rsid w:val="00F427F3"/>
    <w:rsid w:val="00F465FB"/>
    <w:rsid w:val="00F46C05"/>
    <w:rsid w:val="00F479FE"/>
    <w:rsid w:val="00F50131"/>
    <w:rsid w:val="00F50B9D"/>
    <w:rsid w:val="00F5200F"/>
    <w:rsid w:val="00F526E3"/>
    <w:rsid w:val="00F53F73"/>
    <w:rsid w:val="00F5472C"/>
    <w:rsid w:val="00F557A4"/>
    <w:rsid w:val="00F57A15"/>
    <w:rsid w:val="00F60648"/>
    <w:rsid w:val="00F64F53"/>
    <w:rsid w:val="00F664A4"/>
    <w:rsid w:val="00F715BC"/>
    <w:rsid w:val="00F72712"/>
    <w:rsid w:val="00F732DA"/>
    <w:rsid w:val="00F7500B"/>
    <w:rsid w:val="00F77442"/>
    <w:rsid w:val="00F8065A"/>
    <w:rsid w:val="00F81E71"/>
    <w:rsid w:val="00F8339C"/>
    <w:rsid w:val="00F855B5"/>
    <w:rsid w:val="00F86AF2"/>
    <w:rsid w:val="00F87329"/>
    <w:rsid w:val="00F87B7E"/>
    <w:rsid w:val="00FA23BF"/>
    <w:rsid w:val="00FA7FA9"/>
    <w:rsid w:val="00FB27B0"/>
    <w:rsid w:val="00FB3EE2"/>
    <w:rsid w:val="00FB5B34"/>
    <w:rsid w:val="00FB5D7B"/>
    <w:rsid w:val="00FB6B7D"/>
    <w:rsid w:val="00FC2AD8"/>
    <w:rsid w:val="00FC3484"/>
    <w:rsid w:val="00FC37E8"/>
    <w:rsid w:val="00FC5478"/>
    <w:rsid w:val="00FD0758"/>
    <w:rsid w:val="00FD089E"/>
    <w:rsid w:val="00FD1E29"/>
    <w:rsid w:val="00FD1FE9"/>
    <w:rsid w:val="00FD507D"/>
    <w:rsid w:val="00FD55C6"/>
    <w:rsid w:val="00FD579B"/>
    <w:rsid w:val="00FE0041"/>
    <w:rsid w:val="00FE2502"/>
    <w:rsid w:val="00FE2DF2"/>
    <w:rsid w:val="00FE509D"/>
    <w:rsid w:val="00FE5F5D"/>
    <w:rsid w:val="00FF5831"/>
    <w:rsid w:val="00FF6D98"/>
    <w:rsid w:val="01FEB77B"/>
    <w:rsid w:val="0498E180"/>
    <w:rsid w:val="05162D2D"/>
    <w:rsid w:val="0734D387"/>
    <w:rsid w:val="086265CD"/>
    <w:rsid w:val="08B1C122"/>
    <w:rsid w:val="08CC9D57"/>
    <w:rsid w:val="099156EB"/>
    <w:rsid w:val="0BD62C29"/>
    <w:rsid w:val="0DFC7AE8"/>
    <w:rsid w:val="0E0EDDEF"/>
    <w:rsid w:val="0E210496"/>
    <w:rsid w:val="0E68788A"/>
    <w:rsid w:val="10D89117"/>
    <w:rsid w:val="114C8E11"/>
    <w:rsid w:val="1E92C722"/>
    <w:rsid w:val="1F80C3C5"/>
    <w:rsid w:val="21B24DAC"/>
    <w:rsid w:val="23B4E030"/>
    <w:rsid w:val="23D3B4C4"/>
    <w:rsid w:val="24226F06"/>
    <w:rsid w:val="2484D32B"/>
    <w:rsid w:val="26451DF4"/>
    <w:rsid w:val="2689957D"/>
    <w:rsid w:val="27186E03"/>
    <w:rsid w:val="281BA029"/>
    <w:rsid w:val="2FDB2B7E"/>
    <w:rsid w:val="30A3AD22"/>
    <w:rsid w:val="31FEF91D"/>
    <w:rsid w:val="339F3111"/>
    <w:rsid w:val="39353223"/>
    <w:rsid w:val="3AFD7DF0"/>
    <w:rsid w:val="3CDD237A"/>
    <w:rsid w:val="3CFF3538"/>
    <w:rsid w:val="3D6F0539"/>
    <w:rsid w:val="3F023391"/>
    <w:rsid w:val="444AD7BA"/>
    <w:rsid w:val="48882924"/>
    <w:rsid w:val="499EC440"/>
    <w:rsid w:val="49F188E4"/>
    <w:rsid w:val="4AD6C675"/>
    <w:rsid w:val="4AF81EDB"/>
    <w:rsid w:val="4B54539E"/>
    <w:rsid w:val="4B621278"/>
    <w:rsid w:val="4BBCFDF6"/>
    <w:rsid w:val="4F5DD29C"/>
    <w:rsid w:val="4F8CEFB4"/>
    <w:rsid w:val="51A12AE1"/>
    <w:rsid w:val="51A4F525"/>
    <w:rsid w:val="51F1E78E"/>
    <w:rsid w:val="55A1A1F1"/>
    <w:rsid w:val="567F3DD6"/>
    <w:rsid w:val="56A57813"/>
    <w:rsid w:val="578A10B5"/>
    <w:rsid w:val="582CAC02"/>
    <w:rsid w:val="58BF06F3"/>
    <w:rsid w:val="59B241B0"/>
    <w:rsid w:val="5A845AD6"/>
    <w:rsid w:val="5B23B155"/>
    <w:rsid w:val="5B6E7325"/>
    <w:rsid w:val="5B7E7194"/>
    <w:rsid w:val="5C20260E"/>
    <w:rsid w:val="5DBE76EF"/>
    <w:rsid w:val="5E119EC3"/>
    <w:rsid w:val="607BF6B9"/>
    <w:rsid w:val="60D70E71"/>
    <w:rsid w:val="61AB09B3"/>
    <w:rsid w:val="626F8B08"/>
    <w:rsid w:val="63A64CC4"/>
    <w:rsid w:val="6402CCFD"/>
    <w:rsid w:val="67A6A0B4"/>
    <w:rsid w:val="698E081B"/>
    <w:rsid w:val="6D2B17D7"/>
    <w:rsid w:val="6D64BBB6"/>
    <w:rsid w:val="6E06349C"/>
    <w:rsid w:val="7065B825"/>
    <w:rsid w:val="71F769B8"/>
    <w:rsid w:val="72CF02E7"/>
    <w:rsid w:val="75324C64"/>
    <w:rsid w:val="761B12B8"/>
    <w:rsid w:val="77CC98A3"/>
    <w:rsid w:val="78A4ED5A"/>
    <w:rsid w:val="7BD1DE78"/>
    <w:rsid w:val="7CA5F99C"/>
    <w:rsid w:val="7F1AE161"/>
    <w:rsid w:val="7F519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position-vertical-relative:line" fill="f" fillcolor="white" stroke="f">
      <v:fill color="white" on="f"/>
      <v:stroke on="f"/>
    </o:shapedefaults>
    <o:shapelayout v:ext="edit">
      <o:idmap v:ext="edit" data="2"/>
    </o:shapelayout>
  </w:shapeDefaults>
  <w:decimalSymbol w:val="."/>
  <w:listSeparator w:val=","/>
  <w14:docId w14:val="06EE21A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uiPriority="39"/>
    <w:lsdException w:name="toc 2" w:uiPriority="39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Normal Indent" w:locked="1"/>
    <w:lsdException w:name="annotation text" w:qFormat="1"/>
    <w:lsdException w:name="index heading" w:locked="1"/>
    <w:lsdException w:name="caption" w:semiHidden="1" w:unhideWhenUsed="1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qFormat="1"/>
    <w:lsdException w:name="lin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qFormat="1"/>
    <w:lsdException w:name="Closing" w:locked="1"/>
    <w:lsdException w:name="Signature" w:locked="1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uiPriority="99"/>
    <w:lsdException w:name="Strong" w:locked="1" w:uiPriority="22" w:qFormat="1"/>
    <w:lsdException w:name="Emphasis" w:locked="1" w:qFormat="1"/>
    <w:lsdException w:name="Document Map" w:locked="1"/>
    <w:lsdException w:name="Plain Text" w:locked="1"/>
    <w:lsdException w:name="E-mail Signature" w:locked="1"/>
    <w:lsdException w:name="Normal (Web)" w:locked="1" w:uiPriority="99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 w:semiHidden="1" w:unhideWhenUs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semiHidden="1" w:unhideWhenUs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C22D1"/>
    <w:rPr>
      <w:sz w:val="24"/>
      <w:szCs w:val="24"/>
      <w:lang w:eastAsia="en-US"/>
    </w:rPr>
  </w:style>
  <w:style w:type="paragraph" w:styleId="Heading1">
    <w:name w:val="heading 1"/>
    <w:basedOn w:val="Normal"/>
    <w:next w:val="NICEnormal"/>
    <w:link w:val="Heading1Char"/>
    <w:qFormat/>
    <w:rsid w:val="007A4EEE"/>
    <w:pPr>
      <w:keepNext/>
      <w:spacing w:before="240" w:after="120" w:line="360" w:lineRule="auto"/>
      <w:outlineLvl w:val="0"/>
    </w:pPr>
    <w:rPr>
      <w:rFonts w:ascii="Arial" w:hAnsi="Arial" w:cs="Arial"/>
      <w:b/>
      <w:bCs/>
      <w:kern w:val="32"/>
      <w:sz w:val="32"/>
      <w:szCs w:val="32"/>
      <w:lang w:val="en-US"/>
    </w:rPr>
  </w:style>
  <w:style w:type="paragraph" w:styleId="Heading2">
    <w:name w:val="heading 2"/>
    <w:basedOn w:val="Normal"/>
    <w:next w:val="NICEnormal"/>
    <w:link w:val="Heading2Char"/>
    <w:qFormat/>
    <w:rsid w:val="006A721F"/>
    <w:pPr>
      <w:keepNext/>
      <w:spacing w:before="240" w:after="60" w:line="360" w:lineRule="auto"/>
      <w:outlineLvl w:val="1"/>
    </w:pPr>
    <w:rPr>
      <w:rFonts w:ascii="Arial" w:hAnsi="Arial" w:cs="Arial"/>
      <w:b/>
      <w:bCs/>
      <w:i/>
      <w:iCs/>
      <w:sz w:val="28"/>
      <w:szCs w:val="28"/>
      <w:lang w:val="en-US"/>
    </w:rPr>
  </w:style>
  <w:style w:type="paragraph" w:styleId="Heading3">
    <w:name w:val="heading 3"/>
    <w:basedOn w:val="Normal"/>
    <w:next w:val="NICEnormal"/>
    <w:qFormat/>
    <w:rsid w:val="007A4EEE"/>
    <w:pPr>
      <w:keepNext/>
      <w:spacing w:before="240" w:after="60" w:line="360" w:lineRule="auto"/>
      <w:outlineLvl w:val="2"/>
    </w:pPr>
    <w:rPr>
      <w:rFonts w:ascii="Arial" w:hAnsi="Arial" w:cs="Arial"/>
      <w:b/>
      <w:bCs/>
    </w:rPr>
  </w:style>
  <w:style w:type="paragraph" w:styleId="Heading4">
    <w:name w:val="heading 4"/>
    <w:basedOn w:val="Normal"/>
    <w:next w:val="NICEnormal"/>
    <w:qFormat/>
    <w:rsid w:val="007A4EEE"/>
    <w:pPr>
      <w:keepNext/>
      <w:spacing w:before="240" w:after="60" w:line="360" w:lineRule="auto"/>
      <w:outlineLvl w:val="3"/>
    </w:pPr>
    <w:rPr>
      <w:rFonts w:ascii="Arial" w:hAnsi="Arial"/>
      <w:b/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ICEnormal">
    <w:name w:val="NICE normal"/>
    <w:link w:val="NICEnormalChar"/>
    <w:qFormat/>
    <w:rsid w:val="0094366C"/>
    <w:pPr>
      <w:spacing w:after="240" w:line="360" w:lineRule="auto"/>
    </w:pPr>
    <w:rPr>
      <w:rFonts w:ascii="Arial" w:hAnsi="Arial"/>
      <w:sz w:val="24"/>
      <w:szCs w:val="24"/>
      <w:lang w:val="en-US" w:eastAsia="en-US"/>
    </w:rPr>
  </w:style>
  <w:style w:type="paragraph" w:customStyle="1" w:styleId="Unnumberedboldheading">
    <w:name w:val="Unnumbered bold heading"/>
    <w:next w:val="NICEnormal"/>
    <w:rsid w:val="005C762E"/>
    <w:pPr>
      <w:keepNext/>
      <w:widowControl w:val="0"/>
      <w:spacing w:after="120"/>
    </w:pPr>
    <w:rPr>
      <w:rFonts w:ascii="Arial" w:hAnsi="Arial"/>
      <w:b/>
      <w:sz w:val="24"/>
      <w:szCs w:val="24"/>
      <w:lang w:val="en-US" w:eastAsia="en-US"/>
    </w:rPr>
  </w:style>
  <w:style w:type="paragraph" w:customStyle="1" w:styleId="Unnumbereditalicheading">
    <w:name w:val="Unnumbered italic heading"/>
    <w:next w:val="NICEnormal"/>
    <w:locked/>
    <w:rsid w:val="005C762E"/>
    <w:pPr>
      <w:keepNext/>
      <w:widowControl w:val="0"/>
      <w:spacing w:after="120"/>
    </w:pPr>
    <w:rPr>
      <w:rFonts w:ascii="Arial" w:hAnsi="Arial"/>
      <w:i/>
      <w:sz w:val="24"/>
      <w:szCs w:val="24"/>
      <w:lang w:val="en-US" w:eastAsia="en-US"/>
    </w:rPr>
  </w:style>
  <w:style w:type="paragraph" w:customStyle="1" w:styleId="NICEnormalsinglespacing">
    <w:name w:val="NICE normal single spacing"/>
    <w:basedOn w:val="NICEnormal"/>
    <w:rsid w:val="005C762E"/>
    <w:pPr>
      <w:spacing w:line="240" w:lineRule="auto"/>
    </w:pPr>
  </w:style>
  <w:style w:type="paragraph" w:styleId="Title">
    <w:name w:val="Title"/>
    <w:basedOn w:val="Normal"/>
    <w:next w:val="NICEnormal"/>
    <w:qFormat/>
    <w:rsid w:val="00BB047B"/>
    <w:pPr>
      <w:keepNext/>
      <w:spacing w:before="240" w:after="240"/>
      <w:jc w:val="center"/>
      <w:outlineLvl w:val="0"/>
    </w:pPr>
    <w:rPr>
      <w:rFonts w:ascii="Arial" w:hAnsi="Arial" w:cs="Arial"/>
      <w:b/>
      <w:bCs/>
      <w:kern w:val="28"/>
      <w:sz w:val="40"/>
      <w:szCs w:val="32"/>
    </w:rPr>
  </w:style>
  <w:style w:type="paragraph" w:customStyle="1" w:styleId="Title16pt">
    <w:name w:val="Title 16 pt"/>
    <w:basedOn w:val="Title"/>
    <w:rsid w:val="005C762E"/>
    <w:rPr>
      <w:sz w:val="32"/>
    </w:rPr>
  </w:style>
  <w:style w:type="paragraph" w:customStyle="1" w:styleId="Introtext">
    <w:name w:val="Intro text"/>
    <w:basedOn w:val="NICEnormalsinglespacing"/>
    <w:locked/>
    <w:rsid w:val="005C762E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120"/>
    </w:pPr>
  </w:style>
  <w:style w:type="paragraph" w:customStyle="1" w:styleId="Numberedheading1">
    <w:name w:val="Numbered heading 1"/>
    <w:basedOn w:val="Heading1"/>
    <w:next w:val="NICEnormal"/>
    <w:link w:val="Numberedheading1CharChar"/>
    <w:rsid w:val="00C51429"/>
    <w:pPr>
      <w:numPr>
        <w:numId w:val="7"/>
      </w:numPr>
    </w:pPr>
    <w:rPr>
      <w:rFonts w:cs="Times New Roman"/>
      <w:szCs w:val="24"/>
      <w:lang w:val="x-none"/>
    </w:rPr>
  </w:style>
  <w:style w:type="paragraph" w:customStyle="1" w:styleId="Numberedheading2">
    <w:name w:val="Numbered heading 2"/>
    <w:basedOn w:val="Heading2"/>
    <w:next w:val="NICEnormal"/>
    <w:link w:val="Numberedheading2Char"/>
    <w:rsid w:val="00C51429"/>
    <w:pPr>
      <w:numPr>
        <w:ilvl w:val="1"/>
        <w:numId w:val="7"/>
      </w:numPr>
    </w:pPr>
  </w:style>
  <w:style w:type="paragraph" w:customStyle="1" w:styleId="Numberedheading3">
    <w:name w:val="Numbered heading 3"/>
    <w:basedOn w:val="Heading3"/>
    <w:next w:val="NICEnormal"/>
    <w:rsid w:val="00C51429"/>
    <w:pPr>
      <w:numPr>
        <w:ilvl w:val="2"/>
        <w:numId w:val="7"/>
      </w:numPr>
    </w:pPr>
    <w:rPr>
      <w:sz w:val="26"/>
    </w:rPr>
  </w:style>
  <w:style w:type="paragraph" w:customStyle="1" w:styleId="Numberedlevel4text">
    <w:name w:val="Numbered level 4 text"/>
    <w:basedOn w:val="NICEnormal"/>
    <w:next w:val="NICEnormal"/>
    <w:rsid w:val="0092657D"/>
    <w:pPr>
      <w:numPr>
        <w:ilvl w:val="3"/>
        <w:numId w:val="7"/>
      </w:numPr>
    </w:pPr>
  </w:style>
  <w:style w:type="paragraph" w:customStyle="1" w:styleId="Numberedlevel3text">
    <w:name w:val="Numbered level 3 text"/>
    <w:basedOn w:val="Numberedheading3"/>
    <w:rsid w:val="0092657D"/>
    <w:pPr>
      <w:keepNext w:val="0"/>
      <w:spacing w:before="0" w:after="240"/>
    </w:pPr>
    <w:rPr>
      <w:b w:val="0"/>
      <w:sz w:val="24"/>
    </w:rPr>
  </w:style>
  <w:style w:type="paragraph" w:customStyle="1" w:styleId="Bulletindent2">
    <w:name w:val="Bullet indent 2"/>
    <w:basedOn w:val="NICEnormal"/>
    <w:rsid w:val="00D3612A"/>
    <w:pPr>
      <w:numPr>
        <w:ilvl w:val="1"/>
        <w:numId w:val="3"/>
      </w:numPr>
      <w:spacing w:after="0"/>
      <w:ind w:left="1702" w:hanging="284"/>
    </w:pPr>
  </w:style>
  <w:style w:type="paragraph" w:customStyle="1" w:styleId="Title16ptleft">
    <w:name w:val="Title 16 pt left"/>
    <w:basedOn w:val="Title16pt"/>
    <w:locked/>
    <w:rsid w:val="00D37F25"/>
    <w:pPr>
      <w:jc w:val="left"/>
    </w:pPr>
  </w:style>
  <w:style w:type="paragraph" w:customStyle="1" w:styleId="Bulletleft1">
    <w:name w:val="Bullet left 1"/>
    <w:basedOn w:val="NICEnormal"/>
    <w:rsid w:val="00D37F25"/>
    <w:pPr>
      <w:spacing w:after="0"/>
    </w:pPr>
  </w:style>
  <w:style w:type="paragraph" w:customStyle="1" w:styleId="Bulletleft2">
    <w:name w:val="Bullet left 2"/>
    <w:basedOn w:val="NICEnormal"/>
    <w:rsid w:val="008505C3"/>
    <w:pPr>
      <w:numPr>
        <w:ilvl w:val="1"/>
        <w:numId w:val="1"/>
      </w:numPr>
      <w:spacing w:after="0"/>
      <w:ind w:left="568" w:hanging="284"/>
    </w:pPr>
  </w:style>
  <w:style w:type="paragraph" w:customStyle="1" w:styleId="Bulletleft3">
    <w:name w:val="Bullet left 3"/>
    <w:basedOn w:val="NICEnormal"/>
    <w:rsid w:val="008505C3"/>
    <w:pPr>
      <w:numPr>
        <w:ilvl w:val="2"/>
        <w:numId w:val="2"/>
      </w:numPr>
      <w:spacing w:after="0"/>
    </w:pPr>
  </w:style>
  <w:style w:type="paragraph" w:customStyle="1" w:styleId="Bulletindent1">
    <w:name w:val="Bullet indent 1"/>
    <w:basedOn w:val="NICEnormal"/>
    <w:rsid w:val="00D3612A"/>
    <w:pPr>
      <w:numPr>
        <w:numId w:val="5"/>
      </w:numPr>
      <w:spacing w:after="0"/>
    </w:pPr>
  </w:style>
  <w:style w:type="character" w:customStyle="1" w:styleId="Heading1Char">
    <w:name w:val="Heading 1 Char"/>
    <w:link w:val="Heading1"/>
    <w:rsid w:val="00AB2948"/>
    <w:rPr>
      <w:rFonts w:ascii="Arial" w:hAnsi="Arial" w:cs="Arial"/>
      <w:b/>
      <w:bCs/>
      <w:kern w:val="32"/>
      <w:sz w:val="32"/>
      <w:szCs w:val="32"/>
      <w:lang w:val="en-US" w:eastAsia="en-US" w:bidi="ar-SA"/>
    </w:rPr>
  </w:style>
  <w:style w:type="character" w:customStyle="1" w:styleId="Numberedheading1CharChar">
    <w:name w:val="Numbered heading 1 Char Char"/>
    <w:link w:val="Numberedheading1"/>
    <w:rsid w:val="00C51429"/>
    <w:rPr>
      <w:rFonts w:ascii="Arial" w:hAnsi="Arial" w:cs="Arial"/>
      <w:b/>
      <w:bCs/>
      <w:kern w:val="32"/>
      <w:sz w:val="32"/>
      <w:szCs w:val="24"/>
      <w:lang w:eastAsia="en-US"/>
    </w:rPr>
  </w:style>
  <w:style w:type="paragraph" w:customStyle="1" w:styleId="Bulletindent3">
    <w:name w:val="Bullet indent 3"/>
    <w:basedOn w:val="NICEnormal"/>
    <w:rsid w:val="00D3612A"/>
    <w:pPr>
      <w:numPr>
        <w:ilvl w:val="2"/>
        <w:numId w:val="4"/>
      </w:numPr>
      <w:spacing w:after="0"/>
    </w:pPr>
  </w:style>
  <w:style w:type="paragraph" w:customStyle="1" w:styleId="Numberedlevel2text">
    <w:name w:val="Numbered level 2 text"/>
    <w:basedOn w:val="Numberedheading2"/>
    <w:rsid w:val="0092657D"/>
    <w:pPr>
      <w:keepNext w:val="0"/>
      <w:spacing w:before="0" w:after="240"/>
    </w:pPr>
    <w:rPr>
      <w:b w:val="0"/>
      <w:i w:val="0"/>
      <w:sz w:val="24"/>
    </w:rPr>
  </w:style>
  <w:style w:type="paragraph" w:customStyle="1" w:styleId="Bulletleft1last">
    <w:name w:val="Bullet left 1 last"/>
    <w:basedOn w:val="NICEnormal"/>
    <w:rsid w:val="00953ADF"/>
    <w:pPr>
      <w:numPr>
        <w:numId w:val="8"/>
      </w:numPr>
    </w:pPr>
    <w:rPr>
      <w:rFonts w:cs="Arial"/>
    </w:rPr>
  </w:style>
  <w:style w:type="paragraph" w:customStyle="1" w:styleId="boxedtext">
    <w:name w:val="boxed text"/>
    <w:basedOn w:val="NICEnormal"/>
    <w:locked/>
    <w:rsid w:val="00D37F25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E6E6E6"/>
    </w:pPr>
  </w:style>
  <w:style w:type="paragraph" w:styleId="Header">
    <w:name w:val="header"/>
    <w:basedOn w:val="NICEnormalsinglespacing"/>
    <w:rsid w:val="0053387C"/>
    <w:pPr>
      <w:tabs>
        <w:tab w:val="center" w:pos="4153"/>
        <w:tab w:val="right" w:pos="8306"/>
      </w:tabs>
    </w:pPr>
  </w:style>
  <w:style w:type="paragraph" w:styleId="Footer">
    <w:name w:val="footer"/>
    <w:basedOn w:val="NICEnormalsinglespacing"/>
    <w:rsid w:val="0053387C"/>
    <w:pPr>
      <w:tabs>
        <w:tab w:val="center" w:pos="4153"/>
        <w:tab w:val="right" w:pos="8306"/>
      </w:tabs>
    </w:pPr>
  </w:style>
  <w:style w:type="character" w:styleId="PageNumber">
    <w:name w:val="page number"/>
    <w:rsid w:val="00A86D3D"/>
    <w:rPr>
      <w:rFonts w:ascii="Arial" w:hAnsi="Arial"/>
      <w:sz w:val="24"/>
    </w:rPr>
  </w:style>
  <w:style w:type="paragraph" w:customStyle="1" w:styleId="Bulletindent1last">
    <w:name w:val="Bullet indent 1 last"/>
    <w:basedOn w:val="NICEnormal"/>
    <w:next w:val="NICEnormal"/>
    <w:rsid w:val="00953ADF"/>
    <w:pPr>
      <w:numPr>
        <w:numId w:val="9"/>
      </w:numPr>
    </w:pPr>
  </w:style>
  <w:style w:type="paragraph" w:customStyle="1" w:styleId="NICEnormalindented">
    <w:name w:val="NICE normal indented"/>
    <w:basedOn w:val="NICEnormal"/>
    <w:rsid w:val="00BD0372"/>
    <w:pPr>
      <w:tabs>
        <w:tab w:val="left" w:pos="1134"/>
      </w:tabs>
      <w:ind w:left="1134"/>
    </w:pPr>
  </w:style>
  <w:style w:type="paragraph" w:customStyle="1" w:styleId="Tabletitle">
    <w:name w:val="Table title"/>
    <w:basedOn w:val="NICEnormal"/>
    <w:next w:val="NICEnormal"/>
    <w:rsid w:val="00BD0372"/>
    <w:pPr>
      <w:keepNext/>
      <w:spacing w:after="60" w:line="240" w:lineRule="auto"/>
    </w:pPr>
    <w:rPr>
      <w:b/>
    </w:rPr>
  </w:style>
  <w:style w:type="paragraph" w:customStyle="1" w:styleId="Tabletext">
    <w:name w:val="Table text"/>
    <w:basedOn w:val="NICEnormalsinglespacing"/>
    <w:rsid w:val="00BD0372"/>
    <w:pPr>
      <w:keepNext/>
      <w:spacing w:after="60"/>
    </w:pPr>
    <w:rPr>
      <w:sz w:val="22"/>
    </w:rPr>
  </w:style>
  <w:style w:type="paragraph" w:customStyle="1" w:styleId="TabletextIPoverviewevidence">
    <w:name w:val="Table text IP overview evidence"/>
    <w:basedOn w:val="Tabletext"/>
    <w:locked/>
    <w:rsid w:val="00BD0372"/>
    <w:rPr>
      <w:sz w:val="18"/>
    </w:rPr>
  </w:style>
  <w:style w:type="paragraph" w:customStyle="1" w:styleId="Introtextbullet">
    <w:name w:val="Intro text bullet"/>
    <w:basedOn w:val="Introtext"/>
    <w:locked/>
    <w:rsid w:val="00E0748A"/>
    <w:pPr>
      <w:numPr>
        <w:numId w:val="20"/>
      </w:numPr>
    </w:pPr>
  </w:style>
  <w:style w:type="paragraph" w:customStyle="1" w:styleId="Section2paragraphs">
    <w:name w:val="Section 2 paragraphs"/>
    <w:basedOn w:val="NICEnormal"/>
    <w:locked/>
    <w:rsid w:val="00161AA0"/>
    <w:pPr>
      <w:numPr>
        <w:numId w:val="10"/>
      </w:numPr>
    </w:pPr>
  </w:style>
  <w:style w:type="paragraph" w:customStyle="1" w:styleId="Section3paragraphs">
    <w:name w:val="Section 3 paragraphs"/>
    <w:basedOn w:val="NICEnormal"/>
    <w:locked/>
    <w:rsid w:val="00D37703"/>
    <w:pPr>
      <w:numPr>
        <w:numId w:val="11"/>
      </w:numPr>
    </w:pPr>
  </w:style>
  <w:style w:type="paragraph" w:customStyle="1" w:styleId="Section411paragraphs">
    <w:name w:val="Section 4.1.1 paragraphs"/>
    <w:basedOn w:val="NICEnormal"/>
    <w:locked/>
    <w:rsid w:val="00D37703"/>
    <w:pPr>
      <w:numPr>
        <w:numId w:val="12"/>
      </w:numPr>
    </w:pPr>
  </w:style>
  <w:style w:type="character" w:customStyle="1" w:styleId="Heading2Char">
    <w:name w:val="Heading 2 Char"/>
    <w:link w:val="Heading2"/>
    <w:rsid w:val="00D37703"/>
    <w:rPr>
      <w:rFonts w:ascii="Arial" w:hAnsi="Arial" w:cs="Arial"/>
      <w:b/>
      <w:bCs/>
      <w:i/>
      <w:iCs/>
      <w:sz w:val="28"/>
      <w:szCs w:val="28"/>
      <w:lang w:val="en-US" w:eastAsia="en-US" w:bidi="ar-SA"/>
    </w:rPr>
  </w:style>
  <w:style w:type="character" w:customStyle="1" w:styleId="Numberedheading2Char">
    <w:name w:val="Numbered heading 2 Char"/>
    <w:link w:val="Numberedheading2"/>
    <w:rsid w:val="00D37703"/>
    <w:rPr>
      <w:rFonts w:ascii="Arial" w:hAnsi="Arial" w:cs="Arial"/>
      <w:b/>
      <w:bCs/>
      <w:i/>
      <w:iCs/>
      <w:sz w:val="28"/>
      <w:szCs w:val="28"/>
      <w:lang w:val="en-US" w:eastAsia="en-US" w:bidi="ar-SA"/>
    </w:rPr>
  </w:style>
  <w:style w:type="paragraph" w:customStyle="1" w:styleId="Section412paragraphs">
    <w:name w:val="Section 4.1.2 paragraphs"/>
    <w:basedOn w:val="NICEnormal"/>
    <w:locked/>
    <w:rsid w:val="00D37703"/>
    <w:pPr>
      <w:numPr>
        <w:numId w:val="13"/>
      </w:numPr>
    </w:pPr>
  </w:style>
  <w:style w:type="paragraph" w:customStyle="1" w:styleId="Section42paragraphs">
    <w:name w:val="Section 4.2 paragraphs"/>
    <w:basedOn w:val="NICEnormal"/>
    <w:locked/>
    <w:rsid w:val="00D37703"/>
    <w:pPr>
      <w:numPr>
        <w:numId w:val="14"/>
      </w:numPr>
    </w:pPr>
  </w:style>
  <w:style w:type="paragraph" w:customStyle="1" w:styleId="Section43paragraphs">
    <w:name w:val="Section 4.3 paragraphs"/>
    <w:basedOn w:val="NICEnormal"/>
    <w:locked/>
    <w:rsid w:val="00AB39FA"/>
    <w:pPr>
      <w:numPr>
        <w:numId w:val="15"/>
      </w:numPr>
    </w:pPr>
  </w:style>
  <w:style w:type="paragraph" w:customStyle="1" w:styleId="Appendixlevel1">
    <w:name w:val="Appendix level 1"/>
    <w:basedOn w:val="NICEnormal"/>
    <w:autoRedefine/>
    <w:locked/>
    <w:rsid w:val="004B514C"/>
    <w:pPr>
      <w:numPr>
        <w:numId w:val="16"/>
      </w:numPr>
      <w:spacing w:before="240"/>
    </w:pPr>
  </w:style>
  <w:style w:type="paragraph" w:customStyle="1" w:styleId="Appendixlevel2">
    <w:name w:val="Appendix level 2"/>
    <w:basedOn w:val="NICEnormal"/>
    <w:locked/>
    <w:rsid w:val="00612789"/>
    <w:pPr>
      <w:numPr>
        <w:numId w:val="17"/>
      </w:numPr>
      <w:spacing w:before="240"/>
    </w:pPr>
  </w:style>
  <w:style w:type="paragraph" w:customStyle="1" w:styleId="Appendixbullet">
    <w:name w:val="Appendix bullet"/>
    <w:basedOn w:val="NICEnormal"/>
    <w:locked/>
    <w:rsid w:val="004B514C"/>
    <w:pPr>
      <w:numPr>
        <w:numId w:val="18"/>
      </w:numPr>
      <w:spacing w:after="0" w:line="240" w:lineRule="auto"/>
    </w:pPr>
  </w:style>
  <w:style w:type="paragraph" w:customStyle="1" w:styleId="Appendixreferences">
    <w:name w:val="Appendix references"/>
    <w:basedOn w:val="NICEnormal"/>
    <w:locked/>
    <w:rsid w:val="00E0748A"/>
    <w:pPr>
      <w:tabs>
        <w:tab w:val="left" w:pos="567"/>
      </w:tabs>
      <w:spacing w:after="120"/>
      <w:ind w:left="567"/>
    </w:pPr>
  </w:style>
  <w:style w:type="paragraph" w:customStyle="1" w:styleId="References">
    <w:name w:val="References"/>
    <w:basedOn w:val="NICEnormalsinglespacing"/>
    <w:locked/>
    <w:rsid w:val="00A06657"/>
    <w:pPr>
      <w:numPr>
        <w:numId w:val="19"/>
      </w:numPr>
      <w:spacing w:after="120"/>
    </w:pPr>
  </w:style>
  <w:style w:type="paragraph" w:customStyle="1" w:styleId="Appendixindent">
    <w:name w:val="Appendix indent"/>
    <w:basedOn w:val="NICEnormal"/>
    <w:locked/>
    <w:rsid w:val="003A3974"/>
    <w:pPr>
      <w:ind w:left="567"/>
    </w:pPr>
    <w:rPr>
      <w:lang w:val="en-GB"/>
    </w:rPr>
  </w:style>
  <w:style w:type="table" w:styleId="TableGrid">
    <w:name w:val="Table Grid"/>
    <w:basedOn w:val="TableNormal"/>
    <w:locked/>
    <w:rsid w:val="009F08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rsid w:val="00820DCC"/>
    <w:rPr>
      <w:color w:val="0000FF"/>
      <w:u w:val="single"/>
    </w:rPr>
  </w:style>
  <w:style w:type="paragraph" w:styleId="TOC1">
    <w:name w:val="toc 1"/>
    <w:basedOn w:val="Normal"/>
    <w:next w:val="Normal"/>
    <w:autoRedefine/>
    <w:uiPriority w:val="39"/>
    <w:rsid w:val="00820DCC"/>
    <w:pPr>
      <w:spacing w:line="360" w:lineRule="auto"/>
    </w:pPr>
    <w:rPr>
      <w:rFonts w:ascii="Arial" w:hAnsi="Arial"/>
    </w:rPr>
  </w:style>
  <w:style w:type="paragraph" w:styleId="TOC2">
    <w:name w:val="toc 2"/>
    <w:basedOn w:val="Normal"/>
    <w:next w:val="Normal"/>
    <w:autoRedefine/>
    <w:uiPriority w:val="39"/>
    <w:rsid w:val="00820DCC"/>
    <w:pPr>
      <w:spacing w:line="360" w:lineRule="auto"/>
      <w:ind w:left="567"/>
    </w:pPr>
    <w:rPr>
      <w:rFonts w:ascii="Arial" w:hAnsi="Arial"/>
      <w:i/>
    </w:rPr>
  </w:style>
  <w:style w:type="character" w:styleId="CommentReference">
    <w:name w:val="annotation reference"/>
    <w:qFormat/>
    <w:locked/>
    <w:rsid w:val="00DA5E1E"/>
    <w:rPr>
      <w:sz w:val="16"/>
      <w:szCs w:val="16"/>
    </w:rPr>
  </w:style>
  <w:style w:type="paragraph" w:styleId="CommentText">
    <w:name w:val="annotation text"/>
    <w:basedOn w:val="Normal"/>
    <w:link w:val="CommentTextChar"/>
    <w:qFormat/>
    <w:rsid w:val="00DA5E1E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locked/>
    <w:rsid w:val="00DA5E1E"/>
    <w:rPr>
      <w:b/>
      <w:bCs/>
    </w:rPr>
  </w:style>
  <w:style w:type="paragraph" w:styleId="BalloonText">
    <w:name w:val="Balloon Text"/>
    <w:basedOn w:val="Normal"/>
    <w:semiHidden/>
    <w:rsid w:val="00DA5E1E"/>
    <w:rPr>
      <w:rFonts w:ascii="Tahoma" w:hAnsi="Tahoma" w:cs="Tahoma"/>
      <w:sz w:val="16"/>
      <w:szCs w:val="16"/>
    </w:rPr>
  </w:style>
  <w:style w:type="paragraph" w:customStyle="1" w:styleId="Frontpagetitle">
    <w:name w:val="Front page title"/>
    <w:basedOn w:val="NICEnormalsinglespacing"/>
    <w:rsid w:val="00EF04C1"/>
    <w:pPr>
      <w:jc w:val="center"/>
    </w:pPr>
    <w:rPr>
      <w:rFonts w:cs="Arial"/>
      <w:sz w:val="48"/>
      <w:szCs w:val="48"/>
    </w:rPr>
  </w:style>
  <w:style w:type="paragraph" w:customStyle="1" w:styleId="Frontpagedate">
    <w:name w:val="Front page date"/>
    <w:basedOn w:val="NICEnormalsinglespacing"/>
    <w:rsid w:val="00EF04C1"/>
    <w:rPr>
      <w:rFonts w:cs="Arial"/>
      <w:sz w:val="32"/>
      <w:szCs w:val="32"/>
    </w:rPr>
  </w:style>
  <w:style w:type="paragraph" w:customStyle="1" w:styleId="Frontpageguidelinenumber">
    <w:name w:val="Front page guideline number"/>
    <w:basedOn w:val="NICEnormalsinglespacing"/>
    <w:rsid w:val="00EF04C1"/>
    <w:rPr>
      <w:rFonts w:cs="Arial"/>
      <w:color w:val="FFFFFF"/>
      <w:sz w:val="32"/>
      <w:szCs w:val="32"/>
    </w:rPr>
  </w:style>
  <w:style w:type="paragraph" w:customStyle="1" w:styleId="NICEnormal10">
    <w:name w:val="NICE normal 10"/>
    <w:basedOn w:val="NICEnormal"/>
    <w:rsid w:val="0000592A"/>
    <w:pPr>
      <w:spacing w:line="240" w:lineRule="auto"/>
    </w:pPr>
    <w:rPr>
      <w:sz w:val="20"/>
      <w:lang w:val="en-GB"/>
    </w:rPr>
  </w:style>
  <w:style w:type="character" w:customStyle="1" w:styleId="NICEnormalChar">
    <w:name w:val="NICE normal Char"/>
    <w:link w:val="NICEnormal"/>
    <w:rsid w:val="0021227E"/>
    <w:rPr>
      <w:rFonts w:ascii="Arial" w:hAnsi="Arial"/>
      <w:sz w:val="24"/>
      <w:szCs w:val="24"/>
      <w:lang w:val="en-US" w:eastAsia="en-US" w:bidi="ar-SA"/>
    </w:rPr>
  </w:style>
  <w:style w:type="paragraph" w:styleId="FootnoteText">
    <w:name w:val="footnote text"/>
    <w:basedOn w:val="Normal"/>
    <w:link w:val="FootnoteTextChar"/>
    <w:rsid w:val="0069613E"/>
    <w:rPr>
      <w:sz w:val="20"/>
      <w:szCs w:val="20"/>
      <w:lang w:val="x-none"/>
    </w:rPr>
  </w:style>
  <w:style w:type="character" w:customStyle="1" w:styleId="FootnoteTextChar">
    <w:name w:val="Footnote Text Char"/>
    <w:link w:val="FootnoteText"/>
    <w:rsid w:val="0069613E"/>
    <w:rPr>
      <w:lang w:eastAsia="en-US"/>
    </w:rPr>
  </w:style>
  <w:style w:type="character" w:styleId="FootnoteReference">
    <w:name w:val="footnote reference"/>
    <w:locked/>
    <w:rsid w:val="0069613E"/>
    <w:rPr>
      <w:vertAlign w:val="superscript"/>
    </w:rPr>
  </w:style>
  <w:style w:type="paragraph" w:styleId="NoSpacing">
    <w:name w:val="No Spacing"/>
    <w:link w:val="NoSpacingChar"/>
    <w:uiPriority w:val="1"/>
    <w:qFormat/>
    <w:rsid w:val="006757DF"/>
    <w:rPr>
      <w:rFonts w:ascii="Calibri" w:eastAsia="MS Mincho" w:hAnsi="Calibri"/>
      <w:sz w:val="22"/>
      <w:szCs w:val="22"/>
      <w:lang w:val="en-US" w:eastAsia="ja-JP"/>
    </w:rPr>
  </w:style>
  <w:style w:type="character" w:customStyle="1" w:styleId="NoSpacingChar">
    <w:name w:val="No Spacing Char"/>
    <w:link w:val="NoSpacing"/>
    <w:uiPriority w:val="1"/>
    <w:rsid w:val="006757DF"/>
    <w:rPr>
      <w:rFonts w:ascii="Calibri" w:eastAsia="MS Mincho" w:hAnsi="Calibri"/>
      <w:sz w:val="22"/>
      <w:szCs w:val="22"/>
      <w:lang w:val="en-US" w:eastAsia="ja-JP" w:bidi="ar-SA"/>
    </w:rPr>
  </w:style>
  <w:style w:type="paragraph" w:styleId="Revision">
    <w:name w:val="Revision"/>
    <w:hidden/>
    <w:uiPriority w:val="99"/>
    <w:semiHidden/>
    <w:rsid w:val="008769BB"/>
    <w:rPr>
      <w:sz w:val="24"/>
      <w:szCs w:val="24"/>
      <w:lang w:eastAsia="en-US"/>
    </w:rPr>
  </w:style>
  <w:style w:type="character" w:styleId="FollowedHyperlink">
    <w:name w:val="FollowedHyperlink"/>
    <w:rsid w:val="00575E20"/>
    <w:rPr>
      <w:color w:val="800080"/>
      <w:u w:val="single"/>
    </w:rPr>
  </w:style>
  <w:style w:type="character" w:customStyle="1" w:styleId="CommentTextChar">
    <w:name w:val="Comment Text Char"/>
    <w:link w:val="CommentText"/>
    <w:qFormat/>
    <w:rsid w:val="00020097"/>
    <w:rPr>
      <w:lang w:eastAsia="en-US"/>
    </w:rPr>
  </w:style>
  <w:style w:type="paragraph" w:styleId="NormalWeb">
    <w:name w:val="Normal (Web)"/>
    <w:basedOn w:val="Normal"/>
    <w:uiPriority w:val="99"/>
    <w:unhideWhenUsed/>
    <w:locked/>
    <w:rsid w:val="00751A0A"/>
    <w:pPr>
      <w:spacing w:before="100" w:beforeAutospacing="1" w:after="100" w:afterAutospacing="1"/>
    </w:pPr>
    <w:rPr>
      <w:lang w:eastAsia="en-GB"/>
    </w:rPr>
  </w:style>
  <w:style w:type="character" w:styleId="Strong">
    <w:name w:val="Strong"/>
    <w:uiPriority w:val="22"/>
    <w:qFormat/>
    <w:locked/>
    <w:rsid w:val="00751A0A"/>
    <w:rPr>
      <w:b/>
      <w:bCs/>
    </w:rPr>
  </w:style>
  <w:style w:type="character" w:customStyle="1" w:styleId="apple-converted-space">
    <w:name w:val="apple-converted-space"/>
    <w:rsid w:val="00751A0A"/>
  </w:style>
  <w:style w:type="paragraph" w:styleId="ListParagraph">
    <w:name w:val="List Paragraph"/>
    <w:basedOn w:val="Normal"/>
    <w:uiPriority w:val="34"/>
    <w:qFormat/>
    <w:rsid w:val="00E46754"/>
    <w:pPr>
      <w:ind w:left="720"/>
    </w:pPr>
    <w:rPr>
      <w:rFonts w:ascii="Calibri" w:eastAsiaTheme="minorHAnsi" w:hAnsi="Calibri" w:cs="Calibri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C521C8"/>
    <w:rPr>
      <w:color w:val="605E5C"/>
      <w:shd w:val="clear" w:color="auto" w:fill="E1DFDD"/>
    </w:rPr>
  </w:style>
  <w:style w:type="table" w:styleId="TableGridLight">
    <w:name w:val="Grid Table Light"/>
    <w:basedOn w:val="TableNormal"/>
    <w:uiPriority w:val="40"/>
    <w:rsid w:val="00095104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2">
    <w:name w:val="Plain Table 2"/>
    <w:basedOn w:val="TableNormal"/>
    <w:uiPriority w:val="42"/>
    <w:rsid w:val="00FB3EE2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4">
    <w:name w:val="Plain Table 4"/>
    <w:basedOn w:val="TableNormal"/>
    <w:uiPriority w:val="44"/>
    <w:rsid w:val="00FB3EE2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FB3EE2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GridTable1Light">
    <w:name w:val="Grid Table 1 Light"/>
    <w:basedOn w:val="TableNormal"/>
    <w:uiPriority w:val="46"/>
    <w:rsid w:val="00FB3EE2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FB3EE2"/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Accent2">
    <w:name w:val="Grid Table 1 Light Accent 2"/>
    <w:basedOn w:val="TableNormal"/>
    <w:uiPriority w:val="46"/>
    <w:rsid w:val="00FB3EE2"/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FB3EE2"/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FB3EE2"/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FB3EE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Table3">
    <w:name w:val="List Table 3"/>
    <w:basedOn w:val="TableNormal"/>
    <w:uiPriority w:val="48"/>
    <w:rsid w:val="00FB3EE2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paragraph" w:customStyle="1" w:styleId="Title1">
    <w:name w:val="Title 1"/>
    <w:basedOn w:val="Normal"/>
    <w:qFormat/>
    <w:rsid w:val="00B4130D"/>
    <w:pPr>
      <w:keepNext/>
      <w:spacing w:before="240" w:after="240"/>
      <w:jc w:val="center"/>
      <w:outlineLvl w:val="0"/>
    </w:pPr>
    <w:rPr>
      <w:rFonts w:ascii="Arial" w:hAnsi="Arial" w:cs="Arial"/>
      <w:b/>
      <w:bCs/>
      <w:kern w:val="28"/>
      <w:sz w:val="40"/>
      <w:szCs w:val="32"/>
    </w:rPr>
  </w:style>
  <w:style w:type="paragraph" w:customStyle="1" w:styleId="Guidanceissuedate">
    <w:name w:val="Guidance issue date"/>
    <w:basedOn w:val="NICEnormal"/>
    <w:qFormat/>
    <w:rsid w:val="00B4130D"/>
  </w:style>
  <w:style w:type="table" w:customStyle="1" w:styleId="PanelPrimary">
    <w:name w:val="Panel (Primary)"/>
    <w:basedOn w:val="TableNormal"/>
    <w:uiPriority w:val="99"/>
    <w:rsid w:val="00B4130D"/>
    <w:pPr>
      <w:spacing w:after="240"/>
    </w:pPr>
    <w:tblPr>
      <w:tblBorders>
        <w:top w:val="single" w:sz="24" w:space="0" w:color="A2BDC1"/>
        <w:left w:val="single" w:sz="24" w:space="0" w:color="A2BDC1"/>
        <w:bottom w:val="single" w:sz="24" w:space="0" w:color="A2BDC1"/>
        <w:right w:val="single" w:sz="24" w:space="0" w:color="A2BDC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135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3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2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igital.nhs.uk/data-and-information/publications/statistical/hospital-accident--emergency-activity/2022-23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nice.org.uk/guidance/htg715/resources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nice.org.uk/terms-and-conditions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www.nice.org.uk/guidance/htg71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nice.org.uk/guidance/htg715/resourc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728</Words>
  <Characters>4195</Characters>
  <Application>Microsoft Office Word</Application>
  <DocSecurity>0</DocSecurity>
  <Lines>139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4821</CharactersWithSpaces>
  <SharedDoc>false</SharedDoc>
  <HLinks>
    <vt:vector size="12" baseType="variant">
      <vt:variant>
        <vt:i4>5570566</vt:i4>
      </vt:variant>
      <vt:variant>
        <vt:i4>3</vt:i4>
      </vt:variant>
      <vt:variant>
        <vt:i4>0</vt:i4>
      </vt:variant>
      <vt:variant>
        <vt:i4>5</vt:i4>
      </vt:variant>
      <vt:variant>
        <vt:lpwstr>https://www.nice.org.uk/guidance/mtg77/resources</vt:lpwstr>
      </vt:variant>
      <vt:variant>
        <vt:lpwstr/>
      </vt:variant>
      <vt:variant>
        <vt:i4>8323134</vt:i4>
      </vt:variant>
      <vt:variant>
        <vt:i4>0</vt:i4>
      </vt:variant>
      <vt:variant>
        <vt:i4>0</vt:i4>
      </vt:variant>
      <vt:variant>
        <vt:i4>5</vt:i4>
      </vt:variant>
      <vt:variant>
        <vt:lpwstr>https://digital.nhs.uk/data-and-information/publications/statistical/hospital-accident--emergency-activity/2022-23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HTG715 Resource impact summary report</dc:title>
  <dc:subject/>
  <dc:creator/>
  <cp:keywords/>
  <cp:lastModifiedBy/>
  <cp:revision>1</cp:revision>
  <dcterms:created xsi:type="dcterms:W3CDTF">2025-12-15T14:35:00Z</dcterms:created>
  <dcterms:modified xsi:type="dcterms:W3CDTF">2025-12-15T14:35:00Z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69d85d5-6d9e-4305-a294-1f636ec0f2d6_Enabled">
    <vt:lpwstr>true</vt:lpwstr>
  </property>
  <property fmtid="{D5CDD505-2E9C-101B-9397-08002B2CF9AE}" pid="3" name="MSIP_Label_c69d85d5-6d9e-4305-a294-1f636ec0f2d6_SetDate">
    <vt:lpwstr>2025-12-15T14:35:40Z</vt:lpwstr>
  </property>
  <property fmtid="{D5CDD505-2E9C-101B-9397-08002B2CF9AE}" pid="4" name="MSIP_Label_c69d85d5-6d9e-4305-a294-1f636ec0f2d6_Method">
    <vt:lpwstr>Standard</vt:lpwstr>
  </property>
  <property fmtid="{D5CDD505-2E9C-101B-9397-08002B2CF9AE}" pid="5" name="MSIP_Label_c69d85d5-6d9e-4305-a294-1f636ec0f2d6_Name">
    <vt:lpwstr>OFFICIAL</vt:lpwstr>
  </property>
  <property fmtid="{D5CDD505-2E9C-101B-9397-08002B2CF9AE}" pid="6" name="MSIP_Label_c69d85d5-6d9e-4305-a294-1f636ec0f2d6_SiteId">
    <vt:lpwstr>6030f479-b342-472d-a5dd-740ff7538de9</vt:lpwstr>
  </property>
  <property fmtid="{D5CDD505-2E9C-101B-9397-08002B2CF9AE}" pid="7" name="MSIP_Label_c69d85d5-6d9e-4305-a294-1f636ec0f2d6_ActionId">
    <vt:lpwstr>82cdfe7d-5197-46e1-bff2-14e2352350b0</vt:lpwstr>
  </property>
  <property fmtid="{D5CDD505-2E9C-101B-9397-08002B2CF9AE}" pid="8" name="MSIP_Label_c69d85d5-6d9e-4305-a294-1f636ec0f2d6_ContentBits">
    <vt:lpwstr>0</vt:lpwstr>
  </property>
  <property fmtid="{D5CDD505-2E9C-101B-9397-08002B2CF9AE}" pid="9" name="MSIP_Label_c69d85d5-6d9e-4305-a294-1f636ec0f2d6_Tag">
    <vt:lpwstr>10, 3, 0, 1</vt:lpwstr>
  </property>
</Properties>
</file>