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D5B8" w14:textId="77777777" w:rsidR="00884ABB" w:rsidRDefault="006E5F08" w:rsidP="00916D63">
      <w:pPr>
        <w:pStyle w:val="Title"/>
      </w:pPr>
      <w:r w:rsidRPr="006E5F08">
        <w:t>GaitSmart rehabilitation exercise programme for gait and mobility issues</w:t>
      </w:r>
    </w:p>
    <w:p w14:paraId="3B0FCE7A" w14:textId="3C9D3AE1" w:rsidR="00025B6A" w:rsidRPr="00256222" w:rsidRDefault="00025B6A" w:rsidP="00916D63">
      <w:pPr>
        <w:pStyle w:val="Heading1"/>
      </w:pPr>
      <w:r>
        <w:t>Resource impact</w:t>
      </w:r>
      <w:r w:rsidRPr="00256222">
        <w:t xml:space="preserve"> </w:t>
      </w:r>
      <w:r w:rsidR="00C2558B">
        <w:t>summary report</w:t>
      </w:r>
    </w:p>
    <w:p w14:paraId="7299DC4D" w14:textId="4FF8464D" w:rsidR="00BE641A" w:rsidRDefault="002A06CA" w:rsidP="00916D63">
      <w:pPr>
        <w:pStyle w:val="NICEnormal"/>
      </w:pPr>
      <w:r>
        <w:t xml:space="preserve">NICE has recommended </w:t>
      </w:r>
      <w:r w:rsidR="0028316C">
        <w:t>that</w:t>
      </w:r>
      <w:r w:rsidR="009C6BFB">
        <w:t>,</w:t>
      </w:r>
      <w:r w:rsidR="0028316C">
        <w:t xml:space="preserve"> </w:t>
      </w:r>
      <w:r w:rsidR="00397F98">
        <w:t>f</w:t>
      </w:r>
      <w:r w:rsidR="00397F98" w:rsidRPr="00397F98">
        <w:t>or adults at risk of falls, GaitSmart rehabilitation exercise programme can be used to treat gait and mobility issues in the NHS while more evidence is generated.</w:t>
      </w:r>
    </w:p>
    <w:p w14:paraId="7BFFFACA" w14:textId="37DFEC56" w:rsidR="00673998" w:rsidRDefault="00A01F83" w:rsidP="00916D63">
      <w:pPr>
        <w:pStyle w:val="NICEnormal"/>
      </w:pPr>
      <w:r w:rsidRPr="00A01F83">
        <w:t>For adults having hip or knee replacements, more research is needed on GaitSmart rehabilitation exercise programme to treat gait and mobility issues before or after surgery</w:t>
      </w:r>
      <w:r>
        <w:t xml:space="preserve">. </w:t>
      </w:r>
      <w:r w:rsidRPr="00A01F83">
        <w:t xml:space="preserve">Access to the technology for adults having hip or knee replacements should be through company, </w:t>
      </w:r>
      <w:r w:rsidR="00D23601" w:rsidRPr="00A01F83">
        <w:t>research,</w:t>
      </w:r>
      <w:r w:rsidRPr="00A01F83">
        <w:t xml:space="preserve"> or non-core NHS funding, and clinical or financial risks should be appropriately managed.</w:t>
      </w:r>
    </w:p>
    <w:p w14:paraId="53C57D20" w14:textId="6D573C65" w:rsidR="009A47F7" w:rsidRDefault="00E97FC3" w:rsidP="00916D63">
      <w:pPr>
        <w:pStyle w:val="NICEnormal"/>
      </w:pPr>
      <w:r w:rsidRPr="00E97FC3">
        <w:t xml:space="preserve">GaitSmart provides 2 functions, an objective </w:t>
      </w:r>
      <w:r w:rsidR="00CF5101">
        <w:t xml:space="preserve">digital </w:t>
      </w:r>
      <w:r w:rsidRPr="00E97FC3">
        <w:t>assessment of gait and a personalised exercise programme.</w:t>
      </w:r>
    </w:p>
    <w:p w14:paraId="5034DD83" w14:textId="0F74A776" w:rsidR="00673998" w:rsidRDefault="00673998" w:rsidP="00916D63">
      <w:pPr>
        <w:pStyle w:val="NICEnormal"/>
      </w:pPr>
      <w:r>
        <w:t xml:space="preserve">Current practice </w:t>
      </w:r>
      <w:r w:rsidR="00A72C3E">
        <w:t xml:space="preserve">in people at risk of falls </w:t>
      </w:r>
      <w:r>
        <w:t xml:space="preserve">is based on </w:t>
      </w:r>
      <w:hyperlink r:id="rId8">
        <w:r w:rsidR="009C6BFB">
          <w:rPr>
            <w:rStyle w:val="Hyperlink"/>
            <w:rFonts w:cs="Arial"/>
          </w:rPr>
          <w:t>NICE’s clinical guideline 161 on falls in older people</w:t>
        </w:r>
      </w:hyperlink>
      <w:r w:rsidR="4D9369BD" w:rsidRPr="21ABBF68">
        <w:t xml:space="preserve">. </w:t>
      </w:r>
      <w:r w:rsidR="4D9369BD" w:rsidRPr="74EFCD96">
        <w:t>This</w:t>
      </w:r>
      <w:r>
        <w:t xml:space="preserve"> states that people </w:t>
      </w:r>
      <w:r w:rsidRPr="00673998">
        <w:t>presenting for medical attention after a fall, people reporting recurrent falls in the past year, and people who show gait or balance abnormalities should be offered a multifactorial falls risk assessment</w:t>
      </w:r>
      <w:r w:rsidR="68D2B32A" w:rsidRPr="00DD04E4">
        <w:t>.</w:t>
      </w:r>
      <w:r w:rsidRPr="00DD04E4">
        <w:t xml:space="preserve"> </w:t>
      </w:r>
      <w:r w:rsidR="68D2B32A" w:rsidRPr="00DD04E4">
        <w:t>This</w:t>
      </w:r>
      <w:r w:rsidR="68D2B32A" w:rsidRPr="004E519F">
        <w:t xml:space="preserve"> would be undertaken</w:t>
      </w:r>
      <w:r w:rsidRPr="00673998">
        <w:t xml:space="preserve"> by a healthcare professional with appropriate skills and experience, usually in a specialist falls service</w:t>
      </w:r>
      <w:r>
        <w:t>.</w:t>
      </w:r>
      <w:r w:rsidR="002C4AB7">
        <w:t xml:space="preserve"> </w:t>
      </w:r>
      <w:r w:rsidR="00ED54DF">
        <w:t xml:space="preserve">The resource impact template considers </w:t>
      </w:r>
      <w:r w:rsidR="00824095">
        <w:t xml:space="preserve">people who </w:t>
      </w:r>
      <w:r w:rsidR="00347CD0">
        <w:t xml:space="preserve">have already </w:t>
      </w:r>
      <w:r w:rsidR="009C0DB6">
        <w:t>receiv</w:t>
      </w:r>
      <w:r w:rsidR="005F49E4">
        <w:t xml:space="preserve">ed </w:t>
      </w:r>
      <w:r w:rsidR="00F02D56">
        <w:t xml:space="preserve">a </w:t>
      </w:r>
      <w:r w:rsidR="000C0FB6">
        <w:t>multifactorial assessment</w:t>
      </w:r>
      <w:r w:rsidR="0029479C">
        <w:t xml:space="preserve"> and </w:t>
      </w:r>
      <w:r w:rsidR="0044467C">
        <w:t xml:space="preserve">are </w:t>
      </w:r>
      <w:r w:rsidR="001F1B82">
        <w:t>to receive</w:t>
      </w:r>
      <w:r w:rsidR="00DD7B5F">
        <w:t xml:space="preserve"> </w:t>
      </w:r>
      <w:r w:rsidR="00313A47">
        <w:t>gait</w:t>
      </w:r>
      <w:r w:rsidR="00E3671A">
        <w:t xml:space="preserve"> rehabilitation</w:t>
      </w:r>
      <w:r w:rsidR="00D84097">
        <w:t xml:space="preserve"> services</w:t>
      </w:r>
      <w:r w:rsidR="009B1D22">
        <w:t xml:space="preserve"> based on the GaitSmart system or the standard of care</w:t>
      </w:r>
      <w:r w:rsidR="00E3671A">
        <w:t>.</w:t>
      </w:r>
    </w:p>
    <w:p w14:paraId="43AA6A86" w14:textId="1B2C4EC8" w:rsidR="00673998" w:rsidRDefault="0029108C" w:rsidP="00916D63">
      <w:pPr>
        <w:pStyle w:val="NICEnormal"/>
      </w:pPr>
      <w:r w:rsidRPr="00673998">
        <w:t>People aged 65</w:t>
      </w:r>
      <w:r w:rsidR="006F3AB3">
        <w:t xml:space="preserve"> years</w:t>
      </w:r>
      <w:r w:rsidRPr="00673998">
        <w:t xml:space="preserve"> and o</w:t>
      </w:r>
      <w:r w:rsidR="006F3AB3">
        <w:t>v</w:t>
      </w:r>
      <w:r w:rsidRPr="00673998">
        <w:t xml:space="preserve">er have the highest risk of falling, with 30% of </w:t>
      </w:r>
      <w:r w:rsidR="00D83DF8">
        <w:t xml:space="preserve">them </w:t>
      </w:r>
      <w:r w:rsidRPr="00673998">
        <w:t>falling at least once a year</w:t>
      </w:r>
      <w:r w:rsidR="00D83DF8">
        <w:t xml:space="preserve"> (</w:t>
      </w:r>
      <w:hyperlink r:id="rId9">
        <w:r w:rsidR="00D83DF8" w:rsidRPr="67B0BDC5">
          <w:rPr>
            <w:rStyle w:val="Hyperlink"/>
          </w:rPr>
          <w:t>NICE clinical guideline 161</w:t>
        </w:r>
      </w:hyperlink>
      <w:r w:rsidR="00D83DF8">
        <w:t>)</w:t>
      </w:r>
      <w:r w:rsidR="0045145F">
        <w:t>.</w:t>
      </w:r>
      <w:r w:rsidR="0045145F" w:rsidRPr="00673998">
        <w:t xml:space="preserve"> </w:t>
      </w:r>
      <w:r>
        <w:t>Th</w:t>
      </w:r>
      <w:r w:rsidR="00D83DF8">
        <w:t xml:space="preserve">is suggests that out of </w:t>
      </w:r>
      <w:r>
        <w:t>around 10.</w:t>
      </w:r>
      <w:r w:rsidR="4B7BADDB">
        <w:t>8</w:t>
      </w:r>
      <w:r>
        <w:t xml:space="preserve"> million people</w:t>
      </w:r>
      <w:r w:rsidR="00D83DF8">
        <w:t xml:space="preserve"> </w:t>
      </w:r>
      <w:r>
        <w:t xml:space="preserve">aged 65 years and </w:t>
      </w:r>
      <w:r w:rsidR="006F3AB3">
        <w:t>over</w:t>
      </w:r>
      <w:r w:rsidR="00D83DF8">
        <w:t xml:space="preserve"> in England, around </w:t>
      </w:r>
      <w:r>
        <w:t>3.</w:t>
      </w:r>
      <w:r w:rsidR="4A4F517A">
        <w:t>3</w:t>
      </w:r>
      <w:r>
        <w:t xml:space="preserve"> million </w:t>
      </w:r>
      <w:r w:rsidR="00D30703">
        <w:t xml:space="preserve">of them </w:t>
      </w:r>
      <w:r w:rsidR="00673998" w:rsidRPr="00673998">
        <w:t>fall at least once a year.</w:t>
      </w:r>
    </w:p>
    <w:p w14:paraId="621DC8A1" w14:textId="093614F1" w:rsidR="00116B94" w:rsidRDefault="00B53399" w:rsidP="00916D63">
      <w:pPr>
        <w:pStyle w:val="NICEnormal"/>
      </w:pPr>
      <w:r>
        <w:t xml:space="preserve">The </w:t>
      </w:r>
      <w:bookmarkStart w:id="0" w:name="OLE_LINK3"/>
      <w:r>
        <w:t>c</w:t>
      </w:r>
      <w:r w:rsidRPr="00116B94">
        <w:t xml:space="preserve">ompany </w:t>
      </w:r>
      <w:r w:rsidR="00116B94" w:rsidRPr="00116B94">
        <w:t xml:space="preserve">retains </w:t>
      </w:r>
      <w:r w:rsidR="00281BBC">
        <w:t xml:space="preserve">the </w:t>
      </w:r>
      <w:r w:rsidR="00116B94" w:rsidRPr="00116B94">
        <w:t>ownership of GaitSmart.</w:t>
      </w:r>
      <w:r w:rsidR="00116B94">
        <w:t xml:space="preserve"> </w:t>
      </w:r>
      <w:bookmarkStart w:id="1" w:name="OLE_LINK2"/>
      <w:r>
        <w:t xml:space="preserve">A </w:t>
      </w:r>
      <w:r w:rsidR="00116B94">
        <w:t>£</w:t>
      </w:r>
      <w:r w:rsidR="00116B94" w:rsidRPr="00116B94">
        <w:t xml:space="preserve">1,000 loan fee per provider </w:t>
      </w:r>
      <w:r w:rsidR="003D7788">
        <w:t>f</w:t>
      </w:r>
      <w:r w:rsidR="00790037">
        <w:t xml:space="preserve">or the </w:t>
      </w:r>
      <w:r w:rsidR="003D7788">
        <w:t>GaitSmart syst</w:t>
      </w:r>
      <w:r w:rsidR="00803B1A">
        <w:t>e</w:t>
      </w:r>
      <w:r w:rsidR="003D7788">
        <w:t xml:space="preserve">m and </w:t>
      </w:r>
      <w:r w:rsidR="00803B1A">
        <w:t xml:space="preserve">for training </w:t>
      </w:r>
      <w:r w:rsidR="00EA6BE8">
        <w:t>may</w:t>
      </w:r>
      <w:r w:rsidR="00EA6BE8" w:rsidRPr="00116B94">
        <w:t xml:space="preserve"> </w:t>
      </w:r>
      <w:r w:rsidR="00116B94" w:rsidRPr="00116B94">
        <w:t xml:space="preserve">be payable </w:t>
      </w:r>
      <w:r w:rsidR="00281BBC">
        <w:t>upfront</w:t>
      </w:r>
      <w:bookmarkEnd w:id="1"/>
      <w:r w:rsidR="001F2280">
        <w:t xml:space="preserve"> and this could be</w:t>
      </w:r>
      <w:r w:rsidR="0076115D" w:rsidRPr="00D22CC0">
        <w:rPr>
          <w:lang w:val="en-GB"/>
        </w:rPr>
        <w:t xml:space="preserve"> negotiable depending on contract and setting</w:t>
      </w:r>
      <w:bookmarkEnd w:id="0"/>
      <w:r w:rsidR="0076115D">
        <w:rPr>
          <w:lang w:val="en-GB"/>
        </w:rPr>
        <w:t xml:space="preserve">. </w:t>
      </w:r>
      <w:r w:rsidR="00116B94">
        <w:t xml:space="preserve">In addition, the company charges </w:t>
      </w:r>
      <w:r w:rsidR="00116B94" w:rsidRPr="00116B94">
        <w:t xml:space="preserve">£10 </w:t>
      </w:r>
      <w:r w:rsidR="00116B94" w:rsidRPr="00116B94">
        <w:lastRenderedPageBreak/>
        <w:t xml:space="preserve">per person per session of </w:t>
      </w:r>
      <w:r w:rsidR="00116B94">
        <w:t xml:space="preserve">GaitSmart </w:t>
      </w:r>
      <w:r w:rsidR="00116B94" w:rsidRPr="00116B94">
        <w:t>exercises (£40 max</w:t>
      </w:r>
      <w:r w:rsidR="00E176C7">
        <w:t>imum</w:t>
      </w:r>
      <w:r w:rsidR="00116B94" w:rsidRPr="00116B94">
        <w:t xml:space="preserve"> for the 4 recommended sessions per person)</w:t>
      </w:r>
      <w:r w:rsidR="00116B94">
        <w:t>.</w:t>
      </w:r>
      <w:bookmarkStart w:id="2" w:name="OLE_LINK1"/>
      <w:r w:rsidR="00116B94">
        <w:t xml:space="preserve"> Organisations are </w:t>
      </w:r>
      <w:r w:rsidR="00281BBC">
        <w:t>advised</w:t>
      </w:r>
      <w:r w:rsidR="00116B94">
        <w:t xml:space="preserve"> to contact the company for further</w:t>
      </w:r>
      <w:r w:rsidR="000C07D1">
        <w:t xml:space="preserve"> </w:t>
      </w:r>
      <w:r w:rsidR="00116B94">
        <w:t>details o</w:t>
      </w:r>
      <w:r w:rsidR="00281BBC">
        <w:t>f</w:t>
      </w:r>
      <w:r w:rsidR="00116B94">
        <w:t xml:space="preserve"> the </w:t>
      </w:r>
      <w:r w:rsidR="00013947">
        <w:t xml:space="preserve">exact </w:t>
      </w:r>
      <w:r w:rsidR="00116B94">
        <w:t>pricing structure</w:t>
      </w:r>
      <w:bookmarkEnd w:id="2"/>
      <w:r w:rsidR="000C07D1">
        <w:t xml:space="preserve"> that will apply for their local usage</w:t>
      </w:r>
      <w:r w:rsidR="00116B94">
        <w:t>.</w:t>
      </w:r>
    </w:p>
    <w:p w14:paraId="64014BFA" w14:textId="73745AF1" w:rsidR="00185582" w:rsidRDefault="20A3F8AC" w:rsidP="00916D63">
      <w:pPr>
        <w:pStyle w:val="NICEnormal"/>
        <w:rPr>
          <w:rFonts w:cs="Arial"/>
        </w:rPr>
      </w:pPr>
      <w:r w:rsidRPr="0A4DBBEF">
        <w:t xml:space="preserve">The company states that following an order of the GaitSmart system, the system will be provided, and 2 training sessions will be arranged and delivered to healthcare </w:t>
      </w:r>
      <w:r w:rsidR="00654C8E">
        <w:t xml:space="preserve">professionals </w:t>
      </w:r>
      <w:r w:rsidRPr="0A4DBBEF">
        <w:t xml:space="preserve">who </w:t>
      </w:r>
      <w:r w:rsidR="00654C8E">
        <w:t>will</w:t>
      </w:r>
      <w:r w:rsidR="002C2DDA">
        <w:t xml:space="preserve"> be using the technology</w:t>
      </w:r>
      <w:r w:rsidRPr="0A4DBBEF">
        <w:t>.</w:t>
      </w:r>
      <w:r w:rsidR="670BEEB1" w:rsidRPr="0A4DBBEF">
        <w:t xml:space="preserve"> </w:t>
      </w:r>
      <w:r w:rsidR="1133A3AA" w:rsidRPr="0A4DBBEF">
        <w:t xml:space="preserve">For any </w:t>
      </w:r>
      <w:r w:rsidR="4EA40FDA" w:rsidRPr="0A4DBBEF">
        <w:t>additional training costs</w:t>
      </w:r>
      <w:r w:rsidR="1133A3AA" w:rsidRPr="0A4DBBEF">
        <w:t>, these should be</w:t>
      </w:r>
      <w:r w:rsidR="4EA40FDA" w:rsidRPr="0A4DBBEF">
        <w:t xml:space="preserve"> assessed at a local level.</w:t>
      </w:r>
    </w:p>
    <w:p w14:paraId="38D723A8" w14:textId="791117E1" w:rsidR="00301758" w:rsidRDefault="6D540F9D" w:rsidP="00916D63">
      <w:pPr>
        <w:pStyle w:val="NICEnormal"/>
      </w:pPr>
      <w:r w:rsidRPr="0A4DBBEF">
        <w:t xml:space="preserve">A </w:t>
      </w:r>
      <w:hyperlink r:id="rId10">
        <w:r w:rsidRPr="0A4DBBEF">
          <w:rPr>
            <w:rStyle w:val="Hyperlink"/>
            <w:rFonts w:cs="Arial"/>
          </w:rPr>
          <w:t>resource impact template</w:t>
        </w:r>
      </w:hyperlink>
      <w:r w:rsidRPr="0A4DBBEF">
        <w:t xml:space="preserve"> has been developed and published alongside this report</w:t>
      </w:r>
      <w:r w:rsidR="00160649">
        <w:t xml:space="preserve">. </w:t>
      </w:r>
      <w:r w:rsidR="00301758" w:rsidRPr="00301758">
        <w:t xml:space="preserve">The template provides an illustration of the potential resource impact. It is based on an estimated 100,000 people </w:t>
      </w:r>
      <w:r w:rsidR="00586B7B">
        <w:t>accessing falls services (</w:t>
      </w:r>
      <w:r w:rsidR="000962B1">
        <w:t xml:space="preserve">community or hospital) </w:t>
      </w:r>
      <w:r w:rsidR="00301758" w:rsidRPr="00301758">
        <w:t xml:space="preserve">and 10% (10,000) of these </w:t>
      </w:r>
      <w:r w:rsidR="007D16E2">
        <w:t>using</w:t>
      </w:r>
      <w:r w:rsidR="000962B1">
        <w:t xml:space="preserve"> GaitSmart.</w:t>
      </w:r>
      <w:r w:rsidR="004F78B0" w:rsidRPr="004F78B0">
        <w:t xml:space="preserve"> The figures are based on the economic model </w:t>
      </w:r>
      <w:r w:rsidR="004D97D9" w:rsidRPr="67B0BDC5">
        <w:t>(local prices tab in the template</w:t>
      </w:r>
      <w:r w:rsidR="004D97D9" w:rsidRPr="5C808115">
        <w:t>)</w:t>
      </w:r>
      <w:r w:rsidR="671C306A" w:rsidRPr="5C808115">
        <w:t>.</w:t>
      </w:r>
      <w:r w:rsidR="00160649">
        <w:t xml:space="preserve"> </w:t>
      </w:r>
      <w:r w:rsidR="227A05A4" w:rsidRPr="292FD14E">
        <w:t xml:space="preserve">If population growth figures are entered in the template this would result in an increase in the </w:t>
      </w:r>
      <w:r w:rsidR="227A05A4" w:rsidRPr="62AA8299">
        <w:t>eligible population and increase the cost overall if the same proportion of people incur</w:t>
      </w:r>
      <w:r w:rsidR="03FAC047" w:rsidRPr="62AA8299">
        <w:t xml:space="preserve">red a </w:t>
      </w:r>
      <w:r w:rsidR="03FAC047" w:rsidRPr="3B45CA18">
        <w:t>fall.</w:t>
      </w:r>
    </w:p>
    <w:p w14:paraId="46664C8D" w14:textId="5D768E8B" w:rsidR="03FAC047" w:rsidRDefault="03FAC047" w:rsidP="00916D63">
      <w:pPr>
        <w:pStyle w:val="NICEnormal"/>
      </w:pPr>
      <w:r w:rsidRPr="5FF0B1DE">
        <w:t xml:space="preserve">The table below highlights that the most significant savings are attributable to </w:t>
      </w:r>
      <w:r w:rsidRPr="72D88378">
        <w:t xml:space="preserve">fewer hours required for gait rehabilitation and a reduction in hospital admissions. </w:t>
      </w:r>
      <w:r w:rsidR="55AF5A7F" w:rsidRPr="629963AF">
        <w:t>Users will need to check if these assumptions are valid for their locality.</w:t>
      </w:r>
    </w:p>
    <w:p w14:paraId="2C1A13B0" w14:textId="3EF6F867" w:rsidR="00301758" w:rsidRDefault="007D3201" w:rsidP="009C6BFB">
      <w:pPr>
        <w:pStyle w:val="Caption"/>
      </w:pPr>
      <w:r>
        <w:lastRenderedPageBreak/>
        <w:t xml:space="preserve">Table 1: Potential </w:t>
      </w:r>
      <w:r w:rsidR="00256B01">
        <w:t>savings from using GaitSmart compared to standard of care in England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Potential savings from using GaitSmart compared to standard of care in England"/>
        <w:tblDescription w:val="Details (costs, total costs, capacity benefits based on activity, total savings, net savings and cost saving activity), percentage per unit cost and number of people"/>
      </w:tblPr>
      <w:tblGrid>
        <w:gridCol w:w="5877"/>
        <w:gridCol w:w="1451"/>
        <w:gridCol w:w="1689"/>
      </w:tblGrid>
      <w:tr w:rsidR="00A30CD4" w14:paraId="69FF02AB" w14:textId="77777777" w:rsidTr="00E42771">
        <w:tc>
          <w:tcPr>
            <w:tcW w:w="0" w:type="auto"/>
          </w:tcPr>
          <w:p w14:paraId="65359894" w14:textId="501D06A3" w:rsidR="007D3201" w:rsidRPr="00617349" w:rsidRDefault="00256B01" w:rsidP="009C6BFB">
            <w:pPr>
              <w:pStyle w:val="Tableheading"/>
            </w:pPr>
            <w:r w:rsidRPr="00617349">
              <w:t>De</w:t>
            </w:r>
            <w:r w:rsidR="0022621A" w:rsidRPr="00617349">
              <w:t>tails</w:t>
            </w:r>
          </w:p>
        </w:tc>
        <w:tc>
          <w:tcPr>
            <w:tcW w:w="0" w:type="auto"/>
          </w:tcPr>
          <w:p w14:paraId="542B49CB" w14:textId="71598078" w:rsidR="007D3201" w:rsidRPr="00617349" w:rsidRDefault="4E617C63" w:rsidP="009C6BFB">
            <w:pPr>
              <w:pStyle w:val="Tableheading"/>
            </w:pPr>
            <w:r w:rsidRPr="67B0BDC5">
              <w:t>%</w:t>
            </w:r>
            <w:r w:rsidR="7991B14B" w:rsidRPr="67B0BDC5">
              <w:t xml:space="preserve"> </w:t>
            </w:r>
            <w:r w:rsidR="00916D63">
              <w:t>per</w:t>
            </w:r>
            <w:r w:rsidR="7A459A0A" w:rsidRPr="67B0BDC5">
              <w:t xml:space="preserve"> </w:t>
            </w:r>
            <w:r w:rsidR="0022621A" w:rsidRPr="00617349">
              <w:t>Unit cost</w:t>
            </w:r>
          </w:p>
        </w:tc>
        <w:tc>
          <w:tcPr>
            <w:tcW w:w="1689" w:type="dxa"/>
          </w:tcPr>
          <w:p w14:paraId="1BBADD65" w14:textId="2A3AD6BB" w:rsidR="007D3201" w:rsidRPr="00617349" w:rsidRDefault="0022621A" w:rsidP="009C6BFB">
            <w:pPr>
              <w:pStyle w:val="Tableheading"/>
            </w:pPr>
            <w:r w:rsidRPr="00617349">
              <w:t>Number of people</w:t>
            </w:r>
          </w:p>
        </w:tc>
      </w:tr>
      <w:tr w:rsidR="00A30CD4" w14:paraId="31103C20" w14:textId="77777777" w:rsidTr="00E42771">
        <w:tc>
          <w:tcPr>
            <w:tcW w:w="0" w:type="auto"/>
          </w:tcPr>
          <w:p w14:paraId="36022D34" w14:textId="3013AC08" w:rsidR="007D3201" w:rsidRDefault="0022621A" w:rsidP="009C6BFB">
            <w:pPr>
              <w:pStyle w:val="Tabletext"/>
            </w:pPr>
            <w:r>
              <w:t xml:space="preserve">Estimated number of people accessing </w:t>
            </w:r>
            <w:r w:rsidR="007C153B">
              <w:t>falls services (</w:t>
            </w:r>
            <w:r w:rsidR="00916D63">
              <w:t>c</w:t>
            </w:r>
            <w:r w:rsidR="007C153B">
              <w:t>ommunity and hospital)</w:t>
            </w:r>
          </w:p>
        </w:tc>
        <w:tc>
          <w:tcPr>
            <w:tcW w:w="0" w:type="auto"/>
          </w:tcPr>
          <w:p w14:paraId="0C8D036D" w14:textId="42546799" w:rsidR="007D3201" w:rsidRDefault="009C6BFB" w:rsidP="009C6BFB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18C936C8" w14:textId="2CDD3B5E" w:rsidR="007D3201" w:rsidRDefault="007C153B" w:rsidP="009C6BFB">
            <w:pPr>
              <w:pStyle w:val="Tabletext"/>
            </w:pPr>
            <w:r>
              <w:t>100,000</w:t>
            </w:r>
          </w:p>
        </w:tc>
      </w:tr>
      <w:tr w:rsidR="00A30CD4" w14:paraId="2E831B7A" w14:textId="77777777" w:rsidTr="00E42771">
        <w:tc>
          <w:tcPr>
            <w:tcW w:w="0" w:type="auto"/>
          </w:tcPr>
          <w:p w14:paraId="1AF117AA" w14:textId="11A27462" w:rsidR="007D3201" w:rsidRDefault="002F368B" w:rsidP="009C6BFB">
            <w:pPr>
              <w:pStyle w:val="Tabletext"/>
            </w:pPr>
            <w:r>
              <w:t>GaitSmart uptake</w:t>
            </w:r>
          </w:p>
        </w:tc>
        <w:tc>
          <w:tcPr>
            <w:tcW w:w="0" w:type="auto"/>
          </w:tcPr>
          <w:p w14:paraId="2E25A169" w14:textId="4ED6F227" w:rsidR="007D3201" w:rsidRDefault="004E3792" w:rsidP="009C6BFB">
            <w:pPr>
              <w:pStyle w:val="Tabletext"/>
            </w:pPr>
            <w:r>
              <w:t>10%</w:t>
            </w:r>
          </w:p>
        </w:tc>
        <w:tc>
          <w:tcPr>
            <w:tcW w:w="1689" w:type="dxa"/>
          </w:tcPr>
          <w:p w14:paraId="74AE0C03" w14:textId="1502FFC5" w:rsidR="007D3201" w:rsidRDefault="004E3792" w:rsidP="009C6BFB">
            <w:pPr>
              <w:pStyle w:val="Tabletext"/>
            </w:pPr>
            <w:r>
              <w:t>10,000</w:t>
            </w:r>
          </w:p>
        </w:tc>
      </w:tr>
      <w:tr w:rsidR="00A30CD4" w14:paraId="4473E615" w14:textId="77777777" w:rsidTr="00E42771">
        <w:tc>
          <w:tcPr>
            <w:tcW w:w="0" w:type="auto"/>
          </w:tcPr>
          <w:p w14:paraId="7D42AC02" w14:textId="0A9D21B2" w:rsidR="007D3201" w:rsidRPr="009C6BFB" w:rsidRDefault="00DA3A83" w:rsidP="009C6BFB">
            <w:pPr>
              <w:pStyle w:val="Tabletext"/>
              <w:rPr>
                <w:b/>
                <w:bCs/>
              </w:rPr>
            </w:pPr>
            <w:r w:rsidRPr="009C6BFB">
              <w:rPr>
                <w:b/>
                <w:bCs/>
              </w:rPr>
              <w:t>Costs</w:t>
            </w:r>
          </w:p>
        </w:tc>
        <w:tc>
          <w:tcPr>
            <w:tcW w:w="0" w:type="auto"/>
          </w:tcPr>
          <w:p w14:paraId="01CDB0E2" w14:textId="5D99C7D5" w:rsidR="007D3201" w:rsidRPr="009C6BFB" w:rsidRDefault="009C6BFB" w:rsidP="009C6B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9" w:type="dxa"/>
          </w:tcPr>
          <w:p w14:paraId="4B076DCC" w14:textId="3C5491E5" w:rsidR="007D3201" w:rsidRPr="009C6BFB" w:rsidRDefault="00BB3EB9" w:rsidP="009C6BFB">
            <w:pPr>
              <w:pStyle w:val="Tabletext"/>
              <w:rPr>
                <w:b/>
                <w:bCs/>
              </w:rPr>
            </w:pPr>
            <w:r w:rsidRPr="009C6BFB">
              <w:rPr>
                <w:b/>
                <w:bCs/>
              </w:rPr>
              <w:t>£000s</w:t>
            </w:r>
          </w:p>
        </w:tc>
      </w:tr>
      <w:tr w:rsidR="00A30CD4" w14:paraId="5062F841" w14:textId="77777777" w:rsidTr="00E42771">
        <w:tc>
          <w:tcPr>
            <w:tcW w:w="0" w:type="auto"/>
          </w:tcPr>
          <w:p w14:paraId="60370D34" w14:textId="3ED5220E" w:rsidR="007D3201" w:rsidRPr="00916D63" w:rsidRDefault="007F573C" w:rsidP="00916D63">
            <w:pPr>
              <w:pStyle w:val="Tabletext"/>
            </w:pPr>
            <w:r w:rsidRPr="00916D63">
              <w:t>GaitSmart sessions</w:t>
            </w:r>
            <w:r w:rsidR="00E42771" w:rsidRPr="00916D63">
              <w:t xml:space="preserve"> (£10</w:t>
            </w:r>
            <w:r w:rsidR="002524CC" w:rsidRPr="00916D63">
              <w:t xml:space="preserve"> per session </w:t>
            </w:r>
            <w:r w:rsidR="00234CCA" w:rsidRPr="00916D63">
              <w:t>for</w:t>
            </w:r>
            <w:r w:rsidR="002524CC" w:rsidRPr="00916D63">
              <w:t xml:space="preserve"> 4 sessions)</w:t>
            </w:r>
          </w:p>
        </w:tc>
        <w:tc>
          <w:tcPr>
            <w:tcW w:w="0" w:type="auto"/>
          </w:tcPr>
          <w:p w14:paraId="3B026320" w14:textId="269E9BBE" w:rsidR="007D3201" w:rsidRPr="00916D63" w:rsidRDefault="007F573C" w:rsidP="00916D63">
            <w:pPr>
              <w:pStyle w:val="Tabletext"/>
            </w:pPr>
            <w:r w:rsidRPr="00916D63">
              <w:t>£</w:t>
            </w:r>
            <w:r w:rsidR="002D4FE7" w:rsidRPr="00916D63">
              <w:t>4</w:t>
            </w:r>
            <w:r w:rsidRPr="00916D63">
              <w:t>0</w:t>
            </w:r>
          </w:p>
        </w:tc>
        <w:tc>
          <w:tcPr>
            <w:tcW w:w="1689" w:type="dxa"/>
          </w:tcPr>
          <w:p w14:paraId="65A1974B" w14:textId="3C122B53" w:rsidR="007D3201" w:rsidRPr="00916D63" w:rsidRDefault="002D4FE7" w:rsidP="00916D63">
            <w:pPr>
              <w:pStyle w:val="Tabletext"/>
            </w:pPr>
            <w:r w:rsidRPr="00916D63">
              <w:t>400</w:t>
            </w:r>
          </w:p>
        </w:tc>
      </w:tr>
      <w:tr w:rsidR="00A30CD4" w:rsidRPr="00916D63" w14:paraId="73357C2E" w14:textId="77777777" w:rsidTr="00E42771">
        <w:tc>
          <w:tcPr>
            <w:tcW w:w="0" w:type="auto"/>
          </w:tcPr>
          <w:p w14:paraId="490AB6DA" w14:textId="3479A912" w:rsidR="007D3201" w:rsidRPr="00916D63" w:rsidRDefault="00B0252D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>Total costs</w:t>
            </w:r>
            <w:r w:rsidR="00BB3EB9" w:rsidRPr="00916D63">
              <w:rPr>
                <w:b/>
                <w:bCs/>
              </w:rPr>
              <w:t xml:space="preserve"> (£</w:t>
            </w:r>
            <w:r w:rsidR="005F1EFB" w:rsidRPr="00916D63">
              <w:rPr>
                <w:b/>
                <w:bCs/>
              </w:rPr>
              <w:t>000s)</w:t>
            </w:r>
          </w:p>
        </w:tc>
        <w:tc>
          <w:tcPr>
            <w:tcW w:w="0" w:type="auto"/>
          </w:tcPr>
          <w:p w14:paraId="3B15A3F0" w14:textId="49D92BA4" w:rsidR="007D3201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9" w:type="dxa"/>
          </w:tcPr>
          <w:p w14:paraId="483EF764" w14:textId="1C0A1520" w:rsidR="007D3201" w:rsidRPr="00916D63" w:rsidRDefault="003C1E94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>4</w:t>
            </w:r>
            <w:r w:rsidR="00AF39FD" w:rsidRPr="00916D63">
              <w:rPr>
                <w:b/>
                <w:bCs/>
              </w:rPr>
              <w:t>00</w:t>
            </w:r>
          </w:p>
        </w:tc>
      </w:tr>
      <w:tr w:rsidR="00A30CD4" w:rsidRPr="00916D63" w14:paraId="53BC8669" w14:textId="77777777" w:rsidTr="00E42771">
        <w:tc>
          <w:tcPr>
            <w:tcW w:w="0" w:type="auto"/>
          </w:tcPr>
          <w:p w14:paraId="176831A5" w14:textId="1AD24225" w:rsidR="007D3201" w:rsidRPr="00916D63" w:rsidRDefault="00D60C43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 xml:space="preserve">Capacity </w:t>
            </w:r>
            <w:r w:rsidR="00ED5FF2" w:rsidRPr="00916D63">
              <w:rPr>
                <w:b/>
                <w:bCs/>
              </w:rPr>
              <w:t>benefits based on activity detail</w:t>
            </w:r>
          </w:p>
        </w:tc>
        <w:tc>
          <w:tcPr>
            <w:tcW w:w="0" w:type="auto"/>
          </w:tcPr>
          <w:p w14:paraId="13454EBA" w14:textId="2B6C0334" w:rsidR="007D3201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9" w:type="dxa"/>
          </w:tcPr>
          <w:p w14:paraId="64E9E97E" w14:textId="69C3A673" w:rsidR="007D3201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0CD4" w14:paraId="0A73D525" w14:textId="77777777" w:rsidTr="00E42771">
        <w:tc>
          <w:tcPr>
            <w:tcW w:w="0" w:type="auto"/>
          </w:tcPr>
          <w:p w14:paraId="7424DEA3" w14:textId="71EEFDB6" w:rsidR="007D3201" w:rsidRPr="00916D63" w:rsidRDefault="00D60C43" w:rsidP="00916D63">
            <w:pPr>
              <w:pStyle w:val="Tabletext"/>
            </w:pPr>
            <w:r w:rsidRPr="00916D63">
              <w:t>Reduction in gait rehabilitation sessions</w:t>
            </w:r>
          </w:p>
        </w:tc>
        <w:tc>
          <w:tcPr>
            <w:tcW w:w="0" w:type="auto"/>
          </w:tcPr>
          <w:p w14:paraId="457E0A20" w14:textId="11D56B56" w:rsidR="007D3201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0F5751A8" w14:textId="7FD15F2B" w:rsidR="007D3201" w:rsidRPr="00916D63" w:rsidRDefault="40DCDD31" w:rsidP="00916D63">
            <w:pPr>
              <w:pStyle w:val="Tabletext"/>
            </w:pPr>
            <w:r w:rsidRPr="00916D63">
              <w:t>571</w:t>
            </w:r>
          </w:p>
        </w:tc>
      </w:tr>
      <w:tr w:rsidR="00D60C43" w14:paraId="0B1030D8" w14:textId="77777777" w:rsidTr="00E42771">
        <w:tc>
          <w:tcPr>
            <w:tcW w:w="0" w:type="auto"/>
          </w:tcPr>
          <w:p w14:paraId="5BBCD1AA" w14:textId="2E6368E8" w:rsidR="00D60C43" w:rsidRPr="00916D63" w:rsidRDefault="00D60C43" w:rsidP="00916D63">
            <w:pPr>
              <w:pStyle w:val="Tabletext"/>
            </w:pPr>
            <w:r w:rsidRPr="00916D63">
              <w:t xml:space="preserve">Reduction in ambulance call outs </w:t>
            </w:r>
          </w:p>
        </w:tc>
        <w:tc>
          <w:tcPr>
            <w:tcW w:w="0" w:type="auto"/>
          </w:tcPr>
          <w:p w14:paraId="75C4417E" w14:textId="438388C0" w:rsidR="00D60C43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05117DB5" w14:textId="3760913A" w:rsidR="00D60C43" w:rsidRPr="00916D63" w:rsidRDefault="0026297C" w:rsidP="00916D63">
            <w:pPr>
              <w:pStyle w:val="Tabletext"/>
            </w:pPr>
            <w:r w:rsidRPr="00916D63">
              <w:t>3</w:t>
            </w:r>
          </w:p>
        </w:tc>
      </w:tr>
      <w:tr w:rsidR="00D60C43" w14:paraId="2FD2B0CF" w14:textId="77777777" w:rsidTr="00E42771">
        <w:tc>
          <w:tcPr>
            <w:tcW w:w="0" w:type="auto"/>
          </w:tcPr>
          <w:p w14:paraId="7F088467" w14:textId="6C2E7567" w:rsidR="00D60C43" w:rsidRPr="00916D63" w:rsidRDefault="00D60C43" w:rsidP="00916D63">
            <w:pPr>
              <w:pStyle w:val="Tabletext"/>
            </w:pPr>
            <w:r w:rsidRPr="00916D63">
              <w:t xml:space="preserve">Reduction in </w:t>
            </w:r>
            <w:r w:rsidR="00916D63">
              <w:t>accident and emergency</w:t>
            </w:r>
            <w:r w:rsidR="00916D63" w:rsidRPr="00916D63">
              <w:t xml:space="preserve"> </w:t>
            </w:r>
            <w:r w:rsidRPr="00916D63">
              <w:t>attendances</w:t>
            </w:r>
          </w:p>
        </w:tc>
        <w:tc>
          <w:tcPr>
            <w:tcW w:w="0" w:type="auto"/>
          </w:tcPr>
          <w:p w14:paraId="04CC565D" w14:textId="282204AB" w:rsidR="00D60C43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2E19D37A" w14:textId="1E3CE384" w:rsidR="00D60C43" w:rsidRPr="00916D63" w:rsidRDefault="0707BC73" w:rsidP="00916D63">
            <w:pPr>
              <w:pStyle w:val="Tabletext"/>
            </w:pPr>
            <w:r w:rsidRPr="00916D63">
              <w:t>3</w:t>
            </w:r>
          </w:p>
        </w:tc>
      </w:tr>
      <w:tr w:rsidR="008B4541" w14:paraId="2DCA0337" w14:textId="77777777" w:rsidTr="00E42771">
        <w:tc>
          <w:tcPr>
            <w:tcW w:w="0" w:type="auto"/>
          </w:tcPr>
          <w:p w14:paraId="623FE88D" w14:textId="1ABE64EF" w:rsidR="008B4541" w:rsidRPr="00916D63" w:rsidRDefault="008B4541" w:rsidP="00916D63">
            <w:pPr>
              <w:pStyle w:val="Tabletext"/>
            </w:pPr>
            <w:r w:rsidRPr="00916D63">
              <w:t>Reduction in GP visits</w:t>
            </w:r>
          </w:p>
        </w:tc>
        <w:tc>
          <w:tcPr>
            <w:tcW w:w="0" w:type="auto"/>
          </w:tcPr>
          <w:p w14:paraId="48C955B8" w14:textId="3C19E292" w:rsidR="008B4541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6EEA4E48" w14:textId="20F11233" w:rsidR="008B4541" w:rsidRPr="00916D63" w:rsidRDefault="1CD1B89A" w:rsidP="00916D63">
            <w:pPr>
              <w:pStyle w:val="Tabletext"/>
            </w:pPr>
            <w:r w:rsidRPr="00916D63">
              <w:t>1</w:t>
            </w:r>
          </w:p>
        </w:tc>
      </w:tr>
      <w:tr w:rsidR="00D60C43" w14:paraId="56122429" w14:textId="77777777" w:rsidTr="00E42771">
        <w:tc>
          <w:tcPr>
            <w:tcW w:w="0" w:type="auto"/>
          </w:tcPr>
          <w:p w14:paraId="2EA37C37" w14:textId="5C28AF0B" w:rsidR="00D60C43" w:rsidRPr="00916D63" w:rsidRDefault="00D60C43" w:rsidP="00916D63">
            <w:pPr>
              <w:pStyle w:val="Tabletext"/>
            </w:pPr>
            <w:r w:rsidRPr="00916D63">
              <w:t>Reduction in hospital admissions</w:t>
            </w:r>
          </w:p>
        </w:tc>
        <w:tc>
          <w:tcPr>
            <w:tcW w:w="0" w:type="auto"/>
          </w:tcPr>
          <w:p w14:paraId="50E11D60" w14:textId="4815DBB2" w:rsidR="00D60C43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6730CC15" w14:textId="5B5400CC" w:rsidR="00D60C43" w:rsidRPr="00916D63" w:rsidRDefault="69776BA7" w:rsidP="00916D63">
            <w:pPr>
              <w:pStyle w:val="Tabletext"/>
            </w:pPr>
            <w:r w:rsidRPr="00916D63">
              <w:t>6</w:t>
            </w:r>
            <w:r w:rsidR="705B4940" w:rsidRPr="00916D63">
              <w:t>8</w:t>
            </w:r>
          </w:p>
        </w:tc>
      </w:tr>
      <w:tr w:rsidR="00A30CD4" w:rsidRPr="00916D63" w14:paraId="4FEB6B27" w14:textId="77777777" w:rsidTr="00E42771">
        <w:tc>
          <w:tcPr>
            <w:tcW w:w="0" w:type="auto"/>
          </w:tcPr>
          <w:p w14:paraId="0B4FC571" w14:textId="7EEBA387" w:rsidR="007D3201" w:rsidRPr="00916D63" w:rsidRDefault="00E27ACF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>Total savings (£000s)</w:t>
            </w:r>
          </w:p>
        </w:tc>
        <w:tc>
          <w:tcPr>
            <w:tcW w:w="0" w:type="auto"/>
          </w:tcPr>
          <w:p w14:paraId="0E563481" w14:textId="099A21A5" w:rsidR="007D3201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9" w:type="dxa"/>
          </w:tcPr>
          <w:p w14:paraId="1C28F209" w14:textId="40AF7CE2" w:rsidR="007D3201" w:rsidRPr="00916D63" w:rsidRDefault="47B38D5E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>646</w:t>
            </w:r>
          </w:p>
        </w:tc>
      </w:tr>
      <w:tr w:rsidR="00E27ACF" w:rsidRPr="00916D63" w14:paraId="5002BB27" w14:textId="77777777" w:rsidTr="00BB3EB9">
        <w:tc>
          <w:tcPr>
            <w:tcW w:w="0" w:type="auto"/>
          </w:tcPr>
          <w:p w14:paraId="370D7EA4" w14:textId="3A978DB7" w:rsidR="00E27ACF" w:rsidRPr="00916D63" w:rsidRDefault="001252EF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 xml:space="preserve">Net </w:t>
            </w:r>
            <w:r w:rsidR="00936EE3" w:rsidRPr="00916D63">
              <w:rPr>
                <w:b/>
                <w:bCs/>
              </w:rPr>
              <w:t>savings</w:t>
            </w:r>
            <w:r w:rsidR="008D573B" w:rsidRPr="00916D63">
              <w:rPr>
                <w:b/>
                <w:bCs/>
              </w:rPr>
              <w:t xml:space="preserve"> (£000s)</w:t>
            </w:r>
          </w:p>
        </w:tc>
        <w:tc>
          <w:tcPr>
            <w:tcW w:w="0" w:type="auto"/>
          </w:tcPr>
          <w:p w14:paraId="1BC03A17" w14:textId="394AFE19" w:rsidR="00E27ACF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9" w:type="dxa"/>
          </w:tcPr>
          <w:p w14:paraId="38813609" w14:textId="534A70DD" w:rsidR="00E27ACF" w:rsidRPr="00916D63" w:rsidRDefault="426005E2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>246</w:t>
            </w:r>
          </w:p>
        </w:tc>
      </w:tr>
      <w:tr w:rsidR="00274145" w:rsidRPr="00916D63" w14:paraId="5973F042" w14:textId="77777777" w:rsidTr="00BB3EB9">
        <w:tc>
          <w:tcPr>
            <w:tcW w:w="0" w:type="auto"/>
          </w:tcPr>
          <w:p w14:paraId="25BD784E" w14:textId="4E77385F" w:rsidR="00274145" w:rsidRPr="00916D63" w:rsidRDefault="00ED5FF2" w:rsidP="00916D63">
            <w:pPr>
              <w:pStyle w:val="Tabletext"/>
              <w:rPr>
                <w:b/>
                <w:bCs/>
              </w:rPr>
            </w:pPr>
            <w:r w:rsidRPr="00916D63">
              <w:rPr>
                <w:b/>
                <w:bCs/>
              </w:rPr>
              <w:t xml:space="preserve">Cost saving </w:t>
            </w:r>
            <w:r w:rsidR="00A30CD4" w:rsidRPr="00916D63">
              <w:rPr>
                <w:b/>
                <w:bCs/>
              </w:rPr>
              <w:t>activity</w:t>
            </w:r>
          </w:p>
        </w:tc>
        <w:tc>
          <w:tcPr>
            <w:tcW w:w="0" w:type="auto"/>
          </w:tcPr>
          <w:p w14:paraId="70BD17E8" w14:textId="5348870B" w:rsidR="00274145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9" w:type="dxa"/>
          </w:tcPr>
          <w:p w14:paraId="214B1BBD" w14:textId="4F9FCCB9" w:rsidR="00274145" w:rsidRPr="00916D63" w:rsidRDefault="00916D63" w:rsidP="00916D63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30A3D" w14:paraId="1913F10C" w14:textId="77777777" w:rsidTr="00BB3EB9">
        <w:tc>
          <w:tcPr>
            <w:tcW w:w="0" w:type="auto"/>
          </w:tcPr>
          <w:p w14:paraId="77D9059C" w14:textId="056A1AEB" w:rsidR="00D30A3D" w:rsidRPr="00916D63" w:rsidRDefault="0025503F" w:rsidP="00916D63">
            <w:pPr>
              <w:pStyle w:val="Tabletext"/>
            </w:pPr>
            <w:r w:rsidRPr="00916D63">
              <w:t xml:space="preserve">Gait rehabilitation sessions </w:t>
            </w:r>
            <w:r w:rsidR="009F5589" w:rsidRPr="00916D63">
              <w:t xml:space="preserve">- </w:t>
            </w:r>
            <w:r w:rsidRPr="00916D63">
              <w:t>staff time saved</w:t>
            </w:r>
            <w:r w:rsidR="009F5589" w:rsidRPr="00916D63">
              <w:t xml:space="preserve"> (hours)</w:t>
            </w:r>
          </w:p>
        </w:tc>
        <w:tc>
          <w:tcPr>
            <w:tcW w:w="0" w:type="auto"/>
          </w:tcPr>
          <w:p w14:paraId="5BB91999" w14:textId="407DBC9C" w:rsidR="00D30A3D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6717DA05" w14:textId="4226F3B9" w:rsidR="00D30A3D" w:rsidRPr="00916D63" w:rsidRDefault="0094108F" w:rsidP="00916D63">
            <w:pPr>
              <w:pStyle w:val="Tabletext"/>
            </w:pPr>
            <w:r w:rsidRPr="00916D63">
              <w:t>14</w:t>
            </w:r>
            <w:r w:rsidR="007A0F8F" w:rsidRPr="00916D63">
              <w:t>,</w:t>
            </w:r>
            <w:r w:rsidRPr="00916D63">
              <w:t>750</w:t>
            </w:r>
          </w:p>
        </w:tc>
      </w:tr>
      <w:tr w:rsidR="00274145" w14:paraId="4780297F" w14:textId="77777777" w:rsidTr="00BB3EB9">
        <w:tc>
          <w:tcPr>
            <w:tcW w:w="0" w:type="auto"/>
          </w:tcPr>
          <w:p w14:paraId="4B1B1B21" w14:textId="54A27DD1" w:rsidR="00274145" w:rsidRPr="00916D63" w:rsidRDefault="00274145" w:rsidP="00916D63">
            <w:pPr>
              <w:pStyle w:val="Tabletext"/>
            </w:pPr>
            <w:r w:rsidRPr="00916D63">
              <w:t xml:space="preserve">Reduction in ambulance call outs </w:t>
            </w:r>
          </w:p>
        </w:tc>
        <w:tc>
          <w:tcPr>
            <w:tcW w:w="0" w:type="auto"/>
          </w:tcPr>
          <w:p w14:paraId="69EC93DB" w14:textId="32B979A0" w:rsidR="00274145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33F134B7" w14:textId="19C20EEC" w:rsidR="00274145" w:rsidRPr="00916D63" w:rsidRDefault="00E42771" w:rsidP="00916D63">
            <w:pPr>
              <w:pStyle w:val="Tabletext"/>
            </w:pPr>
            <w:r w:rsidRPr="00916D63">
              <w:t>14</w:t>
            </w:r>
          </w:p>
        </w:tc>
      </w:tr>
      <w:tr w:rsidR="00274145" w14:paraId="5183A2D8" w14:textId="77777777" w:rsidTr="00BB3EB9">
        <w:tc>
          <w:tcPr>
            <w:tcW w:w="0" w:type="auto"/>
          </w:tcPr>
          <w:p w14:paraId="7DD0486E" w14:textId="2DA82639" w:rsidR="00274145" w:rsidRPr="00916D63" w:rsidRDefault="00274145" w:rsidP="00916D63">
            <w:pPr>
              <w:pStyle w:val="Tabletext"/>
            </w:pPr>
            <w:r w:rsidRPr="00916D63">
              <w:t xml:space="preserve">Reduction in </w:t>
            </w:r>
            <w:r w:rsidR="00916D63">
              <w:t>accident and emergency</w:t>
            </w:r>
            <w:r w:rsidRPr="00916D63">
              <w:t xml:space="preserve"> attendances</w:t>
            </w:r>
          </w:p>
        </w:tc>
        <w:tc>
          <w:tcPr>
            <w:tcW w:w="0" w:type="auto"/>
          </w:tcPr>
          <w:p w14:paraId="3A77A4C3" w14:textId="107BB782" w:rsidR="00274145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1AF8AFF9" w14:textId="3A95595D" w:rsidR="00274145" w:rsidRPr="00916D63" w:rsidRDefault="00E42771" w:rsidP="00916D63">
            <w:pPr>
              <w:pStyle w:val="Tabletext"/>
            </w:pPr>
            <w:r w:rsidRPr="00916D63">
              <w:t>31</w:t>
            </w:r>
          </w:p>
        </w:tc>
      </w:tr>
      <w:tr w:rsidR="00274145" w14:paraId="327E394A" w14:textId="77777777" w:rsidTr="00BB3EB9">
        <w:tc>
          <w:tcPr>
            <w:tcW w:w="0" w:type="auto"/>
          </w:tcPr>
          <w:p w14:paraId="5943F3B0" w14:textId="13A6FB2B" w:rsidR="00274145" w:rsidRPr="00916D63" w:rsidRDefault="00274145" w:rsidP="00916D63">
            <w:pPr>
              <w:pStyle w:val="Tabletext"/>
            </w:pPr>
            <w:r w:rsidRPr="00916D63">
              <w:t>Reduction in GP visits</w:t>
            </w:r>
            <w:r w:rsidR="009F5589" w:rsidRPr="00916D63">
              <w:t xml:space="preserve"> (appointments)</w:t>
            </w:r>
          </w:p>
        </w:tc>
        <w:tc>
          <w:tcPr>
            <w:tcW w:w="0" w:type="auto"/>
          </w:tcPr>
          <w:p w14:paraId="1EE895E9" w14:textId="753BBB88" w:rsidR="00274145" w:rsidRPr="00916D63" w:rsidRDefault="00916D63" w:rsidP="00916D63">
            <w:pPr>
              <w:pStyle w:val="Tabletext"/>
            </w:pPr>
            <w:r>
              <w:t>-</w:t>
            </w:r>
          </w:p>
        </w:tc>
        <w:tc>
          <w:tcPr>
            <w:tcW w:w="1689" w:type="dxa"/>
          </w:tcPr>
          <w:p w14:paraId="5BCBBF7E" w14:textId="2D27AE06" w:rsidR="00274145" w:rsidRPr="00916D63" w:rsidRDefault="00E42771" w:rsidP="00916D63">
            <w:pPr>
              <w:pStyle w:val="Tabletext"/>
            </w:pPr>
            <w:r w:rsidRPr="00916D63">
              <w:t>47</w:t>
            </w:r>
          </w:p>
        </w:tc>
      </w:tr>
      <w:tr w:rsidR="00274145" w14:paraId="0599E4CB" w14:textId="77777777" w:rsidTr="00BB3EB9">
        <w:tc>
          <w:tcPr>
            <w:tcW w:w="0" w:type="auto"/>
          </w:tcPr>
          <w:p w14:paraId="48537752" w14:textId="7BEAFD2F" w:rsidR="00274145" w:rsidRPr="00916D63" w:rsidRDefault="00274145" w:rsidP="00916D63">
            <w:pPr>
              <w:pStyle w:val="Tabletext"/>
            </w:pPr>
            <w:r w:rsidRPr="00916D63">
              <w:t>Reduction in hospital admissions</w:t>
            </w:r>
          </w:p>
        </w:tc>
        <w:tc>
          <w:tcPr>
            <w:tcW w:w="0" w:type="auto"/>
          </w:tcPr>
          <w:p w14:paraId="45156A9E" w14:textId="77777777" w:rsidR="00274145" w:rsidRPr="00916D63" w:rsidRDefault="00274145" w:rsidP="00916D63">
            <w:pPr>
              <w:pStyle w:val="Tabletext"/>
            </w:pPr>
          </w:p>
        </w:tc>
        <w:tc>
          <w:tcPr>
            <w:tcW w:w="1689" w:type="dxa"/>
          </w:tcPr>
          <w:p w14:paraId="61A80377" w14:textId="7EB2E44F" w:rsidR="00274145" w:rsidRPr="00916D63" w:rsidRDefault="00E42771" w:rsidP="00916D63">
            <w:pPr>
              <w:pStyle w:val="Tabletext"/>
            </w:pPr>
            <w:r w:rsidRPr="00916D63">
              <w:t>30</w:t>
            </w:r>
          </w:p>
        </w:tc>
      </w:tr>
    </w:tbl>
    <w:p w14:paraId="3AC18253" w14:textId="7E2E4819" w:rsidR="00C92FA7" w:rsidRDefault="00C92FA7" w:rsidP="00951001">
      <w:pPr>
        <w:pStyle w:val="NICEnormalsinglespacing"/>
        <w:spacing w:after="120"/>
        <w:rPr>
          <w:rFonts w:cs="Arial"/>
        </w:rPr>
      </w:pPr>
    </w:p>
    <w:p w14:paraId="565AECBA" w14:textId="4B9A1E2C" w:rsidR="00C92FA7" w:rsidRDefault="00916D63" w:rsidP="00916D63">
      <w:pPr>
        <w:pStyle w:val="NICEnormal"/>
      </w:pPr>
      <w:r>
        <w:t>Because</w:t>
      </w:r>
      <w:r w:rsidR="003B70B7">
        <w:t xml:space="preserve"> the </w:t>
      </w:r>
      <w:r w:rsidR="003B70B7" w:rsidRPr="003B70B7">
        <w:t xml:space="preserve">company retains the ownership of </w:t>
      </w:r>
      <w:r w:rsidR="006532D1" w:rsidRPr="003B70B7">
        <w:t>GaitSmart</w:t>
      </w:r>
      <w:r w:rsidR="00C92C23">
        <w:t xml:space="preserve"> and a </w:t>
      </w:r>
      <w:r w:rsidR="003B70B7" w:rsidRPr="003B70B7">
        <w:t>£1,000 loan fee per provider for the GaitSmart system and for training may be payable upfront</w:t>
      </w:r>
      <w:r w:rsidR="00A50E13">
        <w:t xml:space="preserve">, </w:t>
      </w:r>
      <w:r w:rsidR="00B02F8D">
        <w:t xml:space="preserve">table </w:t>
      </w:r>
      <w:r w:rsidR="009C6BFB">
        <w:t>1</w:t>
      </w:r>
      <w:r w:rsidR="00A50E13">
        <w:t xml:space="preserve"> do</w:t>
      </w:r>
      <w:r w:rsidR="00B02F8D">
        <w:t>es</w:t>
      </w:r>
      <w:r w:rsidR="00A50E13">
        <w:t xml:space="preserve"> not </w:t>
      </w:r>
      <w:r w:rsidR="006532D1">
        <w:t>include</w:t>
      </w:r>
      <w:r w:rsidR="00A50E13">
        <w:t xml:space="preserve"> </w:t>
      </w:r>
      <w:r w:rsidR="00B02F8D">
        <w:t xml:space="preserve">any system </w:t>
      </w:r>
      <w:r w:rsidR="00A50E13">
        <w:t xml:space="preserve">upfront fees. </w:t>
      </w:r>
      <w:r w:rsidR="00886D54">
        <w:t>To estimate such costs</w:t>
      </w:r>
      <w:r>
        <w:t>,</w:t>
      </w:r>
      <w:r w:rsidR="00886D54">
        <w:t xml:space="preserve"> u</w:t>
      </w:r>
      <w:r w:rsidR="00315B8E">
        <w:t xml:space="preserve">sers can input the number of </w:t>
      </w:r>
      <w:r w:rsidR="00886D54">
        <w:t xml:space="preserve">the </w:t>
      </w:r>
      <w:r w:rsidR="00315B8E">
        <w:t xml:space="preserve">systems </w:t>
      </w:r>
      <w:r w:rsidR="00F72F21">
        <w:t xml:space="preserve">attracting upfront fees </w:t>
      </w:r>
      <w:r w:rsidR="006532D1">
        <w:t>in the template and estimate the total costs.</w:t>
      </w:r>
    </w:p>
    <w:p w14:paraId="33DC3520" w14:textId="6D5673E5" w:rsidR="00940E9B" w:rsidRDefault="002A06CA" w:rsidP="00916D63">
      <w:pPr>
        <w:pStyle w:val="NICEnormal"/>
      </w:pPr>
      <w:r>
        <w:t xml:space="preserve">Reviewed evidence </w:t>
      </w:r>
      <w:r w:rsidR="00073F84">
        <w:t>and clinical expert opinion</w:t>
      </w:r>
      <w:r w:rsidR="00FD1B66">
        <w:t xml:space="preserve"> </w:t>
      </w:r>
      <w:r w:rsidR="00532C6A">
        <w:t>suggests</w:t>
      </w:r>
      <w:r>
        <w:t xml:space="preserve"> that i</w:t>
      </w:r>
      <w:r w:rsidR="00940E9B">
        <w:t>mplementing the guid</w:t>
      </w:r>
      <w:r w:rsidR="00FB5B34">
        <w:t>ance</w:t>
      </w:r>
      <w:r w:rsidR="00940E9B">
        <w:t xml:space="preserve"> may:</w:t>
      </w:r>
    </w:p>
    <w:p w14:paraId="4C681162" w14:textId="281562E5" w:rsidR="00633765" w:rsidRPr="00633765" w:rsidRDefault="49B462B6" w:rsidP="00916D63">
      <w:pPr>
        <w:pStyle w:val="Bulletleft1"/>
      </w:pPr>
      <w:r>
        <w:t xml:space="preserve">widen access to services due to the mobile nature of </w:t>
      </w:r>
      <w:r w:rsidR="59DBC49D">
        <w:t xml:space="preserve">the </w:t>
      </w:r>
      <w:r>
        <w:t>technology</w:t>
      </w:r>
      <w:r w:rsidR="00916D63">
        <w:t>, that is</w:t>
      </w:r>
      <w:r w:rsidR="000A6BE5">
        <w:t>,</w:t>
      </w:r>
      <w:r w:rsidR="3681B608">
        <w:t xml:space="preserve"> </w:t>
      </w:r>
      <w:r w:rsidR="107D7F52">
        <w:t xml:space="preserve">gait </w:t>
      </w:r>
      <w:r>
        <w:t xml:space="preserve">assessments could be undertaken in appropriate local facilities promoting collaboration with the voluntary, charitable and third sector providers </w:t>
      </w:r>
    </w:p>
    <w:p w14:paraId="4D492FFF" w14:textId="3D2B8BDF" w:rsidR="00E97FC3" w:rsidRDefault="16BC4763" w:rsidP="00916D63">
      <w:pPr>
        <w:pStyle w:val="Bulletleft1"/>
      </w:pPr>
      <w:r>
        <w:lastRenderedPageBreak/>
        <w:t>a</w:t>
      </w:r>
      <w:r w:rsidR="0A8277BF">
        <w:t>llow a</w:t>
      </w:r>
      <w:r w:rsidR="1EAA5C96">
        <w:t xml:space="preserve"> </w:t>
      </w:r>
      <w:r w:rsidR="173A411F">
        <w:t xml:space="preserve">trained </w:t>
      </w:r>
      <w:r w:rsidR="0A8277BF">
        <w:t xml:space="preserve">healthcare assistant to conduct </w:t>
      </w:r>
      <w:r w:rsidR="73D9645F">
        <w:t xml:space="preserve">GaitSmart </w:t>
      </w:r>
      <w:r w:rsidR="201A0CDC">
        <w:t>sessions</w:t>
      </w:r>
      <w:r w:rsidR="0A8277BF">
        <w:t xml:space="preserve">. </w:t>
      </w:r>
      <w:r w:rsidR="1D79DA20">
        <w:t>In s</w:t>
      </w:r>
      <w:r w:rsidR="0A8277BF">
        <w:t xml:space="preserve">tandard of care </w:t>
      </w:r>
      <w:r w:rsidR="23F67DD8">
        <w:t xml:space="preserve">these </w:t>
      </w:r>
      <w:r w:rsidR="6BB6D76A">
        <w:t>sessions</w:t>
      </w:r>
      <w:r w:rsidR="0A8277BF">
        <w:t xml:space="preserve"> are</w:t>
      </w:r>
      <w:r w:rsidR="20436BAB">
        <w:t xml:space="preserve"> normally</w:t>
      </w:r>
      <w:r w:rsidR="0A8277BF">
        <w:t xml:space="preserve"> conducted by a more senior clinical person</w:t>
      </w:r>
      <w:r w:rsidR="263705B2">
        <w:t xml:space="preserve">, usually </w:t>
      </w:r>
      <w:r w:rsidR="08536F25">
        <w:t xml:space="preserve">a </w:t>
      </w:r>
      <w:r w:rsidR="6EE5CD28">
        <w:t>physiotherapist</w:t>
      </w:r>
      <w:r w:rsidR="0A8277BF">
        <w:t xml:space="preserve"> </w:t>
      </w:r>
    </w:p>
    <w:p w14:paraId="083F4AEF" w14:textId="264EC981" w:rsidR="00E97FC3" w:rsidRDefault="00F328AE" w:rsidP="00916D63">
      <w:pPr>
        <w:pStyle w:val="Bulletleft1"/>
      </w:pPr>
      <w:r>
        <w:t>h</w:t>
      </w:r>
      <w:r w:rsidR="00E97FC3">
        <w:t xml:space="preserve">elp </w:t>
      </w:r>
      <w:r w:rsidR="00E97FC3" w:rsidRPr="00E97FC3">
        <w:t>fill a treatment gap</w:t>
      </w:r>
      <w:r w:rsidR="2FABE8D6">
        <w:t xml:space="preserve"> for </w:t>
      </w:r>
      <w:r w:rsidR="00E97FC3" w:rsidRPr="00E97FC3">
        <w:t xml:space="preserve">people who may </w:t>
      </w:r>
      <w:r w:rsidR="13ACFD35">
        <w:t>not be able to access gait rehabilitation services</w:t>
      </w:r>
    </w:p>
    <w:p w14:paraId="1E6D6BAA" w14:textId="37952B76" w:rsidR="00012798" w:rsidRDefault="00F328AE" w:rsidP="00916D63">
      <w:pPr>
        <w:pStyle w:val="Bulletleft1"/>
      </w:pPr>
      <w:r>
        <w:t>p</w:t>
      </w:r>
      <w:r w:rsidR="00845797">
        <w:t>rovide</w:t>
      </w:r>
      <w:r w:rsidR="00012798" w:rsidRPr="00012798">
        <w:t xml:space="preserve"> </w:t>
      </w:r>
      <w:r w:rsidR="00A8333E">
        <w:t xml:space="preserve">an automated </w:t>
      </w:r>
      <w:r w:rsidR="00012798" w:rsidRPr="00012798">
        <w:t xml:space="preserve">personalised exercise </w:t>
      </w:r>
      <w:r w:rsidR="007D6BFE">
        <w:t xml:space="preserve">programme </w:t>
      </w:r>
      <w:r w:rsidR="00012798" w:rsidRPr="00012798">
        <w:t>matched to individual gait results to improve gait</w:t>
      </w:r>
    </w:p>
    <w:p w14:paraId="275E587F" w14:textId="65AEE892" w:rsidR="004E4165" w:rsidRDefault="43CA06D7" w:rsidP="00916D63">
      <w:pPr>
        <w:pStyle w:val="Bulletleft1"/>
      </w:pPr>
      <w:r>
        <w:t>increase motivation and concordance with exercise due to the provision of colour</w:t>
      </w:r>
      <w:r w:rsidR="5EF31E68">
        <w:t xml:space="preserve"> </w:t>
      </w:r>
      <w:r>
        <w:t>coded individual report</w:t>
      </w:r>
      <w:r w:rsidR="4AFB9591">
        <w:t>s</w:t>
      </w:r>
      <w:r>
        <w:t xml:space="preserve"> at each assessment</w:t>
      </w:r>
    </w:p>
    <w:p w14:paraId="36B8DA41" w14:textId="70B12049" w:rsidR="00012798" w:rsidRDefault="00F328AE" w:rsidP="00916D63">
      <w:pPr>
        <w:pStyle w:val="Bulletleft1last"/>
      </w:pPr>
      <w:r>
        <w:t>h</w:t>
      </w:r>
      <w:r w:rsidR="00523C4F">
        <w:t xml:space="preserve">elp </w:t>
      </w:r>
      <w:r w:rsidR="00012798" w:rsidRPr="00012798">
        <w:t>individuals understand their gait parameters and know whether they have issues that can affect balance, strength or stability</w:t>
      </w:r>
    </w:p>
    <w:p w14:paraId="6C69F46A" w14:textId="37C34E10" w:rsidR="00E46754" w:rsidRDefault="0003725B" w:rsidP="00916D63">
      <w:pPr>
        <w:pStyle w:val="NICEnormal"/>
      </w:pPr>
      <w:r>
        <w:t>These benefits may also provide some savings to offset some of the potential costs</w:t>
      </w:r>
      <w:r w:rsidR="00BB16D7">
        <w:t xml:space="preserve"> that may result from using </w:t>
      </w:r>
      <w:r w:rsidR="00012798">
        <w:t>GaitSmart</w:t>
      </w:r>
      <w:r w:rsidR="00523C4F">
        <w:t>.</w:t>
      </w:r>
    </w:p>
    <w:p w14:paraId="5C47FE95" w14:textId="77777777" w:rsidR="001C5ACC" w:rsidRDefault="001C5ACC" w:rsidP="00916D63">
      <w:pPr>
        <w:pStyle w:val="NICEnormal"/>
      </w:pPr>
      <w:r w:rsidRPr="0A4DBBEF">
        <w:t>The template will help organisations estimate the costs of implementing GaitSmart and the associated capacity implications.</w:t>
      </w:r>
    </w:p>
    <w:p w14:paraId="69484619" w14:textId="557A0B3C" w:rsidR="00D57A48" w:rsidRDefault="001B0D86" w:rsidP="00916D63">
      <w:pPr>
        <w:pStyle w:val="NICEnormal"/>
        <w:rPr>
          <w:noProof/>
          <w:lang w:eastAsia="en-GB"/>
        </w:rPr>
      </w:pPr>
      <w:r>
        <w:t>Falls</w:t>
      </w:r>
      <w:r w:rsidR="002957D3" w:rsidRPr="00532C6A">
        <w:t xml:space="preserve"> services </w:t>
      </w:r>
      <w:r w:rsidR="002957D3" w:rsidRPr="00532C6A">
        <w:rPr>
          <w:noProof/>
          <w:lang w:eastAsia="en-GB"/>
        </w:rPr>
        <w:t xml:space="preserve">are commissioned by </w:t>
      </w:r>
      <w:r w:rsidR="002957D3" w:rsidRPr="00D967FD">
        <w:rPr>
          <w:noProof/>
          <w:lang w:eastAsia="en-GB"/>
        </w:rPr>
        <w:t xml:space="preserve">integrated care </w:t>
      </w:r>
      <w:r w:rsidR="00D37A53" w:rsidRPr="00D967FD">
        <w:rPr>
          <w:noProof/>
          <w:lang w:eastAsia="en-GB"/>
        </w:rPr>
        <w:t>boards</w:t>
      </w:r>
      <w:r w:rsidR="00532C6A">
        <w:rPr>
          <w:noProof/>
          <w:lang w:eastAsia="en-GB"/>
        </w:rPr>
        <w:t>.</w:t>
      </w:r>
      <w:r w:rsidR="002957D3" w:rsidRPr="00532C6A">
        <w:rPr>
          <w:noProof/>
          <w:lang w:eastAsia="en-GB"/>
        </w:rPr>
        <w:t xml:space="preserve"> </w:t>
      </w:r>
      <w:r w:rsidR="002957D3" w:rsidRPr="00532C6A">
        <w:t xml:space="preserve">Providers are </w:t>
      </w:r>
      <w:r w:rsidR="002957D3" w:rsidRPr="00D967FD">
        <w:t xml:space="preserve">NHS </w:t>
      </w:r>
      <w:r>
        <w:t>primary care and community health care</w:t>
      </w:r>
      <w:r w:rsidR="002957D3" w:rsidRPr="00D967FD">
        <w:t xml:space="preserve"> providers</w:t>
      </w:r>
      <w:r w:rsidR="002957D3" w:rsidRPr="00532C6A">
        <w:rPr>
          <w:noProof/>
          <w:lang w:eastAsia="en-GB"/>
        </w:rPr>
        <w:t>.</w:t>
      </w:r>
    </w:p>
    <w:sectPr w:rsidR="00D57A48" w:rsidSect="00502086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7687" w14:textId="77777777" w:rsidR="00502086" w:rsidRDefault="00502086">
      <w:r>
        <w:separator/>
      </w:r>
    </w:p>
  </w:endnote>
  <w:endnote w:type="continuationSeparator" w:id="0">
    <w:p w14:paraId="56CC9CE0" w14:textId="77777777" w:rsidR="00502086" w:rsidRDefault="00502086">
      <w:r>
        <w:continuationSeparator/>
      </w:r>
    </w:p>
  </w:endnote>
  <w:endnote w:type="continuationNotice" w:id="1">
    <w:p w14:paraId="7BE80525" w14:textId="77777777" w:rsidR="00502086" w:rsidRDefault="00502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5DA1" w14:textId="77777777" w:rsidR="00502086" w:rsidRDefault="00502086">
      <w:r>
        <w:separator/>
      </w:r>
    </w:p>
  </w:footnote>
  <w:footnote w:type="continuationSeparator" w:id="0">
    <w:p w14:paraId="34D5974D" w14:textId="77777777" w:rsidR="00502086" w:rsidRDefault="00502086">
      <w:r>
        <w:continuationSeparator/>
      </w:r>
    </w:p>
  </w:footnote>
  <w:footnote w:type="continuationNotice" w:id="1">
    <w:p w14:paraId="63A9C89C" w14:textId="77777777" w:rsidR="00502086" w:rsidRDefault="005020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C3584"/>
    <w:multiLevelType w:val="multilevel"/>
    <w:tmpl w:val="4F12E31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4E7347"/>
    <w:multiLevelType w:val="hybridMultilevel"/>
    <w:tmpl w:val="55AE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76329A"/>
    <w:multiLevelType w:val="hybridMultilevel"/>
    <w:tmpl w:val="C66009F6"/>
    <w:lvl w:ilvl="0" w:tplc="C05C39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A4B9E"/>
    <w:multiLevelType w:val="hybridMultilevel"/>
    <w:tmpl w:val="42F4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6CF25CA5"/>
    <w:multiLevelType w:val="hybridMultilevel"/>
    <w:tmpl w:val="02EA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E31D1"/>
    <w:multiLevelType w:val="hybridMultilevel"/>
    <w:tmpl w:val="DBA8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1753560">
    <w:abstractNumId w:val="1"/>
  </w:num>
  <w:num w:numId="2" w16cid:durableId="1285893138">
    <w:abstractNumId w:val="22"/>
  </w:num>
  <w:num w:numId="3" w16cid:durableId="106118100">
    <w:abstractNumId w:val="13"/>
  </w:num>
  <w:num w:numId="4" w16cid:durableId="266475245">
    <w:abstractNumId w:val="14"/>
  </w:num>
  <w:num w:numId="5" w16cid:durableId="288558649">
    <w:abstractNumId w:val="0"/>
  </w:num>
  <w:num w:numId="6" w16cid:durableId="1450004721">
    <w:abstractNumId w:val="2"/>
  </w:num>
  <w:num w:numId="7" w16cid:durableId="1746221165">
    <w:abstractNumId w:val="8"/>
  </w:num>
  <w:num w:numId="8" w16cid:durableId="106900074">
    <w:abstractNumId w:val="4"/>
  </w:num>
  <w:num w:numId="9" w16cid:durableId="920917763">
    <w:abstractNumId w:val="6"/>
  </w:num>
  <w:num w:numId="10" w16cid:durableId="1215117893">
    <w:abstractNumId w:val="10"/>
  </w:num>
  <w:num w:numId="11" w16cid:durableId="2139378189">
    <w:abstractNumId w:val="9"/>
  </w:num>
  <w:num w:numId="12" w16cid:durableId="1088691055">
    <w:abstractNumId w:val="11"/>
  </w:num>
  <w:num w:numId="13" w16cid:durableId="84762956">
    <w:abstractNumId w:val="17"/>
  </w:num>
  <w:num w:numId="14" w16cid:durableId="653337857">
    <w:abstractNumId w:val="3"/>
  </w:num>
  <w:num w:numId="15" w16cid:durableId="421486223">
    <w:abstractNumId w:val="21"/>
  </w:num>
  <w:num w:numId="16" w16cid:durableId="1314721344">
    <w:abstractNumId w:val="7"/>
  </w:num>
  <w:num w:numId="17" w16cid:durableId="2131434735">
    <w:abstractNumId w:val="15"/>
  </w:num>
  <w:num w:numId="18" w16cid:durableId="134690268">
    <w:abstractNumId w:val="19"/>
  </w:num>
  <w:num w:numId="19" w16cid:durableId="1220171156">
    <w:abstractNumId w:val="5"/>
  </w:num>
  <w:num w:numId="20" w16cid:durableId="1495799329">
    <w:abstractNumId w:val="25"/>
  </w:num>
  <w:num w:numId="21" w16cid:durableId="513423018">
    <w:abstractNumId w:val="8"/>
  </w:num>
  <w:num w:numId="22" w16cid:durableId="1615626127">
    <w:abstractNumId w:val="8"/>
  </w:num>
  <w:num w:numId="23" w16cid:durableId="1482430420">
    <w:abstractNumId w:val="8"/>
  </w:num>
  <w:num w:numId="24" w16cid:durableId="373698370">
    <w:abstractNumId w:val="23"/>
  </w:num>
  <w:num w:numId="25" w16cid:durableId="2083721559">
    <w:abstractNumId w:val="20"/>
  </w:num>
  <w:num w:numId="26" w16cid:durableId="649864250">
    <w:abstractNumId w:val="24"/>
  </w:num>
  <w:num w:numId="27" w16cid:durableId="1311204113">
    <w:abstractNumId w:val="12"/>
  </w:num>
  <w:num w:numId="28" w16cid:durableId="1715960215">
    <w:abstractNumId w:val="16"/>
  </w:num>
  <w:num w:numId="29" w16cid:durableId="1614053139">
    <w:abstractNumId w:val="2"/>
  </w:num>
  <w:num w:numId="30" w16cid:durableId="1876312763">
    <w:abstractNumId w:val="2"/>
  </w:num>
  <w:num w:numId="31" w16cid:durableId="206984339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1C57"/>
    <w:rsid w:val="00004CA5"/>
    <w:rsid w:val="0000592A"/>
    <w:rsid w:val="0000742A"/>
    <w:rsid w:val="000110ED"/>
    <w:rsid w:val="000119FB"/>
    <w:rsid w:val="00012798"/>
    <w:rsid w:val="00013947"/>
    <w:rsid w:val="00016583"/>
    <w:rsid w:val="00020097"/>
    <w:rsid w:val="0002293B"/>
    <w:rsid w:val="000246B8"/>
    <w:rsid w:val="00025B6A"/>
    <w:rsid w:val="000274CD"/>
    <w:rsid w:val="0003725B"/>
    <w:rsid w:val="0003795D"/>
    <w:rsid w:val="00041E1C"/>
    <w:rsid w:val="0004442F"/>
    <w:rsid w:val="00046B02"/>
    <w:rsid w:val="00050AD5"/>
    <w:rsid w:val="00051452"/>
    <w:rsid w:val="00052102"/>
    <w:rsid w:val="0005401C"/>
    <w:rsid w:val="00055792"/>
    <w:rsid w:val="000611F2"/>
    <w:rsid w:val="00063763"/>
    <w:rsid w:val="00066DA4"/>
    <w:rsid w:val="00070225"/>
    <w:rsid w:val="00073DB4"/>
    <w:rsid w:val="00073F84"/>
    <w:rsid w:val="000756B2"/>
    <w:rsid w:val="00076F8D"/>
    <w:rsid w:val="00080B69"/>
    <w:rsid w:val="00083F1C"/>
    <w:rsid w:val="00085B8E"/>
    <w:rsid w:val="0008656C"/>
    <w:rsid w:val="0008679D"/>
    <w:rsid w:val="00087F2B"/>
    <w:rsid w:val="000959DB"/>
    <w:rsid w:val="00095C54"/>
    <w:rsid w:val="000962B1"/>
    <w:rsid w:val="0009703C"/>
    <w:rsid w:val="000A1D12"/>
    <w:rsid w:val="000A2458"/>
    <w:rsid w:val="000A66E0"/>
    <w:rsid w:val="000A6BE5"/>
    <w:rsid w:val="000B03EF"/>
    <w:rsid w:val="000B0537"/>
    <w:rsid w:val="000B0A6F"/>
    <w:rsid w:val="000B41FD"/>
    <w:rsid w:val="000B5B02"/>
    <w:rsid w:val="000B773E"/>
    <w:rsid w:val="000B7DF5"/>
    <w:rsid w:val="000C07D1"/>
    <w:rsid w:val="000C0FB6"/>
    <w:rsid w:val="000C1491"/>
    <w:rsid w:val="000C67E4"/>
    <w:rsid w:val="000D0ED6"/>
    <w:rsid w:val="000D189B"/>
    <w:rsid w:val="000D221B"/>
    <w:rsid w:val="000D52A3"/>
    <w:rsid w:val="000D5D2F"/>
    <w:rsid w:val="000E1649"/>
    <w:rsid w:val="000E2B39"/>
    <w:rsid w:val="000E3DF9"/>
    <w:rsid w:val="000E7991"/>
    <w:rsid w:val="000F11EB"/>
    <w:rsid w:val="000F17D7"/>
    <w:rsid w:val="000F18D5"/>
    <w:rsid w:val="000F24C6"/>
    <w:rsid w:val="000F30D0"/>
    <w:rsid w:val="000F45AC"/>
    <w:rsid w:val="000F6AC5"/>
    <w:rsid w:val="000F7D2F"/>
    <w:rsid w:val="00100031"/>
    <w:rsid w:val="001000F8"/>
    <w:rsid w:val="00101611"/>
    <w:rsid w:val="00101F34"/>
    <w:rsid w:val="00105544"/>
    <w:rsid w:val="00107A53"/>
    <w:rsid w:val="00114575"/>
    <w:rsid w:val="00115005"/>
    <w:rsid w:val="00116B94"/>
    <w:rsid w:val="00117403"/>
    <w:rsid w:val="0011782F"/>
    <w:rsid w:val="001252EF"/>
    <w:rsid w:val="00125917"/>
    <w:rsid w:val="00130E55"/>
    <w:rsid w:val="00131CA0"/>
    <w:rsid w:val="00135159"/>
    <w:rsid w:val="001374E8"/>
    <w:rsid w:val="00141000"/>
    <w:rsid w:val="00145575"/>
    <w:rsid w:val="00145D6B"/>
    <w:rsid w:val="001467B6"/>
    <w:rsid w:val="00146BAB"/>
    <w:rsid w:val="001474C9"/>
    <w:rsid w:val="00154BA8"/>
    <w:rsid w:val="00155E58"/>
    <w:rsid w:val="00160649"/>
    <w:rsid w:val="00160FB1"/>
    <w:rsid w:val="00161AA0"/>
    <w:rsid w:val="00162DA9"/>
    <w:rsid w:val="00164EDD"/>
    <w:rsid w:val="00174703"/>
    <w:rsid w:val="001809AF"/>
    <w:rsid w:val="00185369"/>
    <w:rsid w:val="00185582"/>
    <w:rsid w:val="0018562D"/>
    <w:rsid w:val="00192B6D"/>
    <w:rsid w:val="001956FC"/>
    <w:rsid w:val="0019585F"/>
    <w:rsid w:val="00195E90"/>
    <w:rsid w:val="001969DE"/>
    <w:rsid w:val="001A163B"/>
    <w:rsid w:val="001A2480"/>
    <w:rsid w:val="001A6854"/>
    <w:rsid w:val="001B0597"/>
    <w:rsid w:val="001B0672"/>
    <w:rsid w:val="001B0D86"/>
    <w:rsid w:val="001B0EB4"/>
    <w:rsid w:val="001B3774"/>
    <w:rsid w:val="001B3F8B"/>
    <w:rsid w:val="001B5D16"/>
    <w:rsid w:val="001B639C"/>
    <w:rsid w:val="001C3205"/>
    <w:rsid w:val="001C3761"/>
    <w:rsid w:val="001C3AF3"/>
    <w:rsid w:val="001C4E35"/>
    <w:rsid w:val="001C5ACC"/>
    <w:rsid w:val="001C73A8"/>
    <w:rsid w:val="001C7F62"/>
    <w:rsid w:val="001D027E"/>
    <w:rsid w:val="001D3FE2"/>
    <w:rsid w:val="001D6561"/>
    <w:rsid w:val="001E21D8"/>
    <w:rsid w:val="001E3FB6"/>
    <w:rsid w:val="001F1074"/>
    <w:rsid w:val="001F1B82"/>
    <w:rsid w:val="001F2280"/>
    <w:rsid w:val="001F2AC5"/>
    <w:rsid w:val="001F3011"/>
    <w:rsid w:val="001F5360"/>
    <w:rsid w:val="001F6EF8"/>
    <w:rsid w:val="002015BA"/>
    <w:rsid w:val="0020374F"/>
    <w:rsid w:val="00203C3F"/>
    <w:rsid w:val="002066EC"/>
    <w:rsid w:val="0021227E"/>
    <w:rsid w:val="0021477D"/>
    <w:rsid w:val="002167BB"/>
    <w:rsid w:val="00216814"/>
    <w:rsid w:val="00223B9C"/>
    <w:rsid w:val="00223C1E"/>
    <w:rsid w:val="002247FD"/>
    <w:rsid w:val="002259F2"/>
    <w:rsid w:val="0022621A"/>
    <w:rsid w:val="0022764C"/>
    <w:rsid w:val="00230026"/>
    <w:rsid w:val="00234CCA"/>
    <w:rsid w:val="00234D65"/>
    <w:rsid w:val="00234FA6"/>
    <w:rsid w:val="00235CAB"/>
    <w:rsid w:val="0023716B"/>
    <w:rsid w:val="00242DC0"/>
    <w:rsid w:val="0024451D"/>
    <w:rsid w:val="00244E40"/>
    <w:rsid w:val="002462F9"/>
    <w:rsid w:val="002524CC"/>
    <w:rsid w:val="002525E3"/>
    <w:rsid w:val="002548EB"/>
    <w:rsid w:val="0025503F"/>
    <w:rsid w:val="0025534E"/>
    <w:rsid w:val="00256222"/>
    <w:rsid w:val="00256B01"/>
    <w:rsid w:val="00257B8A"/>
    <w:rsid w:val="00260D90"/>
    <w:rsid w:val="00262479"/>
    <w:rsid w:val="0026297C"/>
    <w:rsid w:val="00265F19"/>
    <w:rsid w:val="00265F2C"/>
    <w:rsid w:val="002665CB"/>
    <w:rsid w:val="00271563"/>
    <w:rsid w:val="002738E2"/>
    <w:rsid w:val="00274145"/>
    <w:rsid w:val="00275215"/>
    <w:rsid w:val="00277116"/>
    <w:rsid w:val="00277963"/>
    <w:rsid w:val="002809E1"/>
    <w:rsid w:val="00281BBC"/>
    <w:rsid w:val="0028316C"/>
    <w:rsid w:val="002838A9"/>
    <w:rsid w:val="00283BFB"/>
    <w:rsid w:val="00283E57"/>
    <w:rsid w:val="00290B1A"/>
    <w:rsid w:val="0029108C"/>
    <w:rsid w:val="0029372C"/>
    <w:rsid w:val="0029479C"/>
    <w:rsid w:val="002955A6"/>
    <w:rsid w:val="002957D3"/>
    <w:rsid w:val="00296B39"/>
    <w:rsid w:val="0029719D"/>
    <w:rsid w:val="00297F8B"/>
    <w:rsid w:val="002A06CA"/>
    <w:rsid w:val="002A726E"/>
    <w:rsid w:val="002B1BC1"/>
    <w:rsid w:val="002B24F2"/>
    <w:rsid w:val="002B4764"/>
    <w:rsid w:val="002B4DB5"/>
    <w:rsid w:val="002B6205"/>
    <w:rsid w:val="002C09A4"/>
    <w:rsid w:val="002C0E9F"/>
    <w:rsid w:val="002C2143"/>
    <w:rsid w:val="002C2DDA"/>
    <w:rsid w:val="002C3DFC"/>
    <w:rsid w:val="002C3EF1"/>
    <w:rsid w:val="002C4AB7"/>
    <w:rsid w:val="002D090C"/>
    <w:rsid w:val="002D2335"/>
    <w:rsid w:val="002D23E6"/>
    <w:rsid w:val="002D265C"/>
    <w:rsid w:val="002D3A52"/>
    <w:rsid w:val="002D4681"/>
    <w:rsid w:val="002D484A"/>
    <w:rsid w:val="002D4FE7"/>
    <w:rsid w:val="002D5BC8"/>
    <w:rsid w:val="002D7DD9"/>
    <w:rsid w:val="002E19B2"/>
    <w:rsid w:val="002E1C8A"/>
    <w:rsid w:val="002E222C"/>
    <w:rsid w:val="002E39F4"/>
    <w:rsid w:val="002E63A2"/>
    <w:rsid w:val="002E7B36"/>
    <w:rsid w:val="002F0671"/>
    <w:rsid w:val="002F279A"/>
    <w:rsid w:val="002F2B99"/>
    <w:rsid w:val="002F368B"/>
    <w:rsid w:val="002F5E52"/>
    <w:rsid w:val="002F76C0"/>
    <w:rsid w:val="00300936"/>
    <w:rsid w:val="0030096B"/>
    <w:rsid w:val="00301758"/>
    <w:rsid w:val="00303137"/>
    <w:rsid w:val="003057AC"/>
    <w:rsid w:val="00306004"/>
    <w:rsid w:val="00313A47"/>
    <w:rsid w:val="00315B8E"/>
    <w:rsid w:val="0031664C"/>
    <w:rsid w:val="00326DF3"/>
    <w:rsid w:val="003330E6"/>
    <w:rsid w:val="003333BE"/>
    <w:rsid w:val="0033613B"/>
    <w:rsid w:val="00336728"/>
    <w:rsid w:val="0033679D"/>
    <w:rsid w:val="00340887"/>
    <w:rsid w:val="00345C49"/>
    <w:rsid w:val="00347CD0"/>
    <w:rsid w:val="00353669"/>
    <w:rsid w:val="00354D10"/>
    <w:rsid w:val="0035658C"/>
    <w:rsid w:val="003565A6"/>
    <w:rsid w:val="00356729"/>
    <w:rsid w:val="003571A2"/>
    <w:rsid w:val="003617E9"/>
    <w:rsid w:val="003627E9"/>
    <w:rsid w:val="00362C37"/>
    <w:rsid w:val="00365B1D"/>
    <w:rsid w:val="003665B9"/>
    <w:rsid w:val="003676D3"/>
    <w:rsid w:val="003704DD"/>
    <w:rsid w:val="0037275C"/>
    <w:rsid w:val="00381A1B"/>
    <w:rsid w:val="00382B31"/>
    <w:rsid w:val="00383F93"/>
    <w:rsid w:val="0038400E"/>
    <w:rsid w:val="003842E5"/>
    <w:rsid w:val="00387C51"/>
    <w:rsid w:val="00390CA0"/>
    <w:rsid w:val="003937B6"/>
    <w:rsid w:val="00393ADF"/>
    <w:rsid w:val="00393F1C"/>
    <w:rsid w:val="00395C38"/>
    <w:rsid w:val="003960F3"/>
    <w:rsid w:val="00397F98"/>
    <w:rsid w:val="003A0F9C"/>
    <w:rsid w:val="003A1A5E"/>
    <w:rsid w:val="003A3974"/>
    <w:rsid w:val="003A3F54"/>
    <w:rsid w:val="003A46D6"/>
    <w:rsid w:val="003A5A3F"/>
    <w:rsid w:val="003A7696"/>
    <w:rsid w:val="003B0A16"/>
    <w:rsid w:val="003B2E89"/>
    <w:rsid w:val="003B70B7"/>
    <w:rsid w:val="003B7419"/>
    <w:rsid w:val="003C00FB"/>
    <w:rsid w:val="003C1E94"/>
    <w:rsid w:val="003C22D1"/>
    <w:rsid w:val="003C36AC"/>
    <w:rsid w:val="003C3B82"/>
    <w:rsid w:val="003C4104"/>
    <w:rsid w:val="003C4376"/>
    <w:rsid w:val="003C548F"/>
    <w:rsid w:val="003C6B39"/>
    <w:rsid w:val="003D035D"/>
    <w:rsid w:val="003D0E20"/>
    <w:rsid w:val="003D7788"/>
    <w:rsid w:val="003E2461"/>
    <w:rsid w:val="003E31AB"/>
    <w:rsid w:val="003F2D5D"/>
    <w:rsid w:val="003F3909"/>
    <w:rsid w:val="003F5AA9"/>
    <w:rsid w:val="003F60B7"/>
    <w:rsid w:val="003F684F"/>
    <w:rsid w:val="003F71ED"/>
    <w:rsid w:val="003F77BD"/>
    <w:rsid w:val="004038E5"/>
    <w:rsid w:val="00412F2B"/>
    <w:rsid w:val="00413CC3"/>
    <w:rsid w:val="00417163"/>
    <w:rsid w:val="0042056B"/>
    <w:rsid w:val="00420DE4"/>
    <w:rsid w:val="00422BBA"/>
    <w:rsid w:val="00425F24"/>
    <w:rsid w:val="0042758D"/>
    <w:rsid w:val="00430852"/>
    <w:rsid w:val="0043147A"/>
    <w:rsid w:val="00432BA6"/>
    <w:rsid w:val="00434AE5"/>
    <w:rsid w:val="004355F1"/>
    <w:rsid w:val="00435689"/>
    <w:rsid w:val="00436229"/>
    <w:rsid w:val="00436638"/>
    <w:rsid w:val="00437CF7"/>
    <w:rsid w:val="004402BF"/>
    <w:rsid w:val="004418FB"/>
    <w:rsid w:val="00444226"/>
    <w:rsid w:val="0044467C"/>
    <w:rsid w:val="0045017F"/>
    <w:rsid w:val="00450A7E"/>
    <w:rsid w:val="0045145F"/>
    <w:rsid w:val="00453F87"/>
    <w:rsid w:val="00461639"/>
    <w:rsid w:val="00461E73"/>
    <w:rsid w:val="0046446F"/>
    <w:rsid w:val="00464D59"/>
    <w:rsid w:val="0046508B"/>
    <w:rsid w:val="00467227"/>
    <w:rsid w:val="0047117E"/>
    <w:rsid w:val="00473666"/>
    <w:rsid w:val="004820E9"/>
    <w:rsid w:val="0048249A"/>
    <w:rsid w:val="00482C86"/>
    <w:rsid w:val="0048361F"/>
    <w:rsid w:val="00484786"/>
    <w:rsid w:val="004907DE"/>
    <w:rsid w:val="00492194"/>
    <w:rsid w:val="00492403"/>
    <w:rsid w:val="00492D94"/>
    <w:rsid w:val="00492EF0"/>
    <w:rsid w:val="00493895"/>
    <w:rsid w:val="004968C7"/>
    <w:rsid w:val="004A40D0"/>
    <w:rsid w:val="004A5FB3"/>
    <w:rsid w:val="004B3175"/>
    <w:rsid w:val="004B394E"/>
    <w:rsid w:val="004B514C"/>
    <w:rsid w:val="004B51B7"/>
    <w:rsid w:val="004B5C4C"/>
    <w:rsid w:val="004C1132"/>
    <w:rsid w:val="004C3AF4"/>
    <w:rsid w:val="004C3EE1"/>
    <w:rsid w:val="004C57AE"/>
    <w:rsid w:val="004D0FDB"/>
    <w:rsid w:val="004D18C1"/>
    <w:rsid w:val="004D2175"/>
    <w:rsid w:val="004D54FC"/>
    <w:rsid w:val="004D97D9"/>
    <w:rsid w:val="004E17A3"/>
    <w:rsid w:val="004E2265"/>
    <w:rsid w:val="004E31D3"/>
    <w:rsid w:val="004E3792"/>
    <w:rsid w:val="004E4165"/>
    <w:rsid w:val="004E519F"/>
    <w:rsid w:val="004F0B3E"/>
    <w:rsid w:val="004F1182"/>
    <w:rsid w:val="004F1962"/>
    <w:rsid w:val="004F6138"/>
    <w:rsid w:val="004F76A6"/>
    <w:rsid w:val="004F78B0"/>
    <w:rsid w:val="0050051D"/>
    <w:rsid w:val="00502086"/>
    <w:rsid w:val="0050252D"/>
    <w:rsid w:val="00502BA9"/>
    <w:rsid w:val="00503424"/>
    <w:rsid w:val="005042F6"/>
    <w:rsid w:val="00507215"/>
    <w:rsid w:val="00512C36"/>
    <w:rsid w:val="00513F05"/>
    <w:rsid w:val="00515062"/>
    <w:rsid w:val="0051629A"/>
    <w:rsid w:val="00517034"/>
    <w:rsid w:val="005208F2"/>
    <w:rsid w:val="00520FAA"/>
    <w:rsid w:val="00521343"/>
    <w:rsid w:val="00521940"/>
    <w:rsid w:val="00522FB3"/>
    <w:rsid w:val="00523C4F"/>
    <w:rsid w:val="00525D3C"/>
    <w:rsid w:val="0052606B"/>
    <w:rsid w:val="00526C07"/>
    <w:rsid w:val="00526C19"/>
    <w:rsid w:val="00527E41"/>
    <w:rsid w:val="00530748"/>
    <w:rsid w:val="00530D37"/>
    <w:rsid w:val="00530E29"/>
    <w:rsid w:val="0053105C"/>
    <w:rsid w:val="00531C2F"/>
    <w:rsid w:val="00532C6A"/>
    <w:rsid w:val="00532CB2"/>
    <w:rsid w:val="0053387C"/>
    <w:rsid w:val="005353A8"/>
    <w:rsid w:val="005410C2"/>
    <w:rsid w:val="0054164A"/>
    <w:rsid w:val="0054168C"/>
    <w:rsid w:val="00546343"/>
    <w:rsid w:val="00553D2D"/>
    <w:rsid w:val="00556C98"/>
    <w:rsid w:val="00560E5E"/>
    <w:rsid w:val="00561346"/>
    <w:rsid w:val="005616BF"/>
    <w:rsid w:val="00561E27"/>
    <w:rsid w:val="00564662"/>
    <w:rsid w:val="00564A10"/>
    <w:rsid w:val="00564D95"/>
    <w:rsid w:val="005663E4"/>
    <w:rsid w:val="00567BEF"/>
    <w:rsid w:val="00572029"/>
    <w:rsid w:val="00575E20"/>
    <w:rsid w:val="00580455"/>
    <w:rsid w:val="00580606"/>
    <w:rsid w:val="005826C3"/>
    <w:rsid w:val="00583682"/>
    <w:rsid w:val="00583871"/>
    <w:rsid w:val="0058439B"/>
    <w:rsid w:val="00586B7B"/>
    <w:rsid w:val="00586DFB"/>
    <w:rsid w:val="00586E81"/>
    <w:rsid w:val="00587B21"/>
    <w:rsid w:val="00587C0F"/>
    <w:rsid w:val="00590398"/>
    <w:rsid w:val="00590AEA"/>
    <w:rsid w:val="00592A0B"/>
    <w:rsid w:val="0059308E"/>
    <w:rsid w:val="00597102"/>
    <w:rsid w:val="005A0744"/>
    <w:rsid w:val="005A0CCF"/>
    <w:rsid w:val="005A23B8"/>
    <w:rsid w:val="005A4F3F"/>
    <w:rsid w:val="005B0269"/>
    <w:rsid w:val="005B0644"/>
    <w:rsid w:val="005B06D5"/>
    <w:rsid w:val="005B54C7"/>
    <w:rsid w:val="005B5AE1"/>
    <w:rsid w:val="005B5B17"/>
    <w:rsid w:val="005C051F"/>
    <w:rsid w:val="005C2998"/>
    <w:rsid w:val="005C54C1"/>
    <w:rsid w:val="005C762E"/>
    <w:rsid w:val="005D098C"/>
    <w:rsid w:val="005D212F"/>
    <w:rsid w:val="005D37C9"/>
    <w:rsid w:val="005D45C5"/>
    <w:rsid w:val="005D5B9E"/>
    <w:rsid w:val="005D5F15"/>
    <w:rsid w:val="005D5F7D"/>
    <w:rsid w:val="005D6BBF"/>
    <w:rsid w:val="005E1B35"/>
    <w:rsid w:val="005E2FE1"/>
    <w:rsid w:val="005E30F3"/>
    <w:rsid w:val="005E352D"/>
    <w:rsid w:val="005E5958"/>
    <w:rsid w:val="005E76D6"/>
    <w:rsid w:val="005F1EFB"/>
    <w:rsid w:val="005F49E4"/>
    <w:rsid w:val="005F5EC0"/>
    <w:rsid w:val="005F71E3"/>
    <w:rsid w:val="006045D6"/>
    <w:rsid w:val="00604AFB"/>
    <w:rsid w:val="0060536A"/>
    <w:rsid w:val="00605F33"/>
    <w:rsid w:val="0060662A"/>
    <w:rsid w:val="00607E8B"/>
    <w:rsid w:val="00610618"/>
    <w:rsid w:val="006120EB"/>
    <w:rsid w:val="00612789"/>
    <w:rsid w:val="00614AF4"/>
    <w:rsid w:val="00614BDA"/>
    <w:rsid w:val="00616924"/>
    <w:rsid w:val="00617349"/>
    <w:rsid w:val="006206DA"/>
    <w:rsid w:val="0062266D"/>
    <w:rsid w:val="00624868"/>
    <w:rsid w:val="00631CAA"/>
    <w:rsid w:val="006322F9"/>
    <w:rsid w:val="006331B4"/>
    <w:rsid w:val="00633765"/>
    <w:rsid w:val="006343F3"/>
    <w:rsid w:val="00641923"/>
    <w:rsid w:val="00642906"/>
    <w:rsid w:val="00643D01"/>
    <w:rsid w:val="006457EF"/>
    <w:rsid w:val="006518C9"/>
    <w:rsid w:val="00651F1C"/>
    <w:rsid w:val="006532D1"/>
    <w:rsid w:val="006547A1"/>
    <w:rsid w:val="00654C8E"/>
    <w:rsid w:val="006554A3"/>
    <w:rsid w:val="0065777D"/>
    <w:rsid w:val="00662ECD"/>
    <w:rsid w:val="00664CED"/>
    <w:rsid w:val="00665D35"/>
    <w:rsid w:val="00667875"/>
    <w:rsid w:val="00667AE5"/>
    <w:rsid w:val="006707FE"/>
    <w:rsid w:val="00672F34"/>
    <w:rsid w:val="00673998"/>
    <w:rsid w:val="006757DF"/>
    <w:rsid w:val="00682B75"/>
    <w:rsid w:val="0068379E"/>
    <w:rsid w:val="00684FE5"/>
    <w:rsid w:val="00687FD2"/>
    <w:rsid w:val="006901C1"/>
    <w:rsid w:val="0069128A"/>
    <w:rsid w:val="006936E5"/>
    <w:rsid w:val="00695129"/>
    <w:rsid w:val="00695782"/>
    <w:rsid w:val="0069613E"/>
    <w:rsid w:val="006A0E4C"/>
    <w:rsid w:val="006A318D"/>
    <w:rsid w:val="006A39D0"/>
    <w:rsid w:val="006A3DCC"/>
    <w:rsid w:val="006A721F"/>
    <w:rsid w:val="006B0D57"/>
    <w:rsid w:val="006B1E37"/>
    <w:rsid w:val="006B3096"/>
    <w:rsid w:val="006B40C8"/>
    <w:rsid w:val="006B4CA3"/>
    <w:rsid w:val="006C2824"/>
    <w:rsid w:val="006C38E8"/>
    <w:rsid w:val="006C5D3F"/>
    <w:rsid w:val="006C6403"/>
    <w:rsid w:val="006C649D"/>
    <w:rsid w:val="006C6D11"/>
    <w:rsid w:val="006D17B3"/>
    <w:rsid w:val="006D3F7C"/>
    <w:rsid w:val="006D450B"/>
    <w:rsid w:val="006D4650"/>
    <w:rsid w:val="006D55ED"/>
    <w:rsid w:val="006D73F1"/>
    <w:rsid w:val="006E060B"/>
    <w:rsid w:val="006E10E2"/>
    <w:rsid w:val="006E26CC"/>
    <w:rsid w:val="006E26D2"/>
    <w:rsid w:val="006E5F08"/>
    <w:rsid w:val="006F3AB3"/>
    <w:rsid w:val="006F60CC"/>
    <w:rsid w:val="0070031C"/>
    <w:rsid w:val="00700C0B"/>
    <w:rsid w:val="007032E3"/>
    <w:rsid w:val="00703694"/>
    <w:rsid w:val="0070695E"/>
    <w:rsid w:val="0071338A"/>
    <w:rsid w:val="007137D6"/>
    <w:rsid w:val="00715052"/>
    <w:rsid w:val="0071718F"/>
    <w:rsid w:val="00720B9F"/>
    <w:rsid w:val="00731AD2"/>
    <w:rsid w:val="00732519"/>
    <w:rsid w:val="007339EE"/>
    <w:rsid w:val="00734D44"/>
    <w:rsid w:val="00742421"/>
    <w:rsid w:val="007464AA"/>
    <w:rsid w:val="00750054"/>
    <w:rsid w:val="00750464"/>
    <w:rsid w:val="00751A0A"/>
    <w:rsid w:val="0075321A"/>
    <w:rsid w:val="00755664"/>
    <w:rsid w:val="00755794"/>
    <w:rsid w:val="00760A09"/>
    <w:rsid w:val="0076115D"/>
    <w:rsid w:val="00761733"/>
    <w:rsid w:val="0076324A"/>
    <w:rsid w:val="00771F03"/>
    <w:rsid w:val="007738DD"/>
    <w:rsid w:val="00777801"/>
    <w:rsid w:val="0078364D"/>
    <w:rsid w:val="0078666B"/>
    <w:rsid w:val="00790037"/>
    <w:rsid w:val="0079012E"/>
    <w:rsid w:val="007921F8"/>
    <w:rsid w:val="00796B58"/>
    <w:rsid w:val="00797DDA"/>
    <w:rsid w:val="007A0AC3"/>
    <w:rsid w:val="007A0F8F"/>
    <w:rsid w:val="007A2BA5"/>
    <w:rsid w:val="007A4EEE"/>
    <w:rsid w:val="007A5888"/>
    <w:rsid w:val="007A739B"/>
    <w:rsid w:val="007B187A"/>
    <w:rsid w:val="007B6980"/>
    <w:rsid w:val="007B6DB1"/>
    <w:rsid w:val="007B7F7D"/>
    <w:rsid w:val="007C153B"/>
    <w:rsid w:val="007C23ED"/>
    <w:rsid w:val="007C3644"/>
    <w:rsid w:val="007C6E88"/>
    <w:rsid w:val="007D16E2"/>
    <w:rsid w:val="007D3201"/>
    <w:rsid w:val="007D55CA"/>
    <w:rsid w:val="007D5E33"/>
    <w:rsid w:val="007D6075"/>
    <w:rsid w:val="007D6A76"/>
    <w:rsid w:val="007D6BFE"/>
    <w:rsid w:val="007E6DF2"/>
    <w:rsid w:val="007E7DDD"/>
    <w:rsid w:val="007F244A"/>
    <w:rsid w:val="007F268E"/>
    <w:rsid w:val="007F4DE1"/>
    <w:rsid w:val="007F4E2B"/>
    <w:rsid w:val="007F573C"/>
    <w:rsid w:val="008005AC"/>
    <w:rsid w:val="00802238"/>
    <w:rsid w:val="00803B1A"/>
    <w:rsid w:val="008048F9"/>
    <w:rsid w:val="008068B3"/>
    <w:rsid w:val="00813323"/>
    <w:rsid w:val="008140E2"/>
    <w:rsid w:val="00817C4A"/>
    <w:rsid w:val="00820D2E"/>
    <w:rsid w:val="00820DCC"/>
    <w:rsid w:val="00821246"/>
    <w:rsid w:val="0082200D"/>
    <w:rsid w:val="00822D0B"/>
    <w:rsid w:val="00824095"/>
    <w:rsid w:val="008265B9"/>
    <w:rsid w:val="0082740A"/>
    <w:rsid w:val="00830043"/>
    <w:rsid w:val="00835A27"/>
    <w:rsid w:val="00835CAE"/>
    <w:rsid w:val="00836700"/>
    <w:rsid w:val="0084390B"/>
    <w:rsid w:val="0084494B"/>
    <w:rsid w:val="00845797"/>
    <w:rsid w:val="008475B9"/>
    <w:rsid w:val="008505C3"/>
    <w:rsid w:val="00851D79"/>
    <w:rsid w:val="00863CB1"/>
    <w:rsid w:val="0086406E"/>
    <w:rsid w:val="0086472B"/>
    <w:rsid w:val="00864E37"/>
    <w:rsid w:val="00870928"/>
    <w:rsid w:val="008763ED"/>
    <w:rsid w:val="008769BB"/>
    <w:rsid w:val="00877774"/>
    <w:rsid w:val="00880AC1"/>
    <w:rsid w:val="00883582"/>
    <w:rsid w:val="00884ABB"/>
    <w:rsid w:val="00885726"/>
    <w:rsid w:val="00886D54"/>
    <w:rsid w:val="00890F2B"/>
    <w:rsid w:val="00891E86"/>
    <w:rsid w:val="00897087"/>
    <w:rsid w:val="00897F77"/>
    <w:rsid w:val="008A1E14"/>
    <w:rsid w:val="008A2B01"/>
    <w:rsid w:val="008A33C3"/>
    <w:rsid w:val="008A59AF"/>
    <w:rsid w:val="008B4541"/>
    <w:rsid w:val="008B6FE2"/>
    <w:rsid w:val="008B753F"/>
    <w:rsid w:val="008C3409"/>
    <w:rsid w:val="008C4F5B"/>
    <w:rsid w:val="008C78EA"/>
    <w:rsid w:val="008D0430"/>
    <w:rsid w:val="008D17B0"/>
    <w:rsid w:val="008D36D1"/>
    <w:rsid w:val="008D4AD8"/>
    <w:rsid w:val="008D573B"/>
    <w:rsid w:val="008D68EA"/>
    <w:rsid w:val="008E15BC"/>
    <w:rsid w:val="008E193A"/>
    <w:rsid w:val="008E23FE"/>
    <w:rsid w:val="008E2FBB"/>
    <w:rsid w:val="008E4D0F"/>
    <w:rsid w:val="008E73E0"/>
    <w:rsid w:val="008E7585"/>
    <w:rsid w:val="008F00FE"/>
    <w:rsid w:val="008F03D4"/>
    <w:rsid w:val="008F2A41"/>
    <w:rsid w:val="008F546E"/>
    <w:rsid w:val="008F5574"/>
    <w:rsid w:val="008F569B"/>
    <w:rsid w:val="008F7275"/>
    <w:rsid w:val="00901E23"/>
    <w:rsid w:val="00912C11"/>
    <w:rsid w:val="0091438E"/>
    <w:rsid w:val="00916D63"/>
    <w:rsid w:val="009216C7"/>
    <w:rsid w:val="0092657D"/>
    <w:rsid w:val="00926674"/>
    <w:rsid w:val="009266F3"/>
    <w:rsid w:val="0093330D"/>
    <w:rsid w:val="00936EE3"/>
    <w:rsid w:val="00940E9B"/>
    <w:rsid w:val="0094108F"/>
    <w:rsid w:val="009427F1"/>
    <w:rsid w:val="0094366C"/>
    <w:rsid w:val="0094429A"/>
    <w:rsid w:val="0094626E"/>
    <w:rsid w:val="00946564"/>
    <w:rsid w:val="00950BB5"/>
    <w:rsid w:val="00951001"/>
    <w:rsid w:val="0095182A"/>
    <w:rsid w:val="00953ADF"/>
    <w:rsid w:val="00956443"/>
    <w:rsid w:val="00957149"/>
    <w:rsid w:val="009571B1"/>
    <w:rsid w:val="00960AFC"/>
    <w:rsid w:val="00960D49"/>
    <w:rsid w:val="009631D9"/>
    <w:rsid w:val="00971BAA"/>
    <w:rsid w:val="009766B9"/>
    <w:rsid w:val="00980C93"/>
    <w:rsid w:val="00981BAD"/>
    <w:rsid w:val="009822F0"/>
    <w:rsid w:val="00982B83"/>
    <w:rsid w:val="00984D86"/>
    <w:rsid w:val="009914E7"/>
    <w:rsid w:val="00991F20"/>
    <w:rsid w:val="009920E1"/>
    <w:rsid w:val="00993024"/>
    <w:rsid w:val="009937B6"/>
    <w:rsid w:val="009943D3"/>
    <w:rsid w:val="00994B11"/>
    <w:rsid w:val="0099502F"/>
    <w:rsid w:val="009A47F7"/>
    <w:rsid w:val="009A5C71"/>
    <w:rsid w:val="009A629A"/>
    <w:rsid w:val="009B1ADA"/>
    <w:rsid w:val="009B1D22"/>
    <w:rsid w:val="009B621A"/>
    <w:rsid w:val="009C0A56"/>
    <w:rsid w:val="009C0D09"/>
    <w:rsid w:val="009C0DB6"/>
    <w:rsid w:val="009C0F54"/>
    <w:rsid w:val="009C1B03"/>
    <w:rsid w:val="009C215B"/>
    <w:rsid w:val="009C4176"/>
    <w:rsid w:val="009C45D9"/>
    <w:rsid w:val="009C6466"/>
    <w:rsid w:val="009C6BFB"/>
    <w:rsid w:val="009C6F32"/>
    <w:rsid w:val="009C70A3"/>
    <w:rsid w:val="009D07BE"/>
    <w:rsid w:val="009E745E"/>
    <w:rsid w:val="009F081F"/>
    <w:rsid w:val="009F1693"/>
    <w:rsid w:val="009F2F4C"/>
    <w:rsid w:val="009F5589"/>
    <w:rsid w:val="00A01F83"/>
    <w:rsid w:val="00A02D88"/>
    <w:rsid w:val="00A057B4"/>
    <w:rsid w:val="00A063FC"/>
    <w:rsid w:val="00A06657"/>
    <w:rsid w:val="00A106F6"/>
    <w:rsid w:val="00A121E5"/>
    <w:rsid w:val="00A1294A"/>
    <w:rsid w:val="00A12B22"/>
    <w:rsid w:val="00A13631"/>
    <w:rsid w:val="00A16526"/>
    <w:rsid w:val="00A1760E"/>
    <w:rsid w:val="00A22603"/>
    <w:rsid w:val="00A23EBD"/>
    <w:rsid w:val="00A30CD4"/>
    <w:rsid w:val="00A3293F"/>
    <w:rsid w:val="00A33C63"/>
    <w:rsid w:val="00A42014"/>
    <w:rsid w:val="00A43073"/>
    <w:rsid w:val="00A43F5F"/>
    <w:rsid w:val="00A441A7"/>
    <w:rsid w:val="00A4507D"/>
    <w:rsid w:val="00A46DB8"/>
    <w:rsid w:val="00A47355"/>
    <w:rsid w:val="00A50E13"/>
    <w:rsid w:val="00A51066"/>
    <w:rsid w:val="00A526C9"/>
    <w:rsid w:val="00A533B0"/>
    <w:rsid w:val="00A564DE"/>
    <w:rsid w:val="00A56539"/>
    <w:rsid w:val="00A610CF"/>
    <w:rsid w:val="00A644BF"/>
    <w:rsid w:val="00A64DB0"/>
    <w:rsid w:val="00A72071"/>
    <w:rsid w:val="00A72C3E"/>
    <w:rsid w:val="00A748B2"/>
    <w:rsid w:val="00A75DC2"/>
    <w:rsid w:val="00A77814"/>
    <w:rsid w:val="00A82323"/>
    <w:rsid w:val="00A8333E"/>
    <w:rsid w:val="00A83D95"/>
    <w:rsid w:val="00A84D8B"/>
    <w:rsid w:val="00A86D3D"/>
    <w:rsid w:val="00A87AF4"/>
    <w:rsid w:val="00A90B8D"/>
    <w:rsid w:val="00A9226C"/>
    <w:rsid w:val="00A92E64"/>
    <w:rsid w:val="00A93566"/>
    <w:rsid w:val="00AA0074"/>
    <w:rsid w:val="00AA0FC3"/>
    <w:rsid w:val="00AA2E9A"/>
    <w:rsid w:val="00AA3D42"/>
    <w:rsid w:val="00AB164F"/>
    <w:rsid w:val="00AB1B8A"/>
    <w:rsid w:val="00AB2948"/>
    <w:rsid w:val="00AB2D32"/>
    <w:rsid w:val="00AB39FA"/>
    <w:rsid w:val="00AB5D04"/>
    <w:rsid w:val="00AB7BBF"/>
    <w:rsid w:val="00AB7EA3"/>
    <w:rsid w:val="00AC16EF"/>
    <w:rsid w:val="00AC18D7"/>
    <w:rsid w:val="00AC4C6D"/>
    <w:rsid w:val="00AC4FCA"/>
    <w:rsid w:val="00AC5C23"/>
    <w:rsid w:val="00AD10DD"/>
    <w:rsid w:val="00AD1B0E"/>
    <w:rsid w:val="00AD6933"/>
    <w:rsid w:val="00AD6B7B"/>
    <w:rsid w:val="00AE3233"/>
    <w:rsid w:val="00AE4EFB"/>
    <w:rsid w:val="00AE6345"/>
    <w:rsid w:val="00AF033F"/>
    <w:rsid w:val="00AF39FD"/>
    <w:rsid w:val="00AF3DB5"/>
    <w:rsid w:val="00AF6101"/>
    <w:rsid w:val="00AF67FE"/>
    <w:rsid w:val="00AF68E7"/>
    <w:rsid w:val="00B01D5A"/>
    <w:rsid w:val="00B0252D"/>
    <w:rsid w:val="00B02F8D"/>
    <w:rsid w:val="00B0359B"/>
    <w:rsid w:val="00B04404"/>
    <w:rsid w:val="00B0454E"/>
    <w:rsid w:val="00B1320B"/>
    <w:rsid w:val="00B145F7"/>
    <w:rsid w:val="00B14B9B"/>
    <w:rsid w:val="00B21009"/>
    <w:rsid w:val="00B21AC8"/>
    <w:rsid w:val="00B22BA0"/>
    <w:rsid w:val="00B232AF"/>
    <w:rsid w:val="00B36138"/>
    <w:rsid w:val="00B40295"/>
    <w:rsid w:val="00B4236D"/>
    <w:rsid w:val="00B443ED"/>
    <w:rsid w:val="00B4501D"/>
    <w:rsid w:val="00B45B5E"/>
    <w:rsid w:val="00B505CC"/>
    <w:rsid w:val="00B53399"/>
    <w:rsid w:val="00B551BA"/>
    <w:rsid w:val="00B572D8"/>
    <w:rsid w:val="00B64A02"/>
    <w:rsid w:val="00B64B0F"/>
    <w:rsid w:val="00B66AF1"/>
    <w:rsid w:val="00B67EE1"/>
    <w:rsid w:val="00B74440"/>
    <w:rsid w:val="00B74937"/>
    <w:rsid w:val="00B75CD3"/>
    <w:rsid w:val="00B765CF"/>
    <w:rsid w:val="00B82443"/>
    <w:rsid w:val="00B84783"/>
    <w:rsid w:val="00B856D9"/>
    <w:rsid w:val="00B91A21"/>
    <w:rsid w:val="00B96A65"/>
    <w:rsid w:val="00BA0877"/>
    <w:rsid w:val="00BA428D"/>
    <w:rsid w:val="00BA5150"/>
    <w:rsid w:val="00BB047B"/>
    <w:rsid w:val="00BB16D7"/>
    <w:rsid w:val="00BB2496"/>
    <w:rsid w:val="00BB2E33"/>
    <w:rsid w:val="00BB3EB9"/>
    <w:rsid w:val="00BB6398"/>
    <w:rsid w:val="00BB6479"/>
    <w:rsid w:val="00BC0602"/>
    <w:rsid w:val="00BC52F2"/>
    <w:rsid w:val="00BD0372"/>
    <w:rsid w:val="00BD1664"/>
    <w:rsid w:val="00BD170D"/>
    <w:rsid w:val="00BD1EBD"/>
    <w:rsid w:val="00BD2212"/>
    <w:rsid w:val="00BD6278"/>
    <w:rsid w:val="00BD6978"/>
    <w:rsid w:val="00BD6E73"/>
    <w:rsid w:val="00BD70DF"/>
    <w:rsid w:val="00BE1EF3"/>
    <w:rsid w:val="00BE231F"/>
    <w:rsid w:val="00BE641A"/>
    <w:rsid w:val="00BF215A"/>
    <w:rsid w:val="00BF41FE"/>
    <w:rsid w:val="00BF6CD1"/>
    <w:rsid w:val="00C00216"/>
    <w:rsid w:val="00C01490"/>
    <w:rsid w:val="00C04F89"/>
    <w:rsid w:val="00C1238F"/>
    <w:rsid w:val="00C139CA"/>
    <w:rsid w:val="00C14336"/>
    <w:rsid w:val="00C22A58"/>
    <w:rsid w:val="00C24051"/>
    <w:rsid w:val="00C2558B"/>
    <w:rsid w:val="00C3210D"/>
    <w:rsid w:val="00C33DCC"/>
    <w:rsid w:val="00C350B5"/>
    <w:rsid w:val="00C36770"/>
    <w:rsid w:val="00C370D0"/>
    <w:rsid w:val="00C42402"/>
    <w:rsid w:val="00C42AF8"/>
    <w:rsid w:val="00C44F59"/>
    <w:rsid w:val="00C47C48"/>
    <w:rsid w:val="00C47EDB"/>
    <w:rsid w:val="00C51042"/>
    <w:rsid w:val="00C51429"/>
    <w:rsid w:val="00C521C8"/>
    <w:rsid w:val="00C54813"/>
    <w:rsid w:val="00C62416"/>
    <w:rsid w:val="00C650E6"/>
    <w:rsid w:val="00C65B98"/>
    <w:rsid w:val="00C66455"/>
    <w:rsid w:val="00C66F7A"/>
    <w:rsid w:val="00C677B3"/>
    <w:rsid w:val="00C6789C"/>
    <w:rsid w:val="00C67D66"/>
    <w:rsid w:val="00C74E50"/>
    <w:rsid w:val="00C75266"/>
    <w:rsid w:val="00C804FC"/>
    <w:rsid w:val="00C856E1"/>
    <w:rsid w:val="00C863E4"/>
    <w:rsid w:val="00C875E7"/>
    <w:rsid w:val="00C90B60"/>
    <w:rsid w:val="00C92C23"/>
    <w:rsid w:val="00C92DC9"/>
    <w:rsid w:val="00C92FA7"/>
    <w:rsid w:val="00C93BBC"/>
    <w:rsid w:val="00C961E2"/>
    <w:rsid w:val="00CA1C1B"/>
    <w:rsid w:val="00CA3438"/>
    <w:rsid w:val="00CA3AE3"/>
    <w:rsid w:val="00CA44A0"/>
    <w:rsid w:val="00CB0573"/>
    <w:rsid w:val="00CB0C40"/>
    <w:rsid w:val="00CB43F8"/>
    <w:rsid w:val="00CB67D5"/>
    <w:rsid w:val="00CC09D7"/>
    <w:rsid w:val="00CC1A4C"/>
    <w:rsid w:val="00CC345A"/>
    <w:rsid w:val="00CC3B4A"/>
    <w:rsid w:val="00CC42D2"/>
    <w:rsid w:val="00CC59C2"/>
    <w:rsid w:val="00CC73C5"/>
    <w:rsid w:val="00CC7D1D"/>
    <w:rsid w:val="00CD1D7E"/>
    <w:rsid w:val="00CD4535"/>
    <w:rsid w:val="00CD45E7"/>
    <w:rsid w:val="00CD4E49"/>
    <w:rsid w:val="00CD7303"/>
    <w:rsid w:val="00CE3DF5"/>
    <w:rsid w:val="00CF1ABE"/>
    <w:rsid w:val="00CF30B7"/>
    <w:rsid w:val="00CF5101"/>
    <w:rsid w:val="00CF5AC1"/>
    <w:rsid w:val="00CF5D71"/>
    <w:rsid w:val="00CF70C0"/>
    <w:rsid w:val="00D0064A"/>
    <w:rsid w:val="00D023A3"/>
    <w:rsid w:val="00D0337D"/>
    <w:rsid w:val="00D04075"/>
    <w:rsid w:val="00D04364"/>
    <w:rsid w:val="00D07991"/>
    <w:rsid w:val="00D10077"/>
    <w:rsid w:val="00D20DB6"/>
    <w:rsid w:val="00D21440"/>
    <w:rsid w:val="00D23601"/>
    <w:rsid w:val="00D246E3"/>
    <w:rsid w:val="00D26C52"/>
    <w:rsid w:val="00D30703"/>
    <w:rsid w:val="00D30A3D"/>
    <w:rsid w:val="00D3164D"/>
    <w:rsid w:val="00D33CDB"/>
    <w:rsid w:val="00D34A3A"/>
    <w:rsid w:val="00D35A37"/>
    <w:rsid w:val="00D3612A"/>
    <w:rsid w:val="00D36CE6"/>
    <w:rsid w:val="00D3737F"/>
    <w:rsid w:val="00D37703"/>
    <w:rsid w:val="00D37874"/>
    <w:rsid w:val="00D37A53"/>
    <w:rsid w:val="00D37F25"/>
    <w:rsid w:val="00D459D6"/>
    <w:rsid w:val="00D46D3C"/>
    <w:rsid w:val="00D475DC"/>
    <w:rsid w:val="00D53518"/>
    <w:rsid w:val="00D53C4C"/>
    <w:rsid w:val="00D55DF4"/>
    <w:rsid w:val="00D57A48"/>
    <w:rsid w:val="00D60451"/>
    <w:rsid w:val="00D60C43"/>
    <w:rsid w:val="00D70ECC"/>
    <w:rsid w:val="00D710D8"/>
    <w:rsid w:val="00D7121C"/>
    <w:rsid w:val="00D72D67"/>
    <w:rsid w:val="00D72DC8"/>
    <w:rsid w:val="00D730BE"/>
    <w:rsid w:val="00D743FC"/>
    <w:rsid w:val="00D76ADF"/>
    <w:rsid w:val="00D777E4"/>
    <w:rsid w:val="00D77C5E"/>
    <w:rsid w:val="00D803FC"/>
    <w:rsid w:val="00D81704"/>
    <w:rsid w:val="00D8237F"/>
    <w:rsid w:val="00D83DF8"/>
    <w:rsid w:val="00D84097"/>
    <w:rsid w:val="00D8745E"/>
    <w:rsid w:val="00D902F7"/>
    <w:rsid w:val="00D93FB2"/>
    <w:rsid w:val="00D967FD"/>
    <w:rsid w:val="00D96AA3"/>
    <w:rsid w:val="00D97640"/>
    <w:rsid w:val="00DA0851"/>
    <w:rsid w:val="00DA0D5B"/>
    <w:rsid w:val="00DA3A83"/>
    <w:rsid w:val="00DA5E1E"/>
    <w:rsid w:val="00DB046D"/>
    <w:rsid w:val="00DB3B6B"/>
    <w:rsid w:val="00DB6F93"/>
    <w:rsid w:val="00DC034A"/>
    <w:rsid w:val="00DD04E4"/>
    <w:rsid w:val="00DD2759"/>
    <w:rsid w:val="00DD290B"/>
    <w:rsid w:val="00DD3E8D"/>
    <w:rsid w:val="00DD61F3"/>
    <w:rsid w:val="00DD6CA2"/>
    <w:rsid w:val="00DD7831"/>
    <w:rsid w:val="00DD7B5F"/>
    <w:rsid w:val="00DE1672"/>
    <w:rsid w:val="00DE5561"/>
    <w:rsid w:val="00DE62F0"/>
    <w:rsid w:val="00DE643F"/>
    <w:rsid w:val="00DE7BCB"/>
    <w:rsid w:val="00DF2551"/>
    <w:rsid w:val="00DF5489"/>
    <w:rsid w:val="00DF5E81"/>
    <w:rsid w:val="00DF67CC"/>
    <w:rsid w:val="00E006F1"/>
    <w:rsid w:val="00E036ED"/>
    <w:rsid w:val="00E03AD5"/>
    <w:rsid w:val="00E0748A"/>
    <w:rsid w:val="00E15572"/>
    <w:rsid w:val="00E15847"/>
    <w:rsid w:val="00E176C7"/>
    <w:rsid w:val="00E179E8"/>
    <w:rsid w:val="00E22A91"/>
    <w:rsid w:val="00E23258"/>
    <w:rsid w:val="00E27ACF"/>
    <w:rsid w:val="00E32D91"/>
    <w:rsid w:val="00E3340E"/>
    <w:rsid w:val="00E345AE"/>
    <w:rsid w:val="00E3671A"/>
    <w:rsid w:val="00E410EF"/>
    <w:rsid w:val="00E42771"/>
    <w:rsid w:val="00E4622C"/>
    <w:rsid w:val="00E46754"/>
    <w:rsid w:val="00E47072"/>
    <w:rsid w:val="00E474FD"/>
    <w:rsid w:val="00E51FFB"/>
    <w:rsid w:val="00E56C95"/>
    <w:rsid w:val="00E57666"/>
    <w:rsid w:val="00E604D5"/>
    <w:rsid w:val="00E60AD0"/>
    <w:rsid w:val="00E62C5B"/>
    <w:rsid w:val="00E63036"/>
    <w:rsid w:val="00E66775"/>
    <w:rsid w:val="00E67F46"/>
    <w:rsid w:val="00E702D4"/>
    <w:rsid w:val="00E70520"/>
    <w:rsid w:val="00E71147"/>
    <w:rsid w:val="00E71488"/>
    <w:rsid w:val="00E752DB"/>
    <w:rsid w:val="00E83D1D"/>
    <w:rsid w:val="00E854E2"/>
    <w:rsid w:val="00E86DC5"/>
    <w:rsid w:val="00E925EA"/>
    <w:rsid w:val="00E928CE"/>
    <w:rsid w:val="00E935BC"/>
    <w:rsid w:val="00E942DC"/>
    <w:rsid w:val="00E960D3"/>
    <w:rsid w:val="00E97FC3"/>
    <w:rsid w:val="00EA1E01"/>
    <w:rsid w:val="00EA48C3"/>
    <w:rsid w:val="00EA55A1"/>
    <w:rsid w:val="00EA6BE8"/>
    <w:rsid w:val="00EA74D7"/>
    <w:rsid w:val="00EB1101"/>
    <w:rsid w:val="00EB1674"/>
    <w:rsid w:val="00EB688F"/>
    <w:rsid w:val="00EB698E"/>
    <w:rsid w:val="00EC4169"/>
    <w:rsid w:val="00EC4497"/>
    <w:rsid w:val="00EC450A"/>
    <w:rsid w:val="00EC649D"/>
    <w:rsid w:val="00EC78AF"/>
    <w:rsid w:val="00ED2EE7"/>
    <w:rsid w:val="00ED405E"/>
    <w:rsid w:val="00ED5440"/>
    <w:rsid w:val="00ED54DF"/>
    <w:rsid w:val="00ED5FF2"/>
    <w:rsid w:val="00ED6A42"/>
    <w:rsid w:val="00ED73F6"/>
    <w:rsid w:val="00ED74B4"/>
    <w:rsid w:val="00ED7BB3"/>
    <w:rsid w:val="00EE0255"/>
    <w:rsid w:val="00EE0578"/>
    <w:rsid w:val="00EE0617"/>
    <w:rsid w:val="00EE1307"/>
    <w:rsid w:val="00EE1447"/>
    <w:rsid w:val="00EE1AD4"/>
    <w:rsid w:val="00EE50A0"/>
    <w:rsid w:val="00EF04AF"/>
    <w:rsid w:val="00EF04C1"/>
    <w:rsid w:val="00EF12A4"/>
    <w:rsid w:val="00EF2069"/>
    <w:rsid w:val="00EF4204"/>
    <w:rsid w:val="00EF4A3D"/>
    <w:rsid w:val="00EF5DFB"/>
    <w:rsid w:val="00EF631B"/>
    <w:rsid w:val="00EF7EE0"/>
    <w:rsid w:val="00F019B3"/>
    <w:rsid w:val="00F02D56"/>
    <w:rsid w:val="00F03AA9"/>
    <w:rsid w:val="00F04192"/>
    <w:rsid w:val="00F07DA8"/>
    <w:rsid w:val="00F140F5"/>
    <w:rsid w:val="00F15A66"/>
    <w:rsid w:val="00F169B4"/>
    <w:rsid w:val="00F17336"/>
    <w:rsid w:val="00F21484"/>
    <w:rsid w:val="00F24C8C"/>
    <w:rsid w:val="00F2684C"/>
    <w:rsid w:val="00F268BA"/>
    <w:rsid w:val="00F26A9F"/>
    <w:rsid w:val="00F272C4"/>
    <w:rsid w:val="00F305B1"/>
    <w:rsid w:val="00F3198F"/>
    <w:rsid w:val="00F328AE"/>
    <w:rsid w:val="00F32F67"/>
    <w:rsid w:val="00F3565A"/>
    <w:rsid w:val="00F374A7"/>
    <w:rsid w:val="00F40176"/>
    <w:rsid w:val="00F40C75"/>
    <w:rsid w:val="00F415B7"/>
    <w:rsid w:val="00F427F3"/>
    <w:rsid w:val="00F479FE"/>
    <w:rsid w:val="00F50553"/>
    <w:rsid w:val="00F526E3"/>
    <w:rsid w:val="00F53F73"/>
    <w:rsid w:val="00F5472C"/>
    <w:rsid w:val="00F57A15"/>
    <w:rsid w:val="00F60648"/>
    <w:rsid w:val="00F715BC"/>
    <w:rsid w:val="00F72712"/>
    <w:rsid w:val="00F72F21"/>
    <w:rsid w:val="00F7500B"/>
    <w:rsid w:val="00F77442"/>
    <w:rsid w:val="00F8065A"/>
    <w:rsid w:val="00F8339C"/>
    <w:rsid w:val="00F855B5"/>
    <w:rsid w:val="00F86AF2"/>
    <w:rsid w:val="00F86C16"/>
    <w:rsid w:val="00FA23BF"/>
    <w:rsid w:val="00FA27F0"/>
    <w:rsid w:val="00FA7FA9"/>
    <w:rsid w:val="00FB27B0"/>
    <w:rsid w:val="00FB5B34"/>
    <w:rsid w:val="00FB5D7B"/>
    <w:rsid w:val="00FB6645"/>
    <w:rsid w:val="00FB6B7D"/>
    <w:rsid w:val="00FC2AD8"/>
    <w:rsid w:val="00FC70D0"/>
    <w:rsid w:val="00FD0758"/>
    <w:rsid w:val="00FD1B66"/>
    <w:rsid w:val="00FD1E29"/>
    <w:rsid w:val="00FD1FE9"/>
    <w:rsid w:val="00FD507D"/>
    <w:rsid w:val="00FD579B"/>
    <w:rsid w:val="00FD66E2"/>
    <w:rsid w:val="00FD72BC"/>
    <w:rsid w:val="00FE1C48"/>
    <w:rsid w:val="00FE5F5D"/>
    <w:rsid w:val="00FF5831"/>
    <w:rsid w:val="00FF6606"/>
    <w:rsid w:val="0121516A"/>
    <w:rsid w:val="01E9AC3D"/>
    <w:rsid w:val="023D7AA1"/>
    <w:rsid w:val="0376DC69"/>
    <w:rsid w:val="03FAC047"/>
    <w:rsid w:val="0707BC73"/>
    <w:rsid w:val="08536F25"/>
    <w:rsid w:val="0911C084"/>
    <w:rsid w:val="0A4DBBEF"/>
    <w:rsid w:val="0A8277BF"/>
    <w:rsid w:val="0AFD67D8"/>
    <w:rsid w:val="0B9A309B"/>
    <w:rsid w:val="0C4AB9A9"/>
    <w:rsid w:val="0EE4557F"/>
    <w:rsid w:val="1056D741"/>
    <w:rsid w:val="107D7F52"/>
    <w:rsid w:val="10B9E003"/>
    <w:rsid w:val="1120297F"/>
    <w:rsid w:val="1133A3AA"/>
    <w:rsid w:val="13ACFD35"/>
    <w:rsid w:val="16BC4763"/>
    <w:rsid w:val="172B927E"/>
    <w:rsid w:val="173A411F"/>
    <w:rsid w:val="1744664E"/>
    <w:rsid w:val="1925BE20"/>
    <w:rsid w:val="1CD1B89A"/>
    <w:rsid w:val="1D79DA20"/>
    <w:rsid w:val="1EAA5C96"/>
    <w:rsid w:val="1FAC42DC"/>
    <w:rsid w:val="201A0CDC"/>
    <w:rsid w:val="20436BAB"/>
    <w:rsid w:val="20A3F8AC"/>
    <w:rsid w:val="2121ED6B"/>
    <w:rsid w:val="21ABBF68"/>
    <w:rsid w:val="21CEF10C"/>
    <w:rsid w:val="227A05A4"/>
    <w:rsid w:val="23F67DD8"/>
    <w:rsid w:val="263705B2"/>
    <w:rsid w:val="278122CF"/>
    <w:rsid w:val="292FD14E"/>
    <w:rsid w:val="2A316463"/>
    <w:rsid w:val="2A4153B6"/>
    <w:rsid w:val="2AB76DA9"/>
    <w:rsid w:val="2ADF607E"/>
    <w:rsid w:val="2AF2AB1C"/>
    <w:rsid w:val="2B5A1364"/>
    <w:rsid w:val="2FABE8D6"/>
    <w:rsid w:val="2FC21BDB"/>
    <w:rsid w:val="323B24E8"/>
    <w:rsid w:val="32E266E1"/>
    <w:rsid w:val="3424E556"/>
    <w:rsid w:val="34A5806F"/>
    <w:rsid w:val="36246030"/>
    <w:rsid w:val="367A510D"/>
    <w:rsid w:val="3681B608"/>
    <w:rsid w:val="37CC9648"/>
    <w:rsid w:val="3B45CA18"/>
    <w:rsid w:val="3CE36AA0"/>
    <w:rsid w:val="3F3D7B97"/>
    <w:rsid w:val="405501FC"/>
    <w:rsid w:val="4060920D"/>
    <w:rsid w:val="40DCDD31"/>
    <w:rsid w:val="4183533A"/>
    <w:rsid w:val="426005E2"/>
    <w:rsid w:val="43CA06D7"/>
    <w:rsid w:val="46DBD41E"/>
    <w:rsid w:val="47B38D5E"/>
    <w:rsid w:val="49B462B6"/>
    <w:rsid w:val="4A4CBF52"/>
    <w:rsid w:val="4A4F517A"/>
    <w:rsid w:val="4AABC3D7"/>
    <w:rsid w:val="4AE13D18"/>
    <w:rsid w:val="4AFB9591"/>
    <w:rsid w:val="4B32D343"/>
    <w:rsid w:val="4B7BADDB"/>
    <w:rsid w:val="4D9369BD"/>
    <w:rsid w:val="4E617C63"/>
    <w:rsid w:val="4EA40FDA"/>
    <w:rsid w:val="4EAC296B"/>
    <w:rsid w:val="4EE14649"/>
    <w:rsid w:val="4F80AE15"/>
    <w:rsid w:val="525CC24B"/>
    <w:rsid w:val="52CD814A"/>
    <w:rsid w:val="534452A5"/>
    <w:rsid w:val="541D6F7B"/>
    <w:rsid w:val="55AF5A7F"/>
    <w:rsid w:val="57B31D9F"/>
    <w:rsid w:val="599A6D46"/>
    <w:rsid w:val="59DBC49D"/>
    <w:rsid w:val="5C808115"/>
    <w:rsid w:val="5D1F3B02"/>
    <w:rsid w:val="5E2326EB"/>
    <w:rsid w:val="5EF31E68"/>
    <w:rsid w:val="5F5B3265"/>
    <w:rsid w:val="5F7BE129"/>
    <w:rsid w:val="5FF0B1DE"/>
    <w:rsid w:val="60ECCFEC"/>
    <w:rsid w:val="616E7FC3"/>
    <w:rsid w:val="62138953"/>
    <w:rsid w:val="629963AF"/>
    <w:rsid w:val="62AA8299"/>
    <w:rsid w:val="6430FAB8"/>
    <w:rsid w:val="670BEEB1"/>
    <w:rsid w:val="671C306A"/>
    <w:rsid w:val="67B0BDC5"/>
    <w:rsid w:val="67F8AF56"/>
    <w:rsid w:val="68D2B32A"/>
    <w:rsid w:val="6976B31D"/>
    <w:rsid w:val="69776BA7"/>
    <w:rsid w:val="6AEDF784"/>
    <w:rsid w:val="6BB6D76A"/>
    <w:rsid w:val="6D540F9D"/>
    <w:rsid w:val="6EE5CD28"/>
    <w:rsid w:val="705B4940"/>
    <w:rsid w:val="71DADB7B"/>
    <w:rsid w:val="72D88378"/>
    <w:rsid w:val="736FFD49"/>
    <w:rsid w:val="73D9645F"/>
    <w:rsid w:val="74EFCD96"/>
    <w:rsid w:val="7606A942"/>
    <w:rsid w:val="76A9DD17"/>
    <w:rsid w:val="7991B14B"/>
    <w:rsid w:val="7A459A0A"/>
    <w:rsid w:val="7A97D1C1"/>
    <w:rsid w:val="7B0533A6"/>
    <w:rsid w:val="7D65B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2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rFonts w:cs="Times New Roman"/>
      <w:szCs w:val="24"/>
      <w:lang w:val="x-none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92657D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9C6BFB"/>
    <w:pPr>
      <w:keepNext/>
      <w:spacing w:after="60"/>
    </w:pPr>
    <w:rPr>
      <w:sz w:val="22"/>
      <w:lang w:val="en-GB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  <w:rPr>
      <w:lang w:val="en-GB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semiHidden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  <w:lang w:val="en-GB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575E20"/>
    <w:rPr>
      <w:color w:val="800080"/>
      <w:u w:val="single"/>
    </w:rPr>
  </w:style>
  <w:style w:type="character" w:customStyle="1" w:styleId="CommentTextChar">
    <w:name w:val="Comment Text Char"/>
    <w:link w:val="CommentText"/>
    <w:rsid w:val="00020097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paragraph" w:styleId="ListParagraph">
    <w:name w:val="List Paragraph"/>
    <w:basedOn w:val="Normal"/>
    <w:uiPriority w:val="34"/>
    <w:qFormat/>
    <w:rsid w:val="00E46754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21C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569B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7D32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ICEnormal"/>
    <w:next w:val="NICEnormal"/>
    <w:unhideWhenUsed/>
    <w:qFormat/>
    <w:rsid w:val="009C6BFB"/>
    <w:pPr>
      <w:keepNext/>
      <w:spacing w:after="200"/>
    </w:pPr>
    <w:rPr>
      <w:b/>
      <w:iCs/>
      <w:szCs w:val="18"/>
      <w:lang w:val="en-GB"/>
    </w:rPr>
  </w:style>
  <w:style w:type="paragraph" w:customStyle="1" w:styleId="Tableheading">
    <w:name w:val="Table heading"/>
    <w:basedOn w:val="Tabletext"/>
    <w:qFormat/>
    <w:rsid w:val="009C6B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htg716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161/chapter/Int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1CF0-8E70-4BF3-A647-2D212C91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5212</Characters>
  <Application>Microsoft Office Word</Application>
  <DocSecurity>0</DocSecurity>
  <Lines>148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MTG78 GaitSmart rehabilitation exercise programme for gait and mobility issues: Resource impact summary report 14/05/2024</vt:lpstr>
    </vt:vector>
  </TitlesOfParts>
  <Company/>
  <LinksUpToDate>false</LinksUpToDate>
  <CharactersWithSpaces>6037</CharactersWithSpaces>
  <SharedDoc>false</SharedDoc>
  <HLinks>
    <vt:vector size="18" baseType="variant">
      <vt:variant>
        <vt:i4>5898246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https://www.nice.org.uk/guidance/mtg78/resources</vt:lpwstr>
      </vt:variant>
      <vt:variant>
        <vt:lpwstr/>
      </vt:variant>
      <vt:variant>
        <vt:i4>7798825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https://www.nice.org.uk/guidance/cg161/chapter/Introduction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https://www.nice.org.uk/guidance/cg161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HTG716 GaitSmart rehabilitation exercise programme for gait and mobility issues: Resource impact summary report</dc:title>
  <dc:subject/>
  <dc:creator/>
  <cp:keywords/>
  <cp:lastModifiedBy/>
  <cp:revision>1</cp:revision>
  <dcterms:created xsi:type="dcterms:W3CDTF">2024-05-14T11:44:00Z</dcterms:created>
  <dcterms:modified xsi:type="dcterms:W3CDTF">2025-12-15T14:39:00Z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2024-05-14T11:45:38Z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88c61fe6-ea07-4f74-be9b-5cee634113c6</vt:lpwstr>
  </property>
  <property fmtid="{D5CDD505-2E9C-101B-9397-08002B2CF9AE}" pid="8" name="MSIP_Label_c69d85d5-6d9e-4305-a294-1f636ec0f2d6_ContentBits">
    <vt:lpwstr>0</vt:lpwstr>
  </property>
</Properties>
</file>