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831A2" w14:textId="6BE7B01E" w:rsidR="00594C3A" w:rsidRPr="00BF5004" w:rsidRDefault="00BF5004" w:rsidP="00EB53E2">
      <w:pPr>
        <w:pStyle w:val="Title"/>
        <w:rPr>
          <w:sz w:val="28"/>
          <w:szCs w:val="22"/>
        </w:rPr>
      </w:pPr>
      <w:r w:rsidRPr="00BF5004">
        <w:rPr>
          <w:sz w:val="28"/>
          <w:szCs w:val="22"/>
        </w:rPr>
        <w:t>HealthTech Programme</w:t>
      </w:r>
    </w:p>
    <w:p w14:paraId="1F80C5CC" w14:textId="33138F72" w:rsidR="00BF5004" w:rsidRPr="00BF5004" w:rsidRDefault="009E20BD" w:rsidP="00EB53E2">
      <w:pPr>
        <w:pStyle w:val="Title"/>
        <w:rPr>
          <w:sz w:val="28"/>
          <w:szCs w:val="28"/>
        </w:rPr>
      </w:pPr>
      <w:r w:rsidRPr="5632377C">
        <w:rPr>
          <w:sz w:val="28"/>
          <w:szCs w:val="28"/>
        </w:rPr>
        <w:t xml:space="preserve">Topical antimicrobial dressings for </w:t>
      </w:r>
      <w:r w:rsidR="002AD272" w:rsidRPr="5632377C">
        <w:rPr>
          <w:sz w:val="28"/>
          <w:szCs w:val="28"/>
        </w:rPr>
        <w:t xml:space="preserve">locally infected </w:t>
      </w:r>
      <w:r w:rsidRPr="5632377C">
        <w:rPr>
          <w:sz w:val="28"/>
          <w:szCs w:val="28"/>
        </w:rPr>
        <w:t>leg ulcers</w:t>
      </w:r>
      <w:r w:rsidR="00BF5004" w:rsidRPr="5632377C">
        <w:rPr>
          <w:sz w:val="28"/>
          <w:szCs w:val="28"/>
        </w:rPr>
        <w:t>: Late-stage assessment</w:t>
      </w:r>
    </w:p>
    <w:p w14:paraId="3ECB096E" w14:textId="60603738" w:rsidR="00BF5004" w:rsidRDefault="00EC7EBA" w:rsidP="00EB53E2">
      <w:pPr>
        <w:pStyle w:val="Title"/>
        <w:rPr>
          <w:sz w:val="28"/>
          <w:szCs w:val="22"/>
        </w:rPr>
      </w:pPr>
      <w:r>
        <w:rPr>
          <w:sz w:val="28"/>
          <w:szCs w:val="22"/>
        </w:rPr>
        <w:t xml:space="preserve">Comments received </w:t>
      </w:r>
      <w:r w:rsidR="00A96CB5">
        <w:rPr>
          <w:sz w:val="28"/>
          <w:szCs w:val="22"/>
        </w:rPr>
        <w:t>during public</w:t>
      </w:r>
      <w:r>
        <w:rPr>
          <w:sz w:val="28"/>
          <w:szCs w:val="22"/>
        </w:rPr>
        <w:t xml:space="preserve"> consultation of draft guidance and NICE</w:t>
      </w:r>
      <w:r w:rsidR="00042510">
        <w:rPr>
          <w:sz w:val="28"/>
          <w:szCs w:val="22"/>
        </w:rPr>
        <w:t>’s</w:t>
      </w:r>
      <w:r>
        <w:rPr>
          <w:sz w:val="28"/>
          <w:szCs w:val="22"/>
        </w:rPr>
        <w:t xml:space="preserve"> responses</w:t>
      </w:r>
    </w:p>
    <w:p w14:paraId="4D9DC25B" w14:textId="6D3696C1" w:rsidR="002326B2" w:rsidRPr="006F2898" w:rsidRDefault="002326B2" w:rsidP="002326B2">
      <w:pPr>
        <w:pStyle w:val="Heading1"/>
      </w:pPr>
      <w:r>
        <w:t>Table</w:t>
      </w:r>
      <w:r w:rsidRPr="006F2898">
        <w:t xml:space="preserve"> </w:t>
      </w:r>
      <w:r>
        <w:t>1</w:t>
      </w:r>
      <w:r w:rsidRPr="006F2898">
        <w:t xml:space="preserve">: recommendations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897"/>
        <w:gridCol w:w="2217"/>
        <w:gridCol w:w="4512"/>
        <w:gridCol w:w="3999"/>
      </w:tblGrid>
      <w:tr w:rsidR="00122159" w:rsidRPr="00D818F5" w14:paraId="1907E345" w14:textId="46919F92" w:rsidTr="1948D9BA">
        <w:tc>
          <w:tcPr>
            <w:tcW w:w="1323" w:type="dxa"/>
            <w:shd w:val="clear" w:color="auto" w:fill="D9D9D9" w:themeFill="background1" w:themeFillShade="D9"/>
          </w:tcPr>
          <w:p w14:paraId="2B850B17" w14:textId="12887E32" w:rsidR="00122159" w:rsidRPr="00D818F5" w:rsidRDefault="00122159" w:rsidP="000114C6">
            <w:pPr>
              <w:pStyle w:val="Paragraph"/>
              <w:spacing w:line="240" w:lineRule="auto"/>
              <w:rPr>
                <w:rFonts w:cs="Arial"/>
                <w:b/>
                <w:bCs/>
                <w:lang w:eastAsia="en-GB"/>
              </w:rPr>
            </w:pPr>
            <w:r w:rsidRPr="00D818F5">
              <w:rPr>
                <w:rFonts w:cs="Arial"/>
                <w:b/>
                <w:bCs/>
                <w:lang w:eastAsia="en-GB"/>
              </w:rPr>
              <w:t>Comment no.</w:t>
            </w:r>
          </w:p>
        </w:tc>
        <w:tc>
          <w:tcPr>
            <w:tcW w:w="1757" w:type="dxa"/>
            <w:shd w:val="clear" w:color="auto" w:fill="D9D9D9" w:themeFill="background1" w:themeFillShade="D9"/>
          </w:tcPr>
          <w:p w14:paraId="59B6F4EF" w14:textId="6EB1FFBC" w:rsidR="00122159" w:rsidRPr="00D818F5" w:rsidRDefault="00122159" w:rsidP="000114C6">
            <w:pPr>
              <w:pStyle w:val="Paragraph"/>
              <w:spacing w:line="240" w:lineRule="auto"/>
              <w:rPr>
                <w:rFonts w:cs="Arial"/>
                <w:b/>
                <w:bCs/>
                <w:lang w:eastAsia="en-GB"/>
              </w:rPr>
            </w:pPr>
            <w:r w:rsidRPr="00D818F5">
              <w:rPr>
                <w:rFonts w:cs="Arial"/>
                <w:b/>
                <w:bCs/>
                <w:lang w:eastAsia="en-GB"/>
              </w:rPr>
              <w:t>Consultee</w:t>
            </w:r>
          </w:p>
        </w:tc>
        <w:tc>
          <w:tcPr>
            <w:tcW w:w="2051" w:type="dxa"/>
            <w:shd w:val="clear" w:color="auto" w:fill="D9D9D9" w:themeFill="background1" w:themeFillShade="D9"/>
          </w:tcPr>
          <w:p w14:paraId="722D8DBE" w14:textId="383AD62B" w:rsidR="00122159" w:rsidRPr="00D818F5" w:rsidRDefault="00122159" w:rsidP="000114C6">
            <w:pPr>
              <w:pStyle w:val="Paragraph"/>
              <w:spacing w:line="240" w:lineRule="auto"/>
              <w:rPr>
                <w:rFonts w:cs="Arial"/>
                <w:b/>
                <w:bCs/>
                <w:lang w:eastAsia="en-GB"/>
              </w:rPr>
            </w:pPr>
            <w:r w:rsidRPr="00D818F5">
              <w:rPr>
                <w:rFonts w:cs="Arial"/>
                <w:b/>
                <w:bCs/>
                <w:lang w:eastAsia="en-GB"/>
              </w:rPr>
              <w:t>Section no.</w:t>
            </w:r>
          </w:p>
        </w:tc>
        <w:tc>
          <w:tcPr>
            <w:tcW w:w="4682" w:type="dxa"/>
            <w:shd w:val="clear" w:color="auto" w:fill="D9D9D9" w:themeFill="background1" w:themeFillShade="D9"/>
          </w:tcPr>
          <w:p w14:paraId="58A3A543" w14:textId="2A1B05FF" w:rsidR="00122159" w:rsidRPr="00D818F5" w:rsidRDefault="00122159" w:rsidP="000114C6">
            <w:pPr>
              <w:pStyle w:val="Paragraph"/>
              <w:spacing w:line="240" w:lineRule="auto"/>
              <w:rPr>
                <w:rFonts w:cs="Arial"/>
                <w:b/>
                <w:bCs/>
                <w:lang w:eastAsia="en-GB"/>
              </w:rPr>
            </w:pPr>
            <w:r w:rsidRPr="00D818F5">
              <w:rPr>
                <w:rFonts w:cs="Arial"/>
                <w:b/>
                <w:bCs/>
                <w:lang w:eastAsia="en-GB"/>
              </w:rPr>
              <w:t>Comment</w:t>
            </w:r>
          </w:p>
        </w:tc>
        <w:tc>
          <w:tcPr>
            <w:tcW w:w="4135" w:type="dxa"/>
            <w:shd w:val="clear" w:color="auto" w:fill="D9D9D9" w:themeFill="background1" w:themeFillShade="D9"/>
          </w:tcPr>
          <w:p w14:paraId="5BA38572" w14:textId="0D1A7088" w:rsidR="00122159" w:rsidRPr="00D818F5" w:rsidRDefault="00FB00C1" w:rsidP="000114C6">
            <w:pPr>
              <w:pStyle w:val="Paragraph"/>
              <w:spacing w:line="240" w:lineRule="auto"/>
              <w:rPr>
                <w:rFonts w:cs="Arial"/>
                <w:b/>
                <w:bCs/>
                <w:lang w:eastAsia="en-GB"/>
              </w:rPr>
            </w:pPr>
            <w:r w:rsidRPr="00D818F5">
              <w:rPr>
                <w:rFonts w:cs="Arial"/>
                <w:b/>
                <w:bCs/>
                <w:lang w:eastAsia="en-GB"/>
              </w:rPr>
              <w:t>Response</w:t>
            </w:r>
          </w:p>
        </w:tc>
      </w:tr>
      <w:tr w:rsidR="00A07A3F" w:rsidRPr="00D818F5" w14:paraId="08873B01" w14:textId="74451D79" w:rsidTr="1948D9BA">
        <w:tc>
          <w:tcPr>
            <w:tcW w:w="1323" w:type="dxa"/>
          </w:tcPr>
          <w:p w14:paraId="5EA67F11"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4EA85AAC" w14:textId="128C9F42" w:rsidR="00A07A3F" w:rsidRPr="00D818F5" w:rsidRDefault="00A07A3F" w:rsidP="000114C6">
            <w:pPr>
              <w:pStyle w:val="Paragraph"/>
              <w:spacing w:line="240" w:lineRule="auto"/>
              <w:rPr>
                <w:rFonts w:cs="Arial"/>
                <w:lang w:eastAsia="en-GB"/>
              </w:rPr>
            </w:pPr>
            <w:r w:rsidRPr="00D818F5">
              <w:rPr>
                <w:rFonts w:cs="Arial"/>
                <w:color w:val="000000"/>
              </w:rPr>
              <w:t>Consultee 2</w:t>
            </w:r>
            <w:r w:rsidRPr="00D818F5">
              <w:rPr>
                <w:rFonts w:cs="Arial"/>
                <w:color w:val="000000"/>
              </w:rPr>
              <w:br/>
              <w:t>Individual</w:t>
            </w:r>
          </w:p>
        </w:tc>
        <w:tc>
          <w:tcPr>
            <w:tcW w:w="2051" w:type="dxa"/>
            <w:shd w:val="clear" w:color="auto" w:fill="auto"/>
          </w:tcPr>
          <w:p w14:paraId="3AD53B9F" w14:textId="37C66CA9" w:rsidR="00A07A3F" w:rsidRPr="00D818F5" w:rsidRDefault="00A07A3F" w:rsidP="000114C6">
            <w:pPr>
              <w:pStyle w:val="Paragraph"/>
              <w:spacing w:line="240" w:lineRule="auto"/>
              <w:rPr>
                <w:rFonts w:cs="Arial"/>
                <w:lang w:eastAsia="en-GB"/>
              </w:rPr>
            </w:pPr>
            <w:r w:rsidRPr="00D818F5">
              <w:rPr>
                <w:rFonts w:cs="Arial"/>
                <w:color w:val="000000"/>
              </w:rPr>
              <w:t>Not specified</w:t>
            </w:r>
          </w:p>
        </w:tc>
        <w:tc>
          <w:tcPr>
            <w:tcW w:w="4682" w:type="dxa"/>
            <w:shd w:val="clear" w:color="auto" w:fill="auto"/>
          </w:tcPr>
          <w:p w14:paraId="215D04A0" w14:textId="52436663" w:rsidR="00A07A3F" w:rsidRPr="00D818F5" w:rsidRDefault="00A07A3F" w:rsidP="000114C6">
            <w:pPr>
              <w:pStyle w:val="Paragraph"/>
              <w:spacing w:line="240" w:lineRule="auto"/>
              <w:rPr>
                <w:rFonts w:cs="Arial"/>
                <w:lang w:eastAsia="en-GB"/>
              </w:rPr>
            </w:pPr>
            <w:r w:rsidRPr="00D818F5">
              <w:rPr>
                <w:rFonts w:cs="Arial"/>
                <w:color w:val="000000"/>
              </w:rPr>
              <w:t>Comprehensive document on a complex subject.</w:t>
            </w:r>
            <w:r w:rsidRPr="00D818F5">
              <w:rPr>
                <w:rFonts w:cs="Arial"/>
                <w:color w:val="000000"/>
              </w:rPr>
              <w:br/>
              <w:t>The choice is bewildering even for the most competent practitioner which the document recognises.</w:t>
            </w:r>
            <w:r w:rsidRPr="00D818F5">
              <w:rPr>
                <w:rFonts w:cs="Arial"/>
                <w:color w:val="000000"/>
              </w:rPr>
              <w:br/>
              <w:t xml:space="preserve">In practical terms as a clinician, the </w:t>
            </w:r>
            <w:proofErr w:type="gramStart"/>
            <w:r w:rsidRPr="00D818F5">
              <w:rPr>
                <w:rFonts w:cs="Arial"/>
                <w:color w:val="000000"/>
              </w:rPr>
              <w:t>often overriding</w:t>
            </w:r>
            <w:proofErr w:type="gramEnd"/>
            <w:r w:rsidRPr="00D818F5">
              <w:rPr>
                <w:rFonts w:cs="Arial"/>
                <w:color w:val="000000"/>
              </w:rPr>
              <w:t xml:space="preserve"> decision making of what antimicrobial application made between clinician and patient is anticipated and/or 'felt' pain. Pain in the wound bed or skin can be current, anticipated or known (history), but there is acknowledgement that some antimicrobial dressings/solutions may cause or increase discomfort/pain.</w:t>
            </w:r>
            <w:r w:rsidRPr="00D818F5">
              <w:rPr>
                <w:rFonts w:cs="Arial"/>
                <w:color w:val="000000"/>
              </w:rPr>
              <w:br/>
              <w:t xml:space="preserve">Recognition that the potential most clinically effective dressing a clinician </w:t>
            </w:r>
            <w:r w:rsidRPr="00D818F5">
              <w:rPr>
                <w:rFonts w:cs="Arial"/>
                <w:color w:val="000000"/>
              </w:rPr>
              <w:lastRenderedPageBreak/>
              <w:t xml:space="preserve">may advocate may not be acceptable to the patient. </w:t>
            </w:r>
            <w:r w:rsidRPr="00D818F5">
              <w:rPr>
                <w:rFonts w:cs="Arial"/>
                <w:color w:val="000000"/>
              </w:rPr>
              <w:br/>
              <w:t>Many types of antimicrobial applications are effective. Consider, apart from the other subsets, pain could have its own sub section, as it is often the deciding factor of choice by either party.</w:t>
            </w:r>
          </w:p>
        </w:tc>
        <w:tc>
          <w:tcPr>
            <w:tcW w:w="4135" w:type="dxa"/>
          </w:tcPr>
          <w:p w14:paraId="713277A6" w14:textId="0D8CC542" w:rsidR="000A5D6B" w:rsidRPr="00D818F5" w:rsidRDefault="00350750" w:rsidP="000114C6">
            <w:pPr>
              <w:pStyle w:val="Paragraph"/>
              <w:spacing w:line="240" w:lineRule="auto"/>
              <w:rPr>
                <w:rFonts w:cs="Arial"/>
                <w:lang w:eastAsia="en-GB"/>
              </w:rPr>
            </w:pPr>
            <w:r w:rsidRPr="00D818F5">
              <w:rPr>
                <w:rFonts w:cs="Arial"/>
                <w:lang w:eastAsia="en-GB"/>
              </w:rPr>
              <w:lastRenderedPageBreak/>
              <w:t xml:space="preserve">Thank you for your comment. </w:t>
            </w:r>
            <w:r w:rsidR="00066320" w:rsidRPr="00D818F5">
              <w:rPr>
                <w:rFonts w:cs="Arial"/>
                <w:lang w:eastAsia="en-GB"/>
              </w:rPr>
              <w:t xml:space="preserve">The </w:t>
            </w:r>
            <w:r w:rsidR="00605CED" w:rsidRPr="00D818F5">
              <w:rPr>
                <w:rFonts w:cs="Arial"/>
                <w:lang w:eastAsia="en-GB"/>
              </w:rPr>
              <w:t>recommendation</w:t>
            </w:r>
            <w:r w:rsidR="00DC0783" w:rsidRPr="00D818F5">
              <w:rPr>
                <w:rFonts w:cs="Arial"/>
                <w:lang w:eastAsia="en-GB"/>
              </w:rPr>
              <w:t xml:space="preserve"> 1.3 </w:t>
            </w:r>
            <w:r w:rsidR="00605CED" w:rsidRPr="00D818F5">
              <w:rPr>
                <w:rFonts w:cs="Arial"/>
                <w:lang w:eastAsia="en-GB"/>
              </w:rPr>
              <w:t>ha</w:t>
            </w:r>
            <w:r w:rsidR="00DC0783" w:rsidRPr="00D818F5">
              <w:rPr>
                <w:rFonts w:cs="Arial"/>
                <w:lang w:eastAsia="en-GB"/>
              </w:rPr>
              <w:t>s</w:t>
            </w:r>
            <w:r w:rsidR="00605CED" w:rsidRPr="00D818F5">
              <w:rPr>
                <w:rFonts w:cs="Arial"/>
                <w:lang w:eastAsia="en-GB"/>
              </w:rPr>
              <w:t xml:space="preserve"> been updated </w:t>
            </w:r>
            <w:r w:rsidR="00DC0783" w:rsidRPr="00D818F5">
              <w:rPr>
                <w:rFonts w:cs="Arial"/>
                <w:lang w:eastAsia="en-GB"/>
              </w:rPr>
              <w:t>to</w:t>
            </w:r>
            <w:r w:rsidR="001032E0" w:rsidRPr="00D818F5">
              <w:rPr>
                <w:rFonts w:cs="Arial"/>
                <w:lang w:eastAsia="en-GB"/>
              </w:rPr>
              <w:t xml:space="preserve"> </w:t>
            </w:r>
            <w:proofErr w:type="gramStart"/>
            <w:r w:rsidR="001032E0" w:rsidRPr="00D818F5">
              <w:rPr>
                <w:rFonts w:cs="Arial"/>
                <w:lang w:eastAsia="en-GB"/>
              </w:rPr>
              <w:t>say</w:t>
            </w:r>
            <w:proofErr w:type="gramEnd"/>
            <w:r w:rsidR="001032E0" w:rsidRPr="00D818F5">
              <w:rPr>
                <w:rFonts w:cs="Arial"/>
                <w:lang w:eastAsia="en-GB"/>
              </w:rPr>
              <w:t xml:space="preserve"> ‘</w:t>
            </w:r>
            <w:r w:rsidR="001032E0" w:rsidRPr="00D818F5">
              <w:rPr>
                <w:rFonts w:cs="Arial"/>
              </w:rPr>
              <w:t xml:space="preserve">Decisions should take into account how the choice of dressing might impact the person’s quality of life </w:t>
            </w:r>
            <w:proofErr w:type="gramStart"/>
            <w:r w:rsidR="001032E0" w:rsidRPr="00D818F5">
              <w:rPr>
                <w:rFonts w:cs="Arial"/>
              </w:rPr>
              <w:t>including</w:t>
            </w:r>
            <w:r w:rsidR="00DC0783" w:rsidRPr="00D818F5">
              <w:rPr>
                <w:rFonts w:cs="Arial"/>
              </w:rPr>
              <w:t>..</w:t>
            </w:r>
            <w:proofErr w:type="gramEnd"/>
            <w:r w:rsidR="001032E0" w:rsidRPr="00D818F5">
              <w:rPr>
                <w:rFonts w:cs="Arial"/>
                <w:lang w:eastAsia="en-GB"/>
              </w:rPr>
              <w:t xml:space="preserve">’. The committee felt that pain is included in a person’s quality of life. </w:t>
            </w:r>
          </w:p>
          <w:p w14:paraId="1A8892A9" w14:textId="72ACD298" w:rsidR="00350750" w:rsidRPr="00D818F5" w:rsidRDefault="001814CF" w:rsidP="000114C6">
            <w:pPr>
              <w:pStyle w:val="Paragraph"/>
              <w:spacing w:line="240" w:lineRule="auto"/>
              <w:rPr>
                <w:rFonts w:cs="Arial"/>
                <w:lang w:eastAsia="en-GB"/>
              </w:rPr>
            </w:pPr>
            <w:r w:rsidRPr="00D818F5">
              <w:rPr>
                <w:rFonts w:cs="Arial"/>
                <w:lang w:eastAsia="en-GB"/>
              </w:rPr>
              <w:t>Shared decision making recommended by NG1</w:t>
            </w:r>
            <w:r w:rsidR="0035779C" w:rsidRPr="00D818F5">
              <w:rPr>
                <w:rFonts w:cs="Arial"/>
                <w:lang w:eastAsia="en-GB"/>
              </w:rPr>
              <w:t>9</w:t>
            </w:r>
            <w:r w:rsidRPr="00D818F5">
              <w:rPr>
                <w:rFonts w:cs="Arial"/>
                <w:lang w:eastAsia="en-GB"/>
              </w:rPr>
              <w:t xml:space="preserve">7 does not restrict clinical reasoning of a healthcare professional. However, the principle of informed consent does allow </w:t>
            </w:r>
            <w:r w:rsidR="00137193" w:rsidRPr="00D818F5">
              <w:rPr>
                <w:rFonts w:cs="Arial"/>
                <w:lang w:eastAsia="en-GB"/>
              </w:rPr>
              <w:t xml:space="preserve">a person </w:t>
            </w:r>
            <w:r w:rsidRPr="00D818F5">
              <w:rPr>
                <w:rFonts w:cs="Arial"/>
                <w:lang w:eastAsia="en-GB"/>
              </w:rPr>
              <w:t>to refuse treatment</w:t>
            </w:r>
            <w:r w:rsidR="00137193" w:rsidRPr="00D818F5">
              <w:rPr>
                <w:rFonts w:cs="Arial"/>
                <w:lang w:eastAsia="en-GB"/>
              </w:rPr>
              <w:t>.</w:t>
            </w:r>
            <w:r w:rsidRPr="00D818F5">
              <w:rPr>
                <w:rFonts w:cs="Arial"/>
                <w:lang w:eastAsia="en-GB"/>
              </w:rPr>
              <w:t xml:space="preserve"> </w:t>
            </w:r>
          </w:p>
        </w:tc>
      </w:tr>
      <w:tr w:rsidR="00A07A3F" w:rsidRPr="00D818F5" w14:paraId="4F39C1DC" w14:textId="68E12918" w:rsidTr="1948D9BA">
        <w:tc>
          <w:tcPr>
            <w:tcW w:w="1323" w:type="dxa"/>
          </w:tcPr>
          <w:p w14:paraId="46EF56C7"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239874E7" w14:textId="7EBBB961" w:rsidR="00A07A3F" w:rsidRPr="00D818F5" w:rsidRDefault="00A07A3F" w:rsidP="000114C6">
            <w:pPr>
              <w:pStyle w:val="Paragraph"/>
              <w:spacing w:line="240" w:lineRule="auto"/>
              <w:rPr>
                <w:rFonts w:cs="Arial"/>
                <w:lang w:eastAsia="en-GB"/>
              </w:rPr>
            </w:pPr>
            <w:r w:rsidRPr="00D818F5">
              <w:rPr>
                <w:rFonts w:cs="Arial"/>
                <w:color w:val="000000"/>
              </w:rPr>
              <w:t>Consultee 3</w:t>
            </w:r>
            <w:r w:rsidRPr="00D818F5">
              <w:rPr>
                <w:rFonts w:cs="Arial"/>
                <w:color w:val="000000"/>
              </w:rPr>
              <w:br/>
              <w:t>Individual</w:t>
            </w:r>
          </w:p>
        </w:tc>
        <w:tc>
          <w:tcPr>
            <w:tcW w:w="2051" w:type="dxa"/>
            <w:shd w:val="clear" w:color="auto" w:fill="auto"/>
          </w:tcPr>
          <w:p w14:paraId="5B0D6858" w14:textId="02C3C124" w:rsidR="00A07A3F" w:rsidRPr="00D818F5" w:rsidRDefault="00A07A3F" w:rsidP="000114C6">
            <w:pPr>
              <w:pStyle w:val="Paragraph"/>
              <w:spacing w:line="240" w:lineRule="auto"/>
              <w:rPr>
                <w:rFonts w:cs="Arial"/>
                <w:lang w:eastAsia="en-GB"/>
              </w:rPr>
            </w:pPr>
            <w:r w:rsidRPr="00D818F5">
              <w:rPr>
                <w:rFonts w:cs="Arial"/>
                <w:color w:val="000000"/>
              </w:rPr>
              <w:t xml:space="preserve">1 </w:t>
            </w:r>
          </w:p>
        </w:tc>
        <w:tc>
          <w:tcPr>
            <w:tcW w:w="4682" w:type="dxa"/>
            <w:shd w:val="clear" w:color="auto" w:fill="auto"/>
          </w:tcPr>
          <w:p w14:paraId="2C68E584" w14:textId="2AD54225" w:rsidR="00A07A3F" w:rsidRPr="00D818F5" w:rsidRDefault="00A07A3F" w:rsidP="000114C6">
            <w:pPr>
              <w:pStyle w:val="Paragraph"/>
              <w:spacing w:line="240" w:lineRule="auto"/>
              <w:rPr>
                <w:rFonts w:cs="Arial"/>
                <w:lang w:eastAsia="en-GB"/>
              </w:rPr>
            </w:pPr>
            <w:r w:rsidRPr="00D818F5">
              <w:rPr>
                <w:rFonts w:cs="Arial"/>
                <w:color w:val="000000"/>
              </w:rPr>
              <w:t>The EAG report scope is too broad to conclude this; by including evidence outside of original scope it dilutes the higher quality evidence leading to the heterogeneity observed.</w:t>
            </w:r>
          </w:p>
        </w:tc>
        <w:tc>
          <w:tcPr>
            <w:tcW w:w="4135" w:type="dxa"/>
          </w:tcPr>
          <w:p w14:paraId="20F27083" w14:textId="22A2D8C2" w:rsidR="00A07A3F" w:rsidRPr="00D818F5" w:rsidRDefault="005772F3" w:rsidP="000114C6">
            <w:pPr>
              <w:pStyle w:val="Paragraph"/>
              <w:spacing w:line="240" w:lineRule="auto"/>
              <w:rPr>
                <w:rFonts w:cs="Arial"/>
                <w:lang w:eastAsia="en-GB"/>
              </w:rPr>
            </w:pPr>
            <w:r w:rsidRPr="00D818F5">
              <w:rPr>
                <w:rFonts w:cs="Arial"/>
                <w:lang w:eastAsia="en-GB"/>
              </w:rPr>
              <w:t xml:space="preserve">Thank you for your comment. Please see response to comment </w:t>
            </w:r>
            <w:r w:rsidR="00081B06" w:rsidRPr="00D818F5">
              <w:rPr>
                <w:rFonts w:cs="Arial"/>
                <w:lang w:eastAsia="en-GB"/>
              </w:rPr>
              <w:t>134.</w:t>
            </w:r>
          </w:p>
        </w:tc>
      </w:tr>
      <w:tr w:rsidR="00A07A3F" w:rsidRPr="00D818F5" w14:paraId="01AA87FA" w14:textId="7871FCE9" w:rsidTr="1948D9BA">
        <w:tc>
          <w:tcPr>
            <w:tcW w:w="1323" w:type="dxa"/>
          </w:tcPr>
          <w:p w14:paraId="75CEE4A5"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779C750F" w14:textId="52574488" w:rsidR="00A07A3F" w:rsidRPr="00D818F5" w:rsidRDefault="00A07A3F" w:rsidP="000114C6">
            <w:pPr>
              <w:pStyle w:val="Paragraph"/>
              <w:spacing w:line="240" w:lineRule="auto"/>
              <w:rPr>
                <w:rFonts w:cs="Arial"/>
                <w:lang w:eastAsia="en-GB"/>
              </w:rPr>
            </w:pPr>
            <w:r w:rsidRPr="00D818F5">
              <w:rPr>
                <w:rFonts w:cs="Arial"/>
                <w:color w:val="000000"/>
              </w:rPr>
              <w:t>Consultee 3</w:t>
            </w:r>
            <w:r w:rsidRPr="00D818F5">
              <w:rPr>
                <w:rFonts w:cs="Arial"/>
                <w:color w:val="000000"/>
              </w:rPr>
              <w:br/>
              <w:t>Individual</w:t>
            </w:r>
          </w:p>
        </w:tc>
        <w:tc>
          <w:tcPr>
            <w:tcW w:w="2051" w:type="dxa"/>
            <w:shd w:val="clear" w:color="auto" w:fill="auto"/>
          </w:tcPr>
          <w:p w14:paraId="66EF23D0" w14:textId="78ED03FF"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7F3DD1E7" w14:textId="06532781" w:rsidR="00A07A3F" w:rsidRPr="00D818F5" w:rsidRDefault="00A07A3F" w:rsidP="000114C6">
            <w:pPr>
              <w:pStyle w:val="Paragraph"/>
              <w:spacing w:line="240" w:lineRule="auto"/>
              <w:rPr>
                <w:rFonts w:cs="Arial"/>
                <w:lang w:eastAsia="en-GB"/>
              </w:rPr>
            </w:pPr>
            <w:r w:rsidRPr="00D818F5">
              <w:rPr>
                <w:rFonts w:cs="Arial"/>
                <w:color w:val="000000"/>
              </w:rPr>
              <w:t xml:space="preserve">This may put patients at risk - if a wound is infected it can easily progress to a more serious infection. If using a cheaper AMD intervention with lower levels of active </w:t>
            </w:r>
            <w:proofErr w:type="gramStart"/>
            <w:r w:rsidRPr="00D818F5">
              <w:rPr>
                <w:rFonts w:cs="Arial"/>
                <w:color w:val="000000"/>
              </w:rPr>
              <w:t>agent</w:t>
            </w:r>
            <w:proofErr w:type="gramEnd"/>
            <w:r w:rsidRPr="00D818F5">
              <w:rPr>
                <w:rFonts w:cs="Arial"/>
                <w:color w:val="000000"/>
              </w:rPr>
              <w:t xml:space="preserve"> this increases this risk not only of progression but development of Antimicrobial Resistance due to inappropriate use which again can increase treatment costs even more.</w:t>
            </w:r>
          </w:p>
        </w:tc>
        <w:tc>
          <w:tcPr>
            <w:tcW w:w="4135" w:type="dxa"/>
          </w:tcPr>
          <w:p w14:paraId="48007952" w14:textId="287BE3B8" w:rsidR="00A07A3F" w:rsidRPr="00D818F5" w:rsidRDefault="00FC080C" w:rsidP="000114C6">
            <w:pPr>
              <w:pStyle w:val="Paragraph"/>
              <w:spacing w:line="240" w:lineRule="auto"/>
              <w:rPr>
                <w:rFonts w:cs="Arial"/>
                <w:lang w:eastAsia="en-GB"/>
              </w:rPr>
            </w:pPr>
            <w:r w:rsidRPr="00D818F5">
              <w:rPr>
                <w:rFonts w:cs="Arial"/>
                <w:lang w:eastAsia="en-GB"/>
              </w:rPr>
              <w:t xml:space="preserve">Thank you for your comment. The recommendations do not restrict clinical reasoning. </w:t>
            </w:r>
            <w:r w:rsidR="0009664A" w:rsidRPr="00D818F5">
              <w:rPr>
                <w:rFonts w:cs="Arial"/>
                <w:lang w:eastAsia="en-GB"/>
              </w:rPr>
              <w:t>The recommendations state that t</w:t>
            </w:r>
            <w:r w:rsidR="0052556F" w:rsidRPr="00D818F5">
              <w:rPr>
                <w:rFonts w:cs="Arial"/>
                <w:lang w:eastAsia="en-GB"/>
              </w:rPr>
              <w:t xml:space="preserve">he least expensive option should only be used when there is more than one clinically </w:t>
            </w:r>
            <w:r w:rsidR="00B9280A" w:rsidRPr="00D818F5">
              <w:rPr>
                <w:rFonts w:cs="Arial"/>
                <w:lang w:eastAsia="en-GB"/>
              </w:rPr>
              <w:t>appropriate option</w:t>
            </w:r>
            <w:r w:rsidR="0052556F" w:rsidRPr="00D818F5">
              <w:rPr>
                <w:rFonts w:cs="Arial"/>
                <w:lang w:eastAsia="en-GB"/>
              </w:rPr>
              <w:t>.</w:t>
            </w:r>
            <w:r w:rsidR="00204AB6" w:rsidRPr="00D818F5">
              <w:rPr>
                <w:rFonts w:cs="Arial"/>
                <w:lang w:eastAsia="en-GB"/>
              </w:rPr>
              <w:t xml:space="preserve"> </w:t>
            </w:r>
          </w:p>
        </w:tc>
      </w:tr>
      <w:tr w:rsidR="00A07A3F" w:rsidRPr="00D818F5" w14:paraId="6AFC7D3F" w14:textId="28BA6C88" w:rsidTr="1948D9BA">
        <w:tc>
          <w:tcPr>
            <w:tcW w:w="1323" w:type="dxa"/>
          </w:tcPr>
          <w:p w14:paraId="062F3B72"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79793AB" w14:textId="41AF7C21" w:rsidR="00A07A3F" w:rsidRPr="00D818F5" w:rsidRDefault="00A07A3F" w:rsidP="000114C6">
            <w:pPr>
              <w:pStyle w:val="Paragraph"/>
              <w:spacing w:line="240" w:lineRule="auto"/>
              <w:rPr>
                <w:rFonts w:cs="Arial"/>
                <w:lang w:eastAsia="en-GB"/>
              </w:rPr>
            </w:pPr>
            <w:r w:rsidRPr="00D818F5">
              <w:rPr>
                <w:rFonts w:cs="Arial"/>
                <w:color w:val="000000"/>
              </w:rPr>
              <w:t>Consultee 3</w:t>
            </w:r>
            <w:r w:rsidRPr="00D818F5">
              <w:rPr>
                <w:rFonts w:cs="Arial"/>
                <w:color w:val="000000"/>
              </w:rPr>
              <w:br/>
              <w:t>Individual</w:t>
            </w:r>
          </w:p>
        </w:tc>
        <w:tc>
          <w:tcPr>
            <w:tcW w:w="2051" w:type="dxa"/>
            <w:shd w:val="clear" w:color="auto" w:fill="auto"/>
          </w:tcPr>
          <w:p w14:paraId="1D808393" w14:textId="0439C7DF" w:rsidR="00A07A3F" w:rsidRPr="00D818F5" w:rsidRDefault="00A07A3F" w:rsidP="000114C6">
            <w:pPr>
              <w:pStyle w:val="Paragraph"/>
              <w:spacing w:line="240" w:lineRule="auto"/>
              <w:rPr>
                <w:rFonts w:cs="Arial"/>
                <w:lang w:eastAsia="en-GB"/>
              </w:rPr>
            </w:pPr>
            <w:r w:rsidRPr="00D818F5">
              <w:rPr>
                <w:rFonts w:cs="Arial"/>
                <w:color w:val="000000"/>
              </w:rPr>
              <w:t>1.2 1 Recommendations</w:t>
            </w:r>
          </w:p>
        </w:tc>
        <w:tc>
          <w:tcPr>
            <w:tcW w:w="4682" w:type="dxa"/>
            <w:shd w:val="clear" w:color="auto" w:fill="auto"/>
          </w:tcPr>
          <w:p w14:paraId="664472FF" w14:textId="37B56D3C" w:rsidR="00A07A3F" w:rsidRPr="00D818F5" w:rsidRDefault="00A07A3F" w:rsidP="000114C6">
            <w:pPr>
              <w:pStyle w:val="Paragraph"/>
              <w:spacing w:line="240" w:lineRule="auto"/>
              <w:rPr>
                <w:rFonts w:cs="Arial"/>
                <w:lang w:eastAsia="en-GB"/>
              </w:rPr>
            </w:pPr>
            <w:r w:rsidRPr="00D818F5">
              <w:rPr>
                <w:rFonts w:cs="Arial"/>
                <w:color w:val="000000"/>
              </w:rPr>
              <w:t xml:space="preserve">Infected wounds are not normally suitable for shared care due to the risk of progression, and are usually seen more frequently by the HCP who is responsible for the care - in addition </w:t>
            </w:r>
            <w:r w:rsidRPr="00D818F5">
              <w:rPr>
                <w:rFonts w:cs="Arial"/>
                <w:color w:val="000000"/>
              </w:rPr>
              <w:lastRenderedPageBreak/>
              <w:t xml:space="preserve">most Class III medical devices with an active agent are required to be changed by the HCP - this recommendation is therefore misleading and </w:t>
            </w:r>
            <w:proofErr w:type="spellStart"/>
            <w:r w:rsidRPr="00D818F5">
              <w:rPr>
                <w:rFonts w:cs="Arial"/>
                <w:color w:val="000000"/>
              </w:rPr>
              <w:t>under estimates</w:t>
            </w:r>
            <w:proofErr w:type="spellEnd"/>
            <w:r w:rsidRPr="00D818F5">
              <w:rPr>
                <w:rFonts w:cs="Arial"/>
                <w:color w:val="000000"/>
              </w:rPr>
              <w:t xml:space="preserve"> the complications that can arise from an infection.</w:t>
            </w:r>
          </w:p>
        </w:tc>
        <w:tc>
          <w:tcPr>
            <w:tcW w:w="4135" w:type="dxa"/>
          </w:tcPr>
          <w:p w14:paraId="12E2680A" w14:textId="5FB4A5A0" w:rsidR="000A1273" w:rsidRPr="00D818F5" w:rsidRDefault="00204AB6" w:rsidP="000114C6">
            <w:pPr>
              <w:pStyle w:val="Paragraph"/>
              <w:spacing w:line="240" w:lineRule="auto"/>
              <w:rPr>
                <w:rFonts w:cs="Arial"/>
                <w:lang w:eastAsia="en-GB"/>
              </w:rPr>
            </w:pPr>
            <w:r w:rsidRPr="00D818F5">
              <w:rPr>
                <w:rFonts w:cs="Arial"/>
                <w:lang w:eastAsia="en-GB"/>
              </w:rPr>
              <w:lastRenderedPageBreak/>
              <w:t xml:space="preserve">Thank you for your comment. </w:t>
            </w:r>
            <w:r w:rsidR="009C71C2" w:rsidRPr="00D818F5">
              <w:rPr>
                <w:rFonts w:cs="Arial"/>
                <w:lang w:eastAsia="en-GB"/>
              </w:rPr>
              <w:t xml:space="preserve">The </w:t>
            </w:r>
            <w:r w:rsidR="00805153" w:rsidRPr="00D818F5">
              <w:rPr>
                <w:rFonts w:cs="Arial"/>
                <w:lang w:eastAsia="en-GB"/>
              </w:rPr>
              <w:t xml:space="preserve">principle of shared care was discussed by committee. The committee felt that </w:t>
            </w:r>
            <w:r w:rsidR="006C1695" w:rsidRPr="00D818F5">
              <w:rPr>
                <w:rFonts w:cs="Arial"/>
                <w:lang w:eastAsia="en-GB"/>
              </w:rPr>
              <w:t xml:space="preserve">it was beyond their remit to </w:t>
            </w:r>
            <w:r w:rsidR="00165995" w:rsidRPr="00D818F5">
              <w:rPr>
                <w:rFonts w:cs="Arial"/>
                <w:lang w:eastAsia="en-GB"/>
              </w:rPr>
              <w:t xml:space="preserve">dictate to healthcare </w:t>
            </w:r>
            <w:r w:rsidR="00165995" w:rsidRPr="00D818F5">
              <w:rPr>
                <w:rFonts w:cs="Arial"/>
                <w:lang w:eastAsia="en-GB"/>
              </w:rPr>
              <w:lastRenderedPageBreak/>
              <w:t xml:space="preserve">professionals and people with infected leg ulcers when shared care is </w:t>
            </w:r>
            <w:r w:rsidR="00A633D2" w:rsidRPr="00D818F5">
              <w:rPr>
                <w:rFonts w:cs="Arial"/>
                <w:lang w:eastAsia="en-GB"/>
              </w:rPr>
              <w:t xml:space="preserve">appropriate. The </w:t>
            </w:r>
            <w:r w:rsidR="003A7772" w:rsidRPr="00D818F5">
              <w:rPr>
                <w:rFonts w:cs="Arial"/>
                <w:lang w:eastAsia="en-GB"/>
              </w:rPr>
              <w:t xml:space="preserve">recommendations do not remove clinical reasoning from the healthcare professional and assume that antimicrobial dressings are used appropriately. </w:t>
            </w:r>
            <w:r w:rsidR="002D6AC9" w:rsidRPr="00D818F5">
              <w:rPr>
                <w:rFonts w:cs="Arial"/>
                <w:lang w:eastAsia="en-GB"/>
              </w:rPr>
              <w:t xml:space="preserve">Details of the discussion on shared care is in section </w:t>
            </w:r>
            <w:r w:rsidR="00AD018E" w:rsidRPr="00D818F5">
              <w:rPr>
                <w:rFonts w:cs="Arial"/>
                <w:lang w:eastAsia="en-GB"/>
              </w:rPr>
              <w:t>3.1 of the guidance.</w:t>
            </w:r>
          </w:p>
        </w:tc>
      </w:tr>
      <w:tr w:rsidR="00A07A3F" w:rsidRPr="00D818F5" w14:paraId="74543573" w14:textId="412C2EAB" w:rsidTr="1948D9BA">
        <w:tc>
          <w:tcPr>
            <w:tcW w:w="1323" w:type="dxa"/>
          </w:tcPr>
          <w:p w14:paraId="735DC734"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1EC79386" w14:textId="462C6B9E" w:rsidR="00A07A3F" w:rsidRPr="00D818F5" w:rsidRDefault="00A07A3F" w:rsidP="000114C6">
            <w:pPr>
              <w:pStyle w:val="Paragraph"/>
              <w:spacing w:line="240" w:lineRule="auto"/>
              <w:rPr>
                <w:rFonts w:cs="Arial"/>
                <w:lang w:eastAsia="en-GB"/>
              </w:rPr>
            </w:pPr>
            <w:r w:rsidRPr="00D818F5">
              <w:rPr>
                <w:rFonts w:cs="Arial"/>
                <w:color w:val="000000"/>
              </w:rPr>
              <w:t>Consultee 3</w:t>
            </w:r>
            <w:r w:rsidRPr="00D818F5">
              <w:rPr>
                <w:rFonts w:cs="Arial"/>
                <w:color w:val="000000"/>
              </w:rPr>
              <w:br/>
              <w:t>Individual</w:t>
            </w:r>
          </w:p>
        </w:tc>
        <w:tc>
          <w:tcPr>
            <w:tcW w:w="2051" w:type="dxa"/>
            <w:shd w:val="clear" w:color="auto" w:fill="auto"/>
          </w:tcPr>
          <w:p w14:paraId="5163676E" w14:textId="3129578E"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6D83CCC9" w14:textId="1A109D2F" w:rsidR="00A07A3F" w:rsidRPr="00D818F5" w:rsidRDefault="00A07A3F" w:rsidP="000114C6">
            <w:pPr>
              <w:pStyle w:val="Paragraph"/>
              <w:spacing w:line="240" w:lineRule="auto"/>
              <w:rPr>
                <w:rFonts w:cs="Arial"/>
                <w:lang w:eastAsia="en-GB"/>
              </w:rPr>
            </w:pPr>
            <w:r w:rsidRPr="00D818F5">
              <w:rPr>
                <w:rFonts w:cs="Arial"/>
                <w:color w:val="000000"/>
              </w:rPr>
              <w:t>Cost of the primary dressing does not consider the peripheral costs explained previously including the risk of infection progression if a less effective AMD is used.</w:t>
            </w:r>
          </w:p>
        </w:tc>
        <w:tc>
          <w:tcPr>
            <w:tcW w:w="4135" w:type="dxa"/>
          </w:tcPr>
          <w:p w14:paraId="57073A39" w14:textId="6F5DC922" w:rsidR="00A07A3F" w:rsidRPr="00D818F5" w:rsidRDefault="00621F21" w:rsidP="000114C6">
            <w:pPr>
              <w:pStyle w:val="Paragraph"/>
              <w:spacing w:line="240" w:lineRule="auto"/>
              <w:rPr>
                <w:rFonts w:cs="Arial"/>
                <w:lang w:eastAsia="en-GB"/>
              </w:rPr>
            </w:pPr>
            <w:r w:rsidRPr="00D818F5">
              <w:rPr>
                <w:rFonts w:cs="Arial"/>
                <w:lang w:eastAsia="en-GB"/>
              </w:rPr>
              <w:t>Thank you for your comment. Please see response to comment 3.</w:t>
            </w:r>
          </w:p>
        </w:tc>
      </w:tr>
      <w:tr w:rsidR="00A07A3F" w:rsidRPr="00D818F5" w14:paraId="6E6443A8" w14:textId="7A62472E" w:rsidTr="1948D9BA">
        <w:tc>
          <w:tcPr>
            <w:tcW w:w="1323" w:type="dxa"/>
          </w:tcPr>
          <w:p w14:paraId="5D93757C"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2634CFE2" w14:textId="0A6AC934" w:rsidR="00A07A3F" w:rsidRPr="00D818F5" w:rsidRDefault="00A07A3F" w:rsidP="000114C6">
            <w:pPr>
              <w:pStyle w:val="Paragraph"/>
              <w:spacing w:line="240" w:lineRule="auto"/>
              <w:rPr>
                <w:rFonts w:cs="Arial"/>
                <w:lang w:eastAsia="en-GB"/>
              </w:rPr>
            </w:pPr>
            <w:r w:rsidRPr="00D818F5">
              <w:rPr>
                <w:rFonts w:cs="Arial"/>
                <w:color w:val="000000"/>
              </w:rPr>
              <w:t>Consultee 3</w:t>
            </w:r>
            <w:r w:rsidRPr="00D818F5">
              <w:rPr>
                <w:rFonts w:cs="Arial"/>
                <w:color w:val="000000"/>
              </w:rPr>
              <w:br/>
              <w:t>Individual</w:t>
            </w:r>
          </w:p>
        </w:tc>
        <w:tc>
          <w:tcPr>
            <w:tcW w:w="2051" w:type="dxa"/>
            <w:shd w:val="clear" w:color="auto" w:fill="auto"/>
          </w:tcPr>
          <w:p w14:paraId="44AD7FC1" w14:textId="3DB57B0D"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4F0ADA44" w14:textId="763E6D2C" w:rsidR="00A07A3F" w:rsidRPr="00D818F5" w:rsidRDefault="00A07A3F" w:rsidP="000114C6">
            <w:pPr>
              <w:pStyle w:val="Paragraph"/>
              <w:spacing w:line="240" w:lineRule="auto"/>
              <w:rPr>
                <w:rFonts w:cs="Arial"/>
                <w:lang w:eastAsia="en-GB"/>
              </w:rPr>
            </w:pPr>
            <w:r w:rsidRPr="00D818F5">
              <w:rPr>
                <w:rFonts w:cs="Arial"/>
                <w:color w:val="000000"/>
              </w:rPr>
              <w:t>Infected wounds should always be managed by the HCP not the patient due to the risk of progression to increasingly severe infection.</w:t>
            </w:r>
          </w:p>
        </w:tc>
        <w:tc>
          <w:tcPr>
            <w:tcW w:w="4135" w:type="dxa"/>
          </w:tcPr>
          <w:p w14:paraId="2751B217" w14:textId="61F65C26" w:rsidR="00A07A3F" w:rsidRPr="00D818F5" w:rsidRDefault="00EF2D82" w:rsidP="000114C6">
            <w:pPr>
              <w:pStyle w:val="Paragraph"/>
              <w:spacing w:line="240" w:lineRule="auto"/>
              <w:rPr>
                <w:rFonts w:cs="Arial"/>
                <w:lang w:eastAsia="en-GB"/>
              </w:rPr>
            </w:pPr>
            <w:r w:rsidRPr="00D818F5">
              <w:rPr>
                <w:rFonts w:cs="Arial"/>
                <w:lang w:eastAsia="en-GB"/>
              </w:rPr>
              <w:t xml:space="preserve">Thank you for your comment. </w:t>
            </w:r>
            <w:r w:rsidR="009C71C2" w:rsidRPr="00D818F5">
              <w:rPr>
                <w:rFonts w:cs="Arial"/>
                <w:lang w:eastAsia="en-GB"/>
              </w:rPr>
              <w:t>P</w:t>
            </w:r>
            <w:r w:rsidRPr="00D818F5">
              <w:rPr>
                <w:rFonts w:cs="Arial"/>
                <w:lang w:eastAsia="en-GB"/>
              </w:rPr>
              <w:t xml:space="preserve">lease see response to comment </w:t>
            </w:r>
            <w:r w:rsidR="00AF205D" w:rsidRPr="00D818F5">
              <w:rPr>
                <w:rFonts w:cs="Arial"/>
                <w:lang w:eastAsia="en-GB"/>
              </w:rPr>
              <w:t>4.</w:t>
            </w:r>
          </w:p>
        </w:tc>
      </w:tr>
      <w:tr w:rsidR="00A07A3F" w:rsidRPr="00D818F5" w14:paraId="7F573A13" w14:textId="41B7910D" w:rsidTr="1948D9BA">
        <w:tc>
          <w:tcPr>
            <w:tcW w:w="1323" w:type="dxa"/>
          </w:tcPr>
          <w:p w14:paraId="178485E3"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233093C9" w14:textId="53EF2DD0"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7154A572" w14:textId="19BD7615" w:rsidR="00A07A3F" w:rsidRPr="00D818F5" w:rsidRDefault="00A07A3F" w:rsidP="000114C6">
            <w:pPr>
              <w:pStyle w:val="Paragraph"/>
              <w:spacing w:line="240" w:lineRule="auto"/>
              <w:rPr>
                <w:rFonts w:cs="Arial"/>
                <w:lang w:eastAsia="en-GB"/>
              </w:rPr>
            </w:pPr>
            <w:r w:rsidRPr="00D818F5">
              <w:rPr>
                <w:rFonts w:cs="Arial"/>
                <w:color w:val="000000"/>
              </w:rPr>
              <w:t xml:space="preserve">1 </w:t>
            </w:r>
          </w:p>
        </w:tc>
        <w:tc>
          <w:tcPr>
            <w:tcW w:w="4682" w:type="dxa"/>
            <w:shd w:val="clear" w:color="auto" w:fill="auto"/>
          </w:tcPr>
          <w:p w14:paraId="575BFF1F" w14:textId="1467BE3A" w:rsidR="00A07A3F" w:rsidRPr="00D818F5" w:rsidRDefault="00A07A3F" w:rsidP="000114C6">
            <w:pPr>
              <w:pStyle w:val="Paragraph"/>
              <w:spacing w:line="240" w:lineRule="auto"/>
              <w:rPr>
                <w:rFonts w:cs="Arial"/>
                <w:lang w:eastAsia="en-GB"/>
              </w:rPr>
            </w:pPr>
            <w:r w:rsidRPr="00D818F5">
              <w:rPr>
                <w:rFonts w:cs="Arial"/>
                <w:color w:val="000000"/>
              </w:rPr>
              <w:t xml:space="preserve">The order in which the recommendations are laid out does not reflect the relative certainty of the committee’s considerations and conclusions on the evidence presented on lived experience (section 3.2), user experience (sections 3.4 and 3.5) or </w:t>
            </w:r>
            <w:r w:rsidRPr="00D818F5">
              <w:rPr>
                <w:rFonts w:cs="Arial"/>
                <w:color w:val="000000"/>
              </w:rPr>
              <w:lastRenderedPageBreak/>
              <w:t>equality issues (section 3.6), compared with that on the clinical and economic evidence (sections 3.8 and 3.15). To more accurately reflect these, the recommendations should be re-ordered as follows:</w:t>
            </w:r>
            <w:r w:rsidRPr="00D818F5">
              <w:rPr>
                <w:rFonts w:cs="Arial"/>
                <w:color w:val="000000"/>
              </w:rPr>
              <w:br/>
              <w:t xml:space="preserve"> - section 1.1 - shared decision making and dressing choice impact (the current section 1.2);</w:t>
            </w:r>
            <w:r w:rsidRPr="00D818F5">
              <w:rPr>
                <w:rFonts w:cs="Arial"/>
                <w:color w:val="000000"/>
              </w:rPr>
              <w:br/>
              <w:t xml:space="preserve"> - section 1.2 - factors to consider and dressing availability (the current 1.3, subject to the changes proposed in our other comments to remove the reference to the least expensive option);</w:t>
            </w:r>
            <w:r w:rsidRPr="00D818F5">
              <w:rPr>
                <w:rFonts w:cs="Arial"/>
                <w:color w:val="000000"/>
              </w:rPr>
              <w:br/>
              <w:t xml:space="preserve"> - section 1.3 – clinically appropriate and meets the preferences and needs of the person (current section 1.1, subject to the proposed changes in our other comments to remove the reference to the least expensive option).</w:t>
            </w:r>
          </w:p>
        </w:tc>
        <w:tc>
          <w:tcPr>
            <w:tcW w:w="4135" w:type="dxa"/>
          </w:tcPr>
          <w:p w14:paraId="71E3E81F" w14:textId="0216694D" w:rsidR="003F6AB4" w:rsidRPr="00D818F5" w:rsidRDefault="00061ADE" w:rsidP="000114C6">
            <w:pPr>
              <w:pStyle w:val="Paragraph"/>
              <w:spacing w:line="240" w:lineRule="auto"/>
              <w:rPr>
                <w:rFonts w:cs="Arial"/>
                <w:lang w:eastAsia="en-GB"/>
              </w:rPr>
            </w:pPr>
            <w:r w:rsidRPr="00D818F5">
              <w:rPr>
                <w:rFonts w:cs="Arial"/>
                <w:lang w:eastAsia="en-GB"/>
              </w:rPr>
              <w:lastRenderedPageBreak/>
              <w:t xml:space="preserve">Thank you for your comment. The </w:t>
            </w:r>
            <w:r w:rsidR="00C81ED6" w:rsidRPr="00D818F5">
              <w:rPr>
                <w:rFonts w:cs="Arial"/>
                <w:lang w:eastAsia="en-GB"/>
              </w:rPr>
              <w:t xml:space="preserve">order of the recommendations has been changed. </w:t>
            </w:r>
            <w:r w:rsidR="003F6AB4" w:rsidRPr="00D818F5">
              <w:rPr>
                <w:rFonts w:cs="Arial"/>
                <w:lang w:eastAsia="en-GB"/>
              </w:rPr>
              <w:t>In summary</w:t>
            </w:r>
            <w:r w:rsidR="0037460E" w:rsidRPr="00D818F5">
              <w:rPr>
                <w:rFonts w:cs="Arial"/>
                <w:lang w:eastAsia="en-GB"/>
              </w:rPr>
              <w:t>:</w:t>
            </w:r>
          </w:p>
          <w:p w14:paraId="386B8CDD" w14:textId="43D05C26" w:rsidR="00A07A3F" w:rsidRPr="00D818F5" w:rsidRDefault="00A1257B" w:rsidP="000114C6">
            <w:pPr>
              <w:pStyle w:val="Paragraph"/>
              <w:numPr>
                <w:ilvl w:val="1"/>
                <w:numId w:val="33"/>
              </w:numPr>
              <w:spacing w:line="240" w:lineRule="auto"/>
              <w:rPr>
                <w:rFonts w:cs="Arial"/>
                <w:lang w:eastAsia="en-GB"/>
              </w:rPr>
            </w:pPr>
            <w:r w:rsidRPr="00D818F5">
              <w:rPr>
                <w:rFonts w:cs="Arial"/>
                <w:lang w:eastAsia="en-GB"/>
              </w:rPr>
              <w:t>T</w:t>
            </w:r>
            <w:r w:rsidR="003F6AB4" w:rsidRPr="00D818F5">
              <w:rPr>
                <w:rFonts w:cs="Arial"/>
                <w:lang w:eastAsia="en-GB"/>
              </w:rPr>
              <w:t>here is not enough evidence to justify price variation</w:t>
            </w:r>
          </w:p>
          <w:p w14:paraId="05BE077C" w14:textId="4F8FBB9D" w:rsidR="003F6AB4" w:rsidRPr="00D818F5" w:rsidRDefault="00674A90" w:rsidP="000114C6">
            <w:pPr>
              <w:pStyle w:val="Paragraph"/>
              <w:numPr>
                <w:ilvl w:val="1"/>
                <w:numId w:val="33"/>
              </w:numPr>
              <w:spacing w:line="240" w:lineRule="auto"/>
              <w:rPr>
                <w:rFonts w:cs="Arial"/>
                <w:lang w:eastAsia="en-GB"/>
              </w:rPr>
            </w:pPr>
            <w:r>
              <w:rPr>
                <w:rFonts w:cs="Arial"/>
                <w:lang w:eastAsia="en-GB"/>
              </w:rPr>
              <w:lastRenderedPageBreak/>
              <w:t xml:space="preserve">NHS trusts should provide an appropriate range of dressings </w:t>
            </w:r>
          </w:p>
          <w:p w14:paraId="40B09889" w14:textId="77777777" w:rsidR="00A11956" w:rsidRDefault="00A11956" w:rsidP="000114C6">
            <w:pPr>
              <w:pStyle w:val="Paragraph"/>
              <w:numPr>
                <w:ilvl w:val="1"/>
                <w:numId w:val="33"/>
              </w:numPr>
              <w:spacing w:line="240" w:lineRule="auto"/>
              <w:rPr>
                <w:rFonts w:cs="Arial"/>
                <w:lang w:eastAsia="en-GB"/>
              </w:rPr>
            </w:pPr>
            <w:r>
              <w:rPr>
                <w:rFonts w:cs="Arial"/>
                <w:lang w:eastAsia="en-GB"/>
              </w:rPr>
              <w:t>Shared decision making</w:t>
            </w:r>
          </w:p>
          <w:p w14:paraId="120C27F9" w14:textId="257A7F83" w:rsidR="00B96719" w:rsidRPr="00A11956" w:rsidRDefault="00A1257B" w:rsidP="005E345E">
            <w:pPr>
              <w:pStyle w:val="Paragraph"/>
              <w:numPr>
                <w:ilvl w:val="1"/>
                <w:numId w:val="33"/>
              </w:numPr>
              <w:spacing w:line="240" w:lineRule="auto"/>
              <w:rPr>
                <w:rFonts w:cs="Arial"/>
                <w:lang w:eastAsia="en-GB"/>
              </w:rPr>
            </w:pPr>
            <w:r w:rsidRPr="1948D9BA">
              <w:rPr>
                <w:rFonts w:cs="Arial"/>
                <w:lang w:eastAsia="en-GB"/>
              </w:rPr>
              <w:t>I</w:t>
            </w:r>
            <w:r w:rsidR="00B96719" w:rsidRPr="1948D9BA">
              <w:rPr>
                <w:rFonts w:cs="Arial"/>
                <w:lang w:eastAsia="en-GB"/>
              </w:rPr>
              <w:t>f more tha</w:t>
            </w:r>
            <w:r w:rsidR="791E1317" w:rsidRPr="1948D9BA">
              <w:rPr>
                <w:rFonts w:cs="Arial"/>
                <w:lang w:eastAsia="en-GB"/>
              </w:rPr>
              <w:t>n</w:t>
            </w:r>
            <w:r w:rsidR="00B96719" w:rsidRPr="1948D9BA">
              <w:rPr>
                <w:rFonts w:cs="Arial"/>
                <w:lang w:eastAsia="en-GB"/>
              </w:rPr>
              <w:t xml:space="preserve"> one </w:t>
            </w:r>
            <w:r w:rsidR="00DB1A19" w:rsidRPr="1948D9BA">
              <w:rPr>
                <w:rFonts w:cs="Arial"/>
                <w:lang w:eastAsia="en-GB"/>
              </w:rPr>
              <w:t xml:space="preserve">dressing is </w:t>
            </w:r>
            <w:r w:rsidR="00B96719" w:rsidRPr="1948D9BA">
              <w:rPr>
                <w:rFonts w:cs="Arial"/>
                <w:lang w:eastAsia="en-GB"/>
              </w:rPr>
              <w:t>clinically appropriate, use the least expensive</w:t>
            </w:r>
            <w:r w:rsidR="00DB1A19" w:rsidRPr="1948D9BA">
              <w:rPr>
                <w:rFonts w:cs="Arial"/>
                <w:lang w:eastAsia="en-GB"/>
              </w:rPr>
              <w:t xml:space="preserve"> option</w:t>
            </w:r>
            <w:r w:rsidR="00B96719" w:rsidRPr="1948D9BA">
              <w:rPr>
                <w:rFonts w:cs="Arial"/>
                <w:lang w:eastAsia="en-GB"/>
              </w:rPr>
              <w:t xml:space="preserve"> considerin</w:t>
            </w:r>
            <w:r w:rsidR="00A11956" w:rsidRPr="1948D9BA">
              <w:rPr>
                <w:rFonts w:cs="Arial"/>
                <w:lang w:eastAsia="en-GB"/>
              </w:rPr>
              <w:t xml:space="preserve">g the </w:t>
            </w:r>
            <w:r w:rsidR="00B96719" w:rsidRPr="1948D9BA">
              <w:rPr>
                <w:rFonts w:cs="Arial"/>
                <w:lang w:eastAsia="en-GB"/>
              </w:rPr>
              <w:t xml:space="preserve">factors to determine </w:t>
            </w:r>
            <w:r w:rsidR="00A11956" w:rsidRPr="1948D9BA">
              <w:rPr>
                <w:rFonts w:cs="Arial"/>
                <w:lang w:eastAsia="en-GB"/>
              </w:rPr>
              <w:t xml:space="preserve">the </w:t>
            </w:r>
            <w:r w:rsidR="00B96719" w:rsidRPr="1948D9BA">
              <w:rPr>
                <w:rFonts w:cs="Arial"/>
                <w:lang w:eastAsia="en-GB"/>
              </w:rPr>
              <w:t>least expensive</w:t>
            </w:r>
            <w:r w:rsidR="00A11956" w:rsidRPr="1948D9BA">
              <w:rPr>
                <w:rFonts w:cs="Arial"/>
                <w:lang w:eastAsia="en-GB"/>
              </w:rPr>
              <w:t xml:space="preserve"> option</w:t>
            </w:r>
            <w:r w:rsidR="00B96719" w:rsidRPr="1948D9BA">
              <w:rPr>
                <w:rFonts w:cs="Arial"/>
                <w:lang w:eastAsia="en-GB"/>
              </w:rPr>
              <w:t xml:space="preserve">. </w:t>
            </w:r>
          </w:p>
          <w:p w14:paraId="3A447870" w14:textId="556C4EF3" w:rsidR="0037460E" w:rsidRPr="00D818F5" w:rsidRDefault="00F96063" w:rsidP="000114C6">
            <w:pPr>
              <w:pStyle w:val="Paragraph"/>
              <w:spacing w:line="240" w:lineRule="auto"/>
              <w:rPr>
                <w:rFonts w:cs="Arial"/>
                <w:lang w:eastAsia="en-GB"/>
              </w:rPr>
            </w:pPr>
            <w:r w:rsidRPr="1948D9BA">
              <w:rPr>
                <w:rFonts w:cs="Arial"/>
                <w:lang w:eastAsia="en-GB"/>
              </w:rPr>
              <w:t>N</w:t>
            </w:r>
            <w:r w:rsidR="0037460E" w:rsidRPr="1948D9BA">
              <w:rPr>
                <w:rFonts w:cs="Arial"/>
                <w:lang w:eastAsia="en-GB"/>
              </w:rPr>
              <w:t xml:space="preserve">ote this is a summary and paraphrasing of the </w:t>
            </w:r>
            <w:r w:rsidR="00241DF9" w:rsidRPr="1948D9BA">
              <w:rPr>
                <w:rFonts w:cs="Arial"/>
                <w:lang w:eastAsia="en-GB"/>
              </w:rPr>
              <w:t>recommendations</w:t>
            </w:r>
            <w:r w:rsidRPr="1948D9BA">
              <w:rPr>
                <w:rFonts w:cs="Arial"/>
                <w:lang w:eastAsia="en-GB"/>
              </w:rPr>
              <w:t xml:space="preserve"> and does not represent the full details of the recommendations</w:t>
            </w:r>
            <w:r w:rsidR="00241DF9" w:rsidRPr="1948D9BA">
              <w:rPr>
                <w:rFonts w:cs="Arial"/>
                <w:lang w:eastAsia="en-GB"/>
              </w:rPr>
              <w:t>. Please see the guidance for full and final wording</w:t>
            </w:r>
            <w:r w:rsidR="104F9095" w:rsidRPr="1948D9BA">
              <w:rPr>
                <w:rFonts w:cs="Arial"/>
                <w:lang w:eastAsia="en-GB"/>
              </w:rPr>
              <w:t>.</w:t>
            </w:r>
            <w:r w:rsidR="00241DF9" w:rsidRPr="1948D9BA">
              <w:rPr>
                <w:rFonts w:cs="Arial"/>
                <w:lang w:eastAsia="en-GB"/>
              </w:rPr>
              <w:t xml:space="preserve"> </w:t>
            </w:r>
          </w:p>
        </w:tc>
      </w:tr>
      <w:tr w:rsidR="00A07A3F" w:rsidRPr="00D818F5" w14:paraId="6CA69DE3" w14:textId="38B36886" w:rsidTr="1948D9BA">
        <w:tc>
          <w:tcPr>
            <w:tcW w:w="1323" w:type="dxa"/>
          </w:tcPr>
          <w:p w14:paraId="2F901B08"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68447ADC" w14:textId="6AF96C31"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645414C0" w14:textId="7DB88BAF"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08ACEA56" w14:textId="2BD3AA64" w:rsidR="00A07A3F" w:rsidRPr="00D818F5" w:rsidRDefault="00A07A3F" w:rsidP="000114C6">
            <w:pPr>
              <w:pStyle w:val="Paragraph"/>
              <w:spacing w:line="240" w:lineRule="auto"/>
              <w:rPr>
                <w:rFonts w:cs="Arial"/>
                <w:lang w:eastAsia="en-GB"/>
              </w:rPr>
            </w:pPr>
            <w:r w:rsidRPr="00D818F5">
              <w:rPr>
                <w:rFonts w:cs="Arial"/>
                <w:color w:val="000000"/>
              </w:rPr>
              <w:t xml:space="preserve">This recommendation may be interpreted as a ‘do not use’ recommendation, that is to not use a ‘more expensive’ dressing, or to switch from a ‘more expensive’ dressing to a lower cost one. Additional text should be added to clarify that this is not the intention of the guidance. We suggest using this wording which is based on </w:t>
            </w:r>
            <w:r w:rsidRPr="00D818F5">
              <w:rPr>
                <w:rFonts w:cs="Arial"/>
                <w:color w:val="000000"/>
              </w:rPr>
              <w:lastRenderedPageBreak/>
              <w:t>text used in other NICE guidance:</w:t>
            </w:r>
            <w:r w:rsidRPr="00D818F5">
              <w:rPr>
                <w:rFonts w:cs="Arial"/>
                <w:color w:val="000000"/>
              </w:rPr>
              <w:br/>
              <w:t>“These recommendations are not intended to affect established dressing choice, where clinically appropriate and meets the patient’s needs and preferences, that was started in the NHS before this guidance was published.”</w:t>
            </w:r>
          </w:p>
        </w:tc>
        <w:tc>
          <w:tcPr>
            <w:tcW w:w="4135" w:type="dxa"/>
          </w:tcPr>
          <w:p w14:paraId="4732A439" w14:textId="409C39DD" w:rsidR="00472A3B" w:rsidRDefault="00EF234E" w:rsidP="000114C6">
            <w:pPr>
              <w:pStyle w:val="Paragraph"/>
              <w:spacing w:line="240" w:lineRule="auto"/>
              <w:rPr>
                <w:rFonts w:cs="Arial"/>
                <w:lang w:eastAsia="en-GB"/>
              </w:rPr>
            </w:pPr>
            <w:r w:rsidRPr="00D818F5">
              <w:rPr>
                <w:rFonts w:cs="Arial"/>
                <w:lang w:eastAsia="en-GB"/>
              </w:rPr>
              <w:lastRenderedPageBreak/>
              <w:t>Thank you for your comment</w:t>
            </w:r>
            <w:r w:rsidR="00213078" w:rsidRPr="00D818F5">
              <w:rPr>
                <w:rFonts w:cs="Arial"/>
                <w:lang w:eastAsia="en-GB"/>
              </w:rPr>
              <w:t xml:space="preserve">. </w:t>
            </w:r>
            <w:r w:rsidR="00B4264B" w:rsidRPr="00D818F5">
              <w:rPr>
                <w:rFonts w:cs="Arial"/>
                <w:lang w:eastAsia="en-GB"/>
              </w:rPr>
              <w:t xml:space="preserve">The committee discussed in detail </w:t>
            </w:r>
            <w:r w:rsidR="00BA2147" w:rsidRPr="00D818F5">
              <w:rPr>
                <w:rFonts w:cs="Arial"/>
                <w:lang w:eastAsia="en-GB"/>
              </w:rPr>
              <w:t xml:space="preserve">how the recommendations do not replace clinical reasoning. The guidance also </w:t>
            </w:r>
            <w:proofErr w:type="gramStart"/>
            <w:r w:rsidR="00BA2147" w:rsidRPr="00D818F5">
              <w:rPr>
                <w:rFonts w:cs="Arial"/>
                <w:lang w:eastAsia="en-GB"/>
              </w:rPr>
              <w:t>states</w:t>
            </w:r>
            <w:proofErr w:type="gramEnd"/>
            <w:r w:rsidR="002977E9" w:rsidRPr="00D818F5">
              <w:rPr>
                <w:rFonts w:cs="Arial"/>
                <w:lang w:eastAsia="en-GB"/>
              </w:rPr>
              <w:t xml:space="preserve"> ‘These recommendations are not intended to restrict choice.’ </w:t>
            </w:r>
            <w:r w:rsidR="00BA2147" w:rsidRPr="00D818F5">
              <w:rPr>
                <w:rFonts w:cs="Arial"/>
                <w:lang w:eastAsia="en-GB"/>
              </w:rPr>
              <w:t xml:space="preserve"> </w:t>
            </w:r>
            <w:r w:rsidR="00F00492" w:rsidRPr="00D818F5">
              <w:rPr>
                <w:rFonts w:cs="Arial"/>
                <w:lang w:eastAsia="en-GB"/>
              </w:rPr>
              <w:t xml:space="preserve">under </w:t>
            </w:r>
            <w:r w:rsidR="002977E9" w:rsidRPr="00D818F5">
              <w:rPr>
                <w:rFonts w:cs="Arial"/>
                <w:lang w:eastAsia="en-GB"/>
              </w:rPr>
              <w:t>‘</w:t>
            </w:r>
            <w:r w:rsidR="004C29AB" w:rsidRPr="00D818F5">
              <w:rPr>
                <w:rFonts w:cs="Arial"/>
                <w:lang w:eastAsia="en-GB"/>
              </w:rPr>
              <w:t xml:space="preserve">Considerations for wound management formulary </w:t>
            </w:r>
            <w:proofErr w:type="gramStart"/>
            <w:r w:rsidR="004C29AB" w:rsidRPr="00D818F5">
              <w:rPr>
                <w:rFonts w:cs="Arial"/>
                <w:lang w:eastAsia="en-GB"/>
              </w:rPr>
              <w:t>groups</w:t>
            </w:r>
            <w:r w:rsidR="002977E9" w:rsidRPr="00D818F5">
              <w:rPr>
                <w:rFonts w:cs="Arial"/>
                <w:lang w:eastAsia="en-GB"/>
              </w:rPr>
              <w:t>’</w:t>
            </w:r>
            <w:proofErr w:type="gramEnd"/>
            <w:r w:rsidR="002977E9" w:rsidRPr="00D818F5">
              <w:rPr>
                <w:rFonts w:cs="Arial"/>
                <w:lang w:eastAsia="en-GB"/>
              </w:rPr>
              <w:t xml:space="preserve">. </w:t>
            </w:r>
            <w:r w:rsidR="00472A3B">
              <w:rPr>
                <w:rFonts w:cs="Arial"/>
                <w:lang w:eastAsia="en-GB"/>
              </w:rPr>
              <w:lastRenderedPageBreak/>
              <w:t xml:space="preserve">However, recommendation 1.2 has been updated to state that </w:t>
            </w:r>
            <w:r w:rsidR="001D78B7">
              <w:rPr>
                <w:rFonts w:cs="Arial"/>
                <w:lang w:eastAsia="en-GB"/>
              </w:rPr>
              <w:t>‘</w:t>
            </w:r>
            <w:r w:rsidR="001D78B7" w:rsidRPr="001D78B7">
              <w:rPr>
                <w:rFonts w:cs="Arial"/>
                <w:lang w:eastAsia="en-GB"/>
              </w:rPr>
              <w:t>NHS trusts should provide access to a range of different types of antimicrobial dressings, so that a product that is clinically appropriate</w:t>
            </w:r>
            <w:r w:rsidR="00202A4C">
              <w:rPr>
                <w:rFonts w:cs="Arial"/>
                <w:lang w:eastAsia="en-GB"/>
              </w:rPr>
              <w:t xml:space="preserve"> </w:t>
            </w:r>
            <w:r w:rsidR="00202A4C" w:rsidRPr="00202A4C">
              <w:rPr>
                <w:rFonts w:cs="Arial"/>
                <w:lang w:eastAsia="en-GB"/>
              </w:rPr>
              <w:t>and meets people’s needs is available for everyone with locally infected leg ulcers.</w:t>
            </w:r>
            <w:r w:rsidR="00202A4C">
              <w:rPr>
                <w:rFonts w:cs="Arial"/>
                <w:lang w:eastAsia="en-GB"/>
              </w:rPr>
              <w:t>’</w:t>
            </w:r>
          </w:p>
          <w:p w14:paraId="55BD9E77" w14:textId="1DF7D1A7" w:rsidR="00A07A3F" w:rsidRPr="00D818F5" w:rsidRDefault="002977E9" w:rsidP="000114C6">
            <w:pPr>
              <w:pStyle w:val="Paragraph"/>
              <w:spacing w:line="240" w:lineRule="auto"/>
              <w:rPr>
                <w:rFonts w:cs="Arial"/>
                <w:lang w:eastAsia="en-GB"/>
              </w:rPr>
            </w:pPr>
            <w:r w:rsidRPr="00D818F5">
              <w:rPr>
                <w:rFonts w:cs="Arial"/>
                <w:lang w:eastAsia="en-GB"/>
              </w:rPr>
              <w:t xml:space="preserve">Clinical experts also informed committee that access to off formulary dressings is already possible if clinical reasoning justifies it. </w:t>
            </w:r>
          </w:p>
        </w:tc>
      </w:tr>
      <w:tr w:rsidR="00A07A3F" w:rsidRPr="00D818F5" w14:paraId="4358AE51" w14:textId="4268231C" w:rsidTr="1948D9BA">
        <w:tc>
          <w:tcPr>
            <w:tcW w:w="1323" w:type="dxa"/>
          </w:tcPr>
          <w:p w14:paraId="178A1C84"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48BDE879" w14:textId="723C94DE"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1E257A30" w14:textId="192800FC"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1ECD418E" w14:textId="2EBA9299" w:rsidR="00A07A3F" w:rsidRPr="00D818F5" w:rsidRDefault="00A07A3F" w:rsidP="000114C6">
            <w:pPr>
              <w:pStyle w:val="Paragraph"/>
              <w:spacing w:line="240" w:lineRule="auto"/>
              <w:rPr>
                <w:rFonts w:cs="Arial"/>
                <w:lang w:eastAsia="en-GB"/>
              </w:rPr>
            </w:pPr>
            <w:r w:rsidRPr="00D818F5">
              <w:rPr>
                <w:rFonts w:cs="Arial"/>
                <w:color w:val="000000"/>
              </w:rPr>
              <w:t xml:space="preserve">We would respectfully suggest that the sentence in the Draft Guidance (para 1.1) </w:t>
            </w:r>
            <w:r w:rsidRPr="00D818F5">
              <w:rPr>
                <w:rFonts w:cs="Arial"/>
                <w:color w:val="000000"/>
              </w:rPr>
              <w:br/>
              <w:t>“So, if an antimicrobial dressing is needed to treat an infected leg ulcer, use the least expensive option that is:</w:t>
            </w:r>
            <w:r w:rsidRPr="00D818F5">
              <w:rPr>
                <w:rFonts w:cs="Arial"/>
                <w:color w:val="000000"/>
              </w:rPr>
              <w:br/>
              <w:t>• Clinically appropriate, and</w:t>
            </w:r>
            <w:r w:rsidRPr="00D818F5">
              <w:rPr>
                <w:rFonts w:cs="Arial"/>
                <w:color w:val="000000"/>
              </w:rPr>
              <w:br/>
              <w:t>• Meets the preferences and needs of the person with the infected leg ulcer.”</w:t>
            </w:r>
            <w:r w:rsidRPr="00D818F5">
              <w:rPr>
                <w:rFonts w:cs="Arial"/>
                <w:color w:val="000000"/>
              </w:rPr>
              <w:br/>
              <w:t>Be replaced with</w:t>
            </w:r>
            <w:r w:rsidRPr="00D818F5">
              <w:rPr>
                <w:rFonts w:cs="Arial"/>
                <w:color w:val="000000"/>
              </w:rPr>
              <w:br/>
              <w:t>“So, if an antimicrobial dressing is needed to treat an infected leg ulcer, use the option that is:</w:t>
            </w:r>
            <w:r w:rsidRPr="00D818F5">
              <w:rPr>
                <w:rFonts w:cs="Arial"/>
                <w:color w:val="000000"/>
              </w:rPr>
              <w:br/>
              <w:t>• Clinically appropriate, and</w:t>
            </w:r>
            <w:r w:rsidRPr="00D818F5">
              <w:rPr>
                <w:rFonts w:cs="Arial"/>
                <w:color w:val="000000"/>
              </w:rPr>
              <w:br/>
            </w:r>
            <w:r w:rsidRPr="00D818F5">
              <w:rPr>
                <w:rFonts w:cs="Arial"/>
                <w:color w:val="000000"/>
              </w:rPr>
              <w:lastRenderedPageBreak/>
              <w:t>• Meets the preferences and needs of the person with the infected leg ulcer.”</w:t>
            </w:r>
            <w:r w:rsidRPr="00D818F5">
              <w:rPr>
                <w:rFonts w:cs="Arial"/>
                <w:color w:val="000000"/>
              </w:rPr>
              <w:br/>
            </w:r>
            <w:r w:rsidRPr="00D818F5">
              <w:rPr>
                <w:rFonts w:cs="Arial"/>
                <w:color w:val="000000"/>
              </w:rPr>
              <w:br/>
              <w:t>The fact that there is not enough evidence to determine whether price variations between different antimicrobial dressings are justified is not the same as saying that there is no difference (Absence of evidence is not evidence of absence. Altman DG, Bland JM. BMJ 1995 311:485.  Anderson P. BMJ Editorial 2004 328:476-77). Recommending the least expensive option implies all antimicrobial dressings are effectively the same. This is not a valid conclusion from the evidence. In the absence of evidence of a difference, clinical experience is a more appropriate decision rule.</w:t>
            </w:r>
          </w:p>
        </w:tc>
        <w:tc>
          <w:tcPr>
            <w:tcW w:w="4135" w:type="dxa"/>
          </w:tcPr>
          <w:p w14:paraId="1DAACD50" w14:textId="77777777" w:rsidR="00F91997" w:rsidRPr="00D818F5" w:rsidRDefault="00350DBA" w:rsidP="000114C6">
            <w:pPr>
              <w:pStyle w:val="Paragraph"/>
              <w:spacing w:line="240" w:lineRule="auto"/>
              <w:rPr>
                <w:rFonts w:cs="Arial"/>
                <w:lang w:eastAsia="en-GB"/>
              </w:rPr>
            </w:pPr>
            <w:r w:rsidRPr="00D818F5">
              <w:rPr>
                <w:rFonts w:cs="Arial"/>
                <w:lang w:eastAsia="en-GB"/>
              </w:rPr>
              <w:lastRenderedPageBreak/>
              <w:t xml:space="preserve">Thank you for your comment. </w:t>
            </w:r>
            <w:r w:rsidR="00F91997" w:rsidRPr="00D818F5">
              <w:rPr>
                <w:rFonts w:cs="Arial"/>
                <w:lang w:eastAsia="en-GB"/>
              </w:rPr>
              <w:t xml:space="preserve">Please see response to comment 3. </w:t>
            </w:r>
          </w:p>
          <w:p w14:paraId="3017C6D5" w14:textId="3C933C45" w:rsidR="00A07A3F" w:rsidRPr="00D818F5" w:rsidRDefault="00A07A3F" w:rsidP="000114C6">
            <w:pPr>
              <w:pStyle w:val="Paragraph"/>
              <w:spacing w:line="240" w:lineRule="auto"/>
              <w:rPr>
                <w:rFonts w:cs="Arial"/>
                <w:lang w:eastAsia="en-GB"/>
              </w:rPr>
            </w:pPr>
          </w:p>
        </w:tc>
      </w:tr>
      <w:tr w:rsidR="00A07A3F" w:rsidRPr="00D818F5" w14:paraId="283DBE1B" w14:textId="5EAB5D00" w:rsidTr="1948D9BA">
        <w:tc>
          <w:tcPr>
            <w:tcW w:w="1323" w:type="dxa"/>
          </w:tcPr>
          <w:p w14:paraId="4AE25CA8"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5B37C48F" w14:textId="4696C342"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2A520924" w14:textId="20CDA65A" w:rsidR="00A07A3F" w:rsidRPr="00D818F5" w:rsidRDefault="00A07A3F" w:rsidP="000114C6">
            <w:pPr>
              <w:pStyle w:val="Paragraph"/>
              <w:spacing w:line="240" w:lineRule="auto"/>
              <w:rPr>
                <w:rFonts w:cs="Arial"/>
                <w:lang w:eastAsia="en-GB"/>
              </w:rPr>
            </w:pPr>
            <w:r w:rsidRPr="00D818F5">
              <w:rPr>
                <w:rFonts w:cs="Arial"/>
                <w:color w:val="000000"/>
              </w:rPr>
              <w:t>1.2 1 Recommendations</w:t>
            </w:r>
          </w:p>
        </w:tc>
        <w:tc>
          <w:tcPr>
            <w:tcW w:w="4682" w:type="dxa"/>
            <w:shd w:val="clear" w:color="auto" w:fill="auto"/>
          </w:tcPr>
          <w:p w14:paraId="2835850B" w14:textId="0C738957" w:rsidR="00A07A3F" w:rsidRPr="00D818F5" w:rsidRDefault="00A07A3F" w:rsidP="000114C6">
            <w:pPr>
              <w:pStyle w:val="Paragraph"/>
              <w:spacing w:line="240" w:lineRule="auto"/>
              <w:rPr>
                <w:rFonts w:cs="Arial"/>
                <w:lang w:eastAsia="en-GB"/>
              </w:rPr>
            </w:pPr>
            <w:r w:rsidRPr="00D818F5">
              <w:rPr>
                <w:rFonts w:cs="Arial"/>
                <w:color w:val="000000"/>
              </w:rPr>
              <w:t xml:space="preserve">In sections 3.2 to 3.6, the committee accepted the need for a dressing choice to reflect the factors summarised in recommendations 1.1 to 1.3. An additional sentence should be added to Section 1.2 as indicated by the committee at 3.15 to ensure that wound care professionals have access to the </w:t>
            </w:r>
            <w:r w:rsidRPr="00D818F5">
              <w:rPr>
                <w:rFonts w:cs="Arial"/>
                <w:color w:val="000000"/>
              </w:rPr>
              <w:lastRenderedPageBreak/>
              <w:t>full range of antimicrobial dressings listed in Part IX of the Drug Tariff.</w:t>
            </w:r>
          </w:p>
        </w:tc>
        <w:tc>
          <w:tcPr>
            <w:tcW w:w="4135" w:type="dxa"/>
          </w:tcPr>
          <w:p w14:paraId="69DBC522" w14:textId="77777777" w:rsidR="00782486" w:rsidRPr="00D818F5" w:rsidRDefault="004B52AE" w:rsidP="000114C6">
            <w:pPr>
              <w:pStyle w:val="Paragraph"/>
              <w:spacing w:line="240" w:lineRule="auto"/>
              <w:rPr>
                <w:rFonts w:cs="Arial"/>
                <w:lang w:eastAsia="en-GB"/>
              </w:rPr>
            </w:pPr>
            <w:r w:rsidRPr="00D818F5">
              <w:rPr>
                <w:rFonts w:cs="Arial"/>
                <w:lang w:eastAsia="en-GB"/>
              </w:rPr>
              <w:lastRenderedPageBreak/>
              <w:t xml:space="preserve">Thank you for your comment. </w:t>
            </w:r>
            <w:r w:rsidR="00782486" w:rsidRPr="00D818F5">
              <w:rPr>
                <w:rFonts w:cs="Arial"/>
                <w:lang w:eastAsia="en-GB"/>
              </w:rPr>
              <w:t>Please see response to comment 8.</w:t>
            </w:r>
          </w:p>
          <w:p w14:paraId="6F1BA0F7" w14:textId="2F26A908" w:rsidR="00A07A3F" w:rsidRPr="00D818F5" w:rsidRDefault="00A07A3F" w:rsidP="000114C6">
            <w:pPr>
              <w:pStyle w:val="Paragraph"/>
              <w:spacing w:line="240" w:lineRule="auto"/>
              <w:rPr>
                <w:rFonts w:cs="Arial"/>
                <w:lang w:eastAsia="en-GB"/>
              </w:rPr>
            </w:pPr>
          </w:p>
        </w:tc>
      </w:tr>
      <w:tr w:rsidR="00A07A3F" w:rsidRPr="00D818F5" w14:paraId="2E307408" w14:textId="11B36C9B" w:rsidTr="1948D9BA">
        <w:tc>
          <w:tcPr>
            <w:tcW w:w="1323" w:type="dxa"/>
          </w:tcPr>
          <w:p w14:paraId="7BCB2349"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99B7C35" w14:textId="47687C63"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4543DED2" w14:textId="0E78BB22"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212B2193" w14:textId="77777777" w:rsidR="00773980" w:rsidRPr="00D818F5" w:rsidRDefault="00A07A3F" w:rsidP="000114C6">
            <w:pPr>
              <w:pStyle w:val="Paragraph"/>
              <w:spacing w:line="240" w:lineRule="auto"/>
              <w:rPr>
                <w:rFonts w:cs="Arial"/>
                <w:color w:val="000000"/>
              </w:rPr>
            </w:pPr>
            <w:r w:rsidRPr="00D818F5">
              <w:rPr>
                <w:rFonts w:cs="Arial"/>
                <w:color w:val="000000"/>
              </w:rPr>
              <w:t xml:space="preserve">The recommendation to use the least expensive dressing is neither a sound basis for guidance nor is it a reasonable summary of the evidence or an accurate summary of the committee’s considerations and conclusions on the clinical and economic evidence. In Section 3.8, it concluded that there was insufficient evidence on clinical performance to judge equivalence or superiority, and in section 3.13 it concluded that more evidence was needed to determine the relative value of different dressings. These judgements, with which we agree, are based on an absence of evidence rather than evidence of absence. </w:t>
            </w:r>
          </w:p>
          <w:p w14:paraId="57C7FC8C" w14:textId="0D842279" w:rsidR="00A07A3F" w:rsidRPr="00D818F5" w:rsidRDefault="00A07A3F" w:rsidP="000114C6">
            <w:pPr>
              <w:pStyle w:val="Paragraph"/>
              <w:spacing w:line="240" w:lineRule="auto"/>
              <w:rPr>
                <w:rFonts w:cs="Arial"/>
                <w:lang w:eastAsia="en-GB"/>
              </w:rPr>
            </w:pPr>
            <w:r w:rsidRPr="00D818F5">
              <w:rPr>
                <w:rFonts w:cs="Arial"/>
                <w:color w:val="000000"/>
              </w:rPr>
              <w:br/>
              <w:t>Section 1.1 and 1.3 should be re-worded to omit the words “use the least expensive option”.</w:t>
            </w:r>
          </w:p>
        </w:tc>
        <w:tc>
          <w:tcPr>
            <w:tcW w:w="4135" w:type="dxa"/>
          </w:tcPr>
          <w:p w14:paraId="660AC024" w14:textId="07C98DC9" w:rsidR="006211C7" w:rsidRPr="00D818F5" w:rsidRDefault="00FA4680" w:rsidP="000114C6">
            <w:pPr>
              <w:pStyle w:val="Paragraph"/>
              <w:spacing w:line="240" w:lineRule="auto"/>
              <w:rPr>
                <w:rFonts w:cs="Arial"/>
                <w:lang w:eastAsia="en-GB"/>
              </w:rPr>
            </w:pPr>
            <w:r w:rsidRPr="00D818F5">
              <w:rPr>
                <w:rFonts w:cs="Arial"/>
                <w:lang w:eastAsia="en-GB"/>
              </w:rPr>
              <w:t xml:space="preserve">Thank you for your comment. </w:t>
            </w:r>
            <w:r w:rsidR="006211C7" w:rsidRPr="00D818F5">
              <w:rPr>
                <w:rFonts w:cs="Arial"/>
                <w:lang w:eastAsia="en-GB"/>
              </w:rPr>
              <w:t xml:space="preserve">Sections 4.35 and 4.36 of LSA interim process and methods state that recommendations can include whether ‘the technologies can be considered clinically comparable’, and ‘whether price variations are justified by differences in clinical effectiveness’ and ‘describe affordability </w:t>
            </w:r>
            <w:proofErr w:type="gramStart"/>
            <w:r w:rsidR="006211C7" w:rsidRPr="00D818F5">
              <w:rPr>
                <w:rFonts w:cs="Arial"/>
                <w:lang w:eastAsia="en-GB"/>
              </w:rPr>
              <w:t>considerations’</w:t>
            </w:r>
            <w:proofErr w:type="gramEnd"/>
            <w:r w:rsidR="006211C7" w:rsidRPr="00D818F5">
              <w:rPr>
                <w:rFonts w:cs="Arial"/>
                <w:lang w:eastAsia="en-GB"/>
              </w:rPr>
              <w:t>. Committee is not bound by threshold of clinical equivalence</w:t>
            </w:r>
          </w:p>
          <w:p w14:paraId="2B5A22E4" w14:textId="0BDB8C76" w:rsidR="00A07A3F" w:rsidRPr="00D818F5" w:rsidRDefault="004035FD" w:rsidP="000114C6">
            <w:pPr>
              <w:pStyle w:val="Paragraph"/>
              <w:spacing w:line="240" w:lineRule="auto"/>
              <w:rPr>
                <w:rFonts w:cs="Arial"/>
                <w:lang w:eastAsia="en-GB"/>
              </w:rPr>
            </w:pPr>
            <w:r w:rsidRPr="00D818F5">
              <w:rPr>
                <w:rFonts w:cs="Arial"/>
                <w:lang w:eastAsia="en-GB"/>
              </w:rPr>
              <w:t xml:space="preserve">Please see response to comment </w:t>
            </w:r>
            <w:r w:rsidR="00EC54AD" w:rsidRPr="00D818F5">
              <w:rPr>
                <w:rFonts w:cs="Arial"/>
                <w:lang w:eastAsia="en-GB"/>
              </w:rPr>
              <w:t>3 for the point on the phrase ‘least expensive’</w:t>
            </w:r>
          </w:p>
        </w:tc>
      </w:tr>
      <w:tr w:rsidR="00A07A3F" w:rsidRPr="00D818F5" w14:paraId="4D550094" w14:textId="4CD341DF" w:rsidTr="1948D9BA">
        <w:tc>
          <w:tcPr>
            <w:tcW w:w="1323" w:type="dxa"/>
          </w:tcPr>
          <w:p w14:paraId="2CF0241C"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23A37E7" w14:textId="197F5E9A"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65359B22" w14:textId="465D04CC" w:rsidR="00A07A3F" w:rsidRPr="00D818F5" w:rsidRDefault="00A07A3F" w:rsidP="000114C6">
            <w:pPr>
              <w:pStyle w:val="Paragraph"/>
              <w:spacing w:line="240" w:lineRule="auto"/>
              <w:rPr>
                <w:rFonts w:cs="Arial"/>
                <w:lang w:eastAsia="en-GB"/>
              </w:rPr>
            </w:pPr>
            <w:r w:rsidRPr="00D818F5">
              <w:rPr>
                <w:rFonts w:cs="Arial"/>
                <w:color w:val="000000"/>
              </w:rPr>
              <w:t>1.3 What information is needed</w:t>
            </w:r>
          </w:p>
        </w:tc>
        <w:tc>
          <w:tcPr>
            <w:tcW w:w="4682" w:type="dxa"/>
            <w:shd w:val="clear" w:color="auto" w:fill="auto"/>
          </w:tcPr>
          <w:p w14:paraId="548D5725" w14:textId="798DF18E" w:rsidR="00A07A3F" w:rsidRPr="00D818F5" w:rsidRDefault="00A07A3F" w:rsidP="000114C6">
            <w:pPr>
              <w:pStyle w:val="Paragraph"/>
              <w:spacing w:line="240" w:lineRule="auto"/>
              <w:rPr>
                <w:rFonts w:cs="Arial"/>
                <w:lang w:eastAsia="en-GB"/>
              </w:rPr>
            </w:pPr>
            <w:r w:rsidRPr="00D818F5">
              <w:rPr>
                <w:rFonts w:cs="Arial"/>
                <w:color w:val="000000"/>
              </w:rPr>
              <w:t xml:space="preserve">The recommendation is not sound - because it follows the recommendation in section 1.3 to use the least expensive option. A cost-minimisation </w:t>
            </w:r>
            <w:r w:rsidRPr="00D818F5">
              <w:rPr>
                <w:rFonts w:cs="Arial"/>
                <w:color w:val="000000"/>
              </w:rPr>
              <w:lastRenderedPageBreak/>
              <w:t xml:space="preserve">recommendation can only be appropriate when there is good evidence of equivalent clinical effectiveness. Neither the EAG </w:t>
            </w:r>
            <w:proofErr w:type="gramStart"/>
            <w:r w:rsidRPr="00D818F5">
              <w:rPr>
                <w:rFonts w:cs="Arial"/>
                <w:color w:val="000000"/>
              </w:rPr>
              <w:t>or</w:t>
            </w:r>
            <w:proofErr w:type="gramEnd"/>
            <w:r w:rsidRPr="00D818F5">
              <w:rPr>
                <w:rFonts w:cs="Arial"/>
                <w:color w:val="000000"/>
              </w:rPr>
              <w:t xml:space="preserve"> the committee were able to reach this judgement. None of the conclusions, therefore, support a recommendation to choose the least expensive.</w:t>
            </w:r>
          </w:p>
        </w:tc>
        <w:tc>
          <w:tcPr>
            <w:tcW w:w="4135" w:type="dxa"/>
          </w:tcPr>
          <w:p w14:paraId="5F92E4D9" w14:textId="0DAE30A3" w:rsidR="00A07A3F" w:rsidRPr="00D818F5" w:rsidRDefault="00773980" w:rsidP="000114C6">
            <w:pPr>
              <w:pStyle w:val="Paragraph"/>
              <w:spacing w:line="240" w:lineRule="auto"/>
              <w:rPr>
                <w:rFonts w:cs="Arial"/>
                <w:lang w:eastAsia="en-GB"/>
              </w:rPr>
            </w:pPr>
            <w:r w:rsidRPr="00D818F5">
              <w:rPr>
                <w:rFonts w:cs="Arial"/>
                <w:lang w:eastAsia="en-GB"/>
              </w:rPr>
              <w:lastRenderedPageBreak/>
              <w:t xml:space="preserve">Thank you for your comment. Sections 4.35 and 4.36 of LSA interim process and methods state that recommendations can include </w:t>
            </w:r>
            <w:r w:rsidRPr="00D818F5">
              <w:rPr>
                <w:rFonts w:cs="Arial"/>
                <w:lang w:eastAsia="en-GB"/>
              </w:rPr>
              <w:lastRenderedPageBreak/>
              <w:t xml:space="preserve">whether ‘the technologies can be considered clinically comparable’, and ‘whether price variations are justified by differences in clinical effectiveness’ and ‘describe affordability </w:t>
            </w:r>
            <w:proofErr w:type="gramStart"/>
            <w:r w:rsidRPr="00D818F5">
              <w:rPr>
                <w:rFonts w:cs="Arial"/>
                <w:lang w:eastAsia="en-GB"/>
              </w:rPr>
              <w:t>considerations’</w:t>
            </w:r>
            <w:proofErr w:type="gramEnd"/>
            <w:r w:rsidRPr="00D818F5">
              <w:rPr>
                <w:rFonts w:cs="Arial"/>
                <w:lang w:eastAsia="en-GB"/>
              </w:rPr>
              <w:t>. Committee is not bound by threshold of clinical equivalence</w:t>
            </w:r>
          </w:p>
        </w:tc>
      </w:tr>
      <w:tr w:rsidR="00A07A3F" w:rsidRPr="00D818F5" w14:paraId="58DC7997" w14:textId="77777777" w:rsidTr="1948D9BA">
        <w:tc>
          <w:tcPr>
            <w:tcW w:w="1323" w:type="dxa"/>
          </w:tcPr>
          <w:p w14:paraId="66CC5D84"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492C7A3A" w14:textId="5578C08E" w:rsidR="00A07A3F" w:rsidRPr="00D818F5" w:rsidRDefault="00A07A3F" w:rsidP="000114C6">
            <w:pPr>
              <w:pStyle w:val="Paragraph"/>
              <w:spacing w:line="240" w:lineRule="auto"/>
              <w:rPr>
                <w:rFonts w:cs="Arial"/>
                <w:lang w:eastAsia="en-GB"/>
              </w:rPr>
            </w:pPr>
            <w:r w:rsidRPr="00D818F5">
              <w:rPr>
                <w:rFonts w:cs="Arial"/>
                <w:color w:val="000000"/>
              </w:rPr>
              <w:t>Consultee 4</w:t>
            </w:r>
            <w:r w:rsidRPr="00D818F5">
              <w:rPr>
                <w:rFonts w:cs="Arial"/>
                <w:color w:val="000000"/>
              </w:rPr>
              <w:br/>
              <w:t>Coloplast</w:t>
            </w:r>
          </w:p>
        </w:tc>
        <w:tc>
          <w:tcPr>
            <w:tcW w:w="2051" w:type="dxa"/>
            <w:shd w:val="clear" w:color="auto" w:fill="auto"/>
          </w:tcPr>
          <w:p w14:paraId="4A59E4C7" w14:textId="147FFE0D" w:rsidR="00A07A3F" w:rsidRPr="00D818F5" w:rsidRDefault="00A07A3F" w:rsidP="000114C6">
            <w:pPr>
              <w:pStyle w:val="Paragraph"/>
              <w:spacing w:line="240" w:lineRule="auto"/>
              <w:rPr>
                <w:rFonts w:cs="Arial"/>
                <w:lang w:eastAsia="en-GB"/>
              </w:rPr>
            </w:pPr>
            <w:r w:rsidRPr="00D818F5">
              <w:rPr>
                <w:rFonts w:cs="Arial"/>
                <w:color w:val="000000"/>
              </w:rPr>
              <w:t>1.3 Why the committee made these recommendations</w:t>
            </w:r>
          </w:p>
        </w:tc>
        <w:tc>
          <w:tcPr>
            <w:tcW w:w="4682" w:type="dxa"/>
            <w:shd w:val="clear" w:color="auto" w:fill="auto"/>
          </w:tcPr>
          <w:p w14:paraId="75AA7ABC" w14:textId="0D41F2DF" w:rsidR="00A07A3F" w:rsidRPr="00D818F5" w:rsidRDefault="00A07A3F" w:rsidP="000114C6">
            <w:pPr>
              <w:pStyle w:val="Paragraph"/>
              <w:spacing w:line="240" w:lineRule="auto"/>
              <w:rPr>
                <w:rFonts w:cs="Arial"/>
                <w:lang w:eastAsia="en-GB"/>
              </w:rPr>
            </w:pPr>
            <w:r w:rsidRPr="00D818F5">
              <w:rPr>
                <w:rFonts w:cs="Arial"/>
                <w:color w:val="000000"/>
              </w:rPr>
              <w:t xml:space="preserve">A holistic and wound assessment is required to inform decision making. Understanding the treatment objectives for the wound (bed, edge and </w:t>
            </w:r>
            <w:proofErr w:type="spellStart"/>
            <w:r w:rsidRPr="00D818F5">
              <w:rPr>
                <w:rFonts w:cs="Arial"/>
                <w:color w:val="000000"/>
              </w:rPr>
              <w:t>periwound</w:t>
            </w:r>
            <w:proofErr w:type="spellEnd"/>
            <w:r w:rsidRPr="00D818F5">
              <w:rPr>
                <w:rFonts w:cs="Arial"/>
                <w:color w:val="000000"/>
              </w:rPr>
              <w:t xml:space="preserve"> skin) will have an important impact on product choice. A product required to treat a superficial wound would be very different to the products required to treat a wound that is tunnelling or undermining for example. It is therefore relevant to also include wound assessment (exudate levels, tissue type etc.) as part of the criteria considered when selecting an appropriate AMD.</w:t>
            </w:r>
          </w:p>
        </w:tc>
        <w:tc>
          <w:tcPr>
            <w:tcW w:w="4135" w:type="dxa"/>
          </w:tcPr>
          <w:p w14:paraId="28337356" w14:textId="4D193D37" w:rsidR="000F184B" w:rsidRPr="00D818F5" w:rsidRDefault="005A7A6E" w:rsidP="000114C6">
            <w:pPr>
              <w:pStyle w:val="Paragraph"/>
              <w:spacing w:line="240" w:lineRule="auto"/>
              <w:rPr>
                <w:rFonts w:cs="Arial"/>
                <w:lang w:eastAsia="en-GB"/>
              </w:rPr>
            </w:pPr>
            <w:r w:rsidRPr="00D818F5">
              <w:rPr>
                <w:rFonts w:cs="Arial"/>
                <w:lang w:eastAsia="en-GB"/>
              </w:rPr>
              <w:t xml:space="preserve">Thank you for your comment. Please see response to comment 3 which discusses </w:t>
            </w:r>
            <w:r w:rsidR="00630A41" w:rsidRPr="00D818F5">
              <w:rPr>
                <w:rFonts w:cs="Arial"/>
                <w:lang w:eastAsia="en-GB"/>
              </w:rPr>
              <w:t xml:space="preserve">the guidance not replacing the clinical reasoning of the healthcare professional. </w:t>
            </w:r>
          </w:p>
        </w:tc>
      </w:tr>
      <w:tr w:rsidR="00A07A3F" w:rsidRPr="00D818F5" w14:paraId="103CE8AD" w14:textId="77777777" w:rsidTr="1948D9BA">
        <w:tc>
          <w:tcPr>
            <w:tcW w:w="1323" w:type="dxa"/>
          </w:tcPr>
          <w:p w14:paraId="1D317D69"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EA4D9AC" w14:textId="360F06B1" w:rsidR="00A07A3F" w:rsidRPr="00D818F5" w:rsidRDefault="00A07A3F" w:rsidP="000114C6">
            <w:pPr>
              <w:pStyle w:val="Paragraph"/>
              <w:spacing w:line="240" w:lineRule="auto"/>
              <w:rPr>
                <w:rFonts w:cs="Arial"/>
                <w:lang w:eastAsia="en-GB"/>
              </w:rPr>
            </w:pPr>
            <w:r w:rsidRPr="00D818F5">
              <w:rPr>
                <w:rFonts w:cs="Arial"/>
                <w:color w:val="000000"/>
              </w:rPr>
              <w:t>Consultee 8</w:t>
            </w:r>
            <w:r w:rsidRPr="00D818F5">
              <w:rPr>
                <w:rFonts w:cs="Arial"/>
                <w:color w:val="000000"/>
              </w:rPr>
              <w:br/>
              <w:t>Individual</w:t>
            </w:r>
          </w:p>
        </w:tc>
        <w:tc>
          <w:tcPr>
            <w:tcW w:w="2051" w:type="dxa"/>
            <w:shd w:val="clear" w:color="auto" w:fill="auto"/>
          </w:tcPr>
          <w:p w14:paraId="653F5B9F" w14:textId="7980782F"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4AAACF2F" w14:textId="508F92A4" w:rsidR="00A07A3F" w:rsidRPr="00D818F5" w:rsidRDefault="00A07A3F" w:rsidP="000114C6">
            <w:pPr>
              <w:pStyle w:val="Paragraph"/>
              <w:spacing w:line="240" w:lineRule="auto"/>
              <w:rPr>
                <w:rFonts w:cs="Arial"/>
                <w:lang w:eastAsia="en-GB"/>
              </w:rPr>
            </w:pPr>
            <w:r w:rsidRPr="00D818F5">
              <w:rPr>
                <w:rFonts w:cs="Arial"/>
                <w:color w:val="000000"/>
              </w:rPr>
              <w:t xml:space="preserve">If the current evidence base does not allow a clear assessment of the relative merits of different AMDs in UK patients with infected leg ulcers, so no conclusions on the relative efficacy on </w:t>
            </w:r>
            <w:r w:rsidRPr="00D818F5">
              <w:rPr>
                <w:rFonts w:cs="Arial"/>
                <w:color w:val="000000"/>
              </w:rPr>
              <w:lastRenderedPageBreak/>
              <w:t xml:space="preserve">the range of AMDs can be drawn how can these recommendations be justified? </w:t>
            </w:r>
            <w:r w:rsidRPr="00D818F5">
              <w:rPr>
                <w:rFonts w:cs="Arial"/>
                <w:color w:val="000000"/>
              </w:rPr>
              <w:br/>
              <w:t>The results from the economic model are not sufficiently certain to allow conclusions on the expense of AMDs in the scoped population and setting.</w:t>
            </w:r>
          </w:p>
        </w:tc>
        <w:tc>
          <w:tcPr>
            <w:tcW w:w="4135" w:type="dxa"/>
          </w:tcPr>
          <w:p w14:paraId="15DB118C" w14:textId="712E1E28" w:rsidR="00A07A3F" w:rsidRPr="00D818F5" w:rsidRDefault="000F184B" w:rsidP="000114C6">
            <w:pPr>
              <w:pStyle w:val="Paragraph"/>
              <w:spacing w:line="240" w:lineRule="auto"/>
              <w:rPr>
                <w:rFonts w:cs="Arial"/>
                <w:lang w:eastAsia="en-GB"/>
              </w:rPr>
            </w:pPr>
            <w:r w:rsidRPr="00D818F5">
              <w:rPr>
                <w:rFonts w:cs="Arial"/>
                <w:lang w:eastAsia="en-GB"/>
              </w:rPr>
              <w:lastRenderedPageBreak/>
              <w:t>Thank you for your comment. Please see response to comment</w:t>
            </w:r>
            <w:r w:rsidR="00BD1152" w:rsidRPr="00D818F5">
              <w:rPr>
                <w:rFonts w:cs="Arial"/>
                <w:lang w:eastAsia="en-GB"/>
              </w:rPr>
              <w:t>s 11 and</w:t>
            </w:r>
            <w:r w:rsidRPr="00D818F5">
              <w:rPr>
                <w:rFonts w:cs="Arial"/>
                <w:lang w:eastAsia="en-GB"/>
              </w:rPr>
              <w:t xml:space="preserve"> </w:t>
            </w:r>
            <w:r w:rsidR="00B72DBA" w:rsidRPr="00D818F5">
              <w:rPr>
                <w:rFonts w:cs="Arial"/>
                <w:lang w:eastAsia="en-GB"/>
              </w:rPr>
              <w:t>12.</w:t>
            </w:r>
          </w:p>
        </w:tc>
      </w:tr>
      <w:tr w:rsidR="00A07A3F" w:rsidRPr="00D818F5" w14:paraId="4415EF23" w14:textId="77777777" w:rsidTr="1948D9BA">
        <w:tc>
          <w:tcPr>
            <w:tcW w:w="1323" w:type="dxa"/>
          </w:tcPr>
          <w:p w14:paraId="0BB6ECE6"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3AAE1F0" w14:textId="2EF98940" w:rsidR="00A07A3F" w:rsidRPr="00D818F5" w:rsidRDefault="00A07A3F" w:rsidP="000114C6">
            <w:pPr>
              <w:pStyle w:val="Paragraph"/>
              <w:spacing w:line="240" w:lineRule="auto"/>
              <w:rPr>
                <w:rFonts w:cs="Arial"/>
                <w:lang w:eastAsia="en-GB"/>
              </w:rPr>
            </w:pPr>
            <w:r w:rsidRPr="00D818F5">
              <w:rPr>
                <w:rFonts w:cs="Arial"/>
                <w:color w:val="000000"/>
              </w:rPr>
              <w:t>Consultee 8</w:t>
            </w:r>
            <w:r w:rsidRPr="00D818F5">
              <w:rPr>
                <w:rFonts w:cs="Arial"/>
                <w:color w:val="000000"/>
              </w:rPr>
              <w:br/>
              <w:t>Individual</w:t>
            </w:r>
          </w:p>
        </w:tc>
        <w:tc>
          <w:tcPr>
            <w:tcW w:w="2051" w:type="dxa"/>
            <w:shd w:val="clear" w:color="auto" w:fill="auto"/>
          </w:tcPr>
          <w:p w14:paraId="4DAA785F" w14:textId="361336C4"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1FD8B998" w14:textId="1A28C0DE" w:rsidR="00A07A3F" w:rsidRPr="00D818F5" w:rsidRDefault="00A07A3F" w:rsidP="000114C6">
            <w:pPr>
              <w:pStyle w:val="Paragraph"/>
              <w:spacing w:line="240" w:lineRule="auto"/>
              <w:rPr>
                <w:rFonts w:cs="Arial"/>
                <w:lang w:eastAsia="en-GB"/>
              </w:rPr>
            </w:pPr>
            <w:r w:rsidRPr="00D818F5">
              <w:rPr>
                <w:rFonts w:cs="Arial"/>
                <w:color w:val="000000"/>
              </w:rPr>
              <w:t>Should this not be 'the most cost - effective' as you then offer factors to consider in 'least expensive', therefore if it is not just based to the singe expense the team cost effective should be used</w:t>
            </w:r>
          </w:p>
        </w:tc>
        <w:tc>
          <w:tcPr>
            <w:tcW w:w="4135" w:type="dxa"/>
          </w:tcPr>
          <w:p w14:paraId="5854B0F8" w14:textId="4C812D18" w:rsidR="00A07A3F" w:rsidRPr="00D818F5" w:rsidRDefault="00B72DBA" w:rsidP="000114C6">
            <w:pPr>
              <w:pStyle w:val="Paragraph"/>
              <w:spacing w:line="240" w:lineRule="auto"/>
              <w:rPr>
                <w:rFonts w:cs="Arial"/>
                <w:lang w:eastAsia="en-GB"/>
              </w:rPr>
            </w:pPr>
            <w:r w:rsidRPr="1948D9BA">
              <w:rPr>
                <w:rFonts w:cs="Arial"/>
                <w:lang w:eastAsia="en-GB"/>
              </w:rPr>
              <w:t xml:space="preserve">Thank you for your comment. </w:t>
            </w:r>
            <w:r w:rsidR="00104826" w:rsidRPr="1948D9BA">
              <w:rPr>
                <w:rFonts w:cs="Arial"/>
                <w:lang w:eastAsia="en-GB"/>
              </w:rPr>
              <w:t xml:space="preserve">Due to the uncertainty of the evidence for the cost effectiveness of different antimicrobial agents in antimicrobial dressings the committee chose not to use </w:t>
            </w:r>
            <w:r w:rsidR="00F45FDD" w:rsidRPr="1948D9BA">
              <w:rPr>
                <w:rFonts w:cs="Arial"/>
                <w:lang w:eastAsia="en-GB"/>
              </w:rPr>
              <w:t xml:space="preserve">the </w:t>
            </w:r>
            <w:r w:rsidR="008404D2" w:rsidRPr="1948D9BA">
              <w:rPr>
                <w:rFonts w:cs="Arial"/>
                <w:lang w:eastAsia="en-GB"/>
              </w:rPr>
              <w:t xml:space="preserve">phrase </w:t>
            </w:r>
            <w:r w:rsidR="00F45FDD" w:rsidRPr="1948D9BA">
              <w:rPr>
                <w:rFonts w:cs="Arial"/>
                <w:lang w:eastAsia="en-GB"/>
              </w:rPr>
              <w:t>‘cost-effective</w:t>
            </w:r>
            <w:r w:rsidR="46C441F0" w:rsidRPr="1948D9BA">
              <w:rPr>
                <w:rFonts w:cs="Arial"/>
                <w:lang w:eastAsia="en-GB"/>
              </w:rPr>
              <w:t>’</w:t>
            </w:r>
            <w:r w:rsidR="00F45FDD" w:rsidRPr="1948D9BA">
              <w:rPr>
                <w:rFonts w:cs="Arial"/>
                <w:lang w:eastAsia="en-GB"/>
              </w:rPr>
              <w:t xml:space="preserve">. </w:t>
            </w:r>
            <w:r w:rsidR="00104826" w:rsidRPr="1948D9BA">
              <w:rPr>
                <w:rFonts w:cs="Arial"/>
                <w:lang w:eastAsia="en-GB"/>
              </w:rPr>
              <w:t xml:space="preserve"> </w:t>
            </w:r>
          </w:p>
        </w:tc>
      </w:tr>
      <w:tr w:rsidR="00A07A3F" w:rsidRPr="00D818F5" w14:paraId="122500B4" w14:textId="77777777" w:rsidTr="1948D9BA">
        <w:tc>
          <w:tcPr>
            <w:tcW w:w="1323" w:type="dxa"/>
          </w:tcPr>
          <w:p w14:paraId="1883F1C7"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18DF0D87" w14:textId="287BB8F3" w:rsidR="00A07A3F" w:rsidRPr="00D818F5" w:rsidRDefault="00A07A3F" w:rsidP="000114C6">
            <w:pPr>
              <w:pStyle w:val="Paragraph"/>
              <w:spacing w:line="240" w:lineRule="auto"/>
              <w:rPr>
                <w:rFonts w:cs="Arial"/>
                <w:lang w:eastAsia="en-GB"/>
              </w:rPr>
            </w:pPr>
            <w:r w:rsidRPr="00D818F5">
              <w:rPr>
                <w:rFonts w:cs="Arial"/>
                <w:color w:val="000000"/>
              </w:rPr>
              <w:t>Consultee 8</w:t>
            </w:r>
            <w:r w:rsidRPr="00D818F5">
              <w:rPr>
                <w:rFonts w:cs="Arial"/>
                <w:color w:val="000000"/>
              </w:rPr>
              <w:br/>
              <w:t>Individual</w:t>
            </w:r>
          </w:p>
        </w:tc>
        <w:tc>
          <w:tcPr>
            <w:tcW w:w="2051" w:type="dxa"/>
            <w:shd w:val="clear" w:color="auto" w:fill="auto"/>
          </w:tcPr>
          <w:p w14:paraId="4016AA4B" w14:textId="2D7313E0"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408FC634" w14:textId="32CE4ACC" w:rsidR="00A07A3F" w:rsidRPr="00D818F5" w:rsidRDefault="00A07A3F" w:rsidP="000114C6">
            <w:pPr>
              <w:pStyle w:val="Paragraph"/>
              <w:spacing w:line="240" w:lineRule="auto"/>
              <w:rPr>
                <w:rFonts w:cs="Arial"/>
                <w:lang w:eastAsia="en-GB"/>
              </w:rPr>
            </w:pPr>
            <w:r w:rsidRPr="00D818F5">
              <w:rPr>
                <w:rFonts w:cs="Arial"/>
                <w:color w:val="000000"/>
              </w:rPr>
              <w:t xml:space="preserve">should this be extended to confirm that the 'needs' link to the overall aim of what is wanting to be achieved from using the product </w:t>
            </w:r>
            <w:proofErr w:type="spellStart"/>
            <w:proofErr w:type="gramStart"/>
            <w:r w:rsidRPr="00D818F5">
              <w:rPr>
                <w:rFonts w:cs="Arial"/>
                <w:color w:val="000000"/>
              </w:rPr>
              <w:t>e.g</w:t>
            </w:r>
            <w:proofErr w:type="spellEnd"/>
            <w:r w:rsidRPr="00D818F5">
              <w:rPr>
                <w:rFonts w:cs="Arial"/>
                <w:color w:val="000000"/>
              </w:rPr>
              <w:t xml:space="preserve">  target</w:t>
            </w:r>
            <w:proofErr w:type="gramEnd"/>
            <w:r w:rsidRPr="00D818F5">
              <w:rPr>
                <w:rFonts w:cs="Arial"/>
                <w:color w:val="000000"/>
              </w:rPr>
              <w:t xml:space="preserve"> the specific organisms in the wound or the aim of using the products such as disruption/removal of biofilm or bacteria?</w:t>
            </w:r>
          </w:p>
        </w:tc>
        <w:tc>
          <w:tcPr>
            <w:tcW w:w="4135" w:type="dxa"/>
          </w:tcPr>
          <w:p w14:paraId="66B39341" w14:textId="0401DCB0" w:rsidR="0007123C" w:rsidRPr="00D818F5" w:rsidRDefault="0007123C" w:rsidP="000114C6">
            <w:pPr>
              <w:pStyle w:val="Paragraph"/>
              <w:spacing w:line="240" w:lineRule="auto"/>
              <w:rPr>
                <w:rFonts w:cs="Arial"/>
                <w:lang w:eastAsia="en-GB"/>
              </w:rPr>
            </w:pPr>
            <w:r w:rsidRPr="00D818F5">
              <w:rPr>
                <w:rFonts w:cs="Arial"/>
                <w:lang w:eastAsia="en-GB"/>
              </w:rPr>
              <w:t>Thank you for you</w:t>
            </w:r>
            <w:r w:rsidR="00C33895" w:rsidRPr="00D818F5">
              <w:rPr>
                <w:rFonts w:cs="Arial"/>
                <w:lang w:eastAsia="en-GB"/>
              </w:rPr>
              <w:t>r</w:t>
            </w:r>
            <w:r w:rsidRPr="00D818F5">
              <w:rPr>
                <w:rFonts w:cs="Arial"/>
                <w:lang w:eastAsia="en-GB"/>
              </w:rPr>
              <w:t xml:space="preserve"> comment. </w:t>
            </w:r>
            <w:r w:rsidR="00031643" w:rsidRPr="00D818F5">
              <w:rPr>
                <w:rFonts w:cs="Arial"/>
                <w:lang w:eastAsia="en-GB"/>
              </w:rPr>
              <w:t xml:space="preserve">The committee considered your comment and decided that the phrase ‘clinically appropriate’ </w:t>
            </w:r>
            <w:r w:rsidR="00776DFA" w:rsidRPr="00D818F5">
              <w:rPr>
                <w:rFonts w:cs="Arial"/>
                <w:lang w:eastAsia="en-GB"/>
              </w:rPr>
              <w:t xml:space="preserve">allowed healthcare </w:t>
            </w:r>
            <w:r w:rsidR="00E01DBD" w:rsidRPr="00D818F5">
              <w:rPr>
                <w:rFonts w:cs="Arial"/>
                <w:lang w:eastAsia="en-GB"/>
              </w:rPr>
              <w:t>professionals</w:t>
            </w:r>
            <w:r w:rsidR="00776DFA" w:rsidRPr="00D818F5">
              <w:rPr>
                <w:rFonts w:cs="Arial"/>
                <w:lang w:eastAsia="en-GB"/>
              </w:rPr>
              <w:t xml:space="preserve"> to use </w:t>
            </w:r>
            <w:proofErr w:type="gramStart"/>
            <w:r w:rsidR="00776DFA" w:rsidRPr="00D818F5">
              <w:rPr>
                <w:rFonts w:cs="Arial"/>
                <w:lang w:eastAsia="en-GB"/>
              </w:rPr>
              <w:t>their</w:t>
            </w:r>
            <w:proofErr w:type="gramEnd"/>
            <w:r w:rsidR="00776DFA" w:rsidRPr="00D818F5">
              <w:rPr>
                <w:rFonts w:cs="Arial"/>
                <w:lang w:eastAsia="en-GB"/>
              </w:rPr>
              <w:t xml:space="preserve"> clinically reasoning to select an appropriate dressing dependent on the wound presentation. </w:t>
            </w:r>
          </w:p>
        </w:tc>
      </w:tr>
      <w:tr w:rsidR="00A07A3F" w:rsidRPr="00D818F5" w14:paraId="6B6D79FD" w14:textId="77777777" w:rsidTr="1948D9BA">
        <w:tc>
          <w:tcPr>
            <w:tcW w:w="1323" w:type="dxa"/>
          </w:tcPr>
          <w:p w14:paraId="3098B5EF"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6D8862AB" w14:textId="2F184675" w:rsidR="00A07A3F" w:rsidRPr="00D818F5" w:rsidRDefault="00A07A3F" w:rsidP="000114C6">
            <w:pPr>
              <w:pStyle w:val="Paragraph"/>
              <w:spacing w:line="240" w:lineRule="auto"/>
              <w:rPr>
                <w:rFonts w:cs="Arial"/>
                <w:lang w:eastAsia="en-GB"/>
              </w:rPr>
            </w:pPr>
            <w:r w:rsidRPr="00D818F5">
              <w:rPr>
                <w:rFonts w:cs="Arial"/>
                <w:color w:val="000000"/>
              </w:rPr>
              <w:t>Consultee 8</w:t>
            </w:r>
            <w:r w:rsidRPr="00D818F5">
              <w:rPr>
                <w:rFonts w:cs="Arial"/>
                <w:color w:val="000000"/>
              </w:rPr>
              <w:br/>
              <w:t>Individual</w:t>
            </w:r>
          </w:p>
        </w:tc>
        <w:tc>
          <w:tcPr>
            <w:tcW w:w="2051" w:type="dxa"/>
            <w:shd w:val="clear" w:color="auto" w:fill="auto"/>
          </w:tcPr>
          <w:p w14:paraId="243E39F3" w14:textId="5153C1E2"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0241F4A0" w14:textId="1541CA9A" w:rsidR="00A07A3F" w:rsidRPr="00D818F5" w:rsidRDefault="00A07A3F" w:rsidP="000114C6">
            <w:pPr>
              <w:pStyle w:val="Paragraph"/>
              <w:spacing w:line="240" w:lineRule="auto"/>
              <w:rPr>
                <w:rFonts w:cs="Arial"/>
                <w:lang w:eastAsia="en-GB"/>
              </w:rPr>
            </w:pPr>
            <w:r w:rsidRPr="00D818F5">
              <w:rPr>
                <w:rFonts w:cs="Arial"/>
                <w:color w:val="000000"/>
              </w:rPr>
              <w:t xml:space="preserve">with all the factors that you are suggesting should be taken in to account the words 'least expensive' </w:t>
            </w:r>
            <w:r w:rsidRPr="00D818F5">
              <w:rPr>
                <w:rFonts w:cs="Arial"/>
                <w:color w:val="000000"/>
              </w:rPr>
              <w:lastRenderedPageBreak/>
              <w:t>does not reflect this. this should be most cost effective</w:t>
            </w:r>
          </w:p>
        </w:tc>
        <w:tc>
          <w:tcPr>
            <w:tcW w:w="4135" w:type="dxa"/>
          </w:tcPr>
          <w:p w14:paraId="37524D55" w14:textId="526E0420" w:rsidR="00A07A3F" w:rsidRPr="00D818F5" w:rsidRDefault="00C33895" w:rsidP="000114C6">
            <w:pPr>
              <w:pStyle w:val="Paragraph"/>
              <w:spacing w:line="240" w:lineRule="auto"/>
              <w:rPr>
                <w:rFonts w:cs="Arial"/>
                <w:lang w:eastAsia="en-GB"/>
              </w:rPr>
            </w:pPr>
            <w:r w:rsidRPr="00D818F5">
              <w:rPr>
                <w:rFonts w:cs="Arial"/>
                <w:lang w:eastAsia="en-GB"/>
              </w:rPr>
              <w:lastRenderedPageBreak/>
              <w:t>Thank you for your comment. Please see response to comment 15.</w:t>
            </w:r>
          </w:p>
        </w:tc>
      </w:tr>
      <w:tr w:rsidR="00A07A3F" w:rsidRPr="00D818F5" w14:paraId="4131CBDA" w14:textId="77777777" w:rsidTr="1948D9BA">
        <w:tc>
          <w:tcPr>
            <w:tcW w:w="1323" w:type="dxa"/>
          </w:tcPr>
          <w:p w14:paraId="61EDD405"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7BEBC06B" w14:textId="18064513" w:rsidR="00A07A3F" w:rsidRPr="00D818F5" w:rsidRDefault="00A07A3F" w:rsidP="000114C6">
            <w:pPr>
              <w:pStyle w:val="Paragraph"/>
              <w:spacing w:line="240" w:lineRule="auto"/>
              <w:rPr>
                <w:rFonts w:cs="Arial"/>
                <w:lang w:eastAsia="en-GB"/>
              </w:rPr>
            </w:pPr>
            <w:r w:rsidRPr="00D818F5">
              <w:rPr>
                <w:rFonts w:cs="Arial"/>
                <w:color w:val="000000"/>
              </w:rPr>
              <w:t>Consultee 9</w:t>
            </w:r>
            <w:r w:rsidRPr="00D818F5">
              <w:rPr>
                <w:rFonts w:cs="Arial"/>
                <w:color w:val="000000"/>
              </w:rPr>
              <w:br/>
              <w:t>The Royal Wolverhampton NHS Trust</w:t>
            </w:r>
          </w:p>
        </w:tc>
        <w:tc>
          <w:tcPr>
            <w:tcW w:w="2051" w:type="dxa"/>
            <w:shd w:val="clear" w:color="auto" w:fill="auto"/>
          </w:tcPr>
          <w:p w14:paraId="1E41CBB3" w14:textId="4394962F" w:rsidR="00A07A3F" w:rsidRPr="00D818F5" w:rsidRDefault="00A07A3F" w:rsidP="000114C6">
            <w:pPr>
              <w:pStyle w:val="Paragraph"/>
              <w:spacing w:line="240" w:lineRule="auto"/>
              <w:rPr>
                <w:rFonts w:cs="Arial"/>
                <w:lang w:eastAsia="en-GB"/>
              </w:rPr>
            </w:pPr>
            <w:r w:rsidRPr="00D818F5">
              <w:rPr>
                <w:rFonts w:cs="Arial"/>
                <w:color w:val="000000"/>
              </w:rPr>
              <w:t>Not specified</w:t>
            </w:r>
          </w:p>
        </w:tc>
        <w:tc>
          <w:tcPr>
            <w:tcW w:w="4682" w:type="dxa"/>
            <w:shd w:val="clear" w:color="auto" w:fill="auto"/>
          </w:tcPr>
          <w:p w14:paraId="5D304B32" w14:textId="36527054" w:rsidR="00A07A3F" w:rsidRPr="00D818F5" w:rsidRDefault="00A07A3F" w:rsidP="000114C6">
            <w:pPr>
              <w:pStyle w:val="Paragraph"/>
              <w:spacing w:line="240" w:lineRule="auto"/>
              <w:rPr>
                <w:rFonts w:cs="Arial"/>
                <w:lang w:eastAsia="en-GB"/>
              </w:rPr>
            </w:pPr>
            <w:r w:rsidRPr="00D818F5">
              <w:rPr>
                <w:rFonts w:cs="Arial"/>
                <w:color w:val="000000"/>
              </w:rPr>
              <w:t xml:space="preserve">Recommendation </w:t>
            </w:r>
            <w:proofErr w:type="gramStart"/>
            <w:r w:rsidRPr="00D818F5">
              <w:rPr>
                <w:rFonts w:cs="Arial"/>
                <w:color w:val="000000"/>
              </w:rPr>
              <w:t>seem</w:t>
            </w:r>
            <w:proofErr w:type="gramEnd"/>
            <w:r w:rsidRPr="00D818F5">
              <w:rPr>
                <w:rFonts w:cs="Arial"/>
                <w:color w:val="000000"/>
              </w:rPr>
              <w:t xml:space="preserve"> to be straight forward in the absence of suitable evidence. it helps direct it to be person centred</w:t>
            </w:r>
          </w:p>
        </w:tc>
        <w:tc>
          <w:tcPr>
            <w:tcW w:w="4135" w:type="dxa"/>
          </w:tcPr>
          <w:p w14:paraId="20C1ADB5" w14:textId="6D0038B5" w:rsidR="00A07A3F" w:rsidRPr="00D818F5" w:rsidRDefault="00C33895" w:rsidP="000114C6">
            <w:pPr>
              <w:pStyle w:val="Paragraph"/>
              <w:spacing w:line="240" w:lineRule="auto"/>
              <w:rPr>
                <w:rFonts w:cs="Arial"/>
                <w:lang w:eastAsia="en-GB"/>
              </w:rPr>
            </w:pPr>
            <w:r w:rsidRPr="00D818F5">
              <w:rPr>
                <w:rFonts w:cs="Arial"/>
                <w:lang w:eastAsia="en-GB"/>
              </w:rPr>
              <w:t xml:space="preserve">Thank you for your comment. </w:t>
            </w:r>
          </w:p>
        </w:tc>
      </w:tr>
      <w:tr w:rsidR="00A07A3F" w:rsidRPr="00D818F5" w14:paraId="48788B30" w14:textId="77777777" w:rsidTr="1948D9BA">
        <w:tc>
          <w:tcPr>
            <w:tcW w:w="1323" w:type="dxa"/>
          </w:tcPr>
          <w:p w14:paraId="2E662E88"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2113E40F" w14:textId="13AC0589" w:rsidR="00A07A3F" w:rsidRPr="00D818F5" w:rsidRDefault="00A07A3F" w:rsidP="000114C6">
            <w:pPr>
              <w:pStyle w:val="Paragraph"/>
              <w:spacing w:line="240" w:lineRule="auto"/>
              <w:rPr>
                <w:rFonts w:cs="Arial"/>
                <w:lang w:eastAsia="en-GB"/>
              </w:rPr>
            </w:pPr>
            <w:r w:rsidRPr="00D818F5">
              <w:rPr>
                <w:rFonts w:cs="Arial"/>
                <w:color w:val="000000"/>
              </w:rPr>
              <w:t>Consultee 11</w:t>
            </w:r>
            <w:r w:rsidRPr="00D818F5">
              <w:rPr>
                <w:rFonts w:cs="Arial"/>
                <w:color w:val="000000"/>
              </w:rPr>
              <w:br/>
            </w:r>
            <w:proofErr w:type="spellStart"/>
            <w:r w:rsidRPr="00D818F5">
              <w:rPr>
                <w:rFonts w:cs="Arial"/>
                <w:color w:val="000000"/>
              </w:rPr>
              <w:t>Convatec</w:t>
            </w:r>
            <w:proofErr w:type="spellEnd"/>
          </w:p>
        </w:tc>
        <w:tc>
          <w:tcPr>
            <w:tcW w:w="2051" w:type="dxa"/>
            <w:shd w:val="clear" w:color="auto" w:fill="auto"/>
          </w:tcPr>
          <w:p w14:paraId="1320E653" w14:textId="495D0307"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7030AD94" w14:textId="104A0E78" w:rsidR="00A07A3F" w:rsidRPr="00D818F5" w:rsidRDefault="00A07A3F" w:rsidP="000114C6">
            <w:pPr>
              <w:pStyle w:val="Paragraph"/>
              <w:spacing w:line="240" w:lineRule="auto"/>
              <w:rPr>
                <w:rFonts w:cs="Arial"/>
                <w:lang w:eastAsia="en-GB"/>
              </w:rPr>
            </w:pPr>
            <w:r w:rsidRPr="00D818F5">
              <w:rPr>
                <w:rFonts w:cs="Arial"/>
                <w:color w:val="000000"/>
              </w:rPr>
              <w:t xml:space="preserve">Consideration should also be given to the cost and implications of adjunct medication required at dressing change. For </w:t>
            </w:r>
            <w:proofErr w:type="gramStart"/>
            <w:r w:rsidRPr="00D818F5">
              <w:rPr>
                <w:rFonts w:cs="Arial"/>
                <w:color w:val="000000"/>
              </w:rPr>
              <w:t>example</w:t>
            </w:r>
            <w:proofErr w:type="gramEnd"/>
            <w:r w:rsidRPr="00D818F5">
              <w:rPr>
                <w:rFonts w:cs="Arial"/>
                <w:color w:val="000000"/>
              </w:rPr>
              <w:t xml:space="preserve"> pharmacology for pain management.</w:t>
            </w:r>
          </w:p>
        </w:tc>
        <w:tc>
          <w:tcPr>
            <w:tcW w:w="4135" w:type="dxa"/>
          </w:tcPr>
          <w:p w14:paraId="16800626" w14:textId="104CDA14" w:rsidR="00C33895" w:rsidRPr="00D818F5" w:rsidRDefault="00C33895" w:rsidP="000114C6">
            <w:pPr>
              <w:pStyle w:val="Paragraph"/>
              <w:spacing w:line="240" w:lineRule="auto"/>
              <w:rPr>
                <w:rFonts w:cs="Arial"/>
                <w:lang w:eastAsia="en-GB"/>
              </w:rPr>
            </w:pPr>
            <w:r w:rsidRPr="00D818F5">
              <w:rPr>
                <w:rFonts w:cs="Arial"/>
                <w:lang w:eastAsia="en-GB"/>
              </w:rPr>
              <w:t xml:space="preserve">Thank you for your comment. </w:t>
            </w:r>
            <w:r w:rsidR="00617D88" w:rsidRPr="00D818F5">
              <w:rPr>
                <w:rFonts w:cs="Arial"/>
                <w:lang w:eastAsia="en-GB"/>
              </w:rPr>
              <w:t>The committee felt that the</w:t>
            </w:r>
            <w:r w:rsidR="00980D94" w:rsidRPr="00D818F5">
              <w:rPr>
                <w:rFonts w:cs="Arial"/>
                <w:lang w:eastAsia="en-GB"/>
              </w:rPr>
              <w:t xml:space="preserve"> cost</w:t>
            </w:r>
            <w:r w:rsidR="00617D88" w:rsidRPr="00D818F5">
              <w:rPr>
                <w:rFonts w:cs="Arial"/>
                <w:lang w:eastAsia="en-GB"/>
              </w:rPr>
              <w:t xml:space="preserve"> adjunct medication is unlikely to affect the choice of dressing </w:t>
            </w:r>
            <w:r w:rsidR="00980D94" w:rsidRPr="00D818F5">
              <w:rPr>
                <w:rFonts w:cs="Arial"/>
                <w:lang w:eastAsia="en-GB"/>
              </w:rPr>
              <w:t xml:space="preserve">between </w:t>
            </w:r>
            <w:r w:rsidR="00617D88" w:rsidRPr="00D818F5">
              <w:rPr>
                <w:rFonts w:cs="Arial"/>
                <w:lang w:eastAsia="en-GB"/>
              </w:rPr>
              <w:t xml:space="preserve">two </w:t>
            </w:r>
            <w:r w:rsidR="00980D94" w:rsidRPr="00D818F5">
              <w:rPr>
                <w:rFonts w:cs="Arial"/>
                <w:lang w:eastAsia="en-GB"/>
              </w:rPr>
              <w:t xml:space="preserve">which </w:t>
            </w:r>
            <w:r w:rsidR="00617D88" w:rsidRPr="00D818F5">
              <w:rPr>
                <w:rFonts w:cs="Arial"/>
                <w:lang w:eastAsia="en-GB"/>
              </w:rPr>
              <w:t xml:space="preserve">are </w:t>
            </w:r>
            <w:r w:rsidR="00980D94" w:rsidRPr="00D818F5">
              <w:rPr>
                <w:rFonts w:cs="Arial"/>
                <w:lang w:eastAsia="en-GB"/>
              </w:rPr>
              <w:t xml:space="preserve">both </w:t>
            </w:r>
            <w:r w:rsidR="00617D88" w:rsidRPr="00D818F5">
              <w:rPr>
                <w:rFonts w:cs="Arial"/>
                <w:lang w:eastAsia="en-GB"/>
              </w:rPr>
              <w:t xml:space="preserve">clinically appropriate. </w:t>
            </w:r>
          </w:p>
        </w:tc>
      </w:tr>
      <w:tr w:rsidR="00A07A3F" w:rsidRPr="00D818F5" w14:paraId="2EEAD999" w14:textId="77777777" w:rsidTr="1948D9BA">
        <w:tc>
          <w:tcPr>
            <w:tcW w:w="1323" w:type="dxa"/>
          </w:tcPr>
          <w:p w14:paraId="538090CB"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063FAC38" w14:textId="0419CCCB" w:rsidR="00A07A3F" w:rsidRPr="00D818F5" w:rsidRDefault="00A07A3F" w:rsidP="000114C6">
            <w:pPr>
              <w:pStyle w:val="Paragraph"/>
              <w:spacing w:line="240" w:lineRule="auto"/>
              <w:rPr>
                <w:rFonts w:cs="Arial"/>
                <w:lang w:eastAsia="en-GB"/>
              </w:rPr>
            </w:pPr>
            <w:r w:rsidRPr="00D818F5">
              <w:rPr>
                <w:rFonts w:cs="Arial"/>
                <w:color w:val="000000"/>
              </w:rPr>
              <w:t>Consultee 14</w:t>
            </w:r>
            <w:r w:rsidRPr="00D818F5">
              <w:rPr>
                <w:rFonts w:cs="Arial"/>
                <w:color w:val="000000"/>
              </w:rPr>
              <w:br/>
              <w:t>Essity</w:t>
            </w:r>
          </w:p>
        </w:tc>
        <w:tc>
          <w:tcPr>
            <w:tcW w:w="2051" w:type="dxa"/>
            <w:shd w:val="clear" w:color="auto" w:fill="auto"/>
          </w:tcPr>
          <w:p w14:paraId="53BE861B" w14:textId="6CD227E3"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4F2BA8A0" w14:textId="55512CBE" w:rsidR="00A07A3F" w:rsidRPr="00D818F5" w:rsidRDefault="00A07A3F" w:rsidP="000114C6">
            <w:pPr>
              <w:pStyle w:val="Paragraph"/>
              <w:spacing w:line="240" w:lineRule="auto"/>
              <w:rPr>
                <w:rFonts w:cs="Arial"/>
                <w:lang w:eastAsia="en-GB"/>
              </w:rPr>
            </w:pPr>
            <w:r w:rsidRPr="00D818F5">
              <w:rPr>
                <w:rFonts w:cs="Arial"/>
                <w:color w:val="000000"/>
              </w:rPr>
              <w:t xml:space="preserve">1.1 So, if an antimicrobial dressing is needed to treat an infected leg ulcer, use the least expensive option that is clinically appropriate – </w:t>
            </w:r>
            <w:proofErr w:type="gramStart"/>
            <w:r w:rsidRPr="00D818F5">
              <w:rPr>
                <w:rFonts w:cs="Arial"/>
                <w:color w:val="000000"/>
              </w:rPr>
              <w:t>The  recommendation</w:t>
            </w:r>
            <w:proofErr w:type="gramEnd"/>
            <w:r w:rsidRPr="00D818F5">
              <w:rPr>
                <w:rFonts w:cs="Arial"/>
                <w:color w:val="000000"/>
              </w:rPr>
              <w:t xml:space="preserve"> to use the lowest cost clinically appropriate dressing is a sound recommendation. To make this guidance more applicable it would benefit to explain which conditions would deem clinically appropriate. As the mode of action is a key factor in how long and when a dressing should be used a recommendation based on the </w:t>
            </w:r>
            <w:r w:rsidRPr="00D818F5">
              <w:rPr>
                <w:rFonts w:cs="Arial"/>
                <w:color w:val="000000"/>
              </w:rPr>
              <w:lastRenderedPageBreak/>
              <w:t>IWII would be more appropriate as guidance.</w:t>
            </w:r>
          </w:p>
        </w:tc>
        <w:tc>
          <w:tcPr>
            <w:tcW w:w="4135" w:type="dxa"/>
          </w:tcPr>
          <w:p w14:paraId="58F0F4C4" w14:textId="3C8C5664" w:rsidR="00A07A3F" w:rsidRPr="00D818F5" w:rsidRDefault="00205151" w:rsidP="000114C6">
            <w:pPr>
              <w:pStyle w:val="Paragraph"/>
              <w:spacing w:line="240" w:lineRule="auto"/>
              <w:rPr>
                <w:rFonts w:cs="Arial"/>
                <w:lang w:eastAsia="en-GB"/>
              </w:rPr>
            </w:pPr>
            <w:r w:rsidRPr="00D818F5">
              <w:rPr>
                <w:rFonts w:cs="Arial"/>
                <w:lang w:eastAsia="en-GB"/>
              </w:rPr>
              <w:lastRenderedPageBreak/>
              <w:t>Thank you for your comment. This guidance is not a clinical guideline</w:t>
            </w:r>
            <w:r w:rsidR="009A7FDE" w:rsidRPr="00D818F5">
              <w:rPr>
                <w:rFonts w:cs="Arial"/>
                <w:lang w:eastAsia="en-GB"/>
              </w:rPr>
              <w:t xml:space="preserve"> and does not replace clinical reasoning. </w:t>
            </w:r>
          </w:p>
        </w:tc>
      </w:tr>
      <w:tr w:rsidR="00A07A3F" w:rsidRPr="00D818F5" w14:paraId="4FC903B9" w14:textId="77777777" w:rsidTr="1948D9BA">
        <w:tc>
          <w:tcPr>
            <w:tcW w:w="1323" w:type="dxa"/>
          </w:tcPr>
          <w:p w14:paraId="02AA869F"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62FB328A" w14:textId="262E69D7" w:rsidR="00A07A3F" w:rsidRPr="00D818F5" w:rsidRDefault="00A07A3F" w:rsidP="000114C6">
            <w:pPr>
              <w:pStyle w:val="Paragraph"/>
              <w:spacing w:line="240" w:lineRule="auto"/>
              <w:rPr>
                <w:rFonts w:cs="Arial"/>
                <w:lang w:eastAsia="en-GB"/>
              </w:rPr>
            </w:pPr>
            <w:r w:rsidRPr="00D818F5">
              <w:rPr>
                <w:rFonts w:cs="Arial"/>
                <w:color w:val="000000"/>
              </w:rPr>
              <w:t>Consultee 14</w:t>
            </w:r>
            <w:r w:rsidRPr="00D818F5">
              <w:rPr>
                <w:rFonts w:cs="Arial"/>
                <w:color w:val="000000"/>
              </w:rPr>
              <w:br/>
              <w:t>Essity</w:t>
            </w:r>
          </w:p>
        </w:tc>
        <w:tc>
          <w:tcPr>
            <w:tcW w:w="2051" w:type="dxa"/>
            <w:shd w:val="clear" w:color="auto" w:fill="auto"/>
          </w:tcPr>
          <w:p w14:paraId="59CEBB7D" w14:textId="5D9F1766" w:rsidR="00A07A3F" w:rsidRPr="00D818F5" w:rsidRDefault="00A07A3F" w:rsidP="000114C6">
            <w:pPr>
              <w:pStyle w:val="Paragraph"/>
              <w:spacing w:line="240" w:lineRule="auto"/>
              <w:rPr>
                <w:rFonts w:cs="Arial"/>
                <w:lang w:eastAsia="en-GB"/>
              </w:rPr>
            </w:pPr>
            <w:r w:rsidRPr="00D818F5">
              <w:rPr>
                <w:rFonts w:cs="Arial"/>
                <w:color w:val="000000"/>
              </w:rPr>
              <w:t>1.2 1 Recommendations</w:t>
            </w:r>
          </w:p>
        </w:tc>
        <w:tc>
          <w:tcPr>
            <w:tcW w:w="4682" w:type="dxa"/>
            <w:shd w:val="clear" w:color="auto" w:fill="auto"/>
          </w:tcPr>
          <w:p w14:paraId="6AFB95B5" w14:textId="3B518A08" w:rsidR="00A07A3F" w:rsidRPr="00D818F5" w:rsidRDefault="00A07A3F" w:rsidP="000114C6">
            <w:pPr>
              <w:pStyle w:val="Paragraph"/>
              <w:spacing w:line="240" w:lineRule="auto"/>
              <w:rPr>
                <w:rFonts w:cs="Arial"/>
                <w:lang w:eastAsia="en-GB"/>
              </w:rPr>
            </w:pPr>
            <w:r w:rsidRPr="00D818F5">
              <w:rPr>
                <w:rFonts w:cs="Arial"/>
                <w:color w:val="000000"/>
              </w:rPr>
              <w:t xml:space="preserve">1.2 When deciding on the least expensive option, consider the following factors: - All vailed points to making a clinical decision. </w:t>
            </w:r>
            <w:proofErr w:type="gramStart"/>
            <w:r w:rsidRPr="00D818F5">
              <w:rPr>
                <w:rFonts w:cs="Arial"/>
                <w:color w:val="000000"/>
              </w:rPr>
              <w:t>However</w:t>
            </w:r>
            <w:proofErr w:type="gramEnd"/>
            <w:r w:rsidRPr="00D818F5">
              <w:rPr>
                <w:rFonts w:cs="Arial"/>
                <w:color w:val="000000"/>
              </w:rPr>
              <w:t xml:space="preserve"> the models used to show cost effectiveness are including products that already have a primary and secondary dressing included in one. This is showing an unrealistic cost of product overall. To make this recommendation effective guidance should be provided what is meant by secondary dressing. For </w:t>
            </w:r>
            <w:proofErr w:type="gramStart"/>
            <w:r w:rsidRPr="00D818F5">
              <w:rPr>
                <w:rFonts w:cs="Arial"/>
                <w:color w:val="000000"/>
              </w:rPr>
              <w:t>instance</w:t>
            </w:r>
            <w:proofErr w:type="gramEnd"/>
            <w:r w:rsidRPr="00D818F5">
              <w:rPr>
                <w:rFonts w:cs="Arial"/>
                <w:color w:val="000000"/>
              </w:rPr>
              <w:t xml:space="preserve"> a DACC swab is priced at £1.80 (4x6) the average price of DACC is highlighted at £4.33, This is taking in products that are not used in the same presentation or clinical need. Essity feel this </w:t>
            </w:r>
            <w:proofErr w:type="gramStart"/>
            <w:r w:rsidRPr="00D818F5">
              <w:rPr>
                <w:rFonts w:cs="Arial"/>
                <w:color w:val="000000"/>
              </w:rPr>
              <w:t>is could be</w:t>
            </w:r>
            <w:proofErr w:type="gramEnd"/>
            <w:r w:rsidRPr="00D818F5">
              <w:rPr>
                <w:rFonts w:cs="Arial"/>
                <w:color w:val="000000"/>
              </w:rPr>
              <w:t xml:space="preserve"> misleading when picking the “cheapest” product. Essity would like to understand if the carrier dressings for AMDs </w:t>
            </w:r>
            <w:proofErr w:type="gramStart"/>
            <w:r w:rsidRPr="00D818F5">
              <w:rPr>
                <w:rFonts w:cs="Arial"/>
                <w:color w:val="000000"/>
              </w:rPr>
              <w:t>is</w:t>
            </w:r>
            <w:proofErr w:type="gramEnd"/>
            <w:r w:rsidRPr="00D818F5">
              <w:rPr>
                <w:rFonts w:cs="Arial"/>
                <w:color w:val="000000"/>
              </w:rPr>
              <w:t xml:space="preserve"> included in the </w:t>
            </w:r>
            <w:proofErr w:type="gramStart"/>
            <w:r w:rsidRPr="00D818F5">
              <w:rPr>
                <w:rFonts w:cs="Arial"/>
                <w:color w:val="000000"/>
              </w:rPr>
              <w:t>cost ?</w:t>
            </w:r>
            <w:proofErr w:type="gramEnd"/>
            <w:r w:rsidRPr="00D818F5">
              <w:rPr>
                <w:rFonts w:cs="Arial"/>
                <w:color w:val="000000"/>
              </w:rPr>
              <w:t xml:space="preserve"> If </w:t>
            </w:r>
            <w:proofErr w:type="gramStart"/>
            <w:r w:rsidRPr="00D818F5">
              <w:rPr>
                <w:rFonts w:cs="Arial"/>
                <w:color w:val="000000"/>
              </w:rPr>
              <w:t>so</w:t>
            </w:r>
            <w:proofErr w:type="gramEnd"/>
            <w:r w:rsidRPr="00D818F5">
              <w:rPr>
                <w:rFonts w:cs="Arial"/>
                <w:color w:val="000000"/>
              </w:rPr>
              <w:t xml:space="preserve"> the same point as Above will be a potential issue due to products been grouped inappropriately.</w:t>
            </w:r>
          </w:p>
        </w:tc>
        <w:tc>
          <w:tcPr>
            <w:tcW w:w="4135" w:type="dxa"/>
          </w:tcPr>
          <w:p w14:paraId="5C8C4081" w14:textId="7B744B46" w:rsidR="00A07A3F" w:rsidRPr="00D818F5" w:rsidRDefault="00C239EA" w:rsidP="000114C6">
            <w:pPr>
              <w:pStyle w:val="Paragraph"/>
              <w:spacing w:line="240" w:lineRule="auto"/>
              <w:rPr>
                <w:rFonts w:cs="Arial"/>
                <w:lang w:eastAsia="en-GB"/>
              </w:rPr>
            </w:pPr>
            <w:r w:rsidRPr="00D818F5">
              <w:rPr>
                <w:rFonts w:cs="Arial"/>
                <w:lang w:eastAsia="en-GB"/>
              </w:rPr>
              <w:t xml:space="preserve">Thank you for your comment. The cost of additional products was not included in the EAG’s model so no individual dressing was disadvantaged. </w:t>
            </w:r>
            <w:r w:rsidR="0060075C" w:rsidRPr="00D818F5">
              <w:rPr>
                <w:rFonts w:cs="Arial"/>
                <w:lang w:eastAsia="en-GB"/>
              </w:rPr>
              <w:t xml:space="preserve">This was because there was not enough robust data to </w:t>
            </w:r>
            <w:r w:rsidR="009507F0" w:rsidRPr="00D818F5">
              <w:rPr>
                <w:rFonts w:cs="Arial"/>
                <w:lang w:eastAsia="en-GB"/>
              </w:rPr>
              <w:t xml:space="preserve">conduct this type of subgroup analysis. </w:t>
            </w:r>
          </w:p>
          <w:p w14:paraId="50AB1ECA" w14:textId="048905BB" w:rsidR="00C239EA" w:rsidRPr="00D818F5" w:rsidRDefault="00C239EA" w:rsidP="000114C6">
            <w:pPr>
              <w:pStyle w:val="Paragraph"/>
              <w:spacing w:line="240" w:lineRule="auto"/>
              <w:rPr>
                <w:rFonts w:cs="Arial"/>
                <w:lang w:eastAsia="en-GB"/>
              </w:rPr>
            </w:pPr>
            <w:r w:rsidRPr="00D818F5">
              <w:rPr>
                <w:rFonts w:cs="Arial"/>
                <w:lang w:eastAsia="en-GB"/>
              </w:rPr>
              <w:t xml:space="preserve">The </w:t>
            </w:r>
            <w:r w:rsidR="00D25681" w:rsidRPr="00D818F5">
              <w:rPr>
                <w:rFonts w:cs="Arial"/>
                <w:lang w:eastAsia="en-GB"/>
              </w:rPr>
              <w:t>considerations in recommendation 1.</w:t>
            </w:r>
            <w:r w:rsidR="0060075C" w:rsidRPr="00D818F5">
              <w:rPr>
                <w:rFonts w:cs="Arial"/>
                <w:lang w:eastAsia="en-GB"/>
              </w:rPr>
              <w:t>4</w:t>
            </w:r>
            <w:r w:rsidR="00D25681" w:rsidRPr="00D818F5">
              <w:rPr>
                <w:rFonts w:cs="Arial"/>
                <w:lang w:eastAsia="en-GB"/>
              </w:rPr>
              <w:t xml:space="preserve"> should be calculated together. </w:t>
            </w:r>
            <w:proofErr w:type="gramStart"/>
            <w:r w:rsidR="00D25681" w:rsidRPr="00D818F5">
              <w:rPr>
                <w:rFonts w:cs="Arial"/>
                <w:lang w:eastAsia="en-GB"/>
              </w:rPr>
              <w:t>Therefore</w:t>
            </w:r>
            <w:proofErr w:type="gramEnd"/>
            <w:r w:rsidR="00D25681" w:rsidRPr="00D818F5">
              <w:rPr>
                <w:rFonts w:cs="Arial"/>
                <w:lang w:eastAsia="en-GB"/>
              </w:rPr>
              <w:t xml:space="preserve"> if a primary dressing is more expensive but requires </w:t>
            </w:r>
            <w:proofErr w:type="gramStart"/>
            <w:r w:rsidR="00D25681" w:rsidRPr="00D818F5">
              <w:rPr>
                <w:rFonts w:cs="Arial"/>
                <w:lang w:eastAsia="en-GB"/>
              </w:rPr>
              <w:t>less</w:t>
            </w:r>
            <w:proofErr w:type="gramEnd"/>
            <w:r w:rsidR="00D25681" w:rsidRPr="00D818F5">
              <w:rPr>
                <w:rFonts w:cs="Arial"/>
                <w:lang w:eastAsia="en-GB"/>
              </w:rPr>
              <w:t xml:space="preserve"> secondary products this means it will not be disadvantaged.</w:t>
            </w:r>
          </w:p>
        </w:tc>
      </w:tr>
      <w:tr w:rsidR="00A07A3F" w:rsidRPr="00D818F5" w14:paraId="52FD27ED" w14:textId="77777777" w:rsidTr="1948D9BA">
        <w:tc>
          <w:tcPr>
            <w:tcW w:w="1323" w:type="dxa"/>
          </w:tcPr>
          <w:p w14:paraId="6DA0AFF7"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488B75D0" w14:textId="422936EA" w:rsidR="00A07A3F" w:rsidRPr="00D818F5" w:rsidRDefault="00A07A3F" w:rsidP="000114C6">
            <w:pPr>
              <w:pStyle w:val="Paragraph"/>
              <w:spacing w:line="240" w:lineRule="auto"/>
              <w:rPr>
                <w:rFonts w:cs="Arial"/>
                <w:lang w:eastAsia="en-GB"/>
              </w:rPr>
            </w:pPr>
            <w:r w:rsidRPr="00D818F5">
              <w:rPr>
                <w:rFonts w:cs="Arial"/>
                <w:color w:val="000000"/>
              </w:rPr>
              <w:t>Consultee 15</w:t>
            </w:r>
            <w:r w:rsidRPr="00D818F5">
              <w:rPr>
                <w:rFonts w:cs="Arial"/>
                <w:color w:val="000000"/>
              </w:rPr>
              <w:br/>
            </w:r>
            <w:proofErr w:type="spellStart"/>
            <w:r w:rsidRPr="00D818F5">
              <w:rPr>
                <w:rFonts w:cs="Arial"/>
                <w:color w:val="000000"/>
              </w:rPr>
              <w:t>T.J.Smith</w:t>
            </w:r>
            <w:proofErr w:type="spellEnd"/>
            <w:r w:rsidRPr="00D818F5">
              <w:rPr>
                <w:rFonts w:cs="Arial"/>
                <w:color w:val="000000"/>
              </w:rPr>
              <w:t xml:space="preserve"> and Nephew Ltd</w:t>
            </w:r>
          </w:p>
        </w:tc>
        <w:tc>
          <w:tcPr>
            <w:tcW w:w="2051" w:type="dxa"/>
            <w:shd w:val="clear" w:color="auto" w:fill="auto"/>
          </w:tcPr>
          <w:p w14:paraId="293399BC" w14:textId="422C78F6" w:rsidR="00A07A3F" w:rsidRPr="00D818F5" w:rsidRDefault="00A07A3F" w:rsidP="000114C6">
            <w:pPr>
              <w:pStyle w:val="Paragraph"/>
              <w:spacing w:line="240" w:lineRule="auto"/>
              <w:rPr>
                <w:rFonts w:cs="Arial"/>
                <w:lang w:eastAsia="en-GB"/>
              </w:rPr>
            </w:pPr>
            <w:r w:rsidRPr="00D818F5">
              <w:rPr>
                <w:rFonts w:cs="Arial"/>
                <w:color w:val="000000"/>
              </w:rPr>
              <w:t>Not specified</w:t>
            </w:r>
          </w:p>
        </w:tc>
        <w:tc>
          <w:tcPr>
            <w:tcW w:w="4682" w:type="dxa"/>
            <w:shd w:val="clear" w:color="auto" w:fill="auto"/>
          </w:tcPr>
          <w:p w14:paraId="3B9D8DB9" w14:textId="3F2959EC" w:rsidR="00A07A3F" w:rsidRPr="00D818F5" w:rsidRDefault="00A07A3F" w:rsidP="000114C6">
            <w:pPr>
              <w:pStyle w:val="Paragraph"/>
              <w:spacing w:line="240" w:lineRule="auto"/>
              <w:rPr>
                <w:rFonts w:cs="Arial"/>
                <w:lang w:eastAsia="en-GB"/>
              </w:rPr>
            </w:pPr>
            <w:r w:rsidRPr="00D818F5">
              <w:rPr>
                <w:rFonts w:cs="Arial"/>
                <w:color w:val="000000"/>
              </w:rPr>
              <w:t>Are the recommendations sound and a suitable basis for guidance to the NHS?</w:t>
            </w:r>
            <w:r w:rsidRPr="00D818F5">
              <w:rPr>
                <w:rFonts w:cs="Arial"/>
                <w:color w:val="000000"/>
              </w:rPr>
              <w:br/>
              <w:t>No – The recommendation does not appear to be made on sound basis as it appears to contradict the EAG report conclusion, which stated “The current evidence base does not allow a clear assessment of the relative merits of different AMDs in UK patients with infected leg ulcers, so no conclusions on the relative efficacy on the range of AMDs can be drawn. Results from the economic model are not sufficiently certain to allow conclusions on the cost-effectiveness of AMDs in the scoped population and setting.”</w:t>
            </w:r>
            <w:r w:rsidRPr="00D818F5">
              <w:rPr>
                <w:rFonts w:cs="Arial"/>
                <w:color w:val="000000"/>
              </w:rPr>
              <w:br/>
            </w:r>
            <w:r w:rsidRPr="00D818F5">
              <w:rPr>
                <w:rFonts w:cs="Arial"/>
                <w:color w:val="000000"/>
              </w:rPr>
              <w:br/>
              <w:t xml:space="preserve">This could equally be interpreted that there isn’t good enough evidence to show that price variation between products is not justified. </w:t>
            </w:r>
            <w:r w:rsidRPr="00D818F5">
              <w:rPr>
                <w:rFonts w:cs="Arial"/>
                <w:color w:val="000000"/>
              </w:rPr>
              <w:br/>
            </w:r>
            <w:r w:rsidRPr="00D818F5">
              <w:rPr>
                <w:rFonts w:cs="Arial"/>
                <w:color w:val="000000"/>
              </w:rPr>
              <w:br/>
              <w:t xml:space="preserve">The recommendation should reflect </w:t>
            </w:r>
            <w:proofErr w:type="gramStart"/>
            <w:r w:rsidRPr="00D818F5">
              <w:rPr>
                <w:rFonts w:cs="Arial"/>
                <w:color w:val="000000"/>
              </w:rPr>
              <w:t>value based</w:t>
            </w:r>
            <w:proofErr w:type="gramEnd"/>
            <w:r w:rsidRPr="00D818F5">
              <w:rPr>
                <w:rFonts w:cs="Arial"/>
                <w:color w:val="000000"/>
              </w:rPr>
              <w:t xml:space="preserve"> procurement principles and therefore not assume, in the absence of evidence, that lowest cost product represents the best value. </w:t>
            </w:r>
            <w:r w:rsidRPr="00D818F5">
              <w:rPr>
                <w:rFonts w:cs="Arial"/>
                <w:color w:val="000000"/>
              </w:rPr>
              <w:br/>
            </w:r>
            <w:r w:rsidRPr="00D818F5">
              <w:rPr>
                <w:rFonts w:cs="Arial"/>
                <w:color w:val="000000"/>
              </w:rPr>
              <w:br/>
              <w:t xml:space="preserve">We would suggest the recommendation be change to if an antimicrobial dressing </w:t>
            </w:r>
            <w:r w:rsidRPr="00D818F5">
              <w:rPr>
                <w:rFonts w:cs="Arial"/>
                <w:color w:val="000000"/>
              </w:rPr>
              <w:lastRenderedPageBreak/>
              <w:t>is needed to treat an infected leg ulcer, use the option which meets the clinical and patient need that offers best value to the NHS’.</w:t>
            </w:r>
          </w:p>
        </w:tc>
        <w:tc>
          <w:tcPr>
            <w:tcW w:w="4135" w:type="dxa"/>
          </w:tcPr>
          <w:p w14:paraId="3D84B4EA" w14:textId="401698E3" w:rsidR="006A731E" w:rsidRPr="00D818F5" w:rsidRDefault="00E85E5E" w:rsidP="000114C6">
            <w:pPr>
              <w:pStyle w:val="Paragraph"/>
              <w:spacing w:line="240" w:lineRule="auto"/>
              <w:rPr>
                <w:rFonts w:cs="Arial"/>
                <w:lang w:eastAsia="en-GB"/>
              </w:rPr>
            </w:pPr>
            <w:r w:rsidRPr="1948D9BA">
              <w:rPr>
                <w:rFonts w:cs="Arial"/>
                <w:lang w:eastAsia="en-GB"/>
              </w:rPr>
              <w:lastRenderedPageBreak/>
              <w:t xml:space="preserve">Thank you for your comment. </w:t>
            </w:r>
            <w:r w:rsidR="000C7090" w:rsidRPr="1948D9BA">
              <w:rPr>
                <w:rFonts w:cs="Arial"/>
                <w:lang w:eastAsia="en-GB"/>
              </w:rPr>
              <w:t xml:space="preserve"> The committee recognised that there may be </w:t>
            </w:r>
            <w:r w:rsidR="003F67F1" w:rsidRPr="1948D9BA">
              <w:rPr>
                <w:rFonts w:cs="Arial"/>
                <w:lang w:eastAsia="en-GB"/>
              </w:rPr>
              <w:t xml:space="preserve">variation in </w:t>
            </w:r>
            <w:r w:rsidR="000C7090" w:rsidRPr="1948D9BA">
              <w:rPr>
                <w:rFonts w:cs="Arial"/>
                <w:lang w:eastAsia="en-GB"/>
              </w:rPr>
              <w:t>price</w:t>
            </w:r>
            <w:r w:rsidR="003F67F1" w:rsidRPr="1948D9BA">
              <w:rPr>
                <w:rFonts w:cs="Arial"/>
                <w:lang w:eastAsia="en-GB"/>
              </w:rPr>
              <w:t xml:space="preserve">s paid for dressings depending on procurement </w:t>
            </w:r>
            <w:r w:rsidR="00BF70AC" w:rsidRPr="1948D9BA">
              <w:rPr>
                <w:rFonts w:cs="Arial"/>
                <w:lang w:eastAsia="en-GB"/>
              </w:rPr>
              <w:t xml:space="preserve">packages such as bulk billing. </w:t>
            </w:r>
            <w:r w:rsidR="004533A7" w:rsidRPr="1948D9BA">
              <w:rPr>
                <w:rFonts w:cs="Arial"/>
                <w:lang w:eastAsia="en-GB"/>
              </w:rPr>
              <w:t xml:space="preserve">This is mentioned in section </w:t>
            </w:r>
            <w:r w:rsidR="006A731E" w:rsidRPr="1948D9BA">
              <w:rPr>
                <w:rFonts w:cs="Arial"/>
                <w:lang w:eastAsia="en-GB"/>
              </w:rPr>
              <w:t xml:space="preserve">3.11. </w:t>
            </w:r>
          </w:p>
          <w:p w14:paraId="2652D68A" w14:textId="4F177B8E" w:rsidR="00A07A3F" w:rsidRPr="00D818F5" w:rsidRDefault="006A731E" w:rsidP="000114C6">
            <w:pPr>
              <w:pStyle w:val="Paragraph"/>
              <w:spacing w:line="240" w:lineRule="auto"/>
              <w:rPr>
                <w:rFonts w:cs="Arial"/>
                <w:lang w:eastAsia="en-GB"/>
              </w:rPr>
            </w:pPr>
            <w:r w:rsidRPr="00D818F5">
              <w:rPr>
                <w:rFonts w:cs="Arial"/>
                <w:lang w:eastAsia="en-GB"/>
              </w:rPr>
              <w:t xml:space="preserve">Sections 4.35 and 4.36 of LSA interim process and methods state that recommendations can include whether ‘the technologies can be considered clinically comparable’, and ‘whether price variations are justified by differences in clinical effectiveness’ and ‘describe affordability </w:t>
            </w:r>
            <w:proofErr w:type="gramStart"/>
            <w:r w:rsidRPr="00D818F5">
              <w:rPr>
                <w:rFonts w:cs="Arial"/>
                <w:lang w:eastAsia="en-GB"/>
              </w:rPr>
              <w:t>considerations’</w:t>
            </w:r>
            <w:proofErr w:type="gramEnd"/>
            <w:r w:rsidRPr="00D818F5">
              <w:rPr>
                <w:rFonts w:cs="Arial"/>
                <w:lang w:eastAsia="en-GB"/>
              </w:rPr>
              <w:t>. Committee is not bound by threshold of clinical equivalence</w:t>
            </w:r>
          </w:p>
        </w:tc>
      </w:tr>
      <w:tr w:rsidR="00A07A3F" w:rsidRPr="00D818F5" w14:paraId="0A453B3E" w14:textId="77777777" w:rsidTr="1948D9BA">
        <w:tc>
          <w:tcPr>
            <w:tcW w:w="1323" w:type="dxa"/>
          </w:tcPr>
          <w:p w14:paraId="54F186FD"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50D47439" w14:textId="306B836F" w:rsidR="00A07A3F" w:rsidRPr="00D818F5" w:rsidRDefault="00A07A3F" w:rsidP="000114C6">
            <w:pPr>
              <w:pStyle w:val="Paragraph"/>
              <w:spacing w:line="240" w:lineRule="auto"/>
              <w:rPr>
                <w:rFonts w:cs="Arial"/>
                <w:lang w:eastAsia="en-GB"/>
              </w:rPr>
            </w:pPr>
            <w:r w:rsidRPr="00D818F5">
              <w:rPr>
                <w:rFonts w:cs="Arial"/>
                <w:color w:val="000000"/>
              </w:rPr>
              <w:t>Consultee 15</w:t>
            </w:r>
            <w:r w:rsidRPr="00D818F5">
              <w:rPr>
                <w:rFonts w:cs="Arial"/>
                <w:color w:val="000000"/>
              </w:rPr>
              <w:br/>
            </w:r>
            <w:proofErr w:type="spellStart"/>
            <w:r w:rsidRPr="00D818F5">
              <w:rPr>
                <w:rFonts w:cs="Arial"/>
                <w:color w:val="000000"/>
              </w:rPr>
              <w:t>T.J.Smith</w:t>
            </w:r>
            <w:proofErr w:type="spellEnd"/>
            <w:r w:rsidRPr="00D818F5">
              <w:rPr>
                <w:rFonts w:cs="Arial"/>
                <w:color w:val="000000"/>
              </w:rPr>
              <w:t xml:space="preserve"> and Nephew Ltd</w:t>
            </w:r>
          </w:p>
        </w:tc>
        <w:tc>
          <w:tcPr>
            <w:tcW w:w="2051" w:type="dxa"/>
            <w:shd w:val="clear" w:color="auto" w:fill="auto"/>
          </w:tcPr>
          <w:p w14:paraId="017B8029" w14:textId="279E04DB" w:rsidR="00A07A3F" w:rsidRPr="00D818F5" w:rsidRDefault="00A07A3F" w:rsidP="000114C6">
            <w:pPr>
              <w:pStyle w:val="Paragraph"/>
              <w:spacing w:line="240" w:lineRule="auto"/>
              <w:rPr>
                <w:rFonts w:cs="Arial"/>
                <w:lang w:eastAsia="en-GB"/>
              </w:rPr>
            </w:pPr>
            <w:r w:rsidRPr="00D818F5">
              <w:rPr>
                <w:rFonts w:cs="Arial"/>
                <w:color w:val="000000"/>
              </w:rPr>
              <w:t>1.1 1 Recommendations</w:t>
            </w:r>
          </w:p>
        </w:tc>
        <w:tc>
          <w:tcPr>
            <w:tcW w:w="4682" w:type="dxa"/>
            <w:shd w:val="clear" w:color="auto" w:fill="auto"/>
          </w:tcPr>
          <w:p w14:paraId="79F04303" w14:textId="742CFCA1" w:rsidR="00A07A3F" w:rsidRPr="00D818F5" w:rsidRDefault="00A07A3F" w:rsidP="000114C6">
            <w:pPr>
              <w:pStyle w:val="Paragraph"/>
              <w:spacing w:line="240" w:lineRule="auto"/>
              <w:rPr>
                <w:rFonts w:cs="Arial"/>
                <w:lang w:eastAsia="en-GB"/>
              </w:rPr>
            </w:pPr>
            <w:r w:rsidRPr="00D818F5">
              <w:rPr>
                <w:rFonts w:cs="Arial"/>
                <w:color w:val="000000"/>
              </w:rPr>
              <w:t>R1.1: “if an antimicrobial dressing is needed to treat an infected leg ulcer, use the least expensive option” appears to contradict the EAG report conclusion “The current evidence base does not allow a clear assessment of the relative merits of different AMDs in UK patients with infected leg ulcers, so no conclusions on the relative efficacy on the range of AMDs can be drawn.</w:t>
            </w:r>
            <w:r w:rsidRPr="00D818F5">
              <w:rPr>
                <w:rFonts w:cs="Arial"/>
                <w:color w:val="000000"/>
              </w:rPr>
              <w:br/>
              <w:t>Results from the economic model are not sufficiently certain to allow conclusions on the cost-effectiveness of AMDs in the scoped population and setting.”</w:t>
            </w:r>
            <w:r w:rsidRPr="00D818F5">
              <w:rPr>
                <w:rFonts w:cs="Arial"/>
                <w:color w:val="000000"/>
              </w:rPr>
              <w:br/>
              <w:t>We would suggest therefore that the recommendation reflect this by stating that ‘use the option which offers best value to the NHS’.</w:t>
            </w:r>
            <w:r w:rsidRPr="00D818F5">
              <w:rPr>
                <w:rFonts w:cs="Arial"/>
                <w:color w:val="000000"/>
              </w:rPr>
              <w:br/>
            </w:r>
            <w:r w:rsidRPr="00D818F5">
              <w:rPr>
                <w:rFonts w:cs="Arial"/>
                <w:color w:val="000000"/>
              </w:rPr>
              <w:br/>
              <w:t xml:space="preserve">R1.1: There is not enough evidence for some AMDs but the model looks at everything with a broad approach. Even with this statement - this should not follow that HCPs should use the least </w:t>
            </w:r>
            <w:r w:rsidRPr="00D818F5">
              <w:rPr>
                <w:rFonts w:cs="Arial"/>
                <w:color w:val="000000"/>
              </w:rPr>
              <w:lastRenderedPageBreak/>
              <w:t>expensive option – this statement can restrict appropriate antimicrobial treatment putting patients at risk of progressing to severe infections/ complications and should be revised.</w:t>
            </w:r>
          </w:p>
        </w:tc>
        <w:tc>
          <w:tcPr>
            <w:tcW w:w="4135" w:type="dxa"/>
          </w:tcPr>
          <w:p w14:paraId="6E145D74" w14:textId="24E7D879" w:rsidR="00A07A3F" w:rsidRPr="00D818F5" w:rsidRDefault="00CF0493" w:rsidP="000114C6">
            <w:pPr>
              <w:pStyle w:val="Paragraph"/>
              <w:spacing w:line="240" w:lineRule="auto"/>
              <w:rPr>
                <w:rFonts w:cs="Arial"/>
                <w:lang w:eastAsia="en-GB"/>
              </w:rPr>
            </w:pPr>
            <w:r w:rsidRPr="00D818F5">
              <w:rPr>
                <w:rFonts w:cs="Arial"/>
                <w:lang w:eastAsia="en-GB"/>
              </w:rPr>
              <w:lastRenderedPageBreak/>
              <w:t xml:space="preserve">Thank you for your comment. </w:t>
            </w:r>
            <w:r w:rsidR="003E2C48" w:rsidRPr="00D818F5">
              <w:rPr>
                <w:rFonts w:cs="Arial"/>
                <w:lang w:eastAsia="en-GB"/>
              </w:rPr>
              <w:t>Please see response to comment 22.</w:t>
            </w:r>
          </w:p>
          <w:p w14:paraId="4F925518" w14:textId="77777777" w:rsidR="00CF0493" w:rsidRPr="00D818F5" w:rsidRDefault="00CF0493" w:rsidP="000114C6">
            <w:pPr>
              <w:pStyle w:val="Paragraph"/>
              <w:spacing w:line="240" w:lineRule="auto"/>
              <w:rPr>
                <w:rFonts w:cs="Arial"/>
                <w:lang w:eastAsia="en-GB"/>
              </w:rPr>
            </w:pPr>
          </w:p>
          <w:p w14:paraId="4FEC7844" w14:textId="77777777" w:rsidR="00CF0493" w:rsidRPr="00D818F5" w:rsidRDefault="00CF0493" w:rsidP="000114C6">
            <w:pPr>
              <w:pStyle w:val="Paragraph"/>
              <w:spacing w:line="240" w:lineRule="auto"/>
              <w:rPr>
                <w:rFonts w:cs="Arial"/>
                <w:lang w:eastAsia="en-GB"/>
              </w:rPr>
            </w:pPr>
          </w:p>
          <w:p w14:paraId="3B9D5BE7" w14:textId="77777777" w:rsidR="00CF0493" w:rsidRPr="00D818F5" w:rsidRDefault="00CF0493" w:rsidP="000114C6">
            <w:pPr>
              <w:pStyle w:val="Paragraph"/>
              <w:spacing w:line="240" w:lineRule="auto"/>
              <w:rPr>
                <w:rFonts w:cs="Arial"/>
                <w:lang w:eastAsia="en-GB"/>
              </w:rPr>
            </w:pPr>
          </w:p>
          <w:p w14:paraId="639A5701" w14:textId="77777777" w:rsidR="00CF0493" w:rsidRPr="00D818F5" w:rsidRDefault="00CF0493" w:rsidP="000114C6">
            <w:pPr>
              <w:pStyle w:val="Paragraph"/>
              <w:spacing w:line="240" w:lineRule="auto"/>
              <w:rPr>
                <w:rFonts w:cs="Arial"/>
                <w:lang w:eastAsia="en-GB"/>
              </w:rPr>
            </w:pPr>
          </w:p>
          <w:p w14:paraId="6FAF2399" w14:textId="77777777" w:rsidR="00CF0493" w:rsidRPr="00D818F5" w:rsidRDefault="00CF0493" w:rsidP="000114C6">
            <w:pPr>
              <w:pStyle w:val="Paragraph"/>
              <w:spacing w:line="240" w:lineRule="auto"/>
              <w:rPr>
                <w:rFonts w:cs="Arial"/>
                <w:lang w:eastAsia="en-GB"/>
              </w:rPr>
            </w:pPr>
          </w:p>
          <w:p w14:paraId="6CBA5F77" w14:textId="77777777" w:rsidR="00CF0493" w:rsidRPr="00D818F5" w:rsidRDefault="00CF0493" w:rsidP="000114C6">
            <w:pPr>
              <w:pStyle w:val="Paragraph"/>
              <w:spacing w:line="240" w:lineRule="auto"/>
              <w:rPr>
                <w:rFonts w:cs="Arial"/>
                <w:lang w:eastAsia="en-GB"/>
              </w:rPr>
            </w:pPr>
          </w:p>
          <w:p w14:paraId="44581EC5" w14:textId="77777777" w:rsidR="00BB44BA" w:rsidRPr="00D818F5" w:rsidRDefault="00BB44BA" w:rsidP="000114C6">
            <w:pPr>
              <w:pStyle w:val="Paragraph"/>
              <w:spacing w:line="240" w:lineRule="auto"/>
              <w:rPr>
                <w:rFonts w:cs="Arial"/>
                <w:lang w:eastAsia="en-GB"/>
              </w:rPr>
            </w:pPr>
          </w:p>
          <w:p w14:paraId="1147CB0C" w14:textId="0DF476B4" w:rsidR="00CF0493" w:rsidRPr="00D818F5" w:rsidRDefault="00CF0493" w:rsidP="000114C6">
            <w:pPr>
              <w:pStyle w:val="Paragraph"/>
              <w:spacing w:line="240" w:lineRule="auto"/>
              <w:rPr>
                <w:rFonts w:cs="Arial"/>
                <w:lang w:eastAsia="en-GB"/>
              </w:rPr>
            </w:pPr>
            <w:r w:rsidRPr="00D818F5">
              <w:rPr>
                <w:rFonts w:cs="Arial"/>
                <w:lang w:eastAsia="en-GB"/>
              </w:rPr>
              <w:t>Please see response to comment</w:t>
            </w:r>
            <w:r w:rsidR="00E54D3D" w:rsidRPr="00D818F5">
              <w:rPr>
                <w:rFonts w:cs="Arial"/>
                <w:lang w:eastAsia="en-GB"/>
              </w:rPr>
              <w:t xml:space="preserve">s 3 and 8. </w:t>
            </w:r>
          </w:p>
        </w:tc>
      </w:tr>
      <w:tr w:rsidR="00A07A3F" w:rsidRPr="00D818F5" w14:paraId="08EE03E2" w14:textId="77777777" w:rsidTr="1948D9BA">
        <w:tc>
          <w:tcPr>
            <w:tcW w:w="1323" w:type="dxa"/>
          </w:tcPr>
          <w:p w14:paraId="1CFE6FA0" w14:textId="77777777" w:rsidR="00A07A3F" w:rsidRPr="00D818F5" w:rsidRDefault="00A07A3F" w:rsidP="000114C6">
            <w:pPr>
              <w:pStyle w:val="Paragraph"/>
              <w:numPr>
                <w:ilvl w:val="0"/>
                <w:numId w:val="27"/>
              </w:numPr>
              <w:spacing w:line="240" w:lineRule="auto"/>
              <w:rPr>
                <w:rFonts w:cs="Arial"/>
                <w:lang w:eastAsia="en-GB"/>
              </w:rPr>
            </w:pPr>
          </w:p>
        </w:tc>
        <w:tc>
          <w:tcPr>
            <w:tcW w:w="1757" w:type="dxa"/>
            <w:shd w:val="clear" w:color="auto" w:fill="auto"/>
          </w:tcPr>
          <w:p w14:paraId="680D0625" w14:textId="7CE499BB" w:rsidR="00A07A3F" w:rsidRPr="00D818F5" w:rsidRDefault="00A07A3F" w:rsidP="000114C6">
            <w:pPr>
              <w:pStyle w:val="Paragraph"/>
              <w:spacing w:line="240" w:lineRule="auto"/>
              <w:rPr>
                <w:rFonts w:cs="Arial"/>
                <w:lang w:eastAsia="en-GB"/>
              </w:rPr>
            </w:pPr>
            <w:r w:rsidRPr="00D818F5">
              <w:rPr>
                <w:rFonts w:cs="Arial"/>
                <w:color w:val="000000"/>
              </w:rPr>
              <w:t>Consultee 15</w:t>
            </w:r>
            <w:r w:rsidRPr="00D818F5">
              <w:rPr>
                <w:rFonts w:cs="Arial"/>
                <w:color w:val="000000"/>
              </w:rPr>
              <w:br/>
            </w:r>
            <w:proofErr w:type="spellStart"/>
            <w:r w:rsidRPr="00D818F5">
              <w:rPr>
                <w:rFonts w:cs="Arial"/>
                <w:color w:val="000000"/>
              </w:rPr>
              <w:t>T.J.Smith</w:t>
            </w:r>
            <w:proofErr w:type="spellEnd"/>
            <w:r w:rsidRPr="00D818F5">
              <w:rPr>
                <w:rFonts w:cs="Arial"/>
                <w:color w:val="000000"/>
              </w:rPr>
              <w:t xml:space="preserve"> and Nephew Ltd</w:t>
            </w:r>
          </w:p>
        </w:tc>
        <w:tc>
          <w:tcPr>
            <w:tcW w:w="2051" w:type="dxa"/>
            <w:shd w:val="clear" w:color="auto" w:fill="auto"/>
          </w:tcPr>
          <w:p w14:paraId="56B19C0C" w14:textId="68EA94D7" w:rsidR="00A07A3F" w:rsidRPr="00D818F5" w:rsidRDefault="00A07A3F" w:rsidP="000114C6">
            <w:pPr>
              <w:pStyle w:val="Paragraph"/>
              <w:spacing w:line="240" w:lineRule="auto"/>
              <w:rPr>
                <w:rFonts w:cs="Arial"/>
                <w:lang w:eastAsia="en-GB"/>
              </w:rPr>
            </w:pPr>
            <w:r w:rsidRPr="00D818F5">
              <w:rPr>
                <w:rFonts w:cs="Arial"/>
                <w:color w:val="000000"/>
              </w:rPr>
              <w:t>1.3 1 Recommendations</w:t>
            </w:r>
          </w:p>
        </w:tc>
        <w:tc>
          <w:tcPr>
            <w:tcW w:w="4682" w:type="dxa"/>
            <w:shd w:val="clear" w:color="auto" w:fill="auto"/>
          </w:tcPr>
          <w:p w14:paraId="76BC53B2" w14:textId="0A5CEA54" w:rsidR="00A07A3F" w:rsidRPr="00D818F5" w:rsidRDefault="00A07A3F" w:rsidP="000114C6">
            <w:pPr>
              <w:pStyle w:val="Paragraph"/>
              <w:spacing w:line="240" w:lineRule="auto"/>
              <w:rPr>
                <w:rFonts w:cs="Arial"/>
                <w:lang w:eastAsia="en-GB"/>
              </w:rPr>
            </w:pPr>
            <w:r w:rsidRPr="00D818F5">
              <w:rPr>
                <w:rFonts w:cs="Arial"/>
                <w:color w:val="000000"/>
              </w:rPr>
              <w:t>R1.3: Consideration of whether a person can change their own dressing or if a visit by a healthcare professional is needed Wounds considered infected are risk and should be always managed by the HCP not the patient as the risk of progression to severe infection/ complications could be missed – this is a key part of the risk assessment under MDR for any class III medical device – this criteria should be removed</w:t>
            </w:r>
          </w:p>
        </w:tc>
        <w:tc>
          <w:tcPr>
            <w:tcW w:w="4135" w:type="dxa"/>
          </w:tcPr>
          <w:p w14:paraId="31E3BD9D" w14:textId="570B80B8" w:rsidR="005061DB" w:rsidRPr="00D818F5" w:rsidRDefault="00BE5725" w:rsidP="000114C6">
            <w:pPr>
              <w:pStyle w:val="Paragraph"/>
              <w:spacing w:line="240" w:lineRule="auto"/>
              <w:rPr>
                <w:rFonts w:cs="Arial"/>
                <w:lang w:eastAsia="en-GB"/>
              </w:rPr>
            </w:pPr>
            <w:r w:rsidRPr="00D818F5">
              <w:rPr>
                <w:rFonts w:cs="Arial"/>
                <w:lang w:eastAsia="en-GB"/>
              </w:rPr>
              <w:t xml:space="preserve">Thank you for your comment. </w:t>
            </w:r>
            <w:r w:rsidR="008A4A69" w:rsidRPr="00D818F5">
              <w:rPr>
                <w:rFonts w:cs="Arial"/>
                <w:lang w:eastAsia="en-GB"/>
              </w:rPr>
              <w:t>Please see response to comment 4.</w:t>
            </w:r>
          </w:p>
        </w:tc>
      </w:tr>
    </w:tbl>
    <w:p w14:paraId="61E2DB37" w14:textId="77777777" w:rsidR="00A449C2" w:rsidRDefault="00A449C2" w:rsidP="00EB53E2"/>
    <w:p w14:paraId="538A643B" w14:textId="366266BA" w:rsidR="00A449C2" w:rsidRDefault="00EC7EBA" w:rsidP="00BF40E4">
      <w:pPr>
        <w:pStyle w:val="Heading1"/>
        <w:spacing w:line="240" w:lineRule="auto"/>
      </w:pPr>
      <w:r>
        <w:t>Table 2: description of condition</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A0397D" w:rsidRPr="00BF7220" w14:paraId="17314D8A" w14:textId="77777777" w:rsidTr="00BF7220">
        <w:tc>
          <w:tcPr>
            <w:tcW w:w="1323" w:type="dxa"/>
            <w:shd w:val="clear" w:color="auto" w:fill="D9D9D9" w:themeFill="background1" w:themeFillShade="D9"/>
          </w:tcPr>
          <w:p w14:paraId="1FA455CB" w14:textId="693A0A83" w:rsidR="00A0397D" w:rsidRPr="00BF7220" w:rsidRDefault="00A0397D" w:rsidP="00BF7220">
            <w:pPr>
              <w:pStyle w:val="Paragraph"/>
              <w:spacing w:line="240" w:lineRule="auto"/>
              <w:rPr>
                <w:lang w:eastAsia="en-GB"/>
              </w:rPr>
            </w:pPr>
            <w:r w:rsidRPr="00BF7220">
              <w:rPr>
                <w:b/>
                <w:bCs/>
                <w:lang w:eastAsia="en-GB"/>
              </w:rPr>
              <w:t>Comment no.</w:t>
            </w:r>
          </w:p>
        </w:tc>
        <w:tc>
          <w:tcPr>
            <w:tcW w:w="1757" w:type="dxa"/>
            <w:shd w:val="clear" w:color="auto" w:fill="D9D9D9" w:themeFill="background1" w:themeFillShade="D9"/>
          </w:tcPr>
          <w:p w14:paraId="7E7C1712" w14:textId="72B22B37" w:rsidR="00A0397D" w:rsidRPr="00BF7220" w:rsidRDefault="00A0397D" w:rsidP="00BF7220">
            <w:pPr>
              <w:pStyle w:val="Paragraph"/>
              <w:spacing w:line="240" w:lineRule="auto"/>
              <w:rPr>
                <w:rFonts w:cs="Arial"/>
                <w:color w:val="000000"/>
              </w:rPr>
            </w:pPr>
            <w:r w:rsidRPr="00BF7220">
              <w:rPr>
                <w:b/>
                <w:bCs/>
                <w:lang w:eastAsia="en-GB"/>
              </w:rPr>
              <w:t>Consultee</w:t>
            </w:r>
          </w:p>
        </w:tc>
        <w:tc>
          <w:tcPr>
            <w:tcW w:w="2051" w:type="dxa"/>
            <w:shd w:val="clear" w:color="auto" w:fill="D9D9D9" w:themeFill="background1" w:themeFillShade="D9"/>
          </w:tcPr>
          <w:p w14:paraId="798E14EE" w14:textId="3830BED6" w:rsidR="00A0397D" w:rsidRPr="00BF7220" w:rsidRDefault="00A0397D" w:rsidP="00BF7220">
            <w:pPr>
              <w:pStyle w:val="Paragraph"/>
              <w:spacing w:line="240" w:lineRule="auto"/>
              <w:rPr>
                <w:rFonts w:cs="Arial"/>
                <w:color w:val="000000"/>
              </w:rPr>
            </w:pPr>
            <w:r w:rsidRPr="00BF7220">
              <w:rPr>
                <w:b/>
                <w:bCs/>
                <w:lang w:eastAsia="en-GB"/>
              </w:rPr>
              <w:t>Section no.</w:t>
            </w:r>
          </w:p>
        </w:tc>
        <w:tc>
          <w:tcPr>
            <w:tcW w:w="4682" w:type="dxa"/>
            <w:shd w:val="clear" w:color="auto" w:fill="D9D9D9" w:themeFill="background1" w:themeFillShade="D9"/>
          </w:tcPr>
          <w:p w14:paraId="5AC5F75B" w14:textId="4115FA46" w:rsidR="00A0397D" w:rsidRPr="00BF7220" w:rsidRDefault="00A0397D" w:rsidP="00BF7220">
            <w:pPr>
              <w:pStyle w:val="Paragraph"/>
              <w:spacing w:line="240" w:lineRule="auto"/>
              <w:rPr>
                <w:rFonts w:cs="Arial"/>
                <w:color w:val="000000"/>
              </w:rPr>
            </w:pPr>
            <w:r w:rsidRPr="00BF7220">
              <w:rPr>
                <w:b/>
                <w:bCs/>
                <w:lang w:eastAsia="en-GB"/>
              </w:rPr>
              <w:t>Comment</w:t>
            </w:r>
          </w:p>
        </w:tc>
        <w:tc>
          <w:tcPr>
            <w:tcW w:w="4135" w:type="dxa"/>
            <w:shd w:val="clear" w:color="auto" w:fill="D9D9D9" w:themeFill="background1" w:themeFillShade="D9"/>
          </w:tcPr>
          <w:p w14:paraId="77AF3280" w14:textId="032F23CE" w:rsidR="00A0397D" w:rsidRPr="00BF7220" w:rsidRDefault="00A0397D" w:rsidP="00BF7220">
            <w:pPr>
              <w:pStyle w:val="Paragraph"/>
              <w:spacing w:line="240" w:lineRule="auto"/>
              <w:rPr>
                <w:lang w:eastAsia="en-GB"/>
              </w:rPr>
            </w:pPr>
            <w:r w:rsidRPr="00BF7220">
              <w:rPr>
                <w:b/>
                <w:bCs/>
                <w:lang w:eastAsia="en-GB"/>
              </w:rPr>
              <w:t>Response</w:t>
            </w:r>
          </w:p>
        </w:tc>
      </w:tr>
      <w:tr w:rsidR="00D96082" w:rsidRPr="00BF7220" w14:paraId="2C827759" w14:textId="77777777" w:rsidTr="00BF7220">
        <w:tc>
          <w:tcPr>
            <w:tcW w:w="1323" w:type="dxa"/>
          </w:tcPr>
          <w:p w14:paraId="1DFBF2C4" w14:textId="77777777" w:rsidR="00D96082" w:rsidRPr="00BF7220" w:rsidRDefault="00D96082" w:rsidP="00BF7220">
            <w:pPr>
              <w:pStyle w:val="Paragraph"/>
              <w:numPr>
                <w:ilvl w:val="0"/>
                <w:numId w:val="27"/>
              </w:numPr>
              <w:spacing w:line="240" w:lineRule="auto"/>
              <w:rPr>
                <w:lang w:eastAsia="en-GB"/>
              </w:rPr>
            </w:pPr>
          </w:p>
        </w:tc>
        <w:tc>
          <w:tcPr>
            <w:tcW w:w="1757" w:type="dxa"/>
            <w:shd w:val="clear" w:color="auto" w:fill="auto"/>
          </w:tcPr>
          <w:p w14:paraId="659D12EE" w14:textId="4E5484EA" w:rsidR="00D96082" w:rsidRPr="00BF7220" w:rsidRDefault="00D96082" w:rsidP="00BF7220">
            <w:pPr>
              <w:pStyle w:val="Paragraph"/>
              <w:spacing w:line="240" w:lineRule="auto"/>
              <w:rPr>
                <w:lang w:eastAsia="en-GB"/>
              </w:rPr>
            </w:pPr>
            <w:r w:rsidRPr="00BF7220">
              <w:rPr>
                <w:rFonts w:cs="Arial"/>
                <w:color w:val="000000"/>
              </w:rPr>
              <w:t>Consultee 1</w:t>
            </w:r>
            <w:r w:rsidRPr="00BF7220">
              <w:rPr>
                <w:rFonts w:cs="Arial"/>
                <w:color w:val="000000"/>
              </w:rPr>
              <w:br/>
              <w:t>Individual</w:t>
            </w:r>
          </w:p>
        </w:tc>
        <w:tc>
          <w:tcPr>
            <w:tcW w:w="2051" w:type="dxa"/>
            <w:shd w:val="clear" w:color="auto" w:fill="auto"/>
          </w:tcPr>
          <w:p w14:paraId="55EC2A79" w14:textId="1B7BEBD0" w:rsidR="00D96082" w:rsidRPr="00BF7220" w:rsidRDefault="00D96082" w:rsidP="00BF7220">
            <w:pPr>
              <w:pStyle w:val="Paragraph"/>
              <w:spacing w:line="240" w:lineRule="auto"/>
              <w:rPr>
                <w:lang w:eastAsia="en-GB"/>
              </w:rPr>
            </w:pPr>
            <w:r w:rsidRPr="00BF7220">
              <w:rPr>
                <w:rFonts w:cs="Arial"/>
                <w:color w:val="000000"/>
              </w:rPr>
              <w:t>Not specified</w:t>
            </w:r>
          </w:p>
        </w:tc>
        <w:tc>
          <w:tcPr>
            <w:tcW w:w="4682" w:type="dxa"/>
            <w:shd w:val="clear" w:color="auto" w:fill="auto"/>
          </w:tcPr>
          <w:p w14:paraId="60264104" w14:textId="7C124621" w:rsidR="00D96082" w:rsidRPr="00BF7220" w:rsidRDefault="00D96082" w:rsidP="00BF7220">
            <w:pPr>
              <w:pStyle w:val="Paragraph"/>
              <w:spacing w:line="240" w:lineRule="auto"/>
              <w:rPr>
                <w:lang w:eastAsia="en-GB"/>
              </w:rPr>
            </w:pPr>
            <w:r w:rsidRPr="00BF7220">
              <w:rPr>
                <w:rFonts w:cs="Arial"/>
                <w:color w:val="000000"/>
              </w:rPr>
              <w:t xml:space="preserve">there is little information on the signs of infection or biofilm management which affects a large proportion of the lower limb </w:t>
            </w:r>
            <w:proofErr w:type="gramStart"/>
            <w:r w:rsidRPr="00BF7220">
              <w:rPr>
                <w:rFonts w:cs="Arial"/>
                <w:color w:val="000000"/>
              </w:rPr>
              <w:t>patients .</w:t>
            </w:r>
            <w:proofErr w:type="gramEnd"/>
            <w:r w:rsidRPr="00BF7220">
              <w:rPr>
                <w:rFonts w:cs="Arial"/>
                <w:color w:val="000000"/>
              </w:rPr>
              <w:br/>
            </w:r>
            <w:r w:rsidRPr="00BF7220">
              <w:rPr>
                <w:rFonts w:cs="Arial"/>
                <w:color w:val="000000"/>
              </w:rPr>
              <w:lastRenderedPageBreak/>
              <w:t xml:space="preserve">use of AMD in </w:t>
            </w:r>
            <w:proofErr w:type="gramStart"/>
            <w:r w:rsidRPr="00BF7220">
              <w:rPr>
                <w:rFonts w:cs="Arial"/>
                <w:color w:val="000000"/>
              </w:rPr>
              <w:t>prevention ?</w:t>
            </w:r>
            <w:proofErr w:type="gramEnd"/>
            <w:r w:rsidRPr="00BF7220">
              <w:rPr>
                <w:rFonts w:cs="Arial"/>
                <w:color w:val="000000"/>
              </w:rPr>
              <w:t xml:space="preserve"> Recommended</w:t>
            </w:r>
          </w:p>
        </w:tc>
        <w:tc>
          <w:tcPr>
            <w:tcW w:w="4135" w:type="dxa"/>
          </w:tcPr>
          <w:p w14:paraId="36992739" w14:textId="04B14673" w:rsidR="00D96082" w:rsidRPr="00BF7220" w:rsidRDefault="00A2121B" w:rsidP="00BF7220">
            <w:pPr>
              <w:pStyle w:val="Paragraph"/>
              <w:spacing w:line="240" w:lineRule="auto"/>
              <w:rPr>
                <w:lang w:eastAsia="en-GB"/>
              </w:rPr>
            </w:pPr>
            <w:r w:rsidRPr="00BF7220">
              <w:rPr>
                <w:lang w:eastAsia="en-GB"/>
              </w:rPr>
              <w:lastRenderedPageBreak/>
              <w:t>Thank you for your comment. A definition of local infection is now included.</w:t>
            </w:r>
          </w:p>
        </w:tc>
      </w:tr>
      <w:tr w:rsidR="00D96082" w:rsidRPr="00BF7220" w14:paraId="71C25B1A" w14:textId="77777777" w:rsidTr="00BF7220">
        <w:tc>
          <w:tcPr>
            <w:tcW w:w="1323" w:type="dxa"/>
          </w:tcPr>
          <w:p w14:paraId="2429494E" w14:textId="77777777" w:rsidR="00D96082" w:rsidRPr="00BF7220" w:rsidRDefault="00D96082" w:rsidP="00BF7220">
            <w:pPr>
              <w:pStyle w:val="Paragraph"/>
              <w:numPr>
                <w:ilvl w:val="0"/>
                <w:numId w:val="27"/>
              </w:numPr>
              <w:spacing w:line="240" w:lineRule="auto"/>
              <w:rPr>
                <w:lang w:eastAsia="en-GB"/>
              </w:rPr>
            </w:pPr>
          </w:p>
        </w:tc>
        <w:tc>
          <w:tcPr>
            <w:tcW w:w="1757" w:type="dxa"/>
            <w:shd w:val="clear" w:color="auto" w:fill="auto"/>
          </w:tcPr>
          <w:p w14:paraId="5EEE031C" w14:textId="64194956" w:rsidR="00D96082" w:rsidRPr="00BF7220" w:rsidRDefault="00D96082" w:rsidP="00BF7220">
            <w:pPr>
              <w:pStyle w:val="Paragraph"/>
              <w:spacing w:line="240" w:lineRule="auto"/>
              <w:rPr>
                <w:lang w:eastAsia="en-GB"/>
              </w:rPr>
            </w:pPr>
            <w:r w:rsidRPr="00BF7220">
              <w:rPr>
                <w:rFonts w:cs="Arial"/>
                <w:color w:val="000000"/>
              </w:rPr>
              <w:t>Consultee 1</w:t>
            </w:r>
            <w:r w:rsidRPr="00BF7220">
              <w:rPr>
                <w:rFonts w:cs="Arial"/>
                <w:color w:val="000000"/>
              </w:rPr>
              <w:br/>
              <w:t>Individual</w:t>
            </w:r>
          </w:p>
        </w:tc>
        <w:tc>
          <w:tcPr>
            <w:tcW w:w="2051" w:type="dxa"/>
            <w:shd w:val="clear" w:color="auto" w:fill="auto"/>
          </w:tcPr>
          <w:p w14:paraId="6BFA37D7" w14:textId="391F5111" w:rsidR="00D96082" w:rsidRPr="00BF7220" w:rsidRDefault="00D96082" w:rsidP="00BF7220">
            <w:pPr>
              <w:pStyle w:val="Paragraph"/>
              <w:spacing w:line="240" w:lineRule="auto"/>
              <w:rPr>
                <w:lang w:eastAsia="en-GB"/>
              </w:rPr>
            </w:pPr>
            <w:r w:rsidRPr="00BF7220">
              <w:rPr>
                <w:rFonts w:cs="Arial"/>
                <w:color w:val="000000"/>
              </w:rPr>
              <w:t>3.1 The condition</w:t>
            </w:r>
          </w:p>
        </w:tc>
        <w:tc>
          <w:tcPr>
            <w:tcW w:w="4682" w:type="dxa"/>
            <w:shd w:val="clear" w:color="auto" w:fill="auto"/>
          </w:tcPr>
          <w:p w14:paraId="793D17CE" w14:textId="0175D771" w:rsidR="00D96082" w:rsidRPr="00BF7220" w:rsidRDefault="00D96082" w:rsidP="00BF7220">
            <w:pPr>
              <w:pStyle w:val="Paragraph"/>
              <w:spacing w:line="240" w:lineRule="auto"/>
              <w:rPr>
                <w:lang w:eastAsia="en-GB"/>
              </w:rPr>
            </w:pPr>
            <w:r w:rsidRPr="00BF7220">
              <w:rPr>
                <w:rFonts w:cs="Arial"/>
                <w:color w:val="000000"/>
              </w:rPr>
              <w:t xml:space="preserve">ulcers heal </w:t>
            </w:r>
            <w:proofErr w:type="spellStart"/>
            <w:r w:rsidRPr="00BF7220">
              <w:rPr>
                <w:rFonts w:cs="Arial"/>
                <w:color w:val="000000"/>
              </w:rPr>
              <w:t>alot</w:t>
            </w:r>
            <w:proofErr w:type="spellEnd"/>
            <w:r w:rsidRPr="00BF7220">
              <w:rPr>
                <w:rFonts w:cs="Arial"/>
                <w:color w:val="000000"/>
              </w:rPr>
              <w:t xml:space="preserve"> more slowly with the other underlying comorbidities, especially when they have been present for many months and years.</w:t>
            </w:r>
            <w:r w:rsidRPr="00BF7220">
              <w:rPr>
                <w:rFonts w:cs="Arial"/>
                <w:color w:val="000000"/>
              </w:rPr>
              <w:br/>
              <w:t xml:space="preserve">lack of </w:t>
            </w:r>
            <w:proofErr w:type="spellStart"/>
            <w:r w:rsidRPr="00BF7220">
              <w:rPr>
                <w:rFonts w:cs="Arial"/>
                <w:color w:val="000000"/>
              </w:rPr>
              <w:t>indciation</w:t>
            </w:r>
            <w:proofErr w:type="spellEnd"/>
            <w:r w:rsidRPr="00BF7220">
              <w:rPr>
                <w:rFonts w:cs="Arial"/>
                <w:color w:val="000000"/>
              </w:rPr>
              <w:t xml:space="preserve"> of what is meant by infection versus colonised /biofilm present</w:t>
            </w:r>
          </w:p>
        </w:tc>
        <w:tc>
          <w:tcPr>
            <w:tcW w:w="4135" w:type="dxa"/>
          </w:tcPr>
          <w:p w14:paraId="37C73ED6" w14:textId="5E4E8D06" w:rsidR="00D96082" w:rsidRPr="00BF7220" w:rsidRDefault="00A2121B" w:rsidP="00BF7220">
            <w:pPr>
              <w:pStyle w:val="Paragraph"/>
              <w:spacing w:line="240" w:lineRule="auto"/>
              <w:rPr>
                <w:lang w:eastAsia="en-GB"/>
              </w:rPr>
            </w:pPr>
            <w:r w:rsidRPr="00BF7220">
              <w:rPr>
                <w:lang w:eastAsia="en-GB"/>
              </w:rPr>
              <w:t>Thank you for your comment. Please see response to comment 25.</w:t>
            </w:r>
          </w:p>
        </w:tc>
      </w:tr>
      <w:tr w:rsidR="00D96082" w:rsidRPr="00BF7220" w14:paraId="5372B032" w14:textId="77777777" w:rsidTr="00BF7220">
        <w:tc>
          <w:tcPr>
            <w:tcW w:w="1323" w:type="dxa"/>
          </w:tcPr>
          <w:p w14:paraId="482DD999" w14:textId="77777777" w:rsidR="00D96082" w:rsidRPr="00BF7220" w:rsidRDefault="00D96082" w:rsidP="00BF7220">
            <w:pPr>
              <w:pStyle w:val="Paragraph"/>
              <w:numPr>
                <w:ilvl w:val="0"/>
                <w:numId w:val="27"/>
              </w:numPr>
              <w:spacing w:line="240" w:lineRule="auto"/>
              <w:rPr>
                <w:lang w:eastAsia="en-GB"/>
              </w:rPr>
            </w:pPr>
          </w:p>
        </w:tc>
        <w:tc>
          <w:tcPr>
            <w:tcW w:w="1757" w:type="dxa"/>
            <w:shd w:val="clear" w:color="auto" w:fill="auto"/>
          </w:tcPr>
          <w:p w14:paraId="2201A4D1" w14:textId="20D6AA7F" w:rsidR="00D96082" w:rsidRPr="00BF7220" w:rsidRDefault="00D96082" w:rsidP="00BF7220">
            <w:pPr>
              <w:pStyle w:val="Paragraph"/>
              <w:spacing w:line="240" w:lineRule="auto"/>
              <w:rPr>
                <w:lang w:eastAsia="en-GB"/>
              </w:rPr>
            </w:pPr>
            <w:r w:rsidRPr="00BF7220">
              <w:rPr>
                <w:rFonts w:cs="Arial"/>
                <w:color w:val="000000"/>
              </w:rPr>
              <w:t>Consultee 4</w:t>
            </w:r>
            <w:r w:rsidRPr="00BF7220">
              <w:rPr>
                <w:rFonts w:cs="Arial"/>
                <w:color w:val="000000"/>
              </w:rPr>
              <w:br/>
              <w:t>Coloplast</w:t>
            </w:r>
          </w:p>
        </w:tc>
        <w:tc>
          <w:tcPr>
            <w:tcW w:w="2051" w:type="dxa"/>
            <w:shd w:val="clear" w:color="auto" w:fill="auto"/>
          </w:tcPr>
          <w:p w14:paraId="341C9E6C" w14:textId="66579690" w:rsidR="00D96082" w:rsidRPr="00BF7220" w:rsidRDefault="00D96082"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48F66D6D" w14:textId="49380225" w:rsidR="00D96082" w:rsidRPr="00BF7220" w:rsidRDefault="00D96082" w:rsidP="00BF7220">
            <w:pPr>
              <w:pStyle w:val="Paragraph"/>
              <w:spacing w:line="240" w:lineRule="auto"/>
              <w:rPr>
                <w:lang w:eastAsia="en-GB"/>
              </w:rPr>
            </w:pPr>
            <w:r w:rsidRPr="00BF7220">
              <w:rPr>
                <w:rFonts w:cs="Arial"/>
                <w:color w:val="000000"/>
              </w:rPr>
              <w:t>The evidence used to highlight the burden of managing infected leg ulcers uses data of associated costs for all leg ulcers not just those that are infected (i.e. in scope). The costs of managing the wounds in scope is therefore not clearly defined within the document which is therefore misleading to procurement specialists and commissioners.</w:t>
            </w:r>
          </w:p>
        </w:tc>
        <w:tc>
          <w:tcPr>
            <w:tcW w:w="4135" w:type="dxa"/>
          </w:tcPr>
          <w:p w14:paraId="30D0C06C" w14:textId="46242CAF" w:rsidR="00D96082" w:rsidRPr="00BF7220" w:rsidRDefault="007A750A" w:rsidP="00BF7220">
            <w:pPr>
              <w:pStyle w:val="Paragraph"/>
              <w:spacing w:line="240" w:lineRule="auto"/>
              <w:rPr>
                <w:lang w:eastAsia="en-GB"/>
              </w:rPr>
            </w:pPr>
            <w:r w:rsidRPr="00BF7220">
              <w:rPr>
                <w:lang w:eastAsia="en-GB"/>
              </w:rPr>
              <w:t xml:space="preserve">Thank you for your comment. </w:t>
            </w:r>
            <w:r w:rsidR="00CF01B0" w:rsidRPr="00BF7220">
              <w:rPr>
                <w:lang w:eastAsia="en-GB"/>
              </w:rPr>
              <w:t xml:space="preserve">The data </w:t>
            </w:r>
            <w:r w:rsidR="00A00D7E" w:rsidRPr="00BF7220">
              <w:rPr>
                <w:lang w:eastAsia="en-GB"/>
              </w:rPr>
              <w:t xml:space="preserve">are clearly </w:t>
            </w:r>
            <w:r w:rsidR="00CF01B0" w:rsidRPr="00BF7220">
              <w:rPr>
                <w:lang w:eastAsia="en-GB"/>
              </w:rPr>
              <w:t xml:space="preserve">described being for all leg ulcer care and not just infected leg ulcers. </w:t>
            </w:r>
          </w:p>
        </w:tc>
      </w:tr>
      <w:tr w:rsidR="00D96082" w:rsidRPr="00BF7220" w14:paraId="02F381CA" w14:textId="77777777" w:rsidTr="00BF7220">
        <w:tc>
          <w:tcPr>
            <w:tcW w:w="1323" w:type="dxa"/>
          </w:tcPr>
          <w:p w14:paraId="71DE5A82" w14:textId="77777777" w:rsidR="00D96082" w:rsidRPr="00BF7220" w:rsidRDefault="00D96082" w:rsidP="00BF7220">
            <w:pPr>
              <w:pStyle w:val="Paragraph"/>
              <w:numPr>
                <w:ilvl w:val="0"/>
                <w:numId w:val="27"/>
              </w:numPr>
              <w:spacing w:line="240" w:lineRule="auto"/>
              <w:rPr>
                <w:lang w:eastAsia="en-GB"/>
              </w:rPr>
            </w:pPr>
          </w:p>
        </w:tc>
        <w:tc>
          <w:tcPr>
            <w:tcW w:w="1757" w:type="dxa"/>
            <w:shd w:val="clear" w:color="auto" w:fill="auto"/>
          </w:tcPr>
          <w:p w14:paraId="7A432017" w14:textId="04B70FED" w:rsidR="00D96082" w:rsidRPr="00BF7220" w:rsidRDefault="00D96082" w:rsidP="00BF7220">
            <w:pPr>
              <w:pStyle w:val="Paragraph"/>
              <w:spacing w:line="240" w:lineRule="auto"/>
              <w:rPr>
                <w:lang w:eastAsia="en-GB"/>
              </w:rPr>
            </w:pPr>
            <w:r w:rsidRPr="00BF7220">
              <w:rPr>
                <w:rFonts w:cs="Arial"/>
                <w:color w:val="000000"/>
              </w:rPr>
              <w:t>Consultee 6</w:t>
            </w:r>
            <w:r w:rsidRPr="00BF7220">
              <w:rPr>
                <w:rFonts w:cs="Arial"/>
                <w:color w:val="000000"/>
              </w:rPr>
              <w:br/>
              <w:t>Individual</w:t>
            </w:r>
          </w:p>
        </w:tc>
        <w:tc>
          <w:tcPr>
            <w:tcW w:w="2051" w:type="dxa"/>
            <w:shd w:val="clear" w:color="auto" w:fill="auto"/>
          </w:tcPr>
          <w:p w14:paraId="7C32FDB9" w14:textId="7DEA9956" w:rsidR="00D96082" w:rsidRPr="00BF7220" w:rsidRDefault="00D96082"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4B3CADA6" w14:textId="2C0978D2" w:rsidR="00D96082" w:rsidRPr="00BF7220" w:rsidRDefault="00D96082" w:rsidP="00BF7220">
            <w:pPr>
              <w:pStyle w:val="Paragraph"/>
              <w:spacing w:line="240" w:lineRule="auto"/>
              <w:rPr>
                <w:lang w:eastAsia="en-GB"/>
              </w:rPr>
            </w:pPr>
            <w:r w:rsidRPr="00BF7220">
              <w:rPr>
                <w:rFonts w:cs="Arial"/>
                <w:color w:val="000000"/>
              </w:rPr>
              <w:t>What is the source for these estimates?</w:t>
            </w:r>
            <w:r w:rsidRPr="00BF7220">
              <w:rPr>
                <w:rFonts w:cs="Arial"/>
                <w:color w:val="000000"/>
              </w:rPr>
              <w:br/>
              <w:t>According to our own estimates there were 875,000 leg ulcers in England in 2017/18 with an estimated associated healthcare cost of £3.8 billion [BMJ Open 2020;</w:t>
            </w:r>
            <w:proofErr w:type="gramStart"/>
            <w:r w:rsidRPr="00BF7220">
              <w:rPr>
                <w:rFonts w:cs="Arial"/>
                <w:color w:val="000000"/>
              </w:rPr>
              <w:t>10:e</w:t>
            </w:r>
            <w:proofErr w:type="gramEnd"/>
            <w:r w:rsidRPr="00BF7220">
              <w:rPr>
                <w:rFonts w:cs="Arial"/>
                <w:color w:val="000000"/>
              </w:rPr>
              <w:t>045253. doi:10.1136/</w:t>
            </w:r>
            <w:r w:rsidRPr="00BF7220">
              <w:rPr>
                <w:rFonts w:cs="Arial"/>
                <w:color w:val="000000"/>
              </w:rPr>
              <w:br/>
              <w:t>bmjopen-2020-045253].</w:t>
            </w:r>
          </w:p>
        </w:tc>
        <w:tc>
          <w:tcPr>
            <w:tcW w:w="4135" w:type="dxa"/>
          </w:tcPr>
          <w:p w14:paraId="1B7FE965" w14:textId="12F35AF7" w:rsidR="00CD172C" w:rsidRPr="00BF7220" w:rsidRDefault="00CF01B0" w:rsidP="00BF7220">
            <w:pPr>
              <w:pStyle w:val="Paragraph"/>
              <w:spacing w:line="240" w:lineRule="auto"/>
              <w:rPr>
                <w:lang w:eastAsia="en-GB"/>
              </w:rPr>
            </w:pPr>
            <w:r w:rsidRPr="00BF7220">
              <w:rPr>
                <w:lang w:eastAsia="en-GB"/>
              </w:rPr>
              <w:t xml:space="preserve">Thank you for your comment. </w:t>
            </w:r>
            <w:r w:rsidR="00A00D7E" w:rsidRPr="00BF7220">
              <w:rPr>
                <w:lang w:eastAsia="en-GB"/>
              </w:rPr>
              <w:t>The prevalence figures were discussed by committee</w:t>
            </w:r>
            <w:r w:rsidR="00CD172C" w:rsidRPr="00BF7220">
              <w:rPr>
                <w:lang w:eastAsia="en-GB"/>
              </w:rPr>
              <w:t>.</w:t>
            </w:r>
            <w:r w:rsidR="00A00D7E" w:rsidRPr="00BF7220">
              <w:rPr>
                <w:lang w:eastAsia="en-GB"/>
              </w:rPr>
              <w:t xml:space="preserve"> This section</w:t>
            </w:r>
            <w:r w:rsidR="00CD172C" w:rsidRPr="00BF7220">
              <w:rPr>
                <w:lang w:eastAsia="en-GB"/>
              </w:rPr>
              <w:t xml:space="preserve"> of the guidance</w:t>
            </w:r>
            <w:r w:rsidR="00A00D7E" w:rsidRPr="00BF7220">
              <w:rPr>
                <w:lang w:eastAsia="en-GB"/>
              </w:rPr>
              <w:t xml:space="preserve"> has now been updated. </w:t>
            </w:r>
          </w:p>
          <w:p w14:paraId="71DE947D" w14:textId="28A3D023" w:rsidR="00F84AD1" w:rsidRPr="00BF7220" w:rsidRDefault="00F84AD1" w:rsidP="00BF7220">
            <w:pPr>
              <w:pStyle w:val="Paragraph"/>
              <w:spacing w:line="240" w:lineRule="auto"/>
              <w:rPr>
                <w:lang w:eastAsia="en-GB"/>
              </w:rPr>
            </w:pPr>
          </w:p>
        </w:tc>
      </w:tr>
    </w:tbl>
    <w:p w14:paraId="0761FE99" w14:textId="77777777" w:rsidR="00D96082" w:rsidRDefault="00D96082" w:rsidP="00EB53E2"/>
    <w:p w14:paraId="27E91C21" w14:textId="062AF797" w:rsidR="00D96082" w:rsidRDefault="00BF40E4" w:rsidP="00BF40E4">
      <w:pPr>
        <w:pStyle w:val="Heading1"/>
        <w:spacing w:line="240" w:lineRule="auto"/>
      </w:pPr>
      <w:r>
        <w:lastRenderedPageBreak/>
        <w:t xml:space="preserve">Table 3: what this means for practice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44"/>
        <w:gridCol w:w="2217"/>
        <w:gridCol w:w="4597"/>
        <w:gridCol w:w="4067"/>
      </w:tblGrid>
      <w:tr w:rsidR="006062B8" w14:paraId="183411DA" w14:textId="77777777" w:rsidTr="1948D9BA">
        <w:tc>
          <w:tcPr>
            <w:tcW w:w="1323" w:type="dxa"/>
            <w:shd w:val="clear" w:color="auto" w:fill="D9D9D9" w:themeFill="background1" w:themeFillShade="D9"/>
          </w:tcPr>
          <w:p w14:paraId="1C81038D" w14:textId="1D5646DC" w:rsidR="006062B8" w:rsidRPr="00BF7220" w:rsidRDefault="006062B8" w:rsidP="00BF7220">
            <w:pPr>
              <w:pStyle w:val="Paragraph"/>
              <w:spacing w:line="240" w:lineRule="auto"/>
              <w:rPr>
                <w:lang w:eastAsia="en-GB"/>
              </w:rPr>
            </w:pPr>
            <w:r w:rsidRPr="00BF7220">
              <w:rPr>
                <w:b/>
                <w:bCs/>
                <w:lang w:eastAsia="en-GB"/>
              </w:rPr>
              <w:t>Comment no.</w:t>
            </w:r>
          </w:p>
        </w:tc>
        <w:tc>
          <w:tcPr>
            <w:tcW w:w="1757" w:type="dxa"/>
            <w:shd w:val="clear" w:color="auto" w:fill="D9D9D9" w:themeFill="background1" w:themeFillShade="D9"/>
          </w:tcPr>
          <w:p w14:paraId="1C71E6D5" w14:textId="11E9179A" w:rsidR="006062B8" w:rsidRPr="00BF7220" w:rsidRDefault="006062B8" w:rsidP="00BF7220">
            <w:pPr>
              <w:pStyle w:val="Paragraph"/>
              <w:spacing w:line="240" w:lineRule="auto"/>
              <w:rPr>
                <w:rFonts w:cs="Arial"/>
                <w:color w:val="000000"/>
              </w:rPr>
            </w:pPr>
            <w:r w:rsidRPr="00BF7220">
              <w:rPr>
                <w:b/>
                <w:bCs/>
                <w:lang w:eastAsia="en-GB"/>
              </w:rPr>
              <w:t>Consultee</w:t>
            </w:r>
          </w:p>
        </w:tc>
        <w:tc>
          <w:tcPr>
            <w:tcW w:w="2051" w:type="dxa"/>
            <w:shd w:val="clear" w:color="auto" w:fill="D9D9D9" w:themeFill="background1" w:themeFillShade="D9"/>
          </w:tcPr>
          <w:p w14:paraId="58B12C1B" w14:textId="363B32D5" w:rsidR="006062B8" w:rsidRPr="00BF7220" w:rsidRDefault="006062B8" w:rsidP="00BF7220">
            <w:pPr>
              <w:pStyle w:val="Paragraph"/>
              <w:spacing w:line="240" w:lineRule="auto"/>
              <w:rPr>
                <w:rFonts w:cs="Arial"/>
                <w:color w:val="000000"/>
              </w:rPr>
            </w:pPr>
            <w:r w:rsidRPr="00BF7220">
              <w:rPr>
                <w:b/>
                <w:bCs/>
                <w:lang w:eastAsia="en-GB"/>
              </w:rPr>
              <w:t>Section no.</w:t>
            </w:r>
          </w:p>
        </w:tc>
        <w:tc>
          <w:tcPr>
            <w:tcW w:w="4682" w:type="dxa"/>
            <w:shd w:val="clear" w:color="auto" w:fill="D9D9D9" w:themeFill="background1" w:themeFillShade="D9"/>
          </w:tcPr>
          <w:p w14:paraId="1FF5E087" w14:textId="1819DE96" w:rsidR="006062B8" w:rsidRPr="00BF7220" w:rsidRDefault="006062B8" w:rsidP="00BF7220">
            <w:pPr>
              <w:pStyle w:val="Paragraph"/>
              <w:spacing w:line="240" w:lineRule="auto"/>
              <w:rPr>
                <w:rFonts w:cs="Arial"/>
                <w:color w:val="000000"/>
              </w:rPr>
            </w:pPr>
            <w:r w:rsidRPr="00BF7220">
              <w:rPr>
                <w:b/>
                <w:bCs/>
                <w:lang w:eastAsia="en-GB"/>
              </w:rPr>
              <w:t>Comment</w:t>
            </w:r>
          </w:p>
        </w:tc>
        <w:tc>
          <w:tcPr>
            <w:tcW w:w="4135" w:type="dxa"/>
            <w:shd w:val="clear" w:color="auto" w:fill="D9D9D9" w:themeFill="background1" w:themeFillShade="D9"/>
          </w:tcPr>
          <w:p w14:paraId="36B350EB" w14:textId="337CE5BA" w:rsidR="006062B8" w:rsidRPr="00BF7220" w:rsidRDefault="006062B8" w:rsidP="00BF7220">
            <w:pPr>
              <w:pStyle w:val="Paragraph"/>
              <w:spacing w:line="240" w:lineRule="auto"/>
              <w:rPr>
                <w:lang w:eastAsia="en-GB"/>
              </w:rPr>
            </w:pPr>
            <w:r w:rsidRPr="00BF7220">
              <w:rPr>
                <w:b/>
                <w:bCs/>
                <w:lang w:eastAsia="en-GB"/>
              </w:rPr>
              <w:t>Response</w:t>
            </w:r>
          </w:p>
        </w:tc>
      </w:tr>
      <w:tr w:rsidR="00432E35" w14:paraId="1BB9014F" w14:textId="77777777" w:rsidTr="1948D9BA">
        <w:tc>
          <w:tcPr>
            <w:tcW w:w="1323" w:type="dxa"/>
          </w:tcPr>
          <w:p w14:paraId="52C6D7F5"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3157A6FA" w14:textId="6985EFAE" w:rsidR="00432E35" w:rsidRPr="00BF7220" w:rsidRDefault="00432E35" w:rsidP="00BF7220">
            <w:pPr>
              <w:pStyle w:val="Paragraph"/>
              <w:spacing w:line="240" w:lineRule="auto"/>
              <w:rPr>
                <w:lang w:eastAsia="en-GB"/>
              </w:rPr>
            </w:pPr>
            <w:r w:rsidRPr="00BF7220">
              <w:rPr>
                <w:rFonts w:cs="Arial"/>
                <w:color w:val="000000"/>
              </w:rPr>
              <w:t>Consultee 3</w:t>
            </w:r>
            <w:r w:rsidRPr="00BF7220">
              <w:rPr>
                <w:rFonts w:cs="Arial"/>
                <w:color w:val="000000"/>
              </w:rPr>
              <w:br/>
              <w:t>Individual</w:t>
            </w:r>
          </w:p>
        </w:tc>
        <w:tc>
          <w:tcPr>
            <w:tcW w:w="2051" w:type="dxa"/>
            <w:shd w:val="clear" w:color="auto" w:fill="auto"/>
          </w:tcPr>
          <w:p w14:paraId="0AAD8E8E" w14:textId="5248CEFD"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3F4286DF" w14:textId="4E399E9E" w:rsidR="00432E35" w:rsidRPr="00BF7220" w:rsidRDefault="00432E35" w:rsidP="00BF7220">
            <w:pPr>
              <w:pStyle w:val="Paragraph"/>
              <w:spacing w:line="240" w:lineRule="auto"/>
              <w:rPr>
                <w:lang w:eastAsia="en-GB"/>
              </w:rPr>
            </w:pPr>
            <w:r w:rsidRPr="00BF7220">
              <w:rPr>
                <w:rFonts w:cs="Arial"/>
                <w:color w:val="000000"/>
              </w:rPr>
              <w:t>As described above, patients with an infected wound are at high risk of progression.  These risks and red flags should be explained to the patient.</w:t>
            </w:r>
          </w:p>
        </w:tc>
        <w:tc>
          <w:tcPr>
            <w:tcW w:w="4135" w:type="dxa"/>
          </w:tcPr>
          <w:p w14:paraId="763CF612" w14:textId="7C20C2D0" w:rsidR="00432E35" w:rsidRPr="00BF7220" w:rsidRDefault="3AF89F68" w:rsidP="00BF7220">
            <w:pPr>
              <w:pStyle w:val="Paragraph"/>
              <w:spacing w:line="240" w:lineRule="auto"/>
              <w:rPr>
                <w:lang w:eastAsia="en-GB"/>
              </w:rPr>
            </w:pPr>
            <w:r w:rsidRPr="1948D9BA">
              <w:rPr>
                <w:lang w:eastAsia="en-GB"/>
              </w:rPr>
              <w:t xml:space="preserve">Thank you for your comment. This guidance is not </w:t>
            </w:r>
            <w:r w:rsidRPr="00845D9F">
              <w:rPr>
                <w:lang w:eastAsia="en-GB"/>
              </w:rPr>
              <w:t>a</w:t>
            </w:r>
            <w:r w:rsidR="337BD296" w:rsidRPr="00845D9F">
              <w:rPr>
                <w:lang w:eastAsia="en-GB"/>
              </w:rPr>
              <w:t xml:space="preserve"> clinical</w:t>
            </w:r>
            <w:r w:rsidRPr="00845D9F">
              <w:rPr>
                <w:lang w:eastAsia="en-GB"/>
              </w:rPr>
              <w:t xml:space="preserve"> guideline</w:t>
            </w:r>
            <w:r w:rsidR="337BD296" w:rsidRPr="1948D9BA">
              <w:rPr>
                <w:lang w:eastAsia="en-GB"/>
              </w:rPr>
              <w:t>. This type of d</w:t>
            </w:r>
            <w:r w:rsidR="132BF41E" w:rsidRPr="1948D9BA">
              <w:rPr>
                <w:lang w:eastAsia="en-GB"/>
              </w:rPr>
              <w:t xml:space="preserve">irection to healthcare professionals is beyond the remit of this late-stage assessment. </w:t>
            </w:r>
          </w:p>
        </w:tc>
      </w:tr>
      <w:tr w:rsidR="00432E35" w14:paraId="16EF6DA2" w14:textId="77777777" w:rsidTr="1948D9BA">
        <w:tc>
          <w:tcPr>
            <w:tcW w:w="1323" w:type="dxa"/>
          </w:tcPr>
          <w:p w14:paraId="2373F56A"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329AA273" w14:textId="13870405" w:rsidR="00432E35" w:rsidRPr="00BF7220" w:rsidRDefault="00432E35" w:rsidP="00BF7220">
            <w:pPr>
              <w:pStyle w:val="Paragraph"/>
              <w:spacing w:line="240" w:lineRule="auto"/>
              <w:rPr>
                <w:lang w:eastAsia="en-GB"/>
              </w:rPr>
            </w:pPr>
            <w:r w:rsidRPr="00BF7220">
              <w:rPr>
                <w:rFonts w:cs="Arial"/>
                <w:color w:val="000000"/>
              </w:rPr>
              <w:t>Consultee 3</w:t>
            </w:r>
            <w:r w:rsidRPr="00BF7220">
              <w:rPr>
                <w:rFonts w:cs="Arial"/>
                <w:color w:val="000000"/>
              </w:rPr>
              <w:br/>
              <w:t>Individual</w:t>
            </w:r>
          </w:p>
        </w:tc>
        <w:tc>
          <w:tcPr>
            <w:tcW w:w="2051" w:type="dxa"/>
            <w:shd w:val="clear" w:color="auto" w:fill="auto"/>
          </w:tcPr>
          <w:p w14:paraId="7156DF6E" w14:textId="3DB1E784"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2CC66E02" w14:textId="6D0B9987" w:rsidR="00432E35" w:rsidRPr="00BF7220" w:rsidRDefault="00432E35" w:rsidP="00BF7220">
            <w:pPr>
              <w:pStyle w:val="Paragraph"/>
              <w:spacing w:line="240" w:lineRule="auto"/>
              <w:rPr>
                <w:lang w:eastAsia="en-GB"/>
              </w:rPr>
            </w:pPr>
            <w:r w:rsidRPr="00BF7220">
              <w:rPr>
                <w:rFonts w:cs="Arial"/>
                <w:color w:val="000000"/>
              </w:rPr>
              <w:t>HCPs should explain the decision making and how this is supported with evidence and a scientific rationale</w:t>
            </w:r>
          </w:p>
        </w:tc>
        <w:tc>
          <w:tcPr>
            <w:tcW w:w="4135" w:type="dxa"/>
          </w:tcPr>
          <w:p w14:paraId="5376FDB2" w14:textId="24D1BD89" w:rsidR="00432E35" w:rsidRPr="00BF7220" w:rsidRDefault="001E3D08" w:rsidP="00BF7220">
            <w:pPr>
              <w:pStyle w:val="Paragraph"/>
              <w:spacing w:line="240" w:lineRule="auto"/>
              <w:rPr>
                <w:lang w:eastAsia="en-GB"/>
              </w:rPr>
            </w:pPr>
            <w:r w:rsidRPr="00BF7220">
              <w:rPr>
                <w:lang w:eastAsia="en-GB"/>
              </w:rPr>
              <w:t xml:space="preserve">Thank you for your comment. The </w:t>
            </w:r>
            <w:r w:rsidR="00051641" w:rsidRPr="00BF7220">
              <w:rPr>
                <w:lang w:eastAsia="en-GB"/>
              </w:rPr>
              <w:t>guidance links to NICE’s page on shared decision making. This directs healthcare professionals to NICE</w:t>
            </w:r>
            <w:r w:rsidR="00510712" w:rsidRPr="00BF7220">
              <w:rPr>
                <w:lang w:eastAsia="en-GB"/>
              </w:rPr>
              <w:t xml:space="preserve"> </w:t>
            </w:r>
            <w:r w:rsidR="00051641" w:rsidRPr="00BF7220">
              <w:rPr>
                <w:lang w:eastAsia="en-GB"/>
              </w:rPr>
              <w:t>G1</w:t>
            </w:r>
            <w:r w:rsidR="0094565C" w:rsidRPr="00BF7220">
              <w:rPr>
                <w:lang w:eastAsia="en-GB"/>
              </w:rPr>
              <w:t>9</w:t>
            </w:r>
            <w:r w:rsidR="00051641" w:rsidRPr="00BF7220">
              <w:rPr>
                <w:lang w:eastAsia="en-GB"/>
              </w:rPr>
              <w:t xml:space="preserve">7 on shared decision making. </w:t>
            </w:r>
          </w:p>
        </w:tc>
      </w:tr>
      <w:tr w:rsidR="00432E35" w14:paraId="28D1B7BA" w14:textId="77777777" w:rsidTr="1948D9BA">
        <w:tc>
          <w:tcPr>
            <w:tcW w:w="1323" w:type="dxa"/>
          </w:tcPr>
          <w:p w14:paraId="7A4D9CC4"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0E83FEE5" w14:textId="710DC36E" w:rsidR="00432E35" w:rsidRPr="00BF7220" w:rsidRDefault="00432E35" w:rsidP="00BF7220">
            <w:pPr>
              <w:pStyle w:val="Paragraph"/>
              <w:spacing w:line="240" w:lineRule="auto"/>
              <w:rPr>
                <w:lang w:eastAsia="en-GB"/>
              </w:rPr>
            </w:pPr>
            <w:r w:rsidRPr="00BF7220">
              <w:rPr>
                <w:rFonts w:cs="Arial"/>
                <w:color w:val="000000"/>
              </w:rPr>
              <w:t>Consultee 4</w:t>
            </w:r>
            <w:r w:rsidRPr="00BF7220">
              <w:rPr>
                <w:rFonts w:cs="Arial"/>
                <w:color w:val="000000"/>
              </w:rPr>
              <w:br/>
              <w:t>Coloplast</w:t>
            </w:r>
          </w:p>
        </w:tc>
        <w:tc>
          <w:tcPr>
            <w:tcW w:w="2051" w:type="dxa"/>
            <w:shd w:val="clear" w:color="auto" w:fill="auto"/>
          </w:tcPr>
          <w:p w14:paraId="78D65C0C" w14:textId="380F48AD"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529635CA" w14:textId="3D63D61C" w:rsidR="00432E35" w:rsidRPr="00BF7220" w:rsidRDefault="00432E35" w:rsidP="00BF7220">
            <w:pPr>
              <w:pStyle w:val="Paragraph"/>
              <w:spacing w:line="240" w:lineRule="auto"/>
              <w:rPr>
                <w:lang w:eastAsia="en-GB"/>
              </w:rPr>
            </w:pPr>
            <w:r w:rsidRPr="00BF7220">
              <w:rPr>
                <w:rFonts w:cs="Arial"/>
                <w:color w:val="000000"/>
              </w:rPr>
              <w:t xml:space="preserve">The statement that “These recommendations are not intended to restrict choice” is not a sound basis for guidance because the recommendation in section 1.1 to use the least expensive option is very likely to be used by formulary groups and other decision makers. Decisions taken by such stakeholders would restrict the range of dressings available to meet individual patient characteristics and clinician and patient preferences, despite there being </w:t>
            </w:r>
            <w:r w:rsidRPr="00BF7220">
              <w:rPr>
                <w:rFonts w:cs="Arial"/>
                <w:color w:val="000000"/>
              </w:rPr>
              <w:lastRenderedPageBreak/>
              <w:t>no evidence to base that choice on product cost.</w:t>
            </w:r>
          </w:p>
        </w:tc>
        <w:tc>
          <w:tcPr>
            <w:tcW w:w="4135" w:type="dxa"/>
          </w:tcPr>
          <w:p w14:paraId="679A62EB" w14:textId="272EBE5B" w:rsidR="00432E35" w:rsidRPr="00BF7220" w:rsidRDefault="00E921C3" w:rsidP="00BF7220">
            <w:pPr>
              <w:pStyle w:val="Paragraph"/>
              <w:spacing w:line="240" w:lineRule="auto"/>
              <w:rPr>
                <w:lang w:eastAsia="en-GB"/>
              </w:rPr>
            </w:pPr>
            <w:r w:rsidRPr="00BF7220">
              <w:rPr>
                <w:lang w:eastAsia="en-GB"/>
              </w:rPr>
              <w:lastRenderedPageBreak/>
              <w:t xml:space="preserve">Thank you for your comment. Please see response to comment </w:t>
            </w:r>
            <w:r w:rsidR="00F56D6E" w:rsidRPr="00BF7220">
              <w:rPr>
                <w:lang w:eastAsia="en-GB"/>
              </w:rPr>
              <w:t>8.</w:t>
            </w:r>
            <w:r w:rsidR="00211171" w:rsidRPr="00BF7220">
              <w:rPr>
                <w:lang w:eastAsia="en-GB"/>
              </w:rPr>
              <w:t xml:space="preserve"> </w:t>
            </w:r>
          </w:p>
        </w:tc>
      </w:tr>
      <w:tr w:rsidR="00432E35" w14:paraId="48FFFA50" w14:textId="77777777" w:rsidTr="1948D9BA">
        <w:tc>
          <w:tcPr>
            <w:tcW w:w="1323" w:type="dxa"/>
          </w:tcPr>
          <w:p w14:paraId="108212B2"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6913EC03" w14:textId="3A19D207"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3C521584" w14:textId="0B9B38ED" w:rsidR="00432E35" w:rsidRPr="00BF7220" w:rsidRDefault="00432E35" w:rsidP="00BF7220">
            <w:pPr>
              <w:pStyle w:val="Paragraph"/>
              <w:spacing w:line="240" w:lineRule="auto"/>
              <w:rPr>
                <w:lang w:eastAsia="en-GB"/>
              </w:rPr>
            </w:pPr>
            <w:r w:rsidRPr="00BF7220">
              <w:rPr>
                <w:rFonts w:cs="Arial"/>
                <w:color w:val="000000"/>
              </w:rPr>
              <w:t>1.3 1 Recommendations</w:t>
            </w:r>
          </w:p>
        </w:tc>
        <w:tc>
          <w:tcPr>
            <w:tcW w:w="4682" w:type="dxa"/>
            <w:shd w:val="clear" w:color="auto" w:fill="auto"/>
          </w:tcPr>
          <w:p w14:paraId="34104E68" w14:textId="5CE3A287" w:rsidR="00432E35" w:rsidRPr="00BF7220" w:rsidRDefault="00432E35" w:rsidP="00BF7220">
            <w:pPr>
              <w:pStyle w:val="Paragraph"/>
              <w:spacing w:line="240" w:lineRule="auto"/>
              <w:rPr>
                <w:lang w:eastAsia="en-GB"/>
              </w:rPr>
            </w:pPr>
            <w:r w:rsidRPr="00BF7220">
              <w:rPr>
                <w:rFonts w:cs="Arial"/>
                <w:color w:val="000000"/>
              </w:rPr>
              <w:t>This section should include consideration for the efficacy of individual products. Whilst the EAG could not distinguish between disaggregated features and active agents of AMDs, that does not mean there are no differences between individual AMDs.</w:t>
            </w:r>
            <w:r w:rsidRPr="00BF7220">
              <w:rPr>
                <w:rFonts w:cs="Arial"/>
                <w:color w:val="000000"/>
              </w:rPr>
              <w:br/>
            </w:r>
            <w:r w:rsidRPr="00BF7220">
              <w:rPr>
                <w:rFonts w:cs="Arial"/>
                <w:color w:val="000000"/>
              </w:rPr>
              <w:br/>
              <w:t>The physical properties of the dressing, specific sub-agents and individual formulations will have an effect on the healing rate of individual dressings.</w:t>
            </w:r>
            <w:r w:rsidRPr="00BF7220">
              <w:rPr>
                <w:rFonts w:cs="Arial"/>
                <w:color w:val="000000"/>
              </w:rPr>
              <w:br/>
            </w:r>
            <w:r w:rsidRPr="00BF7220">
              <w:rPr>
                <w:rFonts w:cs="Arial"/>
                <w:color w:val="000000"/>
              </w:rPr>
              <w:br/>
              <w:t>HCPs should consider the evidence and efficacy of individual dressings when making their selection.</w:t>
            </w:r>
          </w:p>
        </w:tc>
        <w:tc>
          <w:tcPr>
            <w:tcW w:w="4135" w:type="dxa"/>
            <w:shd w:val="clear" w:color="auto" w:fill="auto"/>
          </w:tcPr>
          <w:p w14:paraId="709CC35F" w14:textId="72D915E3" w:rsidR="00432E35" w:rsidRPr="00BF7220" w:rsidRDefault="003B3C65" w:rsidP="00BF7220">
            <w:pPr>
              <w:pStyle w:val="Paragraph"/>
              <w:spacing w:line="240" w:lineRule="auto"/>
              <w:rPr>
                <w:lang w:eastAsia="en-GB"/>
              </w:rPr>
            </w:pPr>
            <w:r w:rsidRPr="00BF7220">
              <w:rPr>
                <w:lang w:eastAsia="en-GB"/>
              </w:rPr>
              <w:t xml:space="preserve">Thank you for your comment. lease see response to comment </w:t>
            </w:r>
            <w:r w:rsidR="001650AD" w:rsidRPr="00BF7220">
              <w:rPr>
                <w:lang w:eastAsia="en-GB"/>
              </w:rPr>
              <w:t>3.</w:t>
            </w:r>
          </w:p>
        </w:tc>
      </w:tr>
      <w:tr w:rsidR="00432E35" w14:paraId="60B89AA5" w14:textId="77777777" w:rsidTr="1948D9BA">
        <w:tc>
          <w:tcPr>
            <w:tcW w:w="1323" w:type="dxa"/>
          </w:tcPr>
          <w:p w14:paraId="1F32B0FF"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76BCE99F" w14:textId="23DF0B5B"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485B6170" w14:textId="3EC374A1"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74B5D615" w14:textId="6B5E24C5" w:rsidR="00432E35" w:rsidRPr="00BF7220" w:rsidRDefault="00432E35" w:rsidP="00BF7220">
            <w:pPr>
              <w:pStyle w:val="Paragraph"/>
              <w:spacing w:line="240" w:lineRule="auto"/>
              <w:rPr>
                <w:lang w:eastAsia="en-GB"/>
              </w:rPr>
            </w:pPr>
            <w:r w:rsidRPr="00BF7220">
              <w:rPr>
                <w:rFonts w:cs="Arial"/>
                <w:color w:val="000000"/>
              </w:rPr>
              <w:t xml:space="preserve">Information on the cost of dressings should be available to healthcare professionals so that they can decide, using the factors listed in recommendation 1.3, which of the clinically appropriate options is the least expensive. When presenting such information it needs to reflect </w:t>
            </w:r>
            <w:proofErr w:type="gramStart"/>
            <w:r w:rsidRPr="00BF7220">
              <w:rPr>
                <w:rFonts w:cs="Arial"/>
                <w:color w:val="000000"/>
              </w:rPr>
              <w:t>value based</w:t>
            </w:r>
            <w:proofErr w:type="gramEnd"/>
            <w:r w:rsidRPr="00BF7220">
              <w:rPr>
                <w:rFonts w:cs="Arial"/>
                <w:color w:val="000000"/>
              </w:rPr>
              <w:t xml:space="preserve"> procurement principles, therefore not simply unit cost per dressing but </w:t>
            </w:r>
            <w:r w:rsidRPr="00BF7220">
              <w:rPr>
                <w:rFonts w:cs="Arial"/>
                <w:color w:val="000000"/>
              </w:rPr>
              <w:lastRenderedPageBreak/>
              <w:t>factors that reflect cost in use such as indicated wear time and frequency of dressing change to accommodate exude management etc.</w:t>
            </w:r>
          </w:p>
        </w:tc>
        <w:tc>
          <w:tcPr>
            <w:tcW w:w="4135" w:type="dxa"/>
          </w:tcPr>
          <w:p w14:paraId="41349120" w14:textId="62D25A15" w:rsidR="00E142DA" w:rsidRPr="00BF7220" w:rsidRDefault="00F54F66" w:rsidP="00BF7220">
            <w:pPr>
              <w:pStyle w:val="Paragraph"/>
              <w:spacing w:line="240" w:lineRule="auto"/>
              <w:rPr>
                <w:lang w:eastAsia="en-GB"/>
              </w:rPr>
            </w:pPr>
            <w:r w:rsidRPr="00BF7220">
              <w:rPr>
                <w:lang w:eastAsia="en-GB"/>
              </w:rPr>
              <w:lastRenderedPageBreak/>
              <w:t xml:space="preserve">Thank you for your comment. </w:t>
            </w:r>
            <w:r w:rsidR="003B17C0" w:rsidRPr="00BF7220">
              <w:rPr>
                <w:lang w:eastAsia="en-GB"/>
              </w:rPr>
              <w:t xml:space="preserve">On the point of </w:t>
            </w:r>
            <w:proofErr w:type="gramStart"/>
            <w:r w:rsidR="003B17C0" w:rsidRPr="00BF7220">
              <w:rPr>
                <w:lang w:eastAsia="en-GB"/>
              </w:rPr>
              <w:t>value based</w:t>
            </w:r>
            <w:proofErr w:type="gramEnd"/>
            <w:r w:rsidR="003B17C0" w:rsidRPr="00BF7220">
              <w:rPr>
                <w:lang w:eastAsia="en-GB"/>
              </w:rPr>
              <w:t xml:space="preserve"> procurement please</w:t>
            </w:r>
            <w:r w:rsidR="00E142DA" w:rsidRPr="00BF7220">
              <w:rPr>
                <w:lang w:eastAsia="en-GB"/>
              </w:rPr>
              <w:t xml:space="preserve"> see response to comment </w:t>
            </w:r>
            <w:r w:rsidR="003B17C0" w:rsidRPr="00BF7220">
              <w:rPr>
                <w:lang w:eastAsia="en-GB"/>
              </w:rPr>
              <w:t xml:space="preserve">22. </w:t>
            </w:r>
          </w:p>
          <w:p w14:paraId="7EE2E002" w14:textId="7E95A904" w:rsidR="00294A3A" w:rsidRPr="00BF7220" w:rsidRDefault="00BC0317" w:rsidP="00BF7220">
            <w:pPr>
              <w:pStyle w:val="Paragraph"/>
              <w:spacing w:line="240" w:lineRule="auto"/>
              <w:rPr>
                <w:lang w:eastAsia="en-GB"/>
              </w:rPr>
            </w:pPr>
            <w:r w:rsidRPr="00BF7220">
              <w:rPr>
                <w:lang w:eastAsia="en-GB"/>
              </w:rPr>
              <w:t xml:space="preserve">In response to the </w:t>
            </w:r>
            <w:r w:rsidR="00B406D3">
              <w:rPr>
                <w:lang w:eastAsia="en-GB"/>
              </w:rPr>
              <w:t xml:space="preserve">point on </w:t>
            </w:r>
            <w:r w:rsidRPr="00BF7220">
              <w:rPr>
                <w:lang w:eastAsia="en-GB"/>
              </w:rPr>
              <w:t xml:space="preserve">wear time and frequency of dressing changes. This is already a </w:t>
            </w:r>
            <w:r w:rsidRPr="00BF7220">
              <w:rPr>
                <w:lang w:eastAsia="en-GB"/>
              </w:rPr>
              <w:lastRenderedPageBreak/>
              <w:t xml:space="preserve">consideration in recommendation 1.4. </w:t>
            </w:r>
          </w:p>
        </w:tc>
      </w:tr>
      <w:tr w:rsidR="00432E35" w14:paraId="22A268C9" w14:textId="77777777" w:rsidTr="1948D9BA">
        <w:tc>
          <w:tcPr>
            <w:tcW w:w="1323" w:type="dxa"/>
          </w:tcPr>
          <w:p w14:paraId="251197C4"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2EF7FC4B" w14:textId="15B58311"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7A9684A9" w14:textId="6F71F36C"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7B6C492B" w14:textId="019464AF" w:rsidR="00432E35" w:rsidRPr="00BF7220" w:rsidRDefault="00432E35" w:rsidP="00BF7220">
            <w:pPr>
              <w:pStyle w:val="Paragraph"/>
              <w:spacing w:line="240" w:lineRule="auto"/>
              <w:rPr>
                <w:lang w:eastAsia="en-GB"/>
              </w:rPr>
            </w:pPr>
            <w:r w:rsidRPr="00BF7220">
              <w:rPr>
                <w:rFonts w:cs="Arial"/>
                <w:color w:val="000000"/>
              </w:rPr>
              <w:t>Information on the frequency of dressing changes and the associated healthcare costs should also be made available.</w:t>
            </w:r>
            <w:r w:rsidRPr="00BF7220">
              <w:rPr>
                <w:rFonts w:cs="Arial"/>
                <w:color w:val="000000"/>
              </w:rPr>
              <w:br/>
            </w:r>
            <w:r w:rsidRPr="00BF7220">
              <w:rPr>
                <w:rFonts w:cs="Arial"/>
                <w:color w:val="000000"/>
              </w:rPr>
              <w:br/>
              <w:t>Dressing changes are frequently performed by healthcare professionals, therefore selecting a dressing which requires more frequent dressing changes per week will incur greater healthcare costs. For example, iodine requires 4.17 dressing changes per week at a weighted avg. cost of £1.45. This gives a weighted average cost per week of the dressing to be £6.04. But if these dressing changes are performed by a district nurse (£55.80 per visit), the weekly cost in use is £238.73 = £6.04 (cost of the dressing) + £232.69 (cost of dressing changes; 4.17 * £55.80) Conversely, silver dressings require only 1.49 dressing changes per week. Silver dressings have a higher weighted average cost for the dressing (£11.21), but a lower cost of dressing changes (£83.14).</w:t>
            </w:r>
            <w:r w:rsidRPr="00BF7220">
              <w:rPr>
                <w:rFonts w:cs="Arial"/>
                <w:color w:val="000000"/>
              </w:rPr>
              <w:br/>
            </w:r>
            <w:r w:rsidRPr="00BF7220">
              <w:rPr>
                <w:rFonts w:cs="Arial"/>
                <w:color w:val="000000"/>
              </w:rPr>
              <w:lastRenderedPageBreak/>
              <w:br/>
              <w:t>Weekly cost in use for iodine = £238.73</w:t>
            </w:r>
            <w:r w:rsidRPr="00BF7220">
              <w:rPr>
                <w:rFonts w:cs="Arial"/>
                <w:color w:val="000000"/>
              </w:rPr>
              <w:br/>
              <w:t>Weekly cost in use for silver = £94.35</w:t>
            </w:r>
            <w:r w:rsidRPr="00BF7220">
              <w:rPr>
                <w:rFonts w:cs="Arial"/>
                <w:color w:val="000000"/>
              </w:rPr>
              <w:br/>
            </w:r>
            <w:r w:rsidRPr="00BF7220">
              <w:rPr>
                <w:rFonts w:cs="Arial"/>
                <w:color w:val="000000"/>
              </w:rPr>
              <w:br/>
              <w:t xml:space="preserve">This information is critical to aid clinical decision making. </w:t>
            </w:r>
            <w:proofErr w:type="gramStart"/>
            <w:r w:rsidRPr="00BF7220">
              <w:rPr>
                <w:rFonts w:cs="Arial"/>
                <w:color w:val="000000"/>
              </w:rPr>
              <w:t>Otherwise</w:t>
            </w:r>
            <w:proofErr w:type="gramEnd"/>
            <w:r w:rsidRPr="00BF7220">
              <w:rPr>
                <w:rFonts w:cs="Arial"/>
                <w:color w:val="000000"/>
              </w:rPr>
              <w:t xml:space="preserve"> the EAG recommendations are likely to INCREASE the financial burden on the NHS.</w:t>
            </w:r>
          </w:p>
        </w:tc>
        <w:tc>
          <w:tcPr>
            <w:tcW w:w="4135" w:type="dxa"/>
          </w:tcPr>
          <w:p w14:paraId="043FE78B" w14:textId="2661A149" w:rsidR="00432E35" w:rsidRPr="00BF7220" w:rsidRDefault="00072CB2" w:rsidP="00BF7220">
            <w:pPr>
              <w:pStyle w:val="Paragraph"/>
              <w:tabs>
                <w:tab w:val="left" w:pos="2537"/>
              </w:tabs>
              <w:spacing w:line="240" w:lineRule="auto"/>
              <w:rPr>
                <w:lang w:eastAsia="en-GB"/>
              </w:rPr>
            </w:pPr>
            <w:r w:rsidRPr="00BF7220">
              <w:rPr>
                <w:lang w:eastAsia="en-GB"/>
              </w:rPr>
              <w:lastRenderedPageBreak/>
              <w:t xml:space="preserve">Thank you for your </w:t>
            </w:r>
            <w:r w:rsidR="005C500E" w:rsidRPr="00BF7220">
              <w:rPr>
                <w:lang w:eastAsia="en-GB"/>
              </w:rPr>
              <w:t xml:space="preserve">comment. The consideration of </w:t>
            </w:r>
            <w:r w:rsidR="006731E0" w:rsidRPr="00BF7220">
              <w:rPr>
                <w:lang w:eastAsia="en-GB"/>
              </w:rPr>
              <w:t xml:space="preserve">frequency of dressings </w:t>
            </w:r>
            <w:r w:rsidR="00FE1D92" w:rsidRPr="00BF7220">
              <w:rPr>
                <w:lang w:eastAsia="en-GB"/>
              </w:rPr>
              <w:t xml:space="preserve">and associated costs </w:t>
            </w:r>
            <w:r w:rsidR="006731E0" w:rsidRPr="00BF7220">
              <w:rPr>
                <w:lang w:eastAsia="en-GB"/>
              </w:rPr>
              <w:t>is already included in recommendation 1.</w:t>
            </w:r>
            <w:r w:rsidR="00FE1D92" w:rsidRPr="00BF7220">
              <w:rPr>
                <w:lang w:eastAsia="en-GB"/>
              </w:rPr>
              <w:t>4</w:t>
            </w:r>
            <w:r w:rsidR="006731E0" w:rsidRPr="00BF7220">
              <w:rPr>
                <w:lang w:eastAsia="en-GB"/>
              </w:rPr>
              <w:t>.</w:t>
            </w:r>
            <w:r w:rsidR="005C500E" w:rsidRPr="00BF7220">
              <w:rPr>
                <w:lang w:eastAsia="en-GB"/>
              </w:rPr>
              <w:tab/>
            </w:r>
          </w:p>
        </w:tc>
      </w:tr>
      <w:tr w:rsidR="00432E35" w14:paraId="4F717DB4" w14:textId="77777777" w:rsidTr="1948D9BA">
        <w:tc>
          <w:tcPr>
            <w:tcW w:w="1323" w:type="dxa"/>
          </w:tcPr>
          <w:p w14:paraId="4B9A9DB8"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05A16640" w14:textId="34E73729"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1BDC66E4" w14:textId="253BF278"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7163F0CC" w14:textId="07D1AB05" w:rsidR="00432E35" w:rsidRPr="00BF7220" w:rsidRDefault="00432E35" w:rsidP="00BF7220">
            <w:pPr>
              <w:pStyle w:val="Paragraph"/>
              <w:spacing w:line="240" w:lineRule="auto"/>
              <w:rPr>
                <w:lang w:eastAsia="en-GB"/>
              </w:rPr>
            </w:pPr>
            <w:r w:rsidRPr="00BF7220">
              <w:rPr>
                <w:rFonts w:cs="Arial"/>
                <w:color w:val="000000"/>
              </w:rPr>
              <w:t>Information on the cost of dressings should be available to healthcare professionals so that they can decide, using the factors listed in recommendation 1.3, which of the clinically appropriate options is the least expensive. This recommendation should include consideration for the efficacy of individual products. Whilst the EAG could not distinguish between disaggregated features and active agents of AMDs, that does not mean there are no differences between individual AMDs.</w:t>
            </w:r>
            <w:r w:rsidRPr="00BF7220">
              <w:rPr>
                <w:rFonts w:cs="Arial"/>
                <w:color w:val="000000"/>
              </w:rPr>
              <w:br/>
            </w:r>
            <w:r w:rsidRPr="00BF7220">
              <w:rPr>
                <w:rFonts w:cs="Arial"/>
                <w:color w:val="000000"/>
              </w:rPr>
              <w:br/>
              <w:t>The physical properties of the dressing, specific sub-agents and individual formulations will have an effect on the healing rate of individual dressings.</w:t>
            </w:r>
            <w:r w:rsidRPr="00BF7220">
              <w:rPr>
                <w:rFonts w:cs="Arial"/>
                <w:color w:val="000000"/>
              </w:rPr>
              <w:br/>
            </w:r>
            <w:r w:rsidRPr="00BF7220">
              <w:rPr>
                <w:rFonts w:cs="Arial"/>
                <w:color w:val="000000"/>
              </w:rPr>
              <w:br/>
            </w:r>
            <w:r w:rsidRPr="00BF7220">
              <w:rPr>
                <w:rFonts w:cs="Arial"/>
                <w:color w:val="000000"/>
              </w:rPr>
              <w:lastRenderedPageBreak/>
              <w:t>HCPs should consider the evidence and efficacy of individual dressings when making their selection.</w:t>
            </w:r>
          </w:p>
        </w:tc>
        <w:tc>
          <w:tcPr>
            <w:tcW w:w="4135" w:type="dxa"/>
          </w:tcPr>
          <w:p w14:paraId="2219B640" w14:textId="26F4A77C" w:rsidR="00432E35" w:rsidRPr="00BF7220" w:rsidRDefault="0079320A" w:rsidP="00BF7220">
            <w:pPr>
              <w:pStyle w:val="Paragraph"/>
              <w:spacing w:line="240" w:lineRule="auto"/>
              <w:rPr>
                <w:lang w:eastAsia="en-GB"/>
              </w:rPr>
            </w:pPr>
            <w:r w:rsidRPr="00BF7220">
              <w:rPr>
                <w:lang w:eastAsia="en-GB"/>
              </w:rPr>
              <w:lastRenderedPageBreak/>
              <w:t xml:space="preserve">Thank you for your comment. Please see response to comment </w:t>
            </w:r>
            <w:r w:rsidR="006A722E" w:rsidRPr="00BF7220">
              <w:rPr>
                <w:lang w:eastAsia="en-GB"/>
              </w:rPr>
              <w:t>3.</w:t>
            </w:r>
          </w:p>
        </w:tc>
      </w:tr>
      <w:tr w:rsidR="00432E35" w14:paraId="52518DA8" w14:textId="77777777" w:rsidTr="1948D9BA">
        <w:tc>
          <w:tcPr>
            <w:tcW w:w="1323" w:type="dxa"/>
          </w:tcPr>
          <w:p w14:paraId="4FF05508"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51FAEA4C" w14:textId="119A8A3E"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21FB5002" w14:textId="70B616D1" w:rsidR="00432E35" w:rsidRPr="00BF7220" w:rsidRDefault="00432E35" w:rsidP="00BF7220">
            <w:pPr>
              <w:pStyle w:val="Paragraph"/>
              <w:spacing w:line="240" w:lineRule="auto"/>
              <w:rPr>
                <w:lang w:eastAsia="en-GB"/>
              </w:rPr>
            </w:pPr>
            <w:r w:rsidRPr="00BF7220">
              <w:rPr>
                <w:rFonts w:cs="Arial"/>
                <w:color w:val="000000"/>
              </w:rPr>
              <w:t>3.2 Current practice</w:t>
            </w:r>
          </w:p>
        </w:tc>
        <w:tc>
          <w:tcPr>
            <w:tcW w:w="4682" w:type="dxa"/>
            <w:shd w:val="clear" w:color="auto" w:fill="auto"/>
          </w:tcPr>
          <w:p w14:paraId="413933DE" w14:textId="14965184" w:rsidR="00432E35" w:rsidRPr="00BF7220" w:rsidRDefault="00432E35" w:rsidP="00BF7220">
            <w:pPr>
              <w:pStyle w:val="Paragraph"/>
              <w:spacing w:line="240" w:lineRule="auto"/>
              <w:rPr>
                <w:lang w:eastAsia="en-GB"/>
              </w:rPr>
            </w:pPr>
            <w:r w:rsidRPr="00BF7220">
              <w:rPr>
                <w:rFonts w:cs="Arial"/>
                <w:color w:val="000000"/>
              </w:rPr>
              <w:t>Other measures aimed at reducing the microbial burden of the wound can include using compression products and systemic antimicrobial therapy. Consideration should also be given to the use of antimicrobials to prevent or disrupt biofilm</w:t>
            </w:r>
          </w:p>
        </w:tc>
        <w:tc>
          <w:tcPr>
            <w:tcW w:w="4135" w:type="dxa"/>
          </w:tcPr>
          <w:p w14:paraId="4A87AF01" w14:textId="1F8A6588" w:rsidR="00432E35" w:rsidRPr="00BF7220" w:rsidRDefault="00524E84" w:rsidP="00BF7220">
            <w:pPr>
              <w:pStyle w:val="Paragraph"/>
              <w:spacing w:line="240" w:lineRule="auto"/>
              <w:rPr>
                <w:lang w:eastAsia="en-GB"/>
              </w:rPr>
            </w:pPr>
            <w:r w:rsidRPr="00BF7220">
              <w:rPr>
                <w:lang w:eastAsia="en-GB"/>
              </w:rPr>
              <w:t xml:space="preserve">Thank you for your comment. </w:t>
            </w:r>
            <w:r w:rsidR="004A25CF" w:rsidRPr="00BF7220">
              <w:rPr>
                <w:lang w:eastAsia="en-GB"/>
              </w:rPr>
              <w:t>The performance of dressings against biofilm</w:t>
            </w:r>
            <w:r w:rsidR="003F425B" w:rsidRPr="00BF7220">
              <w:rPr>
                <w:lang w:eastAsia="en-GB"/>
              </w:rPr>
              <w:t xml:space="preserve"> was considered during the scoping process. Performance against biofilm was </w:t>
            </w:r>
            <w:r w:rsidR="00DB4A30" w:rsidRPr="00BF7220">
              <w:rPr>
                <w:lang w:eastAsia="en-GB"/>
              </w:rPr>
              <w:t xml:space="preserve">considered not appropriate for the scope of this evaluation. </w:t>
            </w:r>
            <w:r w:rsidR="004A25CF" w:rsidRPr="00BF7220">
              <w:rPr>
                <w:lang w:eastAsia="en-GB"/>
              </w:rPr>
              <w:t xml:space="preserve"> </w:t>
            </w:r>
          </w:p>
        </w:tc>
      </w:tr>
      <w:tr w:rsidR="00432E35" w14:paraId="536BFCC4" w14:textId="77777777" w:rsidTr="1948D9BA">
        <w:tc>
          <w:tcPr>
            <w:tcW w:w="1323" w:type="dxa"/>
          </w:tcPr>
          <w:p w14:paraId="1DB44D23"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28FFE8CB" w14:textId="65C2014E" w:rsidR="00432E35" w:rsidRPr="00BF7220" w:rsidRDefault="00432E35" w:rsidP="00BF7220">
            <w:pPr>
              <w:pStyle w:val="Paragraph"/>
              <w:spacing w:line="240" w:lineRule="auto"/>
              <w:rPr>
                <w:lang w:eastAsia="en-GB"/>
              </w:rPr>
            </w:pPr>
            <w:r w:rsidRPr="00BF7220">
              <w:rPr>
                <w:rFonts w:cs="Arial"/>
                <w:color w:val="000000"/>
              </w:rPr>
              <w:t>Consultee 11</w:t>
            </w:r>
            <w:r w:rsidRPr="00BF7220">
              <w:rPr>
                <w:rFonts w:cs="Arial"/>
                <w:color w:val="000000"/>
              </w:rPr>
              <w:br/>
            </w:r>
            <w:proofErr w:type="spellStart"/>
            <w:r w:rsidRPr="00BF7220">
              <w:rPr>
                <w:rFonts w:cs="Arial"/>
                <w:color w:val="000000"/>
              </w:rPr>
              <w:t>Convatec</w:t>
            </w:r>
            <w:proofErr w:type="spellEnd"/>
          </w:p>
        </w:tc>
        <w:tc>
          <w:tcPr>
            <w:tcW w:w="2051" w:type="dxa"/>
            <w:shd w:val="clear" w:color="auto" w:fill="auto"/>
          </w:tcPr>
          <w:p w14:paraId="7C928C9C" w14:textId="5EB8EAB2" w:rsidR="00432E35" w:rsidRPr="00BF7220" w:rsidRDefault="00432E35" w:rsidP="00BF7220">
            <w:pPr>
              <w:pStyle w:val="Paragraph"/>
              <w:spacing w:line="240" w:lineRule="auto"/>
              <w:rPr>
                <w:lang w:eastAsia="en-GB"/>
              </w:rPr>
            </w:pPr>
            <w:r w:rsidRPr="00BF7220">
              <w:rPr>
                <w:rFonts w:cs="Arial"/>
                <w:color w:val="000000"/>
              </w:rPr>
              <w:t>3.12 Model inputs</w:t>
            </w:r>
          </w:p>
        </w:tc>
        <w:tc>
          <w:tcPr>
            <w:tcW w:w="4682" w:type="dxa"/>
            <w:shd w:val="clear" w:color="auto" w:fill="auto"/>
          </w:tcPr>
          <w:p w14:paraId="1D2926D9" w14:textId="771094F0" w:rsidR="00432E35" w:rsidRPr="00BF7220" w:rsidRDefault="00432E35" w:rsidP="00BF7220">
            <w:pPr>
              <w:pStyle w:val="Paragraph"/>
              <w:spacing w:line="240" w:lineRule="auto"/>
              <w:rPr>
                <w:lang w:eastAsia="en-GB"/>
              </w:rPr>
            </w:pPr>
            <w:r w:rsidRPr="00BF7220">
              <w:rPr>
                <w:rFonts w:cs="Arial"/>
                <w:color w:val="000000"/>
              </w:rPr>
              <w:t>This would help inform their decision making on which clinically appropriate dressing to use. Or steer clinicians to lowest unit cost without consideration to 'total cost in use'.</w:t>
            </w:r>
          </w:p>
        </w:tc>
        <w:tc>
          <w:tcPr>
            <w:tcW w:w="4135" w:type="dxa"/>
          </w:tcPr>
          <w:p w14:paraId="4EC41525" w14:textId="7B1F093E" w:rsidR="00432E35" w:rsidRPr="00BF7220" w:rsidRDefault="00EC1CA3" w:rsidP="00BF7220">
            <w:pPr>
              <w:pStyle w:val="Paragraph"/>
              <w:spacing w:line="240" w:lineRule="auto"/>
              <w:rPr>
                <w:lang w:eastAsia="en-GB"/>
              </w:rPr>
            </w:pPr>
            <w:r w:rsidRPr="00BF7220">
              <w:rPr>
                <w:lang w:eastAsia="en-GB"/>
              </w:rPr>
              <w:t>Thank you for your comment. Recommendation 1.</w:t>
            </w:r>
            <w:r w:rsidR="007C32AC" w:rsidRPr="00BF7220">
              <w:rPr>
                <w:lang w:eastAsia="en-GB"/>
              </w:rPr>
              <w:t>4</w:t>
            </w:r>
            <w:r w:rsidRPr="00BF7220">
              <w:rPr>
                <w:lang w:eastAsia="en-GB"/>
              </w:rPr>
              <w:t xml:space="preserve"> gives considerations for deciding the least expensive option. The unit cost of dressing is just one part of this process. </w:t>
            </w:r>
          </w:p>
        </w:tc>
      </w:tr>
      <w:tr w:rsidR="00432E35" w14:paraId="1F75DBF6" w14:textId="77777777" w:rsidTr="1948D9BA">
        <w:tc>
          <w:tcPr>
            <w:tcW w:w="1323" w:type="dxa"/>
          </w:tcPr>
          <w:p w14:paraId="70CCBA40"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79121B4A" w14:textId="522EB911" w:rsidR="00432E35" w:rsidRPr="00BF7220" w:rsidRDefault="00432E35" w:rsidP="00BF7220">
            <w:pPr>
              <w:pStyle w:val="Paragraph"/>
              <w:spacing w:line="240" w:lineRule="auto"/>
              <w:rPr>
                <w:lang w:eastAsia="en-GB"/>
              </w:rPr>
            </w:pPr>
            <w:r w:rsidRPr="00BF7220">
              <w:rPr>
                <w:rFonts w:cs="Arial"/>
                <w:color w:val="000000"/>
              </w:rPr>
              <w:t>Consultee 14</w:t>
            </w:r>
            <w:r w:rsidRPr="00BF7220">
              <w:rPr>
                <w:rFonts w:cs="Arial"/>
                <w:color w:val="000000"/>
              </w:rPr>
              <w:br/>
              <w:t>Essity</w:t>
            </w:r>
          </w:p>
        </w:tc>
        <w:tc>
          <w:tcPr>
            <w:tcW w:w="2051" w:type="dxa"/>
            <w:shd w:val="clear" w:color="auto" w:fill="auto"/>
          </w:tcPr>
          <w:p w14:paraId="46ADD168" w14:textId="657EA102"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15474F70" w14:textId="45F3AFC7" w:rsidR="00432E35" w:rsidRPr="00BF7220" w:rsidRDefault="00432E35" w:rsidP="00BF7220">
            <w:pPr>
              <w:pStyle w:val="Paragraph"/>
              <w:spacing w:line="240" w:lineRule="auto"/>
              <w:rPr>
                <w:lang w:eastAsia="en-GB"/>
              </w:rPr>
            </w:pPr>
            <w:r w:rsidRPr="00BF7220">
              <w:rPr>
                <w:rFonts w:cs="Arial"/>
                <w:color w:val="000000"/>
              </w:rPr>
              <w:t>– This could be misleading information on review the 3.1 billion is including nursing time and other factors. Essity, feel it needs to be made clear that looking at a Value based procurement mindset looking at whole cost of treating infections should be the primary recommendation</w:t>
            </w:r>
          </w:p>
        </w:tc>
        <w:tc>
          <w:tcPr>
            <w:tcW w:w="4135" w:type="dxa"/>
          </w:tcPr>
          <w:p w14:paraId="6BBF2831" w14:textId="4EEB8AE3" w:rsidR="00432E35" w:rsidRPr="00BF7220" w:rsidRDefault="0087713C" w:rsidP="00BF7220">
            <w:pPr>
              <w:pStyle w:val="Paragraph"/>
              <w:spacing w:line="240" w:lineRule="auto"/>
              <w:rPr>
                <w:lang w:eastAsia="en-GB"/>
              </w:rPr>
            </w:pPr>
            <w:r w:rsidRPr="00BF7220">
              <w:rPr>
                <w:lang w:eastAsia="en-GB"/>
              </w:rPr>
              <w:t xml:space="preserve">Thank you for your comment. Please see response to comment 27. </w:t>
            </w:r>
          </w:p>
        </w:tc>
      </w:tr>
      <w:tr w:rsidR="00432E35" w14:paraId="712ABCBE" w14:textId="77777777" w:rsidTr="1948D9BA">
        <w:tc>
          <w:tcPr>
            <w:tcW w:w="1323" w:type="dxa"/>
          </w:tcPr>
          <w:p w14:paraId="07841F19" w14:textId="77777777" w:rsidR="00432E35" w:rsidRPr="00BF7220" w:rsidRDefault="00432E35" w:rsidP="00BF7220">
            <w:pPr>
              <w:pStyle w:val="Paragraph"/>
              <w:numPr>
                <w:ilvl w:val="0"/>
                <w:numId w:val="27"/>
              </w:numPr>
              <w:spacing w:line="240" w:lineRule="auto"/>
              <w:rPr>
                <w:lang w:eastAsia="en-GB"/>
              </w:rPr>
            </w:pPr>
          </w:p>
        </w:tc>
        <w:tc>
          <w:tcPr>
            <w:tcW w:w="1757" w:type="dxa"/>
            <w:shd w:val="clear" w:color="auto" w:fill="auto"/>
          </w:tcPr>
          <w:p w14:paraId="72A9B46E" w14:textId="30AB4E45" w:rsidR="00432E35" w:rsidRPr="00BF7220" w:rsidRDefault="00432E35" w:rsidP="00BF7220">
            <w:pPr>
              <w:pStyle w:val="Paragraph"/>
              <w:spacing w:line="240" w:lineRule="auto"/>
              <w:rPr>
                <w:lang w:eastAsia="en-GB"/>
              </w:rPr>
            </w:pPr>
            <w:r w:rsidRPr="00BF7220">
              <w:rPr>
                <w:rFonts w:cs="Arial"/>
                <w:color w:val="000000"/>
              </w:rPr>
              <w:t>Consultee 15</w:t>
            </w:r>
            <w:r w:rsidRPr="00BF7220">
              <w:rPr>
                <w:rFonts w:cs="Arial"/>
                <w:color w:val="000000"/>
              </w:rPr>
              <w:br/>
            </w:r>
            <w:proofErr w:type="spellStart"/>
            <w:r w:rsidRPr="00BF7220">
              <w:rPr>
                <w:rFonts w:cs="Arial"/>
                <w:color w:val="000000"/>
              </w:rPr>
              <w:t>T.J.Smith</w:t>
            </w:r>
            <w:proofErr w:type="spellEnd"/>
            <w:r w:rsidRPr="00BF7220">
              <w:rPr>
                <w:rFonts w:cs="Arial"/>
                <w:color w:val="000000"/>
              </w:rPr>
              <w:t xml:space="preserve"> and Nephew Ltd</w:t>
            </w:r>
          </w:p>
        </w:tc>
        <w:tc>
          <w:tcPr>
            <w:tcW w:w="2051" w:type="dxa"/>
            <w:shd w:val="clear" w:color="auto" w:fill="auto"/>
          </w:tcPr>
          <w:p w14:paraId="737BE28F" w14:textId="36E672E7" w:rsidR="00432E35" w:rsidRPr="00BF7220" w:rsidRDefault="00432E35" w:rsidP="00BF7220">
            <w:pPr>
              <w:pStyle w:val="Paragraph"/>
              <w:spacing w:line="240" w:lineRule="auto"/>
              <w:rPr>
                <w:lang w:eastAsia="en-GB"/>
              </w:rPr>
            </w:pPr>
            <w:r w:rsidRPr="00BF7220">
              <w:rPr>
                <w:rFonts w:cs="Arial"/>
                <w:color w:val="000000"/>
              </w:rPr>
              <w:t>1.3 What information is needed</w:t>
            </w:r>
          </w:p>
        </w:tc>
        <w:tc>
          <w:tcPr>
            <w:tcW w:w="4682" w:type="dxa"/>
            <w:shd w:val="clear" w:color="auto" w:fill="auto"/>
          </w:tcPr>
          <w:p w14:paraId="04164234" w14:textId="378DF0EC" w:rsidR="00B245D8" w:rsidRPr="00BF7220" w:rsidRDefault="00432E35" w:rsidP="00BF7220">
            <w:pPr>
              <w:pStyle w:val="Paragraph"/>
              <w:spacing w:line="240" w:lineRule="auto"/>
              <w:rPr>
                <w:rFonts w:cs="Arial"/>
                <w:color w:val="000000"/>
              </w:rPr>
            </w:pPr>
            <w:r w:rsidRPr="00BF7220">
              <w:rPr>
                <w:rFonts w:cs="Arial"/>
                <w:color w:val="000000"/>
              </w:rPr>
              <w:t>Considerations for procurement and wound management formulary groups.</w:t>
            </w:r>
            <w:r w:rsidRPr="00BF7220">
              <w:rPr>
                <w:rFonts w:cs="Arial"/>
                <w:color w:val="000000"/>
              </w:rPr>
              <w:br/>
              <w:t>We suggest that consideration be made that procurers and formularies should work with clinicians to identify appropriate products which meet the clinical and patient needs that deliver best value and not simply recommend buying the least expensive product.</w:t>
            </w:r>
          </w:p>
          <w:p w14:paraId="72AF78DD" w14:textId="01DC863B" w:rsidR="00432E35" w:rsidRPr="00BF7220" w:rsidRDefault="00432E35" w:rsidP="00BF7220">
            <w:pPr>
              <w:pStyle w:val="Paragraph"/>
              <w:spacing w:line="240" w:lineRule="auto"/>
              <w:rPr>
                <w:lang w:eastAsia="en-GB"/>
              </w:rPr>
            </w:pPr>
            <w:r w:rsidRPr="00BF7220">
              <w:rPr>
                <w:rFonts w:cs="Arial"/>
                <w:color w:val="000000"/>
              </w:rPr>
              <w:t xml:space="preserve">Considerations for people with infected leg ulcers: Add </w:t>
            </w:r>
            <w:proofErr w:type="gramStart"/>
            <w:r w:rsidRPr="00BF7220">
              <w:rPr>
                <w:rFonts w:cs="Arial"/>
                <w:color w:val="000000"/>
              </w:rPr>
              <w:t>“..</w:t>
            </w:r>
            <w:proofErr w:type="gramEnd"/>
            <w:r w:rsidRPr="00BF7220">
              <w:rPr>
                <w:rFonts w:cs="Arial"/>
                <w:color w:val="000000"/>
              </w:rPr>
              <w:t>to explain decision making and scientific and clinical rationale for the choice”</w:t>
            </w:r>
            <w:r w:rsidRPr="00BF7220">
              <w:rPr>
                <w:rFonts w:cs="Arial"/>
                <w:color w:val="000000"/>
              </w:rPr>
              <w:br/>
              <w:t xml:space="preserve">Considerations for people with infected leg ulcers: </w:t>
            </w:r>
            <w:proofErr w:type="gramStart"/>
            <w:r w:rsidRPr="00BF7220">
              <w:rPr>
                <w:rFonts w:cs="Arial"/>
                <w:color w:val="000000"/>
              </w:rPr>
              <w:t>Add  “</w:t>
            </w:r>
            <w:proofErr w:type="gramEnd"/>
            <w:r w:rsidRPr="00BF7220">
              <w:rPr>
                <w:rFonts w:cs="Arial"/>
                <w:color w:val="000000"/>
              </w:rPr>
              <w:t>They should be given information on the risks of progression of the severity of infection and red flags to on which to contact the HCP immediately.”</w:t>
            </w:r>
          </w:p>
        </w:tc>
        <w:tc>
          <w:tcPr>
            <w:tcW w:w="4135" w:type="dxa"/>
          </w:tcPr>
          <w:p w14:paraId="21379F67" w14:textId="6CCC012C" w:rsidR="00432E35" w:rsidRPr="00BF7220" w:rsidRDefault="00AD5602" w:rsidP="00BF7220">
            <w:pPr>
              <w:pStyle w:val="Paragraph"/>
              <w:spacing w:line="240" w:lineRule="auto"/>
              <w:rPr>
                <w:lang w:eastAsia="en-GB"/>
              </w:rPr>
            </w:pPr>
            <w:r w:rsidRPr="00BF7220">
              <w:rPr>
                <w:lang w:eastAsia="en-GB"/>
              </w:rPr>
              <w:t>Thank you for your comment.</w:t>
            </w:r>
            <w:r w:rsidR="00D036D2" w:rsidRPr="00BF7220">
              <w:rPr>
                <w:lang w:eastAsia="en-GB"/>
              </w:rPr>
              <w:t xml:space="preserve"> It is beyond the remit of this guidance to dictate how wound </w:t>
            </w:r>
            <w:r w:rsidR="0061396D" w:rsidRPr="00BF7220">
              <w:rPr>
                <w:lang w:eastAsia="en-GB"/>
              </w:rPr>
              <w:t xml:space="preserve">management formulary groups make up their membership. Clinical experts did inform committee however, that it is commonplace for </w:t>
            </w:r>
            <w:r w:rsidR="006E375A" w:rsidRPr="00BF7220">
              <w:rPr>
                <w:lang w:eastAsia="en-GB"/>
              </w:rPr>
              <w:t xml:space="preserve">formulary groups to have healthcare professionals in their membership and for them to consult with healthcare professionals on </w:t>
            </w:r>
            <w:r w:rsidR="00B245D8" w:rsidRPr="00BF7220">
              <w:rPr>
                <w:lang w:eastAsia="en-GB"/>
              </w:rPr>
              <w:t xml:space="preserve">choices. </w:t>
            </w:r>
          </w:p>
          <w:p w14:paraId="50BCAC4C" w14:textId="23E22FE3" w:rsidR="008F6E14" w:rsidRPr="00BF7220" w:rsidRDefault="00B245D8" w:rsidP="00BF7220">
            <w:pPr>
              <w:pStyle w:val="Paragraph"/>
              <w:spacing w:line="240" w:lineRule="auto"/>
              <w:rPr>
                <w:lang w:eastAsia="en-GB"/>
              </w:rPr>
            </w:pPr>
            <w:r w:rsidRPr="00BF7220">
              <w:rPr>
                <w:lang w:eastAsia="en-GB"/>
              </w:rPr>
              <w:t>For the second part of this point ple</w:t>
            </w:r>
            <w:r w:rsidR="008F6E14" w:rsidRPr="00BF7220">
              <w:rPr>
                <w:lang w:eastAsia="en-GB"/>
              </w:rPr>
              <w:t>ase see response</w:t>
            </w:r>
            <w:r w:rsidRPr="00BF7220">
              <w:rPr>
                <w:lang w:eastAsia="en-GB"/>
              </w:rPr>
              <w:t>s</w:t>
            </w:r>
            <w:r w:rsidR="008F6E14" w:rsidRPr="00BF7220">
              <w:rPr>
                <w:lang w:eastAsia="en-GB"/>
              </w:rPr>
              <w:t xml:space="preserve"> to comment</w:t>
            </w:r>
            <w:r w:rsidR="00CB7A31" w:rsidRPr="00BF7220">
              <w:rPr>
                <w:lang w:eastAsia="en-GB"/>
              </w:rPr>
              <w:t>s</w:t>
            </w:r>
            <w:r w:rsidR="008F6E14" w:rsidRPr="00BF7220">
              <w:rPr>
                <w:lang w:eastAsia="en-GB"/>
              </w:rPr>
              <w:t xml:space="preserve"> </w:t>
            </w:r>
            <w:r w:rsidR="00CB7A31" w:rsidRPr="00BF7220">
              <w:rPr>
                <w:lang w:eastAsia="en-GB"/>
              </w:rPr>
              <w:t xml:space="preserve">29 and </w:t>
            </w:r>
            <w:r w:rsidR="00D40581" w:rsidRPr="00BF7220">
              <w:rPr>
                <w:lang w:eastAsia="en-GB"/>
              </w:rPr>
              <w:t xml:space="preserve">30. </w:t>
            </w:r>
          </w:p>
        </w:tc>
      </w:tr>
    </w:tbl>
    <w:p w14:paraId="0B220C9E" w14:textId="77777777" w:rsidR="00432E35" w:rsidRDefault="00432E35" w:rsidP="00EB53E2"/>
    <w:p w14:paraId="23CF9C57" w14:textId="77777777" w:rsidR="003871C8" w:rsidRDefault="003871C8" w:rsidP="003871C8">
      <w:pPr>
        <w:pStyle w:val="Heading1"/>
        <w:spacing w:line="240" w:lineRule="auto"/>
      </w:pPr>
      <w:r>
        <w:t>Table 4: what information is needed</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6062B8" w14:paraId="16B93701" w14:textId="77777777" w:rsidTr="3B4A8DFD">
        <w:tc>
          <w:tcPr>
            <w:tcW w:w="1323" w:type="dxa"/>
            <w:shd w:val="clear" w:color="auto" w:fill="D9D9D9" w:themeFill="background1" w:themeFillShade="D9"/>
          </w:tcPr>
          <w:p w14:paraId="16C96802" w14:textId="63CBB691" w:rsidR="006062B8" w:rsidRPr="00F93552" w:rsidRDefault="006062B8" w:rsidP="00F93552">
            <w:pPr>
              <w:pStyle w:val="Paragraph"/>
              <w:spacing w:line="240" w:lineRule="auto"/>
              <w:rPr>
                <w:lang w:eastAsia="en-GB"/>
              </w:rPr>
            </w:pPr>
            <w:r w:rsidRPr="00F93552">
              <w:rPr>
                <w:b/>
                <w:bCs/>
                <w:lang w:eastAsia="en-GB"/>
              </w:rPr>
              <w:t>Comment no.</w:t>
            </w:r>
          </w:p>
        </w:tc>
        <w:tc>
          <w:tcPr>
            <w:tcW w:w="1757" w:type="dxa"/>
            <w:shd w:val="clear" w:color="auto" w:fill="D9D9D9" w:themeFill="background1" w:themeFillShade="D9"/>
          </w:tcPr>
          <w:p w14:paraId="47A7C248" w14:textId="1927D702" w:rsidR="006062B8" w:rsidRPr="00F93552" w:rsidRDefault="006062B8" w:rsidP="00F93552">
            <w:pPr>
              <w:pStyle w:val="Paragraph"/>
              <w:spacing w:line="240" w:lineRule="auto"/>
              <w:rPr>
                <w:rFonts w:cs="Arial"/>
                <w:color w:val="000000"/>
              </w:rPr>
            </w:pPr>
            <w:r w:rsidRPr="00F93552">
              <w:rPr>
                <w:b/>
                <w:bCs/>
                <w:lang w:eastAsia="en-GB"/>
              </w:rPr>
              <w:t>Consultee</w:t>
            </w:r>
          </w:p>
        </w:tc>
        <w:tc>
          <w:tcPr>
            <w:tcW w:w="2051" w:type="dxa"/>
            <w:shd w:val="clear" w:color="auto" w:fill="D9D9D9" w:themeFill="background1" w:themeFillShade="D9"/>
          </w:tcPr>
          <w:p w14:paraId="09D52EC8" w14:textId="287024A5" w:rsidR="006062B8" w:rsidRPr="00F93552" w:rsidRDefault="006062B8" w:rsidP="00F93552">
            <w:pPr>
              <w:pStyle w:val="Paragraph"/>
              <w:spacing w:line="240" w:lineRule="auto"/>
              <w:rPr>
                <w:rFonts w:cs="Arial"/>
                <w:color w:val="000000"/>
              </w:rPr>
            </w:pPr>
            <w:r w:rsidRPr="00F93552">
              <w:rPr>
                <w:b/>
                <w:bCs/>
                <w:lang w:eastAsia="en-GB"/>
              </w:rPr>
              <w:t>Section no.</w:t>
            </w:r>
          </w:p>
        </w:tc>
        <w:tc>
          <w:tcPr>
            <w:tcW w:w="4682" w:type="dxa"/>
            <w:shd w:val="clear" w:color="auto" w:fill="D9D9D9" w:themeFill="background1" w:themeFillShade="D9"/>
          </w:tcPr>
          <w:p w14:paraId="52707457" w14:textId="713A9B44" w:rsidR="006062B8" w:rsidRPr="00F93552" w:rsidRDefault="006062B8" w:rsidP="00F93552">
            <w:pPr>
              <w:pStyle w:val="Paragraph"/>
              <w:spacing w:line="240" w:lineRule="auto"/>
              <w:rPr>
                <w:rFonts w:cs="Arial"/>
                <w:color w:val="000000"/>
              </w:rPr>
            </w:pPr>
            <w:r w:rsidRPr="00F93552">
              <w:rPr>
                <w:b/>
                <w:bCs/>
                <w:lang w:eastAsia="en-GB"/>
              </w:rPr>
              <w:t>Comment</w:t>
            </w:r>
          </w:p>
        </w:tc>
        <w:tc>
          <w:tcPr>
            <w:tcW w:w="4135" w:type="dxa"/>
            <w:shd w:val="clear" w:color="auto" w:fill="D9D9D9" w:themeFill="background1" w:themeFillShade="D9"/>
          </w:tcPr>
          <w:p w14:paraId="3F2C0499" w14:textId="70636AEC" w:rsidR="006062B8" w:rsidRPr="00F93552" w:rsidRDefault="006062B8" w:rsidP="00F93552">
            <w:pPr>
              <w:pStyle w:val="Paragraph"/>
              <w:spacing w:line="240" w:lineRule="auto"/>
              <w:rPr>
                <w:lang w:eastAsia="en-GB"/>
              </w:rPr>
            </w:pPr>
            <w:r w:rsidRPr="00F93552">
              <w:rPr>
                <w:b/>
                <w:bCs/>
                <w:lang w:eastAsia="en-GB"/>
              </w:rPr>
              <w:t>Response</w:t>
            </w:r>
          </w:p>
        </w:tc>
      </w:tr>
      <w:tr w:rsidR="00157BF0" w14:paraId="213E4A03" w14:textId="77777777" w:rsidTr="3B4A8DFD">
        <w:tc>
          <w:tcPr>
            <w:tcW w:w="1323" w:type="dxa"/>
          </w:tcPr>
          <w:p w14:paraId="0F97BCC3"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4B314281" w14:textId="444B4E7B" w:rsidR="00157BF0" w:rsidRPr="00F93552" w:rsidRDefault="00157BF0" w:rsidP="00F93552">
            <w:pPr>
              <w:pStyle w:val="Paragraph"/>
              <w:spacing w:line="240" w:lineRule="auto"/>
              <w:rPr>
                <w:lang w:eastAsia="en-GB"/>
              </w:rPr>
            </w:pPr>
            <w:r w:rsidRPr="00F93552">
              <w:rPr>
                <w:rFonts w:cs="Arial"/>
                <w:color w:val="000000"/>
              </w:rPr>
              <w:t>Consultee 3</w:t>
            </w:r>
            <w:r w:rsidRPr="00F93552">
              <w:rPr>
                <w:rFonts w:cs="Arial"/>
                <w:color w:val="000000"/>
              </w:rPr>
              <w:br/>
              <w:t>Individual</w:t>
            </w:r>
          </w:p>
        </w:tc>
        <w:tc>
          <w:tcPr>
            <w:tcW w:w="2051" w:type="dxa"/>
            <w:shd w:val="clear" w:color="auto" w:fill="auto"/>
          </w:tcPr>
          <w:p w14:paraId="3BD13B83" w14:textId="180E8AE5" w:rsidR="00157BF0" w:rsidRPr="00F93552" w:rsidRDefault="00157BF0" w:rsidP="00F93552">
            <w:pPr>
              <w:pStyle w:val="Paragraph"/>
              <w:spacing w:line="240" w:lineRule="auto"/>
              <w:rPr>
                <w:lang w:eastAsia="en-GB"/>
              </w:rPr>
            </w:pPr>
            <w:r w:rsidRPr="00F93552">
              <w:rPr>
                <w:rFonts w:cs="Arial"/>
                <w:color w:val="000000"/>
              </w:rPr>
              <w:t>1.3 What information is needed</w:t>
            </w:r>
          </w:p>
        </w:tc>
        <w:tc>
          <w:tcPr>
            <w:tcW w:w="4682" w:type="dxa"/>
            <w:shd w:val="clear" w:color="auto" w:fill="auto"/>
          </w:tcPr>
          <w:p w14:paraId="64E4D29A" w14:textId="00F32E3D" w:rsidR="00157BF0" w:rsidRPr="00F93552" w:rsidRDefault="00157BF0" w:rsidP="00F93552">
            <w:pPr>
              <w:pStyle w:val="Paragraph"/>
              <w:spacing w:line="240" w:lineRule="auto"/>
              <w:rPr>
                <w:lang w:eastAsia="en-GB"/>
              </w:rPr>
            </w:pPr>
            <w:r w:rsidRPr="00F93552">
              <w:rPr>
                <w:rFonts w:cs="Arial"/>
                <w:color w:val="000000"/>
              </w:rPr>
              <w:t xml:space="preserve">Also capture severity of infection (local, spreading/ Systemic/ bacteraemia </w:t>
            </w:r>
            <w:proofErr w:type="gramStart"/>
            <w:r w:rsidRPr="00F93552">
              <w:rPr>
                <w:rFonts w:cs="Arial"/>
                <w:color w:val="000000"/>
              </w:rPr>
              <w:t>and  hospitalisation</w:t>
            </w:r>
            <w:proofErr w:type="gramEnd"/>
            <w:r w:rsidRPr="00F93552">
              <w:rPr>
                <w:rFonts w:cs="Arial"/>
                <w:color w:val="000000"/>
              </w:rPr>
              <w:t xml:space="preserve"> due to infection</w:t>
            </w:r>
          </w:p>
        </w:tc>
        <w:tc>
          <w:tcPr>
            <w:tcW w:w="4135" w:type="dxa"/>
          </w:tcPr>
          <w:p w14:paraId="397038C2" w14:textId="537D7E26" w:rsidR="00D40581" w:rsidRPr="00F93552" w:rsidRDefault="00983D73" w:rsidP="00F93552">
            <w:pPr>
              <w:pStyle w:val="Paragraph"/>
              <w:spacing w:line="240" w:lineRule="auto"/>
              <w:rPr>
                <w:lang w:eastAsia="en-GB"/>
              </w:rPr>
            </w:pPr>
            <w:r w:rsidRPr="00F93552">
              <w:rPr>
                <w:lang w:eastAsia="en-GB"/>
              </w:rPr>
              <w:t>Thank you for your comment. Th</w:t>
            </w:r>
            <w:r w:rsidR="00544791" w:rsidRPr="00F93552">
              <w:rPr>
                <w:lang w:eastAsia="en-GB"/>
              </w:rPr>
              <w:t>is section now includes ‘the number of people progressing to escalation of care and any associated resource costs’</w:t>
            </w:r>
          </w:p>
        </w:tc>
      </w:tr>
      <w:tr w:rsidR="00157BF0" w14:paraId="19F3E01A" w14:textId="77777777" w:rsidTr="3B4A8DFD">
        <w:tc>
          <w:tcPr>
            <w:tcW w:w="1323" w:type="dxa"/>
          </w:tcPr>
          <w:p w14:paraId="6DAA1F44"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327E6D2A" w14:textId="0C4192BC" w:rsidR="00157BF0" w:rsidRPr="00F93552" w:rsidRDefault="00157BF0" w:rsidP="00F93552">
            <w:pPr>
              <w:pStyle w:val="Paragraph"/>
              <w:spacing w:line="240" w:lineRule="auto"/>
              <w:rPr>
                <w:lang w:eastAsia="en-GB"/>
              </w:rPr>
            </w:pPr>
            <w:r w:rsidRPr="00F93552">
              <w:rPr>
                <w:rFonts w:cs="Arial"/>
                <w:color w:val="000000"/>
              </w:rPr>
              <w:t>Consultee 4</w:t>
            </w:r>
            <w:r w:rsidRPr="00F93552">
              <w:rPr>
                <w:rFonts w:cs="Arial"/>
                <w:color w:val="000000"/>
              </w:rPr>
              <w:br/>
              <w:t>Coloplast</w:t>
            </w:r>
          </w:p>
        </w:tc>
        <w:tc>
          <w:tcPr>
            <w:tcW w:w="2051" w:type="dxa"/>
            <w:shd w:val="clear" w:color="auto" w:fill="auto"/>
          </w:tcPr>
          <w:p w14:paraId="372EA8AB" w14:textId="4AA6EF18" w:rsidR="00157BF0" w:rsidRPr="00F93552" w:rsidRDefault="00157BF0" w:rsidP="00F93552">
            <w:pPr>
              <w:pStyle w:val="Paragraph"/>
              <w:spacing w:line="240" w:lineRule="auto"/>
              <w:rPr>
                <w:lang w:eastAsia="en-GB"/>
              </w:rPr>
            </w:pPr>
            <w:r w:rsidRPr="00F93552">
              <w:rPr>
                <w:rFonts w:cs="Arial"/>
                <w:color w:val="000000"/>
              </w:rPr>
              <w:t>1.3 What information is needed</w:t>
            </w:r>
          </w:p>
        </w:tc>
        <w:tc>
          <w:tcPr>
            <w:tcW w:w="4682" w:type="dxa"/>
            <w:shd w:val="clear" w:color="auto" w:fill="auto"/>
          </w:tcPr>
          <w:p w14:paraId="14097BBE" w14:textId="012F44ED" w:rsidR="00157BF0" w:rsidRPr="00F93552" w:rsidRDefault="00157BF0" w:rsidP="00F93552">
            <w:pPr>
              <w:pStyle w:val="Paragraph"/>
              <w:spacing w:line="240" w:lineRule="auto"/>
              <w:rPr>
                <w:lang w:eastAsia="en-GB"/>
              </w:rPr>
            </w:pPr>
            <w:r w:rsidRPr="00F93552">
              <w:rPr>
                <w:rFonts w:cs="Arial"/>
                <w:color w:val="000000"/>
              </w:rPr>
              <w:t>Please can NICE add text to the guidance document to explain what process will be used to monitor evidence generation and to review and update the guidance when further information is available.</w:t>
            </w:r>
            <w:r w:rsidRPr="00F93552">
              <w:rPr>
                <w:rFonts w:cs="Arial"/>
                <w:color w:val="000000"/>
              </w:rPr>
              <w:br/>
              <w:t>This is also important because the reform of Part IX of the Drug Tariff, which is proceeding in parallel with late-stage assessment, may result in changed NHS prices of the products under evaluation, undermining the entire economic evaluation.</w:t>
            </w:r>
          </w:p>
        </w:tc>
        <w:tc>
          <w:tcPr>
            <w:tcW w:w="4135" w:type="dxa"/>
          </w:tcPr>
          <w:p w14:paraId="082E9A71" w14:textId="77777777" w:rsidR="006701D4" w:rsidRDefault="006701D4" w:rsidP="006701D4">
            <w:pPr>
              <w:pStyle w:val="Paragraph"/>
              <w:spacing w:line="240" w:lineRule="auto"/>
              <w:rPr>
                <w:lang w:eastAsia="en-GB"/>
              </w:rPr>
            </w:pPr>
            <w:r w:rsidRPr="366CE8BA">
              <w:rPr>
                <w:lang w:eastAsia="en-GB"/>
              </w:rPr>
              <w:t xml:space="preserve">Thank you for your comment. Late-stage assessment has a different purpose in the lifecycle approach to early value assessment (EVA). LSA evaluates technologies that are in widespread or established use in the NHS to inform commissioning and procurement decisions. It is expected that technologies in use in the NHS are evidence based. In contrast, EVA evaluates new technologies that have the potential to meet an unmet need in the NHS. Technologies suitable for EVA require further data collection or evidence generation before they can be recommended for routine use in the NHS. However, part of the committee’s considerations for LSAs is a gap analysis of the existing evidence base. This can be used by industry, if necessary, to guide their research to strengthen the case for their technology. In addition, as </w:t>
            </w:r>
            <w:r w:rsidRPr="366CE8BA">
              <w:rPr>
                <w:lang w:eastAsia="en-GB"/>
              </w:rPr>
              <w:lastRenderedPageBreak/>
              <w:t>LSAs complete and as we make note of the lessons learnt, take on feedback from After Action Reviews and finalise the methods and processes for products in existing use, the concept of an evidence generation plan may be explored further. </w:t>
            </w:r>
          </w:p>
          <w:p w14:paraId="4ADCF6C6" w14:textId="7EE7A17C" w:rsidR="00157BF0" w:rsidRPr="00F93552" w:rsidRDefault="006701D4" w:rsidP="006701D4">
            <w:pPr>
              <w:pStyle w:val="Paragraph"/>
              <w:spacing w:line="240" w:lineRule="auto"/>
              <w:rPr>
                <w:lang w:eastAsia="en-GB"/>
              </w:rPr>
            </w:pPr>
            <w:r>
              <w:rPr>
                <w:lang w:eastAsia="en-GB"/>
              </w:rPr>
              <w:t>Regarding the possibility of prices changing on the Drug Tarriff, the committee heard that the main source of uncertainty in the EAG’s evaluation came from the poor quality of the clinical effectiveness evidence. The committee heard that if the prices changed or the model structure was altered the uncertainty in the relative efficacy of each agent would remain. This is illustrated in figure 5.1 in the addendum prepared for the second committee meeting.</w:t>
            </w:r>
          </w:p>
        </w:tc>
      </w:tr>
      <w:tr w:rsidR="00157BF0" w14:paraId="0E5AF8F6" w14:textId="77777777" w:rsidTr="3B4A8DFD">
        <w:tc>
          <w:tcPr>
            <w:tcW w:w="1323" w:type="dxa"/>
          </w:tcPr>
          <w:p w14:paraId="3BE8F493"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72FB8EE8" w14:textId="0D73E1C3" w:rsidR="00157BF0" w:rsidRPr="00F93552" w:rsidRDefault="00157BF0" w:rsidP="00F93552">
            <w:pPr>
              <w:pStyle w:val="Paragraph"/>
              <w:spacing w:line="240" w:lineRule="auto"/>
              <w:rPr>
                <w:lang w:eastAsia="en-GB"/>
              </w:rPr>
            </w:pPr>
            <w:r w:rsidRPr="00F93552">
              <w:rPr>
                <w:rFonts w:cs="Arial"/>
                <w:color w:val="000000"/>
              </w:rPr>
              <w:t>Consultee 4</w:t>
            </w:r>
            <w:r w:rsidRPr="00F93552">
              <w:rPr>
                <w:rFonts w:cs="Arial"/>
                <w:color w:val="000000"/>
              </w:rPr>
              <w:br/>
              <w:t>Coloplast</w:t>
            </w:r>
          </w:p>
        </w:tc>
        <w:tc>
          <w:tcPr>
            <w:tcW w:w="2051" w:type="dxa"/>
            <w:shd w:val="clear" w:color="auto" w:fill="auto"/>
          </w:tcPr>
          <w:p w14:paraId="37A63C83" w14:textId="31A8A905" w:rsidR="00157BF0" w:rsidRPr="00F93552" w:rsidRDefault="00157BF0" w:rsidP="00F93552">
            <w:pPr>
              <w:pStyle w:val="Paragraph"/>
              <w:spacing w:line="240" w:lineRule="auto"/>
              <w:rPr>
                <w:lang w:eastAsia="en-GB"/>
              </w:rPr>
            </w:pPr>
            <w:r w:rsidRPr="00F93552">
              <w:rPr>
                <w:rFonts w:cs="Arial"/>
                <w:color w:val="000000"/>
              </w:rPr>
              <w:t>1.3 What information is needed</w:t>
            </w:r>
          </w:p>
        </w:tc>
        <w:tc>
          <w:tcPr>
            <w:tcW w:w="4682" w:type="dxa"/>
            <w:shd w:val="clear" w:color="auto" w:fill="auto"/>
          </w:tcPr>
          <w:p w14:paraId="42D316C4" w14:textId="3D9E04D3" w:rsidR="00FF7814" w:rsidRPr="00F93552" w:rsidRDefault="00157BF0" w:rsidP="00F93552">
            <w:pPr>
              <w:pStyle w:val="Paragraph"/>
              <w:spacing w:line="240" w:lineRule="auto"/>
              <w:rPr>
                <w:rFonts w:cs="Arial"/>
                <w:color w:val="000000"/>
              </w:rPr>
            </w:pPr>
            <w:r w:rsidRPr="00F93552">
              <w:rPr>
                <w:rFonts w:cs="Arial"/>
                <w:color w:val="000000"/>
              </w:rPr>
              <w:t xml:space="preserve">Although we are committed to initiatives to improve the evidence base in this important clinical area, the evidence generations recommendation </w:t>
            </w:r>
            <w:proofErr w:type="gramStart"/>
            <w:r w:rsidRPr="00F93552">
              <w:rPr>
                <w:rFonts w:cs="Arial"/>
                <w:color w:val="000000"/>
              </w:rPr>
              <w:t>are</w:t>
            </w:r>
            <w:proofErr w:type="gramEnd"/>
            <w:r w:rsidRPr="00F93552">
              <w:rPr>
                <w:rFonts w:cs="Arial"/>
                <w:color w:val="000000"/>
              </w:rPr>
              <w:t xml:space="preserve"> not a sound basis for guidance due to:</w:t>
            </w:r>
            <w:r w:rsidRPr="00F93552">
              <w:rPr>
                <w:rFonts w:cs="Arial"/>
                <w:color w:val="000000"/>
              </w:rPr>
              <w:br/>
              <w:t xml:space="preserve">- The narrow scope of the LSA would restrict recruitment to patients with an </w:t>
            </w:r>
            <w:r w:rsidRPr="00F93552">
              <w:rPr>
                <w:rFonts w:cs="Arial"/>
                <w:color w:val="000000"/>
              </w:rPr>
              <w:lastRenderedPageBreak/>
              <w:t>infected leg ulcer and limit recruitment meaning it would take years to reach a sample size for statistical analysis.</w:t>
            </w:r>
          </w:p>
          <w:p w14:paraId="7F6C4C85" w14:textId="5579C3DC" w:rsidR="00157BF0" w:rsidRPr="00F93552" w:rsidRDefault="00157BF0" w:rsidP="00F93552">
            <w:pPr>
              <w:pStyle w:val="Paragraph"/>
              <w:spacing w:line="240" w:lineRule="auto"/>
              <w:rPr>
                <w:lang w:eastAsia="en-GB"/>
              </w:rPr>
            </w:pPr>
            <w:r w:rsidRPr="00F93552">
              <w:rPr>
                <w:rFonts w:cs="Arial"/>
                <w:color w:val="000000"/>
              </w:rPr>
              <w:t xml:space="preserve">- Study comparator(s) and sample size: the draft guidance states that there is a need for more evidence to justify price variation between antimicrobial agents used in AMDs, both between agent and between subagents. This </w:t>
            </w:r>
            <w:proofErr w:type="gramStart"/>
            <w:r w:rsidRPr="00F93552">
              <w:rPr>
                <w:rFonts w:cs="Arial"/>
                <w:color w:val="000000"/>
              </w:rPr>
              <w:t>opens up</w:t>
            </w:r>
            <w:proofErr w:type="gramEnd"/>
            <w:r w:rsidRPr="00F93552">
              <w:rPr>
                <w:rFonts w:cs="Arial"/>
                <w:color w:val="000000"/>
              </w:rPr>
              <w:t xml:space="preserve"> a multitude of options when selecting the antimicrobial agents/subagents to compare in a future study. If comparative evidence is required for all agents and subagents, conducting the number of studies and enrolling the number of patients required to present statistically significant results for each agent/subagent will be an insurmountable task for each manufacturer, the wound care research community, and the NHS workforce. </w:t>
            </w:r>
            <w:r w:rsidRPr="00F93552">
              <w:rPr>
                <w:rFonts w:cs="Arial"/>
                <w:color w:val="000000"/>
              </w:rPr>
              <w:br/>
              <w:t xml:space="preserve">- We agree that time to complete healing is </w:t>
            </w:r>
            <w:proofErr w:type="gramStart"/>
            <w:r w:rsidRPr="00F93552">
              <w:rPr>
                <w:rFonts w:cs="Arial"/>
                <w:color w:val="000000"/>
              </w:rPr>
              <w:t>an</w:t>
            </w:r>
            <w:proofErr w:type="gramEnd"/>
            <w:r w:rsidRPr="00F93552">
              <w:rPr>
                <w:rFonts w:cs="Arial"/>
                <w:color w:val="000000"/>
              </w:rPr>
              <w:t xml:space="preserve"> key outcome of interest to patients and clinicians. However, it is not a relevant metric for determining AMD effectiveness, because other components of wound care contribute to overall wound healing. The most specific and sensitive outcome for AMD effectiveness is </w:t>
            </w:r>
            <w:r w:rsidRPr="00F93552">
              <w:rPr>
                <w:rFonts w:cs="Arial"/>
                <w:color w:val="000000"/>
              </w:rPr>
              <w:lastRenderedPageBreak/>
              <w:t>resolution of infection, which is a more relevant and meaningful outcome.</w:t>
            </w:r>
            <w:r w:rsidRPr="00F93552">
              <w:rPr>
                <w:rFonts w:cs="Arial"/>
                <w:color w:val="000000"/>
              </w:rPr>
              <w:br/>
              <w:t xml:space="preserve">- High cost, resources and time to complete. It would be helpful, as in the late-stage assessment draft guidance on 1-piece colostomy bags, for the committee, with appropriate advice from clinical researchers, to </w:t>
            </w:r>
            <w:proofErr w:type="gramStart"/>
            <w:r w:rsidRPr="00F93552">
              <w:rPr>
                <w:rFonts w:cs="Arial"/>
                <w:color w:val="000000"/>
              </w:rPr>
              <w:t>give consideration to</w:t>
            </w:r>
            <w:proofErr w:type="gramEnd"/>
            <w:r w:rsidRPr="00F93552">
              <w:rPr>
                <w:rFonts w:cs="Arial"/>
                <w:color w:val="000000"/>
              </w:rPr>
              <w:t xml:space="preserve"> how this research will be funded and carried out. This would also be helpful in stimulating interest in the clinical research community, because as a company, we are keen to overcome the prejudice that commercially-supported research is always subject to a high level of bias, making it unattractive for companies to invest in large scale evidence generation.</w:t>
            </w:r>
            <w:r w:rsidRPr="00F93552">
              <w:rPr>
                <w:rFonts w:cs="Arial"/>
                <w:color w:val="000000"/>
              </w:rPr>
              <w:br/>
              <w:t>- There is currently high volatility in the UK market due to the MedTech directorate strategy reforms, leading to high uncertainty about future product availability. This makes investment in evidence generation in the UK less attractive.</w:t>
            </w:r>
          </w:p>
        </w:tc>
        <w:tc>
          <w:tcPr>
            <w:tcW w:w="4135" w:type="dxa"/>
          </w:tcPr>
          <w:p w14:paraId="41F7D6FF" w14:textId="2586596B" w:rsidR="00157BF0" w:rsidRPr="00F93552" w:rsidRDefault="00D40581" w:rsidP="00F93552">
            <w:pPr>
              <w:pStyle w:val="Paragraph"/>
              <w:spacing w:line="240" w:lineRule="auto"/>
              <w:rPr>
                <w:lang w:eastAsia="en-GB"/>
              </w:rPr>
            </w:pPr>
            <w:r w:rsidRPr="3B4A8DFD">
              <w:rPr>
                <w:lang w:eastAsia="en-GB"/>
              </w:rPr>
              <w:lastRenderedPageBreak/>
              <w:t>Thank you for your comment.</w:t>
            </w:r>
            <w:r w:rsidR="00856A1F" w:rsidRPr="3B4A8DFD">
              <w:rPr>
                <w:lang w:eastAsia="en-GB"/>
              </w:rPr>
              <w:t xml:space="preserve"> </w:t>
            </w:r>
          </w:p>
          <w:p w14:paraId="2F0254A9" w14:textId="4EB3214C" w:rsidR="00414FD8" w:rsidRPr="00F93552" w:rsidRDefault="00B217B7" w:rsidP="00F93552">
            <w:pPr>
              <w:pStyle w:val="Paragraph"/>
              <w:spacing w:line="240" w:lineRule="auto"/>
              <w:rPr>
                <w:lang w:eastAsia="en-GB"/>
              </w:rPr>
            </w:pPr>
            <w:r w:rsidRPr="3B4A8DFD">
              <w:rPr>
                <w:lang w:eastAsia="en-GB"/>
              </w:rPr>
              <w:t>If the overall evidence base improves using the appropriate outcome measures this will facilitate indirect comparison methods</w:t>
            </w:r>
            <w:r w:rsidR="00B55D35" w:rsidRPr="3B4A8DFD">
              <w:rPr>
                <w:lang w:eastAsia="en-GB"/>
              </w:rPr>
              <w:t xml:space="preserve"> such as network meta-analysis</w:t>
            </w:r>
            <w:r w:rsidRPr="3B4A8DFD">
              <w:rPr>
                <w:lang w:eastAsia="en-GB"/>
              </w:rPr>
              <w:t xml:space="preserve">. This was </w:t>
            </w:r>
            <w:r w:rsidRPr="3B4A8DFD">
              <w:rPr>
                <w:lang w:eastAsia="en-GB"/>
              </w:rPr>
              <w:lastRenderedPageBreak/>
              <w:t>something which requested in comment</w:t>
            </w:r>
            <w:r w:rsidR="00B55D35" w:rsidRPr="3B4A8DFD">
              <w:rPr>
                <w:lang w:eastAsia="en-GB"/>
              </w:rPr>
              <w:t xml:space="preserve"> 116.</w:t>
            </w:r>
            <w:r w:rsidR="3AD1D735" w:rsidRPr="3B4A8DFD">
              <w:rPr>
                <w:lang w:eastAsia="en-GB"/>
              </w:rPr>
              <w:t xml:space="preserve"> </w:t>
            </w:r>
            <w:hyperlink r:id="rId11" w:history="1">
              <w:r w:rsidR="3AD1D735" w:rsidRPr="3B4A8DFD">
                <w:rPr>
                  <w:rStyle w:val="Hyperlink"/>
                  <w:lang w:eastAsia="en-GB"/>
                </w:rPr>
                <w:t>One of the included studies</w:t>
              </w:r>
            </w:hyperlink>
            <w:r w:rsidR="3AD1D735" w:rsidRPr="3B4A8DFD">
              <w:rPr>
                <w:lang w:eastAsia="en-GB"/>
              </w:rPr>
              <w:t xml:space="preserve"> in the review had a sample of n=201 and was completed in under 4 years.</w:t>
            </w:r>
          </w:p>
          <w:p w14:paraId="00386EF3" w14:textId="4FB2824D" w:rsidR="00382049" w:rsidRPr="00F93552" w:rsidRDefault="00393A53" w:rsidP="00F93552">
            <w:pPr>
              <w:pStyle w:val="Paragraph"/>
              <w:spacing w:line="240" w:lineRule="auto"/>
              <w:rPr>
                <w:lang w:eastAsia="en-GB"/>
              </w:rPr>
            </w:pPr>
            <w:r>
              <w:rPr>
                <w:lang w:eastAsia="en-GB"/>
              </w:rPr>
              <w:t>For the point on complete healing, p</w:t>
            </w:r>
            <w:r w:rsidR="00382049" w:rsidRPr="00F93552">
              <w:rPr>
                <w:lang w:eastAsia="en-GB"/>
              </w:rPr>
              <w:t xml:space="preserve">lease see response to comment </w:t>
            </w:r>
            <w:r w:rsidR="00676E02" w:rsidRPr="00F93552">
              <w:rPr>
                <w:lang w:eastAsia="en-GB"/>
              </w:rPr>
              <w:t>167</w:t>
            </w:r>
            <w:r w:rsidR="00382049" w:rsidRPr="00F93552">
              <w:rPr>
                <w:lang w:eastAsia="en-GB"/>
              </w:rPr>
              <w:t>.</w:t>
            </w:r>
          </w:p>
          <w:p w14:paraId="78C08FD6" w14:textId="6BD62E51" w:rsidR="00EE6E47" w:rsidRPr="00F93552" w:rsidRDefault="001A7147" w:rsidP="00F93552">
            <w:pPr>
              <w:pStyle w:val="Paragraph"/>
              <w:spacing w:line="240" w:lineRule="auto"/>
              <w:rPr>
                <w:lang w:eastAsia="en-GB"/>
              </w:rPr>
            </w:pPr>
            <w:r w:rsidRPr="3B4A8DFD">
              <w:rPr>
                <w:lang w:eastAsia="en-GB"/>
              </w:rPr>
              <w:t xml:space="preserve">The concept of bias is well recognised in research and one which the committee are familiar with. This is a challenge faced by all companies developing medicinal and non-medicinal technologies for use in healthcare and not unique to wound care. </w:t>
            </w:r>
          </w:p>
        </w:tc>
      </w:tr>
      <w:tr w:rsidR="00157BF0" w14:paraId="4BE34E12" w14:textId="77777777" w:rsidTr="3B4A8DFD">
        <w:tc>
          <w:tcPr>
            <w:tcW w:w="1323" w:type="dxa"/>
          </w:tcPr>
          <w:p w14:paraId="530D9E5A"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4C80CA3F" w14:textId="0950DF10" w:rsidR="00157BF0" w:rsidRPr="00F93552" w:rsidRDefault="00157BF0" w:rsidP="00F93552">
            <w:pPr>
              <w:pStyle w:val="Paragraph"/>
              <w:spacing w:line="240" w:lineRule="auto"/>
              <w:rPr>
                <w:lang w:eastAsia="en-GB"/>
              </w:rPr>
            </w:pPr>
            <w:r w:rsidRPr="00F93552">
              <w:rPr>
                <w:rFonts w:cs="Arial"/>
                <w:color w:val="000000"/>
              </w:rPr>
              <w:t>Consultee 4</w:t>
            </w:r>
            <w:r w:rsidRPr="00F93552">
              <w:rPr>
                <w:rFonts w:cs="Arial"/>
                <w:color w:val="000000"/>
              </w:rPr>
              <w:br/>
              <w:t>Coloplast</w:t>
            </w:r>
          </w:p>
        </w:tc>
        <w:tc>
          <w:tcPr>
            <w:tcW w:w="2051" w:type="dxa"/>
            <w:shd w:val="clear" w:color="auto" w:fill="auto"/>
          </w:tcPr>
          <w:p w14:paraId="03DBADC7" w14:textId="7E8A0F96" w:rsidR="00157BF0" w:rsidRPr="00F93552" w:rsidRDefault="00157BF0" w:rsidP="00F93552">
            <w:pPr>
              <w:pStyle w:val="Paragraph"/>
              <w:spacing w:line="240" w:lineRule="auto"/>
              <w:rPr>
                <w:lang w:eastAsia="en-GB"/>
              </w:rPr>
            </w:pPr>
            <w:r w:rsidRPr="00F93552">
              <w:rPr>
                <w:rFonts w:cs="Arial"/>
                <w:color w:val="000000"/>
              </w:rPr>
              <w:t>3.16 Evidence needed to show additional value</w:t>
            </w:r>
          </w:p>
        </w:tc>
        <w:tc>
          <w:tcPr>
            <w:tcW w:w="4682" w:type="dxa"/>
            <w:shd w:val="clear" w:color="auto" w:fill="auto"/>
          </w:tcPr>
          <w:p w14:paraId="1DA66B6F" w14:textId="1184DA7B" w:rsidR="00157BF0" w:rsidRPr="00F93552" w:rsidRDefault="00157BF0" w:rsidP="00F93552">
            <w:pPr>
              <w:pStyle w:val="Paragraph"/>
              <w:spacing w:line="240" w:lineRule="auto"/>
              <w:rPr>
                <w:lang w:eastAsia="en-GB"/>
              </w:rPr>
            </w:pPr>
            <w:r w:rsidRPr="00F93552">
              <w:rPr>
                <w:rFonts w:cs="Arial"/>
                <w:color w:val="000000"/>
              </w:rPr>
              <w:t>Please can NICE add text to the guidance document to explain what process will be used to monitor evidence generation and to review and update the guidance when further information is available.</w:t>
            </w:r>
            <w:r w:rsidRPr="00F93552">
              <w:rPr>
                <w:rFonts w:cs="Arial"/>
                <w:color w:val="000000"/>
              </w:rPr>
              <w:br/>
            </w:r>
            <w:r w:rsidRPr="00F93552">
              <w:rPr>
                <w:rFonts w:cs="Arial"/>
                <w:color w:val="000000"/>
              </w:rPr>
              <w:lastRenderedPageBreak/>
              <w:t>This is also important because the reform of Part IX of the Drug Tariff, which is proceeding in parallel with late-stage assessment, may result in changed NHS prices of the products under evaluation, undermining the entire economic evaluation.</w:t>
            </w:r>
          </w:p>
        </w:tc>
        <w:tc>
          <w:tcPr>
            <w:tcW w:w="4135" w:type="dxa"/>
          </w:tcPr>
          <w:p w14:paraId="14744763" w14:textId="023874C4" w:rsidR="00157BF0" w:rsidRPr="00F93552" w:rsidRDefault="00D40581" w:rsidP="00F93552">
            <w:pPr>
              <w:pStyle w:val="Paragraph"/>
              <w:spacing w:line="240" w:lineRule="auto"/>
              <w:rPr>
                <w:lang w:eastAsia="en-GB"/>
              </w:rPr>
            </w:pPr>
            <w:r w:rsidRPr="00F93552">
              <w:rPr>
                <w:lang w:eastAsia="en-GB"/>
              </w:rPr>
              <w:lastRenderedPageBreak/>
              <w:t>Thank you for your comment.</w:t>
            </w:r>
            <w:r w:rsidR="006A34B3" w:rsidRPr="00F93552">
              <w:rPr>
                <w:lang w:eastAsia="en-GB"/>
              </w:rPr>
              <w:t xml:space="preserve"> Please see response to comment </w:t>
            </w:r>
            <w:r w:rsidR="0037524D" w:rsidRPr="00F93552">
              <w:rPr>
                <w:lang w:eastAsia="en-GB"/>
              </w:rPr>
              <w:t>41.</w:t>
            </w:r>
          </w:p>
        </w:tc>
      </w:tr>
      <w:tr w:rsidR="00157BF0" w14:paraId="56734A27" w14:textId="77777777" w:rsidTr="3B4A8DFD">
        <w:tc>
          <w:tcPr>
            <w:tcW w:w="1323" w:type="dxa"/>
          </w:tcPr>
          <w:p w14:paraId="6A36EFB7"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58971DE4" w14:textId="30BE489F" w:rsidR="00157BF0" w:rsidRPr="00F93552" w:rsidRDefault="00157BF0" w:rsidP="00F93552">
            <w:pPr>
              <w:pStyle w:val="Paragraph"/>
              <w:spacing w:line="240" w:lineRule="auto"/>
              <w:rPr>
                <w:lang w:eastAsia="en-GB"/>
              </w:rPr>
            </w:pPr>
            <w:r w:rsidRPr="00F93552">
              <w:rPr>
                <w:rFonts w:cs="Arial"/>
                <w:color w:val="000000"/>
              </w:rPr>
              <w:t>Consultee 11</w:t>
            </w:r>
            <w:r w:rsidRPr="00F93552">
              <w:rPr>
                <w:rFonts w:cs="Arial"/>
                <w:color w:val="000000"/>
              </w:rPr>
              <w:br/>
            </w:r>
            <w:proofErr w:type="spellStart"/>
            <w:r w:rsidRPr="00F93552">
              <w:rPr>
                <w:rFonts w:cs="Arial"/>
                <w:color w:val="000000"/>
              </w:rPr>
              <w:t>Convatec</w:t>
            </w:r>
            <w:proofErr w:type="spellEnd"/>
          </w:p>
        </w:tc>
        <w:tc>
          <w:tcPr>
            <w:tcW w:w="2051" w:type="dxa"/>
            <w:shd w:val="clear" w:color="auto" w:fill="auto"/>
          </w:tcPr>
          <w:p w14:paraId="38628893" w14:textId="0EF4CE7C" w:rsidR="00157BF0" w:rsidRPr="00F93552" w:rsidRDefault="00157BF0" w:rsidP="00F93552">
            <w:pPr>
              <w:pStyle w:val="Paragraph"/>
              <w:spacing w:line="240" w:lineRule="auto"/>
              <w:rPr>
                <w:lang w:eastAsia="en-GB"/>
              </w:rPr>
            </w:pPr>
            <w:r w:rsidRPr="00F93552">
              <w:rPr>
                <w:rFonts w:cs="Arial"/>
                <w:color w:val="000000"/>
              </w:rPr>
              <w:t>3.8 Key evidence is limited</w:t>
            </w:r>
          </w:p>
        </w:tc>
        <w:tc>
          <w:tcPr>
            <w:tcW w:w="4682" w:type="dxa"/>
            <w:shd w:val="clear" w:color="auto" w:fill="auto"/>
          </w:tcPr>
          <w:p w14:paraId="371E3397" w14:textId="60A232E7" w:rsidR="00157BF0" w:rsidRPr="00F93552" w:rsidRDefault="00157BF0" w:rsidP="00F93552">
            <w:pPr>
              <w:pStyle w:val="Paragraph"/>
              <w:spacing w:line="240" w:lineRule="auto"/>
              <w:rPr>
                <w:lang w:eastAsia="en-GB"/>
              </w:rPr>
            </w:pPr>
            <w:r w:rsidRPr="00F93552">
              <w:rPr>
                <w:rFonts w:cs="Arial"/>
                <w:color w:val="000000"/>
              </w:rPr>
              <w:t xml:space="preserve">The scope is so narrow that the ability to recruit a subset (infected) of a subset (leg ulcers) to create high level evidence is unrealistic and needs to be acknowledged. As previously </w:t>
            </w:r>
            <w:proofErr w:type="gramStart"/>
            <w:r w:rsidRPr="00F93552">
              <w:rPr>
                <w:rFonts w:cs="Arial"/>
                <w:color w:val="000000"/>
              </w:rPr>
              <w:t>stated</w:t>
            </w:r>
            <w:proofErr w:type="gramEnd"/>
            <w:r w:rsidRPr="00F93552">
              <w:rPr>
                <w:rFonts w:cs="Arial"/>
                <w:color w:val="000000"/>
              </w:rPr>
              <w:t xml:space="preserve"> recruited to publication could take 9-10 years for high level evidence in this scope.</w:t>
            </w:r>
          </w:p>
        </w:tc>
        <w:tc>
          <w:tcPr>
            <w:tcW w:w="4135" w:type="dxa"/>
          </w:tcPr>
          <w:p w14:paraId="1CADE693" w14:textId="7CE74507" w:rsidR="00157BF0" w:rsidRPr="00F93552" w:rsidRDefault="00D40581" w:rsidP="00F93552">
            <w:pPr>
              <w:pStyle w:val="Paragraph"/>
              <w:spacing w:line="240" w:lineRule="auto"/>
              <w:rPr>
                <w:lang w:eastAsia="en-GB"/>
              </w:rPr>
            </w:pPr>
            <w:r w:rsidRPr="00F93552">
              <w:rPr>
                <w:lang w:eastAsia="en-GB"/>
              </w:rPr>
              <w:t>Thank you for your comment.</w:t>
            </w:r>
            <w:r w:rsidR="00863D60" w:rsidRPr="00F93552">
              <w:rPr>
                <w:lang w:eastAsia="en-GB"/>
              </w:rPr>
              <w:t xml:space="preserve"> Please see the response to comment </w:t>
            </w:r>
            <w:r w:rsidR="00CC66BE" w:rsidRPr="00F93552">
              <w:rPr>
                <w:lang w:eastAsia="en-GB"/>
              </w:rPr>
              <w:t>42.</w:t>
            </w:r>
          </w:p>
        </w:tc>
      </w:tr>
      <w:tr w:rsidR="00157BF0" w14:paraId="1D91B8D9" w14:textId="77777777" w:rsidTr="3B4A8DFD">
        <w:tc>
          <w:tcPr>
            <w:tcW w:w="1323" w:type="dxa"/>
          </w:tcPr>
          <w:p w14:paraId="1FF08F37"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6AB2EAAC" w14:textId="4987A92D" w:rsidR="00157BF0" w:rsidRPr="00F93552" w:rsidRDefault="00157BF0" w:rsidP="00F93552">
            <w:pPr>
              <w:pStyle w:val="Paragraph"/>
              <w:spacing w:line="240" w:lineRule="auto"/>
              <w:rPr>
                <w:lang w:eastAsia="en-GB"/>
              </w:rPr>
            </w:pPr>
            <w:r w:rsidRPr="00F93552">
              <w:rPr>
                <w:rFonts w:cs="Arial"/>
                <w:color w:val="000000"/>
              </w:rPr>
              <w:t>Consultee 12</w:t>
            </w:r>
            <w:r w:rsidRPr="00F93552">
              <w:rPr>
                <w:rFonts w:cs="Arial"/>
                <w:color w:val="000000"/>
              </w:rPr>
              <w:br/>
              <w:t>The Leg Club Foundation</w:t>
            </w:r>
          </w:p>
        </w:tc>
        <w:tc>
          <w:tcPr>
            <w:tcW w:w="2051" w:type="dxa"/>
            <w:shd w:val="clear" w:color="auto" w:fill="auto"/>
          </w:tcPr>
          <w:p w14:paraId="6CE1C370" w14:textId="7471F458" w:rsidR="00157BF0" w:rsidRPr="00F93552" w:rsidRDefault="00157BF0" w:rsidP="00F93552">
            <w:pPr>
              <w:pStyle w:val="Paragraph"/>
              <w:spacing w:line="240" w:lineRule="auto"/>
              <w:rPr>
                <w:lang w:eastAsia="en-GB"/>
              </w:rPr>
            </w:pPr>
            <w:r w:rsidRPr="00F93552">
              <w:rPr>
                <w:rFonts w:cs="Arial"/>
                <w:color w:val="000000"/>
              </w:rPr>
              <w:t>Not specified</w:t>
            </w:r>
          </w:p>
        </w:tc>
        <w:tc>
          <w:tcPr>
            <w:tcW w:w="4682" w:type="dxa"/>
            <w:shd w:val="clear" w:color="auto" w:fill="auto"/>
          </w:tcPr>
          <w:p w14:paraId="2C13A2AA" w14:textId="52B7BB5E" w:rsidR="00157BF0" w:rsidRPr="00F93552" w:rsidRDefault="00157BF0" w:rsidP="00F93552">
            <w:pPr>
              <w:pStyle w:val="Paragraph"/>
              <w:spacing w:line="240" w:lineRule="auto"/>
              <w:rPr>
                <w:lang w:eastAsia="en-GB"/>
              </w:rPr>
            </w:pPr>
            <w:r w:rsidRPr="00F93552">
              <w:rPr>
                <w:rFonts w:cs="Arial"/>
                <w:color w:val="000000"/>
              </w:rPr>
              <w:t>I believe the document to be factually correct however remain concerned regarding the level of evidence required/expected given the difficulty complying with these due to the variables in the study population and their impact on study outcomes.</w:t>
            </w:r>
          </w:p>
        </w:tc>
        <w:tc>
          <w:tcPr>
            <w:tcW w:w="4135" w:type="dxa"/>
          </w:tcPr>
          <w:p w14:paraId="08541AB8" w14:textId="5DF6A63A" w:rsidR="00157BF0" w:rsidRPr="00F93552" w:rsidRDefault="00C5281B" w:rsidP="00F93552">
            <w:pPr>
              <w:pStyle w:val="Paragraph"/>
              <w:spacing w:line="240" w:lineRule="auto"/>
              <w:rPr>
                <w:lang w:eastAsia="en-GB"/>
              </w:rPr>
            </w:pPr>
            <w:r w:rsidRPr="00F93552">
              <w:rPr>
                <w:lang w:eastAsia="en-GB"/>
              </w:rPr>
              <w:t>Thank you for your comment. Please see response to comment 42.</w:t>
            </w:r>
          </w:p>
        </w:tc>
      </w:tr>
      <w:tr w:rsidR="00157BF0" w14:paraId="6CFBE968" w14:textId="77777777" w:rsidTr="3B4A8DFD">
        <w:tc>
          <w:tcPr>
            <w:tcW w:w="1323" w:type="dxa"/>
          </w:tcPr>
          <w:p w14:paraId="7A6D128D"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456DB47E" w14:textId="6D9BF876" w:rsidR="00157BF0" w:rsidRPr="00F93552" w:rsidRDefault="00157BF0" w:rsidP="00F93552">
            <w:pPr>
              <w:pStyle w:val="Paragraph"/>
              <w:spacing w:line="240" w:lineRule="auto"/>
              <w:rPr>
                <w:lang w:eastAsia="en-GB"/>
              </w:rPr>
            </w:pPr>
            <w:r w:rsidRPr="00F93552">
              <w:rPr>
                <w:rFonts w:cs="Arial"/>
                <w:color w:val="000000"/>
              </w:rPr>
              <w:t>Consultee 13</w:t>
            </w:r>
            <w:r w:rsidRPr="00F93552">
              <w:rPr>
                <w:rFonts w:cs="Arial"/>
                <w:color w:val="000000"/>
              </w:rPr>
              <w:br/>
              <w:t>B. Braun Medical</w:t>
            </w:r>
          </w:p>
        </w:tc>
        <w:tc>
          <w:tcPr>
            <w:tcW w:w="2051" w:type="dxa"/>
            <w:shd w:val="clear" w:color="auto" w:fill="auto"/>
          </w:tcPr>
          <w:p w14:paraId="1CB216A0" w14:textId="1397B59D" w:rsidR="00157BF0" w:rsidRPr="00F93552" w:rsidRDefault="00157BF0" w:rsidP="00F93552">
            <w:pPr>
              <w:pStyle w:val="Paragraph"/>
              <w:spacing w:line="240" w:lineRule="auto"/>
              <w:rPr>
                <w:lang w:eastAsia="en-GB"/>
              </w:rPr>
            </w:pPr>
            <w:r w:rsidRPr="00F93552">
              <w:rPr>
                <w:rFonts w:cs="Arial"/>
                <w:color w:val="000000"/>
              </w:rPr>
              <w:t>Not specified</w:t>
            </w:r>
          </w:p>
        </w:tc>
        <w:tc>
          <w:tcPr>
            <w:tcW w:w="4682" w:type="dxa"/>
            <w:shd w:val="clear" w:color="auto" w:fill="auto"/>
          </w:tcPr>
          <w:p w14:paraId="771AAB39" w14:textId="3E1F0D7E" w:rsidR="00157BF0" w:rsidRPr="00F93552" w:rsidRDefault="00157BF0" w:rsidP="00F93552">
            <w:pPr>
              <w:pStyle w:val="Paragraph"/>
              <w:spacing w:line="240" w:lineRule="auto"/>
              <w:rPr>
                <w:lang w:eastAsia="en-GB"/>
              </w:rPr>
            </w:pPr>
            <w:r w:rsidRPr="00F93552">
              <w:rPr>
                <w:rFonts w:cs="Arial"/>
                <w:color w:val="000000"/>
              </w:rPr>
              <w:t xml:space="preserve">The disparity between the narrowness of the population and the broadness of the dressing types/antimicrobial agents means that generating high-quality evidence on clinical and/or economic </w:t>
            </w:r>
            <w:r w:rsidRPr="00F93552">
              <w:rPr>
                <w:rFonts w:cs="Arial"/>
                <w:color w:val="000000"/>
              </w:rPr>
              <w:lastRenderedPageBreak/>
              <w:t>outcomes will be very difficult to accomplish. The paucity of current evidence is testament to the barriers to conducting clinical trials in this area.</w:t>
            </w:r>
          </w:p>
        </w:tc>
        <w:tc>
          <w:tcPr>
            <w:tcW w:w="4135" w:type="dxa"/>
          </w:tcPr>
          <w:p w14:paraId="5527A543" w14:textId="0E3F75A1" w:rsidR="00157BF0" w:rsidRPr="00F93552" w:rsidRDefault="00D40581" w:rsidP="00F93552">
            <w:pPr>
              <w:pStyle w:val="Paragraph"/>
              <w:spacing w:line="240" w:lineRule="auto"/>
              <w:rPr>
                <w:lang w:eastAsia="en-GB"/>
              </w:rPr>
            </w:pPr>
            <w:r w:rsidRPr="00F93552">
              <w:rPr>
                <w:lang w:eastAsia="en-GB"/>
              </w:rPr>
              <w:lastRenderedPageBreak/>
              <w:t>Thank you for your comment.</w:t>
            </w:r>
            <w:r w:rsidR="00AC23F3" w:rsidRPr="00F93552">
              <w:rPr>
                <w:lang w:eastAsia="en-GB"/>
              </w:rPr>
              <w:t xml:space="preserve"> </w:t>
            </w:r>
            <w:r w:rsidR="00C5281B" w:rsidRPr="00F93552">
              <w:rPr>
                <w:lang w:eastAsia="en-GB"/>
              </w:rPr>
              <w:t>Please see response to comments 42.</w:t>
            </w:r>
          </w:p>
        </w:tc>
      </w:tr>
      <w:tr w:rsidR="00157BF0" w14:paraId="2668E371" w14:textId="77777777" w:rsidTr="3B4A8DFD">
        <w:tc>
          <w:tcPr>
            <w:tcW w:w="1323" w:type="dxa"/>
          </w:tcPr>
          <w:p w14:paraId="17363478" w14:textId="77777777" w:rsidR="00157BF0" w:rsidRPr="00F93552" w:rsidRDefault="00157BF0" w:rsidP="00F93552">
            <w:pPr>
              <w:pStyle w:val="Paragraph"/>
              <w:numPr>
                <w:ilvl w:val="0"/>
                <w:numId w:val="27"/>
              </w:numPr>
              <w:spacing w:line="240" w:lineRule="auto"/>
              <w:rPr>
                <w:lang w:eastAsia="en-GB"/>
              </w:rPr>
            </w:pPr>
          </w:p>
        </w:tc>
        <w:tc>
          <w:tcPr>
            <w:tcW w:w="1757" w:type="dxa"/>
            <w:shd w:val="clear" w:color="auto" w:fill="auto"/>
          </w:tcPr>
          <w:p w14:paraId="15879279" w14:textId="48558339" w:rsidR="00157BF0" w:rsidRPr="00F93552" w:rsidRDefault="00157BF0" w:rsidP="00F93552">
            <w:pPr>
              <w:pStyle w:val="Paragraph"/>
              <w:spacing w:line="240" w:lineRule="auto"/>
              <w:rPr>
                <w:lang w:eastAsia="en-GB"/>
              </w:rPr>
            </w:pPr>
            <w:r w:rsidRPr="00F93552">
              <w:rPr>
                <w:rFonts w:cs="Arial"/>
                <w:color w:val="000000"/>
              </w:rPr>
              <w:t>Consultee 15</w:t>
            </w:r>
            <w:r w:rsidRPr="00F93552">
              <w:rPr>
                <w:rFonts w:cs="Arial"/>
                <w:color w:val="000000"/>
              </w:rPr>
              <w:br/>
            </w:r>
            <w:proofErr w:type="spellStart"/>
            <w:r w:rsidRPr="00F93552">
              <w:rPr>
                <w:rFonts w:cs="Arial"/>
                <w:color w:val="000000"/>
              </w:rPr>
              <w:t>T.J.Smith</w:t>
            </w:r>
            <w:proofErr w:type="spellEnd"/>
            <w:r w:rsidRPr="00F93552">
              <w:rPr>
                <w:rFonts w:cs="Arial"/>
                <w:color w:val="000000"/>
              </w:rPr>
              <w:t xml:space="preserve"> and Nephew Ltd</w:t>
            </w:r>
          </w:p>
        </w:tc>
        <w:tc>
          <w:tcPr>
            <w:tcW w:w="2051" w:type="dxa"/>
            <w:shd w:val="clear" w:color="auto" w:fill="auto"/>
          </w:tcPr>
          <w:p w14:paraId="0D0AEC40" w14:textId="1398037E" w:rsidR="00157BF0" w:rsidRPr="00F93552" w:rsidRDefault="00157BF0" w:rsidP="00F93552">
            <w:pPr>
              <w:pStyle w:val="Paragraph"/>
              <w:spacing w:line="240" w:lineRule="auto"/>
              <w:rPr>
                <w:lang w:eastAsia="en-GB"/>
              </w:rPr>
            </w:pPr>
            <w:r w:rsidRPr="00F93552">
              <w:rPr>
                <w:rFonts w:cs="Arial"/>
                <w:color w:val="000000"/>
              </w:rPr>
              <w:t>1.3 What information is needed</w:t>
            </w:r>
          </w:p>
        </w:tc>
        <w:tc>
          <w:tcPr>
            <w:tcW w:w="4682" w:type="dxa"/>
            <w:shd w:val="clear" w:color="auto" w:fill="auto"/>
          </w:tcPr>
          <w:p w14:paraId="771600E1" w14:textId="49CAADD3" w:rsidR="00157BF0" w:rsidRPr="00F93552" w:rsidRDefault="00157BF0" w:rsidP="00F93552">
            <w:pPr>
              <w:pStyle w:val="Paragraph"/>
              <w:spacing w:line="240" w:lineRule="auto"/>
              <w:rPr>
                <w:lang w:eastAsia="en-GB"/>
              </w:rPr>
            </w:pPr>
            <w:r w:rsidRPr="00F93552">
              <w:rPr>
                <w:rFonts w:cs="Arial"/>
                <w:color w:val="000000"/>
              </w:rPr>
              <w:t xml:space="preserve">Clinical performance outcomes should </w:t>
            </w:r>
            <w:proofErr w:type="gramStart"/>
            <w:r w:rsidRPr="00F93552">
              <w:rPr>
                <w:rFonts w:cs="Arial"/>
                <w:color w:val="000000"/>
              </w:rPr>
              <w:t>include;</w:t>
            </w:r>
            <w:proofErr w:type="gramEnd"/>
            <w:r w:rsidRPr="00F93552">
              <w:rPr>
                <w:rFonts w:cs="Arial"/>
                <w:color w:val="000000"/>
              </w:rPr>
              <w:t xml:space="preserve"> infection load and the type of bacteria killed or removed by the dressing – this should clarify that wound sampling is required with microbiological analysis or relevant fluorescent measure.</w:t>
            </w:r>
            <w:r w:rsidRPr="00F93552">
              <w:rPr>
                <w:rFonts w:cs="Arial"/>
                <w:color w:val="000000"/>
              </w:rPr>
              <w:br/>
              <w:t xml:space="preserve">Clinical performance outcomes should </w:t>
            </w:r>
            <w:proofErr w:type="gramStart"/>
            <w:r w:rsidRPr="00F93552">
              <w:rPr>
                <w:rFonts w:cs="Arial"/>
                <w:color w:val="000000"/>
              </w:rPr>
              <w:t>include;</w:t>
            </w:r>
            <w:proofErr w:type="gramEnd"/>
            <w:r w:rsidRPr="00F93552">
              <w:rPr>
                <w:rFonts w:cs="Arial"/>
                <w:color w:val="000000"/>
              </w:rPr>
              <w:t xml:space="preserve"> Additional complications such as progression to systemic infection/ bacteraemia and require hospitalisation</w:t>
            </w:r>
          </w:p>
        </w:tc>
        <w:tc>
          <w:tcPr>
            <w:tcW w:w="4135" w:type="dxa"/>
          </w:tcPr>
          <w:p w14:paraId="222CA955" w14:textId="2026150F" w:rsidR="00157BF0" w:rsidRPr="00F93552" w:rsidRDefault="00D40581" w:rsidP="00F93552">
            <w:pPr>
              <w:pStyle w:val="Paragraph"/>
              <w:spacing w:line="240" w:lineRule="auto"/>
              <w:rPr>
                <w:lang w:eastAsia="en-GB"/>
              </w:rPr>
            </w:pPr>
            <w:r w:rsidRPr="00F93552">
              <w:rPr>
                <w:lang w:eastAsia="en-GB"/>
              </w:rPr>
              <w:t>Thank you for your comment.</w:t>
            </w:r>
            <w:r w:rsidR="00346211" w:rsidRPr="00F93552">
              <w:rPr>
                <w:lang w:eastAsia="en-GB"/>
              </w:rPr>
              <w:t xml:space="preserve"> This was discussed in committee and decided not to include as </w:t>
            </w:r>
            <w:r w:rsidR="00953CA8" w:rsidRPr="00F93552">
              <w:rPr>
                <w:lang w:eastAsia="en-GB"/>
              </w:rPr>
              <w:t xml:space="preserve">the process of wound sampling is </w:t>
            </w:r>
            <w:r w:rsidR="00B11682" w:rsidRPr="00F93552">
              <w:rPr>
                <w:lang w:eastAsia="en-GB"/>
              </w:rPr>
              <w:t>inferred for this to happen. The additional clinical outcomes</w:t>
            </w:r>
            <w:r w:rsidR="006060C6" w:rsidRPr="00F93552">
              <w:rPr>
                <w:lang w:eastAsia="en-GB"/>
              </w:rPr>
              <w:t xml:space="preserve"> </w:t>
            </w:r>
            <w:r w:rsidR="005E5D7A" w:rsidRPr="00F93552">
              <w:rPr>
                <w:lang w:eastAsia="en-GB"/>
              </w:rPr>
              <w:t>are</w:t>
            </w:r>
            <w:r w:rsidR="006060C6" w:rsidRPr="00F93552">
              <w:rPr>
                <w:lang w:eastAsia="en-GB"/>
              </w:rPr>
              <w:t xml:space="preserve"> now captured by ‘</w:t>
            </w:r>
            <w:r w:rsidR="005E5D7A" w:rsidRPr="00F93552">
              <w:rPr>
                <w:lang w:eastAsia="en-GB"/>
              </w:rPr>
              <w:t>the number of people who progress to needing oral antibiotics progressing to escalation of care and any associated resource costs.</w:t>
            </w:r>
            <w:r w:rsidR="006060C6" w:rsidRPr="00F93552">
              <w:rPr>
                <w:lang w:eastAsia="en-GB"/>
              </w:rPr>
              <w:t>’</w:t>
            </w:r>
            <w:r w:rsidR="00B11682" w:rsidRPr="00F93552">
              <w:rPr>
                <w:lang w:eastAsia="en-GB"/>
              </w:rPr>
              <w:t xml:space="preserve"> </w:t>
            </w:r>
          </w:p>
        </w:tc>
      </w:tr>
    </w:tbl>
    <w:p w14:paraId="6A049A3F" w14:textId="77777777" w:rsidR="0066038A" w:rsidRDefault="0066038A" w:rsidP="00EB53E2"/>
    <w:p w14:paraId="0E342351" w14:textId="77777777" w:rsidR="006C65A7" w:rsidRDefault="006C65A7" w:rsidP="006C65A7">
      <w:pPr>
        <w:pStyle w:val="Heading1"/>
        <w:spacing w:line="240" w:lineRule="auto"/>
      </w:pPr>
      <w:r>
        <w:t xml:space="preserve">Table 5: why the committee made these recommendations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2"/>
        <w:gridCol w:w="2124"/>
        <w:gridCol w:w="4649"/>
        <w:gridCol w:w="4100"/>
      </w:tblGrid>
      <w:tr w:rsidR="006062B8" w14:paraId="50AEF0C1" w14:textId="77777777" w:rsidTr="00832950">
        <w:tc>
          <w:tcPr>
            <w:tcW w:w="1323" w:type="dxa"/>
          </w:tcPr>
          <w:p w14:paraId="4FD2DA8C" w14:textId="012DD822" w:rsidR="006062B8" w:rsidRPr="00F93552" w:rsidRDefault="006062B8" w:rsidP="00F93552">
            <w:pPr>
              <w:pStyle w:val="Paragraph"/>
              <w:spacing w:line="240" w:lineRule="auto"/>
              <w:rPr>
                <w:lang w:eastAsia="en-GB"/>
              </w:rPr>
            </w:pPr>
            <w:r w:rsidRPr="00F93552">
              <w:rPr>
                <w:b/>
                <w:bCs/>
                <w:lang w:eastAsia="en-GB"/>
              </w:rPr>
              <w:t>Comment no.</w:t>
            </w:r>
          </w:p>
        </w:tc>
        <w:tc>
          <w:tcPr>
            <w:tcW w:w="1752" w:type="dxa"/>
            <w:tcBorders>
              <w:top w:val="single" w:sz="4" w:space="0" w:color="auto"/>
              <w:left w:val="nil"/>
              <w:bottom w:val="single" w:sz="4" w:space="0" w:color="auto"/>
              <w:right w:val="single" w:sz="4" w:space="0" w:color="auto"/>
            </w:tcBorders>
            <w:shd w:val="clear" w:color="auto" w:fill="auto"/>
          </w:tcPr>
          <w:p w14:paraId="67170619" w14:textId="56C93F7B" w:rsidR="006062B8" w:rsidRPr="00F93552" w:rsidRDefault="006062B8" w:rsidP="00F93552">
            <w:pPr>
              <w:pStyle w:val="Paragraph"/>
              <w:spacing w:line="240" w:lineRule="auto"/>
              <w:rPr>
                <w:rFonts w:cs="Arial"/>
                <w:color w:val="000000"/>
              </w:rPr>
            </w:pPr>
            <w:r w:rsidRPr="00F93552">
              <w:rPr>
                <w:b/>
                <w:bCs/>
                <w:lang w:eastAsia="en-GB"/>
              </w:rPr>
              <w:t>Consultee</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951D3BB" w14:textId="01953532" w:rsidR="006062B8" w:rsidRPr="00F93552" w:rsidRDefault="006062B8" w:rsidP="00F93552">
            <w:pPr>
              <w:pStyle w:val="Paragraph"/>
              <w:spacing w:line="240" w:lineRule="auto"/>
              <w:rPr>
                <w:rFonts w:cs="Arial"/>
                <w:color w:val="000000"/>
              </w:rPr>
            </w:pPr>
            <w:r w:rsidRPr="00F93552">
              <w:rPr>
                <w:b/>
                <w:bCs/>
                <w:lang w:eastAsia="en-GB"/>
              </w:rPr>
              <w:t>Section no.</w:t>
            </w:r>
          </w:p>
        </w:tc>
        <w:tc>
          <w:tcPr>
            <w:tcW w:w="4649" w:type="dxa"/>
            <w:tcBorders>
              <w:top w:val="single" w:sz="4" w:space="0" w:color="auto"/>
              <w:left w:val="single" w:sz="4" w:space="0" w:color="auto"/>
              <w:bottom w:val="single" w:sz="4" w:space="0" w:color="auto"/>
              <w:right w:val="nil"/>
            </w:tcBorders>
            <w:shd w:val="clear" w:color="auto" w:fill="auto"/>
          </w:tcPr>
          <w:p w14:paraId="5334A74A" w14:textId="54266022" w:rsidR="006062B8" w:rsidRPr="00F93552" w:rsidRDefault="006062B8" w:rsidP="00F93552">
            <w:pPr>
              <w:pStyle w:val="Paragraph"/>
              <w:spacing w:line="240" w:lineRule="auto"/>
              <w:rPr>
                <w:rFonts w:cs="Arial"/>
                <w:color w:val="000000"/>
              </w:rPr>
            </w:pPr>
            <w:r w:rsidRPr="00F93552">
              <w:rPr>
                <w:b/>
                <w:bCs/>
                <w:lang w:eastAsia="en-GB"/>
              </w:rPr>
              <w:t>Comment</w:t>
            </w:r>
          </w:p>
        </w:tc>
        <w:tc>
          <w:tcPr>
            <w:tcW w:w="4100" w:type="dxa"/>
          </w:tcPr>
          <w:p w14:paraId="2602B38D" w14:textId="5F42CF31" w:rsidR="006062B8" w:rsidRPr="00F93552" w:rsidRDefault="006062B8" w:rsidP="00F93552">
            <w:pPr>
              <w:pStyle w:val="Paragraph"/>
              <w:spacing w:line="240" w:lineRule="auto"/>
              <w:rPr>
                <w:lang w:eastAsia="en-GB"/>
              </w:rPr>
            </w:pPr>
            <w:r w:rsidRPr="00F93552">
              <w:rPr>
                <w:b/>
                <w:bCs/>
                <w:lang w:eastAsia="en-GB"/>
              </w:rPr>
              <w:t>Response</w:t>
            </w:r>
          </w:p>
        </w:tc>
      </w:tr>
      <w:tr w:rsidR="00BE3F5B" w14:paraId="5B0901F3" w14:textId="77777777" w:rsidTr="00832950">
        <w:tc>
          <w:tcPr>
            <w:tcW w:w="1323" w:type="dxa"/>
          </w:tcPr>
          <w:p w14:paraId="3BDC30AD" w14:textId="77777777" w:rsidR="00BE3F5B" w:rsidRPr="00F93552" w:rsidRDefault="00BE3F5B" w:rsidP="00F93552">
            <w:pPr>
              <w:pStyle w:val="Paragraph"/>
              <w:numPr>
                <w:ilvl w:val="0"/>
                <w:numId w:val="27"/>
              </w:numPr>
              <w:spacing w:line="240" w:lineRule="auto"/>
              <w:rPr>
                <w:lang w:eastAsia="en-GB"/>
              </w:rPr>
            </w:pPr>
          </w:p>
        </w:tc>
        <w:tc>
          <w:tcPr>
            <w:tcW w:w="1752" w:type="dxa"/>
            <w:tcBorders>
              <w:top w:val="single" w:sz="4" w:space="0" w:color="auto"/>
              <w:left w:val="nil"/>
              <w:bottom w:val="single" w:sz="4" w:space="0" w:color="auto"/>
              <w:right w:val="single" w:sz="4" w:space="0" w:color="auto"/>
            </w:tcBorders>
            <w:shd w:val="clear" w:color="auto" w:fill="auto"/>
          </w:tcPr>
          <w:p w14:paraId="09444261" w14:textId="7BC577F6" w:rsidR="00BE3F5B" w:rsidRPr="00F93552" w:rsidRDefault="00BE3F5B" w:rsidP="00F93552">
            <w:pPr>
              <w:pStyle w:val="Paragraph"/>
              <w:spacing w:line="240" w:lineRule="auto"/>
              <w:rPr>
                <w:rFonts w:cs="Arial"/>
                <w:color w:val="000000"/>
              </w:rPr>
            </w:pPr>
            <w:r w:rsidRPr="00F93552">
              <w:rPr>
                <w:rFonts w:cs="Arial"/>
                <w:color w:val="000000"/>
              </w:rPr>
              <w:t>Consultee 3</w:t>
            </w:r>
            <w:r w:rsidRPr="00F93552">
              <w:rPr>
                <w:rFonts w:cs="Arial"/>
                <w:color w:val="000000"/>
              </w:rPr>
              <w:br/>
              <w:t>Individual</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AB33B70" w14:textId="61982010" w:rsidR="00BE3F5B" w:rsidRPr="00F93552" w:rsidRDefault="00BE3F5B" w:rsidP="00F93552">
            <w:pPr>
              <w:pStyle w:val="Paragraph"/>
              <w:spacing w:line="240" w:lineRule="auto"/>
              <w:rPr>
                <w:rFonts w:cs="Arial"/>
                <w:color w:val="000000"/>
              </w:rPr>
            </w:pPr>
            <w:r w:rsidRPr="00F93552">
              <w:rPr>
                <w:rFonts w:cs="Arial"/>
                <w:color w:val="000000"/>
              </w:rPr>
              <w:t>1.3 Why the committee made these recommendations</w:t>
            </w:r>
          </w:p>
        </w:tc>
        <w:tc>
          <w:tcPr>
            <w:tcW w:w="4649" w:type="dxa"/>
            <w:tcBorders>
              <w:top w:val="single" w:sz="4" w:space="0" w:color="auto"/>
              <w:left w:val="single" w:sz="4" w:space="0" w:color="auto"/>
              <w:bottom w:val="single" w:sz="4" w:space="0" w:color="auto"/>
              <w:right w:val="nil"/>
            </w:tcBorders>
            <w:shd w:val="clear" w:color="auto" w:fill="auto"/>
          </w:tcPr>
          <w:p w14:paraId="68FBF401" w14:textId="2412E965" w:rsidR="00BE3F5B" w:rsidRPr="00F93552" w:rsidRDefault="00BE3F5B" w:rsidP="00F93552">
            <w:pPr>
              <w:pStyle w:val="Paragraph"/>
              <w:spacing w:line="240" w:lineRule="auto"/>
              <w:rPr>
                <w:rFonts w:cs="Arial"/>
                <w:color w:val="000000"/>
              </w:rPr>
            </w:pPr>
            <w:r w:rsidRPr="00F93552">
              <w:rPr>
                <w:rFonts w:cs="Arial"/>
                <w:color w:val="000000"/>
              </w:rPr>
              <w:t>This is a misleading statement - as this may also mean that the cheapest dressing may not be the best choice either but is inferred.</w:t>
            </w:r>
          </w:p>
        </w:tc>
        <w:tc>
          <w:tcPr>
            <w:tcW w:w="4100" w:type="dxa"/>
          </w:tcPr>
          <w:p w14:paraId="24CCACAC" w14:textId="37BA04D7" w:rsidR="00BE3F5B" w:rsidRPr="00F93552" w:rsidRDefault="00CF1548" w:rsidP="00F93552">
            <w:pPr>
              <w:pStyle w:val="Paragraph"/>
              <w:spacing w:line="240" w:lineRule="auto"/>
              <w:rPr>
                <w:lang w:eastAsia="en-GB"/>
              </w:rPr>
            </w:pPr>
            <w:r w:rsidRPr="00F93552">
              <w:rPr>
                <w:lang w:eastAsia="en-GB"/>
              </w:rPr>
              <w:t>Thank you for your comment</w:t>
            </w:r>
            <w:r w:rsidR="00CE1179" w:rsidRPr="00F93552">
              <w:rPr>
                <w:lang w:eastAsia="en-GB"/>
              </w:rPr>
              <w:t>.</w:t>
            </w:r>
            <w:r w:rsidRPr="00F93552">
              <w:rPr>
                <w:lang w:eastAsia="en-GB"/>
              </w:rPr>
              <w:t xml:space="preserve"> </w:t>
            </w:r>
            <w:r w:rsidR="00CE1179" w:rsidRPr="00F93552">
              <w:rPr>
                <w:lang w:eastAsia="en-GB"/>
              </w:rPr>
              <w:t>P</w:t>
            </w:r>
            <w:r w:rsidRPr="00F93552">
              <w:rPr>
                <w:lang w:eastAsia="en-GB"/>
              </w:rPr>
              <w:t xml:space="preserve">lease see response to comment </w:t>
            </w:r>
            <w:r w:rsidR="005E5D7A" w:rsidRPr="00F93552">
              <w:rPr>
                <w:lang w:eastAsia="en-GB"/>
              </w:rPr>
              <w:t>3</w:t>
            </w:r>
            <w:r w:rsidR="00407BCD" w:rsidRPr="00F93552">
              <w:rPr>
                <w:lang w:eastAsia="en-GB"/>
              </w:rPr>
              <w:t>.</w:t>
            </w:r>
          </w:p>
        </w:tc>
      </w:tr>
      <w:tr w:rsidR="00BE3F5B" w14:paraId="1553E5EE" w14:textId="77777777" w:rsidTr="00832950">
        <w:tc>
          <w:tcPr>
            <w:tcW w:w="1323" w:type="dxa"/>
          </w:tcPr>
          <w:p w14:paraId="039C9B5A" w14:textId="77777777" w:rsidR="00BE3F5B" w:rsidRPr="00F93552" w:rsidRDefault="00BE3F5B" w:rsidP="00F93552">
            <w:pPr>
              <w:pStyle w:val="Paragraph"/>
              <w:numPr>
                <w:ilvl w:val="0"/>
                <w:numId w:val="27"/>
              </w:numPr>
              <w:spacing w:line="240" w:lineRule="auto"/>
              <w:rPr>
                <w:lang w:eastAsia="en-GB"/>
              </w:rPr>
            </w:pPr>
          </w:p>
        </w:tc>
        <w:tc>
          <w:tcPr>
            <w:tcW w:w="1752" w:type="dxa"/>
            <w:tcBorders>
              <w:top w:val="single" w:sz="4" w:space="0" w:color="auto"/>
              <w:left w:val="nil"/>
              <w:bottom w:val="single" w:sz="4" w:space="0" w:color="auto"/>
              <w:right w:val="single" w:sz="4" w:space="0" w:color="auto"/>
            </w:tcBorders>
            <w:shd w:val="clear" w:color="auto" w:fill="auto"/>
          </w:tcPr>
          <w:p w14:paraId="2A007788" w14:textId="04908A88" w:rsidR="00BE3F5B" w:rsidRPr="00F93552" w:rsidRDefault="00BE3F5B" w:rsidP="00F93552">
            <w:pPr>
              <w:pStyle w:val="Paragraph"/>
              <w:spacing w:line="240" w:lineRule="auto"/>
              <w:rPr>
                <w:rFonts w:cs="Arial"/>
                <w:color w:val="000000"/>
              </w:rPr>
            </w:pPr>
            <w:r w:rsidRPr="00F93552">
              <w:rPr>
                <w:rFonts w:cs="Arial"/>
                <w:color w:val="000000"/>
              </w:rPr>
              <w:t>Consultee 3</w:t>
            </w:r>
            <w:r w:rsidRPr="00F93552">
              <w:rPr>
                <w:rFonts w:cs="Arial"/>
                <w:color w:val="000000"/>
              </w:rPr>
              <w:br/>
              <w:t>Individual</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EF659D8" w14:textId="381F37C8" w:rsidR="00BE3F5B" w:rsidRPr="00F93552" w:rsidRDefault="00BE3F5B" w:rsidP="00F93552">
            <w:pPr>
              <w:pStyle w:val="Paragraph"/>
              <w:spacing w:line="240" w:lineRule="auto"/>
              <w:rPr>
                <w:rFonts w:cs="Arial"/>
                <w:color w:val="000000"/>
              </w:rPr>
            </w:pPr>
            <w:r w:rsidRPr="00F93552">
              <w:rPr>
                <w:rFonts w:cs="Arial"/>
                <w:color w:val="000000"/>
              </w:rPr>
              <w:t>1.3 Why the committee made these recommendations</w:t>
            </w:r>
          </w:p>
        </w:tc>
        <w:tc>
          <w:tcPr>
            <w:tcW w:w="4649" w:type="dxa"/>
            <w:tcBorders>
              <w:top w:val="single" w:sz="4" w:space="0" w:color="auto"/>
              <w:left w:val="single" w:sz="4" w:space="0" w:color="auto"/>
              <w:bottom w:val="single" w:sz="4" w:space="0" w:color="auto"/>
              <w:right w:val="nil"/>
            </w:tcBorders>
            <w:shd w:val="clear" w:color="auto" w:fill="auto"/>
          </w:tcPr>
          <w:p w14:paraId="7BE1B192" w14:textId="20ABCC39" w:rsidR="00BE3F5B" w:rsidRPr="00F93552" w:rsidRDefault="00BE3F5B" w:rsidP="00F93552">
            <w:pPr>
              <w:pStyle w:val="Paragraph"/>
              <w:spacing w:line="240" w:lineRule="auto"/>
              <w:rPr>
                <w:rFonts w:cs="Arial"/>
                <w:color w:val="000000"/>
              </w:rPr>
            </w:pPr>
            <w:r w:rsidRPr="00F93552">
              <w:rPr>
                <w:rFonts w:cs="Arial"/>
                <w:color w:val="000000"/>
              </w:rPr>
              <w:t>This guidance will lead to Clinical teams only being able to use the cheapest dressing not the most clinically effective with the highest chance of success in clinical trials. It will also restrict any Real-world data collection across a broad range of interventions to be able to build the data.</w:t>
            </w:r>
          </w:p>
        </w:tc>
        <w:tc>
          <w:tcPr>
            <w:tcW w:w="4100" w:type="dxa"/>
          </w:tcPr>
          <w:p w14:paraId="1C6622DB" w14:textId="7977988E" w:rsidR="00BE3F5B" w:rsidRPr="00F93552" w:rsidRDefault="00CE1179" w:rsidP="00F93552">
            <w:pPr>
              <w:pStyle w:val="Paragraph"/>
              <w:spacing w:line="240" w:lineRule="auto"/>
              <w:rPr>
                <w:lang w:eastAsia="en-GB"/>
              </w:rPr>
            </w:pPr>
            <w:r w:rsidRPr="00F93552">
              <w:rPr>
                <w:lang w:eastAsia="en-GB"/>
              </w:rPr>
              <w:t>Thank you for your comment. Please see responses to c</w:t>
            </w:r>
            <w:r w:rsidR="00226CD8" w:rsidRPr="00F93552">
              <w:rPr>
                <w:lang w:eastAsia="en-GB"/>
              </w:rPr>
              <w:t xml:space="preserve">omments 3 and </w:t>
            </w:r>
            <w:r w:rsidR="00850570" w:rsidRPr="00F93552">
              <w:rPr>
                <w:lang w:eastAsia="en-GB"/>
              </w:rPr>
              <w:t>8</w:t>
            </w:r>
            <w:r w:rsidR="00211171" w:rsidRPr="00F93552">
              <w:rPr>
                <w:lang w:eastAsia="en-GB"/>
              </w:rPr>
              <w:t>.</w:t>
            </w:r>
          </w:p>
        </w:tc>
      </w:tr>
      <w:tr w:rsidR="00BE3F5B" w14:paraId="2D5D2E56" w14:textId="77777777" w:rsidTr="00832950">
        <w:tc>
          <w:tcPr>
            <w:tcW w:w="1323" w:type="dxa"/>
          </w:tcPr>
          <w:p w14:paraId="4EA8A20B" w14:textId="77777777" w:rsidR="00BE3F5B" w:rsidRPr="00F93552" w:rsidRDefault="00BE3F5B" w:rsidP="00F93552">
            <w:pPr>
              <w:pStyle w:val="Paragraph"/>
              <w:numPr>
                <w:ilvl w:val="0"/>
                <w:numId w:val="27"/>
              </w:numPr>
              <w:spacing w:line="240" w:lineRule="auto"/>
              <w:rPr>
                <w:lang w:eastAsia="en-GB"/>
              </w:rPr>
            </w:pPr>
          </w:p>
        </w:tc>
        <w:tc>
          <w:tcPr>
            <w:tcW w:w="1752" w:type="dxa"/>
            <w:tcBorders>
              <w:top w:val="single" w:sz="4" w:space="0" w:color="auto"/>
              <w:left w:val="nil"/>
              <w:bottom w:val="single" w:sz="4" w:space="0" w:color="auto"/>
              <w:right w:val="single" w:sz="4" w:space="0" w:color="auto"/>
            </w:tcBorders>
            <w:shd w:val="clear" w:color="auto" w:fill="auto"/>
          </w:tcPr>
          <w:p w14:paraId="365D5DE2" w14:textId="79C67501" w:rsidR="00BE3F5B" w:rsidRPr="00F93552" w:rsidRDefault="00BE3F5B" w:rsidP="00F93552">
            <w:pPr>
              <w:pStyle w:val="Paragraph"/>
              <w:spacing w:line="240" w:lineRule="auto"/>
              <w:rPr>
                <w:rFonts w:cs="Arial"/>
                <w:color w:val="000000"/>
              </w:rPr>
            </w:pPr>
            <w:r w:rsidRPr="00F93552">
              <w:rPr>
                <w:rFonts w:cs="Arial"/>
                <w:color w:val="000000"/>
              </w:rPr>
              <w:t>Consultee 14</w:t>
            </w:r>
            <w:r w:rsidRPr="00F93552">
              <w:rPr>
                <w:rFonts w:cs="Arial"/>
                <w:color w:val="000000"/>
              </w:rPr>
              <w:br/>
              <w:t>Essity</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36E7716E" w14:textId="4D83A072" w:rsidR="00BE3F5B" w:rsidRPr="00F93552" w:rsidRDefault="00BE3F5B" w:rsidP="00F93552">
            <w:pPr>
              <w:pStyle w:val="Paragraph"/>
              <w:spacing w:line="240" w:lineRule="auto"/>
              <w:rPr>
                <w:rFonts w:cs="Arial"/>
                <w:color w:val="000000"/>
              </w:rPr>
            </w:pPr>
            <w:r w:rsidRPr="00F93552">
              <w:rPr>
                <w:rFonts w:cs="Arial"/>
                <w:color w:val="000000"/>
              </w:rPr>
              <w:t>3.2 Current practice</w:t>
            </w:r>
          </w:p>
        </w:tc>
        <w:tc>
          <w:tcPr>
            <w:tcW w:w="4649" w:type="dxa"/>
            <w:tcBorders>
              <w:top w:val="single" w:sz="4" w:space="0" w:color="auto"/>
              <w:left w:val="single" w:sz="4" w:space="0" w:color="auto"/>
              <w:bottom w:val="single" w:sz="4" w:space="0" w:color="auto"/>
              <w:right w:val="nil"/>
            </w:tcBorders>
            <w:shd w:val="clear" w:color="auto" w:fill="auto"/>
          </w:tcPr>
          <w:p w14:paraId="67F769FE" w14:textId="4DAF23A2" w:rsidR="00BE3F5B" w:rsidRPr="00F93552" w:rsidRDefault="00BE3F5B" w:rsidP="00F93552">
            <w:pPr>
              <w:pStyle w:val="Paragraph"/>
              <w:spacing w:line="240" w:lineRule="auto"/>
              <w:rPr>
                <w:rFonts w:cs="Arial"/>
                <w:color w:val="000000"/>
              </w:rPr>
            </w:pPr>
            <w:r w:rsidRPr="00F93552">
              <w:rPr>
                <w:rFonts w:cs="Arial"/>
                <w:color w:val="000000"/>
              </w:rPr>
              <w:t xml:space="preserve">Evidence shows that people with infected leg ulcers are often not involved in selecting their antimicrobial dressing – This in theory is very use however in practice this could be very hard to deliver in an equitable way. If the patient needs to be involved in the selection of product the HCP will need to have time and knowledge of each dressing available in the market. As formularies will choose products </w:t>
            </w:r>
            <w:proofErr w:type="spellStart"/>
            <w:r w:rsidRPr="00F93552">
              <w:rPr>
                <w:rFonts w:cs="Arial"/>
                <w:color w:val="000000"/>
              </w:rPr>
              <w:t>inline</w:t>
            </w:r>
            <w:proofErr w:type="spellEnd"/>
            <w:r w:rsidRPr="00F93552">
              <w:rPr>
                <w:rFonts w:cs="Arial"/>
                <w:color w:val="000000"/>
              </w:rPr>
              <w:t xml:space="preserve"> with trust strategies how will the patient have full knowledge of all products available. If the patient selects a product which is not on formulary has the recommendation </w:t>
            </w:r>
            <w:proofErr w:type="gramStart"/>
            <w:r w:rsidRPr="00F93552">
              <w:rPr>
                <w:rFonts w:cs="Arial"/>
                <w:color w:val="000000"/>
              </w:rPr>
              <w:t>taken into account</w:t>
            </w:r>
            <w:proofErr w:type="gramEnd"/>
            <w:r w:rsidRPr="00F93552">
              <w:rPr>
                <w:rFonts w:cs="Arial"/>
                <w:color w:val="000000"/>
              </w:rPr>
              <w:t xml:space="preserve"> how the product will be ordered and how the HCP will be confident in applying and explaining the features and benefits over other dressings. Also as stated there are over 30 AMDs available has the recommendations taken into </w:t>
            </w:r>
            <w:r w:rsidRPr="00F93552">
              <w:rPr>
                <w:rFonts w:cs="Arial"/>
                <w:color w:val="000000"/>
              </w:rPr>
              <w:lastRenderedPageBreak/>
              <w:t xml:space="preserve">consideration the already understaffed and stretched workload of the </w:t>
            </w:r>
            <w:proofErr w:type="gramStart"/>
            <w:r w:rsidRPr="00F93552">
              <w:rPr>
                <w:rFonts w:cs="Arial"/>
                <w:color w:val="000000"/>
              </w:rPr>
              <w:t>NHS ?</w:t>
            </w:r>
            <w:proofErr w:type="gramEnd"/>
            <w:r w:rsidRPr="00F93552">
              <w:rPr>
                <w:rFonts w:cs="Arial"/>
                <w:color w:val="000000"/>
              </w:rPr>
              <w:t xml:space="preserve"> This would need extra HCPs time to have a full discussion around all the AMDs available</w:t>
            </w:r>
          </w:p>
        </w:tc>
        <w:tc>
          <w:tcPr>
            <w:tcW w:w="4100" w:type="dxa"/>
          </w:tcPr>
          <w:p w14:paraId="19AA17BB" w14:textId="1BC3527C" w:rsidR="00BE3F5B" w:rsidRPr="00F93552" w:rsidRDefault="00BF5B6B" w:rsidP="00F93552">
            <w:pPr>
              <w:pStyle w:val="Paragraph"/>
              <w:spacing w:line="240" w:lineRule="auto"/>
              <w:rPr>
                <w:lang w:eastAsia="en-GB"/>
              </w:rPr>
            </w:pPr>
            <w:r w:rsidRPr="00F93552">
              <w:rPr>
                <w:lang w:eastAsia="en-GB"/>
              </w:rPr>
              <w:lastRenderedPageBreak/>
              <w:t>Thank you for your comment. Please see response to comment 30.</w:t>
            </w:r>
          </w:p>
        </w:tc>
      </w:tr>
      <w:tr w:rsidR="00BE3F5B" w14:paraId="4CAAC609" w14:textId="77777777" w:rsidTr="00832950">
        <w:tc>
          <w:tcPr>
            <w:tcW w:w="1323" w:type="dxa"/>
          </w:tcPr>
          <w:p w14:paraId="6AC76511" w14:textId="77777777" w:rsidR="00BE3F5B" w:rsidRPr="00F93552" w:rsidRDefault="00BE3F5B" w:rsidP="00F93552">
            <w:pPr>
              <w:pStyle w:val="Paragraph"/>
              <w:numPr>
                <w:ilvl w:val="0"/>
                <w:numId w:val="27"/>
              </w:numPr>
              <w:spacing w:line="240" w:lineRule="auto"/>
              <w:rPr>
                <w:lang w:eastAsia="en-GB"/>
              </w:rPr>
            </w:pPr>
          </w:p>
        </w:tc>
        <w:tc>
          <w:tcPr>
            <w:tcW w:w="1752" w:type="dxa"/>
            <w:tcBorders>
              <w:top w:val="single" w:sz="4" w:space="0" w:color="auto"/>
              <w:left w:val="nil"/>
              <w:bottom w:val="single" w:sz="4" w:space="0" w:color="auto"/>
              <w:right w:val="single" w:sz="4" w:space="0" w:color="auto"/>
            </w:tcBorders>
            <w:shd w:val="clear" w:color="auto" w:fill="auto"/>
          </w:tcPr>
          <w:p w14:paraId="7E7D367B" w14:textId="52F6DF1C" w:rsidR="00BE3F5B" w:rsidRPr="00F93552" w:rsidRDefault="00BE3F5B" w:rsidP="00F93552">
            <w:pPr>
              <w:pStyle w:val="Paragraph"/>
              <w:spacing w:line="240" w:lineRule="auto"/>
              <w:rPr>
                <w:rFonts w:cs="Arial"/>
                <w:color w:val="000000"/>
              </w:rPr>
            </w:pPr>
            <w:r w:rsidRPr="00F93552">
              <w:rPr>
                <w:rFonts w:cs="Arial"/>
                <w:color w:val="000000"/>
              </w:rPr>
              <w:t>Consultee 15</w:t>
            </w:r>
            <w:r w:rsidRPr="00F93552">
              <w:rPr>
                <w:rFonts w:cs="Arial"/>
                <w:color w:val="000000"/>
              </w:rPr>
              <w:br/>
            </w:r>
            <w:proofErr w:type="spellStart"/>
            <w:r w:rsidRPr="00F93552">
              <w:rPr>
                <w:rFonts w:cs="Arial"/>
                <w:color w:val="000000"/>
              </w:rPr>
              <w:t>T.J.Smith</w:t>
            </w:r>
            <w:proofErr w:type="spellEnd"/>
            <w:r w:rsidRPr="00F93552">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4A00FE3" w14:textId="63DA062B" w:rsidR="00BE3F5B" w:rsidRPr="00F93552" w:rsidRDefault="00BE3F5B" w:rsidP="00F93552">
            <w:pPr>
              <w:pStyle w:val="Paragraph"/>
              <w:spacing w:line="240" w:lineRule="auto"/>
              <w:rPr>
                <w:rFonts w:cs="Arial"/>
                <w:color w:val="000000"/>
              </w:rPr>
            </w:pPr>
            <w:r w:rsidRPr="00F93552">
              <w:rPr>
                <w:rFonts w:cs="Arial"/>
                <w:color w:val="000000"/>
              </w:rPr>
              <w:t>1.3 Why the committee made these recommendations</w:t>
            </w:r>
          </w:p>
        </w:tc>
        <w:tc>
          <w:tcPr>
            <w:tcW w:w="4649" w:type="dxa"/>
            <w:tcBorders>
              <w:top w:val="single" w:sz="4" w:space="0" w:color="auto"/>
              <w:left w:val="single" w:sz="4" w:space="0" w:color="auto"/>
              <w:bottom w:val="single" w:sz="4" w:space="0" w:color="auto"/>
              <w:right w:val="nil"/>
            </w:tcBorders>
            <w:shd w:val="clear" w:color="auto" w:fill="auto"/>
          </w:tcPr>
          <w:p w14:paraId="2B8E2D0A" w14:textId="3E2B8706" w:rsidR="00BE3F5B" w:rsidRPr="00F93552" w:rsidRDefault="00BE3F5B" w:rsidP="00F93552">
            <w:pPr>
              <w:pStyle w:val="Paragraph"/>
              <w:spacing w:line="240" w:lineRule="auto"/>
              <w:rPr>
                <w:rFonts w:cs="Arial"/>
                <w:color w:val="000000"/>
              </w:rPr>
            </w:pPr>
            <w:r w:rsidRPr="00F93552">
              <w:rPr>
                <w:rFonts w:cs="Arial"/>
                <w:color w:val="000000"/>
              </w:rPr>
              <w:t>Misleading statement: “So it is not possible to say whether price differences are justified” - This also means that the cheapest dressing will not necessarily be the best choice and could be misleading.</w:t>
            </w:r>
          </w:p>
        </w:tc>
        <w:tc>
          <w:tcPr>
            <w:tcW w:w="4100" w:type="dxa"/>
          </w:tcPr>
          <w:p w14:paraId="0862AD9B" w14:textId="02E14F27" w:rsidR="00BE3F5B" w:rsidRPr="00F93552" w:rsidRDefault="00A909D3" w:rsidP="00F93552">
            <w:pPr>
              <w:pStyle w:val="Paragraph"/>
              <w:spacing w:line="240" w:lineRule="auto"/>
              <w:rPr>
                <w:lang w:eastAsia="en-GB"/>
              </w:rPr>
            </w:pPr>
            <w:r w:rsidRPr="00F93552">
              <w:rPr>
                <w:lang w:eastAsia="en-GB"/>
              </w:rPr>
              <w:t xml:space="preserve">Thank you for your comment. Please response to comment </w:t>
            </w:r>
            <w:r w:rsidR="00104400" w:rsidRPr="00F93552">
              <w:rPr>
                <w:lang w:eastAsia="en-GB"/>
              </w:rPr>
              <w:t>3</w:t>
            </w:r>
            <w:r w:rsidRPr="00F93552">
              <w:rPr>
                <w:lang w:eastAsia="en-GB"/>
              </w:rPr>
              <w:t>.</w:t>
            </w:r>
          </w:p>
        </w:tc>
      </w:tr>
    </w:tbl>
    <w:p w14:paraId="4B24DFB7" w14:textId="77777777" w:rsidR="00832950" w:rsidRDefault="00832950" w:rsidP="00832950">
      <w:pPr>
        <w:pStyle w:val="Heading1"/>
        <w:spacing w:line="240" w:lineRule="auto"/>
      </w:pPr>
      <w:r>
        <w:t>Table 6: health economic section of draft guidance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6062B8" w14:paraId="07E0753E" w14:textId="77777777" w:rsidTr="00F93552">
        <w:tc>
          <w:tcPr>
            <w:tcW w:w="1323" w:type="dxa"/>
            <w:shd w:val="clear" w:color="auto" w:fill="D9D9D9" w:themeFill="background1" w:themeFillShade="D9"/>
          </w:tcPr>
          <w:p w14:paraId="586ADA3C" w14:textId="7CF607BA" w:rsidR="006062B8" w:rsidRPr="00F93552" w:rsidRDefault="006062B8" w:rsidP="00F93552">
            <w:pPr>
              <w:pStyle w:val="Paragraph"/>
              <w:spacing w:line="240" w:lineRule="auto"/>
              <w:rPr>
                <w:lang w:eastAsia="en-GB"/>
              </w:rPr>
            </w:pPr>
            <w:r w:rsidRPr="00F93552">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16431687" w14:textId="05936382" w:rsidR="006062B8" w:rsidRPr="00F93552" w:rsidRDefault="006062B8" w:rsidP="00F93552">
            <w:pPr>
              <w:pStyle w:val="Paragraph"/>
              <w:spacing w:line="240" w:lineRule="auto"/>
              <w:rPr>
                <w:rFonts w:cs="Arial"/>
                <w:color w:val="000000"/>
              </w:rPr>
            </w:pPr>
            <w:r w:rsidRPr="00F93552">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3EDA5" w14:textId="025D2C4D" w:rsidR="006062B8" w:rsidRPr="00F93552" w:rsidRDefault="006062B8" w:rsidP="00F93552">
            <w:pPr>
              <w:pStyle w:val="Paragraph"/>
              <w:spacing w:line="240" w:lineRule="auto"/>
              <w:rPr>
                <w:rFonts w:cs="Arial"/>
                <w:color w:val="000000"/>
              </w:rPr>
            </w:pPr>
            <w:r w:rsidRPr="00F93552">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45809A0C" w14:textId="4B7930AE" w:rsidR="006062B8" w:rsidRPr="00F93552" w:rsidRDefault="006062B8" w:rsidP="00F93552">
            <w:pPr>
              <w:pStyle w:val="Paragraph"/>
              <w:spacing w:line="240" w:lineRule="auto"/>
              <w:rPr>
                <w:rFonts w:cs="Arial"/>
                <w:color w:val="000000"/>
              </w:rPr>
            </w:pPr>
            <w:r w:rsidRPr="00F93552">
              <w:rPr>
                <w:b/>
                <w:bCs/>
                <w:lang w:eastAsia="en-GB"/>
              </w:rPr>
              <w:t>Comment</w:t>
            </w:r>
          </w:p>
        </w:tc>
        <w:tc>
          <w:tcPr>
            <w:tcW w:w="4135" w:type="dxa"/>
            <w:shd w:val="clear" w:color="auto" w:fill="D9D9D9" w:themeFill="background1" w:themeFillShade="D9"/>
          </w:tcPr>
          <w:p w14:paraId="71A2A6A8" w14:textId="034D7196" w:rsidR="006062B8" w:rsidRPr="00F93552" w:rsidRDefault="006062B8" w:rsidP="00F93552">
            <w:pPr>
              <w:pStyle w:val="Paragraph"/>
              <w:spacing w:line="240" w:lineRule="auto"/>
            </w:pPr>
            <w:r w:rsidRPr="00F93552">
              <w:rPr>
                <w:b/>
                <w:bCs/>
                <w:lang w:eastAsia="en-GB"/>
              </w:rPr>
              <w:t>Response</w:t>
            </w:r>
          </w:p>
        </w:tc>
      </w:tr>
      <w:tr w:rsidR="00EA648C" w14:paraId="58EDEB2B" w14:textId="77777777" w:rsidTr="00F93552">
        <w:tc>
          <w:tcPr>
            <w:tcW w:w="1323" w:type="dxa"/>
          </w:tcPr>
          <w:p w14:paraId="20EA3D6B" w14:textId="77777777" w:rsidR="00EA648C" w:rsidRPr="00F93552" w:rsidRDefault="00EA648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554303C4" w14:textId="3B603CF2" w:rsidR="00EA648C" w:rsidRPr="00F93552" w:rsidRDefault="00EA648C" w:rsidP="00F93552">
            <w:pPr>
              <w:pStyle w:val="Paragraph"/>
              <w:spacing w:line="240" w:lineRule="auto"/>
              <w:rPr>
                <w:lang w:eastAsia="en-GB"/>
              </w:rPr>
            </w:pPr>
            <w:r w:rsidRPr="00F93552">
              <w:rPr>
                <w:rFonts w:cs="Arial"/>
                <w:color w:val="000000"/>
              </w:rPr>
              <w:t>Consultee 5</w:t>
            </w:r>
            <w:r w:rsidRPr="00F93552">
              <w:rPr>
                <w:rFonts w:cs="Arial"/>
                <w:color w:val="000000"/>
              </w:rPr>
              <w:br/>
              <w:t>Urgo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6F46480" w14:textId="760ED9B7" w:rsidR="00EA648C" w:rsidRPr="00F93552" w:rsidRDefault="00EA648C" w:rsidP="00F93552">
            <w:pPr>
              <w:pStyle w:val="Paragraph"/>
              <w:spacing w:line="240" w:lineRule="auto"/>
              <w:rPr>
                <w:lang w:eastAsia="en-GB"/>
              </w:rPr>
            </w:pPr>
            <w:r w:rsidRPr="00F93552">
              <w:rPr>
                <w:rFonts w:cs="Arial"/>
                <w:color w:val="000000"/>
              </w:rPr>
              <w:t>3.12 Model inputs</w:t>
            </w:r>
          </w:p>
        </w:tc>
        <w:tc>
          <w:tcPr>
            <w:tcW w:w="4682" w:type="dxa"/>
            <w:tcBorders>
              <w:top w:val="single" w:sz="4" w:space="0" w:color="auto"/>
              <w:left w:val="single" w:sz="4" w:space="0" w:color="auto"/>
              <w:bottom w:val="single" w:sz="4" w:space="0" w:color="auto"/>
              <w:right w:val="nil"/>
            </w:tcBorders>
            <w:shd w:val="clear" w:color="auto" w:fill="auto"/>
          </w:tcPr>
          <w:p w14:paraId="68C0445C" w14:textId="32C33E76" w:rsidR="00EA648C" w:rsidRPr="00F93552" w:rsidRDefault="00EA648C" w:rsidP="00F93552">
            <w:pPr>
              <w:pStyle w:val="Paragraph"/>
              <w:spacing w:line="240" w:lineRule="auto"/>
              <w:rPr>
                <w:lang w:eastAsia="en-GB"/>
              </w:rPr>
            </w:pPr>
            <w:r w:rsidRPr="00F93552">
              <w:rPr>
                <w:rFonts w:cs="Arial"/>
                <w:color w:val="000000"/>
              </w:rPr>
              <w:t>Assessment report p.223 ‘’Of note, the total cost of a leg ulcer treated with a silver AMD was estimated to be £6,965 with the minimum costing silver AMD. This increased to £12,300 with the maximum costing silver AMD (difference of £5,335 per person in AMD costs)’’.</w:t>
            </w:r>
            <w:r w:rsidRPr="00F93552">
              <w:rPr>
                <w:rFonts w:cs="Arial"/>
                <w:color w:val="000000"/>
              </w:rPr>
              <w:br/>
              <w:t xml:space="preserve">This cost difference does not consider the different presentations of silver (foam, alginate, gelling fibre, contact layer) and whether secondary dressings and/or fixation are required. </w:t>
            </w:r>
            <w:proofErr w:type="gramStart"/>
            <w:r w:rsidRPr="00F93552">
              <w:rPr>
                <w:rFonts w:cs="Arial"/>
                <w:color w:val="000000"/>
              </w:rPr>
              <w:t xml:space="preserve">A silver AMD </w:t>
            </w:r>
            <w:r w:rsidRPr="00F93552">
              <w:rPr>
                <w:rFonts w:cs="Arial"/>
                <w:color w:val="000000"/>
              </w:rPr>
              <w:lastRenderedPageBreak/>
              <w:t>contact layer,</w:t>
            </w:r>
            <w:proofErr w:type="gramEnd"/>
            <w:r w:rsidRPr="00F93552">
              <w:rPr>
                <w:rFonts w:cs="Arial"/>
                <w:color w:val="000000"/>
              </w:rPr>
              <w:t xml:space="preserve"> will need a secondary dressing (foam or super absorbent), so the true cost of dressings in total would be significantly higher than a higher priced </w:t>
            </w:r>
            <w:proofErr w:type="gramStart"/>
            <w:r w:rsidRPr="00F93552">
              <w:rPr>
                <w:rFonts w:cs="Arial"/>
                <w:color w:val="000000"/>
              </w:rPr>
              <w:t>Silver</w:t>
            </w:r>
            <w:proofErr w:type="gramEnd"/>
            <w:r w:rsidRPr="00F93552">
              <w:rPr>
                <w:rFonts w:cs="Arial"/>
                <w:color w:val="000000"/>
              </w:rPr>
              <w:t xml:space="preserve"> AMD foam that does not require an additional dressing. </w:t>
            </w:r>
            <w:r w:rsidRPr="00F93552">
              <w:rPr>
                <w:rFonts w:cs="Arial"/>
                <w:color w:val="000000"/>
              </w:rPr>
              <w:br/>
              <w:t>We recommend that a reference/statement/comment be made that the cost of the AMD dressing, only considers the AMD dressing itself and not any additional dressings such as secondary that may be required. Therefore, the total dressing cost for treating an infected wound is not able to be accurately determined.</w:t>
            </w:r>
          </w:p>
        </w:tc>
        <w:tc>
          <w:tcPr>
            <w:tcW w:w="4135" w:type="dxa"/>
          </w:tcPr>
          <w:p w14:paraId="08B3A5A9" w14:textId="77777777" w:rsidR="00EA648C" w:rsidRPr="00F93552" w:rsidRDefault="00EA648C" w:rsidP="00F93552">
            <w:pPr>
              <w:pStyle w:val="Paragraph"/>
              <w:spacing w:line="240" w:lineRule="auto"/>
            </w:pPr>
            <w:r w:rsidRPr="00F93552">
              <w:lastRenderedPageBreak/>
              <w:t>Thank you for your comment.</w:t>
            </w:r>
          </w:p>
          <w:p w14:paraId="10F87AC0" w14:textId="0A0B97C9" w:rsidR="003F3AFC" w:rsidRPr="00F93552" w:rsidRDefault="003F3AFC" w:rsidP="00F93552">
            <w:pPr>
              <w:pStyle w:val="Paragraph"/>
              <w:spacing w:line="240" w:lineRule="auto"/>
              <w:rPr>
                <w:lang w:eastAsia="en-GB"/>
              </w:rPr>
            </w:pPr>
            <w:r w:rsidRPr="00F93552">
              <w:rPr>
                <w:lang w:eastAsia="en-GB"/>
              </w:rPr>
              <w:t xml:space="preserve">The </w:t>
            </w:r>
            <w:r w:rsidR="00C57A92" w:rsidRPr="00F93552">
              <w:rPr>
                <w:lang w:eastAsia="en-GB"/>
              </w:rPr>
              <w:t xml:space="preserve">EAG’s EAR </w:t>
            </w:r>
            <w:r w:rsidRPr="00F93552">
              <w:rPr>
                <w:lang w:eastAsia="en-GB"/>
              </w:rPr>
              <w:t xml:space="preserve">states </w:t>
            </w:r>
            <w:r w:rsidR="00C57A92" w:rsidRPr="00F93552">
              <w:rPr>
                <w:lang w:eastAsia="en-GB"/>
              </w:rPr>
              <w:t>‘</w:t>
            </w:r>
            <w:r w:rsidRPr="00F93552">
              <w:rPr>
                <w:lang w:eastAsia="en-GB"/>
              </w:rPr>
              <w:t>Concomitant care, wound bed preparation, and the use of secondary dressings was variable and often poorly reported, introducing further uncertainty in the generalisability of the evidence base.</w:t>
            </w:r>
            <w:r w:rsidR="00C57A92" w:rsidRPr="00F93552">
              <w:rPr>
                <w:lang w:eastAsia="en-GB"/>
              </w:rPr>
              <w:t>’</w:t>
            </w:r>
            <w:r w:rsidRPr="00F93552">
              <w:rPr>
                <w:lang w:eastAsia="en-GB"/>
              </w:rPr>
              <w:t xml:space="preserve"> </w:t>
            </w:r>
          </w:p>
          <w:p w14:paraId="330B70AA" w14:textId="2789D8CA" w:rsidR="003F3AFC" w:rsidRPr="00F93552" w:rsidRDefault="003F3AFC" w:rsidP="00F93552">
            <w:pPr>
              <w:pStyle w:val="Paragraph"/>
              <w:spacing w:line="240" w:lineRule="auto"/>
              <w:rPr>
                <w:lang w:eastAsia="en-GB"/>
              </w:rPr>
            </w:pPr>
            <w:r w:rsidRPr="00F93552">
              <w:rPr>
                <w:lang w:eastAsia="en-GB"/>
              </w:rPr>
              <w:lastRenderedPageBreak/>
              <w:t>The costs for each AMD are included in the inputs section of the report.</w:t>
            </w:r>
          </w:p>
        </w:tc>
      </w:tr>
      <w:tr w:rsidR="00EA648C" w14:paraId="03206DBB" w14:textId="77777777" w:rsidTr="00F93552">
        <w:tc>
          <w:tcPr>
            <w:tcW w:w="1323" w:type="dxa"/>
          </w:tcPr>
          <w:p w14:paraId="7290745B" w14:textId="77777777" w:rsidR="00EA648C" w:rsidRPr="00F93552" w:rsidRDefault="00EA648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2ACCBC53" w14:textId="07400DD0" w:rsidR="00EA648C" w:rsidRPr="00F93552" w:rsidRDefault="00EA648C" w:rsidP="00F93552">
            <w:pPr>
              <w:pStyle w:val="Paragraph"/>
              <w:spacing w:line="240" w:lineRule="auto"/>
              <w:rPr>
                <w:lang w:eastAsia="en-GB"/>
              </w:rPr>
            </w:pPr>
            <w:r w:rsidRPr="00F93552">
              <w:rPr>
                <w:rFonts w:cs="Arial"/>
                <w:color w:val="000000"/>
              </w:rPr>
              <w:t>Consultee 5</w:t>
            </w:r>
            <w:r w:rsidRPr="00F93552">
              <w:rPr>
                <w:rFonts w:cs="Arial"/>
                <w:color w:val="000000"/>
              </w:rPr>
              <w:br/>
              <w:t>Urgo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B6179F9" w14:textId="3F5E88FA" w:rsidR="00EA648C" w:rsidRPr="00F93552" w:rsidRDefault="00EA648C" w:rsidP="00F93552">
            <w:pPr>
              <w:pStyle w:val="Paragraph"/>
              <w:spacing w:line="240" w:lineRule="auto"/>
              <w:rPr>
                <w:lang w:eastAsia="en-GB"/>
              </w:rPr>
            </w:pPr>
            <w:r w:rsidRPr="00F93552">
              <w:rPr>
                <w:rFonts w:cs="Arial"/>
                <w:color w:val="000000"/>
              </w:rPr>
              <w:t>3.12 Model inputs</w:t>
            </w:r>
          </w:p>
        </w:tc>
        <w:tc>
          <w:tcPr>
            <w:tcW w:w="4682" w:type="dxa"/>
            <w:tcBorders>
              <w:top w:val="single" w:sz="4" w:space="0" w:color="auto"/>
              <w:left w:val="single" w:sz="4" w:space="0" w:color="auto"/>
              <w:bottom w:val="single" w:sz="4" w:space="0" w:color="auto"/>
              <w:right w:val="nil"/>
            </w:tcBorders>
            <w:shd w:val="clear" w:color="auto" w:fill="auto"/>
          </w:tcPr>
          <w:p w14:paraId="3590F350" w14:textId="28B9C34D" w:rsidR="00EA648C" w:rsidRPr="00F93552" w:rsidRDefault="00EA648C" w:rsidP="00F93552">
            <w:pPr>
              <w:pStyle w:val="Paragraph"/>
              <w:spacing w:line="240" w:lineRule="auto"/>
              <w:rPr>
                <w:lang w:eastAsia="en-GB"/>
              </w:rPr>
            </w:pPr>
            <w:r w:rsidRPr="00F93552">
              <w:rPr>
                <w:rFonts w:cs="Arial"/>
                <w:color w:val="000000"/>
              </w:rPr>
              <w:t>Assessment report p.170</w:t>
            </w:r>
            <w:r w:rsidRPr="00F93552">
              <w:rPr>
                <w:rFonts w:cs="Arial"/>
                <w:color w:val="000000"/>
              </w:rPr>
              <w:br/>
              <w:t xml:space="preserve">‘’nor was it guaranteed that the AMD was prescribed for the ulcer itself. Furthermore, it did not capture community care data. Despite these limitations, the EAG considered that the CPRD data the most appropriate of </w:t>
            </w:r>
            <w:proofErr w:type="gramStart"/>
            <w:r w:rsidRPr="00F93552">
              <w:rPr>
                <w:rFonts w:cs="Arial"/>
                <w:color w:val="000000"/>
              </w:rPr>
              <w:t>all of</w:t>
            </w:r>
            <w:proofErr w:type="gramEnd"/>
            <w:r w:rsidRPr="00F93552">
              <w:rPr>
                <w:rFonts w:cs="Arial"/>
                <w:color w:val="000000"/>
              </w:rPr>
              <w:t xml:space="preserve"> the imperfect sources’’</w:t>
            </w:r>
            <w:r w:rsidRPr="00F93552">
              <w:rPr>
                <w:rFonts w:cs="Arial"/>
                <w:color w:val="000000"/>
              </w:rPr>
              <w:br/>
              <w:t xml:space="preserve">As the data used for the cost modelling and LSA is not limited to leg ulcers and cannot be determined if prophylactic or interventional use, can this severe </w:t>
            </w:r>
            <w:r w:rsidRPr="00F93552">
              <w:rPr>
                <w:rFonts w:cs="Arial"/>
                <w:color w:val="000000"/>
              </w:rPr>
              <w:lastRenderedPageBreak/>
              <w:t>limitation be stated clearly along with its impact of incorrect cost outcomes.</w:t>
            </w:r>
          </w:p>
        </w:tc>
        <w:tc>
          <w:tcPr>
            <w:tcW w:w="4135" w:type="dxa"/>
          </w:tcPr>
          <w:p w14:paraId="48E5BFDA" w14:textId="2CB7641C" w:rsidR="003F3AFC" w:rsidRPr="00F93552" w:rsidRDefault="003F3AFC" w:rsidP="00F93552">
            <w:pPr>
              <w:pStyle w:val="Paragraph"/>
              <w:spacing w:line="240" w:lineRule="auto"/>
            </w:pPr>
            <w:r w:rsidRPr="00F93552">
              <w:lastRenderedPageBreak/>
              <w:t>Thank you for your comment.</w:t>
            </w:r>
          </w:p>
          <w:p w14:paraId="14D32433" w14:textId="2E9B4BC8" w:rsidR="00EA648C" w:rsidRPr="00F93552" w:rsidRDefault="003F3AFC" w:rsidP="00F93552">
            <w:pPr>
              <w:pStyle w:val="Paragraph"/>
              <w:spacing w:line="240" w:lineRule="auto"/>
              <w:rPr>
                <w:lang w:eastAsia="en-GB"/>
              </w:rPr>
            </w:pPr>
            <w:r w:rsidRPr="00F93552">
              <w:rPr>
                <w:lang w:eastAsia="en-GB"/>
              </w:rPr>
              <w:t>Th</w:t>
            </w:r>
            <w:r w:rsidR="005C5256" w:rsidRPr="00F93552">
              <w:rPr>
                <w:lang w:eastAsia="en-GB"/>
              </w:rPr>
              <w:t xml:space="preserve">is </w:t>
            </w:r>
            <w:r w:rsidRPr="00F93552">
              <w:rPr>
                <w:lang w:eastAsia="en-GB"/>
              </w:rPr>
              <w:t xml:space="preserve">limitation of the analysis </w:t>
            </w:r>
            <w:r w:rsidR="005C5256" w:rsidRPr="00F93552">
              <w:rPr>
                <w:lang w:eastAsia="en-GB"/>
              </w:rPr>
              <w:t>is</w:t>
            </w:r>
            <w:r w:rsidRPr="00F93552">
              <w:rPr>
                <w:lang w:eastAsia="en-GB"/>
              </w:rPr>
              <w:t xml:space="preserve"> reported in section 7.3.6</w:t>
            </w:r>
            <w:r w:rsidR="005C5256" w:rsidRPr="00F93552">
              <w:rPr>
                <w:lang w:eastAsia="en-GB"/>
              </w:rPr>
              <w:t xml:space="preserve"> of the EAR</w:t>
            </w:r>
            <w:r w:rsidRPr="00F93552">
              <w:rPr>
                <w:lang w:eastAsia="en-GB"/>
              </w:rPr>
              <w:t>.</w:t>
            </w:r>
          </w:p>
        </w:tc>
      </w:tr>
      <w:tr w:rsidR="00EA648C" w14:paraId="3DA4D625" w14:textId="77777777" w:rsidTr="00F93552">
        <w:tc>
          <w:tcPr>
            <w:tcW w:w="1323" w:type="dxa"/>
          </w:tcPr>
          <w:p w14:paraId="0E1E5110" w14:textId="77777777" w:rsidR="00EA648C" w:rsidRPr="00F93552" w:rsidRDefault="00EA648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3C189A26" w14:textId="79862AB3" w:rsidR="00EA648C" w:rsidRPr="00F93552" w:rsidRDefault="00EA648C" w:rsidP="00F93552">
            <w:pPr>
              <w:pStyle w:val="Paragraph"/>
              <w:spacing w:line="240" w:lineRule="auto"/>
              <w:rPr>
                <w:lang w:eastAsia="en-GB"/>
              </w:rPr>
            </w:pPr>
            <w:r w:rsidRPr="00F93552">
              <w:rPr>
                <w:rFonts w:cs="Arial"/>
                <w:color w:val="000000"/>
              </w:rPr>
              <w:t>Consultee 5</w:t>
            </w:r>
            <w:r w:rsidRPr="00F93552">
              <w:rPr>
                <w:rFonts w:cs="Arial"/>
                <w:color w:val="000000"/>
              </w:rPr>
              <w:br/>
              <w:t>Urgo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6DE6B4A" w14:textId="2B210B0A" w:rsidR="00EA648C" w:rsidRPr="00F93552" w:rsidRDefault="00EA648C" w:rsidP="00F93552">
            <w:pPr>
              <w:pStyle w:val="Paragraph"/>
              <w:spacing w:line="240" w:lineRule="auto"/>
              <w:rPr>
                <w:lang w:eastAsia="en-GB"/>
              </w:rPr>
            </w:pPr>
            <w:r w:rsidRPr="00F93552">
              <w:rPr>
                <w:rFonts w:cs="Arial"/>
                <w:color w:val="000000"/>
              </w:rPr>
              <w:t>3.15 Resource impact assessment</w:t>
            </w:r>
          </w:p>
        </w:tc>
        <w:tc>
          <w:tcPr>
            <w:tcW w:w="4682" w:type="dxa"/>
            <w:tcBorders>
              <w:top w:val="single" w:sz="4" w:space="0" w:color="auto"/>
              <w:left w:val="single" w:sz="4" w:space="0" w:color="auto"/>
              <w:bottom w:val="single" w:sz="4" w:space="0" w:color="auto"/>
              <w:right w:val="nil"/>
            </w:tcBorders>
            <w:shd w:val="clear" w:color="auto" w:fill="auto"/>
          </w:tcPr>
          <w:p w14:paraId="6DC6B44C" w14:textId="2DB15BC5" w:rsidR="00EA648C" w:rsidRPr="00F93552" w:rsidRDefault="00EA648C" w:rsidP="00F93552">
            <w:pPr>
              <w:pStyle w:val="Paragraph"/>
              <w:spacing w:line="240" w:lineRule="auto"/>
              <w:rPr>
                <w:lang w:eastAsia="en-GB"/>
              </w:rPr>
            </w:pPr>
            <w:r w:rsidRPr="00F93552">
              <w:rPr>
                <w:rFonts w:cs="Arial"/>
                <w:color w:val="000000"/>
              </w:rPr>
              <w:t xml:space="preserve">The assumptions of 3 dressing changes per week (infected state) for all AMD’s is incorrect. Based on information re. the continued antimicrobial efficacy with iodine preparations in the presence of high levels of exudate and/or initial phases of infection of exudate, iodine preparations will need to be changed more </w:t>
            </w:r>
            <w:proofErr w:type="gramStart"/>
            <w:r w:rsidRPr="00F93552">
              <w:rPr>
                <w:rFonts w:cs="Arial"/>
                <w:color w:val="000000"/>
              </w:rPr>
              <w:t>frequently</w:t>
            </w:r>
            <w:proofErr w:type="gramEnd"/>
            <w:r w:rsidRPr="00F93552">
              <w:rPr>
                <w:rFonts w:cs="Arial"/>
                <w:color w:val="000000"/>
              </w:rPr>
              <w:t xml:space="preserve"> and manufacturers recommendations are up to daily dressing changes in these instances. </w:t>
            </w:r>
            <w:r w:rsidRPr="00F93552">
              <w:rPr>
                <w:rFonts w:cs="Arial"/>
                <w:color w:val="000000"/>
              </w:rPr>
              <w:br/>
              <w:t>Please update the frequency of dressing changes for iodine preparations.</w:t>
            </w:r>
            <w:r w:rsidRPr="00F93552">
              <w:rPr>
                <w:rFonts w:cs="Arial"/>
                <w:color w:val="000000"/>
              </w:rPr>
              <w:br/>
              <w:t>We request that this limitation of iodine preparations along with the potential for daily dressing changes is included in both the cost modelling and as a limitation in the guidance.</w:t>
            </w:r>
          </w:p>
        </w:tc>
        <w:tc>
          <w:tcPr>
            <w:tcW w:w="4135" w:type="dxa"/>
          </w:tcPr>
          <w:p w14:paraId="0B74A435" w14:textId="1B9C2238" w:rsidR="003F3AFC" w:rsidRPr="00F93552" w:rsidRDefault="003F3AFC" w:rsidP="00F93552">
            <w:pPr>
              <w:pStyle w:val="Paragraph"/>
              <w:spacing w:line="240" w:lineRule="auto"/>
              <w:rPr>
                <w:lang w:eastAsia="en-GB"/>
              </w:rPr>
            </w:pPr>
            <w:r w:rsidRPr="00F93552">
              <w:rPr>
                <w:lang w:eastAsia="en-GB"/>
              </w:rPr>
              <w:t>Thank you for your comment.</w:t>
            </w:r>
          </w:p>
          <w:p w14:paraId="7AFFAD35" w14:textId="14CC470B" w:rsidR="00EA648C" w:rsidRPr="00F93552" w:rsidRDefault="003F3AFC" w:rsidP="00F93552">
            <w:pPr>
              <w:pStyle w:val="Paragraph"/>
              <w:spacing w:line="240" w:lineRule="auto"/>
              <w:rPr>
                <w:lang w:eastAsia="en-GB"/>
              </w:rPr>
            </w:pPr>
            <w:r w:rsidRPr="00F93552">
              <w:rPr>
                <w:lang w:eastAsia="en-GB"/>
              </w:rPr>
              <w:t>See comment 99.</w:t>
            </w:r>
          </w:p>
        </w:tc>
      </w:tr>
      <w:tr w:rsidR="00EA648C" w14:paraId="3E1D42F8" w14:textId="77777777" w:rsidTr="00F93552">
        <w:tc>
          <w:tcPr>
            <w:tcW w:w="1323" w:type="dxa"/>
          </w:tcPr>
          <w:p w14:paraId="77B82813" w14:textId="77777777" w:rsidR="00EA648C" w:rsidRPr="00F93552" w:rsidRDefault="00EA648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EE64A8C" w14:textId="081A65F1" w:rsidR="00EA648C" w:rsidRPr="00F93552" w:rsidRDefault="00EA648C" w:rsidP="00F93552">
            <w:pPr>
              <w:pStyle w:val="Paragraph"/>
              <w:spacing w:line="240" w:lineRule="auto"/>
              <w:rPr>
                <w:lang w:eastAsia="en-GB"/>
              </w:rPr>
            </w:pPr>
            <w:r w:rsidRPr="00F93552">
              <w:rPr>
                <w:rFonts w:cs="Arial"/>
                <w:color w:val="000000"/>
              </w:rPr>
              <w:t>Consultee 15</w:t>
            </w:r>
            <w:r w:rsidRPr="00F93552">
              <w:rPr>
                <w:rFonts w:cs="Arial"/>
                <w:color w:val="000000"/>
              </w:rPr>
              <w:br/>
            </w:r>
            <w:proofErr w:type="spellStart"/>
            <w:r w:rsidRPr="00F93552">
              <w:rPr>
                <w:rFonts w:cs="Arial"/>
                <w:color w:val="000000"/>
              </w:rPr>
              <w:t>T.J.Smith</w:t>
            </w:r>
            <w:proofErr w:type="spellEnd"/>
            <w:r w:rsidRPr="00F93552">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C6E18F" w14:textId="77C58C10" w:rsidR="00EA648C" w:rsidRPr="00F93552" w:rsidRDefault="00EA648C" w:rsidP="00F93552">
            <w:pPr>
              <w:pStyle w:val="Paragraph"/>
              <w:spacing w:line="240" w:lineRule="auto"/>
              <w:rPr>
                <w:lang w:eastAsia="en-GB"/>
              </w:rPr>
            </w:pPr>
            <w:r w:rsidRPr="00F93552">
              <w:rPr>
                <w:rFonts w:cs="Arial"/>
                <w:color w:val="000000"/>
              </w:rPr>
              <w:t>3.13 Model limitations and scenario analyses</w:t>
            </w:r>
          </w:p>
        </w:tc>
        <w:tc>
          <w:tcPr>
            <w:tcW w:w="4682" w:type="dxa"/>
            <w:tcBorders>
              <w:top w:val="single" w:sz="4" w:space="0" w:color="auto"/>
              <w:left w:val="single" w:sz="4" w:space="0" w:color="auto"/>
              <w:bottom w:val="single" w:sz="4" w:space="0" w:color="auto"/>
              <w:right w:val="nil"/>
            </w:tcBorders>
            <w:shd w:val="clear" w:color="auto" w:fill="auto"/>
          </w:tcPr>
          <w:p w14:paraId="4FC7F8CD" w14:textId="709B46E2" w:rsidR="00EA648C" w:rsidRPr="00F93552" w:rsidRDefault="00EA648C" w:rsidP="00F93552">
            <w:pPr>
              <w:pStyle w:val="Paragraph"/>
              <w:spacing w:line="240" w:lineRule="auto"/>
              <w:rPr>
                <w:lang w:eastAsia="en-GB"/>
              </w:rPr>
            </w:pPr>
            <w:r w:rsidRPr="00F93552">
              <w:rPr>
                <w:rFonts w:cs="Arial"/>
                <w:color w:val="000000"/>
              </w:rPr>
              <w:t xml:space="preserve">In addition to the bullet </w:t>
            </w:r>
            <w:proofErr w:type="gramStart"/>
            <w:r w:rsidRPr="00F93552">
              <w:rPr>
                <w:rFonts w:cs="Arial"/>
                <w:color w:val="000000"/>
              </w:rPr>
              <w:t>stating,  “</w:t>
            </w:r>
            <w:proofErr w:type="gramEnd"/>
            <w:r w:rsidRPr="00F93552">
              <w:rPr>
                <w:rFonts w:cs="Arial"/>
                <w:color w:val="000000"/>
              </w:rPr>
              <w:t>complexities that may impact the treatment of leg ulcer infections” Should also consider complications or progression in severity of infection (i.e. bacteraemia) and the impact these can have on treatment costs</w:t>
            </w:r>
          </w:p>
        </w:tc>
        <w:tc>
          <w:tcPr>
            <w:tcW w:w="4135" w:type="dxa"/>
          </w:tcPr>
          <w:p w14:paraId="45A09FBF" w14:textId="1927BD83" w:rsidR="00EA648C" w:rsidRPr="00F93552" w:rsidRDefault="00BD6EBC" w:rsidP="00F93552">
            <w:pPr>
              <w:pStyle w:val="Paragraph"/>
              <w:spacing w:line="240" w:lineRule="auto"/>
              <w:rPr>
                <w:lang w:eastAsia="en-GB"/>
              </w:rPr>
            </w:pPr>
            <w:r w:rsidRPr="00F93552">
              <w:rPr>
                <w:lang w:eastAsia="en-GB"/>
              </w:rPr>
              <w:t xml:space="preserve">Thank you for your comment. Due to a paucity of robust data the EAG were not able to model these outcomes. </w:t>
            </w:r>
          </w:p>
        </w:tc>
      </w:tr>
    </w:tbl>
    <w:p w14:paraId="6F4E39BD" w14:textId="77777777" w:rsidR="00B7031D" w:rsidRDefault="00B7031D" w:rsidP="00EB53E2"/>
    <w:p w14:paraId="07523B93" w14:textId="77777777" w:rsidR="00960748" w:rsidRDefault="00960748" w:rsidP="00960748">
      <w:pPr>
        <w:pStyle w:val="Heading1"/>
        <w:spacing w:line="240" w:lineRule="auto"/>
      </w:pPr>
      <w:r>
        <w:t>Table 7: review section of draft guidance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6062B8" w14:paraId="5E1F6A28" w14:textId="77777777" w:rsidTr="00F93552">
        <w:tc>
          <w:tcPr>
            <w:tcW w:w="1323" w:type="dxa"/>
            <w:shd w:val="clear" w:color="auto" w:fill="D9D9D9" w:themeFill="background1" w:themeFillShade="D9"/>
          </w:tcPr>
          <w:p w14:paraId="5C7977DF" w14:textId="7E1846CC" w:rsidR="006062B8" w:rsidRPr="00F93552" w:rsidRDefault="006062B8" w:rsidP="00F93552">
            <w:pPr>
              <w:pStyle w:val="Paragraph"/>
              <w:spacing w:line="240" w:lineRule="auto"/>
              <w:rPr>
                <w:lang w:eastAsia="en-GB"/>
              </w:rPr>
            </w:pPr>
            <w:r w:rsidRPr="00F93552">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3AF887DE" w14:textId="0460E916" w:rsidR="006062B8" w:rsidRPr="00F93552" w:rsidRDefault="006062B8" w:rsidP="00F93552">
            <w:pPr>
              <w:pStyle w:val="Paragraph"/>
              <w:spacing w:line="240" w:lineRule="auto"/>
              <w:rPr>
                <w:rFonts w:cs="Arial"/>
                <w:color w:val="000000"/>
              </w:rPr>
            </w:pPr>
            <w:r w:rsidRPr="00F93552">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13207" w14:textId="14DAB6E7" w:rsidR="006062B8" w:rsidRPr="00F93552" w:rsidRDefault="006062B8" w:rsidP="00F93552">
            <w:pPr>
              <w:pStyle w:val="Paragraph"/>
              <w:spacing w:line="240" w:lineRule="auto"/>
              <w:rPr>
                <w:rFonts w:cs="Arial"/>
                <w:color w:val="000000"/>
              </w:rPr>
            </w:pPr>
            <w:r w:rsidRPr="00F93552">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56692356" w14:textId="25A78174" w:rsidR="006062B8" w:rsidRPr="00F93552" w:rsidRDefault="006062B8" w:rsidP="00F93552">
            <w:pPr>
              <w:pStyle w:val="Paragraph"/>
              <w:spacing w:line="240" w:lineRule="auto"/>
              <w:rPr>
                <w:rFonts w:cs="Arial"/>
                <w:color w:val="000000"/>
              </w:rPr>
            </w:pPr>
            <w:r w:rsidRPr="00F93552">
              <w:rPr>
                <w:b/>
                <w:bCs/>
                <w:lang w:eastAsia="en-GB"/>
              </w:rPr>
              <w:t>Comment</w:t>
            </w:r>
          </w:p>
        </w:tc>
        <w:tc>
          <w:tcPr>
            <w:tcW w:w="4135" w:type="dxa"/>
            <w:shd w:val="clear" w:color="auto" w:fill="D9D9D9" w:themeFill="background1" w:themeFillShade="D9"/>
          </w:tcPr>
          <w:p w14:paraId="1A7D908E" w14:textId="261E0833" w:rsidR="006062B8" w:rsidRPr="00F93552" w:rsidRDefault="006062B8" w:rsidP="00F93552">
            <w:pPr>
              <w:pStyle w:val="Paragraph"/>
              <w:spacing w:line="240" w:lineRule="auto"/>
              <w:rPr>
                <w:lang w:eastAsia="en-GB"/>
              </w:rPr>
            </w:pPr>
            <w:r w:rsidRPr="00F93552">
              <w:rPr>
                <w:b/>
                <w:bCs/>
                <w:lang w:eastAsia="en-GB"/>
              </w:rPr>
              <w:t>Response</w:t>
            </w:r>
          </w:p>
        </w:tc>
      </w:tr>
      <w:tr w:rsidR="004B6B01" w14:paraId="450A97D0" w14:textId="77777777" w:rsidTr="00F93552">
        <w:tc>
          <w:tcPr>
            <w:tcW w:w="1323" w:type="dxa"/>
          </w:tcPr>
          <w:p w14:paraId="039F031B" w14:textId="77777777" w:rsidR="004B6B01" w:rsidRPr="00F93552" w:rsidRDefault="004B6B01"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0646E294" w14:textId="0A2A9D2C" w:rsidR="004B6B01" w:rsidRPr="00F93552" w:rsidRDefault="004B6B01" w:rsidP="00F93552">
            <w:pPr>
              <w:pStyle w:val="Paragraph"/>
              <w:spacing w:line="240" w:lineRule="auto"/>
              <w:rPr>
                <w:lang w:eastAsia="en-GB"/>
              </w:rPr>
            </w:pPr>
            <w:r w:rsidRPr="00F93552">
              <w:rPr>
                <w:rFonts w:cs="Arial"/>
                <w:color w:val="000000"/>
              </w:rPr>
              <w:t>Consultee 15</w:t>
            </w:r>
            <w:r w:rsidRPr="00F93552">
              <w:rPr>
                <w:rFonts w:cs="Arial"/>
                <w:color w:val="000000"/>
              </w:rPr>
              <w:br/>
            </w:r>
            <w:proofErr w:type="spellStart"/>
            <w:r w:rsidRPr="00F93552">
              <w:rPr>
                <w:rFonts w:cs="Arial"/>
                <w:color w:val="000000"/>
              </w:rPr>
              <w:t>T.J.Smith</w:t>
            </w:r>
            <w:proofErr w:type="spellEnd"/>
            <w:r w:rsidRPr="00F93552">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86EEAFB" w14:textId="1FDC4C38" w:rsidR="004B6B01" w:rsidRPr="00F93552" w:rsidRDefault="004B6B01" w:rsidP="00F93552">
            <w:pPr>
              <w:pStyle w:val="Paragraph"/>
              <w:spacing w:line="240" w:lineRule="auto"/>
              <w:rPr>
                <w:lang w:eastAsia="en-GB"/>
              </w:rPr>
            </w:pPr>
            <w:r w:rsidRPr="00F93552">
              <w:rPr>
                <w:rFonts w:cs="Arial"/>
                <w:color w:val="000000"/>
              </w:rPr>
              <w:t>3.8 Key evidence is limited</w:t>
            </w:r>
          </w:p>
        </w:tc>
        <w:tc>
          <w:tcPr>
            <w:tcW w:w="4682" w:type="dxa"/>
            <w:tcBorders>
              <w:top w:val="single" w:sz="4" w:space="0" w:color="auto"/>
              <w:left w:val="single" w:sz="4" w:space="0" w:color="auto"/>
              <w:bottom w:val="single" w:sz="4" w:space="0" w:color="auto"/>
              <w:right w:val="nil"/>
            </w:tcBorders>
            <w:shd w:val="clear" w:color="auto" w:fill="auto"/>
          </w:tcPr>
          <w:p w14:paraId="02398743" w14:textId="6164D2C3" w:rsidR="004B6B01" w:rsidRPr="00F93552" w:rsidRDefault="004B6B01" w:rsidP="00F93552">
            <w:pPr>
              <w:pStyle w:val="Paragraph"/>
              <w:spacing w:line="240" w:lineRule="auto"/>
              <w:rPr>
                <w:lang w:eastAsia="en-GB"/>
              </w:rPr>
            </w:pPr>
            <w:r w:rsidRPr="00F93552">
              <w:rPr>
                <w:rFonts w:cs="Arial"/>
                <w:color w:val="000000"/>
              </w:rPr>
              <w:t>Section 3.7 – After the sentence stating, “despite there being an indication of some benefits in treating infection” It should be noted that the intended use of AMDs is not to treat infection but to manage wound bioburden locally.</w:t>
            </w:r>
          </w:p>
        </w:tc>
        <w:tc>
          <w:tcPr>
            <w:tcW w:w="4135" w:type="dxa"/>
          </w:tcPr>
          <w:p w14:paraId="7406D447" w14:textId="130AC712" w:rsidR="004B6B01" w:rsidRPr="00F93552" w:rsidRDefault="00850524" w:rsidP="00F93552">
            <w:pPr>
              <w:pStyle w:val="Paragraph"/>
              <w:spacing w:line="240" w:lineRule="auto"/>
              <w:rPr>
                <w:lang w:eastAsia="en-GB"/>
              </w:rPr>
            </w:pPr>
            <w:r w:rsidRPr="00F93552">
              <w:rPr>
                <w:lang w:eastAsia="en-GB"/>
              </w:rPr>
              <w:t xml:space="preserve">Thank you for your comment. This statement is </w:t>
            </w:r>
            <w:r w:rsidR="004D192B" w:rsidRPr="00F93552">
              <w:rPr>
                <w:lang w:eastAsia="en-GB"/>
              </w:rPr>
              <w:t xml:space="preserve">a description of the </w:t>
            </w:r>
            <w:r w:rsidRPr="00F93552">
              <w:rPr>
                <w:lang w:eastAsia="en-GB"/>
              </w:rPr>
              <w:t xml:space="preserve">EAG’s conclusions </w:t>
            </w:r>
            <w:r w:rsidR="00786A9B" w:rsidRPr="00F93552">
              <w:rPr>
                <w:lang w:eastAsia="en-GB"/>
              </w:rPr>
              <w:t xml:space="preserve">of the evidence base. </w:t>
            </w:r>
          </w:p>
        </w:tc>
      </w:tr>
    </w:tbl>
    <w:p w14:paraId="0A49382D" w14:textId="77777777" w:rsidR="004B6B01" w:rsidRDefault="004B6B01" w:rsidP="00EB53E2"/>
    <w:p w14:paraId="6C5612D7" w14:textId="77777777" w:rsidR="00A96CB5" w:rsidRDefault="00A96CB5" w:rsidP="00A96CB5">
      <w:pPr>
        <w:pStyle w:val="Heading1"/>
        <w:spacing w:line="240" w:lineRule="auto"/>
      </w:pPr>
      <w:r>
        <w:t xml:space="preserve">Table 8: evidence needed to show value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6062B8" w14:paraId="71393602" w14:textId="77777777" w:rsidTr="1948D9BA">
        <w:tc>
          <w:tcPr>
            <w:tcW w:w="1323" w:type="dxa"/>
            <w:shd w:val="clear" w:color="auto" w:fill="D9D9D9" w:themeFill="background1" w:themeFillShade="D9"/>
          </w:tcPr>
          <w:p w14:paraId="2B4C9F77" w14:textId="1D074814" w:rsidR="006062B8" w:rsidRDefault="006062B8" w:rsidP="00F93552">
            <w:pPr>
              <w:pStyle w:val="Paragraph"/>
              <w:spacing w:line="240" w:lineRule="auto"/>
              <w:rPr>
                <w:lang w:eastAsia="en-GB"/>
              </w:rPr>
            </w:pPr>
            <w:r w:rsidRPr="00BF5004">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358E548C" w14:textId="3B64E203" w:rsidR="006062B8" w:rsidRDefault="006062B8" w:rsidP="00F93552">
            <w:pPr>
              <w:pStyle w:val="Paragraph"/>
              <w:spacing w:line="240" w:lineRule="auto"/>
              <w:rPr>
                <w:rFonts w:cs="Arial"/>
                <w:color w:val="000000"/>
                <w:sz w:val="22"/>
                <w:szCs w:val="22"/>
              </w:rPr>
            </w:pPr>
            <w:r>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E612B" w14:textId="283F5027" w:rsidR="006062B8" w:rsidRDefault="006062B8" w:rsidP="00F93552">
            <w:pPr>
              <w:pStyle w:val="Paragraph"/>
              <w:spacing w:line="240" w:lineRule="auto"/>
              <w:rPr>
                <w:rFonts w:cs="Arial"/>
                <w:color w:val="000000"/>
                <w:sz w:val="22"/>
                <w:szCs w:val="22"/>
              </w:rPr>
            </w:pPr>
            <w:r w:rsidRPr="00BF5004">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49F26E16" w14:textId="1FF2B173" w:rsidR="006062B8" w:rsidRDefault="006062B8" w:rsidP="00F93552">
            <w:pPr>
              <w:pStyle w:val="Paragraph"/>
              <w:spacing w:line="240" w:lineRule="auto"/>
              <w:rPr>
                <w:rFonts w:cs="Arial"/>
                <w:color w:val="000000"/>
                <w:sz w:val="22"/>
                <w:szCs w:val="22"/>
              </w:rPr>
            </w:pPr>
            <w:r w:rsidRPr="00BF5004">
              <w:rPr>
                <w:b/>
                <w:bCs/>
                <w:lang w:eastAsia="en-GB"/>
              </w:rPr>
              <w:t>Comment</w:t>
            </w:r>
          </w:p>
        </w:tc>
        <w:tc>
          <w:tcPr>
            <w:tcW w:w="4135" w:type="dxa"/>
            <w:shd w:val="clear" w:color="auto" w:fill="D9D9D9" w:themeFill="background1" w:themeFillShade="D9"/>
          </w:tcPr>
          <w:p w14:paraId="7476160F" w14:textId="3C8E54FB" w:rsidR="006062B8" w:rsidRPr="006E6AC2" w:rsidRDefault="006062B8" w:rsidP="00F93552">
            <w:pPr>
              <w:pStyle w:val="Paragraph"/>
              <w:spacing w:line="240" w:lineRule="auto"/>
              <w:rPr>
                <w:sz w:val="22"/>
                <w:szCs w:val="22"/>
                <w:lang w:eastAsia="en-GB"/>
              </w:rPr>
            </w:pPr>
            <w:r>
              <w:rPr>
                <w:b/>
                <w:bCs/>
                <w:lang w:eastAsia="en-GB"/>
              </w:rPr>
              <w:t>Response</w:t>
            </w:r>
          </w:p>
        </w:tc>
      </w:tr>
      <w:tr w:rsidR="00503AFD" w14:paraId="06F7BB11" w14:textId="77777777" w:rsidTr="1948D9BA">
        <w:tc>
          <w:tcPr>
            <w:tcW w:w="1323" w:type="dxa"/>
          </w:tcPr>
          <w:p w14:paraId="426EE63F" w14:textId="77777777" w:rsidR="00503AFD" w:rsidRPr="00DD1268" w:rsidRDefault="00503AFD"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3383D701" w14:textId="2E570D34" w:rsidR="00503AFD" w:rsidRPr="00DD1268" w:rsidRDefault="00503AFD" w:rsidP="00F93552">
            <w:pPr>
              <w:pStyle w:val="Paragraph"/>
              <w:spacing w:line="240" w:lineRule="auto"/>
              <w:rPr>
                <w:lang w:eastAsia="en-GB"/>
              </w:rPr>
            </w:pPr>
            <w:r w:rsidRPr="00DD1268">
              <w:rPr>
                <w:rFonts w:cs="Arial"/>
                <w:color w:val="000000"/>
              </w:rPr>
              <w:t>Consultee 1</w:t>
            </w:r>
            <w:r w:rsidRPr="00DD1268">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3DC0C37" w14:textId="5CA260CD" w:rsidR="00503AFD" w:rsidRPr="00DD1268" w:rsidRDefault="00503AFD" w:rsidP="00F93552">
            <w:pPr>
              <w:pStyle w:val="Paragraph"/>
              <w:spacing w:line="240" w:lineRule="auto"/>
              <w:rPr>
                <w:lang w:eastAsia="en-GB"/>
              </w:rPr>
            </w:pPr>
            <w:r w:rsidRPr="00DD1268">
              <w:rPr>
                <w:rFonts w:cs="Arial"/>
                <w:color w:val="000000"/>
              </w:rPr>
              <w:t>3.17 Evidence needed to show additional value</w:t>
            </w:r>
          </w:p>
        </w:tc>
        <w:tc>
          <w:tcPr>
            <w:tcW w:w="4682" w:type="dxa"/>
            <w:tcBorders>
              <w:top w:val="single" w:sz="4" w:space="0" w:color="auto"/>
              <w:left w:val="single" w:sz="4" w:space="0" w:color="auto"/>
              <w:bottom w:val="single" w:sz="4" w:space="0" w:color="auto"/>
              <w:right w:val="nil"/>
            </w:tcBorders>
            <w:shd w:val="clear" w:color="auto" w:fill="auto"/>
          </w:tcPr>
          <w:p w14:paraId="0BCD856E" w14:textId="553CE93C" w:rsidR="00503AFD" w:rsidRPr="00DD1268" w:rsidRDefault="00503AFD" w:rsidP="00F93552">
            <w:pPr>
              <w:pStyle w:val="Paragraph"/>
              <w:spacing w:line="240" w:lineRule="auto"/>
              <w:rPr>
                <w:lang w:eastAsia="en-GB"/>
              </w:rPr>
            </w:pPr>
            <w:r w:rsidRPr="00DD1268">
              <w:rPr>
                <w:rFonts w:cs="Arial"/>
                <w:color w:val="000000"/>
              </w:rPr>
              <w:t xml:space="preserve">collating data for wound care has always been a </w:t>
            </w:r>
            <w:proofErr w:type="gramStart"/>
            <w:r w:rsidRPr="00DD1268">
              <w:rPr>
                <w:rFonts w:cs="Arial"/>
                <w:color w:val="000000"/>
              </w:rPr>
              <w:t>challenge ,</w:t>
            </w:r>
            <w:proofErr w:type="gramEnd"/>
            <w:r w:rsidRPr="00DD1268">
              <w:rPr>
                <w:rFonts w:cs="Arial"/>
                <w:color w:val="000000"/>
              </w:rPr>
              <w:t xml:space="preserve"> there is </w:t>
            </w:r>
            <w:proofErr w:type="spellStart"/>
            <w:r w:rsidRPr="00DD1268">
              <w:rPr>
                <w:rFonts w:cs="Arial"/>
                <w:color w:val="000000"/>
              </w:rPr>
              <w:t>alot</w:t>
            </w:r>
            <w:proofErr w:type="spellEnd"/>
            <w:r w:rsidRPr="00DD1268">
              <w:rPr>
                <w:rFonts w:cs="Arial"/>
                <w:color w:val="000000"/>
              </w:rPr>
              <w:t xml:space="preserve"> of lived experience and outcome work that could be used to inform clinical efficacy and usage and included patient lived experiences</w:t>
            </w:r>
            <w:r w:rsidRPr="00DD1268">
              <w:rPr>
                <w:rFonts w:cs="Arial"/>
                <w:color w:val="000000"/>
              </w:rPr>
              <w:br/>
            </w:r>
            <w:r w:rsidR="00786A9B" w:rsidRPr="00DD1268">
              <w:rPr>
                <w:rFonts w:cs="Arial"/>
                <w:color w:val="000000"/>
              </w:rPr>
              <w:t>I</w:t>
            </w:r>
            <w:r w:rsidRPr="00DD1268">
              <w:rPr>
                <w:rFonts w:cs="Arial"/>
                <w:color w:val="000000"/>
              </w:rPr>
              <w:t xml:space="preserve"> think it time NICE used other forms of evidence to make recommendations and support clinical decision making</w:t>
            </w:r>
          </w:p>
        </w:tc>
        <w:tc>
          <w:tcPr>
            <w:tcW w:w="4135" w:type="dxa"/>
          </w:tcPr>
          <w:p w14:paraId="66849291" w14:textId="16FD9280" w:rsidR="00A22581" w:rsidRPr="00DD1268" w:rsidRDefault="6E77EBDE" w:rsidP="00F93552">
            <w:pPr>
              <w:pStyle w:val="Paragraph"/>
              <w:spacing w:line="240" w:lineRule="auto"/>
              <w:rPr>
                <w:lang w:eastAsia="en-GB"/>
              </w:rPr>
            </w:pPr>
            <w:r w:rsidRPr="1948D9BA">
              <w:rPr>
                <w:lang w:eastAsia="en-GB"/>
              </w:rPr>
              <w:t>Thank you for your comment.</w:t>
            </w:r>
            <w:r w:rsidR="00F81D29">
              <w:rPr>
                <w:lang w:eastAsia="en-GB"/>
              </w:rPr>
              <w:t xml:space="preserve"> NICE will be holding a public consultation on its updated methods for HealthTech. This will be an appropriate time to provide this input. </w:t>
            </w:r>
            <w:r w:rsidRPr="1948D9BA">
              <w:rPr>
                <w:lang w:eastAsia="en-GB"/>
              </w:rPr>
              <w:t xml:space="preserve"> </w:t>
            </w:r>
          </w:p>
        </w:tc>
      </w:tr>
    </w:tbl>
    <w:p w14:paraId="75872EDE" w14:textId="77777777" w:rsidR="00503AFD" w:rsidRDefault="00503AFD" w:rsidP="00EB53E2"/>
    <w:p w14:paraId="44B48178" w14:textId="77777777" w:rsidR="00821948" w:rsidRDefault="00821948" w:rsidP="00821948">
      <w:pPr>
        <w:pStyle w:val="Heading1"/>
        <w:spacing w:line="240" w:lineRule="auto"/>
      </w:pPr>
      <w:r>
        <w:t>Table 9: current practice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45"/>
        <w:gridCol w:w="2217"/>
        <w:gridCol w:w="4598"/>
        <w:gridCol w:w="4065"/>
      </w:tblGrid>
      <w:tr w:rsidR="006062B8" w14:paraId="724A3CDC" w14:textId="77777777" w:rsidTr="00F93552">
        <w:tc>
          <w:tcPr>
            <w:tcW w:w="1323" w:type="dxa"/>
            <w:shd w:val="clear" w:color="auto" w:fill="D9D9D9" w:themeFill="background1" w:themeFillShade="D9"/>
          </w:tcPr>
          <w:p w14:paraId="266CFAC2" w14:textId="6702B59D" w:rsidR="006062B8" w:rsidRPr="00F93552" w:rsidRDefault="006062B8" w:rsidP="00F93552">
            <w:pPr>
              <w:pStyle w:val="Paragraph"/>
              <w:spacing w:line="240" w:lineRule="auto"/>
              <w:rPr>
                <w:lang w:eastAsia="en-GB"/>
              </w:rPr>
            </w:pPr>
            <w:r w:rsidRPr="00F93552">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3DDCAE48" w14:textId="6DFE380D" w:rsidR="006062B8" w:rsidRPr="00F93552" w:rsidRDefault="006062B8" w:rsidP="00F93552">
            <w:pPr>
              <w:pStyle w:val="Paragraph"/>
              <w:spacing w:line="240" w:lineRule="auto"/>
              <w:rPr>
                <w:rFonts w:cs="Arial"/>
                <w:color w:val="000000"/>
              </w:rPr>
            </w:pPr>
            <w:r w:rsidRPr="00F93552">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6D6C6" w14:textId="4CB939C4" w:rsidR="006062B8" w:rsidRPr="00F93552" w:rsidRDefault="006062B8" w:rsidP="00F93552">
            <w:pPr>
              <w:pStyle w:val="Paragraph"/>
              <w:spacing w:line="240" w:lineRule="auto"/>
              <w:rPr>
                <w:rFonts w:cs="Arial"/>
                <w:color w:val="000000"/>
              </w:rPr>
            </w:pPr>
            <w:r w:rsidRPr="00F93552">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453A42DF" w14:textId="78E9F588" w:rsidR="006062B8" w:rsidRPr="00F93552" w:rsidRDefault="006062B8" w:rsidP="00F93552">
            <w:pPr>
              <w:pStyle w:val="Paragraph"/>
              <w:spacing w:line="240" w:lineRule="auto"/>
              <w:rPr>
                <w:rFonts w:cs="Arial"/>
                <w:color w:val="000000"/>
              </w:rPr>
            </w:pPr>
            <w:r w:rsidRPr="00F93552">
              <w:rPr>
                <w:b/>
                <w:bCs/>
                <w:lang w:eastAsia="en-GB"/>
              </w:rPr>
              <w:t>Comment</w:t>
            </w:r>
          </w:p>
        </w:tc>
        <w:tc>
          <w:tcPr>
            <w:tcW w:w="4135" w:type="dxa"/>
            <w:shd w:val="clear" w:color="auto" w:fill="D9D9D9" w:themeFill="background1" w:themeFillShade="D9"/>
          </w:tcPr>
          <w:p w14:paraId="67242FCA" w14:textId="427D60BC" w:rsidR="006062B8" w:rsidRPr="00F93552" w:rsidRDefault="006062B8" w:rsidP="00F93552">
            <w:pPr>
              <w:pStyle w:val="Paragraph"/>
              <w:spacing w:line="240" w:lineRule="auto"/>
              <w:rPr>
                <w:lang w:eastAsia="en-GB"/>
              </w:rPr>
            </w:pPr>
            <w:r w:rsidRPr="00F93552">
              <w:rPr>
                <w:b/>
                <w:bCs/>
                <w:lang w:eastAsia="en-GB"/>
              </w:rPr>
              <w:t>Response</w:t>
            </w:r>
          </w:p>
        </w:tc>
      </w:tr>
      <w:tr w:rsidR="00317A7C" w14:paraId="4342BDFC" w14:textId="77777777" w:rsidTr="00F93552">
        <w:tc>
          <w:tcPr>
            <w:tcW w:w="1323" w:type="dxa"/>
          </w:tcPr>
          <w:p w14:paraId="68D02E5A"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158F0EDC" w14:textId="7DFBD404" w:rsidR="00317A7C" w:rsidRPr="00F93552" w:rsidRDefault="00317A7C" w:rsidP="00F93552">
            <w:pPr>
              <w:pStyle w:val="Paragraph"/>
              <w:spacing w:line="240" w:lineRule="auto"/>
              <w:rPr>
                <w:lang w:eastAsia="en-GB"/>
              </w:rPr>
            </w:pPr>
            <w:r w:rsidRPr="00F93552">
              <w:rPr>
                <w:rFonts w:cs="Arial"/>
                <w:color w:val="000000"/>
              </w:rPr>
              <w:t>Consultee 3</w:t>
            </w:r>
            <w:r w:rsidRPr="00F93552">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C39D16F" w14:textId="4101A779" w:rsidR="00317A7C" w:rsidRPr="00F93552" w:rsidRDefault="00317A7C" w:rsidP="00F93552">
            <w:pPr>
              <w:pStyle w:val="Paragraph"/>
              <w:spacing w:line="240" w:lineRule="auto"/>
              <w:rPr>
                <w:lang w:eastAsia="en-GB"/>
              </w:rPr>
            </w:pPr>
            <w:r w:rsidRPr="00F93552">
              <w:rPr>
                <w:rFonts w:cs="Arial"/>
                <w:color w:val="000000"/>
              </w:rPr>
              <w:t>3.2 Current practice</w:t>
            </w:r>
          </w:p>
        </w:tc>
        <w:tc>
          <w:tcPr>
            <w:tcW w:w="4682" w:type="dxa"/>
            <w:tcBorders>
              <w:top w:val="single" w:sz="4" w:space="0" w:color="auto"/>
              <w:left w:val="single" w:sz="4" w:space="0" w:color="auto"/>
              <w:bottom w:val="single" w:sz="4" w:space="0" w:color="auto"/>
              <w:right w:val="nil"/>
            </w:tcBorders>
            <w:shd w:val="clear" w:color="auto" w:fill="auto"/>
          </w:tcPr>
          <w:p w14:paraId="41245C0D" w14:textId="778296E8" w:rsidR="00317A7C" w:rsidRPr="00F93552" w:rsidRDefault="00317A7C" w:rsidP="00F93552">
            <w:pPr>
              <w:pStyle w:val="Paragraph"/>
              <w:spacing w:line="240" w:lineRule="auto"/>
              <w:rPr>
                <w:lang w:eastAsia="en-GB"/>
              </w:rPr>
            </w:pPr>
            <w:r w:rsidRPr="00F93552">
              <w:rPr>
                <w:rFonts w:cs="Arial"/>
                <w:color w:val="000000"/>
              </w:rPr>
              <w:t xml:space="preserve">Please clarify that compression does not actively treat infection - it indirectly supports the </w:t>
            </w:r>
            <w:proofErr w:type="spellStart"/>
            <w:proofErr w:type="gramStart"/>
            <w:r w:rsidRPr="00F93552">
              <w:rPr>
                <w:rFonts w:cs="Arial"/>
                <w:color w:val="000000"/>
              </w:rPr>
              <w:t>patients</w:t>
            </w:r>
            <w:proofErr w:type="spellEnd"/>
            <w:proofErr w:type="gramEnd"/>
            <w:r w:rsidRPr="00F93552">
              <w:rPr>
                <w:rFonts w:cs="Arial"/>
                <w:color w:val="000000"/>
              </w:rPr>
              <w:t xml:space="preserve"> body to fight infection by improving vascular issues</w:t>
            </w:r>
          </w:p>
        </w:tc>
        <w:tc>
          <w:tcPr>
            <w:tcW w:w="4135" w:type="dxa"/>
          </w:tcPr>
          <w:p w14:paraId="2AEC3890" w14:textId="0AD39DC0" w:rsidR="00EF6ED5" w:rsidRPr="00F93552" w:rsidRDefault="00087C75" w:rsidP="00F93552">
            <w:pPr>
              <w:pStyle w:val="Paragraph"/>
              <w:spacing w:line="240" w:lineRule="auto"/>
              <w:rPr>
                <w:lang w:eastAsia="en-GB"/>
              </w:rPr>
            </w:pPr>
            <w:r w:rsidRPr="00F93552">
              <w:rPr>
                <w:lang w:eastAsia="en-GB"/>
              </w:rPr>
              <w:t xml:space="preserve">Thank you for your comment. </w:t>
            </w:r>
            <w:r w:rsidR="001F2432" w:rsidRPr="00F93552">
              <w:rPr>
                <w:lang w:eastAsia="en-GB"/>
              </w:rPr>
              <w:t>Th</w:t>
            </w:r>
            <w:r w:rsidR="009270E4" w:rsidRPr="00F93552">
              <w:rPr>
                <w:lang w:eastAsia="en-GB"/>
              </w:rPr>
              <w:t xml:space="preserve">e description </w:t>
            </w:r>
            <w:r w:rsidR="00EF6ED5" w:rsidRPr="00F93552">
              <w:rPr>
                <w:lang w:eastAsia="en-GB"/>
              </w:rPr>
              <w:t>of compression has been amended to state that it is an option in treating infected leg ulcers.</w:t>
            </w:r>
          </w:p>
        </w:tc>
      </w:tr>
      <w:tr w:rsidR="00317A7C" w14:paraId="1CC54139" w14:textId="77777777" w:rsidTr="00F93552">
        <w:tc>
          <w:tcPr>
            <w:tcW w:w="1323" w:type="dxa"/>
          </w:tcPr>
          <w:p w14:paraId="727F45EF"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17AAD66A" w14:textId="67E44D32" w:rsidR="00317A7C" w:rsidRPr="00F93552" w:rsidRDefault="00317A7C" w:rsidP="00F93552">
            <w:pPr>
              <w:pStyle w:val="Paragraph"/>
              <w:spacing w:line="240" w:lineRule="auto"/>
              <w:rPr>
                <w:lang w:eastAsia="en-GB"/>
              </w:rPr>
            </w:pPr>
            <w:r w:rsidRPr="00F93552">
              <w:rPr>
                <w:rFonts w:cs="Arial"/>
                <w:color w:val="000000"/>
              </w:rPr>
              <w:t>Consultee 4</w:t>
            </w:r>
            <w:r w:rsidRPr="00F93552">
              <w:rPr>
                <w:rFonts w:cs="Arial"/>
                <w:color w:val="000000"/>
              </w:rPr>
              <w:br/>
              <w:t>Coloplast</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F06C43" w14:textId="3C726E60" w:rsidR="00317A7C" w:rsidRPr="00F93552" w:rsidRDefault="00317A7C" w:rsidP="00F93552">
            <w:pPr>
              <w:pStyle w:val="Paragraph"/>
              <w:spacing w:line="240" w:lineRule="auto"/>
              <w:rPr>
                <w:lang w:eastAsia="en-GB"/>
              </w:rPr>
            </w:pPr>
            <w:r w:rsidRPr="00F93552">
              <w:rPr>
                <w:rFonts w:cs="Arial"/>
                <w:color w:val="000000"/>
              </w:rPr>
              <w:t>3.2 Current practice</w:t>
            </w:r>
          </w:p>
        </w:tc>
        <w:tc>
          <w:tcPr>
            <w:tcW w:w="4682" w:type="dxa"/>
            <w:tcBorders>
              <w:top w:val="single" w:sz="4" w:space="0" w:color="auto"/>
              <w:left w:val="single" w:sz="4" w:space="0" w:color="auto"/>
              <w:bottom w:val="single" w:sz="4" w:space="0" w:color="auto"/>
              <w:right w:val="nil"/>
            </w:tcBorders>
            <w:shd w:val="clear" w:color="auto" w:fill="auto"/>
          </w:tcPr>
          <w:p w14:paraId="15761252" w14:textId="0D013258" w:rsidR="00317A7C" w:rsidRPr="00F93552" w:rsidRDefault="00317A7C" w:rsidP="00F93552">
            <w:pPr>
              <w:pStyle w:val="Paragraph"/>
              <w:spacing w:line="240" w:lineRule="auto"/>
              <w:rPr>
                <w:lang w:eastAsia="en-GB"/>
              </w:rPr>
            </w:pPr>
            <w:r w:rsidRPr="00F93552">
              <w:rPr>
                <w:rFonts w:cs="Arial"/>
                <w:color w:val="000000"/>
              </w:rPr>
              <w:t>Other measures aimed at reducing the microbial burden of the wound must include reference to the use of debridement. Debridement is crucial because it removes slough, devitalised tissue, and biofilm, which can act as barriers to wound healing. By effectively clearing these barriers, debridement allows antimicrobials to reach the targeted areas more efficiently.</w:t>
            </w:r>
          </w:p>
        </w:tc>
        <w:tc>
          <w:tcPr>
            <w:tcW w:w="4135" w:type="dxa"/>
          </w:tcPr>
          <w:p w14:paraId="6DA98E4E" w14:textId="70D30286" w:rsidR="00317A7C" w:rsidRPr="00F93552" w:rsidRDefault="00C54069" w:rsidP="00F93552">
            <w:pPr>
              <w:pStyle w:val="Paragraph"/>
              <w:spacing w:line="240" w:lineRule="auto"/>
              <w:rPr>
                <w:lang w:eastAsia="en-GB"/>
              </w:rPr>
            </w:pPr>
            <w:r w:rsidRPr="00F93552">
              <w:rPr>
                <w:lang w:eastAsia="en-GB"/>
              </w:rPr>
              <w:t xml:space="preserve">Thank you for your comment. </w:t>
            </w:r>
            <w:r w:rsidR="00D07179" w:rsidRPr="00F93552">
              <w:rPr>
                <w:lang w:eastAsia="en-GB"/>
              </w:rPr>
              <w:t>Wound bed preparation and d</w:t>
            </w:r>
            <w:r w:rsidRPr="00F93552">
              <w:rPr>
                <w:lang w:eastAsia="en-GB"/>
              </w:rPr>
              <w:t xml:space="preserve">ebridement </w:t>
            </w:r>
            <w:r w:rsidR="00D07179" w:rsidRPr="00F93552">
              <w:rPr>
                <w:lang w:eastAsia="en-GB"/>
              </w:rPr>
              <w:t>are</w:t>
            </w:r>
            <w:r w:rsidRPr="00F93552">
              <w:rPr>
                <w:lang w:eastAsia="en-GB"/>
              </w:rPr>
              <w:t xml:space="preserve"> now mentioned in the current practice section. </w:t>
            </w:r>
          </w:p>
        </w:tc>
      </w:tr>
      <w:tr w:rsidR="00317A7C" w14:paraId="3F57C0C2" w14:textId="77777777" w:rsidTr="00F93552">
        <w:tc>
          <w:tcPr>
            <w:tcW w:w="1323" w:type="dxa"/>
          </w:tcPr>
          <w:p w14:paraId="5663D6FC"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4F3B72FD" w14:textId="01F508CE" w:rsidR="00317A7C" w:rsidRPr="00F93552" w:rsidRDefault="00317A7C" w:rsidP="00F93552">
            <w:pPr>
              <w:pStyle w:val="Paragraph"/>
              <w:spacing w:line="240" w:lineRule="auto"/>
              <w:rPr>
                <w:lang w:eastAsia="en-GB"/>
              </w:rPr>
            </w:pPr>
            <w:r w:rsidRPr="00F93552">
              <w:rPr>
                <w:rFonts w:cs="Arial"/>
                <w:color w:val="000000"/>
              </w:rPr>
              <w:t>Consultee 11</w:t>
            </w:r>
            <w:r w:rsidRPr="00F93552">
              <w:rPr>
                <w:rFonts w:cs="Arial"/>
                <w:color w:val="000000"/>
              </w:rPr>
              <w:br/>
            </w:r>
            <w:proofErr w:type="spellStart"/>
            <w:r w:rsidRPr="00F93552">
              <w:rPr>
                <w:rFonts w:cs="Arial"/>
                <w:color w:val="000000"/>
              </w:rPr>
              <w:t>Convatec</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B72DE6" w14:textId="305F681B" w:rsidR="00317A7C" w:rsidRPr="00F93552" w:rsidRDefault="00317A7C" w:rsidP="00F93552">
            <w:pPr>
              <w:pStyle w:val="Paragraph"/>
              <w:spacing w:line="240" w:lineRule="auto"/>
              <w:rPr>
                <w:lang w:eastAsia="en-GB"/>
              </w:rPr>
            </w:pPr>
            <w:r w:rsidRPr="00F93552">
              <w:rPr>
                <w:rFonts w:cs="Arial"/>
                <w:color w:val="000000"/>
              </w:rPr>
              <w:t>3.2 Current practice</w:t>
            </w:r>
          </w:p>
        </w:tc>
        <w:tc>
          <w:tcPr>
            <w:tcW w:w="4682" w:type="dxa"/>
            <w:tcBorders>
              <w:top w:val="single" w:sz="4" w:space="0" w:color="auto"/>
              <w:left w:val="single" w:sz="4" w:space="0" w:color="auto"/>
              <w:bottom w:val="single" w:sz="4" w:space="0" w:color="auto"/>
              <w:right w:val="nil"/>
            </w:tcBorders>
            <w:shd w:val="clear" w:color="auto" w:fill="auto"/>
          </w:tcPr>
          <w:p w14:paraId="2C68B02A" w14:textId="5729A029" w:rsidR="00317A7C" w:rsidRPr="00F93552" w:rsidRDefault="00317A7C" w:rsidP="00F93552">
            <w:pPr>
              <w:pStyle w:val="Paragraph"/>
              <w:spacing w:line="240" w:lineRule="auto"/>
              <w:rPr>
                <w:lang w:eastAsia="en-GB"/>
              </w:rPr>
            </w:pPr>
            <w:r w:rsidRPr="00F93552">
              <w:rPr>
                <w:rFonts w:cs="Arial"/>
                <w:color w:val="000000"/>
              </w:rPr>
              <w:t>The below statement is from Best Practice Statement Use of silver dressings in wound care published in Wounds UK 2021</w:t>
            </w:r>
            <w:r w:rsidRPr="00F93552">
              <w:rPr>
                <w:rFonts w:cs="Arial"/>
                <w:color w:val="000000"/>
              </w:rPr>
              <w:br/>
            </w:r>
            <w:r w:rsidRPr="00F93552">
              <w:rPr>
                <w:rFonts w:cs="Arial"/>
                <w:color w:val="000000"/>
              </w:rPr>
              <w:br/>
              <w:t xml:space="preserve">"There was concern across the expert group that the two-week challenge has </w:t>
            </w:r>
            <w:r w:rsidRPr="00F93552">
              <w:rPr>
                <w:rFonts w:cs="Arial"/>
                <w:color w:val="000000"/>
              </w:rPr>
              <w:lastRenderedPageBreak/>
              <w:t xml:space="preserve">been misinterpreted and led to wounds not being treated appropriately after the initial </w:t>
            </w:r>
            <w:proofErr w:type="gramStart"/>
            <w:r w:rsidRPr="00F93552">
              <w:rPr>
                <w:rFonts w:cs="Arial"/>
                <w:color w:val="000000"/>
              </w:rPr>
              <w:t>two week</w:t>
            </w:r>
            <w:proofErr w:type="gramEnd"/>
            <w:r w:rsidRPr="00F93552">
              <w:rPr>
                <w:rFonts w:cs="Arial"/>
                <w:color w:val="000000"/>
              </w:rPr>
              <w:t xml:space="preserve"> period. While the two-week period provides a suitable assessment timeframe to establish whether a particular antimicrobial treatment is working effectively, it should not be viewed as an automatic stop point for treatment. The two-week point should be viewed as an opportunity for review. If the wound has improved but is not yet healed, the antimicrobial dressing should not be automatically stopped. If necessary, it can be continued beyond the two-week period. The wound and the patient should be reassessed for signs and symptoms of infection at regular intervals".</w:t>
            </w:r>
          </w:p>
        </w:tc>
        <w:tc>
          <w:tcPr>
            <w:tcW w:w="4135" w:type="dxa"/>
          </w:tcPr>
          <w:p w14:paraId="473B0C68" w14:textId="20359138" w:rsidR="00317A7C" w:rsidRPr="00F93552" w:rsidRDefault="00C54069" w:rsidP="00F93552">
            <w:pPr>
              <w:pStyle w:val="Paragraph"/>
              <w:spacing w:line="240" w:lineRule="auto"/>
              <w:rPr>
                <w:lang w:eastAsia="en-GB"/>
              </w:rPr>
            </w:pPr>
            <w:r w:rsidRPr="00F93552">
              <w:rPr>
                <w:lang w:eastAsia="en-GB"/>
              </w:rPr>
              <w:lastRenderedPageBreak/>
              <w:t xml:space="preserve">Thank you for your comment. The </w:t>
            </w:r>
            <w:r w:rsidR="008D3B1F" w:rsidRPr="00F93552">
              <w:rPr>
                <w:lang w:eastAsia="en-GB"/>
              </w:rPr>
              <w:t xml:space="preserve">guidance document does not mention the discontinuation of silver. </w:t>
            </w:r>
          </w:p>
        </w:tc>
      </w:tr>
      <w:tr w:rsidR="00317A7C" w14:paraId="65F7AE44" w14:textId="77777777" w:rsidTr="00F93552">
        <w:tc>
          <w:tcPr>
            <w:tcW w:w="1323" w:type="dxa"/>
          </w:tcPr>
          <w:p w14:paraId="248A9730"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73D6D591" w14:textId="72F23941" w:rsidR="00317A7C" w:rsidRPr="00F93552" w:rsidRDefault="00317A7C" w:rsidP="00F93552">
            <w:pPr>
              <w:pStyle w:val="Paragraph"/>
              <w:spacing w:line="240" w:lineRule="auto"/>
              <w:rPr>
                <w:lang w:eastAsia="en-GB"/>
              </w:rPr>
            </w:pPr>
            <w:r w:rsidRPr="00F93552">
              <w:rPr>
                <w:rFonts w:cs="Arial"/>
                <w:color w:val="000000"/>
              </w:rPr>
              <w:t>Consultee 11</w:t>
            </w:r>
            <w:r w:rsidRPr="00F93552">
              <w:rPr>
                <w:rFonts w:cs="Arial"/>
                <w:color w:val="000000"/>
              </w:rPr>
              <w:br/>
            </w:r>
            <w:proofErr w:type="spellStart"/>
            <w:r w:rsidRPr="00F93552">
              <w:rPr>
                <w:rFonts w:cs="Arial"/>
                <w:color w:val="000000"/>
              </w:rPr>
              <w:t>Convatec</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CC004F" w14:textId="518B7630" w:rsidR="00317A7C" w:rsidRPr="00F93552" w:rsidRDefault="00317A7C" w:rsidP="00F93552">
            <w:pPr>
              <w:pStyle w:val="Paragraph"/>
              <w:spacing w:line="240" w:lineRule="auto"/>
              <w:rPr>
                <w:lang w:eastAsia="en-GB"/>
              </w:rPr>
            </w:pPr>
            <w:r w:rsidRPr="00F93552">
              <w:rPr>
                <w:rFonts w:cs="Arial"/>
                <w:color w:val="000000"/>
              </w:rPr>
              <w:t>3.2 Current practice</w:t>
            </w:r>
          </w:p>
        </w:tc>
        <w:tc>
          <w:tcPr>
            <w:tcW w:w="4682" w:type="dxa"/>
            <w:tcBorders>
              <w:top w:val="single" w:sz="4" w:space="0" w:color="auto"/>
              <w:left w:val="single" w:sz="4" w:space="0" w:color="auto"/>
              <w:bottom w:val="single" w:sz="4" w:space="0" w:color="auto"/>
              <w:right w:val="nil"/>
            </w:tcBorders>
            <w:shd w:val="clear" w:color="auto" w:fill="auto"/>
          </w:tcPr>
          <w:p w14:paraId="14348814" w14:textId="6E41E7C7" w:rsidR="00317A7C" w:rsidRPr="00F93552" w:rsidRDefault="00317A7C" w:rsidP="00F93552">
            <w:pPr>
              <w:pStyle w:val="Paragraph"/>
              <w:spacing w:line="240" w:lineRule="auto"/>
              <w:rPr>
                <w:lang w:eastAsia="en-GB"/>
              </w:rPr>
            </w:pPr>
            <w:r w:rsidRPr="00F93552">
              <w:rPr>
                <w:rFonts w:cs="Arial"/>
                <w:color w:val="000000"/>
              </w:rPr>
              <w:t>If there is still evidence of local infection after 2 weeks, further escalation for advice from the tissue viability team may be necessary, as per local guidance. This does not consider the scenario where there is still evidence of local infection after 2 weeks, but the signs have improved.</w:t>
            </w:r>
            <w:r w:rsidRPr="00F93552">
              <w:rPr>
                <w:rFonts w:cs="Arial"/>
                <w:color w:val="000000"/>
              </w:rPr>
              <w:br/>
              <w:t xml:space="preserve">International consensus published by Wounds International recommends, in that scenario, to continue the current </w:t>
            </w:r>
            <w:r w:rsidRPr="00F93552">
              <w:rPr>
                <w:rFonts w:cs="Arial"/>
                <w:color w:val="000000"/>
              </w:rPr>
              <w:lastRenderedPageBreak/>
              <w:t>antimicrobial for another 2 weeks and then reassess.</w:t>
            </w:r>
            <w:r w:rsidRPr="00F93552">
              <w:rPr>
                <w:rFonts w:cs="Arial"/>
                <w:color w:val="000000"/>
              </w:rPr>
              <w:br/>
            </w:r>
            <w:r w:rsidRPr="00F93552">
              <w:rPr>
                <w:rFonts w:cs="Arial"/>
                <w:color w:val="000000"/>
              </w:rPr>
              <w:br/>
              <w:t>This should be included in the "current practice" section</w:t>
            </w:r>
          </w:p>
        </w:tc>
        <w:tc>
          <w:tcPr>
            <w:tcW w:w="4135" w:type="dxa"/>
          </w:tcPr>
          <w:p w14:paraId="3E5535A4" w14:textId="49065C71" w:rsidR="00317A7C" w:rsidRPr="00F93552" w:rsidRDefault="00784693" w:rsidP="00F93552">
            <w:pPr>
              <w:pStyle w:val="Paragraph"/>
              <w:spacing w:line="240" w:lineRule="auto"/>
              <w:rPr>
                <w:lang w:eastAsia="en-GB"/>
              </w:rPr>
            </w:pPr>
            <w:r w:rsidRPr="00F93552">
              <w:rPr>
                <w:lang w:eastAsia="en-GB"/>
              </w:rPr>
              <w:lastRenderedPageBreak/>
              <w:t>Thank you for your comment. This statement in the guidance is conditional (‘may be necessary</w:t>
            </w:r>
            <w:r w:rsidR="0052759D" w:rsidRPr="00F93552">
              <w:rPr>
                <w:lang w:eastAsia="en-GB"/>
              </w:rPr>
              <w:t xml:space="preserve"> as per local guidance</w:t>
            </w:r>
            <w:r w:rsidRPr="00F93552">
              <w:rPr>
                <w:lang w:eastAsia="en-GB"/>
              </w:rPr>
              <w:t xml:space="preserve">’). This </w:t>
            </w:r>
            <w:r w:rsidR="0052759D" w:rsidRPr="00F93552">
              <w:rPr>
                <w:lang w:eastAsia="en-GB"/>
              </w:rPr>
              <w:t xml:space="preserve">late-stage assessment </w:t>
            </w:r>
            <w:r w:rsidRPr="00F93552">
              <w:rPr>
                <w:lang w:eastAsia="en-GB"/>
              </w:rPr>
              <w:t xml:space="preserve">does not remove clinical reasoning from the healthcare professional. </w:t>
            </w:r>
          </w:p>
        </w:tc>
      </w:tr>
      <w:tr w:rsidR="00317A7C" w14:paraId="4A278063" w14:textId="77777777" w:rsidTr="00F93552">
        <w:tc>
          <w:tcPr>
            <w:tcW w:w="1323" w:type="dxa"/>
          </w:tcPr>
          <w:p w14:paraId="69E550CD"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1D59AA1B" w14:textId="71659D0C" w:rsidR="00317A7C" w:rsidRPr="00F93552" w:rsidRDefault="00317A7C" w:rsidP="00F93552">
            <w:pPr>
              <w:pStyle w:val="Paragraph"/>
              <w:spacing w:line="240" w:lineRule="auto"/>
              <w:rPr>
                <w:lang w:eastAsia="en-GB"/>
              </w:rPr>
            </w:pPr>
            <w:r w:rsidRPr="00F93552">
              <w:rPr>
                <w:rFonts w:cs="Arial"/>
                <w:color w:val="000000"/>
              </w:rPr>
              <w:t>Consultee 14</w:t>
            </w:r>
            <w:r w:rsidRPr="00F93552">
              <w:rPr>
                <w:rFonts w:cs="Arial"/>
                <w:color w:val="000000"/>
              </w:rPr>
              <w:br/>
              <w:t>Essity</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DF9B4A" w14:textId="6246DAF4" w:rsidR="00317A7C" w:rsidRPr="00F93552" w:rsidRDefault="00317A7C" w:rsidP="00F93552">
            <w:pPr>
              <w:pStyle w:val="Paragraph"/>
              <w:spacing w:line="240" w:lineRule="auto"/>
              <w:rPr>
                <w:lang w:eastAsia="en-GB"/>
              </w:rPr>
            </w:pPr>
            <w:r w:rsidRPr="00F93552">
              <w:rPr>
                <w:rFonts w:cs="Arial"/>
                <w:color w:val="000000"/>
              </w:rPr>
              <w:t>1.1 1 Recommendations</w:t>
            </w:r>
          </w:p>
        </w:tc>
        <w:tc>
          <w:tcPr>
            <w:tcW w:w="4682" w:type="dxa"/>
            <w:tcBorders>
              <w:top w:val="single" w:sz="4" w:space="0" w:color="auto"/>
              <w:left w:val="single" w:sz="4" w:space="0" w:color="auto"/>
              <w:bottom w:val="single" w:sz="4" w:space="0" w:color="auto"/>
              <w:right w:val="nil"/>
            </w:tcBorders>
            <w:shd w:val="clear" w:color="auto" w:fill="auto"/>
          </w:tcPr>
          <w:p w14:paraId="04551252" w14:textId="534ABDBF" w:rsidR="00317A7C" w:rsidRPr="00F93552" w:rsidRDefault="00317A7C" w:rsidP="00F93552">
            <w:pPr>
              <w:pStyle w:val="Paragraph"/>
              <w:spacing w:line="240" w:lineRule="auto"/>
              <w:rPr>
                <w:lang w:eastAsia="en-GB"/>
              </w:rPr>
            </w:pPr>
            <w:r w:rsidRPr="00F93552">
              <w:rPr>
                <w:rFonts w:cs="Arial"/>
                <w:color w:val="000000"/>
              </w:rPr>
              <w:t xml:space="preserve">1.1 Other measures aimed at reducing the microbial burden of the wound can include using compression products and systemic antimicrobial therapy. Essity feels this needs to be </w:t>
            </w:r>
            <w:proofErr w:type="gramStart"/>
            <w:r w:rsidRPr="00F93552">
              <w:rPr>
                <w:rFonts w:cs="Arial"/>
                <w:color w:val="000000"/>
              </w:rPr>
              <w:t>more clear</w:t>
            </w:r>
            <w:proofErr w:type="gramEnd"/>
            <w:r w:rsidRPr="00F93552">
              <w:rPr>
                <w:rFonts w:cs="Arial"/>
                <w:color w:val="000000"/>
              </w:rPr>
              <w:t xml:space="preserve"> as to why compression reduces microbial burden also should highlight challenges of applying strong compression to infected wounds due to pain and inability to Doppler</w:t>
            </w:r>
          </w:p>
        </w:tc>
        <w:tc>
          <w:tcPr>
            <w:tcW w:w="4135" w:type="dxa"/>
          </w:tcPr>
          <w:p w14:paraId="4EAC7C40" w14:textId="763E9F1C" w:rsidR="00317A7C" w:rsidRPr="00F93552" w:rsidRDefault="007C28F9" w:rsidP="00F93552">
            <w:pPr>
              <w:pStyle w:val="Paragraph"/>
              <w:spacing w:line="240" w:lineRule="auto"/>
              <w:rPr>
                <w:lang w:eastAsia="en-GB"/>
              </w:rPr>
            </w:pPr>
            <w:r w:rsidRPr="00F93552">
              <w:rPr>
                <w:lang w:eastAsia="en-GB"/>
              </w:rPr>
              <w:t xml:space="preserve">Thank you for your comment. </w:t>
            </w:r>
            <w:r w:rsidR="00626705" w:rsidRPr="00F93552">
              <w:rPr>
                <w:lang w:eastAsia="en-GB"/>
              </w:rPr>
              <w:t xml:space="preserve">A clarification has been added that compression </w:t>
            </w:r>
            <w:r w:rsidR="00224896" w:rsidRPr="00F93552">
              <w:rPr>
                <w:lang w:eastAsia="en-GB"/>
              </w:rPr>
              <w:t xml:space="preserve">is option when treating infected leg ulcers. The reference to microbial burden has been removed. </w:t>
            </w:r>
          </w:p>
        </w:tc>
      </w:tr>
      <w:tr w:rsidR="00317A7C" w14:paraId="77D4F649" w14:textId="77777777" w:rsidTr="00F93552">
        <w:tc>
          <w:tcPr>
            <w:tcW w:w="1323" w:type="dxa"/>
          </w:tcPr>
          <w:p w14:paraId="68752756"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7172F21E" w14:textId="755E32EF" w:rsidR="00317A7C" w:rsidRPr="00F93552" w:rsidRDefault="00317A7C" w:rsidP="00F93552">
            <w:pPr>
              <w:pStyle w:val="Paragraph"/>
              <w:spacing w:line="240" w:lineRule="auto"/>
              <w:rPr>
                <w:lang w:eastAsia="en-GB"/>
              </w:rPr>
            </w:pPr>
            <w:r w:rsidRPr="00F93552">
              <w:rPr>
                <w:rFonts w:cs="Arial"/>
                <w:color w:val="000000"/>
              </w:rPr>
              <w:t>Consultee 14</w:t>
            </w:r>
            <w:r w:rsidRPr="00F93552">
              <w:rPr>
                <w:rFonts w:cs="Arial"/>
                <w:color w:val="000000"/>
              </w:rPr>
              <w:br/>
              <w:t>Essity</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1BF6DF8" w14:textId="39D4DFE7" w:rsidR="00317A7C" w:rsidRPr="00F93552" w:rsidRDefault="00317A7C" w:rsidP="00F93552">
            <w:pPr>
              <w:pStyle w:val="Paragraph"/>
              <w:spacing w:line="240" w:lineRule="auto"/>
              <w:rPr>
                <w:lang w:eastAsia="en-GB"/>
              </w:rPr>
            </w:pPr>
            <w:r w:rsidRPr="00F93552">
              <w:rPr>
                <w:rFonts w:cs="Arial"/>
                <w:color w:val="000000"/>
              </w:rPr>
              <w:t>3.1 The condition</w:t>
            </w:r>
          </w:p>
        </w:tc>
        <w:tc>
          <w:tcPr>
            <w:tcW w:w="4682" w:type="dxa"/>
            <w:tcBorders>
              <w:top w:val="single" w:sz="4" w:space="0" w:color="auto"/>
              <w:left w:val="single" w:sz="4" w:space="0" w:color="auto"/>
              <w:bottom w:val="single" w:sz="4" w:space="0" w:color="auto"/>
              <w:right w:val="nil"/>
            </w:tcBorders>
            <w:shd w:val="clear" w:color="auto" w:fill="auto"/>
          </w:tcPr>
          <w:p w14:paraId="07EAB3B7" w14:textId="369E7C1B" w:rsidR="00317A7C" w:rsidRPr="00F93552" w:rsidRDefault="00317A7C" w:rsidP="00F93552">
            <w:pPr>
              <w:pStyle w:val="Paragraph"/>
              <w:spacing w:line="240" w:lineRule="auto"/>
              <w:rPr>
                <w:lang w:eastAsia="en-GB"/>
              </w:rPr>
            </w:pPr>
            <w:r w:rsidRPr="00F93552">
              <w:rPr>
                <w:rFonts w:cs="Arial"/>
                <w:color w:val="000000"/>
              </w:rPr>
              <w:t xml:space="preserve">Current practice 3.1 In general, a dressing should be used for no more than 2 weeks before the wound – This should be clearer to why there is a </w:t>
            </w:r>
            <w:proofErr w:type="gramStart"/>
            <w:r w:rsidRPr="00F93552">
              <w:rPr>
                <w:rFonts w:cs="Arial"/>
                <w:color w:val="000000"/>
              </w:rPr>
              <w:t>2 week</w:t>
            </w:r>
            <w:proofErr w:type="gramEnd"/>
            <w:r w:rsidRPr="00F93552">
              <w:rPr>
                <w:rFonts w:cs="Arial"/>
                <w:color w:val="000000"/>
              </w:rPr>
              <w:t xml:space="preserve"> rule. Lots of area use this rule due to concerns about products that are </w:t>
            </w:r>
            <w:proofErr w:type="gramStart"/>
            <w:r w:rsidRPr="00F93552">
              <w:rPr>
                <w:rFonts w:cs="Arial"/>
                <w:color w:val="000000"/>
              </w:rPr>
              <w:t>Chemically</w:t>
            </w:r>
            <w:proofErr w:type="gramEnd"/>
            <w:r w:rsidRPr="00F93552">
              <w:rPr>
                <w:rFonts w:cs="Arial"/>
                <w:color w:val="000000"/>
              </w:rPr>
              <w:t xml:space="preserve"> or pharmacologically active antimicrobial agents include may build resistance. Non-active agents with a physical mode of action dressings do not have the same concerns due to nature of the dressing</w:t>
            </w:r>
          </w:p>
        </w:tc>
        <w:tc>
          <w:tcPr>
            <w:tcW w:w="4135" w:type="dxa"/>
          </w:tcPr>
          <w:p w14:paraId="51FD272E" w14:textId="0E83DB34" w:rsidR="00317A7C" w:rsidRPr="00F93552" w:rsidRDefault="00B11C68" w:rsidP="00F93552">
            <w:pPr>
              <w:pStyle w:val="Paragraph"/>
              <w:spacing w:line="240" w:lineRule="auto"/>
              <w:rPr>
                <w:lang w:eastAsia="en-GB"/>
              </w:rPr>
            </w:pPr>
            <w:r w:rsidRPr="00F93552">
              <w:rPr>
                <w:lang w:eastAsia="en-GB"/>
              </w:rPr>
              <w:t xml:space="preserve">Thank you for your comment. This section is a general description of current practice and not technology specific. Practice and local guidance </w:t>
            </w:r>
            <w:proofErr w:type="gramStart"/>
            <w:r w:rsidRPr="00F93552">
              <w:rPr>
                <w:lang w:eastAsia="en-GB"/>
              </w:rPr>
              <w:t>is</w:t>
            </w:r>
            <w:proofErr w:type="gramEnd"/>
            <w:r w:rsidRPr="00F93552">
              <w:rPr>
                <w:lang w:eastAsia="en-GB"/>
              </w:rPr>
              <w:t xml:space="preserve"> diverse across the country. However, </w:t>
            </w:r>
            <w:r w:rsidR="006C264F" w:rsidRPr="00F93552">
              <w:rPr>
                <w:lang w:eastAsia="en-GB"/>
              </w:rPr>
              <w:t xml:space="preserve">clinical experts have told us that generally after no more than 2 weeks a dressing and wound are reassessed. </w:t>
            </w:r>
            <w:r w:rsidR="00574B96" w:rsidRPr="00F93552">
              <w:rPr>
                <w:lang w:eastAsia="en-GB"/>
              </w:rPr>
              <w:t xml:space="preserve">Please note that this section of the guidance document is not a recommendation for practice. </w:t>
            </w:r>
          </w:p>
        </w:tc>
      </w:tr>
      <w:tr w:rsidR="00317A7C" w14:paraId="4B690146" w14:textId="77777777" w:rsidTr="00F93552">
        <w:tc>
          <w:tcPr>
            <w:tcW w:w="1323" w:type="dxa"/>
          </w:tcPr>
          <w:p w14:paraId="3FF941E9" w14:textId="77777777" w:rsidR="00317A7C" w:rsidRPr="00F93552" w:rsidRDefault="00317A7C" w:rsidP="00F93552">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586256FE" w14:textId="790BF3D1" w:rsidR="00317A7C" w:rsidRPr="00F93552" w:rsidRDefault="00317A7C" w:rsidP="00F93552">
            <w:pPr>
              <w:pStyle w:val="Paragraph"/>
              <w:spacing w:line="240" w:lineRule="auto"/>
              <w:rPr>
                <w:lang w:eastAsia="en-GB"/>
              </w:rPr>
            </w:pPr>
            <w:r w:rsidRPr="00F93552">
              <w:rPr>
                <w:rFonts w:cs="Arial"/>
                <w:color w:val="000000"/>
              </w:rPr>
              <w:t>Consultee 14</w:t>
            </w:r>
            <w:r w:rsidRPr="00F93552">
              <w:rPr>
                <w:rFonts w:cs="Arial"/>
                <w:color w:val="000000"/>
              </w:rPr>
              <w:br/>
              <w:t>Essity</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FB035D3" w14:textId="5A959B3A" w:rsidR="00317A7C" w:rsidRPr="00F93552" w:rsidRDefault="00317A7C" w:rsidP="00F93552">
            <w:pPr>
              <w:pStyle w:val="Paragraph"/>
              <w:spacing w:line="240" w:lineRule="auto"/>
              <w:rPr>
                <w:lang w:eastAsia="en-GB"/>
              </w:rPr>
            </w:pPr>
            <w:r w:rsidRPr="00F93552">
              <w:rPr>
                <w:rFonts w:cs="Arial"/>
                <w:color w:val="000000"/>
              </w:rPr>
              <w:t>3.1 The condition</w:t>
            </w:r>
          </w:p>
        </w:tc>
        <w:tc>
          <w:tcPr>
            <w:tcW w:w="4682" w:type="dxa"/>
            <w:tcBorders>
              <w:top w:val="single" w:sz="4" w:space="0" w:color="auto"/>
              <w:left w:val="single" w:sz="4" w:space="0" w:color="auto"/>
              <w:bottom w:val="single" w:sz="4" w:space="0" w:color="auto"/>
              <w:right w:val="nil"/>
            </w:tcBorders>
            <w:shd w:val="clear" w:color="auto" w:fill="auto"/>
          </w:tcPr>
          <w:p w14:paraId="360DBA8B" w14:textId="3870D51D" w:rsidR="00317A7C" w:rsidRPr="00F93552" w:rsidRDefault="00317A7C" w:rsidP="00F93552">
            <w:pPr>
              <w:pStyle w:val="Paragraph"/>
              <w:spacing w:line="240" w:lineRule="auto"/>
              <w:rPr>
                <w:lang w:eastAsia="en-GB"/>
              </w:rPr>
            </w:pPr>
            <w:r w:rsidRPr="00F93552">
              <w:rPr>
                <w:rFonts w:cs="Arial"/>
                <w:color w:val="000000"/>
              </w:rPr>
              <w:t xml:space="preserve">In general, a dressing should be used for no more than 2 weeks before the wound – This should be clearer to why there is a </w:t>
            </w:r>
            <w:proofErr w:type="gramStart"/>
            <w:r w:rsidRPr="00F93552">
              <w:rPr>
                <w:rFonts w:cs="Arial"/>
                <w:color w:val="000000"/>
              </w:rPr>
              <w:t>2 week</w:t>
            </w:r>
            <w:proofErr w:type="gramEnd"/>
            <w:r w:rsidRPr="00F93552">
              <w:rPr>
                <w:rFonts w:cs="Arial"/>
                <w:color w:val="000000"/>
              </w:rPr>
              <w:t xml:space="preserve"> rule. Lots of area use this rule due to concerns about products that are </w:t>
            </w:r>
            <w:proofErr w:type="gramStart"/>
            <w:r w:rsidRPr="00F93552">
              <w:rPr>
                <w:rFonts w:cs="Arial"/>
                <w:color w:val="000000"/>
              </w:rPr>
              <w:t>Chemically</w:t>
            </w:r>
            <w:proofErr w:type="gramEnd"/>
            <w:r w:rsidRPr="00F93552">
              <w:rPr>
                <w:rFonts w:cs="Arial"/>
                <w:color w:val="000000"/>
              </w:rPr>
              <w:t xml:space="preserve"> or pharmacologically active antimicrobial agents include may build resistance. Non-active agents with a physical mode of action dressings do not have the same concerns due to nature of the dressing</w:t>
            </w:r>
          </w:p>
        </w:tc>
        <w:tc>
          <w:tcPr>
            <w:tcW w:w="4135" w:type="dxa"/>
          </w:tcPr>
          <w:p w14:paraId="47BA26A2" w14:textId="53DDEB39" w:rsidR="00317A7C" w:rsidRPr="00F93552" w:rsidRDefault="00574B96" w:rsidP="00F93552">
            <w:pPr>
              <w:pStyle w:val="Paragraph"/>
              <w:spacing w:line="240" w:lineRule="auto"/>
              <w:rPr>
                <w:lang w:eastAsia="en-GB"/>
              </w:rPr>
            </w:pPr>
            <w:r w:rsidRPr="00F93552">
              <w:rPr>
                <w:lang w:eastAsia="en-GB"/>
              </w:rPr>
              <w:t>Thank you for comment please see response to comment 63.</w:t>
            </w:r>
          </w:p>
        </w:tc>
      </w:tr>
    </w:tbl>
    <w:p w14:paraId="6A4DE5AC" w14:textId="77777777" w:rsidR="00317A7C" w:rsidRDefault="00317A7C" w:rsidP="00EB53E2"/>
    <w:p w14:paraId="65F2EDBC" w14:textId="77777777" w:rsidR="0075263D" w:rsidRDefault="0075263D" w:rsidP="0075263D">
      <w:pPr>
        <w:pStyle w:val="Heading1"/>
        <w:spacing w:line="240" w:lineRule="auto"/>
      </w:pPr>
      <w:r>
        <w:t>Table 10: equality considerations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F06BB6" w14:paraId="70A9B0FC" w14:textId="77777777" w:rsidTr="00A07AE3">
        <w:tc>
          <w:tcPr>
            <w:tcW w:w="1323" w:type="dxa"/>
            <w:shd w:val="clear" w:color="auto" w:fill="D9D9D9" w:themeFill="background1" w:themeFillShade="D9"/>
          </w:tcPr>
          <w:p w14:paraId="4B576C71" w14:textId="5E1A159E" w:rsidR="00F06BB6" w:rsidRPr="00F93552" w:rsidRDefault="00F06BB6" w:rsidP="00A07AE3">
            <w:pPr>
              <w:pStyle w:val="Paragraph"/>
              <w:spacing w:line="240" w:lineRule="auto"/>
              <w:rPr>
                <w:lang w:eastAsia="en-GB"/>
              </w:rPr>
            </w:pPr>
            <w:r w:rsidRPr="00F93552">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73E81944" w14:textId="29BC338E" w:rsidR="00F06BB6" w:rsidRPr="00F93552" w:rsidRDefault="00F06BB6" w:rsidP="00A07AE3">
            <w:pPr>
              <w:pStyle w:val="Paragraph"/>
              <w:spacing w:line="240" w:lineRule="auto"/>
              <w:rPr>
                <w:rFonts w:cs="Arial"/>
                <w:color w:val="000000"/>
              </w:rPr>
            </w:pPr>
            <w:r w:rsidRPr="00F93552">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E4D53" w14:textId="34128A4E" w:rsidR="00F06BB6" w:rsidRPr="00F93552" w:rsidRDefault="00F06BB6" w:rsidP="00A07AE3">
            <w:pPr>
              <w:pStyle w:val="Paragraph"/>
              <w:spacing w:line="240" w:lineRule="auto"/>
              <w:rPr>
                <w:rFonts w:cs="Arial"/>
                <w:color w:val="000000"/>
              </w:rPr>
            </w:pPr>
            <w:r w:rsidRPr="00F93552">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67893A4C" w14:textId="4650A342" w:rsidR="00F06BB6" w:rsidRPr="00F93552" w:rsidRDefault="00F06BB6" w:rsidP="00A07AE3">
            <w:pPr>
              <w:pStyle w:val="Paragraph"/>
              <w:spacing w:line="240" w:lineRule="auto"/>
              <w:rPr>
                <w:rFonts w:cs="Arial"/>
                <w:color w:val="000000"/>
              </w:rPr>
            </w:pPr>
            <w:r w:rsidRPr="00F93552">
              <w:rPr>
                <w:b/>
                <w:bCs/>
                <w:lang w:eastAsia="en-GB"/>
              </w:rPr>
              <w:t>Comment</w:t>
            </w:r>
          </w:p>
        </w:tc>
        <w:tc>
          <w:tcPr>
            <w:tcW w:w="4135" w:type="dxa"/>
            <w:shd w:val="clear" w:color="auto" w:fill="D9D9D9" w:themeFill="background1" w:themeFillShade="D9"/>
          </w:tcPr>
          <w:p w14:paraId="168E6AF3" w14:textId="1E93FB69" w:rsidR="00F06BB6" w:rsidRPr="00F93552" w:rsidRDefault="00F06BB6" w:rsidP="00A07AE3">
            <w:pPr>
              <w:pStyle w:val="Paragraph"/>
              <w:spacing w:line="240" w:lineRule="auto"/>
              <w:rPr>
                <w:lang w:eastAsia="en-GB"/>
              </w:rPr>
            </w:pPr>
            <w:r w:rsidRPr="00F93552">
              <w:rPr>
                <w:b/>
                <w:bCs/>
                <w:lang w:eastAsia="en-GB"/>
              </w:rPr>
              <w:t>Response</w:t>
            </w:r>
          </w:p>
        </w:tc>
      </w:tr>
      <w:tr w:rsidR="00AB5790" w14:paraId="15114DD7" w14:textId="77777777" w:rsidTr="00A07AE3">
        <w:tc>
          <w:tcPr>
            <w:tcW w:w="1323" w:type="dxa"/>
          </w:tcPr>
          <w:p w14:paraId="1662ADE7" w14:textId="77777777" w:rsidR="00AB5790" w:rsidRPr="00F93552" w:rsidRDefault="00AB5790"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2B637BB" w14:textId="7B5E3D3C" w:rsidR="00AB5790" w:rsidRPr="00F93552" w:rsidRDefault="00AB5790" w:rsidP="00A07AE3">
            <w:pPr>
              <w:pStyle w:val="Paragraph"/>
              <w:spacing w:line="240" w:lineRule="auto"/>
              <w:rPr>
                <w:lang w:eastAsia="en-GB"/>
              </w:rPr>
            </w:pPr>
            <w:r w:rsidRPr="00F93552">
              <w:rPr>
                <w:rFonts w:cs="Arial"/>
                <w:color w:val="000000"/>
              </w:rPr>
              <w:t>Consultee 3</w:t>
            </w:r>
            <w:r w:rsidRPr="00F93552">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384DF59" w14:textId="6960111E" w:rsidR="00AB5790" w:rsidRPr="00F93552" w:rsidRDefault="00AB5790" w:rsidP="00A07AE3">
            <w:pPr>
              <w:pStyle w:val="Paragraph"/>
              <w:spacing w:line="240" w:lineRule="auto"/>
              <w:rPr>
                <w:lang w:eastAsia="en-GB"/>
              </w:rPr>
            </w:pPr>
            <w:r w:rsidRPr="00F93552">
              <w:rPr>
                <w:rFonts w:cs="Arial"/>
                <w:color w:val="000000"/>
              </w:rPr>
              <w:t>3.7 Equality considerations</w:t>
            </w:r>
          </w:p>
        </w:tc>
        <w:tc>
          <w:tcPr>
            <w:tcW w:w="4682" w:type="dxa"/>
            <w:tcBorders>
              <w:top w:val="single" w:sz="4" w:space="0" w:color="auto"/>
              <w:left w:val="single" w:sz="4" w:space="0" w:color="auto"/>
              <w:bottom w:val="single" w:sz="4" w:space="0" w:color="auto"/>
              <w:right w:val="nil"/>
            </w:tcBorders>
            <w:shd w:val="clear" w:color="auto" w:fill="auto"/>
          </w:tcPr>
          <w:p w14:paraId="1B7907B7" w14:textId="257DA283" w:rsidR="00AB5790" w:rsidRPr="00F93552" w:rsidRDefault="00AB5790" w:rsidP="00A07AE3">
            <w:pPr>
              <w:pStyle w:val="Paragraph"/>
              <w:spacing w:line="240" w:lineRule="auto"/>
              <w:rPr>
                <w:lang w:eastAsia="en-GB"/>
              </w:rPr>
            </w:pPr>
            <w:r w:rsidRPr="00F93552">
              <w:rPr>
                <w:rFonts w:cs="Arial"/>
                <w:color w:val="000000"/>
              </w:rPr>
              <w:t>Please add...   Diabetes Mellitus</w:t>
            </w:r>
          </w:p>
        </w:tc>
        <w:tc>
          <w:tcPr>
            <w:tcW w:w="4135" w:type="dxa"/>
          </w:tcPr>
          <w:p w14:paraId="0D29BBAB" w14:textId="2C011255" w:rsidR="00AB5790" w:rsidRPr="00F93552" w:rsidRDefault="00574B96" w:rsidP="00A07AE3">
            <w:pPr>
              <w:pStyle w:val="Paragraph"/>
              <w:spacing w:line="240" w:lineRule="auto"/>
              <w:rPr>
                <w:lang w:eastAsia="en-GB"/>
              </w:rPr>
            </w:pPr>
            <w:r w:rsidRPr="00F93552">
              <w:rPr>
                <w:lang w:eastAsia="en-GB"/>
              </w:rPr>
              <w:t xml:space="preserve">Thank you for your comment. </w:t>
            </w:r>
            <w:r w:rsidR="003679A5" w:rsidRPr="00F93552">
              <w:rPr>
                <w:lang w:eastAsia="en-GB"/>
              </w:rPr>
              <w:t xml:space="preserve">Diabetes mellitus is already included in the </w:t>
            </w:r>
            <w:r w:rsidR="00A64B82" w:rsidRPr="00F93552">
              <w:rPr>
                <w:lang w:eastAsia="en-GB"/>
              </w:rPr>
              <w:t xml:space="preserve">equality impact assessment. </w:t>
            </w:r>
          </w:p>
        </w:tc>
      </w:tr>
      <w:tr w:rsidR="00AB5790" w14:paraId="6444705B" w14:textId="77777777" w:rsidTr="00A07AE3">
        <w:tc>
          <w:tcPr>
            <w:tcW w:w="1323" w:type="dxa"/>
          </w:tcPr>
          <w:p w14:paraId="53E3E5DB" w14:textId="77777777" w:rsidR="00AB5790" w:rsidRPr="00F93552" w:rsidRDefault="00AB5790"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8F5D79A" w14:textId="5FD043AB" w:rsidR="00AB5790" w:rsidRPr="00F93552" w:rsidRDefault="00AB5790" w:rsidP="00A07AE3">
            <w:pPr>
              <w:pStyle w:val="Paragraph"/>
              <w:spacing w:line="240" w:lineRule="auto"/>
              <w:rPr>
                <w:lang w:eastAsia="en-GB"/>
              </w:rPr>
            </w:pPr>
            <w:r w:rsidRPr="00F93552">
              <w:rPr>
                <w:rFonts w:cs="Arial"/>
                <w:color w:val="000000"/>
              </w:rPr>
              <w:t>Consultee 3</w:t>
            </w:r>
            <w:r w:rsidRPr="00F93552">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A5D0F01" w14:textId="53C0ED48" w:rsidR="00AB5790" w:rsidRPr="00F93552" w:rsidRDefault="00AB5790" w:rsidP="00A07AE3">
            <w:pPr>
              <w:pStyle w:val="Paragraph"/>
              <w:spacing w:line="240" w:lineRule="auto"/>
              <w:rPr>
                <w:lang w:eastAsia="en-GB"/>
              </w:rPr>
            </w:pPr>
            <w:r w:rsidRPr="00F93552">
              <w:rPr>
                <w:rFonts w:cs="Arial"/>
                <w:color w:val="000000"/>
              </w:rPr>
              <w:t>3.7 Equality considerations</w:t>
            </w:r>
          </w:p>
        </w:tc>
        <w:tc>
          <w:tcPr>
            <w:tcW w:w="4682" w:type="dxa"/>
            <w:tcBorders>
              <w:top w:val="single" w:sz="4" w:space="0" w:color="auto"/>
              <w:left w:val="single" w:sz="4" w:space="0" w:color="auto"/>
              <w:bottom w:val="single" w:sz="4" w:space="0" w:color="auto"/>
              <w:right w:val="nil"/>
            </w:tcBorders>
            <w:shd w:val="clear" w:color="auto" w:fill="auto"/>
          </w:tcPr>
          <w:p w14:paraId="1F156DF6" w14:textId="2B5BCE28" w:rsidR="00AB5790" w:rsidRPr="00F93552" w:rsidRDefault="00AB5790" w:rsidP="00A07AE3">
            <w:pPr>
              <w:pStyle w:val="Paragraph"/>
              <w:spacing w:line="240" w:lineRule="auto"/>
              <w:rPr>
                <w:lang w:eastAsia="en-GB"/>
              </w:rPr>
            </w:pPr>
            <w:r w:rsidRPr="00F93552">
              <w:rPr>
                <w:rFonts w:cs="Arial"/>
                <w:color w:val="000000"/>
              </w:rPr>
              <w:t>Please add a sentence about signs of infection being muted in diabetic patients or when a biofilm is present so may not be obvious.</w:t>
            </w:r>
          </w:p>
        </w:tc>
        <w:tc>
          <w:tcPr>
            <w:tcW w:w="4135" w:type="dxa"/>
          </w:tcPr>
          <w:p w14:paraId="14282C9E" w14:textId="447F7FB2" w:rsidR="00AB5790" w:rsidRPr="00F93552" w:rsidRDefault="00A64B82" w:rsidP="00A07AE3">
            <w:pPr>
              <w:pStyle w:val="Paragraph"/>
              <w:spacing w:line="240" w:lineRule="auto"/>
              <w:rPr>
                <w:lang w:eastAsia="en-GB"/>
              </w:rPr>
            </w:pPr>
            <w:r w:rsidRPr="00F93552">
              <w:rPr>
                <w:lang w:eastAsia="en-GB"/>
              </w:rPr>
              <w:t xml:space="preserve">Thank you for your comment. </w:t>
            </w:r>
            <w:r w:rsidR="00AE1496" w:rsidRPr="00F93552">
              <w:rPr>
                <w:lang w:eastAsia="en-GB"/>
              </w:rPr>
              <w:t xml:space="preserve">The </w:t>
            </w:r>
            <w:r w:rsidR="00352E44">
              <w:rPr>
                <w:lang w:eastAsia="en-GB"/>
              </w:rPr>
              <w:t xml:space="preserve">guidance now contains a statement that </w:t>
            </w:r>
            <w:r w:rsidR="00E43B8B" w:rsidRPr="00E43B8B">
              <w:rPr>
                <w:lang w:eastAsia="en-GB"/>
              </w:rPr>
              <w:t>some conditions, such as diabetes, can make the signs and symptoms of infection less obvious</w:t>
            </w:r>
            <w:r w:rsidR="00756323">
              <w:rPr>
                <w:lang w:eastAsia="en-GB"/>
              </w:rPr>
              <w:t>.</w:t>
            </w:r>
            <w:r w:rsidR="00E43B8B" w:rsidRPr="00E43B8B">
              <w:rPr>
                <w:lang w:eastAsia="en-GB"/>
              </w:rPr>
              <w:t xml:space="preserve"> </w:t>
            </w:r>
          </w:p>
        </w:tc>
      </w:tr>
      <w:tr w:rsidR="00AB5790" w14:paraId="43694248" w14:textId="77777777" w:rsidTr="00A07AE3">
        <w:tc>
          <w:tcPr>
            <w:tcW w:w="1323" w:type="dxa"/>
          </w:tcPr>
          <w:p w14:paraId="30972D6C" w14:textId="77777777" w:rsidR="00AB5790" w:rsidRPr="00F93552" w:rsidRDefault="00AB5790"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32B66453" w14:textId="7C0096B1" w:rsidR="00AB5790" w:rsidRPr="00F93552" w:rsidRDefault="00AB5790" w:rsidP="00A07AE3">
            <w:pPr>
              <w:pStyle w:val="Paragraph"/>
              <w:spacing w:line="240" w:lineRule="auto"/>
              <w:rPr>
                <w:lang w:eastAsia="en-GB"/>
              </w:rPr>
            </w:pPr>
            <w:r w:rsidRPr="00F93552">
              <w:rPr>
                <w:rFonts w:cs="Arial"/>
                <w:color w:val="000000"/>
              </w:rPr>
              <w:t>Consultee 15</w:t>
            </w:r>
            <w:r w:rsidRPr="00F93552">
              <w:rPr>
                <w:rFonts w:cs="Arial"/>
                <w:color w:val="000000"/>
              </w:rPr>
              <w:br/>
            </w:r>
            <w:proofErr w:type="spellStart"/>
            <w:r w:rsidRPr="00F93552">
              <w:rPr>
                <w:rFonts w:cs="Arial"/>
                <w:color w:val="000000"/>
              </w:rPr>
              <w:t>T.J.Smith</w:t>
            </w:r>
            <w:proofErr w:type="spellEnd"/>
            <w:r w:rsidRPr="00F93552">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A3380B2" w14:textId="3DA1ED0D" w:rsidR="00AB5790" w:rsidRPr="00F93552" w:rsidRDefault="00AB5790" w:rsidP="00A07AE3">
            <w:pPr>
              <w:pStyle w:val="Paragraph"/>
              <w:spacing w:line="240" w:lineRule="auto"/>
              <w:rPr>
                <w:lang w:eastAsia="en-GB"/>
              </w:rPr>
            </w:pPr>
            <w:r w:rsidRPr="00F93552">
              <w:rPr>
                <w:rFonts w:cs="Arial"/>
                <w:color w:val="000000"/>
              </w:rPr>
              <w:t>3.7 Equality considerations</w:t>
            </w:r>
          </w:p>
        </w:tc>
        <w:tc>
          <w:tcPr>
            <w:tcW w:w="4682" w:type="dxa"/>
            <w:tcBorders>
              <w:top w:val="single" w:sz="4" w:space="0" w:color="auto"/>
              <w:left w:val="single" w:sz="4" w:space="0" w:color="auto"/>
              <w:bottom w:val="single" w:sz="4" w:space="0" w:color="auto"/>
              <w:right w:val="nil"/>
            </w:tcBorders>
            <w:shd w:val="clear" w:color="auto" w:fill="auto"/>
          </w:tcPr>
          <w:p w14:paraId="44DCFD83" w14:textId="080FE32B" w:rsidR="00AB5790" w:rsidRPr="00F93552" w:rsidRDefault="00AB5790" w:rsidP="00A07AE3">
            <w:pPr>
              <w:pStyle w:val="Paragraph"/>
              <w:spacing w:line="240" w:lineRule="auto"/>
              <w:rPr>
                <w:lang w:eastAsia="en-GB"/>
              </w:rPr>
            </w:pPr>
            <w:r w:rsidRPr="00F93552">
              <w:rPr>
                <w:rFonts w:cs="Arial"/>
                <w:color w:val="000000"/>
              </w:rPr>
              <w:t>Section 3.7 in the paragraph starting Risk of infection - Please add “…and Diabetes mellitus”</w:t>
            </w:r>
            <w:r w:rsidRPr="00F93552">
              <w:rPr>
                <w:rFonts w:cs="Arial"/>
                <w:color w:val="000000"/>
              </w:rPr>
              <w:br/>
              <w:t xml:space="preserve">Section 3.7 in the paragraph Signs of infection may also be less visible on darker skin </w:t>
            </w:r>
            <w:proofErr w:type="gramStart"/>
            <w:r w:rsidRPr="00F93552">
              <w:rPr>
                <w:rFonts w:cs="Arial"/>
                <w:color w:val="000000"/>
              </w:rPr>
              <w:t>….please</w:t>
            </w:r>
            <w:proofErr w:type="gramEnd"/>
            <w:r w:rsidRPr="00F93552">
              <w:rPr>
                <w:rFonts w:cs="Arial"/>
                <w:color w:val="000000"/>
              </w:rPr>
              <w:t xml:space="preserve"> add “Signs of infection can be muted in diabetic patients and also in the presence of a biofilm infection (covert signs) as per the IWII 2022”</w:t>
            </w:r>
          </w:p>
        </w:tc>
        <w:tc>
          <w:tcPr>
            <w:tcW w:w="4135" w:type="dxa"/>
          </w:tcPr>
          <w:p w14:paraId="6CF6640D" w14:textId="108EF790" w:rsidR="00AB5790" w:rsidRPr="00F93552" w:rsidRDefault="002739C1" w:rsidP="00A07AE3">
            <w:pPr>
              <w:pStyle w:val="Paragraph"/>
              <w:spacing w:line="240" w:lineRule="auto"/>
              <w:rPr>
                <w:lang w:eastAsia="en-GB"/>
              </w:rPr>
            </w:pPr>
            <w:r w:rsidRPr="00F93552">
              <w:rPr>
                <w:lang w:eastAsia="en-GB"/>
              </w:rPr>
              <w:t>Thank you for your comment. Please see responses to comments 65 and 66.</w:t>
            </w:r>
          </w:p>
        </w:tc>
      </w:tr>
    </w:tbl>
    <w:p w14:paraId="381137F9" w14:textId="77777777" w:rsidR="00AB5790" w:rsidRDefault="00AB5790" w:rsidP="00EB53E2"/>
    <w:p w14:paraId="7F72F899" w14:textId="77777777" w:rsidR="00DA45E8" w:rsidRDefault="00DA45E8" w:rsidP="00DA45E8">
      <w:pPr>
        <w:pStyle w:val="Heading1"/>
        <w:spacing w:line="240" w:lineRule="auto"/>
      </w:pPr>
      <w:r>
        <w:t xml:space="preserve">Table 11: </w:t>
      </w:r>
      <w:proofErr w:type="gramStart"/>
      <w:r>
        <w:t>sub group</w:t>
      </w:r>
      <w:proofErr w:type="gramEnd"/>
      <w:r>
        <w:t xml:space="preserve"> analysis in health economic evaluation</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F06BB6" w14:paraId="1591FFAF" w14:textId="77777777" w:rsidTr="00A07AE3">
        <w:tc>
          <w:tcPr>
            <w:tcW w:w="1323" w:type="dxa"/>
            <w:shd w:val="clear" w:color="auto" w:fill="D9D9D9" w:themeFill="background1" w:themeFillShade="D9"/>
          </w:tcPr>
          <w:p w14:paraId="472ED866" w14:textId="24223145" w:rsidR="00F06BB6" w:rsidRPr="00A07AE3" w:rsidRDefault="00F06BB6" w:rsidP="00A07AE3">
            <w:pPr>
              <w:pStyle w:val="Paragraph"/>
              <w:spacing w:line="240" w:lineRule="auto"/>
              <w:rPr>
                <w:lang w:eastAsia="en-GB"/>
              </w:rPr>
            </w:pPr>
            <w:r w:rsidRPr="00A07AE3">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6B309FC3" w14:textId="4EC8F164"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DEC75" w14:textId="0DE1748E" w:rsidR="00F06BB6" w:rsidRPr="00A07AE3" w:rsidRDefault="00F06BB6" w:rsidP="00A07AE3">
            <w:pPr>
              <w:pStyle w:val="Paragraph"/>
              <w:spacing w:line="240" w:lineRule="auto"/>
              <w:rPr>
                <w:rFonts w:cs="Arial"/>
                <w:color w:val="000000"/>
              </w:rPr>
            </w:pPr>
            <w:r w:rsidRPr="00A07AE3">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6B151EA4" w14:textId="1D411C4B" w:rsidR="00F06BB6" w:rsidRPr="00A07AE3" w:rsidRDefault="00F06BB6" w:rsidP="00A07AE3">
            <w:pPr>
              <w:pStyle w:val="Paragraph"/>
              <w:spacing w:line="240" w:lineRule="auto"/>
              <w:rPr>
                <w:rFonts w:cs="Arial"/>
                <w:color w:val="000000"/>
              </w:rPr>
            </w:pPr>
            <w:r w:rsidRPr="00A07AE3">
              <w:rPr>
                <w:b/>
                <w:bCs/>
                <w:lang w:eastAsia="en-GB"/>
              </w:rPr>
              <w:t>Comment</w:t>
            </w:r>
          </w:p>
        </w:tc>
        <w:tc>
          <w:tcPr>
            <w:tcW w:w="4135" w:type="dxa"/>
            <w:shd w:val="clear" w:color="auto" w:fill="D9D9D9" w:themeFill="background1" w:themeFillShade="D9"/>
          </w:tcPr>
          <w:p w14:paraId="24456720" w14:textId="65E71F44" w:rsidR="00F06BB6" w:rsidRPr="00A07AE3" w:rsidRDefault="00F06BB6" w:rsidP="00A07AE3">
            <w:pPr>
              <w:pStyle w:val="Paragraph"/>
              <w:spacing w:after="0" w:line="240" w:lineRule="auto"/>
              <w:rPr>
                <w:lang w:eastAsia="en-GB"/>
              </w:rPr>
            </w:pPr>
            <w:r w:rsidRPr="00A07AE3">
              <w:rPr>
                <w:b/>
                <w:bCs/>
                <w:lang w:eastAsia="en-GB"/>
              </w:rPr>
              <w:t>Response</w:t>
            </w:r>
          </w:p>
        </w:tc>
      </w:tr>
      <w:tr w:rsidR="00604DAC" w14:paraId="793C3ECB" w14:textId="77777777" w:rsidTr="00A07AE3">
        <w:tc>
          <w:tcPr>
            <w:tcW w:w="1323" w:type="dxa"/>
          </w:tcPr>
          <w:p w14:paraId="38208BDD" w14:textId="77777777" w:rsidR="00604DAC" w:rsidRPr="00A07AE3" w:rsidRDefault="00604DAC"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53A2709B" w14:textId="35EDBA69" w:rsidR="00604DAC" w:rsidRPr="00A07AE3" w:rsidRDefault="00604DAC" w:rsidP="00A07AE3">
            <w:pPr>
              <w:pStyle w:val="Paragraph"/>
              <w:spacing w:line="240" w:lineRule="auto"/>
              <w:rPr>
                <w:lang w:eastAsia="en-GB"/>
              </w:rPr>
            </w:pPr>
            <w:r w:rsidRPr="00A07AE3">
              <w:rPr>
                <w:rFonts w:cs="Arial"/>
                <w:color w:val="000000"/>
              </w:rPr>
              <w:t>Consultee 4</w:t>
            </w:r>
            <w:r w:rsidRPr="00A07AE3">
              <w:rPr>
                <w:rFonts w:cs="Arial"/>
                <w:color w:val="000000"/>
              </w:rPr>
              <w:br/>
              <w:t>Coloplast</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9C6C38D" w14:textId="7C15304C" w:rsidR="00604DAC" w:rsidRPr="00A07AE3" w:rsidRDefault="00604DAC" w:rsidP="00A07AE3">
            <w:pPr>
              <w:pStyle w:val="Paragraph"/>
              <w:spacing w:line="240" w:lineRule="auto"/>
              <w:rPr>
                <w:lang w:eastAsia="en-GB"/>
              </w:rPr>
            </w:pPr>
            <w:r w:rsidRPr="00A07AE3">
              <w:rPr>
                <w:rFonts w:cs="Arial"/>
                <w:color w:val="000000"/>
              </w:rPr>
              <w:t>3.13 Results of the economic evaluation</w:t>
            </w:r>
          </w:p>
        </w:tc>
        <w:tc>
          <w:tcPr>
            <w:tcW w:w="4682" w:type="dxa"/>
            <w:tcBorders>
              <w:top w:val="single" w:sz="4" w:space="0" w:color="auto"/>
              <w:left w:val="single" w:sz="4" w:space="0" w:color="auto"/>
              <w:bottom w:val="single" w:sz="4" w:space="0" w:color="auto"/>
              <w:right w:val="nil"/>
            </w:tcBorders>
            <w:shd w:val="clear" w:color="auto" w:fill="auto"/>
          </w:tcPr>
          <w:p w14:paraId="7948B882" w14:textId="53EAD1DD" w:rsidR="00604DAC" w:rsidRPr="00A07AE3" w:rsidRDefault="00604DAC" w:rsidP="00A07AE3">
            <w:pPr>
              <w:pStyle w:val="Paragraph"/>
              <w:spacing w:line="240" w:lineRule="auto"/>
              <w:rPr>
                <w:lang w:eastAsia="en-GB"/>
              </w:rPr>
            </w:pPr>
            <w:r w:rsidRPr="00A07AE3">
              <w:rPr>
                <w:rFonts w:cs="Arial"/>
                <w:color w:val="000000"/>
              </w:rPr>
              <w:t xml:space="preserve">Can NICE explain why evidence on the </w:t>
            </w:r>
            <w:proofErr w:type="gramStart"/>
            <w:r w:rsidRPr="00A07AE3">
              <w:rPr>
                <w:rFonts w:cs="Arial"/>
                <w:color w:val="000000"/>
              </w:rPr>
              <w:t>sub group</w:t>
            </w:r>
            <w:proofErr w:type="gramEnd"/>
            <w:r w:rsidRPr="00A07AE3">
              <w:rPr>
                <w:rFonts w:cs="Arial"/>
                <w:color w:val="000000"/>
              </w:rPr>
              <w:t xml:space="preserve"> silver with antibiofilm mechanism has been judged sufficiently important to have the EAG complete additional analyses when similar comments on the EAG report that we made, e.g. on studies which could have yielded relevant model inputs, were ignored? Due to the inconsistencies in product categorisation as mentioned it is not clear which AMDs are included in the </w:t>
            </w:r>
            <w:r w:rsidRPr="00A07AE3">
              <w:rPr>
                <w:rFonts w:cs="Arial"/>
                <w:color w:val="000000"/>
              </w:rPr>
              <w:lastRenderedPageBreak/>
              <w:t>comparator groups elemental silver and silver salts and compounds.</w:t>
            </w:r>
          </w:p>
        </w:tc>
        <w:tc>
          <w:tcPr>
            <w:tcW w:w="4135" w:type="dxa"/>
          </w:tcPr>
          <w:p w14:paraId="66CD1F80" w14:textId="77777777" w:rsidR="00604DAC" w:rsidRPr="00A07AE3" w:rsidRDefault="00FD16B0" w:rsidP="00A07AE3">
            <w:pPr>
              <w:pStyle w:val="Paragraph"/>
              <w:spacing w:after="0" w:line="240" w:lineRule="auto"/>
              <w:rPr>
                <w:lang w:eastAsia="en-GB"/>
              </w:rPr>
            </w:pPr>
            <w:r w:rsidRPr="00A07AE3">
              <w:rPr>
                <w:lang w:eastAsia="en-GB"/>
              </w:rPr>
              <w:lastRenderedPageBreak/>
              <w:t xml:space="preserve">Thank you for your comment. </w:t>
            </w:r>
          </w:p>
          <w:p w14:paraId="202F54A5" w14:textId="0FB9C47B" w:rsidR="00E02985" w:rsidRPr="00A07AE3" w:rsidRDefault="00EA648C" w:rsidP="00A07AE3">
            <w:pPr>
              <w:pStyle w:val="Paragraph"/>
              <w:spacing w:after="0" w:line="240" w:lineRule="auto"/>
              <w:rPr>
                <w:lang w:eastAsia="en-GB"/>
              </w:rPr>
            </w:pPr>
            <w:r w:rsidRPr="00A07AE3">
              <w:rPr>
                <w:lang w:eastAsia="en-GB"/>
              </w:rPr>
              <w:t>Following submission of the external assessment report the EAG developed two addend</w:t>
            </w:r>
            <w:r w:rsidR="0058719D" w:rsidRPr="00A07AE3">
              <w:rPr>
                <w:lang w:eastAsia="en-GB"/>
              </w:rPr>
              <w:t>a</w:t>
            </w:r>
            <w:r w:rsidRPr="00A07AE3">
              <w:rPr>
                <w:lang w:eastAsia="en-GB"/>
              </w:rPr>
              <w:t xml:space="preserve"> to provide additional information on silver with antibiofilm using evidence that the EAG were previously not aware of. The addend</w:t>
            </w:r>
            <w:r w:rsidR="0058719D" w:rsidRPr="00A07AE3">
              <w:rPr>
                <w:lang w:eastAsia="en-GB"/>
              </w:rPr>
              <w:t>a</w:t>
            </w:r>
            <w:r w:rsidRPr="00A07AE3">
              <w:rPr>
                <w:lang w:eastAsia="en-GB"/>
              </w:rPr>
              <w:t xml:space="preserve"> were written to give further context for this analysis. </w:t>
            </w:r>
            <w:r w:rsidR="001D66A7" w:rsidRPr="00A07AE3">
              <w:rPr>
                <w:lang w:eastAsia="en-GB"/>
              </w:rPr>
              <w:t xml:space="preserve">The addendum prepared for the second committee meeting clarifies which </w:t>
            </w:r>
            <w:r w:rsidR="002070B8" w:rsidRPr="00A07AE3">
              <w:rPr>
                <w:lang w:eastAsia="en-GB"/>
              </w:rPr>
              <w:lastRenderedPageBreak/>
              <w:t>AMDs were used to inform each of the subagent groups.</w:t>
            </w:r>
          </w:p>
          <w:p w14:paraId="75DB4D95" w14:textId="1E230F73" w:rsidR="00EA648C" w:rsidRPr="00A07AE3" w:rsidRDefault="00EA648C" w:rsidP="00A07AE3">
            <w:pPr>
              <w:pStyle w:val="Paragraph"/>
              <w:spacing w:line="240" w:lineRule="auto"/>
              <w:rPr>
                <w:lang w:eastAsia="en-GB"/>
              </w:rPr>
            </w:pPr>
          </w:p>
        </w:tc>
      </w:tr>
      <w:tr w:rsidR="00604DAC" w14:paraId="740501BA" w14:textId="77777777" w:rsidTr="00A07AE3">
        <w:tc>
          <w:tcPr>
            <w:tcW w:w="1323" w:type="dxa"/>
          </w:tcPr>
          <w:p w14:paraId="1741E0B8" w14:textId="77777777" w:rsidR="00604DAC" w:rsidRPr="00A07AE3" w:rsidRDefault="00604DAC"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5556A6C5" w14:textId="7281E7AB" w:rsidR="00604DAC" w:rsidRPr="00A07AE3" w:rsidRDefault="00604DAC"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848A8AF" w14:textId="7CA189E5" w:rsidR="00604DAC" w:rsidRPr="00A07AE3" w:rsidRDefault="00604DAC" w:rsidP="00A07AE3">
            <w:pPr>
              <w:pStyle w:val="Paragraph"/>
              <w:spacing w:line="240" w:lineRule="auto"/>
              <w:rPr>
                <w:lang w:eastAsia="en-GB"/>
              </w:rPr>
            </w:pPr>
            <w:r w:rsidRPr="00A07AE3">
              <w:rPr>
                <w:rFonts w:cs="Arial"/>
                <w:color w:val="000000"/>
              </w:rPr>
              <w:t>3.1 The condition</w:t>
            </w:r>
          </w:p>
        </w:tc>
        <w:tc>
          <w:tcPr>
            <w:tcW w:w="4682" w:type="dxa"/>
            <w:tcBorders>
              <w:top w:val="single" w:sz="4" w:space="0" w:color="auto"/>
              <w:left w:val="single" w:sz="4" w:space="0" w:color="auto"/>
              <w:bottom w:val="single" w:sz="4" w:space="0" w:color="auto"/>
              <w:right w:val="nil"/>
            </w:tcBorders>
            <w:shd w:val="clear" w:color="auto" w:fill="auto"/>
          </w:tcPr>
          <w:p w14:paraId="167C289A" w14:textId="5C342348" w:rsidR="00604DAC" w:rsidRPr="00A07AE3" w:rsidRDefault="00604DAC" w:rsidP="00A07AE3">
            <w:pPr>
              <w:pStyle w:val="Paragraph"/>
              <w:spacing w:line="240" w:lineRule="auto"/>
              <w:rPr>
                <w:lang w:eastAsia="en-GB"/>
              </w:rPr>
            </w:pPr>
            <w:r w:rsidRPr="00A07AE3">
              <w:rPr>
                <w:rFonts w:cs="Arial"/>
                <w:color w:val="000000"/>
              </w:rPr>
              <w:t xml:space="preserve">Guest et al data shows that diabetes was an independent risk factor of non-healing of venous healed ulcers. Have patient co-morbidities including diabetes prevalence rate, been included in the modelling?  </w:t>
            </w:r>
            <w:r w:rsidRPr="00A07AE3">
              <w:rPr>
                <w:rFonts w:cs="Arial"/>
                <w:color w:val="000000"/>
              </w:rPr>
              <w:br/>
              <w:t>This known risk factor for non-healing, may impact the cost modelling.</w:t>
            </w:r>
          </w:p>
        </w:tc>
        <w:tc>
          <w:tcPr>
            <w:tcW w:w="4135" w:type="dxa"/>
          </w:tcPr>
          <w:p w14:paraId="342E6C7F" w14:textId="64BA2693" w:rsidR="00604DAC" w:rsidRPr="00A07AE3" w:rsidRDefault="00EA648C" w:rsidP="00A07AE3">
            <w:pPr>
              <w:pStyle w:val="Paragraph"/>
              <w:spacing w:line="240" w:lineRule="auto"/>
              <w:rPr>
                <w:rFonts w:cs="Arial"/>
                <w:lang w:eastAsia="en-GB"/>
              </w:rPr>
            </w:pPr>
            <w:r w:rsidRPr="00A07AE3">
              <w:rPr>
                <w:rFonts w:cs="Arial"/>
                <w:lang w:eastAsia="en-GB"/>
              </w:rPr>
              <w:t>Thank you for your comment.</w:t>
            </w:r>
            <w:r w:rsidR="002070B8" w:rsidRPr="00A07AE3">
              <w:rPr>
                <w:rFonts w:cs="Arial"/>
                <w:lang w:eastAsia="en-GB"/>
              </w:rPr>
              <w:t xml:space="preserve"> The EAG intended to include comorbidities in the modelling but were not able to </w:t>
            </w:r>
            <w:r w:rsidRPr="00A07AE3">
              <w:rPr>
                <w:rFonts w:cs="Arial"/>
                <w:lang w:eastAsia="en-GB"/>
              </w:rPr>
              <w:t>due to a lack of robust data to inform the model inputs required.</w:t>
            </w:r>
          </w:p>
        </w:tc>
      </w:tr>
      <w:tr w:rsidR="00604DAC" w14:paraId="3BEE4300" w14:textId="77777777" w:rsidTr="00A07AE3">
        <w:tc>
          <w:tcPr>
            <w:tcW w:w="1323" w:type="dxa"/>
          </w:tcPr>
          <w:p w14:paraId="7F20223F" w14:textId="77777777" w:rsidR="00604DAC" w:rsidRPr="00A07AE3" w:rsidRDefault="00604DAC"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0ECEB776" w14:textId="573A5C31" w:rsidR="00604DAC" w:rsidRPr="00A07AE3" w:rsidRDefault="00604DA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B60E4FD" w14:textId="74EFB83D" w:rsidR="00604DAC" w:rsidRPr="00A07AE3" w:rsidRDefault="00604DAC" w:rsidP="00A07AE3">
            <w:pPr>
              <w:pStyle w:val="Paragraph"/>
              <w:spacing w:line="240" w:lineRule="auto"/>
              <w:rPr>
                <w:lang w:eastAsia="en-GB"/>
              </w:rPr>
            </w:pPr>
            <w:r w:rsidRPr="00A07AE3">
              <w:rPr>
                <w:rFonts w:cs="Arial"/>
                <w:color w:val="000000"/>
              </w:rPr>
              <w:t>Not specified</w:t>
            </w:r>
          </w:p>
        </w:tc>
        <w:tc>
          <w:tcPr>
            <w:tcW w:w="4682" w:type="dxa"/>
            <w:tcBorders>
              <w:top w:val="single" w:sz="4" w:space="0" w:color="auto"/>
              <w:left w:val="single" w:sz="4" w:space="0" w:color="auto"/>
              <w:bottom w:val="single" w:sz="4" w:space="0" w:color="auto"/>
              <w:right w:val="nil"/>
            </w:tcBorders>
            <w:shd w:val="clear" w:color="auto" w:fill="auto"/>
          </w:tcPr>
          <w:p w14:paraId="3F3D7D73" w14:textId="2B7BE057" w:rsidR="00604DAC" w:rsidRPr="00A07AE3" w:rsidRDefault="00604DAC" w:rsidP="00A07AE3">
            <w:pPr>
              <w:pStyle w:val="Paragraph"/>
              <w:spacing w:line="240" w:lineRule="auto"/>
              <w:rPr>
                <w:lang w:eastAsia="en-GB"/>
              </w:rPr>
            </w:pPr>
            <w:r w:rsidRPr="00A07AE3">
              <w:rPr>
                <w:rFonts w:cs="Arial"/>
                <w:color w:val="000000"/>
              </w:rPr>
              <w:t>EAG Assessment report, Conclusion, page 251.</w:t>
            </w:r>
            <w:r w:rsidRPr="00A07AE3">
              <w:rPr>
                <w:rFonts w:cs="Arial"/>
                <w:color w:val="000000"/>
              </w:rPr>
              <w:br/>
            </w:r>
            <w:r w:rsidRPr="00A07AE3">
              <w:rPr>
                <w:rFonts w:cs="Arial"/>
                <w:color w:val="000000"/>
              </w:rPr>
              <w:br/>
              <w:t>Notwithstanding all the limitations in the modelling, the scope of the draft guidance does not reflect the challenges arising in clinical practice. It is not possible to combine infected venous leg ulcers, infected arterial leg ulcers and infected mixed leg ulcers into one economic model for all the reasons I've outlined and alluded to by at least one clinical expert. In the absence of separate models, the EAG's analysis was never going to provide a definitive conclusion.</w:t>
            </w:r>
          </w:p>
        </w:tc>
        <w:tc>
          <w:tcPr>
            <w:tcW w:w="4135" w:type="dxa"/>
          </w:tcPr>
          <w:p w14:paraId="69FE3038" w14:textId="624C736C" w:rsidR="00604DAC" w:rsidRPr="00A07AE3" w:rsidRDefault="00FD16B0" w:rsidP="00A07AE3">
            <w:pPr>
              <w:pStyle w:val="Paragraph"/>
              <w:spacing w:line="240" w:lineRule="auto"/>
              <w:rPr>
                <w:lang w:eastAsia="en-GB"/>
              </w:rPr>
            </w:pPr>
            <w:r w:rsidRPr="00A07AE3">
              <w:rPr>
                <w:lang w:eastAsia="en-GB"/>
              </w:rPr>
              <w:t xml:space="preserve">Thank you for your comment. The decision problem was </w:t>
            </w:r>
            <w:r w:rsidR="00CB4E42" w:rsidRPr="00A07AE3">
              <w:rPr>
                <w:lang w:eastAsia="en-GB"/>
              </w:rPr>
              <w:t>drafted by NICE</w:t>
            </w:r>
            <w:r w:rsidR="00613C1F" w:rsidRPr="00A07AE3">
              <w:rPr>
                <w:lang w:eastAsia="en-GB"/>
              </w:rPr>
              <w:t xml:space="preserve"> during the scoping process</w:t>
            </w:r>
            <w:r w:rsidR="00CB4E42" w:rsidRPr="00A07AE3">
              <w:rPr>
                <w:lang w:eastAsia="en-GB"/>
              </w:rPr>
              <w:t xml:space="preserve"> with input from clinical experts</w:t>
            </w:r>
            <w:r w:rsidR="00CF0C23" w:rsidRPr="00A07AE3">
              <w:rPr>
                <w:lang w:eastAsia="en-GB"/>
              </w:rPr>
              <w:t>, industry</w:t>
            </w:r>
            <w:r w:rsidR="00234832" w:rsidRPr="00A07AE3">
              <w:rPr>
                <w:lang w:eastAsia="en-GB"/>
              </w:rPr>
              <w:t xml:space="preserve"> and professional organisations</w:t>
            </w:r>
            <w:r w:rsidR="00CB4E42" w:rsidRPr="00A07AE3">
              <w:rPr>
                <w:lang w:eastAsia="en-GB"/>
              </w:rPr>
              <w:t xml:space="preserve"> and revised through </w:t>
            </w:r>
            <w:r w:rsidR="00825745" w:rsidRPr="00A07AE3">
              <w:rPr>
                <w:lang w:eastAsia="en-GB"/>
              </w:rPr>
              <w:t>consultation</w:t>
            </w:r>
            <w:r w:rsidR="00CB4E42" w:rsidRPr="00A07AE3">
              <w:rPr>
                <w:lang w:eastAsia="en-GB"/>
              </w:rPr>
              <w:t xml:space="preserve"> with various stakeholders</w:t>
            </w:r>
            <w:r w:rsidRPr="00A07AE3">
              <w:rPr>
                <w:lang w:eastAsia="en-GB"/>
              </w:rPr>
              <w:t xml:space="preserve">. The final </w:t>
            </w:r>
            <w:r w:rsidR="00CB4E42" w:rsidRPr="00A07AE3">
              <w:rPr>
                <w:lang w:eastAsia="en-GB"/>
              </w:rPr>
              <w:t xml:space="preserve">scope </w:t>
            </w:r>
            <w:r w:rsidRPr="00A07AE3">
              <w:rPr>
                <w:lang w:eastAsia="en-GB"/>
              </w:rPr>
              <w:t xml:space="preserve">is </w:t>
            </w:r>
            <w:r w:rsidR="00CB4E42" w:rsidRPr="00A07AE3">
              <w:rPr>
                <w:lang w:eastAsia="en-GB"/>
              </w:rPr>
              <w:t>available</w:t>
            </w:r>
            <w:r w:rsidRPr="00A07AE3">
              <w:rPr>
                <w:lang w:eastAsia="en-GB"/>
              </w:rPr>
              <w:t xml:space="preserve"> </w:t>
            </w:r>
            <w:hyperlink r:id="rId12" w:history="1">
              <w:r w:rsidR="00CB4E42" w:rsidRPr="00A07AE3">
                <w:rPr>
                  <w:rStyle w:val="Hyperlink"/>
                  <w:lang w:eastAsia="en-GB"/>
                </w:rPr>
                <w:t>here</w:t>
              </w:r>
            </w:hyperlink>
            <w:r w:rsidRPr="00A07AE3">
              <w:rPr>
                <w:lang w:eastAsia="en-GB"/>
              </w:rPr>
              <w:t>.</w:t>
            </w:r>
            <w:r w:rsidR="00613C1F" w:rsidRPr="00A07AE3">
              <w:rPr>
                <w:lang w:eastAsia="en-GB"/>
              </w:rPr>
              <w:t xml:space="preserve"> If the data allowed there was plans to conduct subgroup analysis by ulcer </w:t>
            </w:r>
            <w:proofErr w:type="gramStart"/>
            <w:r w:rsidR="00613C1F" w:rsidRPr="00A07AE3">
              <w:rPr>
                <w:lang w:eastAsia="en-GB"/>
              </w:rPr>
              <w:t>type</w:t>
            </w:r>
            <w:proofErr w:type="gramEnd"/>
            <w:r w:rsidR="00613C1F" w:rsidRPr="00A07AE3">
              <w:rPr>
                <w:lang w:eastAsia="en-GB"/>
              </w:rPr>
              <w:t xml:space="preserve"> but this was not possible due to </w:t>
            </w:r>
            <w:r w:rsidR="004C5C4C" w:rsidRPr="00A07AE3">
              <w:rPr>
                <w:lang w:eastAsia="en-GB"/>
              </w:rPr>
              <w:t xml:space="preserve">a lack of robust data to inform the modelling. </w:t>
            </w:r>
          </w:p>
          <w:p w14:paraId="35027FD1" w14:textId="6811CC47" w:rsidR="00EA648C" w:rsidRPr="00A07AE3" w:rsidRDefault="00613C1F" w:rsidP="00A07AE3">
            <w:pPr>
              <w:pStyle w:val="Paragraph"/>
              <w:spacing w:line="240" w:lineRule="auto"/>
              <w:rPr>
                <w:lang w:eastAsia="en-GB"/>
              </w:rPr>
            </w:pPr>
            <w:r w:rsidRPr="00A07AE3">
              <w:rPr>
                <w:rFonts w:cs="Arial"/>
                <w:lang w:eastAsia="en-GB"/>
              </w:rPr>
              <w:t>The EAG’s</w:t>
            </w:r>
            <w:r w:rsidR="00EA648C" w:rsidRPr="00A07AE3">
              <w:rPr>
                <w:rFonts w:cs="Arial"/>
                <w:lang w:eastAsia="en-GB"/>
              </w:rPr>
              <w:t xml:space="preserve"> report acknowledges the modelling limitations and concludes </w:t>
            </w:r>
            <w:r w:rsidRPr="00A07AE3">
              <w:rPr>
                <w:rFonts w:cs="Arial"/>
                <w:lang w:eastAsia="en-GB"/>
              </w:rPr>
              <w:t>‘</w:t>
            </w:r>
            <w:r w:rsidR="00EA648C" w:rsidRPr="00A07AE3">
              <w:rPr>
                <w:rFonts w:cs="Arial"/>
                <w:lang w:eastAsia="en-GB"/>
              </w:rPr>
              <w:t xml:space="preserve">The current evidence base does not allow a clear assessment of the </w:t>
            </w:r>
            <w:r w:rsidR="00EA648C" w:rsidRPr="00A07AE3">
              <w:rPr>
                <w:rFonts w:cs="Arial"/>
                <w:lang w:eastAsia="en-GB"/>
              </w:rPr>
              <w:lastRenderedPageBreak/>
              <w:t>relative merits of different AMDs in UK patients with infected leg ulcers.</w:t>
            </w:r>
            <w:r w:rsidRPr="00A07AE3">
              <w:rPr>
                <w:rFonts w:cs="Arial"/>
                <w:lang w:eastAsia="en-GB"/>
              </w:rPr>
              <w:t>’</w:t>
            </w:r>
          </w:p>
        </w:tc>
      </w:tr>
      <w:tr w:rsidR="00604DAC" w14:paraId="46322136" w14:textId="77777777" w:rsidTr="00A07AE3">
        <w:tc>
          <w:tcPr>
            <w:tcW w:w="1323" w:type="dxa"/>
          </w:tcPr>
          <w:p w14:paraId="3E8D3B2E" w14:textId="77777777" w:rsidR="00604DAC" w:rsidRPr="00A07AE3" w:rsidRDefault="00604DAC"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4B2427EE" w14:textId="4A5A3DE6" w:rsidR="00604DAC" w:rsidRPr="00A07AE3" w:rsidRDefault="00604DA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451CB598" w14:textId="030587A9" w:rsidR="00604DAC" w:rsidRPr="00A07AE3" w:rsidRDefault="00604DAC" w:rsidP="00A07AE3">
            <w:pPr>
              <w:pStyle w:val="Paragraph"/>
              <w:spacing w:line="240" w:lineRule="auto"/>
              <w:rPr>
                <w:lang w:eastAsia="en-GB"/>
              </w:rPr>
            </w:pPr>
            <w:r w:rsidRPr="00A07AE3">
              <w:rPr>
                <w:rFonts w:cs="Arial"/>
                <w:color w:val="000000"/>
              </w:rPr>
              <w:t>Not specified</w:t>
            </w:r>
          </w:p>
        </w:tc>
        <w:tc>
          <w:tcPr>
            <w:tcW w:w="4682" w:type="dxa"/>
            <w:tcBorders>
              <w:top w:val="single" w:sz="4" w:space="0" w:color="auto"/>
              <w:left w:val="single" w:sz="4" w:space="0" w:color="auto"/>
              <w:bottom w:val="single" w:sz="4" w:space="0" w:color="auto"/>
              <w:right w:val="nil"/>
            </w:tcBorders>
            <w:shd w:val="clear" w:color="auto" w:fill="auto"/>
          </w:tcPr>
          <w:p w14:paraId="796F63C7" w14:textId="06320F7A" w:rsidR="00604DAC" w:rsidRPr="00A07AE3" w:rsidRDefault="00604DAC" w:rsidP="00A07AE3">
            <w:pPr>
              <w:pStyle w:val="Paragraph"/>
              <w:spacing w:line="240" w:lineRule="auto"/>
              <w:rPr>
                <w:lang w:eastAsia="en-GB"/>
              </w:rPr>
            </w:pPr>
            <w:r w:rsidRPr="00A07AE3">
              <w:rPr>
                <w:rFonts w:cs="Arial"/>
                <w:color w:val="000000"/>
              </w:rPr>
              <w:t>Leg ulcers can include venous leg ulcers, arterial leg ulcers and mixed ulcers which potentially manifest from different aetiologies. The outcomes and costs associated with an intervention for one ulcer type cannot necessarily be applied to another type. This represents an intrinsic flaw in this guidance.</w:t>
            </w:r>
          </w:p>
        </w:tc>
        <w:tc>
          <w:tcPr>
            <w:tcW w:w="4135" w:type="dxa"/>
          </w:tcPr>
          <w:p w14:paraId="4153C826" w14:textId="4CE0FF29" w:rsidR="00604DAC" w:rsidRPr="00A07AE3" w:rsidRDefault="00234832" w:rsidP="00A07AE3">
            <w:pPr>
              <w:pStyle w:val="Paragraph"/>
              <w:spacing w:line="240" w:lineRule="auto"/>
              <w:rPr>
                <w:lang w:eastAsia="en-GB"/>
              </w:rPr>
            </w:pPr>
            <w:r w:rsidRPr="00A07AE3">
              <w:rPr>
                <w:lang w:eastAsia="en-GB"/>
              </w:rPr>
              <w:t>Thank you for your comment.</w:t>
            </w:r>
            <w:r w:rsidR="004C5C4C" w:rsidRPr="00A07AE3">
              <w:rPr>
                <w:lang w:eastAsia="en-GB"/>
              </w:rPr>
              <w:t xml:space="preserve"> Please see response to comment 70.</w:t>
            </w:r>
          </w:p>
        </w:tc>
      </w:tr>
      <w:tr w:rsidR="00D64EC2" w14:paraId="43388D06" w14:textId="77777777" w:rsidTr="00A07AE3">
        <w:tc>
          <w:tcPr>
            <w:tcW w:w="1323" w:type="dxa"/>
          </w:tcPr>
          <w:p w14:paraId="58FB44F7" w14:textId="77777777" w:rsidR="00D64EC2" w:rsidRPr="00A07AE3" w:rsidRDefault="00D64EC2"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3A919ED5" w14:textId="43C38835" w:rsidR="00D64EC2" w:rsidRPr="00A07AE3" w:rsidRDefault="00D64EC2"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F8728D1" w14:textId="3F4D22E9" w:rsidR="00D64EC2" w:rsidRPr="00A07AE3" w:rsidRDefault="00D64EC2" w:rsidP="00A07AE3">
            <w:pPr>
              <w:pStyle w:val="Paragraph"/>
              <w:spacing w:line="240" w:lineRule="auto"/>
              <w:rPr>
                <w:rFonts w:cs="Arial"/>
                <w:color w:val="000000"/>
              </w:rPr>
            </w:pPr>
            <w:r w:rsidRPr="00A07AE3">
              <w:rPr>
                <w:rFonts w:cs="Arial"/>
                <w:color w:val="000000"/>
              </w:rPr>
              <w:t>EAR</w:t>
            </w:r>
          </w:p>
        </w:tc>
        <w:tc>
          <w:tcPr>
            <w:tcW w:w="4682" w:type="dxa"/>
            <w:tcBorders>
              <w:top w:val="single" w:sz="4" w:space="0" w:color="auto"/>
              <w:left w:val="single" w:sz="4" w:space="0" w:color="auto"/>
              <w:bottom w:val="single" w:sz="4" w:space="0" w:color="auto"/>
              <w:right w:val="nil"/>
            </w:tcBorders>
            <w:shd w:val="clear" w:color="auto" w:fill="auto"/>
          </w:tcPr>
          <w:p w14:paraId="7F35D927" w14:textId="0D410D54" w:rsidR="00D64EC2" w:rsidRPr="00A07AE3" w:rsidRDefault="00D64EC2" w:rsidP="00A07AE3">
            <w:pPr>
              <w:pStyle w:val="Paragraph"/>
              <w:spacing w:line="240" w:lineRule="auto"/>
              <w:rPr>
                <w:rFonts w:cs="Arial"/>
                <w:color w:val="000000"/>
              </w:rPr>
            </w:pPr>
            <w:r w:rsidRPr="00A07AE3">
              <w:rPr>
                <w:rFonts w:cs="Arial"/>
                <w:color w:val="000000"/>
              </w:rPr>
              <w:t xml:space="preserve">EAG states: “The disparate and heterogeneous nature of the evidence base across all AMDs (and therefore sub-agents) makes it challenging to identify trends across outcomes.” </w:t>
            </w:r>
            <w:r w:rsidRPr="00A07AE3">
              <w:rPr>
                <w:rFonts w:cs="Arial"/>
                <w:color w:val="000000"/>
              </w:rPr>
              <w:br/>
            </w:r>
            <w:r w:rsidRPr="00A07AE3">
              <w:rPr>
                <w:rFonts w:cs="Arial"/>
                <w:color w:val="000000"/>
              </w:rPr>
              <w:br/>
              <w:t xml:space="preserve">This is why comparisons between different dressings with different doses of antimicrobials that have different effects cannot be made – we request that analysis is only on specific categories that meet a minimum laboratory effect as per antibiotics (minimum 3 log reduction in a clinically relevant time (24-48h) </w:t>
            </w:r>
          </w:p>
        </w:tc>
        <w:tc>
          <w:tcPr>
            <w:tcW w:w="4135" w:type="dxa"/>
          </w:tcPr>
          <w:p w14:paraId="409337AB" w14:textId="77777777" w:rsidR="00CF0C23" w:rsidRPr="00A07AE3" w:rsidRDefault="00234832" w:rsidP="00A07AE3">
            <w:pPr>
              <w:pStyle w:val="Paragraph"/>
              <w:spacing w:line="240" w:lineRule="auto"/>
              <w:rPr>
                <w:lang w:eastAsia="en-GB"/>
              </w:rPr>
            </w:pPr>
            <w:r w:rsidRPr="00A07AE3">
              <w:rPr>
                <w:lang w:eastAsia="en-GB"/>
              </w:rPr>
              <w:t>Thank you for your comment.</w:t>
            </w:r>
            <w:r w:rsidR="00CF0C23" w:rsidRPr="00A07AE3">
              <w:rPr>
                <w:lang w:eastAsia="en-GB"/>
              </w:rPr>
              <w:t xml:space="preserve"> The decision problem was drafted by NICE during the scoping process with input from clinical experts, industry and professional organisations and revised through consultation with various stakeholders. The final scope is available </w:t>
            </w:r>
            <w:hyperlink r:id="rId13" w:history="1">
              <w:r w:rsidR="00CF0C23" w:rsidRPr="00A07AE3">
                <w:rPr>
                  <w:rStyle w:val="Hyperlink"/>
                  <w:lang w:eastAsia="en-GB"/>
                </w:rPr>
                <w:t>here</w:t>
              </w:r>
            </w:hyperlink>
            <w:r w:rsidR="00CF0C23" w:rsidRPr="00A07AE3">
              <w:rPr>
                <w:lang w:eastAsia="en-GB"/>
              </w:rPr>
              <w:t xml:space="preserve">. </w:t>
            </w:r>
          </w:p>
          <w:p w14:paraId="4FD8977E" w14:textId="319E4A2F" w:rsidR="00D64EC2" w:rsidRPr="00A07AE3" w:rsidRDefault="00965BF4" w:rsidP="00A07AE3">
            <w:pPr>
              <w:pStyle w:val="Paragraph"/>
              <w:spacing w:line="240" w:lineRule="auto"/>
              <w:rPr>
                <w:lang w:eastAsia="en-GB"/>
              </w:rPr>
            </w:pPr>
            <w:r w:rsidRPr="00A07AE3">
              <w:rPr>
                <w:lang w:eastAsia="en-GB"/>
              </w:rPr>
              <w:t xml:space="preserve">The uncertainty generated by quality of the clinical evidence </w:t>
            </w:r>
            <w:proofErr w:type="gramStart"/>
            <w:r w:rsidRPr="00A07AE3">
              <w:rPr>
                <w:lang w:eastAsia="en-GB"/>
              </w:rPr>
              <w:t>lead</w:t>
            </w:r>
            <w:proofErr w:type="gramEnd"/>
            <w:r w:rsidRPr="00A07AE3">
              <w:rPr>
                <w:lang w:eastAsia="en-GB"/>
              </w:rPr>
              <w:t xml:space="preserve"> to the EAG’s conclusions that it </w:t>
            </w:r>
            <w:r w:rsidR="00B90496" w:rsidRPr="00A07AE3">
              <w:rPr>
                <w:lang w:eastAsia="en-GB"/>
              </w:rPr>
              <w:t xml:space="preserve">was not possible to </w:t>
            </w:r>
            <w:r w:rsidR="00876707" w:rsidRPr="00A07AE3">
              <w:rPr>
                <w:lang w:eastAsia="en-GB"/>
              </w:rPr>
              <w:t xml:space="preserve">determine which antimicrobial agents were more effective. </w:t>
            </w:r>
            <w:r w:rsidR="00120F67" w:rsidRPr="00A07AE3">
              <w:rPr>
                <w:lang w:eastAsia="en-GB"/>
              </w:rPr>
              <w:t>Due to a lack of robust data subgroup analysis was not possible</w:t>
            </w:r>
            <w:r w:rsidR="00876707" w:rsidRPr="00A07AE3">
              <w:rPr>
                <w:lang w:eastAsia="en-GB"/>
              </w:rPr>
              <w:t xml:space="preserve"> for any of the subgroups</w:t>
            </w:r>
            <w:r w:rsidR="00120F67" w:rsidRPr="00A07AE3">
              <w:rPr>
                <w:lang w:eastAsia="en-GB"/>
              </w:rPr>
              <w:t>.</w:t>
            </w:r>
            <w:r w:rsidR="00876707" w:rsidRPr="00A07AE3">
              <w:rPr>
                <w:lang w:eastAsia="en-GB"/>
              </w:rPr>
              <w:t xml:space="preserve"> </w:t>
            </w:r>
            <w:r w:rsidR="0055754A" w:rsidRPr="00A07AE3">
              <w:rPr>
                <w:lang w:eastAsia="en-GB"/>
              </w:rPr>
              <w:lastRenderedPageBreak/>
              <w:t xml:space="preserve">The committee heard from the EAG that creating a new model, with additional states or subgroups would introduce even more uncertainty into their results. </w:t>
            </w:r>
            <w:r w:rsidR="00EA648C" w:rsidRPr="00A07AE3">
              <w:rPr>
                <w:rFonts w:cs="Arial"/>
                <w:lang w:eastAsia="en-GB"/>
              </w:rPr>
              <w:t xml:space="preserve">  </w:t>
            </w:r>
          </w:p>
        </w:tc>
      </w:tr>
    </w:tbl>
    <w:p w14:paraId="060A1502" w14:textId="77777777" w:rsidR="00604DAC" w:rsidRDefault="00604DAC" w:rsidP="00EB53E2"/>
    <w:p w14:paraId="36857DD2" w14:textId="77777777" w:rsidR="0088392A" w:rsidRDefault="0088392A" w:rsidP="0088392A">
      <w:pPr>
        <w:pStyle w:val="Heading1"/>
        <w:spacing w:line="240" w:lineRule="auto"/>
      </w:pPr>
      <w:r>
        <w:t>Table 12: health economic evaluation costs, resources, utilities etc</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F06BB6" w14:paraId="537111D3" w14:textId="77777777" w:rsidTr="00A07AE3">
        <w:tc>
          <w:tcPr>
            <w:tcW w:w="1323" w:type="dxa"/>
            <w:shd w:val="clear" w:color="auto" w:fill="D9D9D9" w:themeFill="background1" w:themeFillShade="D9"/>
          </w:tcPr>
          <w:p w14:paraId="6E0C42AD" w14:textId="09BBB896" w:rsidR="00F06BB6" w:rsidRPr="00A07AE3" w:rsidRDefault="00F06BB6" w:rsidP="00A07AE3">
            <w:pPr>
              <w:pStyle w:val="Paragraph"/>
              <w:spacing w:line="240" w:lineRule="auto"/>
              <w:rPr>
                <w:lang w:eastAsia="en-GB"/>
              </w:rPr>
            </w:pPr>
            <w:r w:rsidRPr="00A07AE3">
              <w:rPr>
                <w:b/>
                <w:bCs/>
                <w:lang w:eastAsia="en-GB"/>
              </w:rPr>
              <w:t>Comment no.</w:t>
            </w:r>
          </w:p>
        </w:tc>
        <w:tc>
          <w:tcPr>
            <w:tcW w:w="1757" w:type="dxa"/>
            <w:tcBorders>
              <w:top w:val="single" w:sz="4" w:space="0" w:color="auto"/>
              <w:left w:val="nil"/>
              <w:bottom w:val="single" w:sz="4" w:space="0" w:color="auto"/>
              <w:right w:val="single" w:sz="4" w:space="0" w:color="auto"/>
            </w:tcBorders>
            <w:shd w:val="clear" w:color="auto" w:fill="D9D9D9" w:themeFill="background1" w:themeFillShade="D9"/>
          </w:tcPr>
          <w:p w14:paraId="6766E64C" w14:textId="01A50B11"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DF0C3" w14:textId="33A643F9" w:rsidR="00F06BB6" w:rsidRPr="00A07AE3" w:rsidRDefault="00F06BB6" w:rsidP="00A07AE3">
            <w:pPr>
              <w:pStyle w:val="Paragraph"/>
              <w:spacing w:line="240" w:lineRule="auto"/>
              <w:rPr>
                <w:rFonts w:cs="Arial"/>
                <w:color w:val="000000"/>
              </w:rPr>
            </w:pPr>
            <w:r w:rsidRPr="00A07AE3">
              <w:rPr>
                <w:b/>
                <w:bCs/>
                <w:lang w:eastAsia="en-GB"/>
              </w:rPr>
              <w:t>Section no.</w:t>
            </w:r>
          </w:p>
        </w:tc>
        <w:tc>
          <w:tcPr>
            <w:tcW w:w="4682" w:type="dxa"/>
            <w:tcBorders>
              <w:top w:val="single" w:sz="4" w:space="0" w:color="auto"/>
              <w:left w:val="single" w:sz="4" w:space="0" w:color="auto"/>
              <w:bottom w:val="single" w:sz="4" w:space="0" w:color="auto"/>
              <w:right w:val="nil"/>
            </w:tcBorders>
            <w:shd w:val="clear" w:color="auto" w:fill="D9D9D9" w:themeFill="background1" w:themeFillShade="D9"/>
          </w:tcPr>
          <w:p w14:paraId="532A4C0B" w14:textId="0C8A752A" w:rsidR="00F06BB6" w:rsidRPr="00A07AE3" w:rsidRDefault="00F06BB6" w:rsidP="00A07AE3">
            <w:pPr>
              <w:pStyle w:val="Paragraph"/>
              <w:spacing w:line="240" w:lineRule="auto"/>
              <w:rPr>
                <w:rFonts w:cs="Arial"/>
                <w:color w:val="000000"/>
              </w:rPr>
            </w:pPr>
            <w:r w:rsidRPr="00A07AE3">
              <w:rPr>
                <w:b/>
                <w:bCs/>
                <w:lang w:eastAsia="en-GB"/>
              </w:rPr>
              <w:t>Comment</w:t>
            </w:r>
          </w:p>
        </w:tc>
        <w:tc>
          <w:tcPr>
            <w:tcW w:w="4135" w:type="dxa"/>
            <w:shd w:val="clear" w:color="auto" w:fill="D9D9D9" w:themeFill="background1" w:themeFillShade="D9"/>
          </w:tcPr>
          <w:p w14:paraId="18B42EB8" w14:textId="36BD72BC" w:rsidR="00F06BB6" w:rsidRPr="00A07AE3" w:rsidRDefault="00F06BB6" w:rsidP="00A07AE3">
            <w:pPr>
              <w:pStyle w:val="Paragraph"/>
              <w:spacing w:line="240" w:lineRule="auto"/>
              <w:rPr>
                <w:rFonts w:cs="Arial"/>
              </w:rPr>
            </w:pPr>
            <w:r w:rsidRPr="00A07AE3">
              <w:rPr>
                <w:b/>
                <w:bCs/>
                <w:lang w:eastAsia="en-GB"/>
              </w:rPr>
              <w:t>Response</w:t>
            </w:r>
          </w:p>
        </w:tc>
      </w:tr>
      <w:tr w:rsidR="00576491" w14:paraId="5B787D5D" w14:textId="77777777" w:rsidTr="00A07AE3">
        <w:tc>
          <w:tcPr>
            <w:tcW w:w="1323" w:type="dxa"/>
          </w:tcPr>
          <w:p w14:paraId="0C30F26E"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4CD12952" w14:textId="634718FB" w:rsidR="00576491" w:rsidRPr="00A07AE3" w:rsidRDefault="00576491"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F2B13F2" w14:textId="3996523D" w:rsidR="00576491" w:rsidRPr="00A07AE3" w:rsidRDefault="00576491" w:rsidP="00A07AE3">
            <w:pPr>
              <w:pStyle w:val="Paragraph"/>
              <w:spacing w:line="240" w:lineRule="auto"/>
              <w:rPr>
                <w:lang w:eastAsia="en-GB"/>
              </w:rPr>
            </w:pPr>
            <w:r w:rsidRPr="00A07AE3">
              <w:rPr>
                <w:rFonts w:cs="Arial"/>
                <w:color w:val="000000"/>
              </w:rPr>
              <w:t>Not specified</w:t>
            </w:r>
          </w:p>
        </w:tc>
        <w:tc>
          <w:tcPr>
            <w:tcW w:w="4682" w:type="dxa"/>
            <w:tcBorders>
              <w:top w:val="single" w:sz="4" w:space="0" w:color="auto"/>
              <w:left w:val="single" w:sz="4" w:space="0" w:color="auto"/>
              <w:bottom w:val="single" w:sz="4" w:space="0" w:color="auto"/>
              <w:right w:val="nil"/>
            </w:tcBorders>
            <w:shd w:val="clear" w:color="auto" w:fill="auto"/>
          </w:tcPr>
          <w:p w14:paraId="02A8E6A3" w14:textId="56DDCE11" w:rsidR="00576491" w:rsidRPr="00A07AE3" w:rsidRDefault="00576491" w:rsidP="00A07AE3">
            <w:pPr>
              <w:pStyle w:val="Paragraph"/>
              <w:spacing w:line="240" w:lineRule="auto"/>
              <w:rPr>
                <w:lang w:eastAsia="en-GB"/>
              </w:rPr>
            </w:pPr>
            <w:r w:rsidRPr="00A07AE3">
              <w:rPr>
                <w:rFonts w:cs="Arial"/>
                <w:color w:val="000000"/>
              </w:rPr>
              <w:t xml:space="preserve">Cost </w:t>
            </w:r>
            <w:proofErr w:type="gramStart"/>
            <w:r w:rsidRPr="00A07AE3">
              <w:rPr>
                <w:rFonts w:cs="Arial"/>
                <w:color w:val="000000"/>
              </w:rPr>
              <w:t>model;</w:t>
            </w:r>
            <w:proofErr w:type="gramEnd"/>
            <w:r w:rsidRPr="00A07AE3">
              <w:rPr>
                <w:rFonts w:cs="Arial"/>
                <w:color w:val="000000"/>
              </w:rPr>
              <w:t xml:space="preserve"> Managing an infected non-healing wound is not the same as managing a non-infected non-healing wound. (Guest 2018 showed this was 69% less) - Model should be updated to include this data.</w:t>
            </w:r>
          </w:p>
        </w:tc>
        <w:tc>
          <w:tcPr>
            <w:tcW w:w="4135" w:type="dxa"/>
          </w:tcPr>
          <w:p w14:paraId="486163AF" w14:textId="77777777" w:rsidR="00EA648C" w:rsidRPr="00A07AE3" w:rsidRDefault="00EA648C" w:rsidP="00A07AE3">
            <w:pPr>
              <w:pStyle w:val="Paragraph"/>
              <w:spacing w:line="240" w:lineRule="auto"/>
              <w:rPr>
                <w:rFonts w:cs="Arial"/>
              </w:rPr>
            </w:pPr>
            <w:r w:rsidRPr="00A07AE3">
              <w:rPr>
                <w:rFonts w:cs="Arial"/>
              </w:rPr>
              <w:t>Thank you for your comment.</w:t>
            </w:r>
          </w:p>
          <w:p w14:paraId="5B3A0E9C" w14:textId="144BA3CE" w:rsidR="00EA648C" w:rsidRPr="00A07AE3" w:rsidRDefault="00EA648C" w:rsidP="00A07AE3">
            <w:pPr>
              <w:pStyle w:val="Paragraph"/>
              <w:spacing w:line="240" w:lineRule="auto"/>
              <w:rPr>
                <w:rFonts w:cs="Arial"/>
              </w:rPr>
            </w:pPr>
            <w:r w:rsidRPr="00A07AE3">
              <w:rPr>
                <w:rFonts w:cs="Arial"/>
              </w:rPr>
              <w:t xml:space="preserve">The EAG explored several studies to inform resource use (Please see Section 7.2.4.3). The </w:t>
            </w:r>
            <w:r w:rsidR="007E2A82" w:rsidRPr="00A07AE3">
              <w:rPr>
                <w:rFonts w:cs="Arial"/>
              </w:rPr>
              <w:t>selected</w:t>
            </w:r>
            <w:r w:rsidRPr="00A07AE3">
              <w:rPr>
                <w:rFonts w:cs="Arial"/>
              </w:rPr>
              <w:t xml:space="preserve"> study (</w:t>
            </w:r>
            <w:r w:rsidRPr="00A07AE3">
              <w:rPr>
                <w:rFonts w:cs="Arial"/>
                <w:noProof/>
              </w:rPr>
              <w:t xml:space="preserve">Guest and Fuller 2023) </w:t>
            </w:r>
            <w:r w:rsidRPr="00A07AE3">
              <w:rPr>
                <w:rFonts w:cs="Arial"/>
              </w:rPr>
              <w:t>did not report resource use disaggregated by infection. Given that these data consisted of a mixed population, the EAG made the conservative assumption</w:t>
            </w:r>
            <w:r w:rsidR="007E2A82" w:rsidRPr="00A07AE3">
              <w:rPr>
                <w:rFonts w:cs="Arial"/>
              </w:rPr>
              <w:t xml:space="preserve"> that</w:t>
            </w:r>
            <w:r w:rsidRPr="00A07AE3">
              <w:rPr>
                <w:rFonts w:cs="Arial"/>
              </w:rPr>
              <w:t xml:space="preserve"> the same resource use was applicable to both the infected, unhealed and the non-infected, unhealed health state. It is important to note that the study by Guest et al was misinterpreted, as highlighted in comment 78, therefore </w:t>
            </w:r>
            <w:r w:rsidRPr="00A07AE3">
              <w:rPr>
                <w:rFonts w:cs="Arial"/>
              </w:rPr>
              <w:lastRenderedPageBreak/>
              <w:t xml:space="preserve">it is not appropriate to apply the 69%. </w:t>
            </w:r>
          </w:p>
          <w:p w14:paraId="24A4A5C7" w14:textId="3803733B" w:rsidR="00576491" w:rsidRPr="00A07AE3" w:rsidRDefault="009E110D" w:rsidP="00A07AE3">
            <w:pPr>
              <w:pStyle w:val="Paragraph"/>
              <w:spacing w:line="240" w:lineRule="auto"/>
              <w:rPr>
                <w:lang w:eastAsia="en-GB"/>
              </w:rPr>
            </w:pPr>
            <w:r w:rsidRPr="00A07AE3">
              <w:rPr>
                <w:rFonts w:cs="Arial"/>
              </w:rPr>
              <w:t xml:space="preserve">Several </w:t>
            </w:r>
            <w:r w:rsidR="00EA648C" w:rsidRPr="00A07AE3">
              <w:rPr>
                <w:rFonts w:cs="Arial"/>
              </w:rPr>
              <w:t>scenarios</w:t>
            </w:r>
            <w:r w:rsidRPr="00A07AE3">
              <w:rPr>
                <w:rFonts w:cs="Arial"/>
              </w:rPr>
              <w:t xml:space="preserve"> were</w:t>
            </w:r>
            <w:r w:rsidR="00EA648C" w:rsidRPr="00A07AE3">
              <w:rPr>
                <w:rFonts w:cs="Arial"/>
              </w:rPr>
              <w:t xml:space="preserve"> investigated around this assumption </w:t>
            </w:r>
            <w:r w:rsidRPr="00A07AE3">
              <w:rPr>
                <w:rFonts w:cs="Arial"/>
              </w:rPr>
              <w:t>with</w:t>
            </w:r>
            <w:r w:rsidR="00EA648C" w:rsidRPr="00A07AE3">
              <w:rPr>
                <w:rFonts w:cs="Arial"/>
              </w:rPr>
              <w:t xml:space="preserve"> no changes to the model conclusion</w:t>
            </w:r>
            <w:r w:rsidRPr="00A07AE3">
              <w:rPr>
                <w:rFonts w:cs="Arial"/>
              </w:rPr>
              <w:t xml:space="preserve"> found</w:t>
            </w:r>
            <w:r w:rsidR="00EA648C" w:rsidRPr="00A07AE3">
              <w:rPr>
                <w:rFonts w:cs="Arial"/>
              </w:rPr>
              <w:t xml:space="preserve">. Please see Table 7.26 </w:t>
            </w:r>
            <w:r w:rsidR="00BF0E99" w:rsidRPr="00A07AE3">
              <w:rPr>
                <w:rFonts w:cs="Arial"/>
              </w:rPr>
              <w:t xml:space="preserve">of the EAR </w:t>
            </w:r>
            <w:r w:rsidR="00EA648C" w:rsidRPr="00A07AE3">
              <w:rPr>
                <w:rFonts w:cs="Arial"/>
              </w:rPr>
              <w:t>for more information.</w:t>
            </w:r>
          </w:p>
        </w:tc>
      </w:tr>
      <w:tr w:rsidR="00576491" w14:paraId="3B7A653F" w14:textId="77777777" w:rsidTr="00A07AE3">
        <w:tc>
          <w:tcPr>
            <w:tcW w:w="1323" w:type="dxa"/>
          </w:tcPr>
          <w:p w14:paraId="386E40DD"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78BB1D39" w14:textId="16374F33" w:rsidR="00576491" w:rsidRPr="00A07AE3" w:rsidRDefault="00576491"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D5D03BA" w14:textId="62E61604" w:rsidR="00576491" w:rsidRPr="00A07AE3" w:rsidRDefault="00576491" w:rsidP="00A07AE3">
            <w:pPr>
              <w:pStyle w:val="Paragraph"/>
              <w:spacing w:line="240" w:lineRule="auto"/>
              <w:rPr>
                <w:lang w:eastAsia="en-GB"/>
              </w:rPr>
            </w:pPr>
            <w:r w:rsidRPr="00A07AE3">
              <w:rPr>
                <w:rFonts w:cs="Arial"/>
                <w:color w:val="000000"/>
              </w:rPr>
              <w:t>3.11 Model inputs</w:t>
            </w:r>
          </w:p>
        </w:tc>
        <w:tc>
          <w:tcPr>
            <w:tcW w:w="4682" w:type="dxa"/>
            <w:tcBorders>
              <w:top w:val="single" w:sz="4" w:space="0" w:color="auto"/>
              <w:left w:val="single" w:sz="4" w:space="0" w:color="auto"/>
              <w:bottom w:val="single" w:sz="4" w:space="0" w:color="auto"/>
              <w:right w:val="nil"/>
            </w:tcBorders>
            <w:shd w:val="clear" w:color="auto" w:fill="auto"/>
          </w:tcPr>
          <w:p w14:paraId="3464BF54" w14:textId="2FE78407" w:rsidR="00576491" w:rsidRPr="00A07AE3" w:rsidRDefault="00576491" w:rsidP="00A07AE3">
            <w:pPr>
              <w:pStyle w:val="Paragraph"/>
              <w:spacing w:line="240" w:lineRule="auto"/>
              <w:rPr>
                <w:lang w:eastAsia="en-GB"/>
              </w:rPr>
            </w:pPr>
            <w:r w:rsidRPr="00A07AE3">
              <w:rPr>
                <w:rFonts w:cs="Arial"/>
                <w:color w:val="000000"/>
              </w:rPr>
              <w:t xml:space="preserve">This is an incorrect assumption and contradicts both </w:t>
            </w:r>
            <w:proofErr w:type="gramStart"/>
            <w:r w:rsidRPr="00A07AE3">
              <w:rPr>
                <w:rFonts w:cs="Arial"/>
                <w:color w:val="000000"/>
              </w:rPr>
              <w:t>assumption</w:t>
            </w:r>
            <w:proofErr w:type="gramEnd"/>
            <w:r w:rsidRPr="00A07AE3">
              <w:rPr>
                <w:rFonts w:cs="Arial"/>
                <w:color w:val="000000"/>
              </w:rPr>
              <w:t xml:space="preserve"> above/ below AND the data from Guest 2018 highlighting non-healing non infected VLUs cost 69% less to manage</w:t>
            </w:r>
          </w:p>
        </w:tc>
        <w:tc>
          <w:tcPr>
            <w:tcW w:w="4135" w:type="dxa"/>
          </w:tcPr>
          <w:p w14:paraId="180CBB4E" w14:textId="36F55930" w:rsidR="00576491" w:rsidRPr="00A07AE3" w:rsidRDefault="00BF0E99" w:rsidP="00A07AE3">
            <w:pPr>
              <w:pStyle w:val="Paragraph"/>
              <w:spacing w:line="240" w:lineRule="auto"/>
              <w:rPr>
                <w:lang w:eastAsia="en-GB"/>
              </w:rPr>
            </w:pPr>
            <w:r w:rsidRPr="00A07AE3">
              <w:rPr>
                <w:rFonts w:cs="Arial"/>
                <w:lang w:eastAsia="en-GB"/>
              </w:rPr>
              <w:t xml:space="preserve">Thank you for your comment. </w:t>
            </w:r>
            <w:r w:rsidR="00EA648C" w:rsidRPr="00A07AE3">
              <w:rPr>
                <w:rFonts w:cs="Arial"/>
                <w:lang w:eastAsia="en-GB"/>
              </w:rPr>
              <w:t xml:space="preserve">Please see </w:t>
            </w:r>
            <w:r w:rsidRPr="00A07AE3">
              <w:rPr>
                <w:rFonts w:cs="Arial"/>
                <w:lang w:eastAsia="en-GB"/>
              </w:rPr>
              <w:t xml:space="preserve">response to </w:t>
            </w:r>
            <w:r w:rsidR="00EA648C" w:rsidRPr="00A07AE3">
              <w:rPr>
                <w:rFonts w:cs="Arial"/>
                <w:lang w:eastAsia="en-GB"/>
              </w:rPr>
              <w:t>comment 73.</w:t>
            </w:r>
          </w:p>
        </w:tc>
      </w:tr>
      <w:tr w:rsidR="00576491" w14:paraId="6A0EC48D" w14:textId="77777777" w:rsidTr="00A07AE3">
        <w:tc>
          <w:tcPr>
            <w:tcW w:w="1323" w:type="dxa"/>
          </w:tcPr>
          <w:p w14:paraId="618AE76B"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28DCE34B" w14:textId="5FC0BB96" w:rsidR="00576491" w:rsidRPr="00A07AE3" w:rsidRDefault="00576491"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D086B8B" w14:textId="7FE9486C" w:rsidR="00576491" w:rsidRPr="00A07AE3" w:rsidRDefault="00576491" w:rsidP="00A07AE3">
            <w:pPr>
              <w:pStyle w:val="Paragraph"/>
              <w:spacing w:line="240" w:lineRule="auto"/>
              <w:rPr>
                <w:lang w:eastAsia="en-GB"/>
              </w:rPr>
            </w:pPr>
            <w:r w:rsidRPr="00A07AE3">
              <w:rPr>
                <w:rFonts w:cs="Arial"/>
                <w:color w:val="000000"/>
              </w:rPr>
              <w:t>3.12 Model inputs</w:t>
            </w:r>
          </w:p>
        </w:tc>
        <w:tc>
          <w:tcPr>
            <w:tcW w:w="4682" w:type="dxa"/>
            <w:tcBorders>
              <w:top w:val="single" w:sz="4" w:space="0" w:color="auto"/>
              <w:left w:val="single" w:sz="4" w:space="0" w:color="auto"/>
              <w:bottom w:val="single" w:sz="4" w:space="0" w:color="auto"/>
              <w:right w:val="nil"/>
            </w:tcBorders>
            <w:shd w:val="clear" w:color="auto" w:fill="auto"/>
          </w:tcPr>
          <w:p w14:paraId="07128F49" w14:textId="338C5CC2" w:rsidR="00576491" w:rsidRPr="00A07AE3" w:rsidRDefault="00576491" w:rsidP="00A07AE3">
            <w:pPr>
              <w:pStyle w:val="Paragraph"/>
              <w:spacing w:line="240" w:lineRule="auto"/>
              <w:rPr>
                <w:lang w:eastAsia="en-GB"/>
              </w:rPr>
            </w:pPr>
            <w:r w:rsidRPr="00A07AE3">
              <w:rPr>
                <w:rFonts w:cs="Arial"/>
                <w:color w:val="000000"/>
              </w:rPr>
              <w:t xml:space="preserve">Can you confirm if the data stated in Assessment report </w:t>
            </w:r>
            <w:proofErr w:type="gramStart"/>
            <w:r w:rsidRPr="00A07AE3">
              <w:rPr>
                <w:rFonts w:cs="Arial"/>
                <w:color w:val="000000"/>
              </w:rPr>
              <w:t>p.16,was</w:t>
            </w:r>
            <w:proofErr w:type="gramEnd"/>
            <w:r w:rsidRPr="00A07AE3">
              <w:rPr>
                <w:rFonts w:cs="Arial"/>
                <w:color w:val="000000"/>
              </w:rPr>
              <w:t xml:space="preserve"> specific to leg ulcers only? </w:t>
            </w:r>
            <w:r w:rsidRPr="00A07AE3">
              <w:rPr>
                <w:rFonts w:cs="Arial"/>
                <w:color w:val="000000"/>
              </w:rPr>
              <w:br/>
              <w:t>If this is not factually correct, can you please amend this statement of fact and issue a caveat/notice to that affect.</w:t>
            </w:r>
          </w:p>
        </w:tc>
        <w:tc>
          <w:tcPr>
            <w:tcW w:w="4135" w:type="dxa"/>
          </w:tcPr>
          <w:p w14:paraId="215EDD3A" w14:textId="77777777" w:rsidR="00EA648C" w:rsidRPr="00A07AE3" w:rsidRDefault="00EA648C" w:rsidP="00A07AE3">
            <w:pPr>
              <w:pStyle w:val="Paragraph"/>
              <w:spacing w:line="240" w:lineRule="auto"/>
              <w:rPr>
                <w:rFonts w:cs="Arial"/>
                <w:lang w:eastAsia="en-GB"/>
              </w:rPr>
            </w:pPr>
            <w:r w:rsidRPr="00A07AE3">
              <w:rPr>
                <w:rFonts w:cs="Arial"/>
                <w:lang w:eastAsia="en-GB"/>
              </w:rPr>
              <w:t>Thank you for your comment.</w:t>
            </w:r>
          </w:p>
          <w:p w14:paraId="4F59BD35" w14:textId="5F51C5C4" w:rsidR="00EA648C" w:rsidRPr="00A07AE3" w:rsidRDefault="00EA648C" w:rsidP="00A07AE3">
            <w:pPr>
              <w:pStyle w:val="Paragraph"/>
              <w:spacing w:line="240" w:lineRule="auto"/>
              <w:rPr>
                <w:rFonts w:cs="Arial"/>
                <w:lang w:eastAsia="en-GB"/>
              </w:rPr>
            </w:pPr>
            <w:r w:rsidRPr="00A07AE3">
              <w:rPr>
                <w:rFonts w:cs="Arial"/>
                <w:lang w:eastAsia="en-GB"/>
              </w:rPr>
              <w:t xml:space="preserve">The decision problem aligned with the scope and is outlined in </w:t>
            </w:r>
            <w:r w:rsidR="009519CE" w:rsidRPr="00A07AE3">
              <w:rPr>
                <w:rFonts w:cs="Arial"/>
                <w:lang w:eastAsia="en-GB"/>
              </w:rPr>
              <w:t xml:space="preserve">table 1.1 of </w:t>
            </w:r>
            <w:r w:rsidRPr="00A07AE3">
              <w:rPr>
                <w:rFonts w:cs="Arial"/>
                <w:lang w:eastAsia="en-GB"/>
              </w:rPr>
              <w:t>the EAR, including a description of the population of the interest.</w:t>
            </w:r>
          </w:p>
          <w:p w14:paraId="6E0FAA8D" w14:textId="00657541" w:rsidR="00576491" w:rsidRPr="00A07AE3" w:rsidRDefault="00EA648C" w:rsidP="00A07AE3">
            <w:pPr>
              <w:pStyle w:val="Paragraph"/>
              <w:spacing w:line="240" w:lineRule="auto"/>
              <w:rPr>
                <w:lang w:eastAsia="en-GB"/>
              </w:rPr>
            </w:pPr>
            <w:r w:rsidRPr="00A07AE3">
              <w:rPr>
                <w:rFonts w:cs="Arial"/>
                <w:lang w:eastAsia="en-GB"/>
              </w:rPr>
              <w:t xml:space="preserve">As per the clinical review, it was necessary to expand the scope for agents where there was a paucity of data. The studies used to inform the model efficacy (including the population and EAG comment on </w:t>
            </w:r>
            <w:r w:rsidRPr="00A07AE3">
              <w:rPr>
                <w:rFonts w:cs="Arial"/>
                <w:lang w:eastAsia="en-GB"/>
              </w:rPr>
              <w:lastRenderedPageBreak/>
              <w:t xml:space="preserve">suitability) is outlined in the EAR in Table 7.3 and Table 7.15.  </w:t>
            </w:r>
          </w:p>
        </w:tc>
      </w:tr>
      <w:tr w:rsidR="00576491" w14:paraId="44F83B0D" w14:textId="77777777" w:rsidTr="00A07AE3">
        <w:tc>
          <w:tcPr>
            <w:tcW w:w="1323" w:type="dxa"/>
          </w:tcPr>
          <w:p w14:paraId="539753A0"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F700B5F" w14:textId="2ACF4C54" w:rsidR="00576491" w:rsidRPr="00A07AE3" w:rsidRDefault="00576491"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712B15" w14:textId="6DB001CA" w:rsidR="00576491" w:rsidRPr="00A07AE3" w:rsidRDefault="00576491" w:rsidP="00A07AE3">
            <w:pPr>
              <w:pStyle w:val="Paragraph"/>
              <w:spacing w:line="240" w:lineRule="auto"/>
              <w:rPr>
                <w:lang w:eastAsia="en-GB"/>
              </w:rPr>
            </w:pPr>
            <w:r w:rsidRPr="00A07AE3">
              <w:rPr>
                <w:rFonts w:cs="Arial"/>
                <w:color w:val="000000"/>
              </w:rPr>
              <w:t>3.10 Model inputs</w:t>
            </w:r>
          </w:p>
        </w:tc>
        <w:tc>
          <w:tcPr>
            <w:tcW w:w="4682" w:type="dxa"/>
            <w:tcBorders>
              <w:top w:val="single" w:sz="4" w:space="0" w:color="auto"/>
              <w:left w:val="single" w:sz="4" w:space="0" w:color="auto"/>
              <w:bottom w:val="single" w:sz="4" w:space="0" w:color="auto"/>
              <w:right w:val="nil"/>
            </w:tcBorders>
            <w:shd w:val="clear" w:color="auto" w:fill="auto"/>
          </w:tcPr>
          <w:p w14:paraId="688E89EF" w14:textId="144182F8" w:rsidR="00576491" w:rsidRPr="00A07AE3" w:rsidRDefault="00576491" w:rsidP="00A07AE3">
            <w:pPr>
              <w:pStyle w:val="Paragraph"/>
              <w:spacing w:line="240" w:lineRule="auto"/>
              <w:rPr>
                <w:lang w:eastAsia="en-GB"/>
              </w:rPr>
            </w:pPr>
            <w:r w:rsidRPr="00A07AE3">
              <w:rPr>
                <w:rFonts w:cs="Arial"/>
                <w:color w:val="000000"/>
              </w:rPr>
              <w:t>In the EAG Assessment report Table 7.13, the utility values for the healed state and non-infected unhealed state are broadly the same.  However, most published utility values report a higher value for the healed state than an unhealed state. This requires correcting in the base case model.</w:t>
            </w:r>
          </w:p>
        </w:tc>
        <w:tc>
          <w:tcPr>
            <w:tcW w:w="4135" w:type="dxa"/>
          </w:tcPr>
          <w:p w14:paraId="58CF61D4" w14:textId="33517BEF" w:rsidR="00FD7BDF" w:rsidRPr="00A07AE3" w:rsidRDefault="00FD7BDF" w:rsidP="00A07AE3">
            <w:pPr>
              <w:pStyle w:val="Paragraph"/>
              <w:spacing w:line="240" w:lineRule="auto"/>
              <w:rPr>
                <w:lang w:eastAsia="en-GB"/>
              </w:rPr>
            </w:pPr>
            <w:r w:rsidRPr="00A07AE3">
              <w:rPr>
                <w:lang w:eastAsia="en-GB"/>
              </w:rPr>
              <w:t>Thank you for your comment.</w:t>
            </w:r>
            <w:r w:rsidR="00ED72C8" w:rsidRPr="00A07AE3">
              <w:rPr>
                <w:lang w:eastAsia="en-GB"/>
              </w:rPr>
              <w:t xml:space="preserve"> The EAG’s base case conducted a determin</w:t>
            </w:r>
            <w:r w:rsidR="004D5656" w:rsidRPr="00A07AE3">
              <w:rPr>
                <w:lang w:eastAsia="en-GB"/>
              </w:rPr>
              <w:t>istic sensitivity analysis (DSA). The values used for each of the health</w:t>
            </w:r>
            <w:r w:rsidR="005641F7" w:rsidRPr="00A07AE3">
              <w:rPr>
                <w:lang w:eastAsia="en-GB"/>
              </w:rPr>
              <w:t xml:space="preserve"> </w:t>
            </w:r>
            <w:r w:rsidR="004D5656" w:rsidRPr="00A07AE3">
              <w:rPr>
                <w:lang w:eastAsia="en-GB"/>
              </w:rPr>
              <w:t>states is in</w:t>
            </w:r>
            <w:r w:rsidR="005641F7" w:rsidRPr="00A07AE3">
              <w:rPr>
                <w:lang w:eastAsia="en-GB"/>
              </w:rPr>
              <w:t xml:space="preserve"> Table 7.13. </w:t>
            </w:r>
          </w:p>
          <w:p w14:paraId="4D80DB27" w14:textId="6B992946" w:rsidR="00FD7BDF" w:rsidRPr="00A07AE3" w:rsidRDefault="00FD7BDF" w:rsidP="00A07AE3">
            <w:pPr>
              <w:pStyle w:val="Paragraph"/>
              <w:spacing w:line="240" w:lineRule="auto"/>
              <w:rPr>
                <w:u w:val="single"/>
                <w:lang w:eastAsia="en-GB"/>
              </w:rPr>
            </w:pPr>
            <w:r w:rsidRPr="00A07AE3">
              <w:rPr>
                <w:u w:val="single"/>
                <w:lang w:eastAsia="en-GB"/>
              </w:rPr>
              <w:t>Healed</w:t>
            </w:r>
            <w:r w:rsidR="000C666B" w:rsidRPr="00A07AE3">
              <w:rPr>
                <w:u w:val="single"/>
                <w:lang w:eastAsia="en-GB"/>
              </w:rPr>
              <w:t xml:space="preserve"> health state</w:t>
            </w:r>
          </w:p>
          <w:p w14:paraId="6364505E" w14:textId="3256D88F" w:rsidR="00FD7BDF" w:rsidRPr="00A07AE3" w:rsidRDefault="00FD7BDF" w:rsidP="00A07AE3">
            <w:pPr>
              <w:pStyle w:val="Paragraph"/>
              <w:spacing w:line="240" w:lineRule="auto"/>
              <w:rPr>
                <w:lang w:eastAsia="en-GB"/>
              </w:rPr>
            </w:pPr>
            <w:r w:rsidRPr="00A07AE3">
              <w:rPr>
                <w:lang w:eastAsia="en-GB"/>
              </w:rPr>
              <w:t xml:space="preserve">The utility </w:t>
            </w:r>
            <w:r w:rsidR="00AC11AB" w:rsidRPr="00A07AE3">
              <w:rPr>
                <w:lang w:eastAsia="en-GB"/>
              </w:rPr>
              <w:t xml:space="preserve">the EAG </w:t>
            </w:r>
            <w:r w:rsidRPr="00A07AE3">
              <w:rPr>
                <w:lang w:eastAsia="en-GB"/>
              </w:rPr>
              <w:t xml:space="preserve">associated with the “healed wound” health state was equivalent to the population norm. </w:t>
            </w:r>
            <w:r w:rsidR="00AC11AB" w:rsidRPr="00A07AE3">
              <w:rPr>
                <w:lang w:eastAsia="en-GB"/>
              </w:rPr>
              <w:t>The EAG therefore felt</w:t>
            </w:r>
            <w:r w:rsidRPr="00A07AE3">
              <w:rPr>
                <w:lang w:eastAsia="en-GB"/>
              </w:rPr>
              <w:t xml:space="preserve"> it would not make clinical sense to increase this in the DSA. The lower scenario decreased it by 20%. It was bound by the utility below, to ensure the DSA scenario did not weight the health state lower than the “unhealed wound” health states.</w:t>
            </w:r>
          </w:p>
          <w:p w14:paraId="1A6C00E4" w14:textId="61AFA722" w:rsidR="00FD7BDF" w:rsidRPr="00A07AE3" w:rsidRDefault="00FD7BDF" w:rsidP="00A07AE3">
            <w:pPr>
              <w:pStyle w:val="Paragraph"/>
              <w:spacing w:line="240" w:lineRule="auto"/>
              <w:rPr>
                <w:u w:val="single"/>
                <w:lang w:eastAsia="en-GB"/>
              </w:rPr>
            </w:pPr>
            <w:r w:rsidRPr="00A07AE3">
              <w:rPr>
                <w:u w:val="single"/>
                <w:lang w:eastAsia="en-GB"/>
              </w:rPr>
              <w:t>Non-infected, unhealed</w:t>
            </w:r>
            <w:r w:rsidR="000C666B" w:rsidRPr="00A07AE3">
              <w:rPr>
                <w:u w:val="single"/>
                <w:lang w:eastAsia="en-GB"/>
              </w:rPr>
              <w:t xml:space="preserve"> health state</w:t>
            </w:r>
          </w:p>
          <w:p w14:paraId="6AAE4A34" w14:textId="4237E57A" w:rsidR="00FD7BDF" w:rsidRPr="00A07AE3" w:rsidRDefault="00FD7BDF" w:rsidP="00A07AE3">
            <w:pPr>
              <w:pStyle w:val="Paragraph"/>
              <w:spacing w:line="240" w:lineRule="auto"/>
              <w:rPr>
                <w:lang w:eastAsia="en-GB"/>
              </w:rPr>
            </w:pPr>
            <w:r w:rsidRPr="00A07AE3">
              <w:rPr>
                <w:lang w:eastAsia="en-GB"/>
              </w:rPr>
              <w:t xml:space="preserve">The upper scenario </w:t>
            </w:r>
            <w:r w:rsidR="000C666B" w:rsidRPr="00A07AE3">
              <w:rPr>
                <w:lang w:eastAsia="en-GB"/>
              </w:rPr>
              <w:t xml:space="preserve">in the EAG’s DSA </w:t>
            </w:r>
            <w:r w:rsidRPr="00A07AE3">
              <w:rPr>
                <w:lang w:eastAsia="en-GB"/>
              </w:rPr>
              <w:t xml:space="preserve">increased this by 20%. The lower scenario was bound by the “infected unhealed wound” utility, to ensure the DSA scenario did not </w:t>
            </w:r>
            <w:r w:rsidRPr="00A07AE3">
              <w:rPr>
                <w:lang w:eastAsia="en-GB"/>
              </w:rPr>
              <w:lastRenderedPageBreak/>
              <w:t>weight the health state lower than the “infected unhealed wounds” health state.</w:t>
            </w:r>
          </w:p>
          <w:p w14:paraId="3B61A5FA" w14:textId="2B2C0A57" w:rsidR="00FD7BDF" w:rsidRPr="00A07AE3" w:rsidRDefault="00FD7BDF" w:rsidP="00A07AE3">
            <w:pPr>
              <w:pStyle w:val="Paragraph"/>
              <w:spacing w:line="240" w:lineRule="auto"/>
              <w:rPr>
                <w:u w:val="single"/>
                <w:lang w:eastAsia="en-GB"/>
              </w:rPr>
            </w:pPr>
            <w:r w:rsidRPr="00A07AE3">
              <w:rPr>
                <w:u w:val="single"/>
                <w:lang w:eastAsia="en-GB"/>
              </w:rPr>
              <w:t>Infected, unhealed</w:t>
            </w:r>
            <w:r w:rsidR="004905A2" w:rsidRPr="00A07AE3">
              <w:rPr>
                <w:u w:val="single"/>
                <w:lang w:eastAsia="en-GB"/>
              </w:rPr>
              <w:t xml:space="preserve"> health state</w:t>
            </w:r>
          </w:p>
          <w:p w14:paraId="3F4E96B4" w14:textId="2C7F2A91" w:rsidR="005641F7" w:rsidRPr="00A07AE3" w:rsidRDefault="00FD7BDF" w:rsidP="00A07AE3">
            <w:pPr>
              <w:pStyle w:val="Paragraph"/>
              <w:spacing w:line="240" w:lineRule="auto"/>
              <w:rPr>
                <w:lang w:eastAsia="en-GB"/>
              </w:rPr>
            </w:pPr>
            <w:r w:rsidRPr="00A07AE3">
              <w:rPr>
                <w:lang w:eastAsia="en-GB"/>
              </w:rPr>
              <w:t xml:space="preserve">The lower scenario </w:t>
            </w:r>
            <w:r w:rsidR="004905A2" w:rsidRPr="00A07AE3">
              <w:rPr>
                <w:lang w:eastAsia="en-GB"/>
              </w:rPr>
              <w:t xml:space="preserve">in the EAG’s DSA </w:t>
            </w:r>
            <w:r w:rsidRPr="00A07AE3">
              <w:rPr>
                <w:lang w:eastAsia="en-GB"/>
              </w:rPr>
              <w:t>decreased this by 20%. The upper scenario was bound by the “non-infected unhealed wound” utility, to ensure the DSA scenario did not weight the health state higher than the “non-infected unhealed wound” health state.</w:t>
            </w:r>
          </w:p>
        </w:tc>
      </w:tr>
      <w:tr w:rsidR="00576491" w14:paraId="502CB5CC" w14:textId="77777777" w:rsidTr="00A07AE3">
        <w:tc>
          <w:tcPr>
            <w:tcW w:w="1323" w:type="dxa"/>
          </w:tcPr>
          <w:p w14:paraId="01FE3C64"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115F7391" w14:textId="304A1CD1" w:rsidR="00576491" w:rsidRPr="00A07AE3" w:rsidRDefault="00576491"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5E12DBD" w14:textId="264044A9" w:rsidR="00576491" w:rsidRPr="00A07AE3" w:rsidRDefault="00576491" w:rsidP="00A07AE3">
            <w:pPr>
              <w:pStyle w:val="Paragraph"/>
              <w:spacing w:line="240" w:lineRule="auto"/>
              <w:rPr>
                <w:lang w:eastAsia="en-GB"/>
              </w:rPr>
            </w:pPr>
            <w:r w:rsidRPr="00A07AE3">
              <w:rPr>
                <w:rFonts w:cs="Arial"/>
                <w:color w:val="000000"/>
              </w:rPr>
              <w:t>3.11 Model inputs</w:t>
            </w:r>
          </w:p>
        </w:tc>
        <w:tc>
          <w:tcPr>
            <w:tcW w:w="4682" w:type="dxa"/>
            <w:tcBorders>
              <w:top w:val="single" w:sz="4" w:space="0" w:color="auto"/>
              <w:left w:val="single" w:sz="4" w:space="0" w:color="auto"/>
              <w:bottom w:val="single" w:sz="4" w:space="0" w:color="auto"/>
              <w:right w:val="nil"/>
            </w:tcBorders>
            <w:shd w:val="clear" w:color="auto" w:fill="auto"/>
          </w:tcPr>
          <w:p w14:paraId="7AA46EA5" w14:textId="0A96CCDB" w:rsidR="00576491" w:rsidRPr="00A07AE3" w:rsidRDefault="00576491" w:rsidP="00A07AE3">
            <w:pPr>
              <w:pStyle w:val="Paragraph"/>
              <w:spacing w:line="240" w:lineRule="auto"/>
              <w:rPr>
                <w:lang w:eastAsia="en-GB"/>
              </w:rPr>
            </w:pPr>
            <w:r w:rsidRPr="00A07AE3">
              <w:rPr>
                <w:rFonts w:cs="Arial"/>
                <w:color w:val="000000"/>
              </w:rPr>
              <w:t>This is not a valid assumption and none of our published studies involving thousands of leg ulcers support this statement.</w:t>
            </w:r>
          </w:p>
        </w:tc>
        <w:tc>
          <w:tcPr>
            <w:tcW w:w="4135" w:type="dxa"/>
          </w:tcPr>
          <w:p w14:paraId="1135989F" w14:textId="38A89AC6" w:rsidR="00576491" w:rsidRPr="00A07AE3" w:rsidRDefault="00EA648C" w:rsidP="00A07AE3">
            <w:pPr>
              <w:pStyle w:val="Paragraph"/>
              <w:spacing w:line="240" w:lineRule="auto"/>
              <w:rPr>
                <w:lang w:eastAsia="en-GB"/>
              </w:rPr>
            </w:pPr>
            <w:r w:rsidRPr="00A07AE3">
              <w:rPr>
                <w:rFonts w:cs="Arial"/>
                <w:lang w:eastAsia="en-GB"/>
              </w:rPr>
              <w:t>Thank you for your comment.</w:t>
            </w:r>
            <w:r w:rsidR="00240E5F" w:rsidRPr="00A07AE3">
              <w:rPr>
                <w:rFonts w:cs="Arial"/>
                <w:lang w:eastAsia="en-GB"/>
              </w:rPr>
              <w:t xml:space="preserve"> Please see response to </w:t>
            </w:r>
            <w:r w:rsidRPr="00A07AE3">
              <w:rPr>
                <w:rFonts w:cs="Arial"/>
                <w:lang w:eastAsia="en-GB"/>
              </w:rPr>
              <w:t>comment 76.</w:t>
            </w:r>
          </w:p>
        </w:tc>
      </w:tr>
      <w:tr w:rsidR="00576491" w14:paraId="1A9A8586" w14:textId="77777777" w:rsidTr="00A07AE3">
        <w:tc>
          <w:tcPr>
            <w:tcW w:w="1323" w:type="dxa"/>
          </w:tcPr>
          <w:p w14:paraId="5E472920"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B019E8B" w14:textId="563DAFA5" w:rsidR="00576491" w:rsidRPr="00A07AE3" w:rsidRDefault="00576491"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82C263E" w14:textId="17882EBA" w:rsidR="00576491" w:rsidRPr="00A07AE3" w:rsidRDefault="00576491" w:rsidP="00A07AE3">
            <w:pPr>
              <w:pStyle w:val="Paragraph"/>
              <w:spacing w:line="240" w:lineRule="auto"/>
              <w:rPr>
                <w:lang w:eastAsia="en-GB"/>
              </w:rPr>
            </w:pPr>
            <w:r w:rsidRPr="00A07AE3">
              <w:rPr>
                <w:rFonts w:cs="Arial"/>
                <w:color w:val="000000"/>
              </w:rPr>
              <w:t>3.11 Model inputs</w:t>
            </w:r>
          </w:p>
        </w:tc>
        <w:tc>
          <w:tcPr>
            <w:tcW w:w="4682" w:type="dxa"/>
            <w:tcBorders>
              <w:top w:val="single" w:sz="4" w:space="0" w:color="auto"/>
              <w:left w:val="single" w:sz="4" w:space="0" w:color="auto"/>
              <w:bottom w:val="single" w:sz="4" w:space="0" w:color="auto"/>
              <w:right w:val="nil"/>
            </w:tcBorders>
            <w:shd w:val="clear" w:color="auto" w:fill="auto"/>
          </w:tcPr>
          <w:p w14:paraId="10C3FA29" w14:textId="5E754A9E" w:rsidR="00576491" w:rsidRPr="00A07AE3" w:rsidRDefault="00576491" w:rsidP="00A07AE3">
            <w:pPr>
              <w:pStyle w:val="Paragraph"/>
              <w:spacing w:line="240" w:lineRule="auto"/>
              <w:rPr>
                <w:lang w:eastAsia="en-GB"/>
              </w:rPr>
            </w:pPr>
            <w:r w:rsidRPr="00A07AE3">
              <w:rPr>
                <w:rFonts w:cs="Arial"/>
                <w:color w:val="000000"/>
              </w:rPr>
              <w:t xml:space="preserve">This statement comes from one of our </w:t>
            </w:r>
            <w:proofErr w:type="gramStart"/>
            <w:r w:rsidRPr="00A07AE3">
              <w:rPr>
                <w:rFonts w:cs="Arial"/>
                <w:color w:val="000000"/>
              </w:rPr>
              <w:t>studies</w:t>
            </w:r>
            <w:proofErr w:type="gramEnd"/>
            <w:r w:rsidRPr="00A07AE3">
              <w:rPr>
                <w:rFonts w:cs="Arial"/>
                <w:color w:val="000000"/>
              </w:rPr>
              <w:t xml:space="preserve"> but the EAG has misinterpreted our data. We observed that that the cost of managing A VENOUS LEG ULCER THAT GOES ON TO HEAL was 4.5 times less than that of managing an unhealed venous leg ulcer over a year. Once an ulcer has healed there is no further management, so no additional resources are used and is therefore zero cost, </w:t>
            </w:r>
            <w:r w:rsidRPr="00A07AE3">
              <w:rPr>
                <w:rFonts w:cs="Arial"/>
                <w:color w:val="000000"/>
              </w:rPr>
              <w:lastRenderedPageBreak/>
              <w:t>except perhaps for prophylactic compression hosiery.</w:t>
            </w:r>
            <w:r w:rsidRPr="00A07AE3">
              <w:rPr>
                <w:rFonts w:cs="Arial"/>
                <w:color w:val="000000"/>
              </w:rPr>
              <w:br/>
            </w:r>
            <w:r w:rsidRPr="00A07AE3">
              <w:rPr>
                <w:rFonts w:cs="Arial"/>
                <w:color w:val="000000"/>
              </w:rPr>
              <w:br/>
              <w:t>Consequently, the cost of the healed health state in Table 7.11 in the EAG Assessment report should be £0 in the base case model and not £45.71.  This is fundamental and should not be a scenario analysis.</w:t>
            </w:r>
          </w:p>
        </w:tc>
        <w:tc>
          <w:tcPr>
            <w:tcW w:w="4135" w:type="dxa"/>
          </w:tcPr>
          <w:p w14:paraId="19018563" w14:textId="6B84A274" w:rsidR="00EA648C" w:rsidRPr="00A07AE3" w:rsidRDefault="00EA648C" w:rsidP="00A07AE3">
            <w:pPr>
              <w:pStyle w:val="Paragraph"/>
              <w:spacing w:line="240" w:lineRule="auto"/>
              <w:rPr>
                <w:rFonts w:cs="Arial"/>
                <w:lang w:eastAsia="en-GB"/>
              </w:rPr>
            </w:pPr>
            <w:r w:rsidRPr="00A07AE3">
              <w:rPr>
                <w:rFonts w:cs="Arial"/>
                <w:lang w:eastAsia="en-GB"/>
              </w:rPr>
              <w:lastRenderedPageBreak/>
              <w:t xml:space="preserve">Thank you for your comment. This point was raised in the factual accuracy check and </w:t>
            </w:r>
            <w:r w:rsidR="00B56BEB" w:rsidRPr="00A07AE3">
              <w:rPr>
                <w:rFonts w:cs="Arial"/>
                <w:lang w:eastAsia="en-GB"/>
              </w:rPr>
              <w:t xml:space="preserve">was </w:t>
            </w:r>
            <w:r w:rsidRPr="00A07AE3">
              <w:rPr>
                <w:rFonts w:cs="Arial"/>
                <w:lang w:eastAsia="en-GB"/>
              </w:rPr>
              <w:t>considered in the scenario analysis</w:t>
            </w:r>
            <w:r w:rsidR="00B56BEB" w:rsidRPr="00A07AE3">
              <w:rPr>
                <w:rFonts w:cs="Arial"/>
                <w:lang w:eastAsia="en-GB"/>
              </w:rPr>
              <w:t xml:space="preserve"> in the EAR and first addendum</w:t>
            </w:r>
            <w:r w:rsidRPr="00A07AE3">
              <w:rPr>
                <w:rFonts w:cs="Arial"/>
                <w:lang w:eastAsia="en-GB"/>
              </w:rPr>
              <w:t xml:space="preserve">. </w:t>
            </w:r>
          </w:p>
          <w:p w14:paraId="49609E02" w14:textId="6DFEE852" w:rsidR="00576491" w:rsidRPr="00A07AE3" w:rsidRDefault="00EA648C" w:rsidP="00A07AE3">
            <w:pPr>
              <w:pStyle w:val="Paragraph"/>
              <w:spacing w:line="240" w:lineRule="auto"/>
              <w:rPr>
                <w:lang w:eastAsia="en-GB"/>
              </w:rPr>
            </w:pPr>
            <w:r w:rsidRPr="00A07AE3">
              <w:rPr>
                <w:rFonts w:cs="Arial"/>
                <w:lang w:eastAsia="en-GB"/>
              </w:rPr>
              <w:t>The EAG acknowledge that the findings from Guest et al was misinterpreted</w:t>
            </w:r>
            <w:r w:rsidR="002C70F6" w:rsidRPr="00A07AE3">
              <w:rPr>
                <w:rFonts w:cs="Arial"/>
                <w:lang w:eastAsia="en-GB"/>
              </w:rPr>
              <w:t>.</w:t>
            </w:r>
            <w:r w:rsidRPr="00A07AE3">
              <w:rPr>
                <w:rFonts w:cs="Arial"/>
                <w:lang w:eastAsia="en-GB"/>
              </w:rPr>
              <w:t xml:space="preserve"> An assumption of £0 is now used in the </w:t>
            </w:r>
            <w:r w:rsidR="00D447FB" w:rsidRPr="00A07AE3">
              <w:rPr>
                <w:rFonts w:cs="Arial"/>
                <w:lang w:eastAsia="en-GB"/>
              </w:rPr>
              <w:t xml:space="preserve">revised </w:t>
            </w:r>
            <w:r w:rsidRPr="00A07AE3">
              <w:rPr>
                <w:rFonts w:cs="Arial"/>
                <w:lang w:eastAsia="en-GB"/>
              </w:rPr>
              <w:t xml:space="preserve">base </w:t>
            </w:r>
            <w:r w:rsidRPr="00A07AE3">
              <w:rPr>
                <w:rFonts w:cs="Arial"/>
                <w:lang w:eastAsia="en-GB"/>
              </w:rPr>
              <w:lastRenderedPageBreak/>
              <w:t>case for the healed state</w:t>
            </w:r>
            <w:r w:rsidR="007A5910" w:rsidRPr="00A07AE3">
              <w:rPr>
                <w:rFonts w:cs="Arial"/>
                <w:lang w:eastAsia="en-GB"/>
              </w:rPr>
              <w:t xml:space="preserve"> (second addendum)</w:t>
            </w:r>
            <w:r w:rsidRPr="00A07AE3">
              <w:rPr>
                <w:rFonts w:cs="Arial"/>
                <w:lang w:eastAsia="en-GB"/>
              </w:rPr>
              <w:t>.</w:t>
            </w:r>
            <w:r w:rsidR="007A5910" w:rsidRPr="00A07AE3">
              <w:rPr>
                <w:rFonts w:cs="Arial"/>
                <w:lang w:eastAsia="en-GB"/>
              </w:rPr>
              <w:t xml:space="preserve"> </w:t>
            </w:r>
            <w:r w:rsidRPr="00A07AE3">
              <w:rPr>
                <w:rFonts w:cs="Arial"/>
                <w:lang w:eastAsia="en-GB"/>
              </w:rPr>
              <w:t xml:space="preserve">The </w:t>
            </w:r>
            <w:r w:rsidR="00D447FB" w:rsidRPr="00A07AE3">
              <w:rPr>
                <w:rFonts w:cs="Arial"/>
                <w:lang w:eastAsia="en-GB"/>
              </w:rPr>
              <w:t>second addendum</w:t>
            </w:r>
            <w:r w:rsidRPr="00A07AE3">
              <w:rPr>
                <w:rFonts w:cs="Arial"/>
                <w:lang w:eastAsia="en-GB"/>
              </w:rPr>
              <w:t xml:space="preserve"> show</w:t>
            </w:r>
            <w:r w:rsidR="00D447FB" w:rsidRPr="00A07AE3">
              <w:rPr>
                <w:rFonts w:cs="Arial"/>
                <w:lang w:eastAsia="en-GB"/>
              </w:rPr>
              <w:t>s</w:t>
            </w:r>
            <w:r w:rsidRPr="00A07AE3">
              <w:rPr>
                <w:rFonts w:cs="Arial"/>
                <w:lang w:eastAsia="en-GB"/>
              </w:rPr>
              <w:t xml:space="preserve"> that there was no difference in model </w:t>
            </w:r>
            <w:r w:rsidR="00D447FB" w:rsidRPr="00A07AE3">
              <w:rPr>
                <w:rFonts w:cs="Arial"/>
                <w:lang w:eastAsia="en-GB"/>
              </w:rPr>
              <w:t>conclusions from the EAR</w:t>
            </w:r>
            <w:r w:rsidRPr="00A07AE3">
              <w:rPr>
                <w:rFonts w:cs="Arial"/>
                <w:lang w:eastAsia="en-GB"/>
              </w:rPr>
              <w:t xml:space="preserve"> when the cost for the healed health state was set at £0.</w:t>
            </w:r>
          </w:p>
        </w:tc>
      </w:tr>
      <w:tr w:rsidR="00576491" w14:paraId="38D703E3" w14:textId="77777777" w:rsidTr="00A07AE3">
        <w:tc>
          <w:tcPr>
            <w:tcW w:w="1323" w:type="dxa"/>
          </w:tcPr>
          <w:p w14:paraId="35013481"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0A481601" w14:textId="54BC8050" w:rsidR="00576491" w:rsidRPr="00A07AE3" w:rsidRDefault="00576491"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A80CF60" w14:textId="5E937300" w:rsidR="00576491" w:rsidRPr="00A07AE3" w:rsidRDefault="00576491" w:rsidP="00A07AE3">
            <w:pPr>
              <w:pStyle w:val="Paragraph"/>
              <w:spacing w:line="240" w:lineRule="auto"/>
              <w:rPr>
                <w:lang w:eastAsia="en-GB"/>
              </w:rPr>
            </w:pPr>
            <w:r w:rsidRPr="00A07AE3">
              <w:rPr>
                <w:rFonts w:cs="Arial"/>
                <w:color w:val="000000"/>
              </w:rPr>
              <w:t>3.13 Results of the economic evaluation</w:t>
            </w:r>
          </w:p>
        </w:tc>
        <w:tc>
          <w:tcPr>
            <w:tcW w:w="4682" w:type="dxa"/>
            <w:tcBorders>
              <w:top w:val="single" w:sz="4" w:space="0" w:color="auto"/>
              <w:left w:val="single" w:sz="4" w:space="0" w:color="auto"/>
              <w:bottom w:val="single" w:sz="4" w:space="0" w:color="auto"/>
              <w:right w:val="nil"/>
            </w:tcBorders>
            <w:shd w:val="clear" w:color="auto" w:fill="auto"/>
          </w:tcPr>
          <w:p w14:paraId="0AA05365" w14:textId="59AF9D17" w:rsidR="00576491" w:rsidRPr="00A07AE3" w:rsidRDefault="00576491" w:rsidP="00A07AE3">
            <w:pPr>
              <w:pStyle w:val="Paragraph"/>
              <w:spacing w:line="240" w:lineRule="auto"/>
              <w:rPr>
                <w:lang w:eastAsia="en-GB"/>
              </w:rPr>
            </w:pPr>
            <w:r w:rsidRPr="00A07AE3">
              <w:rPr>
                <w:rFonts w:cs="Arial"/>
                <w:color w:val="000000"/>
              </w:rPr>
              <w:t>The EAG refers to "total cost</w:t>
            </w:r>
            <w:proofErr w:type="gramStart"/>
            <w:r w:rsidRPr="00A07AE3">
              <w:rPr>
                <w:rFonts w:cs="Arial"/>
                <w:color w:val="000000"/>
              </w:rPr>
              <w:t>"</w:t>
            </w:r>
            <w:proofErr w:type="gramEnd"/>
            <w:r w:rsidRPr="00A07AE3">
              <w:rPr>
                <w:rFonts w:cs="Arial"/>
                <w:color w:val="000000"/>
              </w:rPr>
              <w:t xml:space="preserve"> but I cannot find a definition for this. Is it the total cost of ulcer management? If so, over what </w:t>
            </w:r>
            <w:proofErr w:type="gramStart"/>
            <w:r w:rsidRPr="00A07AE3">
              <w:rPr>
                <w:rFonts w:cs="Arial"/>
                <w:color w:val="000000"/>
              </w:rPr>
              <w:t>time-frame</w:t>
            </w:r>
            <w:proofErr w:type="gramEnd"/>
            <w:r w:rsidRPr="00A07AE3">
              <w:rPr>
                <w:rFonts w:cs="Arial"/>
                <w:color w:val="000000"/>
              </w:rPr>
              <w:t>? Please provide a definition.</w:t>
            </w:r>
          </w:p>
        </w:tc>
        <w:tc>
          <w:tcPr>
            <w:tcW w:w="4135" w:type="dxa"/>
          </w:tcPr>
          <w:p w14:paraId="43AC020A" w14:textId="51D614F1" w:rsidR="00576491" w:rsidRPr="00A07AE3" w:rsidRDefault="00EA648C" w:rsidP="00A07AE3">
            <w:pPr>
              <w:pStyle w:val="Paragraph"/>
              <w:spacing w:line="240" w:lineRule="auto"/>
              <w:rPr>
                <w:rFonts w:cs="Arial"/>
                <w:lang w:eastAsia="en-GB"/>
              </w:rPr>
            </w:pPr>
            <w:r w:rsidRPr="00A07AE3">
              <w:rPr>
                <w:rFonts w:cs="Arial"/>
                <w:lang w:eastAsia="en-GB"/>
              </w:rPr>
              <w:t>Thank you for your comment.</w:t>
            </w:r>
            <w:r w:rsidR="00FB555E" w:rsidRPr="00A07AE3">
              <w:rPr>
                <w:rFonts w:cs="Arial"/>
                <w:lang w:eastAsia="en-GB"/>
              </w:rPr>
              <w:t xml:space="preserve"> The EAG reported all costs over a 1-year time horizon. Details are in Table 7.1 of the EAR. </w:t>
            </w:r>
          </w:p>
        </w:tc>
      </w:tr>
      <w:tr w:rsidR="00576491" w14:paraId="01A71EF0" w14:textId="77777777" w:rsidTr="00A07AE3">
        <w:tc>
          <w:tcPr>
            <w:tcW w:w="1323" w:type="dxa"/>
          </w:tcPr>
          <w:p w14:paraId="2BBCF588"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0B2422A0" w14:textId="412A703E" w:rsidR="00576491" w:rsidRPr="00A07AE3" w:rsidRDefault="00576491"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450FACB" w14:textId="1420E227" w:rsidR="00576491" w:rsidRPr="00A07AE3" w:rsidRDefault="00576491" w:rsidP="00A07AE3">
            <w:pPr>
              <w:pStyle w:val="Paragraph"/>
              <w:spacing w:line="240" w:lineRule="auto"/>
              <w:rPr>
                <w:lang w:eastAsia="en-GB"/>
              </w:rPr>
            </w:pPr>
            <w:r w:rsidRPr="00A07AE3">
              <w:rPr>
                <w:rFonts w:cs="Arial"/>
                <w:color w:val="000000"/>
              </w:rPr>
              <w:t>Not specified</w:t>
            </w:r>
          </w:p>
        </w:tc>
        <w:tc>
          <w:tcPr>
            <w:tcW w:w="4682" w:type="dxa"/>
            <w:tcBorders>
              <w:top w:val="single" w:sz="4" w:space="0" w:color="auto"/>
              <w:left w:val="single" w:sz="4" w:space="0" w:color="auto"/>
              <w:bottom w:val="single" w:sz="4" w:space="0" w:color="auto"/>
              <w:right w:val="nil"/>
            </w:tcBorders>
            <w:shd w:val="clear" w:color="auto" w:fill="auto"/>
          </w:tcPr>
          <w:p w14:paraId="31B1E6BC" w14:textId="4C90ADA9" w:rsidR="00576491" w:rsidRPr="00A07AE3" w:rsidRDefault="00576491" w:rsidP="00A07AE3">
            <w:pPr>
              <w:pStyle w:val="Paragraph"/>
              <w:spacing w:line="240" w:lineRule="auto"/>
              <w:rPr>
                <w:lang w:eastAsia="en-GB"/>
              </w:rPr>
            </w:pPr>
            <w:r w:rsidRPr="00A07AE3">
              <w:rPr>
                <w:rFonts w:cs="Arial"/>
                <w:color w:val="000000"/>
              </w:rPr>
              <w:t xml:space="preserve">The EAG cost-effectiveness model has a critical flaw that biases the outcomes in favour of iodine. Dressing changes for patients with infected leg ulcers are typically performed by healthcare professionals. This is why the utilisation of community nurse visits and community HCA visits is so high. </w:t>
            </w:r>
            <w:r w:rsidRPr="00A07AE3">
              <w:rPr>
                <w:rFonts w:cs="Arial"/>
                <w:color w:val="000000"/>
              </w:rPr>
              <w:br/>
              <w:t xml:space="preserve">An increased frequency of dressing changes, therefore, will result in an increased utilisation of healthcare resources: more community nurse visits or community HCA visits will be required to change dressings for patients treated with iodine (4.17 dressing changes per </w:t>
            </w:r>
            <w:r w:rsidRPr="00A07AE3">
              <w:rPr>
                <w:rFonts w:cs="Arial"/>
                <w:color w:val="000000"/>
              </w:rPr>
              <w:lastRenderedPageBreak/>
              <w:t>week for infected unhealed ulcers) compared with patients treated with silver dressings (1.49 dressing changes per week for infected, unhealed ulcers) for example.</w:t>
            </w:r>
            <w:r w:rsidRPr="00A07AE3">
              <w:rPr>
                <w:rFonts w:cs="Arial"/>
                <w:color w:val="000000"/>
              </w:rPr>
              <w:br/>
              <w:t xml:space="preserve">Whilst this is not a direct 1:1 relationship (some patients or their carers may be able to change their own dressings between visits), it represents a hugely significant driver of cost-effectiveness and should be modelled in some way by the EAG's cost-effectiveness model. Failing to account for this overlooks a significant contribution to the </w:t>
            </w:r>
            <w:proofErr w:type="gramStart"/>
            <w:r w:rsidRPr="00A07AE3">
              <w:rPr>
                <w:rFonts w:cs="Arial"/>
                <w:color w:val="000000"/>
              </w:rPr>
              <w:t>real world</w:t>
            </w:r>
            <w:proofErr w:type="gramEnd"/>
            <w:r w:rsidRPr="00A07AE3">
              <w:rPr>
                <w:rFonts w:cs="Arial"/>
                <w:color w:val="000000"/>
              </w:rPr>
              <w:t xml:space="preserve"> cost of iodine dressings and biases the outcome of the EAG model in favour of iodine dressings.</w:t>
            </w:r>
            <w:r w:rsidRPr="00A07AE3">
              <w:rPr>
                <w:rFonts w:cs="Arial"/>
                <w:color w:val="000000"/>
              </w:rPr>
              <w:br/>
              <w:t>The primary model should be modified to account for the impact of increased dressing change frequency on healthcare utilisation costs.</w:t>
            </w:r>
          </w:p>
        </w:tc>
        <w:tc>
          <w:tcPr>
            <w:tcW w:w="4135" w:type="dxa"/>
          </w:tcPr>
          <w:p w14:paraId="38A1E7DB" w14:textId="77777777" w:rsidR="00EA648C" w:rsidRPr="00A07AE3" w:rsidRDefault="00EA648C" w:rsidP="00A07AE3">
            <w:pPr>
              <w:pStyle w:val="Paragraph"/>
              <w:spacing w:line="240" w:lineRule="auto"/>
              <w:rPr>
                <w:rFonts w:cs="Arial"/>
                <w:lang w:eastAsia="en-GB"/>
              </w:rPr>
            </w:pPr>
            <w:r w:rsidRPr="00A07AE3">
              <w:rPr>
                <w:rFonts w:cs="Arial"/>
                <w:lang w:eastAsia="en-GB"/>
              </w:rPr>
              <w:lastRenderedPageBreak/>
              <w:t>Thank you for your comment.</w:t>
            </w:r>
          </w:p>
          <w:p w14:paraId="36488C95" w14:textId="687165BB" w:rsidR="00EA648C" w:rsidRPr="00A07AE3" w:rsidRDefault="00EA648C" w:rsidP="00A07AE3">
            <w:pPr>
              <w:pStyle w:val="Paragraph"/>
              <w:spacing w:line="240" w:lineRule="auto"/>
              <w:rPr>
                <w:rFonts w:cs="Arial"/>
              </w:rPr>
            </w:pPr>
            <w:r w:rsidRPr="00A07AE3">
              <w:rPr>
                <w:rFonts w:cs="Arial"/>
                <w:lang w:eastAsia="en-GB"/>
              </w:rPr>
              <w:t>The</w:t>
            </w:r>
            <w:r w:rsidR="00A96421" w:rsidRPr="00A07AE3">
              <w:rPr>
                <w:rFonts w:cs="Arial"/>
                <w:lang w:eastAsia="en-GB"/>
              </w:rPr>
              <w:t xml:space="preserve"> EAG reported that</w:t>
            </w:r>
            <w:r w:rsidRPr="00A07AE3">
              <w:rPr>
                <w:rFonts w:cs="Arial"/>
                <w:lang w:eastAsia="en-GB"/>
              </w:rPr>
              <w:t xml:space="preserve"> resource use data included the number of v</w:t>
            </w:r>
            <w:r w:rsidRPr="00A07AE3">
              <w:rPr>
                <w:rFonts w:cs="Arial"/>
              </w:rPr>
              <w:t xml:space="preserve">isits from practice and district nurses </w:t>
            </w:r>
            <w:r w:rsidRPr="00A07AE3">
              <w:rPr>
                <w:rFonts w:cs="Arial"/>
                <w:lang w:eastAsia="en-GB"/>
              </w:rPr>
              <w:t xml:space="preserve">(outlined in Section 7.2.4 of the EAR). </w:t>
            </w:r>
            <w:r w:rsidRPr="00A07AE3">
              <w:rPr>
                <w:rFonts w:cs="Arial"/>
              </w:rPr>
              <w:t xml:space="preserve">To avoid double counting costs, </w:t>
            </w:r>
            <w:r w:rsidR="00A96421" w:rsidRPr="00A07AE3">
              <w:rPr>
                <w:rFonts w:cs="Arial"/>
              </w:rPr>
              <w:t xml:space="preserve">the </w:t>
            </w:r>
            <w:proofErr w:type="gramStart"/>
            <w:r w:rsidR="00A96421" w:rsidRPr="00A07AE3">
              <w:rPr>
                <w:rFonts w:cs="Arial"/>
              </w:rPr>
              <w:t xml:space="preserve">EAG </w:t>
            </w:r>
            <w:r w:rsidRPr="00A07AE3">
              <w:rPr>
                <w:rFonts w:cs="Arial"/>
              </w:rPr>
              <w:t xml:space="preserve"> assumed</w:t>
            </w:r>
            <w:proofErr w:type="gramEnd"/>
            <w:r w:rsidRPr="00A07AE3">
              <w:rPr>
                <w:rFonts w:cs="Arial"/>
              </w:rPr>
              <w:t xml:space="preserve"> AMD changes occurred during these visits.</w:t>
            </w:r>
          </w:p>
          <w:p w14:paraId="10CFA77C" w14:textId="6D453A11" w:rsidR="00576491" w:rsidRPr="00A07AE3" w:rsidRDefault="00EA648C" w:rsidP="00A07AE3">
            <w:pPr>
              <w:pStyle w:val="Paragraph"/>
              <w:spacing w:line="240" w:lineRule="auto"/>
              <w:rPr>
                <w:rFonts w:cs="Arial"/>
                <w:lang w:eastAsia="en-GB"/>
              </w:rPr>
            </w:pPr>
            <w:r w:rsidRPr="00A07AE3">
              <w:rPr>
                <w:rFonts w:cs="Arial"/>
              </w:rPr>
              <w:t xml:space="preserve">Following this comment, an additional scenario was added to the analysis in which the number of visits from practice and district </w:t>
            </w:r>
            <w:r w:rsidRPr="00A07AE3">
              <w:rPr>
                <w:rFonts w:cs="Arial"/>
              </w:rPr>
              <w:lastRenderedPageBreak/>
              <w:t>nurses was assumed to be 0, and, instead, each dressing change was associated with a visit from either a practice or district nurse.</w:t>
            </w:r>
            <w:r w:rsidR="002D3E1D" w:rsidRPr="00A07AE3">
              <w:rPr>
                <w:rFonts w:cs="Arial"/>
              </w:rPr>
              <w:t xml:space="preserve"> </w:t>
            </w:r>
            <w:r w:rsidRPr="00A07AE3">
              <w:rPr>
                <w:rFonts w:cs="Arial"/>
                <w:lang w:eastAsia="en-GB"/>
              </w:rPr>
              <w:t xml:space="preserve">The </w:t>
            </w:r>
            <w:r w:rsidR="00FD7BDF" w:rsidRPr="00A07AE3">
              <w:rPr>
                <w:rFonts w:cs="Arial"/>
                <w:lang w:eastAsia="en-GB"/>
              </w:rPr>
              <w:t>result</w:t>
            </w:r>
            <w:r w:rsidRPr="00A07AE3">
              <w:rPr>
                <w:rFonts w:cs="Arial"/>
                <w:lang w:eastAsia="en-GB"/>
              </w:rPr>
              <w:t xml:space="preserve"> of this scenario is outlined in </w:t>
            </w:r>
            <w:r w:rsidR="00D447FB" w:rsidRPr="00A07AE3">
              <w:rPr>
                <w:rFonts w:cs="Arial"/>
                <w:lang w:eastAsia="en-GB"/>
              </w:rPr>
              <w:t xml:space="preserve">the second addendum. </w:t>
            </w:r>
            <w:r w:rsidR="00DD0619" w:rsidRPr="00A07AE3">
              <w:rPr>
                <w:rFonts w:cs="Arial"/>
                <w:lang w:eastAsia="en-GB"/>
              </w:rPr>
              <w:t>The EAG noted that while the ranking of agents changed in terms of cost, the uncertainty remained</w:t>
            </w:r>
            <w:r w:rsidR="003B0525" w:rsidRPr="00A07AE3">
              <w:rPr>
                <w:rFonts w:cs="Arial"/>
                <w:lang w:eastAsia="en-GB"/>
              </w:rPr>
              <w:t xml:space="preserve"> meaning it was not possible to determine if one agent was more cost-effective than another. </w:t>
            </w:r>
          </w:p>
          <w:p w14:paraId="61D144EB" w14:textId="77777777" w:rsidR="00C41FC7" w:rsidRPr="00A07AE3" w:rsidRDefault="00C41FC7" w:rsidP="00A07AE3">
            <w:pPr>
              <w:pStyle w:val="Paragraph"/>
              <w:spacing w:line="240" w:lineRule="auto"/>
              <w:rPr>
                <w:lang w:eastAsia="en-GB"/>
              </w:rPr>
            </w:pPr>
          </w:p>
          <w:p w14:paraId="10ED7B7D" w14:textId="57B00F98" w:rsidR="00C41FC7" w:rsidRPr="00A07AE3" w:rsidRDefault="00C41FC7" w:rsidP="00A07AE3">
            <w:pPr>
              <w:pStyle w:val="Paragraph"/>
              <w:spacing w:line="240" w:lineRule="auto"/>
              <w:rPr>
                <w:lang w:eastAsia="en-GB"/>
              </w:rPr>
            </w:pPr>
          </w:p>
        </w:tc>
      </w:tr>
      <w:tr w:rsidR="00576491" w14:paraId="380238C8" w14:textId="77777777" w:rsidTr="00A07AE3">
        <w:tc>
          <w:tcPr>
            <w:tcW w:w="1323" w:type="dxa"/>
          </w:tcPr>
          <w:p w14:paraId="035A9D55"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46526593" w14:textId="65630EC6" w:rsidR="00576491" w:rsidRPr="00A07AE3" w:rsidRDefault="00576491"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620F975E" w14:textId="243AAEBA" w:rsidR="00576491" w:rsidRPr="00A07AE3" w:rsidRDefault="00576491" w:rsidP="00A07AE3">
            <w:pPr>
              <w:pStyle w:val="Paragraph"/>
              <w:spacing w:line="240" w:lineRule="auto"/>
              <w:rPr>
                <w:lang w:eastAsia="en-GB"/>
              </w:rPr>
            </w:pPr>
            <w:r w:rsidRPr="00A07AE3">
              <w:rPr>
                <w:rFonts w:cs="Arial"/>
                <w:color w:val="000000"/>
              </w:rPr>
              <w:t>3.11 Model inputs</w:t>
            </w:r>
          </w:p>
        </w:tc>
        <w:tc>
          <w:tcPr>
            <w:tcW w:w="4682" w:type="dxa"/>
            <w:tcBorders>
              <w:top w:val="single" w:sz="4" w:space="0" w:color="auto"/>
              <w:left w:val="single" w:sz="4" w:space="0" w:color="auto"/>
              <w:bottom w:val="single" w:sz="4" w:space="0" w:color="auto"/>
              <w:right w:val="nil"/>
            </w:tcBorders>
            <w:shd w:val="clear" w:color="auto" w:fill="auto"/>
          </w:tcPr>
          <w:p w14:paraId="0B2EDF5F" w14:textId="7A4DE584" w:rsidR="00576491" w:rsidRPr="00A07AE3" w:rsidRDefault="00576491" w:rsidP="00A07AE3">
            <w:pPr>
              <w:pStyle w:val="Paragraph"/>
              <w:spacing w:line="240" w:lineRule="auto"/>
              <w:rPr>
                <w:lang w:eastAsia="en-GB"/>
              </w:rPr>
            </w:pPr>
            <w:r w:rsidRPr="00A07AE3">
              <w:rPr>
                <w:rFonts w:cs="Arial"/>
                <w:color w:val="000000"/>
              </w:rPr>
              <w:t>Why would there be resource required for a healed wound when it's healed?</w:t>
            </w:r>
          </w:p>
        </w:tc>
        <w:tc>
          <w:tcPr>
            <w:tcW w:w="4135" w:type="dxa"/>
          </w:tcPr>
          <w:p w14:paraId="203BFA68" w14:textId="64BB7408" w:rsidR="00576491" w:rsidRPr="00A07AE3" w:rsidRDefault="003B0525" w:rsidP="00A07AE3">
            <w:pPr>
              <w:pStyle w:val="Paragraph"/>
              <w:spacing w:line="240" w:lineRule="auto"/>
              <w:rPr>
                <w:lang w:eastAsia="en-GB"/>
              </w:rPr>
            </w:pPr>
            <w:r w:rsidRPr="00A07AE3">
              <w:rPr>
                <w:rFonts w:cs="Arial"/>
                <w:lang w:eastAsia="en-GB"/>
              </w:rPr>
              <w:t xml:space="preserve">Thank you for your comment. </w:t>
            </w:r>
            <w:r w:rsidR="00EA648C" w:rsidRPr="00A07AE3">
              <w:rPr>
                <w:rFonts w:cs="Arial"/>
                <w:lang w:eastAsia="en-GB"/>
              </w:rPr>
              <w:t>Please see comment 78.</w:t>
            </w:r>
          </w:p>
        </w:tc>
      </w:tr>
      <w:tr w:rsidR="00576491" w14:paraId="09670E8D" w14:textId="77777777" w:rsidTr="00A07AE3">
        <w:tc>
          <w:tcPr>
            <w:tcW w:w="1323" w:type="dxa"/>
          </w:tcPr>
          <w:p w14:paraId="484911B2"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3638A69E" w14:textId="196AF1E4" w:rsidR="00576491" w:rsidRPr="00A07AE3" w:rsidRDefault="00576491"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65CC3C8" w14:textId="36CE71E6" w:rsidR="00576491" w:rsidRPr="00A07AE3" w:rsidRDefault="00576491" w:rsidP="00A07AE3">
            <w:pPr>
              <w:pStyle w:val="Paragraph"/>
              <w:spacing w:line="240" w:lineRule="auto"/>
              <w:rPr>
                <w:lang w:eastAsia="en-GB"/>
              </w:rPr>
            </w:pPr>
            <w:r w:rsidRPr="00A07AE3">
              <w:rPr>
                <w:rFonts w:cs="Arial"/>
                <w:color w:val="000000"/>
              </w:rPr>
              <w:t>3.11 Model inputs</w:t>
            </w:r>
          </w:p>
        </w:tc>
        <w:tc>
          <w:tcPr>
            <w:tcW w:w="4682" w:type="dxa"/>
            <w:tcBorders>
              <w:top w:val="single" w:sz="4" w:space="0" w:color="auto"/>
              <w:left w:val="single" w:sz="4" w:space="0" w:color="auto"/>
              <w:bottom w:val="single" w:sz="4" w:space="0" w:color="auto"/>
              <w:right w:val="nil"/>
            </w:tcBorders>
            <w:shd w:val="clear" w:color="auto" w:fill="auto"/>
          </w:tcPr>
          <w:p w14:paraId="1FCF94F8" w14:textId="28F455A1" w:rsidR="00576491" w:rsidRPr="00A07AE3" w:rsidRDefault="00576491" w:rsidP="00A07AE3">
            <w:pPr>
              <w:pStyle w:val="Paragraph"/>
              <w:spacing w:line="240" w:lineRule="auto"/>
              <w:rPr>
                <w:lang w:eastAsia="en-GB"/>
              </w:rPr>
            </w:pPr>
            <w:r w:rsidRPr="00A07AE3">
              <w:rPr>
                <w:rFonts w:cs="Arial"/>
                <w:color w:val="000000"/>
              </w:rPr>
              <w:t xml:space="preserve">people in the 'infected, unhealed' and the 'non-infected, unhealed' health states need the same </w:t>
            </w:r>
            <w:proofErr w:type="gramStart"/>
            <w:r w:rsidRPr="00A07AE3">
              <w:rPr>
                <w:rFonts w:cs="Arial"/>
                <w:color w:val="000000"/>
              </w:rPr>
              <w:t>amount</w:t>
            </w:r>
            <w:proofErr w:type="gramEnd"/>
            <w:r w:rsidRPr="00A07AE3">
              <w:rPr>
                <w:rFonts w:cs="Arial"/>
                <w:color w:val="000000"/>
              </w:rPr>
              <w:t xml:space="preserve"> of resources. This contradicts the previous statement - If the infected non healed state assumes more </w:t>
            </w:r>
            <w:r w:rsidRPr="00A07AE3">
              <w:rPr>
                <w:rFonts w:cs="Arial"/>
                <w:color w:val="000000"/>
              </w:rPr>
              <w:lastRenderedPageBreak/>
              <w:t>dressings are used, then the resource consumption increases accordingly.</w:t>
            </w:r>
          </w:p>
        </w:tc>
        <w:tc>
          <w:tcPr>
            <w:tcW w:w="4135" w:type="dxa"/>
          </w:tcPr>
          <w:p w14:paraId="7992A23E" w14:textId="702756AF" w:rsidR="00576491" w:rsidRPr="00A07AE3" w:rsidRDefault="003463F2" w:rsidP="00A07AE3">
            <w:pPr>
              <w:pStyle w:val="Paragraph"/>
              <w:spacing w:line="240" w:lineRule="auto"/>
              <w:rPr>
                <w:lang w:eastAsia="en-GB"/>
              </w:rPr>
            </w:pPr>
            <w:r w:rsidRPr="00A07AE3">
              <w:rPr>
                <w:rFonts w:cs="Arial"/>
                <w:lang w:eastAsia="en-GB"/>
              </w:rPr>
              <w:lastRenderedPageBreak/>
              <w:t xml:space="preserve">Thank you for your comment. </w:t>
            </w:r>
            <w:r w:rsidR="00EA648C" w:rsidRPr="00A07AE3">
              <w:rPr>
                <w:rFonts w:cs="Arial"/>
                <w:lang w:eastAsia="en-GB"/>
              </w:rPr>
              <w:t>Please see</w:t>
            </w:r>
            <w:r w:rsidRPr="00A07AE3">
              <w:rPr>
                <w:rFonts w:cs="Arial"/>
                <w:lang w:eastAsia="en-GB"/>
              </w:rPr>
              <w:t xml:space="preserve"> response to </w:t>
            </w:r>
            <w:r w:rsidR="00EA648C" w:rsidRPr="00A07AE3">
              <w:rPr>
                <w:rFonts w:cs="Arial"/>
                <w:lang w:eastAsia="en-GB"/>
              </w:rPr>
              <w:t>comment 73.</w:t>
            </w:r>
          </w:p>
        </w:tc>
      </w:tr>
      <w:tr w:rsidR="00576491" w14:paraId="29C6D399" w14:textId="77777777" w:rsidTr="00A07AE3">
        <w:tc>
          <w:tcPr>
            <w:tcW w:w="1323" w:type="dxa"/>
          </w:tcPr>
          <w:p w14:paraId="51A5EB99"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654C2525" w14:textId="4085C97F" w:rsidR="00576491" w:rsidRPr="00A07AE3" w:rsidRDefault="00576491" w:rsidP="00A07AE3">
            <w:pPr>
              <w:pStyle w:val="Paragraph"/>
              <w:spacing w:line="240" w:lineRule="auto"/>
              <w:rPr>
                <w:lang w:eastAsia="en-GB"/>
              </w:rPr>
            </w:pPr>
            <w:r w:rsidRPr="00A07AE3">
              <w:rPr>
                <w:rFonts w:cs="Arial"/>
                <w:color w:val="000000"/>
              </w:rPr>
              <w:t>Consultee 14</w:t>
            </w:r>
            <w:r w:rsidRPr="00A07AE3">
              <w:rPr>
                <w:rFonts w:cs="Arial"/>
                <w:color w:val="000000"/>
              </w:rPr>
              <w:br/>
              <w:t>Essity</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539F11B" w14:textId="678FD5F7" w:rsidR="00576491" w:rsidRPr="00A07AE3" w:rsidRDefault="00576491" w:rsidP="00A07AE3">
            <w:pPr>
              <w:pStyle w:val="Paragraph"/>
              <w:spacing w:line="240" w:lineRule="auto"/>
              <w:rPr>
                <w:lang w:eastAsia="en-GB"/>
              </w:rPr>
            </w:pPr>
            <w:r w:rsidRPr="00A07AE3">
              <w:rPr>
                <w:rFonts w:cs="Arial"/>
                <w:color w:val="000000"/>
              </w:rPr>
              <w:t xml:space="preserve">2 </w:t>
            </w:r>
          </w:p>
        </w:tc>
        <w:tc>
          <w:tcPr>
            <w:tcW w:w="4682" w:type="dxa"/>
            <w:tcBorders>
              <w:top w:val="single" w:sz="4" w:space="0" w:color="auto"/>
              <w:left w:val="single" w:sz="4" w:space="0" w:color="auto"/>
              <w:bottom w:val="single" w:sz="4" w:space="0" w:color="auto"/>
              <w:right w:val="nil"/>
            </w:tcBorders>
            <w:shd w:val="clear" w:color="auto" w:fill="auto"/>
          </w:tcPr>
          <w:p w14:paraId="0AE36B88" w14:textId="141053DA" w:rsidR="00576491" w:rsidRPr="00A07AE3" w:rsidRDefault="00576491" w:rsidP="00A07AE3">
            <w:pPr>
              <w:pStyle w:val="Paragraph"/>
              <w:spacing w:line="240" w:lineRule="auto"/>
              <w:rPr>
                <w:lang w:eastAsia="en-GB"/>
              </w:rPr>
            </w:pPr>
            <w:r w:rsidRPr="00A07AE3">
              <w:rPr>
                <w:rFonts w:cs="Arial"/>
                <w:color w:val="000000"/>
              </w:rPr>
              <w:t xml:space="preserve">• Averaging out the prices does not take into consideration market share and inflates some products cost higher </w:t>
            </w:r>
            <w:proofErr w:type="spellStart"/>
            <w:proofErr w:type="gramStart"/>
            <w:r w:rsidRPr="00A07AE3">
              <w:rPr>
                <w:rFonts w:cs="Arial"/>
                <w:color w:val="000000"/>
              </w:rPr>
              <w:t>then</w:t>
            </w:r>
            <w:proofErr w:type="spellEnd"/>
            <w:proofErr w:type="gramEnd"/>
            <w:r w:rsidRPr="00A07AE3">
              <w:rPr>
                <w:rFonts w:cs="Arial"/>
                <w:color w:val="000000"/>
              </w:rPr>
              <w:t xml:space="preserve"> the acutely usage of the products</w:t>
            </w:r>
          </w:p>
        </w:tc>
        <w:tc>
          <w:tcPr>
            <w:tcW w:w="4135" w:type="dxa"/>
          </w:tcPr>
          <w:p w14:paraId="51A10843" w14:textId="20831763" w:rsidR="00576491" w:rsidRPr="00A07AE3" w:rsidRDefault="00EA648C" w:rsidP="00A07AE3">
            <w:pPr>
              <w:pStyle w:val="Paragraph"/>
              <w:spacing w:line="240" w:lineRule="auto"/>
              <w:rPr>
                <w:lang w:eastAsia="en-GB"/>
              </w:rPr>
            </w:pPr>
            <w:r w:rsidRPr="00A07AE3">
              <w:rPr>
                <w:rFonts w:cs="Arial"/>
                <w:lang w:eastAsia="en-GB"/>
              </w:rPr>
              <w:t xml:space="preserve">Thank you for your comment. </w:t>
            </w:r>
            <w:r w:rsidR="00D00481" w:rsidRPr="00A07AE3">
              <w:rPr>
                <w:rFonts w:cs="Arial"/>
                <w:lang w:eastAsia="en-GB"/>
              </w:rPr>
              <w:t>The EAG used m</w:t>
            </w:r>
            <w:r w:rsidRPr="00A07AE3">
              <w:rPr>
                <w:rFonts w:cs="Arial"/>
                <w:lang w:eastAsia="en-GB"/>
              </w:rPr>
              <w:t xml:space="preserve">arket shares </w:t>
            </w:r>
            <w:r w:rsidR="00974F84" w:rsidRPr="00A07AE3">
              <w:rPr>
                <w:rFonts w:cs="Arial"/>
                <w:lang w:eastAsia="en-GB"/>
              </w:rPr>
              <w:t xml:space="preserve">in </w:t>
            </w:r>
            <w:r w:rsidRPr="00A07AE3">
              <w:rPr>
                <w:rFonts w:cs="Arial"/>
                <w:lang w:eastAsia="en-GB"/>
              </w:rPr>
              <w:t xml:space="preserve">the costing of products. Appendix H </w:t>
            </w:r>
            <w:r w:rsidR="00974F84" w:rsidRPr="00A07AE3">
              <w:rPr>
                <w:rFonts w:cs="Arial"/>
                <w:lang w:eastAsia="en-GB"/>
              </w:rPr>
              <w:t xml:space="preserve">of the EAR </w:t>
            </w:r>
            <w:r w:rsidRPr="00A07AE3">
              <w:rPr>
                <w:rFonts w:cs="Arial"/>
                <w:lang w:eastAsia="en-GB"/>
              </w:rPr>
              <w:t xml:space="preserve">details the market shares taken from CPRD data, which was used to calculate a weighted average cost. </w:t>
            </w:r>
            <w:r w:rsidR="00974F84" w:rsidRPr="00A07AE3">
              <w:rPr>
                <w:rFonts w:cs="Arial"/>
                <w:lang w:eastAsia="en-GB"/>
              </w:rPr>
              <w:t>The EAG discussed p</w:t>
            </w:r>
            <w:r w:rsidRPr="00A07AE3">
              <w:rPr>
                <w:rFonts w:cs="Arial"/>
                <w:lang w:eastAsia="en-GB"/>
              </w:rPr>
              <w:t xml:space="preserve">otential limitations of this approach are detailed in section 7.3.6 of the </w:t>
            </w:r>
            <w:r w:rsidR="00974F84" w:rsidRPr="00A07AE3">
              <w:rPr>
                <w:rFonts w:cs="Arial"/>
                <w:lang w:eastAsia="en-GB"/>
              </w:rPr>
              <w:t>EAR</w:t>
            </w:r>
            <w:r w:rsidRPr="00A07AE3">
              <w:rPr>
                <w:rFonts w:cs="Arial"/>
                <w:lang w:eastAsia="en-GB"/>
              </w:rPr>
              <w:t>.</w:t>
            </w:r>
          </w:p>
        </w:tc>
      </w:tr>
      <w:tr w:rsidR="00576491" w14:paraId="1B0EA808" w14:textId="77777777" w:rsidTr="00A07AE3">
        <w:tc>
          <w:tcPr>
            <w:tcW w:w="1323" w:type="dxa"/>
          </w:tcPr>
          <w:p w14:paraId="4BB06594" w14:textId="77777777" w:rsidR="00576491" w:rsidRPr="00A07AE3" w:rsidRDefault="00576491"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4935C62B" w14:textId="516D93FB" w:rsidR="00576491" w:rsidRPr="00A07AE3" w:rsidRDefault="00576491" w:rsidP="00A07AE3">
            <w:pPr>
              <w:pStyle w:val="Paragraph"/>
              <w:spacing w:line="240" w:lineRule="auto"/>
              <w:rPr>
                <w:lang w:eastAsia="en-GB"/>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2F002C93" w14:textId="73D2F074" w:rsidR="00576491" w:rsidRPr="00A07AE3" w:rsidRDefault="00576491" w:rsidP="00A07AE3">
            <w:pPr>
              <w:pStyle w:val="Paragraph"/>
              <w:spacing w:line="240" w:lineRule="auto"/>
              <w:rPr>
                <w:lang w:eastAsia="en-GB"/>
              </w:rPr>
            </w:pPr>
            <w:r w:rsidRPr="00A07AE3">
              <w:rPr>
                <w:rFonts w:cs="Arial"/>
                <w:color w:val="000000"/>
              </w:rPr>
              <w:t>Not specified</w:t>
            </w:r>
          </w:p>
        </w:tc>
        <w:tc>
          <w:tcPr>
            <w:tcW w:w="4682" w:type="dxa"/>
            <w:tcBorders>
              <w:top w:val="single" w:sz="4" w:space="0" w:color="auto"/>
              <w:left w:val="single" w:sz="4" w:space="0" w:color="auto"/>
              <w:bottom w:val="single" w:sz="4" w:space="0" w:color="auto"/>
              <w:right w:val="nil"/>
            </w:tcBorders>
            <w:shd w:val="clear" w:color="auto" w:fill="auto"/>
          </w:tcPr>
          <w:p w14:paraId="34BACBC9" w14:textId="7E5F7E09" w:rsidR="00576491" w:rsidRPr="00A07AE3" w:rsidRDefault="00576491" w:rsidP="00A07AE3">
            <w:pPr>
              <w:pStyle w:val="Paragraph"/>
              <w:spacing w:line="240" w:lineRule="auto"/>
              <w:rPr>
                <w:lang w:eastAsia="en-GB"/>
              </w:rPr>
            </w:pPr>
            <w:r w:rsidRPr="00A07AE3">
              <w:rPr>
                <w:rFonts w:cs="Arial"/>
                <w:color w:val="000000"/>
              </w:rPr>
              <w:t>Are the summaries of clinical and cost effectiveness reasonable interpretations of the evidence?</w:t>
            </w:r>
            <w:r w:rsidRPr="00A07AE3">
              <w:rPr>
                <w:rFonts w:cs="Arial"/>
                <w:color w:val="000000"/>
              </w:rPr>
              <w:br/>
            </w:r>
            <w:r w:rsidRPr="00A07AE3">
              <w:rPr>
                <w:rFonts w:cs="Arial"/>
                <w:color w:val="000000"/>
              </w:rPr>
              <w:br/>
              <w:t>No - costs do not differentiate between the costs of an infected or non-infected wound.  In addition, these costs do not consider the additional complications of progression in severity of infected wound if not managed appropriately such as bacteraemia or costs linked to infected wounds caused by antimicrobial resistant bacteria.</w:t>
            </w:r>
          </w:p>
        </w:tc>
        <w:tc>
          <w:tcPr>
            <w:tcW w:w="4135" w:type="dxa"/>
          </w:tcPr>
          <w:p w14:paraId="1C067893" w14:textId="4854DFC9" w:rsidR="00EA648C" w:rsidRPr="00A07AE3" w:rsidRDefault="00EA648C" w:rsidP="00A07AE3">
            <w:pPr>
              <w:pStyle w:val="Paragraph"/>
              <w:spacing w:line="240" w:lineRule="auto"/>
              <w:rPr>
                <w:rFonts w:cs="Arial"/>
              </w:rPr>
            </w:pPr>
            <w:r w:rsidRPr="00A07AE3">
              <w:rPr>
                <w:rFonts w:cs="Arial"/>
                <w:lang w:eastAsia="en-GB"/>
              </w:rPr>
              <w:t>Thank you for your comment.</w:t>
            </w:r>
            <w:r w:rsidR="00CD6522" w:rsidRPr="00A07AE3">
              <w:rPr>
                <w:rFonts w:cs="Arial"/>
                <w:lang w:eastAsia="en-GB"/>
              </w:rPr>
              <w:t xml:space="preserve"> </w:t>
            </w:r>
            <w:r w:rsidR="00BB1EFA" w:rsidRPr="00A07AE3">
              <w:rPr>
                <w:rFonts w:cs="Arial"/>
              </w:rPr>
              <w:t>The EAG noted that o</w:t>
            </w:r>
            <w:r w:rsidRPr="00A07AE3">
              <w:rPr>
                <w:rFonts w:cs="Arial"/>
              </w:rPr>
              <w:t xml:space="preserve">pinions from clinical experts differed regarding which complications were important to model. There was also a lack of robust data available to inform incidence rates and utility decrements. All clinical experts agreed that, in the absence of robust data to inform the model, it was appropriate to use hospitalisation rates as a proxy. See section 7.2.1 Model assumptions </w:t>
            </w:r>
            <w:r w:rsidR="00CD6522" w:rsidRPr="00A07AE3">
              <w:rPr>
                <w:rFonts w:cs="Arial"/>
              </w:rPr>
              <w:t xml:space="preserve">of the EAR </w:t>
            </w:r>
            <w:r w:rsidRPr="00A07AE3">
              <w:rPr>
                <w:rFonts w:cs="Arial"/>
              </w:rPr>
              <w:t>for further detail</w:t>
            </w:r>
            <w:r w:rsidR="00CD6522" w:rsidRPr="00A07AE3">
              <w:rPr>
                <w:rFonts w:cs="Arial"/>
              </w:rPr>
              <w:t>s</w:t>
            </w:r>
            <w:r w:rsidRPr="00A07AE3">
              <w:rPr>
                <w:rFonts w:cs="Arial"/>
              </w:rPr>
              <w:t>.</w:t>
            </w:r>
          </w:p>
          <w:p w14:paraId="7D28A353" w14:textId="58750479" w:rsidR="00576491" w:rsidRPr="00A07AE3" w:rsidRDefault="004F2635" w:rsidP="00A07AE3">
            <w:pPr>
              <w:pStyle w:val="Paragraph"/>
              <w:spacing w:line="240" w:lineRule="auto"/>
              <w:rPr>
                <w:lang w:eastAsia="en-GB"/>
              </w:rPr>
            </w:pPr>
            <w:r w:rsidRPr="00A07AE3">
              <w:rPr>
                <w:rFonts w:cs="Arial"/>
              </w:rPr>
              <w:lastRenderedPageBreak/>
              <w:t>The EAG conducted a s</w:t>
            </w:r>
            <w:r w:rsidR="00EA648C" w:rsidRPr="00A07AE3">
              <w:rPr>
                <w:rFonts w:cs="Arial"/>
              </w:rPr>
              <w:t>cenario analysis to explore cost differences in infected and non-infected wounds. See section 7.3.4</w:t>
            </w:r>
            <w:r w:rsidR="00BB1EFA" w:rsidRPr="00A07AE3">
              <w:rPr>
                <w:rFonts w:cs="Arial"/>
              </w:rPr>
              <w:t xml:space="preserve"> of the EAR for more details. </w:t>
            </w:r>
          </w:p>
        </w:tc>
      </w:tr>
      <w:tr w:rsidR="00140789" w14:paraId="0108F627" w14:textId="77777777" w:rsidTr="00A07AE3">
        <w:tc>
          <w:tcPr>
            <w:tcW w:w="1323" w:type="dxa"/>
          </w:tcPr>
          <w:p w14:paraId="61ECFF37" w14:textId="77777777" w:rsidR="00140789" w:rsidRPr="00A07AE3" w:rsidRDefault="00140789"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5C07D6D7" w14:textId="72BEE4CC" w:rsidR="00140789" w:rsidRPr="00A07AE3" w:rsidRDefault="00140789"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3C9EB98" w14:textId="205C6B09" w:rsidR="00140789" w:rsidRPr="00A07AE3" w:rsidRDefault="00140789" w:rsidP="00A07AE3">
            <w:pPr>
              <w:pStyle w:val="Paragraph"/>
              <w:spacing w:line="240" w:lineRule="auto"/>
              <w:rPr>
                <w:rFonts w:cs="Arial"/>
                <w:color w:val="000000"/>
              </w:rPr>
            </w:pPr>
            <w:r w:rsidRPr="00A07AE3">
              <w:rPr>
                <w:rFonts w:cs="Arial"/>
                <w:color w:val="000000"/>
              </w:rPr>
              <w:t>EAR</w:t>
            </w:r>
          </w:p>
        </w:tc>
        <w:tc>
          <w:tcPr>
            <w:tcW w:w="4682" w:type="dxa"/>
            <w:tcBorders>
              <w:top w:val="single" w:sz="4" w:space="0" w:color="auto"/>
              <w:left w:val="single" w:sz="4" w:space="0" w:color="auto"/>
              <w:bottom w:val="single" w:sz="4" w:space="0" w:color="auto"/>
              <w:right w:val="nil"/>
            </w:tcBorders>
            <w:shd w:val="clear" w:color="auto" w:fill="auto"/>
          </w:tcPr>
          <w:p w14:paraId="645FF8DD" w14:textId="1482F4BD" w:rsidR="00140789" w:rsidRPr="00A07AE3" w:rsidRDefault="00140789" w:rsidP="00A07AE3">
            <w:pPr>
              <w:pStyle w:val="Paragraph"/>
              <w:spacing w:line="240" w:lineRule="auto"/>
              <w:rPr>
                <w:rFonts w:cs="Arial"/>
                <w:color w:val="000000"/>
              </w:rPr>
            </w:pPr>
            <w:r w:rsidRPr="00A07AE3">
              <w:rPr>
                <w:rFonts w:cs="Arial"/>
                <w:color w:val="000000"/>
              </w:rPr>
              <w:t>Nherera 2016 - Cost utility data taken from Bioelectric cost effectiveness study across chronic wounds (Clegg 2007); it is known that Cost of managing a VLU is lower than for other chronic wounds (Guest 2020) thus by including cost-utility data across chronic wounds this would present the worst-case scenario in terms of costs.</w:t>
            </w:r>
          </w:p>
        </w:tc>
        <w:tc>
          <w:tcPr>
            <w:tcW w:w="4135" w:type="dxa"/>
          </w:tcPr>
          <w:p w14:paraId="50DB1D89" w14:textId="4D146232" w:rsidR="00140789" w:rsidRPr="00A07AE3" w:rsidRDefault="00EA648C" w:rsidP="00A07AE3">
            <w:pPr>
              <w:pStyle w:val="Paragraph"/>
              <w:spacing w:line="240" w:lineRule="auto"/>
              <w:rPr>
                <w:lang w:eastAsia="en-GB"/>
              </w:rPr>
            </w:pPr>
            <w:r w:rsidRPr="00A07AE3">
              <w:rPr>
                <w:rFonts w:cs="Arial"/>
                <w:lang w:eastAsia="en-GB"/>
              </w:rPr>
              <w:t>Thank you for your comment.</w:t>
            </w:r>
            <w:r w:rsidR="006F56DC" w:rsidRPr="00A07AE3">
              <w:rPr>
                <w:rFonts w:cs="Arial"/>
                <w:lang w:eastAsia="en-GB"/>
              </w:rPr>
              <w:t xml:space="preserve"> The EAG only included this </w:t>
            </w:r>
            <w:r w:rsidRPr="00A07AE3">
              <w:rPr>
                <w:rFonts w:cs="Arial"/>
                <w:lang w:eastAsia="en-GB"/>
              </w:rPr>
              <w:t xml:space="preserve">study in the economic evidence </w:t>
            </w:r>
            <w:r w:rsidR="004F16B6" w:rsidRPr="00A07AE3">
              <w:rPr>
                <w:rFonts w:cs="Arial"/>
                <w:lang w:eastAsia="en-GB"/>
              </w:rPr>
              <w:t>review</w:t>
            </w:r>
            <w:r w:rsidRPr="00A07AE3">
              <w:rPr>
                <w:rFonts w:cs="Arial"/>
                <w:lang w:eastAsia="en-GB"/>
              </w:rPr>
              <w:t xml:space="preserve"> and </w:t>
            </w:r>
            <w:r w:rsidR="004F16B6" w:rsidRPr="00A07AE3">
              <w:rPr>
                <w:rFonts w:cs="Arial"/>
                <w:lang w:eastAsia="en-GB"/>
              </w:rPr>
              <w:t>data were</w:t>
            </w:r>
            <w:r w:rsidRPr="00A07AE3">
              <w:rPr>
                <w:rFonts w:cs="Arial"/>
                <w:lang w:eastAsia="en-GB"/>
              </w:rPr>
              <w:t xml:space="preserve"> not utilised in the EAG’s </w:t>
            </w:r>
            <w:r w:rsidR="002C70F6" w:rsidRPr="00A07AE3">
              <w:rPr>
                <w:rFonts w:cs="Arial"/>
                <w:lang w:eastAsia="en-GB"/>
              </w:rPr>
              <w:t>economic</w:t>
            </w:r>
            <w:r w:rsidRPr="00A07AE3">
              <w:rPr>
                <w:rFonts w:cs="Arial"/>
                <w:lang w:eastAsia="en-GB"/>
              </w:rPr>
              <w:t xml:space="preserve"> model. Limitations were identified in the discussion of this study. See Section 6.2 of the EAR</w:t>
            </w:r>
            <w:r w:rsidR="004F16B6" w:rsidRPr="00A07AE3">
              <w:rPr>
                <w:rFonts w:cs="Arial"/>
                <w:lang w:eastAsia="en-GB"/>
              </w:rPr>
              <w:t xml:space="preserve"> for more details</w:t>
            </w:r>
            <w:r w:rsidRPr="00A07AE3">
              <w:rPr>
                <w:rFonts w:cs="Arial"/>
                <w:lang w:eastAsia="en-GB"/>
              </w:rPr>
              <w:t>.</w:t>
            </w:r>
          </w:p>
        </w:tc>
      </w:tr>
      <w:tr w:rsidR="00140789" w14:paraId="6BF4E936" w14:textId="77777777" w:rsidTr="00A07AE3">
        <w:tc>
          <w:tcPr>
            <w:tcW w:w="1323" w:type="dxa"/>
          </w:tcPr>
          <w:p w14:paraId="3A79F808" w14:textId="77777777" w:rsidR="00140789" w:rsidRPr="00A07AE3" w:rsidRDefault="00140789"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742D2198" w14:textId="7EF3C089" w:rsidR="00140789" w:rsidRPr="00A07AE3" w:rsidRDefault="00140789"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26ECA7F" w14:textId="682E4BB7" w:rsidR="00140789" w:rsidRPr="00A07AE3" w:rsidRDefault="00140789" w:rsidP="00A07AE3">
            <w:pPr>
              <w:pStyle w:val="Paragraph"/>
              <w:spacing w:line="240" w:lineRule="auto"/>
              <w:rPr>
                <w:rFonts w:cs="Arial"/>
                <w:color w:val="000000"/>
              </w:rPr>
            </w:pPr>
            <w:r w:rsidRPr="00A07AE3">
              <w:rPr>
                <w:rFonts w:cs="Arial"/>
                <w:color w:val="000000"/>
              </w:rPr>
              <w:t>EAR</w:t>
            </w:r>
          </w:p>
        </w:tc>
        <w:tc>
          <w:tcPr>
            <w:tcW w:w="4682" w:type="dxa"/>
            <w:tcBorders>
              <w:top w:val="single" w:sz="4" w:space="0" w:color="auto"/>
              <w:left w:val="single" w:sz="4" w:space="0" w:color="auto"/>
              <w:bottom w:val="single" w:sz="4" w:space="0" w:color="auto"/>
              <w:right w:val="nil"/>
            </w:tcBorders>
            <w:shd w:val="clear" w:color="auto" w:fill="auto"/>
          </w:tcPr>
          <w:p w14:paraId="6F5B0A6E" w14:textId="531BA6BD" w:rsidR="00140789" w:rsidRPr="00A07AE3" w:rsidRDefault="00140789" w:rsidP="00A07AE3">
            <w:pPr>
              <w:pStyle w:val="Paragraph"/>
              <w:spacing w:line="240" w:lineRule="auto"/>
              <w:rPr>
                <w:rFonts w:cs="Arial"/>
                <w:color w:val="000000"/>
              </w:rPr>
            </w:pPr>
            <w:r w:rsidRPr="00A07AE3">
              <w:rPr>
                <w:rFonts w:cs="Arial"/>
                <w:color w:val="000000"/>
              </w:rPr>
              <w:t xml:space="preserve">• Health economic model assumptions; States no data on mortality or serious complications however data exists from NHS fingertips data on bacteraemia rates linked to soft tissue infections and Cohort trust data have reported this also (Newton 2010) with 8 cases of MRSA bacteraemia </w:t>
            </w:r>
            <w:proofErr w:type="gramStart"/>
            <w:r w:rsidRPr="00A07AE3">
              <w:rPr>
                <w:rFonts w:cs="Arial"/>
                <w:color w:val="000000"/>
              </w:rPr>
              <w:t>as a result of</w:t>
            </w:r>
            <w:proofErr w:type="gramEnd"/>
            <w:r w:rsidRPr="00A07AE3">
              <w:rPr>
                <w:rFonts w:cs="Arial"/>
                <w:color w:val="000000"/>
              </w:rPr>
              <w:t xml:space="preserve"> a wound in 2008.  </w:t>
            </w:r>
            <w:r w:rsidRPr="00A07AE3">
              <w:rPr>
                <w:rFonts w:cs="Arial"/>
                <w:color w:val="000000"/>
              </w:rPr>
              <w:br/>
              <w:t xml:space="preserve">• The costs of hospitalisation and treatment of bacteraemia/ sepsis should be considered in the cost model </w:t>
            </w:r>
            <w:proofErr w:type="gramStart"/>
            <w:r w:rsidRPr="00A07AE3">
              <w:rPr>
                <w:rFonts w:cs="Arial"/>
                <w:color w:val="000000"/>
              </w:rPr>
              <w:t>as a consequence of</w:t>
            </w:r>
            <w:proofErr w:type="gramEnd"/>
            <w:r w:rsidRPr="00A07AE3">
              <w:rPr>
                <w:rFonts w:cs="Arial"/>
                <w:color w:val="000000"/>
              </w:rPr>
              <w:t xml:space="preserve"> non-manged local infection in a wound.</w:t>
            </w:r>
            <w:r w:rsidRPr="00A07AE3">
              <w:rPr>
                <w:rFonts w:cs="Arial"/>
                <w:color w:val="000000"/>
              </w:rPr>
              <w:br/>
              <w:t xml:space="preserve">• In addition, Guest 2020 highlights that </w:t>
            </w:r>
            <w:r w:rsidRPr="00A07AE3">
              <w:rPr>
                <w:rFonts w:cs="Arial"/>
                <w:color w:val="000000"/>
              </w:rPr>
              <w:lastRenderedPageBreak/>
              <w:t>“All the hospital admissions attributable to venous and mixed leg ulcers appeared to be linked to a suspected infection.”</w:t>
            </w:r>
          </w:p>
        </w:tc>
        <w:tc>
          <w:tcPr>
            <w:tcW w:w="4135" w:type="dxa"/>
          </w:tcPr>
          <w:p w14:paraId="12AC02D2" w14:textId="45CFA9C4" w:rsidR="00140789" w:rsidRPr="00A07AE3" w:rsidRDefault="003C45C6" w:rsidP="00A07AE3">
            <w:pPr>
              <w:pStyle w:val="Paragraph"/>
              <w:spacing w:line="240" w:lineRule="auto"/>
              <w:rPr>
                <w:lang w:eastAsia="en-GB"/>
              </w:rPr>
            </w:pPr>
            <w:r w:rsidRPr="00A07AE3">
              <w:rPr>
                <w:rFonts w:cs="Arial"/>
                <w:lang w:eastAsia="en-GB"/>
              </w:rPr>
              <w:lastRenderedPageBreak/>
              <w:t xml:space="preserve">Thank you for your comment. </w:t>
            </w:r>
            <w:r w:rsidR="00EA648C" w:rsidRPr="00A07AE3">
              <w:rPr>
                <w:rFonts w:cs="Arial"/>
                <w:lang w:eastAsia="en-GB"/>
              </w:rPr>
              <w:t xml:space="preserve">Please see </w:t>
            </w:r>
            <w:r w:rsidRPr="00A07AE3">
              <w:rPr>
                <w:rFonts w:cs="Arial"/>
                <w:lang w:eastAsia="en-GB"/>
              </w:rPr>
              <w:t xml:space="preserve">response to </w:t>
            </w:r>
            <w:r w:rsidR="00EA648C" w:rsidRPr="00A07AE3">
              <w:rPr>
                <w:rFonts w:cs="Arial"/>
                <w:lang w:eastAsia="en-GB"/>
              </w:rPr>
              <w:t>comment 84.</w:t>
            </w:r>
          </w:p>
        </w:tc>
      </w:tr>
      <w:tr w:rsidR="00140789" w14:paraId="4A8D17F1" w14:textId="77777777" w:rsidTr="00A07AE3">
        <w:tc>
          <w:tcPr>
            <w:tcW w:w="1323" w:type="dxa"/>
          </w:tcPr>
          <w:p w14:paraId="3A8AF338" w14:textId="77777777" w:rsidR="00140789" w:rsidRPr="00A07AE3" w:rsidRDefault="00140789"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7FA17F1C" w14:textId="66D872C8" w:rsidR="00140789" w:rsidRPr="00A07AE3" w:rsidRDefault="00140789"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71965838" w14:textId="18B83F7F" w:rsidR="00140789" w:rsidRPr="00A07AE3" w:rsidRDefault="00140789" w:rsidP="00A07AE3">
            <w:pPr>
              <w:pStyle w:val="Paragraph"/>
              <w:spacing w:line="240" w:lineRule="auto"/>
              <w:rPr>
                <w:rFonts w:cs="Arial"/>
                <w:color w:val="000000"/>
              </w:rPr>
            </w:pPr>
            <w:r w:rsidRPr="00A07AE3">
              <w:rPr>
                <w:rFonts w:cs="Arial"/>
                <w:color w:val="000000"/>
              </w:rPr>
              <w:t>EAR</w:t>
            </w:r>
          </w:p>
        </w:tc>
        <w:tc>
          <w:tcPr>
            <w:tcW w:w="4682" w:type="dxa"/>
            <w:tcBorders>
              <w:top w:val="single" w:sz="4" w:space="0" w:color="auto"/>
              <w:left w:val="single" w:sz="4" w:space="0" w:color="auto"/>
              <w:bottom w:val="single" w:sz="4" w:space="0" w:color="auto"/>
              <w:right w:val="nil"/>
            </w:tcBorders>
            <w:shd w:val="clear" w:color="auto" w:fill="auto"/>
          </w:tcPr>
          <w:p w14:paraId="2FC350B5" w14:textId="6F68A0A2" w:rsidR="00140789" w:rsidRPr="00A07AE3" w:rsidRDefault="00140789" w:rsidP="00A07AE3">
            <w:pPr>
              <w:pStyle w:val="Paragraph"/>
              <w:spacing w:line="240" w:lineRule="auto"/>
              <w:rPr>
                <w:rFonts w:cs="Arial"/>
                <w:color w:val="000000"/>
              </w:rPr>
            </w:pPr>
            <w:r w:rsidRPr="00A07AE3">
              <w:rPr>
                <w:rFonts w:cs="Arial"/>
                <w:color w:val="000000"/>
              </w:rPr>
              <w:t xml:space="preserve">Health economic model </w:t>
            </w:r>
            <w:proofErr w:type="gramStart"/>
            <w:r w:rsidRPr="00A07AE3">
              <w:rPr>
                <w:rFonts w:cs="Arial"/>
                <w:color w:val="000000"/>
              </w:rPr>
              <w:t>assumptions;</w:t>
            </w:r>
            <w:proofErr w:type="gramEnd"/>
            <w:r w:rsidRPr="00A07AE3">
              <w:rPr>
                <w:rFonts w:cs="Arial"/>
                <w:color w:val="000000"/>
              </w:rPr>
              <w:t xml:space="preserve"> It is incorrect to assume cost is equivalent for both unhealed wound states (that is, regardless of whether the wound was infected or not) – Guest 20181 highlights clearly the impact of infection on cost data with a non-infected wound costing 69% less to manage over 12 months than an infected one.</w:t>
            </w:r>
          </w:p>
        </w:tc>
        <w:tc>
          <w:tcPr>
            <w:tcW w:w="4135" w:type="dxa"/>
          </w:tcPr>
          <w:p w14:paraId="72FC0D09" w14:textId="150324BC" w:rsidR="00140789" w:rsidRPr="00A07AE3" w:rsidRDefault="00114A42" w:rsidP="00A07AE3">
            <w:pPr>
              <w:pStyle w:val="Paragraph"/>
              <w:spacing w:line="240" w:lineRule="auto"/>
              <w:rPr>
                <w:lang w:eastAsia="en-GB"/>
              </w:rPr>
            </w:pPr>
            <w:r w:rsidRPr="00A07AE3">
              <w:rPr>
                <w:rFonts w:cs="Arial"/>
                <w:lang w:eastAsia="en-GB"/>
              </w:rPr>
              <w:t xml:space="preserve">Thank you for your comment. </w:t>
            </w:r>
            <w:r w:rsidR="00B27C16" w:rsidRPr="00A07AE3">
              <w:rPr>
                <w:rFonts w:cs="Arial"/>
                <w:lang w:eastAsia="en-GB"/>
              </w:rPr>
              <w:t>P</w:t>
            </w:r>
            <w:r w:rsidR="00EA648C" w:rsidRPr="00A07AE3">
              <w:rPr>
                <w:rFonts w:cs="Arial"/>
                <w:lang w:eastAsia="en-GB"/>
              </w:rPr>
              <w:t xml:space="preserve">lease see </w:t>
            </w:r>
            <w:r w:rsidRPr="00A07AE3">
              <w:rPr>
                <w:rFonts w:cs="Arial"/>
                <w:lang w:eastAsia="en-GB"/>
              </w:rPr>
              <w:t xml:space="preserve">response to </w:t>
            </w:r>
            <w:r w:rsidR="00EA648C" w:rsidRPr="00A07AE3">
              <w:rPr>
                <w:rFonts w:cs="Arial"/>
                <w:lang w:eastAsia="en-GB"/>
              </w:rPr>
              <w:t>comment 73.</w:t>
            </w:r>
          </w:p>
        </w:tc>
      </w:tr>
      <w:tr w:rsidR="00140789" w14:paraId="3063F157" w14:textId="77777777" w:rsidTr="00A07AE3">
        <w:tc>
          <w:tcPr>
            <w:tcW w:w="1323" w:type="dxa"/>
          </w:tcPr>
          <w:p w14:paraId="21DC5431" w14:textId="77777777" w:rsidR="00140789" w:rsidRPr="00A07AE3" w:rsidRDefault="00140789" w:rsidP="00A07AE3">
            <w:pPr>
              <w:pStyle w:val="Paragraph"/>
              <w:numPr>
                <w:ilvl w:val="0"/>
                <w:numId w:val="27"/>
              </w:numPr>
              <w:spacing w:line="240" w:lineRule="auto"/>
              <w:rPr>
                <w:lang w:eastAsia="en-GB"/>
              </w:rPr>
            </w:pPr>
          </w:p>
        </w:tc>
        <w:tc>
          <w:tcPr>
            <w:tcW w:w="1757" w:type="dxa"/>
            <w:tcBorders>
              <w:top w:val="single" w:sz="4" w:space="0" w:color="auto"/>
              <w:left w:val="nil"/>
              <w:bottom w:val="single" w:sz="4" w:space="0" w:color="auto"/>
              <w:right w:val="single" w:sz="4" w:space="0" w:color="auto"/>
            </w:tcBorders>
            <w:shd w:val="clear" w:color="auto" w:fill="auto"/>
          </w:tcPr>
          <w:p w14:paraId="1C9694E6" w14:textId="1BE75B38" w:rsidR="00140789" w:rsidRPr="00A07AE3" w:rsidRDefault="00140789"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57DAFEC4" w14:textId="15A32A45" w:rsidR="00140789" w:rsidRPr="00A07AE3" w:rsidRDefault="00140789" w:rsidP="00A07AE3">
            <w:pPr>
              <w:pStyle w:val="Paragraph"/>
              <w:spacing w:line="240" w:lineRule="auto"/>
              <w:rPr>
                <w:rFonts w:cs="Arial"/>
                <w:color w:val="000000"/>
              </w:rPr>
            </w:pPr>
            <w:r w:rsidRPr="00A07AE3">
              <w:rPr>
                <w:rFonts w:cs="Arial"/>
                <w:color w:val="000000"/>
              </w:rPr>
              <w:t>EAR</w:t>
            </w:r>
          </w:p>
        </w:tc>
        <w:tc>
          <w:tcPr>
            <w:tcW w:w="4682" w:type="dxa"/>
            <w:tcBorders>
              <w:top w:val="single" w:sz="4" w:space="0" w:color="auto"/>
              <w:left w:val="single" w:sz="4" w:space="0" w:color="auto"/>
              <w:bottom w:val="single" w:sz="4" w:space="0" w:color="auto"/>
              <w:right w:val="nil"/>
            </w:tcBorders>
            <w:shd w:val="clear" w:color="auto" w:fill="auto"/>
          </w:tcPr>
          <w:p w14:paraId="076C7C6C" w14:textId="2F995203" w:rsidR="00140789" w:rsidRPr="00A07AE3" w:rsidRDefault="00140789" w:rsidP="00A07AE3">
            <w:pPr>
              <w:pStyle w:val="Paragraph"/>
              <w:spacing w:line="240" w:lineRule="auto"/>
              <w:rPr>
                <w:rFonts w:cs="Arial"/>
                <w:color w:val="000000"/>
              </w:rPr>
            </w:pPr>
            <w:r w:rsidRPr="00A07AE3">
              <w:rPr>
                <w:rFonts w:cs="Arial"/>
                <w:color w:val="000000"/>
              </w:rPr>
              <w:t xml:space="preserve">Health economic model </w:t>
            </w:r>
            <w:proofErr w:type="gramStart"/>
            <w:r w:rsidRPr="00A07AE3">
              <w:rPr>
                <w:rFonts w:cs="Arial"/>
                <w:color w:val="000000"/>
              </w:rPr>
              <w:t>assumptions;</w:t>
            </w:r>
            <w:proofErr w:type="gramEnd"/>
            <w:r w:rsidRPr="00A07AE3">
              <w:rPr>
                <w:rFonts w:cs="Arial"/>
                <w:color w:val="000000"/>
              </w:rPr>
              <w:t xml:space="preserve"> it is incorrect to assume that locally-infected leg ulcer is assumed to be equal to the utility associated with a non-infected leg ulcer – Guest 20181 reports an increasing cost of infection with increased severity (assumed by increased number/ type of interventions such as AMD and or antibiotics/ anti-infectives)</w:t>
            </w:r>
          </w:p>
        </w:tc>
        <w:tc>
          <w:tcPr>
            <w:tcW w:w="4135" w:type="dxa"/>
          </w:tcPr>
          <w:p w14:paraId="67EDFF31" w14:textId="55247109" w:rsidR="00140789" w:rsidRPr="00A07AE3" w:rsidRDefault="00E2177F" w:rsidP="00A07AE3">
            <w:pPr>
              <w:pStyle w:val="Paragraph"/>
              <w:spacing w:line="240" w:lineRule="auto"/>
              <w:rPr>
                <w:lang w:eastAsia="en-GB"/>
              </w:rPr>
            </w:pPr>
            <w:r w:rsidRPr="00A07AE3">
              <w:rPr>
                <w:lang w:eastAsia="en-GB"/>
              </w:rPr>
              <w:t xml:space="preserve">Thank you for your comment. </w:t>
            </w:r>
            <w:r w:rsidR="00FD7BDF" w:rsidRPr="00A07AE3">
              <w:rPr>
                <w:lang w:eastAsia="en-GB"/>
              </w:rPr>
              <w:t xml:space="preserve">As part of the LSA process, the EAG conducted a literature review to find appropriate model inputs. Unfortunately, there was a paucity of recent, robust, EQ-5D-3L data to inform utilities for the three health states. In the absence of appropriate data, </w:t>
            </w:r>
            <w:r w:rsidR="00502FFF" w:rsidRPr="00A07AE3">
              <w:rPr>
                <w:lang w:eastAsia="en-GB"/>
              </w:rPr>
              <w:t xml:space="preserve">the EAG decided </w:t>
            </w:r>
            <w:r w:rsidR="00FD7BDF" w:rsidRPr="00A07AE3">
              <w:rPr>
                <w:lang w:eastAsia="en-GB"/>
              </w:rPr>
              <w:t>a conservative assumption was required to avoid underestimating utilities. The rationale and limitations behind this assumption is discussed in Section 7.2.5</w:t>
            </w:r>
            <w:r w:rsidR="00502FFF" w:rsidRPr="00A07AE3">
              <w:rPr>
                <w:lang w:eastAsia="en-GB"/>
              </w:rPr>
              <w:t xml:space="preserve"> of the EAR</w:t>
            </w:r>
            <w:r w:rsidR="00FD7BDF" w:rsidRPr="00A07AE3">
              <w:rPr>
                <w:lang w:eastAsia="en-GB"/>
              </w:rPr>
              <w:t xml:space="preserve">. Scenarios around the utilities were </w:t>
            </w:r>
            <w:r w:rsidR="00502FFF" w:rsidRPr="00A07AE3">
              <w:rPr>
                <w:lang w:eastAsia="en-GB"/>
              </w:rPr>
              <w:t xml:space="preserve">also </w:t>
            </w:r>
            <w:r w:rsidR="00FD7BDF" w:rsidRPr="00A07AE3">
              <w:rPr>
                <w:lang w:eastAsia="en-GB"/>
              </w:rPr>
              <w:t>explored</w:t>
            </w:r>
            <w:r w:rsidR="00A119BF" w:rsidRPr="00A07AE3">
              <w:rPr>
                <w:lang w:eastAsia="en-GB"/>
              </w:rPr>
              <w:t xml:space="preserve">, more details are in </w:t>
            </w:r>
            <w:r w:rsidR="00FD7BDF" w:rsidRPr="00A07AE3">
              <w:rPr>
                <w:lang w:eastAsia="en-GB"/>
              </w:rPr>
              <w:lastRenderedPageBreak/>
              <w:t>Table 7.26</w:t>
            </w:r>
            <w:r w:rsidR="00A119BF" w:rsidRPr="00A07AE3">
              <w:rPr>
                <w:lang w:eastAsia="en-GB"/>
              </w:rPr>
              <w:t xml:space="preserve"> of the EAR</w:t>
            </w:r>
            <w:r w:rsidR="00FD7BDF" w:rsidRPr="00A07AE3">
              <w:rPr>
                <w:lang w:eastAsia="en-GB"/>
              </w:rPr>
              <w:t>. In the absence of alternate data to inform utilities of the three health states</w:t>
            </w:r>
            <w:r w:rsidR="00A119BF" w:rsidRPr="00A07AE3">
              <w:rPr>
                <w:lang w:eastAsia="en-GB"/>
              </w:rPr>
              <w:t xml:space="preserve"> the EAG did not make any </w:t>
            </w:r>
            <w:r w:rsidR="00FD7BDF" w:rsidRPr="00A07AE3">
              <w:rPr>
                <w:lang w:eastAsia="en-GB"/>
              </w:rPr>
              <w:t>changes to the base case</w:t>
            </w:r>
            <w:r w:rsidR="00386BEF" w:rsidRPr="00A07AE3">
              <w:rPr>
                <w:lang w:eastAsia="en-GB"/>
              </w:rPr>
              <w:t xml:space="preserve"> but a</w:t>
            </w:r>
            <w:r w:rsidR="00FD7BDF" w:rsidRPr="00A07AE3">
              <w:rPr>
                <w:lang w:eastAsia="en-GB"/>
              </w:rPr>
              <w:t>dditional information around these scenarios ha</w:t>
            </w:r>
            <w:r w:rsidR="00386BEF" w:rsidRPr="00A07AE3">
              <w:rPr>
                <w:lang w:eastAsia="en-GB"/>
              </w:rPr>
              <w:t>s</w:t>
            </w:r>
            <w:r w:rsidR="00FD7BDF" w:rsidRPr="00A07AE3">
              <w:rPr>
                <w:lang w:eastAsia="en-GB"/>
              </w:rPr>
              <w:t xml:space="preserve"> been added to the second addendum.</w:t>
            </w:r>
          </w:p>
        </w:tc>
      </w:tr>
    </w:tbl>
    <w:p w14:paraId="69C1ED7A" w14:textId="77777777" w:rsidR="007C54D4" w:rsidRDefault="007C54D4" w:rsidP="007C54D4">
      <w:pPr>
        <w:pStyle w:val="Heading1"/>
        <w:spacing w:line="240" w:lineRule="auto"/>
      </w:pPr>
      <w:r>
        <w:lastRenderedPageBreak/>
        <w:t>Table 13: health economic evaluation, assumption of healing rate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F06BB6" w14:paraId="3E5316AC" w14:textId="77777777" w:rsidTr="00A07AE3">
        <w:tc>
          <w:tcPr>
            <w:tcW w:w="1323" w:type="dxa"/>
            <w:shd w:val="clear" w:color="auto" w:fill="D9D9D9" w:themeFill="background1" w:themeFillShade="D9"/>
          </w:tcPr>
          <w:p w14:paraId="13A20F2C" w14:textId="394CE1DD" w:rsidR="00F06BB6" w:rsidRPr="00A07AE3" w:rsidRDefault="00F06BB6" w:rsidP="00A07AE3">
            <w:pPr>
              <w:pStyle w:val="Paragraph"/>
              <w:spacing w:line="240" w:lineRule="auto"/>
              <w:rPr>
                <w:lang w:eastAsia="en-GB"/>
              </w:rPr>
            </w:pPr>
            <w:r w:rsidRPr="00A07AE3">
              <w:rPr>
                <w:b/>
                <w:bCs/>
                <w:lang w:eastAsia="en-GB"/>
              </w:rPr>
              <w:t>Comment no.</w:t>
            </w:r>
          </w:p>
        </w:tc>
        <w:tc>
          <w:tcPr>
            <w:tcW w:w="1757" w:type="dxa"/>
            <w:shd w:val="clear" w:color="auto" w:fill="D9D9D9" w:themeFill="background1" w:themeFillShade="D9"/>
          </w:tcPr>
          <w:p w14:paraId="4B2CC61A" w14:textId="5581A2C4"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51" w:type="dxa"/>
            <w:shd w:val="clear" w:color="auto" w:fill="D9D9D9" w:themeFill="background1" w:themeFillShade="D9"/>
          </w:tcPr>
          <w:p w14:paraId="0FB8B95A" w14:textId="694E1DFB" w:rsidR="00F06BB6" w:rsidRPr="00A07AE3" w:rsidRDefault="00F06BB6" w:rsidP="00A07AE3">
            <w:pPr>
              <w:pStyle w:val="Paragraph"/>
              <w:spacing w:line="240" w:lineRule="auto"/>
              <w:rPr>
                <w:rFonts w:cs="Arial"/>
                <w:color w:val="000000"/>
              </w:rPr>
            </w:pPr>
            <w:r w:rsidRPr="00A07AE3">
              <w:rPr>
                <w:b/>
                <w:bCs/>
                <w:lang w:eastAsia="en-GB"/>
              </w:rPr>
              <w:t>Section no.</w:t>
            </w:r>
          </w:p>
        </w:tc>
        <w:tc>
          <w:tcPr>
            <w:tcW w:w="4682" w:type="dxa"/>
            <w:shd w:val="clear" w:color="auto" w:fill="D9D9D9" w:themeFill="background1" w:themeFillShade="D9"/>
          </w:tcPr>
          <w:p w14:paraId="3CAB665F" w14:textId="74E10BC9" w:rsidR="00F06BB6" w:rsidRPr="00A07AE3" w:rsidRDefault="00F06BB6" w:rsidP="00A07AE3">
            <w:pPr>
              <w:pStyle w:val="Paragraph"/>
              <w:spacing w:line="240" w:lineRule="auto"/>
              <w:rPr>
                <w:rFonts w:cs="Arial"/>
                <w:color w:val="000000"/>
              </w:rPr>
            </w:pPr>
            <w:r w:rsidRPr="00A07AE3">
              <w:rPr>
                <w:b/>
                <w:bCs/>
                <w:lang w:eastAsia="en-GB"/>
              </w:rPr>
              <w:t>Comment</w:t>
            </w:r>
          </w:p>
        </w:tc>
        <w:tc>
          <w:tcPr>
            <w:tcW w:w="4135" w:type="dxa"/>
            <w:shd w:val="clear" w:color="auto" w:fill="D9D9D9" w:themeFill="background1" w:themeFillShade="D9"/>
          </w:tcPr>
          <w:p w14:paraId="16831897" w14:textId="788E038B" w:rsidR="00F06BB6" w:rsidRPr="00A07AE3" w:rsidRDefault="00F06BB6" w:rsidP="00A07AE3">
            <w:pPr>
              <w:pStyle w:val="Paragraph"/>
              <w:spacing w:line="240" w:lineRule="auto"/>
            </w:pPr>
            <w:r w:rsidRPr="00A07AE3">
              <w:rPr>
                <w:b/>
                <w:bCs/>
                <w:lang w:eastAsia="en-GB"/>
              </w:rPr>
              <w:t>Response</w:t>
            </w:r>
          </w:p>
        </w:tc>
      </w:tr>
      <w:tr w:rsidR="00EA648C" w14:paraId="023D119A" w14:textId="77777777" w:rsidTr="00A07AE3">
        <w:tc>
          <w:tcPr>
            <w:tcW w:w="1323" w:type="dxa"/>
          </w:tcPr>
          <w:p w14:paraId="1C50FE92" w14:textId="77777777" w:rsidR="00EA648C" w:rsidRPr="00A07AE3" w:rsidRDefault="00EA648C" w:rsidP="00A07AE3">
            <w:pPr>
              <w:pStyle w:val="Paragraph"/>
              <w:numPr>
                <w:ilvl w:val="0"/>
                <w:numId w:val="27"/>
              </w:numPr>
              <w:spacing w:line="240" w:lineRule="auto"/>
              <w:rPr>
                <w:lang w:eastAsia="en-GB"/>
              </w:rPr>
            </w:pPr>
          </w:p>
        </w:tc>
        <w:tc>
          <w:tcPr>
            <w:tcW w:w="1757" w:type="dxa"/>
            <w:shd w:val="clear" w:color="auto" w:fill="auto"/>
          </w:tcPr>
          <w:p w14:paraId="6A42DB56" w14:textId="210A4B3E" w:rsidR="00EA648C" w:rsidRPr="00A07AE3" w:rsidRDefault="00EA648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21E56A34" w14:textId="22F54ADD" w:rsidR="00EA648C" w:rsidRPr="00A07AE3" w:rsidRDefault="00EA648C" w:rsidP="00A07AE3">
            <w:pPr>
              <w:pStyle w:val="Paragraph"/>
              <w:spacing w:line="240" w:lineRule="auto"/>
              <w:rPr>
                <w:lang w:eastAsia="en-GB"/>
              </w:rPr>
            </w:pPr>
            <w:r w:rsidRPr="00A07AE3">
              <w:rPr>
                <w:rFonts w:cs="Arial"/>
                <w:color w:val="000000"/>
              </w:rPr>
              <w:t>Not specified</w:t>
            </w:r>
          </w:p>
        </w:tc>
        <w:tc>
          <w:tcPr>
            <w:tcW w:w="4682" w:type="dxa"/>
            <w:shd w:val="clear" w:color="auto" w:fill="auto"/>
          </w:tcPr>
          <w:p w14:paraId="79281F4F" w14:textId="3745C2BF" w:rsidR="00EA648C" w:rsidRPr="00A07AE3" w:rsidRDefault="00EA648C" w:rsidP="00A07AE3">
            <w:pPr>
              <w:pStyle w:val="Paragraph"/>
              <w:spacing w:line="240" w:lineRule="auto"/>
              <w:rPr>
                <w:lang w:eastAsia="en-GB"/>
              </w:rPr>
            </w:pPr>
            <w:r w:rsidRPr="00A07AE3">
              <w:rPr>
                <w:rFonts w:cs="Arial"/>
                <w:color w:val="000000"/>
              </w:rPr>
              <w:t xml:space="preserve">The healing curve for infected ulcers used by the EAG (EAG Assessment report page 151-152) has been derived from the healing curve in our study Venous leg ulcer management in clinical practice in the UK: costs and outcomes. Int Wound J 2017; </w:t>
            </w:r>
            <w:proofErr w:type="spellStart"/>
            <w:r w:rsidRPr="00A07AE3">
              <w:rPr>
                <w:rFonts w:cs="Arial"/>
                <w:color w:val="000000"/>
              </w:rPr>
              <w:t>doi</w:t>
            </w:r>
            <w:proofErr w:type="spellEnd"/>
            <w:r w:rsidRPr="00A07AE3">
              <w:rPr>
                <w:rFonts w:cs="Arial"/>
                <w:color w:val="000000"/>
              </w:rPr>
              <w:t xml:space="preserve">: 10.1111/iwj.12814. However, our healing curve relates to all venous leg ulcers and cannot be applied to solely infected ulcers. The EAG should review the healing curve in Figure 4 and the data in Table 5 in this article and review other articles </w:t>
            </w:r>
            <w:proofErr w:type="gramStart"/>
            <w:r w:rsidRPr="00A07AE3">
              <w:rPr>
                <w:rFonts w:cs="Arial"/>
                <w:color w:val="000000"/>
              </w:rPr>
              <w:t>in order to</w:t>
            </w:r>
            <w:proofErr w:type="gramEnd"/>
            <w:r w:rsidRPr="00A07AE3">
              <w:rPr>
                <w:rFonts w:cs="Arial"/>
                <w:color w:val="000000"/>
              </w:rPr>
              <w:t xml:space="preserve"> generate an amended </w:t>
            </w:r>
            <w:r w:rsidRPr="00A07AE3">
              <w:rPr>
                <w:rFonts w:cs="Arial"/>
                <w:color w:val="000000"/>
              </w:rPr>
              <w:lastRenderedPageBreak/>
              <w:t xml:space="preserve">healing curve for each type of infected ulcer (i.e. venous, arterial and mixed). </w:t>
            </w:r>
          </w:p>
        </w:tc>
        <w:tc>
          <w:tcPr>
            <w:tcW w:w="4135" w:type="dxa"/>
          </w:tcPr>
          <w:p w14:paraId="13461269" w14:textId="56588386" w:rsidR="00EA648C" w:rsidRPr="00A07AE3" w:rsidRDefault="00EA648C" w:rsidP="00A07AE3">
            <w:pPr>
              <w:pStyle w:val="Paragraph"/>
              <w:spacing w:line="240" w:lineRule="auto"/>
              <w:rPr>
                <w:lang w:eastAsia="en-GB"/>
              </w:rPr>
            </w:pPr>
            <w:r w:rsidRPr="00A07AE3">
              <w:lastRenderedPageBreak/>
              <w:t>Thank you for your comment.</w:t>
            </w:r>
            <w:r w:rsidR="00A15942" w:rsidRPr="00A07AE3">
              <w:t xml:space="preserve"> </w:t>
            </w:r>
            <w:r w:rsidRPr="00A07AE3">
              <w:t xml:space="preserve">Upon review of Figure 4, </w:t>
            </w:r>
            <w:r w:rsidR="00A15942" w:rsidRPr="00A07AE3">
              <w:t>the EAG</w:t>
            </w:r>
            <w:r w:rsidRPr="00A07AE3">
              <w:t xml:space="preserve"> observed that the ratio of the hazards for infected and non-infected leg ulcers remained constant over time. Therefore, the conversion ratio between 4 and 12 weeks was not expected to differ.  </w:t>
            </w:r>
          </w:p>
        </w:tc>
      </w:tr>
      <w:tr w:rsidR="00EA648C" w14:paraId="20A7F873" w14:textId="77777777" w:rsidTr="00A07AE3">
        <w:tc>
          <w:tcPr>
            <w:tcW w:w="1323" w:type="dxa"/>
          </w:tcPr>
          <w:p w14:paraId="7BD8F10C" w14:textId="77777777" w:rsidR="00EA648C" w:rsidRPr="00A07AE3" w:rsidRDefault="00EA648C" w:rsidP="00A07AE3">
            <w:pPr>
              <w:pStyle w:val="Paragraph"/>
              <w:numPr>
                <w:ilvl w:val="0"/>
                <w:numId w:val="27"/>
              </w:numPr>
              <w:spacing w:line="240" w:lineRule="auto"/>
              <w:rPr>
                <w:lang w:eastAsia="en-GB"/>
              </w:rPr>
            </w:pPr>
          </w:p>
        </w:tc>
        <w:tc>
          <w:tcPr>
            <w:tcW w:w="1757" w:type="dxa"/>
            <w:shd w:val="clear" w:color="auto" w:fill="auto"/>
          </w:tcPr>
          <w:p w14:paraId="4CA44ABA" w14:textId="0A4CF7A6" w:rsidR="00EA648C" w:rsidRPr="00A07AE3" w:rsidRDefault="00EA648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55D3AB98" w14:textId="45C5621D" w:rsidR="00EA648C" w:rsidRPr="00A07AE3" w:rsidRDefault="00EA648C" w:rsidP="00A07AE3">
            <w:pPr>
              <w:pStyle w:val="Paragraph"/>
              <w:spacing w:line="240" w:lineRule="auto"/>
              <w:rPr>
                <w:lang w:eastAsia="en-GB"/>
              </w:rPr>
            </w:pPr>
            <w:r w:rsidRPr="00A07AE3">
              <w:rPr>
                <w:rFonts w:cs="Arial"/>
                <w:color w:val="000000"/>
              </w:rPr>
              <w:t>Not specified</w:t>
            </w:r>
          </w:p>
        </w:tc>
        <w:tc>
          <w:tcPr>
            <w:tcW w:w="4682" w:type="dxa"/>
            <w:shd w:val="clear" w:color="auto" w:fill="auto"/>
          </w:tcPr>
          <w:p w14:paraId="346AC0E2" w14:textId="4051BEF6" w:rsidR="00EA648C" w:rsidRPr="00A07AE3" w:rsidRDefault="00EA648C" w:rsidP="00A07AE3">
            <w:pPr>
              <w:pStyle w:val="Paragraph"/>
              <w:spacing w:line="240" w:lineRule="auto"/>
              <w:rPr>
                <w:lang w:eastAsia="en-GB"/>
              </w:rPr>
            </w:pPr>
            <w:r w:rsidRPr="00A07AE3">
              <w:rPr>
                <w:rFonts w:cs="Arial"/>
                <w:color w:val="000000"/>
              </w:rPr>
              <w:t>In the EAG Assessment report page 153, it states that the EAG estimated that 26% of the population [infected ulcers] had completely healed at 4 weeks.</w:t>
            </w:r>
            <w:r w:rsidRPr="00A07AE3">
              <w:rPr>
                <w:rFonts w:cs="Arial"/>
                <w:color w:val="000000"/>
              </w:rPr>
              <w:br/>
            </w:r>
            <w:r w:rsidRPr="00A07AE3">
              <w:rPr>
                <w:rFonts w:cs="Arial"/>
                <w:color w:val="000000"/>
              </w:rPr>
              <w:br/>
              <w:t xml:space="preserve">This may be an overestimate since healing rates observed in clinical studies are often higher than those observed in clinical practice. At 4 weeks I would expect around 10% of infected ulcers to heal. For an indication, see Figure 4 Venous leg ulcer management in clinical practice in the UK: costs and outcomes. Int Wound J 2017; </w:t>
            </w:r>
            <w:proofErr w:type="spellStart"/>
            <w:r w:rsidRPr="00A07AE3">
              <w:rPr>
                <w:rFonts w:cs="Arial"/>
                <w:color w:val="000000"/>
              </w:rPr>
              <w:t>doi</w:t>
            </w:r>
            <w:proofErr w:type="spellEnd"/>
            <w:r w:rsidRPr="00A07AE3">
              <w:rPr>
                <w:rFonts w:cs="Arial"/>
                <w:color w:val="000000"/>
              </w:rPr>
              <w:t>: 10.1111/iwj.12814</w:t>
            </w:r>
          </w:p>
        </w:tc>
        <w:tc>
          <w:tcPr>
            <w:tcW w:w="4135" w:type="dxa"/>
          </w:tcPr>
          <w:p w14:paraId="7E766FB2" w14:textId="31C29CB5" w:rsidR="00EA648C" w:rsidRPr="00A07AE3" w:rsidRDefault="00A15942" w:rsidP="00A07AE3">
            <w:pPr>
              <w:pStyle w:val="Paragraph"/>
              <w:spacing w:line="240" w:lineRule="auto"/>
              <w:rPr>
                <w:lang w:eastAsia="en-GB"/>
              </w:rPr>
            </w:pPr>
            <w:r w:rsidRPr="00A07AE3">
              <w:rPr>
                <w:rFonts w:cs="Arial"/>
              </w:rPr>
              <w:t>Thank you for your comment, p</w:t>
            </w:r>
            <w:r w:rsidR="00EA648C" w:rsidRPr="00A07AE3">
              <w:rPr>
                <w:rFonts w:cs="Arial"/>
              </w:rPr>
              <w:t xml:space="preserve">lease see </w:t>
            </w:r>
            <w:r w:rsidRPr="00A07AE3">
              <w:rPr>
                <w:rFonts w:cs="Arial"/>
              </w:rPr>
              <w:t xml:space="preserve">response to </w:t>
            </w:r>
            <w:r w:rsidR="00EA648C" w:rsidRPr="00A07AE3">
              <w:rPr>
                <w:rFonts w:cs="Arial"/>
              </w:rPr>
              <w:t>comment 89.</w:t>
            </w:r>
          </w:p>
        </w:tc>
      </w:tr>
      <w:tr w:rsidR="00EA648C" w14:paraId="196F15A3" w14:textId="77777777" w:rsidTr="00A07AE3">
        <w:tc>
          <w:tcPr>
            <w:tcW w:w="1323" w:type="dxa"/>
          </w:tcPr>
          <w:p w14:paraId="66F3261F" w14:textId="77777777" w:rsidR="00EA648C" w:rsidRPr="00A07AE3" w:rsidRDefault="00EA648C" w:rsidP="00A07AE3">
            <w:pPr>
              <w:pStyle w:val="Paragraph"/>
              <w:numPr>
                <w:ilvl w:val="0"/>
                <w:numId w:val="27"/>
              </w:numPr>
              <w:spacing w:line="240" w:lineRule="auto"/>
              <w:rPr>
                <w:lang w:eastAsia="en-GB"/>
              </w:rPr>
            </w:pPr>
          </w:p>
        </w:tc>
        <w:tc>
          <w:tcPr>
            <w:tcW w:w="1757" w:type="dxa"/>
            <w:shd w:val="clear" w:color="auto" w:fill="auto"/>
          </w:tcPr>
          <w:p w14:paraId="190A6501" w14:textId="1B17C7B3" w:rsidR="00EA648C" w:rsidRPr="00A07AE3" w:rsidRDefault="00EA648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3ED1A6DD" w14:textId="7A54D9D1" w:rsidR="00EA648C" w:rsidRPr="00A07AE3" w:rsidRDefault="00EA648C" w:rsidP="00A07AE3">
            <w:pPr>
              <w:pStyle w:val="Paragraph"/>
              <w:spacing w:line="240" w:lineRule="auto"/>
              <w:rPr>
                <w:lang w:eastAsia="en-GB"/>
              </w:rPr>
            </w:pPr>
            <w:r w:rsidRPr="00A07AE3">
              <w:rPr>
                <w:rFonts w:cs="Arial"/>
                <w:color w:val="000000"/>
              </w:rPr>
              <w:t>3.11 Model inputs</w:t>
            </w:r>
          </w:p>
        </w:tc>
        <w:tc>
          <w:tcPr>
            <w:tcW w:w="4682" w:type="dxa"/>
            <w:shd w:val="clear" w:color="auto" w:fill="auto"/>
          </w:tcPr>
          <w:p w14:paraId="0BFB3B6A" w14:textId="2435252F" w:rsidR="00EA648C" w:rsidRPr="00A07AE3" w:rsidRDefault="00EA648C" w:rsidP="00A07AE3">
            <w:pPr>
              <w:pStyle w:val="Paragraph"/>
              <w:spacing w:line="240" w:lineRule="auto"/>
              <w:rPr>
                <w:lang w:eastAsia="en-GB"/>
              </w:rPr>
            </w:pPr>
            <w:r w:rsidRPr="00A07AE3">
              <w:rPr>
                <w:rFonts w:cs="Arial"/>
                <w:color w:val="000000"/>
              </w:rPr>
              <w:t>The ulcer healing rate is not linear over time.</w:t>
            </w:r>
          </w:p>
        </w:tc>
        <w:tc>
          <w:tcPr>
            <w:tcW w:w="4135" w:type="dxa"/>
          </w:tcPr>
          <w:p w14:paraId="4022FDCA" w14:textId="61155F4D" w:rsidR="00EA648C" w:rsidRPr="00A07AE3" w:rsidRDefault="00496F32" w:rsidP="00A07AE3">
            <w:pPr>
              <w:pStyle w:val="Paragraph"/>
              <w:spacing w:line="240" w:lineRule="auto"/>
              <w:rPr>
                <w:rFonts w:cs="Arial"/>
              </w:rPr>
            </w:pPr>
            <w:r w:rsidRPr="00A07AE3">
              <w:rPr>
                <w:rFonts w:cs="Arial"/>
              </w:rPr>
              <w:t>Thank you for your comment. T</w:t>
            </w:r>
            <w:r w:rsidR="001D3BA9" w:rsidRPr="00A07AE3">
              <w:rPr>
                <w:rFonts w:cs="Arial"/>
                <w:lang w:eastAsia="en-GB"/>
              </w:rPr>
              <w:t>h</w:t>
            </w:r>
            <w:r w:rsidR="00445380" w:rsidRPr="00A07AE3">
              <w:rPr>
                <w:rFonts w:cs="Arial"/>
                <w:lang w:eastAsia="en-GB"/>
              </w:rPr>
              <w:t xml:space="preserve">e EAG did not apply this </w:t>
            </w:r>
            <w:r w:rsidR="001D3BA9" w:rsidRPr="00A07AE3">
              <w:rPr>
                <w:rFonts w:cs="Arial"/>
                <w:lang w:eastAsia="en-GB"/>
              </w:rPr>
              <w:t>assumption in the model. Instead, the</w:t>
            </w:r>
            <w:r w:rsidR="00445380" w:rsidRPr="00A07AE3">
              <w:rPr>
                <w:rFonts w:cs="Arial"/>
                <w:lang w:eastAsia="en-GB"/>
              </w:rPr>
              <w:t xml:space="preserve"> EAG used </w:t>
            </w:r>
            <w:r w:rsidR="001D3BA9" w:rsidRPr="00A07AE3">
              <w:rPr>
                <w:rFonts w:cs="Arial"/>
                <w:lang w:eastAsia="en-GB"/>
              </w:rPr>
              <w:t xml:space="preserve">uses </w:t>
            </w:r>
            <w:r w:rsidR="001D3BA9" w:rsidRPr="00A07AE3">
              <w:rPr>
                <w:rFonts w:cs="Arial"/>
              </w:rPr>
              <w:t xml:space="preserve">real world, published evidence from the UK to inform the percentage of leg ulcers that healed at any point in time </w:t>
            </w:r>
            <w:r w:rsidR="00445380" w:rsidRPr="00A07AE3">
              <w:rPr>
                <w:rFonts w:cs="Arial"/>
              </w:rPr>
              <w:t xml:space="preserve">to inform their model </w:t>
            </w:r>
            <w:r w:rsidR="001D3BA9" w:rsidRPr="00A07AE3">
              <w:rPr>
                <w:rFonts w:cs="Arial"/>
              </w:rPr>
              <w:t>(please see Section 7.2.3.1</w:t>
            </w:r>
            <w:r w:rsidR="00445380" w:rsidRPr="00A07AE3">
              <w:rPr>
                <w:rFonts w:cs="Arial"/>
              </w:rPr>
              <w:t xml:space="preserve"> of the EAR for further details</w:t>
            </w:r>
            <w:r w:rsidR="001D3BA9" w:rsidRPr="00A07AE3">
              <w:rPr>
                <w:rFonts w:cs="Arial"/>
              </w:rPr>
              <w:t xml:space="preserve">). </w:t>
            </w:r>
          </w:p>
        </w:tc>
      </w:tr>
      <w:tr w:rsidR="00375ABB" w14:paraId="1F788176" w14:textId="77777777" w:rsidTr="00A07AE3">
        <w:tc>
          <w:tcPr>
            <w:tcW w:w="1323" w:type="dxa"/>
          </w:tcPr>
          <w:p w14:paraId="559DCD3B" w14:textId="77777777" w:rsidR="00375ABB" w:rsidRPr="00A07AE3" w:rsidRDefault="00375ABB" w:rsidP="00A07AE3">
            <w:pPr>
              <w:pStyle w:val="Paragraph"/>
              <w:numPr>
                <w:ilvl w:val="0"/>
                <w:numId w:val="27"/>
              </w:numPr>
              <w:spacing w:line="240" w:lineRule="auto"/>
              <w:rPr>
                <w:lang w:eastAsia="en-GB"/>
              </w:rPr>
            </w:pPr>
          </w:p>
        </w:tc>
        <w:tc>
          <w:tcPr>
            <w:tcW w:w="1757" w:type="dxa"/>
            <w:shd w:val="clear" w:color="auto" w:fill="auto"/>
          </w:tcPr>
          <w:p w14:paraId="21D7210F" w14:textId="25E03219" w:rsidR="00375ABB" w:rsidRPr="00A07AE3" w:rsidRDefault="00375ABB"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51" w:type="dxa"/>
            <w:shd w:val="clear" w:color="auto" w:fill="auto"/>
          </w:tcPr>
          <w:p w14:paraId="551C0102" w14:textId="24EEC180" w:rsidR="00375ABB" w:rsidRPr="00A07AE3" w:rsidRDefault="00375ABB" w:rsidP="00A07AE3">
            <w:pPr>
              <w:pStyle w:val="Paragraph"/>
              <w:spacing w:line="240" w:lineRule="auto"/>
              <w:rPr>
                <w:lang w:eastAsia="en-GB"/>
              </w:rPr>
            </w:pPr>
            <w:r w:rsidRPr="00A07AE3">
              <w:rPr>
                <w:rFonts w:cs="Arial"/>
                <w:color w:val="000000"/>
              </w:rPr>
              <w:t>Not specified</w:t>
            </w:r>
          </w:p>
        </w:tc>
        <w:tc>
          <w:tcPr>
            <w:tcW w:w="4682" w:type="dxa"/>
            <w:shd w:val="clear" w:color="auto" w:fill="auto"/>
          </w:tcPr>
          <w:p w14:paraId="2E5F8B49" w14:textId="00AE96F9" w:rsidR="00375ABB" w:rsidRPr="00A07AE3" w:rsidRDefault="00375ABB" w:rsidP="00A07AE3">
            <w:pPr>
              <w:pStyle w:val="Paragraph"/>
              <w:spacing w:line="240" w:lineRule="auto"/>
              <w:rPr>
                <w:lang w:eastAsia="en-GB"/>
              </w:rPr>
            </w:pPr>
            <w:r w:rsidRPr="00A07AE3">
              <w:rPr>
                <w:rFonts w:cs="Arial"/>
                <w:color w:val="000000"/>
              </w:rPr>
              <w:t xml:space="preserve">The addendum to the assessment report contains an error in the way the Harding paper was analysed. The authors misunderstood the products being used. They believed it to be 8 weeks of silver dressings (4 weeks of </w:t>
            </w:r>
            <w:proofErr w:type="spellStart"/>
            <w:r w:rsidRPr="00A07AE3">
              <w:rPr>
                <w:rFonts w:cs="Arial"/>
                <w:color w:val="000000"/>
              </w:rPr>
              <w:t>Aquacel</w:t>
            </w:r>
            <w:proofErr w:type="spellEnd"/>
            <w:r w:rsidRPr="00A07AE3">
              <w:rPr>
                <w:rFonts w:cs="Arial"/>
                <w:color w:val="000000"/>
              </w:rPr>
              <w:t xml:space="preserve"> Ag+ dressings, followed by 4 weeks of </w:t>
            </w:r>
            <w:proofErr w:type="spellStart"/>
            <w:r w:rsidRPr="00A07AE3">
              <w:rPr>
                <w:rFonts w:cs="Arial"/>
                <w:color w:val="000000"/>
              </w:rPr>
              <w:t>Aquacel</w:t>
            </w:r>
            <w:proofErr w:type="spellEnd"/>
            <w:r w:rsidRPr="00A07AE3">
              <w:rPr>
                <w:rFonts w:cs="Arial"/>
                <w:color w:val="000000"/>
              </w:rPr>
              <w:t xml:space="preserve"> Ag dressings). This is not correct. The study shows 4 weeks of </w:t>
            </w:r>
            <w:proofErr w:type="spellStart"/>
            <w:r w:rsidRPr="00A07AE3">
              <w:rPr>
                <w:rFonts w:cs="Arial"/>
                <w:color w:val="000000"/>
              </w:rPr>
              <w:t>Aquacel</w:t>
            </w:r>
            <w:proofErr w:type="spellEnd"/>
            <w:r w:rsidRPr="00A07AE3">
              <w:rPr>
                <w:rFonts w:cs="Arial"/>
                <w:color w:val="000000"/>
              </w:rPr>
              <w:t xml:space="preserve"> Ag+ dressing followed by 4 weeks of </w:t>
            </w:r>
            <w:proofErr w:type="spellStart"/>
            <w:r w:rsidRPr="00A07AE3">
              <w:rPr>
                <w:rFonts w:cs="Arial"/>
                <w:color w:val="000000"/>
              </w:rPr>
              <w:t>Aquacel</w:t>
            </w:r>
            <w:proofErr w:type="spellEnd"/>
            <w:r w:rsidRPr="00A07AE3">
              <w:rPr>
                <w:rFonts w:cs="Arial"/>
                <w:color w:val="000000"/>
              </w:rPr>
              <w:t xml:space="preserve"> dressings (simple gelling fibre dressings, not anti-infective). </w:t>
            </w:r>
            <w:r w:rsidRPr="00A07AE3">
              <w:rPr>
                <w:rFonts w:cs="Arial"/>
                <w:color w:val="000000"/>
              </w:rPr>
              <w:br/>
              <w:t xml:space="preserve">This means the data is not reflected of "the healing rate when 2 different silver sub-agents are applied" as reported by the </w:t>
            </w:r>
            <w:proofErr w:type="gramStart"/>
            <w:r w:rsidRPr="00A07AE3">
              <w:rPr>
                <w:rFonts w:cs="Arial"/>
                <w:color w:val="000000"/>
              </w:rPr>
              <w:t>EAG  report</w:t>
            </w:r>
            <w:proofErr w:type="gramEnd"/>
            <w:r w:rsidRPr="00A07AE3">
              <w:rPr>
                <w:rFonts w:cs="Arial"/>
                <w:color w:val="000000"/>
              </w:rPr>
              <w:t xml:space="preserve"> authors. </w:t>
            </w:r>
            <w:proofErr w:type="gramStart"/>
            <w:r w:rsidRPr="00A07AE3">
              <w:rPr>
                <w:rFonts w:cs="Arial"/>
                <w:color w:val="000000"/>
              </w:rPr>
              <w:t>Instead</w:t>
            </w:r>
            <w:proofErr w:type="gramEnd"/>
            <w:r w:rsidRPr="00A07AE3">
              <w:rPr>
                <w:rFonts w:cs="Arial"/>
                <w:color w:val="000000"/>
              </w:rPr>
              <w:t xml:space="preserve"> Harding shows the </w:t>
            </w:r>
            <w:proofErr w:type="gramStart"/>
            <w:r w:rsidRPr="00A07AE3">
              <w:rPr>
                <w:rFonts w:cs="Arial"/>
                <w:color w:val="000000"/>
              </w:rPr>
              <w:t>8 week</w:t>
            </w:r>
            <w:proofErr w:type="gramEnd"/>
            <w:r w:rsidRPr="00A07AE3">
              <w:rPr>
                <w:rFonts w:cs="Arial"/>
                <w:color w:val="000000"/>
              </w:rPr>
              <w:t xml:space="preserve"> healing rate of 4 weeks of silver with antibiofilm mechanisms followed by 4 weeks of no anti-infective dressings. As such, the analyses within the addendum regarding Harding should be corrected.</w:t>
            </w:r>
          </w:p>
        </w:tc>
        <w:tc>
          <w:tcPr>
            <w:tcW w:w="4135" w:type="dxa"/>
          </w:tcPr>
          <w:p w14:paraId="45DE0AFF" w14:textId="3A38F4FB" w:rsidR="001D3BA9" w:rsidRPr="00A07AE3" w:rsidRDefault="001D3BA9" w:rsidP="00A07AE3">
            <w:pPr>
              <w:pStyle w:val="Paragraph"/>
              <w:spacing w:line="240" w:lineRule="auto"/>
              <w:rPr>
                <w:rFonts w:cs="Arial"/>
                <w:lang w:eastAsia="en-GB"/>
              </w:rPr>
            </w:pPr>
            <w:r w:rsidRPr="00A07AE3">
              <w:rPr>
                <w:rFonts w:cs="Arial"/>
                <w:lang w:eastAsia="en-GB"/>
              </w:rPr>
              <w:t xml:space="preserve">Thank you for </w:t>
            </w:r>
            <w:r w:rsidR="00C7578F" w:rsidRPr="00A07AE3">
              <w:rPr>
                <w:rFonts w:cs="Arial"/>
                <w:lang w:eastAsia="en-GB"/>
              </w:rPr>
              <w:t xml:space="preserve">your comment. The EAG have acknowledged this error </w:t>
            </w:r>
            <w:r w:rsidRPr="00A07AE3">
              <w:rPr>
                <w:rFonts w:cs="Arial"/>
                <w:lang w:eastAsia="en-GB"/>
              </w:rPr>
              <w:t>in the first addendum</w:t>
            </w:r>
            <w:r w:rsidR="00C7578F" w:rsidRPr="00A07AE3">
              <w:rPr>
                <w:rFonts w:cs="Arial"/>
                <w:lang w:eastAsia="en-GB"/>
              </w:rPr>
              <w:t xml:space="preserve"> and </w:t>
            </w:r>
            <w:r w:rsidRPr="00A07AE3">
              <w:rPr>
                <w:rFonts w:cs="Arial"/>
                <w:lang w:eastAsia="en-GB"/>
              </w:rPr>
              <w:t>have listed the correct information in the second addendum.</w:t>
            </w:r>
          </w:p>
          <w:p w14:paraId="226F3607" w14:textId="6E421A7B" w:rsidR="00375ABB" w:rsidRPr="00A07AE3" w:rsidRDefault="008249D2" w:rsidP="00A07AE3">
            <w:pPr>
              <w:pStyle w:val="Paragraph"/>
              <w:spacing w:line="240" w:lineRule="auto"/>
              <w:rPr>
                <w:rFonts w:cs="Arial"/>
                <w:lang w:eastAsia="en-GB"/>
              </w:rPr>
            </w:pPr>
            <w:r w:rsidRPr="00A07AE3">
              <w:rPr>
                <w:lang w:eastAsia="en-GB"/>
              </w:rPr>
              <w:t xml:space="preserve">In the second addendum the EAG used </w:t>
            </w:r>
            <w:proofErr w:type="spellStart"/>
            <w:r w:rsidRPr="00A07AE3">
              <w:rPr>
                <w:lang w:eastAsia="en-GB"/>
              </w:rPr>
              <w:t>Torkington</w:t>
            </w:r>
            <w:proofErr w:type="spellEnd"/>
            <w:r w:rsidRPr="00A07AE3">
              <w:rPr>
                <w:lang w:eastAsia="en-GB"/>
              </w:rPr>
              <w:t xml:space="preserve">-Stokes et al. (2024) to inform the efficacy of ionic silver with anti-biofilm mechanisms. </w:t>
            </w:r>
            <w:r w:rsidR="00782DF1" w:rsidRPr="00A07AE3">
              <w:rPr>
                <w:rFonts w:cs="Arial"/>
                <w:lang w:eastAsia="en-GB"/>
              </w:rPr>
              <w:t>T</w:t>
            </w:r>
            <w:r w:rsidR="00782DF1" w:rsidRPr="00A07AE3">
              <w:rPr>
                <w:lang w:eastAsia="en-GB"/>
              </w:rPr>
              <w:t xml:space="preserve">he </w:t>
            </w:r>
            <w:r w:rsidR="00C7578F" w:rsidRPr="00A07AE3">
              <w:rPr>
                <w:lang w:eastAsia="en-GB"/>
              </w:rPr>
              <w:t xml:space="preserve">EAG’s </w:t>
            </w:r>
            <w:r w:rsidR="00782DF1" w:rsidRPr="00A07AE3">
              <w:rPr>
                <w:lang w:eastAsia="en-GB"/>
              </w:rPr>
              <w:t xml:space="preserve">analysis in the second addendum used the healing rate over the first 4 weeks to inform the efficacy (the </w:t>
            </w:r>
            <w:proofErr w:type="gramStart"/>
            <w:r w:rsidR="00782DF1" w:rsidRPr="00A07AE3">
              <w:rPr>
                <w:lang w:eastAsia="en-GB"/>
              </w:rPr>
              <w:t>period of time</w:t>
            </w:r>
            <w:proofErr w:type="gramEnd"/>
            <w:r w:rsidR="00782DF1" w:rsidRPr="00A07AE3">
              <w:rPr>
                <w:lang w:eastAsia="en-GB"/>
              </w:rPr>
              <w:t xml:space="preserve"> people was on ionic silver with antibiofilm mechanisms). This change will, therefore, not impact the overall outcomes.</w:t>
            </w:r>
            <w:r w:rsidR="00EA4FB8" w:rsidRPr="00A07AE3">
              <w:rPr>
                <w:lang w:eastAsia="en-GB"/>
              </w:rPr>
              <w:t xml:space="preserve"> </w:t>
            </w:r>
          </w:p>
        </w:tc>
      </w:tr>
      <w:tr w:rsidR="00CB79EE" w14:paraId="2739F386" w14:textId="77777777" w:rsidTr="00A07AE3">
        <w:tc>
          <w:tcPr>
            <w:tcW w:w="1323" w:type="dxa"/>
          </w:tcPr>
          <w:p w14:paraId="0FD20803" w14:textId="77777777" w:rsidR="00CB79EE" w:rsidRPr="00A07AE3" w:rsidRDefault="00CB79EE" w:rsidP="00A07AE3">
            <w:pPr>
              <w:pStyle w:val="Paragraph"/>
              <w:numPr>
                <w:ilvl w:val="0"/>
                <w:numId w:val="27"/>
              </w:numPr>
              <w:spacing w:line="240" w:lineRule="auto"/>
              <w:rPr>
                <w:lang w:eastAsia="en-GB"/>
              </w:rPr>
            </w:pPr>
          </w:p>
        </w:tc>
        <w:tc>
          <w:tcPr>
            <w:tcW w:w="1757" w:type="dxa"/>
            <w:shd w:val="clear" w:color="auto" w:fill="auto"/>
          </w:tcPr>
          <w:p w14:paraId="078A0A99" w14:textId="3B3B5F77" w:rsidR="00CB79EE" w:rsidRPr="00A07AE3" w:rsidRDefault="00CB79EE"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51" w:type="dxa"/>
            <w:shd w:val="clear" w:color="auto" w:fill="auto"/>
          </w:tcPr>
          <w:p w14:paraId="55C54933" w14:textId="6FCA2D0C" w:rsidR="00CB79EE" w:rsidRPr="00A07AE3" w:rsidRDefault="00CB79EE" w:rsidP="00A07AE3">
            <w:pPr>
              <w:pStyle w:val="Paragraph"/>
              <w:spacing w:line="240" w:lineRule="auto"/>
              <w:rPr>
                <w:rFonts w:cs="Arial"/>
                <w:color w:val="000000"/>
              </w:rPr>
            </w:pPr>
            <w:r w:rsidRPr="00A07AE3">
              <w:rPr>
                <w:rFonts w:cs="Arial"/>
                <w:color w:val="000000"/>
              </w:rPr>
              <w:t>EAR</w:t>
            </w:r>
          </w:p>
        </w:tc>
        <w:tc>
          <w:tcPr>
            <w:tcW w:w="4682" w:type="dxa"/>
            <w:shd w:val="clear" w:color="auto" w:fill="auto"/>
          </w:tcPr>
          <w:p w14:paraId="5A339C93" w14:textId="77777777" w:rsidR="00FD6C93" w:rsidRPr="00A07AE3" w:rsidRDefault="00CB79EE" w:rsidP="00A07AE3">
            <w:pPr>
              <w:pStyle w:val="Paragraph"/>
              <w:spacing w:line="240" w:lineRule="auto"/>
              <w:rPr>
                <w:rFonts w:cs="Arial"/>
                <w:color w:val="000000"/>
              </w:rPr>
            </w:pPr>
            <w:r w:rsidRPr="00A07AE3">
              <w:rPr>
                <w:rFonts w:cs="Arial"/>
                <w:color w:val="000000"/>
              </w:rPr>
              <w:t>Economic model assessed healing rate at 4 and 12 weeks;</w:t>
            </w:r>
            <w:r w:rsidRPr="00A07AE3">
              <w:rPr>
                <w:rFonts w:cs="Arial"/>
                <w:color w:val="000000"/>
              </w:rPr>
              <w:br/>
              <w:t xml:space="preserve">• How is this a feasible endpoint for VLU? </w:t>
            </w:r>
          </w:p>
          <w:p w14:paraId="78C01460" w14:textId="77777777" w:rsidR="00E53630" w:rsidRPr="00A07AE3" w:rsidRDefault="00E53630" w:rsidP="00A07AE3">
            <w:pPr>
              <w:pStyle w:val="Paragraph"/>
              <w:spacing w:line="240" w:lineRule="auto"/>
              <w:rPr>
                <w:rFonts w:cs="Arial"/>
                <w:color w:val="000000"/>
              </w:rPr>
            </w:pPr>
          </w:p>
          <w:p w14:paraId="749CF7E9" w14:textId="0BF608E6" w:rsidR="00FD6C93" w:rsidRPr="00A07AE3" w:rsidRDefault="00CB79EE" w:rsidP="00A07AE3">
            <w:pPr>
              <w:pStyle w:val="Paragraph"/>
              <w:spacing w:line="240" w:lineRule="auto"/>
              <w:rPr>
                <w:rFonts w:cs="Arial"/>
                <w:color w:val="000000"/>
              </w:rPr>
            </w:pPr>
            <w:r w:rsidRPr="00A07AE3">
              <w:rPr>
                <w:rFonts w:cs="Arial"/>
                <w:color w:val="000000"/>
              </w:rPr>
              <w:lastRenderedPageBreak/>
              <w:br/>
              <w:t xml:space="preserve">• We know healing rates are much slower even with advanced therapies </w:t>
            </w:r>
          </w:p>
          <w:p w14:paraId="0C961D85" w14:textId="090A8BAC" w:rsidR="00CB79EE" w:rsidRPr="00A07AE3" w:rsidRDefault="00CB79EE" w:rsidP="00A07AE3">
            <w:pPr>
              <w:pStyle w:val="Paragraph"/>
              <w:spacing w:line="240" w:lineRule="auto"/>
              <w:rPr>
                <w:rFonts w:cs="Arial"/>
                <w:color w:val="000000"/>
              </w:rPr>
            </w:pPr>
            <w:r w:rsidRPr="00A07AE3">
              <w:rPr>
                <w:rFonts w:cs="Arial"/>
                <w:color w:val="000000"/>
              </w:rPr>
              <w:br/>
              <w:t xml:space="preserve">• The Model should include PAR also </w:t>
            </w:r>
            <w:r w:rsidRPr="00A07AE3">
              <w:rPr>
                <w:rFonts w:cs="Arial"/>
                <w:color w:val="000000"/>
              </w:rPr>
              <w:br/>
              <w:t>See Guest 20181 showed 53% healing rate for VLU in 12 months. Cost of treating a non-infected wound 69% less than infected wound</w:t>
            </w:r>
          </w:p>
        </w:tc>
        <w:tc>
          <w:tcPr>
            <w:tcW w:w="4135" w:type="dxa"/>
          </w:tcPr>
          <w:p w14:paraId="07742366" w14:textId="6E5D99A0" w:rsidR="00EA648C" w:rsidRPr="00A07AE3" w:rsidRDefault="00EA648C" w:rsidP="00A07AE3">
            <w:pPr>
              <w:pStyle w:val="Paragraph"/>
              <w:spacing w:line="240" w:lineRule="auto"/>
              <w:rPr>
                <w:rFonts w:cs="Arial"/>
                <w:lang w:eastAsia="en-GB"/>
              </w:rPr>
            </w:pPr>
            <w:r w:rsidRPr="00A07AE3">
              <w:rPr>
                <w:rFonts w:cs="Arial"/>
                <w:lang w:eastAsia="en-GB"/>
              </w:rPr>
              <w:lastRenderedPageBreak/>
              <w:t>Thank you for your comment.</w:t>
            </w:r>
            <w:r w:rsidR="004B46CE" w:rsidRPr="00A07AE3">
              <w:rPr>
                <w:rFonts w:cs="Arial"/>
                <w:lang w:eastAsia="en-GB"/>
              </w:rPr>
              <w:t xml:space="preserve"> The EAG used </w:t>
            </w:r>
            <w:r w:rsidRPr="00A07AE3">
              <w:rPr>
                <w:rFonts w:cs="Arial"/>
                <w:lang w:eastAsia="en-GB"/>
              </w:rPr>
              <w:t xml:space="preserve">healing rate and other VLU outcomes </w:t>
            </w:r>
            <w:r w:rsidR="00FD6C93" w:rsidRPr="00A07AE3">
              <w:rPr>
                <w:rFonts w:cs="Arial"/>
                <w:lang w:eastAsia="en-GB"/>
              </w:rPr>
              <w:t xml:space="preserve">that </w:t>
            </w:r>
            <w:r w:rsidRPr="00A07AE3">
              <w:rPr>
                <w:rFonts w:cs="Arial"/>
                <w:lang w:eastAsia="en-GB"/>
              </w:rPr>
              <w:t xml:space="preserve">were informed from a recent core outcome set developed for leg ulcers (Hallas </w:t>
            </w:r>
            <w:r w:rsidRPr="00A07AE3">
              <w:rPr>
                <w:rFonts w:cs="Arial"/>
                <w:lang w:eastAsia="en-GB"/>
              </w:rPr>
              <w:lastRenderedPageBreak/>
              <w:t xml:space="preserve">2024). Please see the NICE scope for more information. </w:t>
            </w:r>
          </w:p>
          <w:p w14:paraId="0D7EB1BC" w14:textId="78CAF460" w:rsidR="00EA648C" w:rsidRPr="00A07AE3" w:rsidRDefault="00307C80" w:rsidP="00A07AE3">
            <w:pPr>
              <w:pStyle w:val="Paragraph"/>
              <w:spacing w:line="240" w:lineRule="auto"/>
              <w:rPr>
                <w:rFonts w:cs="Arial"/>
                <w:lang w:eastAsia="en-GB"/>
              </w:rPr>
            </w:pPr>
            <w:r w:rsidRPr="00A07AE3">
              <w:rPr>
                <w:rFonts w:cs="Arial"/>
                <w:lang w:eastAsia="en-GB"/>
              </w:rPr>
              <w:t xml:space="preserve">The EAG’s model did </w:t>
            </w:r>
            <w:r w:rsidR="00EA648C" w:rsidRPr="00A07AE3">
              <w:rPr>
                <w:rFonts w:cs="Arial"/>
                <w:lang w:eastAsia="en-GB"/>
              </w:rPr>
              <w:t xml:space="preserve">not assume that 100% of people healed. </w:t>
            </w:r>
            <w:r w:rsidRPr="00A07AE3">
              <w:rPr>
                <w:rFonts w:cs="Arial"/>
                <w:lang w:eastAsia="en-GB"/>
              </w:rPr>
              <w:t>For further details p</w:t>
            </w:r>
            <w:r w:rsidR="00EA648C" w:rsidRPr="00A07AE3">
              <w:rPr>
                <w:rFonts w:cs="Arial"/>
                <w:lang w:eastAsia="en-GB"/>
              </w:rPr>
              <w:t xml:space="preserve">lease see comment 91. </w:t>
            </w:r>
          </w:p>
          <w:p w14:paraId="75F731AF" w14:textId="35B3AA9C" w:rsidR="00CB79EE" w:rsidRPr="00A07AE3" w:rsidRDefault="00EA648C" w:rsidP="00A07AE3">
            <w:pPr>
              <w:pStyle w:val="Paragraph"/>
              <w:spacing w:line="240" w:lineRule="auto"/>
              <w:rPr>
                <w:lang w:eastAsia="en-GB"/>
              </w:rPr>
            </w:pPr>
            <w:r w:rsidRPr="00A07AE3">
              <w:rPr>
                <w:rFonts w:cs="Arial"/>
                <w:lang w:eastAsia="en-GB"/>
              </w:rPr>
              <w:t xml:space="preserve">Please see </w:t>
            </w:r>
            <w:r w:rsidR="00307C80" w:rsidRPr="00A07AE3">
              <w:rPr>
                <w:rFonts w:cs="Arial"/>
                <w:lang w:eastAsia="en-GB"/>
              </w:rPr>
              <w:t xml:space="preserve">response to </w:t>
            </w:r>
            <w:r w:rsidRPr="00A07AE3">
              <w:rPr>
                <w:rFonts w:cs="Arial"/>
                <w:lang w:eastAsia="en-GB"/>
              </w:rPr>
              <w:t>comment 73 for more information on the cost of an infected, unhealed wound.</w:t>
            </w:r>
          </w:p>
        </w:tc>
      </w:tr>
    </w:tbl>
    <w:p w14:paraId="33B77E8F" w14:textId="77777777" w:rsidR="003B2E11" w:rsidRDefault="003B2E11" w:rsidP="003B2E11">
      <w:pPr>
        <w:pStyle w:val="Heading1"/>
        <w:spacing w:line="240" w:lineRule="auto"/>
      </w:pPr>
      <w:r>
        <w:lastRenderedPageBreak/>
        <w:t>Table 14: health economic evaluation, assumption of infection resolution rate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757"/>
        <w:gridCol w:w="2051"/>
        <w:gridCol w:w="4682"/>
        <w:gridCol w:w="4135"/>
      </w:tblGrid>
      <w:tr w:rsidR="00F06BB6" w14:paraId="13F310A5" w14:textId="77777777" w:rsidTr="00A07AE3">
        <w:tc>
          <w:tcPr>
            <w:tcW w:w="1323" w:type="dxa"/>
            <w:shd w:val="clear" w:color="auto" w:fill="D9D9D9" w:themeFill="background1" w:themeFillShade="D9"/>
          </w:tcPr>
          <w:p w14:paraId="1CFB49D3" w14:textId="1F09D2B2" w:rsidR="00F06BB6" w:rsidRPr="00A07AE3" w:rsidRDefault="00F06BB6" w:rsidP="00A07AE3">
            <w:pPr>
              <w:pStyle w:val="Paragraph"/>
              <w:spacing w:line="240" w:lineRule="auto"/>
              <w:rPr>
                <w:lang w:eastAsia="en-GB"/>
              </w:rPr>
            </w:pPr>
            <w:r w:rsidRPr="00A07AE3">
              <w:rPr>
                <w:b/>
                <w:bCs/>
                <w:lang w:eastAsia="en-GB"/>
              </w:rPr>
              <w:t>Comment no.</w:t>
            </w:r>
          </w:p>
        </w:tc>
        <w:tc>
          <w:tcPr>
            <w:tcW w:w="1757" w:type="dxa"/>
            <w:shd w:val="clear" w:color="auto" w:fill="D9D9D9" w:themeFill="background1" w:themeFillShade="D9"/>
          </w:tcPr>
          <w:p w14:paraId="6F4BED4E" w14:textId="56E4AD23"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51" w:type="dxa"/>
            <w:shd w:val="clear" w:color="auto" w:fill="D9D9D9" w:themeFill="background1" w:themeFillShade="D9"/>
          </w:tcPr>
          <w:p w14:paraId="4EDBB861" w14:textId="1DD2F394" w:rsidR="00F06BB6" w:rsidRPr="00A07AE3" w:rsidRDefault="00F06BB6" w:rsidP="00A07AE3">
            <w:pPr>
              <w:pStyle w:val="Paragraph"/>
              <w:spacing w:line="240" w:lineRule="auto"/>
              <w:rPr>
                <w:rFonts w:cs="Arial"/>
                <w:color w:val="000000"/>
              </w:rPr>
            </w:pPr>
            <w:r w:rsidRPr="00A07AE3">
              <w:rPr>
                <w:b/>
                <w:bCs/>
                <w:lang w:eastAsia="en-GB"/>
              </w:rPr>
              <w:t>Section no.</w:t>
            </w:r>
          </w:p>
        </w:tc>
        <w:tc>
          <w:tcPr>
            <w:tcW w:w="4682" w:type="dxa"/>
            <w:shd w:val="clear" w:color="auto" w:fill="D9D9D9" w:themeFill="background1" w:themeFillShade="D9"/>
          </w:tcPr>
          <w:p w14:paraId="5E3D4292" w14:textId="40D742C4" w:rsidR="00F06BB6" w:rsidRPr="00A07AE3" w:rsidRDefault="00F06BB6" w:rsidP="00A07AE3">
            <w:pPr>
              <w:pStyle w:val="Paragraph"/>
              <w:spacing w:line="240" w:lineRule="auto"/>
              <w:rPr>
                <w:rFonts w:cs="Arial"/>
                <w:color w:val="000000"/>
              </w:rPr>
            </w:pPr>
            <w:r w:rsidRPr="00A07AE3">
              <w:rPr>
                <w:b/>
                <w:bCs/>
                <w:lang w:eastAsia="en-GB"/>
              </w:rPr>
              <w:t>Comment</w:t>
            </w:r>
          </w:p>
        </w:tc>
        <w:tc>
          <w:tcPr>
            <w:tcW w:w="4135" w:type="dxa"/>
            <w:shd w:val="clear" w:color="auto" w:fill="D9D9D9" w:themeFill="background1" w:themeFillShade="D9"/>
          </w:tcPr>
          <w:p w14:paraId="6F2FB301" w14:textId="1D29366B" w:rsidR="00F06BB6" w:rsidRPr="00A07AE3" w:rsidRDefault="00F06BB6" w:rsidP="00A07AE3">
            <w:pPr>
              <w:pStyle w:val="Paragraph"/>
              <w:spacing w:line="240" w:lineRule="auto"/>
              <w:rPr>
                <w:lang w:eastAsia="en-GB"/>
              </w:rPr>
            </w:pPr>
            <w:r w:rsidRPr="00A07AE3">
              <w:rPr>
                <w:b/>
                <w:bCs/>
                <w:lang w:eastAsia="en-GB"/>
              </w:rPr>
              <w:t>Response</w:t>
            </w:r>
          </w:p>
        </w:tc>
      </w:tr>
      <w:tr w:rsidR="00575A8F" w14:paraId="4F80F032" w14:textId="77777777" w:rsidTr="00A07AE3">
        <w:tc>
          <w:tcPr>
            <w:tcW w:w="1323" w:type="dxa"/>
          </w:tcPr>
          <w:p w14:paraId="6D0B5A51" w14:textId="77777777" w:rsidR="00575A8F" w:rsidRPr="00A07AE3" w:rsidRDefault="00575A8F" w:rsidP="00A07AE3">
            <w:pPr>
              <w:pStyle w:val="Paragraph"/>
              <w:numPr>
                <w:ilvl w:val="0"/>
                <w:numId w:val="27"/>
              </w:numPr>
              <w:spacing w:line="240" w:lineRule="auto"/>
              <w:rPr>
                <w:lang w:eastAsia="en-GB"/>
              </w:rPr>
            </w:pPr>
          </w:p>
        </w:tc>
        <w:tc>
          <w:tcPr>
            <w:tcW w:w="1757" w:type="dxa"/>
            <w:shd w:val="clear" w:color="auto" w:fill="auto"/>
          </w:tcPr>
          <w:p w14:paraId="6794B615" w14:textId="760AEE17" w:rsidR="00575A8F" w:rsidRPr="00A07AE3" w:rsidRDefault="00575A8F"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51" w:type="dxa"/>
            <w:shd w:val="clear" w:color="auto" w:fill="auto"/>
          </w:tcPr>
          <w:p w14:paraId="4F1A29C1" w14:textId="1C5CE9FC" w:rsidR="00575A8F" w:rsidRPr="00A07AE3" w:rsidRDefault="00575A8F" w:rsidP="00A07AE3">
            <w:pPr>
              <w:pStyle w:val="Paragraph"/>
              <w:spacing w:line="240" w:lineRule="auto"/>
              <w:rPr>
                <w:lang w:eastAsia="en-GB"/>
              </w:rPr>
            </w:pPr>
            <w:r w:rsidRPr="00A07AE3">
              <w:rPr>
                <w:rFonts w:cs="Arial"/>
                <w:color w:val="000000"/>
              </w:rPr>
              <w:t>3.11 Model inputs</w:t>
            </w:r>
          </w:p>
        </w:tc>
        <w:tc>
          <w:tcPr>
            <w:tcW w:w="4682" w:type="dxa"/>
            <w:shd w:val="clear" w:color="auto" w:fill="auto"/>
          </w:tcPr>
          <w:p w14:paraId="39C0C10F" w14:textId="33892551" w:rsidR="00575A8F" w:rsidRPr="00A07AE3" w:rsidRDefault="00575A8F" w:rsidP="00A07AE3">
            <w:pPr>
              <w:pStyle w:val="Paragraph"/>
              <w:spacing w:line="240" w:lineRule="auto"/>
              <w:rPr>
                <w:lang w:eastAsia="en-GB"/>
              </w:rPr>
            </w:pPr>
            <w:r w:rsidRPr="00A07AE3">
              <w:rPr>
                <w:rFonts w:cs="Arial"/>
                <w:color w:val="000000"/>
              </w:rPr>
              <w:t>Infection delays wound healing but once infection is resolved is doesn't necessarily mean the wound will heal</w:t>
            </w:r>
          </w:p>
        </w:tc>
        <w:tc>
          <w:tcPr>
            <w:tcW w:w="4135" w:type="dxa"/>
          </w:tcPr>
          <w:p w14:paraId="32BB1E2A" w14:textId="6251FB9E" w:rsidR="00575A8F" w:rsidRPr="00A07AE3" w:rsidRDefault="00EA648C" w:rsidP="00A07AE3">
            <w:pPr>
              <w:pStyle w:val="Paragraph"/>
              <w:spacing w:line="240" w:lineRule="auto"/>
              <w:rPr>
                <w:lang w:eastAsia="en-GB"/>
              </w:rPr>
            </w:pPr>
            <w:r w:rsidRPr="00A07AE3">
              <w:rPr>
                <w:lang w:eastAsia="en-GB"/>
              </w:rPr>
              <w:t>Thank you for your comment.</w:t>
            </w:r>
            <w:r w:rsidR="004C7029" w:rsidRPr="00A07AE3">
              <w:rPr>
                <w:lang w:eastAsia="en-GB"/>
              </w:rPr>
              <w:t xml:space="preserve"> </w:t>
            </w:r>
            <w:r w:rsidRPr="00A07AE3">
              <w:rPr>
                <w:lang w:eastAsia="en-GB"/>
              </w:rPr>
              <w:t xml:space="preserve">The EAG accounted for this using Equation 7.1 to estimate the time-to-heal for the leg ulcers once they had </w:t>
            </w:r>
            <w:r w:rsidR="00873078" w:rsidRPr="00A07AE3">
              <w:rPr>
                <w:lang w:eastAsia="en-GB"/>
              </w:rPr>
              <w:t>dis</w:t>
            </w:r>
            <w:r w:rsidRPr="00A07AE3">
              <w:rPr>
                <w:lang w:eastAsia="en-GB"/>
              </w:rPr>
              <w:t>continued antimicrobial dressings.</w:t>
            </w:r>
          </w:p>
        </w:tc>
      </w:tr>
      <w:tr w:rsidR="00575A8F" w14:paraId="5E54F64F" w14:textId="77777777" w:rsidTr="00A07AE3">
        <w:tc>
          <w:tcPr>
            <w:tcW w:w="1323" w:type="dxa"/>
          </w:tcPr>
          <w:p w14:paraId="208B9E2F" w14:textId="77777777" w:rsidR="00575A8F" w:rsidRPr="00A07AE3" w:rsidRDefault="00575A8F" w:rsidP="00A07AE3">
            <w:pPr>
              <w:pStyle w:val="Paragraph"/>
              <w:numPr>
                <w:ilvl w:val="0"/>
                <w:numId w:val="27"/>
              </w:numPr>
              <w:spacing w:line="240" w:lineRule="auto"/>
              <w:rPr>
                <w:lang w:eastAsia="en-GB"/>
              </w:rPr>
            </w:pPr>
          </w:p>
        </w:tc>
        <w:tc>
          <w:tcPr>
            <w:tcW w:w="1757" w:type="dxa"/>
            <w:shd w:val="clear" w:color="auto" w:fill="auto"/>
          </w:tcPr>
          <w:p w14:paraId="274039C2" w14:textId="2F6953D1" w:rsidR="00575A8F" w:rsidRPr="00A07AE3" w:rsidRDefault="00575A8F"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65F4824B" w14:textId="76C14606" w:rsidR="00575A8F" w:rsidRPr="00A07AE3" w:rsidRDefault="00575A8F" w:rsidP="00A07AE3">
            <w:pPr>
              <w:pStyle w:val="Paragraph"/>
              <w:spacing w:line="240" w:lineRule="auto"/>
              <w:rPr>
                <w:lang w:eastAsia="en-GB"/>
              </w:rPr>
            </w:pPr>
            <w:r w:rsidRPr="00A07AE3">
              <w:rPr>
                <w:rFonts w:cs="Arial"/>
                <w:color w:val="000000"/>
              </w:rPr>
              <w:t>3.11 Model inputs</w:t>
            </w:r>
          </w:p>
        </w:tc>
        <w:tc>
          <w:tcPr>
            <w:tcW w:w="4682" w:type="dxa"/>
            <w:shd w:val="clear" w:color="auto" w:fill="auto"/>
          </w:tcPr>
          <w:p w14:paraId="703767A3" w14:textId="6FA850DC" w:rsidR="00575A8F" w:rsidRPr="00A07AE3" w:rsidRDefault="00575A8F" w:rsidP="00A07AE3">
            <w:pPr>
              <w:pStyle w:val="Paragraph"/>
              <w:spacing w:line="240" w:lineRule="auto"/>
              <w:rPr>
                <w:lang w:eastAsia="en-GB"/>
              </w:rPr>
            </w:pPr>
            <w:r w:rsidRPr="00A07AE3">
              <w:rPr>
                <w:rFonts w:cs="Arial"/>
                <w:color w:val="000000"/>
              </w:rPr>
              <w:t>The EAG assessment report states that the per-week rate of infection resolution was assumed to be proportional to the per-week healing rate at 4 weeks.</w:t>
            </w:r>
            <w:r w:rsidRPr="00A07AE3">
              <w:rPr>
                <w:rFonts w:cs="Arial"/>
                <w:color w:val="000000"/>
              </w:rPr>
              <w:br/>
            </w:r>
            <w:r w:rsidRPr="00A07AE3">
              <w:rPr>
                <w:rFonts w:cs="Arial"/>
                <w:color w:val="000000"/>
              </w:rPr>
              <w:br/>
            </w:r>
            <w:r w:rsidRPr="00A07AE3">
              <w:rPr>
                <w:rFonts w:cs="Arial"/>
                <w:color w:val="000000"/>
              </w:rPr>
              <w:lastRenderedPageBreak/>
              <w:t>I have never seen any evidence to support the rate of complete healing being linked to the rate of infection resolution. In my view this is not a realistic model assumption. Many infections in leg ulcers resolve, but these ulcers do not necessarily transition to full closure/being healed - they can remain unhealed.</w:t>
            </w:r>
          </w:p>
        </w:tc>
        <w:tc>
          <w:tcPr>
            <w:tcW w:w="4135" w:type="dxa"/>
          </w:tcPr>
          <w:p w14:paraId="0AFFABBE" w14:textId="2F8765A0" w:rsidR="00EA648C" w:rsidRPr="00A07AE3" w:rsidRDefault="00EA648C" w:rsidP="00A07AE3">
            <w:pPr>
              <w:pStyle w:val="Paragraph"/>
              <w:spacing w:line="240" w:lineRule="auto"/>
              <w:rPr>
                <w:lang w:eastAsia="en-GB"/>
              </w:rPr>
            </w:pPr>
            <w:r w:rsidRPr="00A07AE3">
              <w:rPr>
                <w:lang w:eastAsia="en-GB"/>
              </w:rPr>
              <w:lastRenderedPageBreak/>
              <w:t>Thank you for your comment.</w:t>
            </w:r>
            <w:r w:rsidR="00157474" w:rsidRPr="00A07AE3">
              <w:rPr>
                <w:lang w:eastAsia="en-GB"/>
              </w:rPr>
              <w:t xml:space="preserve"> The EAG checked this assumption with clinical experts who had mixed views. However, </w:t>
            </w:r>
            <w:r w:rsidR="005E617E" w:rsidRPr="00A07AE3">
              <w:rPr>
                <w:lang w:eastAsia="en-GB"/>
              </w:rPr>
              <w:t xml:space="preserve">no alternative approaches were recommended. </w:t>
            </w:r>
            <w:r w:rsidR="005E617E" w:rsidRPr="00A07AE3">
              <w:rPr>
                <w:lang w:eastAsia="en-GB"/>
              </w:rPr>
              <w:lastRenderedPageBreak/>
              <w:t xml:space="preserve">This was discussed by committee who </w:t>
            </w:r>
            <w:r w:rsidR="0032240E" w:rsidRPr="00A07AE3">
              <w:rPr>
                <w:lang w:eastAsia="en-GB"/>
              </w:rPr>
              <w:t>decided</w:t>
            </w:r>
            <w:r w:rsidR="005E617E" w:rsidRPr="00A07AE3">
              <w:rPr>
                <w:lang w:eastAsia="en-GB"/>
              </w:rPr>
              <w:t xml:space="preserve"> </w:t>
            </w:r>
            <w:proofErr w:type="gramStart"/>
            <w:r w:rsidR="00B277F2" w:rsidRPr="00A07AE3">
              <w:rPr>
                <w:lang w:eastAsia="en-GB"/>
              </w:rPr>
              <w:t>in light of</w:t>
            </w:r>
            <w:proofErr w:type="gramEnd"/>
            <w:r w:rsidR="00B277F2" w:rsidRPr="00A07AE3">
              <w:rPr>
                <w:lang w:eastAsia="en-GB"/>
              </w:rPr>
              <w:t xml:space="preserve"> unavailable evidence or better approaches, the EAG’s assumption was acceptable. </w:t>
            </w:r>
          </w:p>
          <w:p w14:paraId="188FC3BD" w14:textId="60BE2395" w:rsidR="00575A8F" w:rsidRPr="00A07AE3" w:rsidRDefault="00B277F2" w:rsidP="00A07AE3">
            <w:pPr>
              <w:pStyle w:val="Paragraph"/>
              <w:spacing w:line="240" w:lineRule="auto"/>
              <w:rPr>
                <w:lang w:eastAsia="en-GB"/>
              </w:rPr>
            </w:pPr>
            <w:r w:rsidRPr="00A07AE3">
              <w:rPr>
                <w:lang w:eastAsia="en-GB"/>
              </w:rPr>
              <w:t xml:space="preserve">The alternative is to assume clinical equivalence between </w:t>
            </w:r>
            <w:r w:rsidR="00B007D0" w:rsidRPr="00A07AE3">
              <w:rPr>
                <w:lang w:eastAsia="en-GB"/>
              </w:rPr>
              <w:t>agents for infection resolution. This was explored by the EAG in a scenario analysis</w:t>
            </w:r>
            <w:r w:rsidR="00484BB6" w:rsidRPr="00A07AE3">
              <w:rPr>
                <w:lang w:eastAsia="en-GB"/>
              </w:rPr>
              <w:t xml:space="preserve"> </w:t>
            </w:r>
            <w:r w:rsidR="006C01D8" w:rsidRPr="00A07AE3">
              <w:rPr>
                <w:lang w:eastAsia="en-GB"/>
              </w:rPr>
              <w:t>(see section 7.3.4</w:t>
            </w:r>
            <w:r w:rsidR="00155EB1" w:rsidRPr="00A07AE3">
              <w:rPr>
                <w:lang w:eastAsia="en-GB"/>
              </w:rPr>
              <w:t xml:space="preserve"> of the EAR for more details)</w:t>
            </w:r>
            <w:r w:rsidR="00B007D0" w:rsidRPr="00A07AE3">
              <w:rPr>
                <w:lang w:eastAsia="en-GB"/>
              </w:rPr>
              <w:t>. Th</w:t>
            </w:r>
            <w:r w:rsidR="00DD2226" w:rsidRPr="00A07AE3">
              <w:rPr>
                <w:lang w:eastAsia="en-GB"/>
              </w:rPr>
              <w:t xml:space="preserve">is did not affect the overall cost-effectiveness </w:t>
            </w:r>
            <w:r w:rsidR="005F424D" w:rsidRPr="00A07AE3">
              <w:rPr>
                <w:lang w:eastAsia="en-GB"/>
              </w:rPr>
              <w:t xml:space="preserve">conclusions made by the EAG. </w:t>
            </w:r>
          </w:p>
        </w:tc>
      </w:tr>
      <w:tr w:rsidR="00575A8F" w14:paraId="19C6FEA8" w14:textId="77777777" w:rsidTr="00A07AE3">
        <w:tc>
          <w:tcPr>
            <w:tcW w:w="1323" w:type="dxa"/>
          </w:tcPr>
          <w:p w14:paraId="7C7A2DEE" w14:textId="77777777" w:rsidR="00575A8F" w:rsidRPr="00A07AE3" w:rsidRDefault="00575A8F" w:rsidP="00A07AE3">
            <w:pPr>
              <w:pStyle w:val="Paragraph"/>
              <w:numPr>
                <w:ilvl w:val="0"/>
                <w:numId w:val="27"/>
              </w:numPr>
              <w:spacing w:line="240" w:lineRule="auto"/>
              <w:rPr>
                <w:lang w:eastAsia="en-GB"/>
              </w:rPr>
            </w:pPr>
          </w:p>
        </w:tc>
        <w:tc>
          <w:tcPr>
            <w:tcW w:w="1757" w:type="dxa"/>
            <w:shd w:val="clear" w:color="auto" w:fill="auto"/>
          </w:tcPr>
          <w:p w14:paraId="7640FF9D" w14:textId="2732EB5B" w:rsidR="00575A8F" w:rsidRPr="00A07AE3" w:rsidRDefault="00575A8F"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369B297D" w14:textId="677BB708" w:rsidR="00575A8F" w:rsidRPr="00A07AE3" w:rsidRDefault="00575A8F" w:rsidP="00A07AE3">
            <w:pPr>
              <w:pStyle w:val="Paragraph"/>
              <w:spacing w:line="240" w:lineRule="auto"/>
              <w:rPr>
                <w:lang w:eastAsia="en-GB"/>
              </w:rPr>
            </w:pPr>
            <w:r w:rsidRPr="00A07AE3">
              <w:rPr>
                <w:rFonts w:cs="Arial"/>
                <w:color w:val="000000"/>
              </w:rPr>
              <w:t>3.11 Model inputs</w:t>
            </w:r>
          </w:p>
        </w:tc>
        <w:tc>
          <w:tcPr>
            <w:tcW w:w="4682" w:type="dxa"/>
            <w:shd w:val="clear" w:color="auto" w:fill="auto"/>
          </w:tcPr>
          <w:p w14:paraId="79937932" w14:textId="102997DC" w:rsidR="00575A8F" w:rsidRPr="00A07AE3" w:rsidRDefault="00575A8F" w:rsidP="00A07AE3">
            <w:pPr>
              <w:pStyle w:val="Paragraph"/>
              <w:spacing w:line="240" w:lineRule="auto"/>
              <w:rPr>
                <w:lang w:eastAsia="en-GB"/>
              </w:rPr>
            </w:pPr>
            <w:r w:rsidRPr="00A07AE3">
              <w:rPr>
                <w:rFonts w:cs="Arial"/>
                <w:color w:val="000000"/>
              </w:rPr>
              <w:t>There is no evidence to link the rate of infection resolution to complete healing and therefore this is not a plausible assumption. Leg ulcer infections often resolve, but the ulcers may not go on to heal and instead remain in an unhealed state.</w:t>
            </w:r>
            <w:r w:rsidRPr="00A07AE3">
              <w:rPr>
                <w:rFonts w:cs="Arial"/>
                <w:color w:val="000000"/>
              </w:rPr>
              <w:br/>
            </w:r>
            <w:r w:rsidRPr="00A07AE3">
              <w:rPr>
                <w:rFonts w:cs="Arial"/>
                <w:color w:val="000000"/>
              </w:rPr>
              <w:br/>
              <w:t xml:space="preserve">EAG and clinical experts need to </w:t>
            </w:r>
            <w:proofErr w:type="gramStart"/>
            <w:r w:rsidRPr="00A07AE3">
              <w:rPr>
                <w:rFonts w:cs="Arial"/>
                <w:color w:val="000000"/>
              </w:rPr>
              <w:t>review  the</w:t>
            </w:r>
            <w:proofErr w:type="gramEnd"/>
            <w:r w:rsidRPr="00A07AE3">
              <w:rPr>
                <w:rFonts w:cs="Arial"/>
                <w:color w:val="000000"/>
              </w:rPr>
              <w:t xml:space="preserve"> data in our article Venous leg ulcer management in clinical practice in the UK: costs and outcomes. Int Wound J 2017; </w:t>
            </w:r>
            <w:proofErr w:type="spellStart"/>
            <w:r w:rsidRPr="00A07AE3">
              <w:rPr>
                <w:rFonts w:cs="Arial"/>
                <w:color w:val="000000"/>
              </w:rPr>
              <w:t>doi</w:t>
            </w:r>
            <w:proofErr w:type="spellEnd"/>
            <w:r w:rsidRPr="00A07AE3">
              <w:rPr>
                <w:rFonts w:cs="Arial"/>
                <w:color w:val="000000"/>
              </w:rPr>
              <w:t>: 10.1111/iwj.12814 as well as other relevant articles.</w:t>
            </w:r>
          </w:p>
        </w:tc>
        <w:tc>
          <w:tcPr>
            <w:tcW w:w="4135" w:type="dxa"/>
          </w:tcPr>
          <w:p w14:paraId="299D7CBC" w14:textId="02F65CDF" w:rsidR="00575A8F" w:rsidRPr="00A07AE3" w:rsidRDefault="00A70ED7" w:rsidP="00A07AE3">
            <w:pPr>
              <w:pStyle w:val="Paragraph"/>
              <w:spacing w:line="240" w:lineRule="auto"/>
              <w:rPr>
                <w:lang w:eastAsia="en-GB"/>
              </w:rPr>
            </w:pPr>
            <w:r w:rsidRPr="00A07AE3">
              <w:rPr>
                <w:lang w:eastAsia="en-GB"/>
              </w:rPr>
              <w:t xml:space="preserve">Thank you for your comment. </w:t>
            </w:r>
            <w:r w:rsidR="00EA648C" w:rsidRPr="00A07AE3">
              <w:rPr>
                <w:lang w:eastAsia="en-GB"/>
              </w:rPr>
              <w:t>Please see</w:t>
            </w:r>
            <w:r w:rsidRPr="00A07AE3">
              <w:rPr>
                <w:lang w:eastAsia="en-GB"/>
              </w:rPr>
              <w:t xml:space="preserve"> response to </w:t>
            </w:r>
            <w:r w:rsidR="00EA648C" w:rsidRPr="00A07AE3">
              <w:rPr>
                <w:lang w:eastAsia="en-GB"/>
              </w:rPr>
              <w:t>comment 95.</w:t>
            </w:r>
          </w:p>
        </w:tc>
      </w:tr>
      <w:tr w:rsidR="00575A8F" w14:paraId="7C8D11EF" w14:textId="77777777" w:rsidTr="00A07AE3">
        <w:tc>
          <w:tcPr>
            <w:tcW w:w="1323" w:type="dxa"/>
          </w:tcPr>
          <w:p w14:paraId="02243C04" w14:textId="77777777" w:rsidR="00575A8F" w:rsidRPr="00A07AE3" w:rsidRDefault="00575A8F" w:rsidP="00A07AE3">
            <w:pPr>
              <w:pStyle w:val="Paragraph"/>
              <w:numPr>
                <w:ilvl w:val="0"/>
                <w:numId w:val="27"/>
              </w:numPr>
              <w:spacing w:line="240" w:lineRule="auto"/>
              <w:rPr>
                <w:lang w:eastAsia="en-GB"/>
              </w:rPr>
            </w:pPr>
          </w:p>
        </w:tc>
        <w:tc>
          <w:tcPr>
            <w:tcW w:w="1757" w:type="dxa"/>
            <w:shd w:val="clear" w:color="auto" w:fill="auto"/>
          </w:tcPr>
          <w:p w14:paraId="431F15C8" w14:textId="26B38041" w:rsidR="00575A8F" w:rsidRPr="00A07AE3" w:rsidRDefault="00575A8F"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51" w:type="dxa"/>
            <w:shd w:val="clear" w:color="auto" w:fill="auto"/>
          </w:tcPr>
          <w:p w14:paraId="1A937992" w14:textId="4F4C1355" w:rsidR="00575A8F" w:rsidRPr="00A07AE3" w:rsidRDefault="00575A8F" w:rsidP="00A07AE3">
            <w:pPr>
              <w:pStyle w:val="Paragraph"/>
              <w:spacing w:line="240" w:lineRule="auto"/>
              <w:rPr>
                <w:lang w:eastAsia="en-GB"/>
              </w:rPr>
            </w:pPr>
            <w:r w:rsidRPr="00A07AE3">
              <w:rPr>
                <w:rFonts w:cs="Arial"/>
                <w:color w:val="000000"/>
              </w:rPr>
              <w:t>3.11 Model inputs</w:t>
            </w:r>
          </w:p>
        </w:tc>
        <w:tc>
          <w:tcPr>
            <w:tcW w:w="4682" w:type="dxa"/>
            <w:shd w:val="clear" w:color="auto" w:fill="auto"/>
          </w:tcPr>
          <w:p w14:paraId="26AB8D57" w14:textId="348E75ED" w:rsidR="00575A8F" w:rsidRPr="00A07AE3" w:rsidRDefault="00575A8F" w:rsidP="00A07AE3">
            <w:pPr>
              <w:pStyle w:val="Paragraph"/>
              <w:spacing w:line="240" w:lineRule="auto"/>
              <w:rPr>
                <w:lang w:eastAsia="en-GB"/>
              </w:rPr>
            </w:pPr>
            <w:r w:rsidRPr="00A07AE3">
              <w:rPr>
                <w:rFonts w:cs="Arial"/>
                <w:color w:val="000000"/>
              </w:rPr>
              <w:t>It should not be beyond the skills of the EAG to propose a more realistic assumption/scenario that reflects clinical practice. In our studies of thousands of leg ulcers managed in clinical practice, we observed many infections resolved within 3-4 weeks, but the ulcers did not necessarily go on to heal.</w:t>
            </w:r>
            <w:r w:rsidRPr="00A07AE3">
              <w:rPr>
                <w:rFonts w:cs="Arial"/>
                <w:color w:val="000000"/>
              </w:rPr>
              <w:br/>
            </w:r>
            <w:r w:rsidRPr="00A07AE3">
              <w:rPr>
                <w:rFonts w:cs="Arial"/>
                <w:color w:val="000000"/>
              </w:rPr>
              <w:br/>
              <w:t>Please see:</w:t>
            </w:r>
            <w:r w:rsidRPr="00A07AE3">
              <w:rPr>
                <w:rFonts w:cs="Arial"/>
                <w:color w:val="000000"/>
              </w:rPr>
              <w:br/>
            </w:r>
            <w:r w:rsidRPr="00A07AE3">
              <w:rPr>
                <w:rFonts w:cs="Arial"/>
                <w:color w:val="000000"/>
              </w:rPr>
              <w:br/>
              <w:t xml:space="preserve">Venous leg ulcer management in clinical practice in the UK: costs and outcomes. Int Wound J 2017; </w:t>
            </w:r>
            <w:proofErr w:type="spellStart"/>
            <w:r w:rsidRPr="00A07AE3">
              <w:rPr>
                <w:rFonts w:cs="Arial"/>
                <w:color w:val="000000"/>
              </w:rPr>
              <w:t>doi</w:t>
            </w:r>
            <w:proofErr w:type="spellEnd"/>
            <w:r w:rsidRPr="00A07AE3">
              <w:rPr>
                <w:rFonts w:cs="Arial"/>
                <w:color w:val="000000"/>
              </w:rPr>
              <w:t>: 10.1111/iwj.12814</w:t>
            </w:r>
            <w:r w:rsidRPr="00A07AE3">
              <w:rPr>
                <w:rFonts w:cs="Arial"/>
                <w:color w:val="000000"/>
              </w:rPr>
              <w:br/>
            </w:r>
            <w:r w:rsidRPr="00A07AE3">
              <w:rPr>
                <w:rFonts w:cs="Arial"/>
                <w:color w:val="000000"/>
              </w:rPr>
              <w:br/>
              <w:t xml:space="preserve">Cost-effectiveness of </w:t>
            </w:r>
            <w:proofErr w:type="spellStart"/>
            <w:r w:rsidRPr="00A07AE3">
              <w:rPr>
                <w:rFonts w:cs="Arial"/>
                <w:color w:val="000000"/>
              </w:rPr>
              <w:t>ChloraSolv</w:t>
            </w:r>
            <w:proofErr w:type="spellEnd"/>
            <w:r w:rsidRPr="00A07AE3">
              <w:rPr>
                <w:rFonts w:cs="Arial"/>
                <w:color w:val="000000"/>
              </w:rPr>
              <w:t xml:space="preserve"> in treating hard-to-heal venous leg ulcers. J Wound Care. 2024;33(1):4-13. </w:t>
            </w:r>
            <w:proofErr w:type="spellStart"/>
            <w:r w:rsidRPr="00A07AE3">
              <w:rPr>
                <w:rFonts w:cs="Arial"/>
                <w:color w:val="000000"/>
              </w:rPr>
              <w:t>doi</w:t>
            </w:r>
            <w:proofErr w:type="spellEnd"/>
            <w:r w:rsidRPr="00A07AE3">
              <w:rPr>
                <w:rFonts w:cs="Arial"/>
                <w:color w:val="000000"/>
              </w:rPr>
              <w:t xml:space="preserve">: 10.12968/jowc.2024.33.1.4. </w:t>
            </w:r>
            <w:r w:rsidRPr="00A07AE3">
              <w:rPr>
                <w:rFonts w:cs="Arial"/>
                <w:color w:val="000000"/>
              </w:rPr>
              <w:br/>
            </w:r>
            <w:r w:rsidRPr="00A07AE3">
              <w:rPr>
                <w:rFonts w:cs="Arial"/>
                <w:color w:val="000000"/>
              </w:rPr>
              <w:br/>
              <w:t xml:space="preserve">Relative cost-effectiveness of three compression bandages in treating newly diagnosed venous leg ulcers in the UK. J Wound Care. 2023; 32(3):146-158. </w:t>
            </w:r>
            <w:proofErr w:type="spellStart"/>
            <w:r w:rsidRPr="00A07AE3">
              <w:rPr>
                <w:rFonts w:cs="Arial"/>
                <w:color w:val="000000"/>
              </w:rPr>
              <w:t>doi</w:t>
            </w:r>
            <w:proofErr w:type="spellEnd"/>
            <w:r w:rsidRPr="00A07AE3">
              <w:rPr>
                <w:rFonts w:cs="Arial"/>
                <w:color w:val="000000"/>
              </w:rPr>
              <w:t>: 10.12968/jowc.2023.32.3.146.</w:t>
            </w:r>
          </w:p>
        </w:tc>
        <w:tc>
          <w:tcPr>
            <w:tcW w:w="4135" w:type="dxa"/>
          </w:tcPr>
          <w:p w14:paraId="1E59F808" w14:textId="79B57BAC" w:rsidR="00575A8F" w:rsidRPr="00A07AE3" w:rsidRDefault="00EA648C" w:rsidP="00A07AE3">
            <w:pPr>
              <w:pStyle w:val="Paragraph"/>
              <w:spacing w:line="240" w:lineRule="auto"/>
              <w:rPr>
                <w:lang w:eastAsia="en-GB"/>
              </w:rPr>
            </w:pPr>
            <w:r w:rsidRPr="00A07AE3">
              <w:rPr>
                <w:lang w:eastAsia="en-GB"/>
              </w:rPr>
              <w:t>Thank you for your comment.</w:t>
            </w:r>
            <w:r w:rsidR="00334E66" w:rsidRPr="00A07AE3">
              <w:rPr>
                <w:lang w:eastAsia="en-GB"/>
              </w:rPr>
              <w:t xml:space="preserve"> </w:t>
            </w:r>
            <w:r w:rsidR="00432A26" w:rsidRPr="00A07AE3">
              <w:rPr>
                <w:lang w:eastAsia="en-GB"/>
              </w:rPr>
              <w:t>The EAG noted that a</w:t>
            </w:r>
            <w:r w:rsidRPr="00A07AE3">
              <w:rPr>
                <w:lang w:eastAsia="en-GB"/>
              </w:rPr>
              <w:t xml:space="preserve">pplying the same efficacy and healing rate to all products (e.g. 3-4 weeks) would change the evaluation to a simple cost comparison. </w:t>
            </w:r>
            <w:r w:rsidR="00484BB6" w:rsidRPr="00A07AE3">
              <w:rPr>
                <w:lang w:eastAsia="en-GB"/>
              </w:rPr>
              <w:t>The EAG explored h</w:t>
            </w:r>
            <w:r w:rsidRPr="00A07AE3">
              <w:rPr>
                <w:lang w:eastAsia="en-GB"/>
              </w:rPr>
              <w:t>ealing rates in</w:t>
            </w:r>
            <w:r w:rsidR="00CF5B1F" w:rsidRPr="00A07AE3">
              <w:rPr>
                <w:lang w:eastAsia="en-GB"/>
              </w:rPr>
              <w:t xml:space="preserve"> a</w:t>
            </w:r>
            <w:r w:rsidRPr="00A07AE3">
              <w:rPr>
                <w:lang w:eastAsia="en-GB"/>
              </w:rPr>
              <w:t xml:space="preserve"> scenario analysis</w:t>
            </w:r>
            <w:r w:rsidR="00484BB6" w:rsidRPr="00A07AE3">
              <w:rPr>
                <w:lang w:eastAsia="en-GB"/>
              </w:rPr>
              <w:t xml:space="preserve"> in section </w:t>
            </w:r>
            <w:r w:rsidR="00CF5B1F" w:rsidRPr="00A07AE3">
              <w:rPr>
                <w:lang w:eastAsia="en-GB"/>
              </w:rPr>
              <w:t xml:space="preserve">7.3.4 of the EAR. The EAG discuss </w:t>
            </w:r>
            <w:r w:rsidRPr="00A07AE3">
              <w:rPr>
                <w:lang w:eastAsia="en-GB"/>
              </w:rPr>
              <w:t>the limitations in the current healing rate evidence</w:t>
            </w:r>
            <w:r w:rsidR="00CF5B1F" w:rsidRPr="00A07AE3">
              <w:rPr>
                <w:lang w:eastAsia="en-GB"/>
              </w:rPr>
              <w:t xml:space="preserve"> in section</w:t>
            </w:r>
            <w:r w:rsidR="00B729C7" w:rsidRPr="00A07AE3">
              <w:rPr>
                <w:lang w:eastAsia="en-GB"/>
              </w:rPr>
              <w:t>s 7.2.3.1 and 7.2.3.2</w:t>
            </w:r>
            <w:r w:rsidRPr="00A07AE3">
              <w:rPr>
                <w:lang w:eastAsia="en-GB"/>
              </w:rPr>
              <w:t xml:space="preserve">. </w:t>
            </w:r>
          </w:p>
        </w:tc>
      </w:tr>
    </w:tbl>
    <w:p w14:paraId="28C48997" w14:textId="77777777" w:rsidR="00E63D5F" w:rsidRDefault="00E63D5F" w:rsidP="00E63D5F">
      <w:pPr>
        <w:pStyle w:val="Heading1"/>
      </w:pPr>
      <w:r>
        <w:lastRenderedPageBreak/>
        <w:t>Table 15: health economic evaluation, frequency of dressing changes and prescription times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511"/>
        <w:gridCol w:w="1699"/>
        <w:gridCol w:w="5805"/>
        <w:gridCol w:w="3610"/>
      </w:tblGrid>
      <w:tr w:rsidR="00F06BB6" w14:paraId="4744DD39" w14:textId="77777777" w:rsidTr="00E21FCF">
        <w:tc>
          <w:tcPr>
            <w:tcW w:w="1323" w:type="dxa"/>
            <w:shd w:val="clear" w:color="auto" w:fill="D9D9D9" w:themeFill="background1" w:themeFillShade="D9"/>
          </w:tcPr>
          <w:p w14:paraId="214D63DF" w14:textId="7B804CF7" w:rsidR="00F06BB6" w:rsidRPr="00A07AE3" w:rsidRDefault="00F06BB6" w:rsidP="00A07AE3">
            <w:pPr>
              <w:pStyle w:val="Paragraph"/>
              <w:spacing w:line="240" w:lineRule="auto"/>
              <w:rPr>
                <w:lang w:eastAsia="en-GB"/>
              </w:rPr>
            </w:pPr>
            <w:r w:rsidRPr="00A07AE3">
              <w:rPr>
                <w:b/>
                <w:bCs/>
                <w:lang w:eastAsia="en-GB"/>
              </w:rPr>
              <w:t>Comment no.</w:t>
            </w:r>
          </w:p>
        </w:tc>
        <w:tc>
          <w:tcPr>
            <w:tcW w:w="1511" w:type="dxa"/>
            <w:tcBorders>
              <w:top w:val="single" w:sz="4" w:space="0" w:color="auto"/>
              <w:left w:val="nil"/>
              <w:bottom w:val="single" w:sz="4" w:space="0" w:color="auto"/>
              <w:right w:val="single" w:sz="4" w:space="0" w:color="auto"/>
            </w:tcBorders>
            <w:shd w:val="clear" w:color="auto" w:fill="D9D9D9" w:themeFill="background1" w:themeFillShade="D9"/>
          </w:tcPr>
          <w:p w14:paraId="30FD2D2B" w14:textId="0415ABA0" w:rsidR="00F06BB6" w:rsidRPr="00A07AE3" w:rsidRDefault="00F06BB6" w:rsidP="00A07AE3">
            <w:pPr>
              <w:pStyle w:val="Paragraph"/>
              <w:spacing w:line="240" w:lineRule="auto"/>
              <w:rPr>
                <w:rFonts w:cs="Arial"/>
                <w:color w:val="000000"/>
              </w:rPr>
            </w:pPr>
            <w:r w:rsidRPr="00A07AE3">
              <w:rPr>
                <w:b/>
                <w:bCs/>
                <w:lang w:eastAsia="en-GB"/>
              </w:rPr>
              <w:t>Consultee</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A8536" w14:textId="4E65D165"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805" w:type="dxa"/>
            <w:tcBorders>
              <w:top w:val="single" w:sz="4" w:space="0" w:color="auto"/>
              <w:left w:val="single" w:sz="4" w:space="0" w:color="auto"/>
              <w:bottom w:val="single" w:sz="4" w:space="0" w:color="auto"/>
              <w:right w:val="nil"/>
            </w:tcBorders>
            <w:shd w:val="clear" w:color="auto" w:fill="D9D9D9" w:themeFill="background1" w:themeFillShade="D9"/>
          </w:tcPr>
          <w:p w14:paraId="3D956A78" w14:textId="331EF957" w:rsidR="00F06BB6" w:rsidRPr="00A07AE3" w:rsidRDefault="00F06BB6" w:rsidP="00A07AE3">
            <w:pPr>
              <w:pStyle w:val="Paragraph"/>
              <w:spacing w:line="240" w:lineRule="auto"/>
              <w:rPr>
                <w:rFonts w:cs="Arial"/>
                <w:color w:val="000000"/>
              </w:rPr>
            </w:pPr>
            <w:r w:rsidRPr="00A07AE3">
              <w:rPr>
                <w:b/>
                <w:bCs/>
                <w:lang w:eastAsia="en-GB"/>
              </w:rPr>
              <w:t>Comment</w:t>
            </w:r>
          </w:p>
        </w:tc>
        <w:tc>
          <w:tcPr>
            <w:tcW w:w="3610" w:type="dxa"/>
            <w:shd w:val="clear" w:color="auto" w:fill="D9D9D9" w:themeFill="background1" w:themeFillShade="D9"/>
          </w:tcPr>
          <w:p w14:paraId="28224F31" w14:textId="46505CCA" w:rsidR="00F06BB6" w:rsidRPr="00A07AE3" w:rsidRDefault="00F06BB6" w:rsidP="00A07AE3">
            <w:pPr>
              <w:pStyle w:val="Paragraph"/>
              <w:spacing w:line="240" w:lineRule="auto"/>
            </w:pPr>
            <w:r w:rsidRPr="00A07AE3">
              <w:rPr>
                <w:b/>
                <w:bCs/>
                <w:lang w:eastAsia="en-GB"/>
              </w:rPr>
              <w:t>Response</w:t>
            </w:r>
          </w:p>
        </w:tc>
      </w:tr>
      <w:tr w:rsidR="00F06BB6" w14:paraId="27FA3F80" w14:textId="77777777" w:rsidTr="00E21FCF">
        <w:tc>
          <w:tcPr>
            <w:tcW w:w="1323" w:type="dxa"/>
          </w:tcPr>
          <w:p w14:paraId="4AF60585"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B3E975B" w14:textId="6F039220" w:rsidR="00F06BB6" w:rsidRPr="00A07AE3" w:rsidRDefault="00F06BB6" w:rsidP="00A07AE3">
            <w:pPr>
              <w:pStyle w:val="Paragraph"/>
              <w:spacing w:line="240" w:lineRule="auto"/>
              <w:rPr>
                <w:lang w:eastAsia="en-GB"/>
              </w:rPr>
            </w:pPr>
            <w:r w:rsidRPr="00A07AE3">
              <w:rPr>
                <w:rFonts w:cs="Arial"/>
                <w:color w:val="000000"/>
              </w:rPr>
              <w:t>Consultee 4</w:t>
            </w:r>
            <w:r w:rsidRPr="00A07AE3">
              <w:rPr>
                <w:rFonts w:cs="Arial"/>
                <w:color w:val="000000"/>
              </w:rPr>
              <w:br/>
              <w:t>Coloplast</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0B41684F" w14:textId="7709DB72" w:rsidR="00F06BB6" w:rsidRPr="00A07AE3" w:rsidRDefault="00F06BB6" w:rsidP="00A07AE3">
            <w:pPr>
              <w:pStyle w:val="Paragraph"/>
              <w:spacing w:line="240" w:lineRule="auto"/>
              <w:rPr>
                <w:lang w:eastAsia="en-GB"/>
              </w:rPr>
            </w:pPr>
            <w:r w:rsidRPr="00A07AE3">
              <w:rPr>
                <w:rFonts w:cs="Arial"/>
                <w:color w:val="000000"/>
              </w:rPr>
              <w:t>3.13 Model limitations and scenario analyses</w:t>
            </w:r>
          </w:p>
        </w:tc>
        <w:tc>
          <w:tcPr>
            <w:tcW w:w="5805" w:type="dxa"/>
            <w:tcBorders>
              <w:top w:val="single" w:sz="4" w:space="0" w:color="auto"/>
              <w:left w:val="single" w:sz="4" w:space="0" w:color="auto"/>
              <w:bottom w:val="single" w:sz="4" w:space="0" w:color="auto"/>
              <w:right w:val="nil"/>
            </w:tcBorders>
            <w:shd w:val="clear" w:color="auto" w:fill="auto"/>
          </w:tcPr>
          <w:p w14:paraId="674B67E7" w14:textId="50348E23" w:rsidR="00F06BB6" w:rsidRPr="00A07AE3" w:rsidRDefault="00F06BB6" w:rsidP="00A07AE3">
            <w:pPr>
              <w:pStyle w:val="Paragraph"/>
              <w:spacing w:line="240" w:lineRule="auto"/>
              <w:rPr>
                <w:lang w:eastAsia="en-GB"/>
              </w:rPr>
            </w:pPr>
            <w:r w:rsidRPr="00A07AE3">
              <w:rPr>
                <w:rFonts w:cs="Arial"/>
                <w:color w:val="000000"/>
              </w:rPr>
              <w:t>To determine the maximum time agents are prescribed, a conservative approach cannot be assumed as a user should always refer to the manufacturer’s instructions for use for the individual products. Under the Medical Device Regulation (MDR), instructions for use (IFU) play a crucial role in ensuring the safe and effective use of medical devices.</w:t>
            </w:r>
          </w:p>
        </w:tc>
        <w:tc>
          <w:tcPr>
            <w:tcW w:w="3610" w:type="dxa"/>
          </w:tcPr>
          <w:p w14:paraId="52DDF484" w14:textId="145EFF58" w:rsidR="00F06BB6" w:rsidRPr="00A07AE3" w:rsidRDefault="00F06BB6" w:rsidP="00A07AE3">
            <w:pPr>
              <w:pStyle w:val="Paragraph"/>
              <w:spacing w:line="240" w:lineRule="auto"/>
              <w:rPr>
                <w:lang w:eastAsia="en-GB"/>
              </w:rPr>
            </w:pPr>
            <w:r w:rsidRPr="00A07AE3">
              <w:t xml:space="preserve">Thank you for your comment. The maximum time agents were applied by the EAG was informed by clinical guidelines, where available. See Table 7.4 in the EAR for more details. Manufacturer instruction provides advisable wear time before the dressing should be replaced, which was used in the modelling. </w:t>
            </w:r>
          </w:p>
        </w:tc>
      </w:tr>
      <w:tr w:rsidR="00F06BB6" w14:paraId="0FA0BC40" w14:textId="77777777" w:rsidTr="00E21FCF">
        <w:tc>
          <w:tcPr>
            <w:tcW w:w="1323" w:type="dxa"/>
          </w:tcPr>
          <w:p w14:paraId="4662D948"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9367972" w14:textId="0B3DB9F2"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19DDDF89" w14:textId="5A133B99" w:rsidR="00F06BB6" w:rsidRPr="00A07AE3" w:rsidRDefault="00F06BB6" w:rsidP="00A07AE3">
            <w:pPr>
              <w:pStyle w:val="Paragraph"/>
              <w:spacing w:line="240" w:lineRule="auto"/>
              <w:rPr>
                <w:lang w:eastAsia="en-GB"/>
              </w:rPr>
            </w:pPr>
            <w:r w:rsidRPr="00A07AE3">
              <w:rPr>
                <w:rFonts w:cs="Arial"/>
                <w:color w:val="000000"/>
              </w:rPr>
              <w:t>3.10 Model structure</w:t>
            </w:r>
          </w:p>
        </w:tc>
        <w:tc>
          <w:tcPr>
            <w:tcW w:w="5805" w:type="dxa"/>
            <w:tcBorders>
              <w:top w:val="single" w:sz="4" w:space="0" w:color="auto"/>
              <w:left w:val="single" w:sz="4" w:space="0" w:color="auto"/>
              <w:bottom w:val="single" w:sz="4" w:space="0" w:color="auto"/>
              <w:right w:val="nil"/>
            </w:tcBorders>
            <w:shd w:val="clear" w:color="auto" w:fill="auto"/>
          </w:tcPr>
          <w:p w14:paraId="6FD54B6E" w14:textId="2EE24FC0" w:rsidR="00F06BB6" w:rsidRPr="00A07AE3" w:rsidRDefault="00F06BB6" w:rsidP="00A07AE3">
            <w:pPr>
              <w:pStyle w:val="Paragraph"/>
              <w:spacing w:line="240" w:lineRule="auto"/>
              <w:rPr>
                <w:lang w:eastAsia="en-GB"/>
              </w:rPr>
            </w:pPr>
            <w:r w:rsidRPr="00A07AE3">
              <w:rPr>
                <w:rFonts w:cs="Arial"/>
                <w:color w:val="000000"/>
              </w:rPr>
              <w:t xml:space="preserve">Assumptions on wear time for </w:t>
            </w:r>
            <w:proofErr w:type="spellStart"/>
            <w:r w:rsidRPr="00A07AE3">
              <w:rPr>
                <w:rFonts w:cs="Arial"/>
                <w:color w:val="000000"/>
              </w:rPr>
              <w:t>cadexomer</w:t>
            </w:r>
            <w:proofErr w:type="spellEnd"/>
            <w:r w:rsidRPr="00A07AE3">
              <w:rPr>
                <w:rFonts w:cs="Arial"/>
                <w:color w:val="000000"/>
              </w:rPr>
              <w:t xml:space="preserve"> iodine, povidone iodine and iodine agents </w:t>
            </w:r>
            <w:proofErr w:type="gramStart"/>
            <w:r w:rsidRPr="00A07AE3">
              <w:rPr>
                <w:rFonts w:cs="Arial"/>
                <w:color w:val="000000"/>
              </w:rPr>
              <w:t>is</w:t>
            </w:r>
            <w:proofErr w:type="gramEnd"/>
            <w:r w:rsidRPr="00A07AE3">
              <w:rPr>
                <w:rFonts w:cs="Arial"/>
                <w:color w:val="000000"/>
              </w:rPr>
              <w:t xml:space="preserve"> incorrect. Due to degradation of efficacy in presence of wound exudate, dressing changes are recommended as daily initially. </w:t>
            </w:r>
            <w:r w:rsidRPr="00A07AE3">
              <w:rPr>
                <w:rFonts w:cs="Arial"/>
                <w:color w:val="000000"/>
              </w:rPr>
              <w:br/>
              <w:t>Please update the total costs accounting for resource use with the updated dressing change frequency for all iodine-based AMD’</w:t>
            </w:r>
          </w:p>
        </w:tc>
        <w:tc>
          <w:tcPr>
            <w:tcW w:w="3610" w:type="dxa"/>
          </w:tcPr>
          <w:p w14:paraId="64BBB1CC" w14:textId="38B80506" w:rsidR="00F06BB6" w:rsidRPr="00A07AE3" w:rsidRDefault="00F06BB6" w:rsidP="00A07AE3">
            <w:pPr>
              <w:pStyle w:val="Paragraph"/>
              <w:spacing w:line="240" w:lineRule="auto"/>
              <w:rPr>
                <w:lang w:eastAsia="en-GB"/>
              </w:rPr>
            </w:pPr>
            <w:r w:rsidRPr="00A07AE3">
              <w:t>Thank you for your comment. The EAG updated Iodine AMDs dressing change frequency in the revised model base case model as a daily change. No change in direction of results were observed. Please see the second addendum for more details.</w:t>
            </w:r>
          </w:p>
        </w:tc>
      </w:tr>
      <w:tr w:rsidR="00F06BB6" w14:paraId="2A9A8EC6" w14:textId="77777777" w:rsidTr="00E21FCF">
        <w:tc>
          <w:tcPr>
            <w:tcW w:w="1323" w:type="dxa"/>
          </w:tcPr>
          <w:p w14:paraId="24628E43"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73F85DDA" w14:textId="3B1A3332"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1A357945" w14:textId="772AD2B6" w:rsidR="00F06BB6" w:rsidRPr="00A07AE3" w:rsidRDefault="00F06BB6" w:rsidP="00A07AE3">
            <w:pPr>
              <w:pStyle w:val="Paragraph"/>
              <w:spacing w:line="240" w:lineRule="auto"/>
              <w:rPr>
                <w:lang w:eastAsia="en-GB"/>
              </w:rPr>
            </w:pPr>
            <w:r w:rsidRPr="00A07AE3">
              <w:rPr>
                <w:rFonts w:cs="Arial"/>
                <w:color w:val="000000"/>
              </w:rPr>
              <w:t>3.12 Model inputs</w:t>
            </w:r>
          </w:p>
        </w:tc>
        <w:tc>
          <w:tcPr>
            <w:tcW w:w="5805" w:type="dxa"/>
            <w:tcBorders>
              <w:top w:val="single" w:sz="4" w:space="0" w:color="auto"/>
              <w:left w:val="single" w:sz="4" w:space="0" w:color="auto"/>
              <w:bottom w:val="single" w:sz="4" w:space="0" w:color="auto"/>
              <w:right w:val="nil"/>
            </w:tcBorders>
            <w:shd w:val="clear" w:color="auto" w:fill="auto"/>
          </w:tcPr>
          <w:p w14:paraId="107A1653" w14:textId="40E2903F" w:rsidR="00F06BB6" w:rsidRPr="00A07AE3" w:rsidRDefault="00F06BB6" w:rsidP="00A07AE3">
            <w:pPr>
              <w:pStyle w:val="Paragraph"/>
              <w:spacing w:line="240" w:lineRule="auto"/>
              <w:rPr>
                <w:lang w:eastAsia="en-GB"/>
              </w:rPr>
            </w:pPr>
            <w:r w:rsidRPr="00A07AE3">
              <w:rPr>
                <w:rFonts w:cs="Arial"/>
                <w:color w:val="000000"/>
              </w:rPr>
              <w:t xml:space="preserve">Assessment report p.195 ‘’The fully incremental analysis ranked Iodine as the agent that would generate the smallest costs per person, costing £6,494’’. </w:t>
            </w:r>
            <w:r w:rsidRPr="00A07AE3">
              <w:rPr>
                <w:rFonts w:cs="Arial"/>
                <w:color w:val="000000"/>
              </w:rPr>
              <w:br/>
              <w:t>Please update the accurate cost using the weekly dressing changes requested as per comments.</w:t>
            </w:r>
            <w:r w:rsidRPr="00A07AE3">
              <w:rPr>
                <w:rFonts w:cs="Arial"/>
                <w:color w:val="000000"/>
              </w:rPr>
              <w:br/>
              <w:t xml:space="preserve">For all iodine-based </w:t>
            </w:r>
            <w:proofErr w:type="gramStart"/>
            <w:r w:rsidRPr="00A07AE3">
              <w:rPr>
                <w:rFonts w:cs="Arial"/>
                <w:color w:val="000000"/>
              </w:rPr>
              <w:t>AMD’s</w:t>
            </w:r>
            <w:proofErr w:type="gramEnd"/>
            <w:r w:rsidRPr="00A07AE3">
              <w:rPr>
                <w:rFonts w:cs="Arial"/>
                <w:color w:val="000000"/>
              </w:rPr>
              <w:t xml:space="preserve"> please amend all statements, costs and outcomes based on frequency of dressing changes as evidenced/commented vs EAG assumption of 3 dressing changes per week.</w:t>
            </w:r>
          </w:p>
        </w:tc>
        <w:tc>
          <w:tcPr>
            <w:tcW w:w="3610" w:type="dxa"/>
          </w:tcPr>
          <w:p w14:paraId="36B721DB" w14:textId="3CC9E337" w:rsidR="00F06BB6" w:rsidRPr="00A07AE3" w:rsidRDefault="00F06BB6" w:rsidP="00A07AE3">
            <w:pPr>
              <w:pStyle w:val="Paragraph"/>
              <w:spacing w:line="240" w:lineRule="auto"/>
              <w:rPr>
                <w:lang w:eastAsia="en-GB"/>
              </w:rPr>
            </w:pPr>
            <w:r w:rsidRPr="00A07AE3">
              <w:t>Thank you for your comment. Please see response to comment 99.</w:t>
            </w:r>
          </w:p>
        </w:tc>
      </w:tr>
      <w:tr w:rsidR="00F06BB6" w14:paraId="5505A562" w14:textId="77777777" w:rsidTr="00E21FCF">
        <w:tc>
          <w:tcPr>
            <w:tcW w:w="1323" w:type="dxa"/>
          </w:tcPr>
          <w:p w14:paraId="06640EF6"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479E9C5A" w14:textId="4EC48BBD"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2AE1103F" w14:textId="6531BD1B" w:rsidR="00F06BB6" w:rsidRPr="00A07AE3" w:rsidRDefault="00F06BB6" w:rsidP="00A07AE3">
            <w:pPr>
              <w:pStyle w:val="Paragraph"/>
              <w:spacing w:line="240" w:lineRule="auto"/>
              <w:rPr>
                <w:lang w:eastAsia="en-GB"/>
              </w:rPr>
            </w:pPr>
            <w:r w:rsidRPr="00A07AE3">
              <w:rPr>
                <w:rFonts w:cs="Arial"/>
                <w:color w:val="000000"/>
              </w:rPr>
              <w:t>3.12 Model inputs</w:t>
            </w:r>
          </w:p>
        </w:tc>
        <w:tc>
          <w:tcPr>
            <w:tcW w:w="5805" w:type="dxa"/>
            <w:tcBorders>
              <w:top w:val="single" w:sz="4" w:space="0" w:color="auto"/>
              <w:left w:val="single" w:sz="4" w:space="0" w:color="auto"/>
              <w:bottom w:val="single" w:sz="4" w:space="0" w:color="auto"/>
              <w:right w:val="nil"/>
            </w:tcBorders>
            <w:shd w:val="clear" w:color="auto" w:fill="auto"/>
          </w:tcPr>
          <w:p w14:paraId="17391BC7" w14:textId="4030A0C8" w:rsidR="00F06BB6" w:rsidRPr="00A07AE3" w:rsidRDefault="00F06BB6" w:rsidP="00A07AE3">
            <w:pPr>
              <w:pStyle w:val="Paragraph"/>
              <w:spacing w:line="240" w:lineRule="auto"/>
              <w:rPr>
                <w:lang w:eastAsia="en-GB"/>
              </w:rPr>
            </w:pPr>
            <w:r w:rsidRPr="00A07AE3">
              <w:rPr>
                <w:rFonts w:cs="Arial"/>
                <w:color w:val="000000"/>
              </w:rPr>
              <w:t xml:space="preserve">Assessment report </w:t>
            </w:r>
            <w:proofErr w:type="gramStart"/>
            <w:r w:rsidRPr="00A07AE3">
              <w:rPr>
                <w:rFonts w:cs="Arial"/>
                <w:color w:val="000000"/>
              </w:rPr>
              <w:t>p.225  ‘</w:t>
            </w:r>
            <w:proofErr w:type="gramEnd"/>
            <w:r w:rsidRPr="00A07AE3">
              <w:rPr>
                <w:rFonts w:cs="Arial"/>
                <w:color w:val="000000"/>
              </w:rPr>
              <w:t>’Visits from practice and district nurses were in the top ten key drivers of cost-effectiveness identified in the DSA. These visits did not change the cost-effectiveness conclusion. These visits were incorporated in the resource use estimates informing the model (Table 7.9 p.177). To avoid double counting costs, it was assumed AMD changes occurred during these visits’’.</w:t>
            </w:r>
            <w:r w:rsidRPr="00A07AE3">
              <w:rPr>
                <w:rFonts w:cs="Arial"/>
                <w:color w:val="000000"/>
              </w:rPr>
              <w:br/>
              <w:t xml:space="preserve">With the evidence on the inaccuracy of iodine preparations frequency of dressing change (see comments), this statement would be incorrect. </w:t>
            </w:r>
            <w:r w:rsidRPr="00A07AE3">
              <w:rPr>
                <w:rFonts w:cs="Arial"/>
                <w:color w:val="000000"/>
              </w:rPr>
              <w:br/>
              <w:t>We recommend that you please update this in relation to the updated costs accounting for corrected dressing change frequency for iodine-based AMD’s.</w:t>
            </w:r>
          </w:p>
        </w:tc>
        <w:tc>
          <w:tcPr>
            <w:tcW w:w="3610" w:type="dxa"/>
          </w:tcPr>
          <w:p w14:paraId="04EB616F" w14:textId="513203F1" w:rsidR="00F06BB6" w:rsidRPr="00A07AE3" w:rsidRDefault="00F06BB6" w:rsidP="00A07AE3">
            <w:pPr>
              <w:pStyle w:val="Paragraph"/>
              <w:spacing w:line="240" w:lineRule="auto"/>
              <w:rPr>
                <w:lang w:eastAsia="en-GB"/>
              </w:rPr>
            </w:pPr>
            <w:r w:rsidRPr="00A07AE3">
              <w:t>Thank you for your comment. Please see responses to comments 80 and 99.</w:t>
            </w:r>
          </w:p>
        </w:tc>
      </w:tr>
      <w:tr w:rsidR="00F06BB6" w14:paraId="5D401492" w14:textId="77777777" w:rsidTr="00E21FCF">
        <w:tc>
          <w:tcPr>
            <w:tcW w:w="1323" w:type="dxa"/>
          </w:tcPr>
          <w:p w14:paraId="54A67412"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10BFBDB8" w14:textId="2494E8AF"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26DDF3E4" w14:textId="7FAF34BF" w:rsidR="00F06BB6" w:rsidRPr="00A07AE3" w:rsidRDefault="00F06BB6" w:rsidP="00A07AE3">
            <w:pPr>
              <w:pStyle w:val="Paragraph"/>
              <w:spacing w:line="240" w:lineRule="auto"/>
              <w:rPr>
                <w:lang w:eastAsia="en-GB"/>
              </w:rPr>
            </w:pPr>
            <w:r w:rsidRPr="00A07AE3">
              <w:rPr>
                <w:rFonts w:cs="Arial"/>
                <w:color w:val="000000"/>
              </w:rPr>
              <w:t>3.13 Model limitations and scenario analyses</w:t>
            </w:r>
          </w:p>
        </w:tc>
        <w:tc>
          <w:tcPr>
            <w:tcW w:w="5805" w:type="dxa"/>
            <w:tcBorders>
              <w:top w:val="single" w:sz="4" w:space="0" w:color="auto"/>
              <w:left w:val="single" w:sz="4" w:space="0" w:color="auto"/>
              <w:bottom w:val="single" w:sz="4" w:space="0" w:color="auto"/>
              <w:right w:val="nil"/>
            </w:tcBorders>
            <w:shd w:val="clear" w:color="auto" w:fill="auto"/>
          </w:tcPr>
          <w:p w14:paraId="2BE24693" w14:textId="7F8785E9" w:rsidR="00F06BB6" w:rsidRPr="00A07AE3" w:rsidRDefault="00F06BB6" w:rsidP="00A07AE3">
            <w:pPr>
              <w:pStyle w:val="Paragraph"/>
              <w:spacing w:line="240" w:lineRule="auto"/>
              <w:rPr>
                <w:lang w:eastAsia="en-GB"/>
              </w:rPr>
            </w:pPr>
            <w:r w:rsidRPr="00A07AE3">
              <w:rPr>
                <w:rFonts w:cs="Arial"/>
                <w:color w:val="000000"/>
              </w:rPr>
              <w:t xml:space="preserve">Assumptions on wear time for </w:t>
            </w:r>
            <w:proofErr w:type="spellStart"/>
            <w:r w:rsidRPr="00A07AE3">
              <w:rPr>
                <w:rFonts w:cs="Arial"/>
                <w:color w:val="000000"/>
              </w:rPr>
              <w:t>cadexomer</w:t>
            </w:r>
            <w:proofErr w:type="spellEnd"/>
            <w:r w:rsidRPr="00A07AE3">
              <w:rPr>
                <w:rFonts w:cs="Arial"/>
                <w:color w:val="000000"/>
              </w:rPr>
              <w:t xml:space="preserve"> iodine, povidone iodine and iodine agents </w:t>
            </w:r>
            <w:proofErr w:type="gramStart"/>
            <w:r w:rsidRPr="00A07AE3">
              <w:rPr>
                <w:rFonts w:cs="Arial"/>
                <w:color w:val="000000"/>
              </w:rPr>
              <w:t>is</w:t>
            </w:r>
            <w:proofErr w:type="gramEnd"/>
            <w:r w:rsidRPr="00A07AE3">
              <w:rPr>
                <w:rFonts w:cs="Arial"/>
                <w:color w:val="000000"/>
              </w:rPr>
              <w:t xml:space="preserve"> incorrect. Due to degradation of efficacy in presence of wound exudate (demonstrated in previous comments), dressing changes are recommended as daily initially.</w:t>
            </w:r>
          </w:p>
        </w:tc>
        <w:tc>
          <w:tcPr>
            <w:tcW w:w="3610" w:type="dxa"/>
          </w:tcPr>
          <w:p w14:paraId="22BA3997" w14:textId="15C86C27" w:rsidR="00F06BB6" w:rsidRPr="00A07AE3" w:rsidRDefault="00F06BB6" w:rsidP="00A07AE3">
            <w:pPr>
              <w:pStyle w:val="Paragraph"/>
              <w:spacing w:line="240" w:lineRule="auto"/>
              <w:rPr>
                <w:lang w:eastAsia="en-GB"/>
              </w:rPr>
            </w:pPr>
            <w:r w:rsidRPr="00A07AE3">
              <w:t>Thank you for your comment. Please see response to comment 99.</w:t>
            </w:r>
          </w:p>
        </w:tc>
      </w:tr>
      <w:tr w:rsidR="00F06BB6" w14:paraId="0546E8EC" w14:textId="77777777" w:rsidTr="00E21FCF">
        <w:tc>
          <w:tcPr>
            <w:tcW w:w="1323" w:type="dxa"/>
          </w:tcPr>
          <w:p w14:paraId="7E620026"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10ACAD37" w14:textId="0D2925AC"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4B7DD0C0" w14:textId="7E96EBDB" w:rsidR="00F06BB6" w:rsidRPr="00A07AE3" w:rsidRDefault="00F06BB6" w:rsidP="00A07AE3">
            <w:pPr>
              <w:pStyle w:val="Paragraph"/>
              <w:spacing w:line="240" w:lineRule="auto"/>
              <w:rPr>
                <w:lang w:eastAsia="en-GB"/>
              </w:rPr>
            </w:pPr>
            <w:r w:rsidRPr="00A07AE3">
              <w:rPr>
                <w:rFonts w:cs="Arial"/>
                <w:color w:val="000000"/>
              </w:rPr>
              <w:t>3.14 Results of the economic evaluation</w:t>
            </w:r>
          </w:p>
        </w:tc>
        <w:tc>
          <w:tcPr>
            <w:tcW w:w="5805" w:type="dxa"/>
            <w:tcBorders>
              <w:top w:val="single" w:sz="4" w:space="0" w:color="auto"/>
              <w:left w:val="single" w:sz="4" w:space="0" w:color="auto"/>
              <w:bottom w:val="single" w:sz="4" w:space="0" w:color="auto"/>
              <w:right w:val="nil"/>
            </w:tcBorders>
            <w:shd w:val="clear" w:color="auto" w:fill="auto"/>
          </w:tcPr>
          <w:p w14:paraId="34BE3150" w14:textId="7EE32F7C" w:rsidR="00F06BB6" w:rsidRPr="00A07AE3" w:rsidRDefault="00F06BB6" w:rsidP="00A07AE3">
            <w:pPr>
              <w:pStyle w:val="Paragraph"/>
              <w:spacing w:line="240" w:lineRule="auto"/>
              <w:rPr>
                <w:lang w:eastAsia="en-GB"/>
              </w:rPr>
            </w:pPr>
            <w:r w:rsidRPr="00A07AE3">
              <w:rPr>
                <w:rFonts w:cs="Arial"/>
                <w:color w:val="000000"/>
              </w:rPr>
              <w:t xml:space="preserve">Assumption made for iodine that maximum wear time would be applicable (3 days) with Somerset used as reference. </w:t>
            </w:r>
            <w:r w:rsidRPr="00A07AE3">
              <w:rPr>
                <w:rFonts w:cs="Arial"/>
                <w:color w:val="000000"/>
              </w:rPr>
              <w:br/>
              <w:t xml:space="preserve">Other evidence provided in comments, demonstrates that iodine preparations need to be changed more frequently dependant on wound exudate or whether heavily infected. </w:t>
            </w:r>
            <w:r w:rsidRPr="00A07AE3">
              <w:rPr>
                <w:rFonts w:cs="Arial"/>
                <w:color w:val="000000"/>
              </w:rPr>
              <w:br/>
              <w:t>Please update the cost modelling as per other comments</w:t>
            </w:r>
          </w:p>
        </w:tc>
        <w:tc>
          <w:tcPr>
            <w:tcW w:w="3610" w:type="dxa"/>
          </w:tcPr>
          <w:p w14:paraId="7F76A28D" w14:textId="3594E784" w:rsidR="00F06BB6" w:rsidRPr="00A07AE3" w:rsidRDefault="00F06BB6" w:rsidP="00A07AE3">
            <w:pPr>
              <w:pStyle w:val="Paragraph"/>
              <w:spacing w:line="240" w:lineRule="auto"/>
              <w:rPr>
                <w:lang w:eastAsia="en-GB"/>
              </w:rPr>
            </w:pPr>
            <w:r w:rsidRPr="00A07AE3">
              <w:t>Thank you for your comment. Please see response to comment 99.</w:t>
            </w:r>
          </w:p>
        </w:tc>
      </w:tr>
      <w:tr w:rsidR="00F06BB6" w14:paraId="16A5BFD1" w14:textId="77777777" w:rsidTr="00E21FCF">
        <w:tc>
          <w:tcPr>
            <w:tcW w:w="1323" w:type="dxa"/>
          </w:tcPr>
          <w:p w14:paraId="0C625637"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33924377" w14:textId="6CA19CDC"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0D32EAA6" w14:textId="0F0B84A8" w:rsidR="00F06BB6" w:rsidRPr="00A07AE3" w:rsidRDefault="00F06BB6" w:rsidP="00A07AE3">
            <w:pPr>
              <w:pStyle w:val="Paragraph"/>
              <w:spacing w:line="240" w:lineRule="auto"/>
              <w:rPr>
                <w:lang w:eastAsia="en-GB"/>
              </w:rPr>
            </w:pPr>
            <w:r w:rsidRPr="00A07AE3">
              <w:rPr>
                <w:rFonts w:cs="Arial"/>
                <w:color w:val="000000"/>
              </w:rPr>
              <w:t>3.14 Results of the economic evaluation</w:t>
            </w:r>
          </w:p>
        </w:tc>
        <w:tc>
          <w:tcPr>
            <w:tcW w:w="5805" w:type="dxa"/>
            <w:tcBorders>
              <w:top w:val="single" w:sz="4" w:space="0" w:color="auto"/>
              <w:left w:val="single" w:sz="4" w:space="0" w:color="auto"/>
              <w:bottom w:val="single" w:sz="4" w:space="0" w:color="auto"/>
              <w:right w:val="nil"/>
            </w:tcBorders>
            <w:shd w:val="clear" w:color="auto" w:fill="auto"/>
          </w:tcPr>
          <w:p w14:paraId="7560A18B" w14:textId="47ECE7B0" w:rsidR="00F06BB6" w:rsidRPr="00A07AE3" w:rsidRDefault="00F06BB6" w:rsidP="00A07AE3">
            <w:pPr>
              <w:pStyle w:val="Paragraph"/>
              <w:spacing w:line="240" w:lineRule="auto"/>
              <w:rPr>
                <w:lang w:eastAsia="en-GB"/>
              </w:rPr>
            </w:pPr>
            <w:r w:rsidRPr="00A07AE3">
              <w:rPr>
                <w:rFonts w:cs="Arial"/>
                <w:color w:val="000000"/>
              </w:rPr>
              <w:t xml:space="preserve">Exudate or increased in levels of exuding is present in localised infected wounds and is a covert sign of infection (IWII, International Consensus Update 2022). In the presence of exudate, the lifespan of </w:t>
            </w:r>
            <w:proofErr w:type="spellStart"/>
            <w:r w:rsidRPr="00A07AE3">
              <w:rPr>
                <w:rFonts w:cs="Arial"/>
                <w:color w:val="000000"/>
              </w:rPr>
              <w:t>Inadine</w:t>
            </w:r>
            <w:proofErr w:type="spellEnd"/>
            <w:r w:rsidRPr="00A07AE3">
              <w:rPr>
                <w:rFonts w:cs="Arial"/>
                <w:color w:val="000000"/>
              </w:rPr>
              <w:t xml:space="preserve"> (and all iodine preparations) is reduced and therefore needs more frequent dressing changes to ensure antimicrobial efficacy.  The cost modelling assumptions do not factor in the significant and repeated re-application of iodine-based dressings and is therefore incorrectly showing iodine preparations based on unit price alone as the cheapest AMD option. </w:t>
            </w:r>
            <w:r w:rsidRPr="00A07AE3">
              <w:rPr>
                <w:rFonts w:cs="Arial"/>
                <w:color w:val="000000"/>
              </w:rPr>
              <w:br/>
              <w:t xml:space="preserve">Based on real world usage, iodine preparations </w:t>
            </w:r>
            <w:r w:rsidRPr="00A07AE3">
              <w:rPr>
                <w:rFonts w:cs="Arial"/>
                <w:color w:val="000000"/>
              </w:rPr>
              <w:lastRenderedPageBreak/>
              <w:t xml:space="preserve">need a substantial higher number of dressing changes, and each dressing change requires a nurse visit. If iodine preparations were to be changed daily due to the exudate level, the weekly cost of products and resource (including Band 5 nurse hourly rate, NHS Net Paid) would be 51% higher than the cost of a silver dressing based on cost of dressing and resource (nursing time) alone. </w:t>
            </w:r>
            <w:r w:rsidRPr="00A07AE3">
              <w:rPr>
                <w:rFonts w:cs="Arial"/>
                <w:color w:val="000000"/>
              </w:rPr>
              <w:br/>
              <w:t>http://www.dressings.org/Dressings/tmp/inadine.html</w:t>
            </w:r>
            <w:r w:rsidRPr="00A07AE3">
              <w:rPr>
                <w:rFonts w:cs="Arial"/>
                <w:color w:val="000000"/>
              </w:rPr>
              <w:br/>
              <w:t>http://www.dressings.org/Dressings/iodosor.oin.html</w:t>
            </w:r>
            <w:r w:rsidRPr="00A07AE3">
              <w:rPr>
                <w:rFonts w:cs="Arial"/>
                <w:color w:val="000000"/>
              </w:rPr>
              <w:br/>
              <w:t>http://www.dressings.org/Dressings/iodoflex.html</w:t>
            </w:r>
            <w:r w:rsidRPr="00A07AE3">
              <w:rPr>
                <w:rFonts w:cs="Arial"/>
                <w:color w:val="000000"/>
              </w:rPr>
              <w:br/>
              <w:t>Please update the cost modelling to show correct frequency of dressing changes which will impact the cost effectiveness of iodine-based preparations.</w:t>
            </w:r>
          </w:p>
        </w:tc>
        <w:tc>
          <w:tcPr>
            <w:tcW w:w="3610" w:type="dxa"/>
          </w:tcPr>
          <w:p w14:paraId="17223707" w14:textId="25B6AC8F" w:rsidR="00F06BB6" w:rsidRPr="00A07AE3" w:rsidRDefault="00F06BB6" w:rsidP="00A07AE3">
            <w:pPr>
              <w:pStyle w:val="Paragraph"/>
              <w:spacing w:line="240" w:lineRule="auto"/>
              <w:rPr>
                <w:lang w:eastAsia="en-GB"/>
              </w:rPr>
            </w:pPr>
            <w:r w:rsidRPr="00A07AE3">
              <w:lastRenderedPageBreak/>
              <w:t>Thank you for your comment. Please see response to comment 99.</w:t>
            </w:r>
          </w:p>
        </w:tc>
      </w:tr>
      <w:tr w:rsidR="00F06BB6" w14:paraId="780BB5D2" w14:textId="77777777" w:rsidTr="00E21FCF">
        <w:tc>
          <w:tcPr>
            <w:tcW w:w="1323" w:type="dxa"/>
          </w:tcPr>
          <w:p w14:paraId="6FBC7835"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2C5C8DCE" w14:textId="66812FCA"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75B8D7BF" w14:textId="051344F5" w:rsidR="00F06BB6" w:rsidRPr="00A07AE3" w:rsidRDefault="00F06BB6" w:rsidP="00A07AE3">
            <w:pPr>
              <w:pStyle w:val="Paragraph"/>
              <w:spacing w:line="240" w:lineRule="auto"/>
              <w:rPr>
                <w:lang w:eastAsia="en-GB"/>
              </w:rPr>
            </w:pPr>
            <w:r w:rsidRPr="00A07AE3">
              <w:rPr>
                <w:rFonts w:cs="Arial"/>
                <w:color w:val="000000"/>
              </w:rPr>
              <w:t>3.14 Results of the economic evaluation</w:t>
            </w:r>
          </w:p>
        </w:tc>
        <w:tc>
          <w:tcPr>
            <w:tcW w:w="5805" w:type="dxa"/>
            <w:tcBorders>
              <w:top w:val="single" w:sz="4" w:space="0" w:color="auto"/>
              <w:left w:val="single" w:sz="4" w:space="0" w:color="auto"/>
              <w:bottom w:val="single" w:sz="4" w:space="0" w:color="auto"/>
              <w:right w:val="nil"/>
            </w:tcBorders>
            <w:shd w:val="clear" w:color="auto" w:fill="auto"/>
          </w:tcPr>
          <w:p w14:paraId="4F39B844" w14:textId="4F49260C" w:rsidR="00F06BB6" w:rsidRPr="00A07AE3" w:rsidRDefault="00F06BB6" w:rsidP="00A07AE3">
            <w:pPr>
              <w:pStyle w:val="Paragraph"/>
              <w:spacing w:line="240" w:lineRule="auto"/>
              <w:rPr>
                <w:lang w:eastAsia="en-GB"/>
              </w:rPr>
            </w:pPr>
            <w:r w:rsidRPr="00A07AE3">
              <w:rPr>
                <w:rFonts w:cs="Arial"/>
                <w:color w:val="000000"/>
              </w:rPr>
              <w:t xml:space="preserve">p.9 Assessment report ‘’The probabilistic analysis showed a large overlap between confidence intervals, which demonstrates the available evidence cannot conclude whether there are clinically meaningful differences between the cost and quality adjusted life years of the agents. Key drivers of cost-effectiveness (with the potential to change the cost-effectiveness conclusion) were prescription time, efficacy and cost of AMDs.’’ </w:t>
            </w:r>
            <w:r w:rsidRPr="00A07AE3">
              <w:rPr>
                <w:rFonts w:cs="Arial"/>
                <w:color w:val="000000"/>
              </w:rPr>
              <w:br/>
            </w:r>
            <w:r w:rsidRPr="00A07AE3">
              <w:rPr>
                <w:rFonts w:cs="Arial"/>
                <w:color w:val="000000"/>
              </w:rPr>
              <w:br/>
              <w:t xml:space="preserve">Considering the comments on key-drivers being prescription time, efficacy and cost of AMD’s, the assumptions on </w:t>
            </w:r>
            <w:proofErr w:type="spellStart"/>
            <w:r w:rsidRPr="00A07AE3">
              <w:rPr>
                <w:rFonts w:cs="Arial"/>
                <w:color w:val="000000"/>
              </w:rPr>
              <w:t>Inadine</w:t>
            </w:r>
            <w:proofErr w:type="spellEnd"/>
            <w:r w:rsidRPr="00A07AE3">
              <w:rPr>
                <w:rFonts w:cs="Arial"/>
                <w:color w:val="000000"/>
              </w:rPr>
              <w:t xml:space="preserve"> frequency of dressing time being the maximum wear time of 3 days, distorts the true cost effectiveness. </w:t>
            </w:r>
            <w:proofErr w:type="spellStart"/>
            <w:r w:rsidRPr="00A07AE3">
              <w:rPr>
                <w:rFonts w:cs="Arial"/>
                <w:color w:val="000000"/>
              </w:rPr>
              <w:t>Inadine</w:t>
            </w:r>
            <w:proofErr w:type="spellEnd"/>
            <w:r w:rsidRPr="00A07AE3">
              <w:rPr>
                <w:rFonts w:cs="Arial"/>
                <w:color w:val="000000"/>
              </w:rPr>
              <w:t xml:space="preserve"> and iodine </w:t>
            </w:r>
            <w:r w:rsidRPr="00A07AE3">
              <w:rPr>
                <w:rFonts w:cs="Arial"/>
                <w:color w:val="000000"/>
              </w:rPr>
              <w:lastRenderedPageBreak/>
              <w:t>preparations require more frequent dressing changes than 3 days, and this impacts on the overall cost.</w:t>
            </w:r>
          </w:p>
        </w:tc>
        <w:tc>
          <w:tcPr>
            <w:tcW w:w="3610" w:type="dxa"/>
          </w:tcPr>
          <w:p w14:paraId="745EE889" w14:textId="6C2BEA4F" w:rsidR="00F06BB6" w:rsidRPr="00A07AE3" w:rsidRDefault="00F06BB6" w:rsidP="00A07AE3">
            <w:pPr>
              <w:pStyle w:val="Paragraph"/>
              <w:spacing w:line="240" w:lineRule="auto"/>
              <w:rPr>
                <w:lang w:eastAsia="en-GB"/>
              </w:rPr>
            </w:pPr>
            <w:r w:rsidRPr="00A07AE3">
              <w:lastRenderedPageBreak/>
              <w:t>Thank you for your comment. Please see response to comment 99.</w:t>
            </w:r>
          </w:p>
        </w:tc>
      </w:tr>
      <w:tr w:rsidR="00F06BB6" w14:paraId="47792B41" w14:textId="77777777" w:rsidTr="00E21FCF">
        <w:tc>
          <w:tcPr>
            <w:tcW w:w="1323" w:type="dxa"/>
          </w:tcPr>
          <w:p w14:paraId="744B2269"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0174105B" w14:textId="4445794B" w:rsidR="00F06BB6" w:rsidRPr="00A07AE3" w:rsidRDefault="00F06BB6"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CA4306C" w14:textId="384B1168" w:rsidR="00F06BB6" w:rsidRPr="00A07AE3" w:rsidRDefault="00F06BB6" w:rsidP="00A07AE3">
            <w:pPr>
              <w:pStyle w:val="Paragraph"/>
              <w:spacing w:line="240" w:lineRule="auto"/>
              <w:rPr>
                <w:lang w:eastAsia="en-GB"/>
              </w:rPr>
            </w:pPr>
            <w:r w:rsidRPr="00A07AE3">
              <w:rPr>
                <w:rFonts w:cs="Arial"/>
                <w:color w:val="000000"/>
              </w:rPr>
              <w:t>3.15 Resource impact assessment</w:t>
            </w:r>
          </w:p>
        </w:tc>
        <w:tc>
          <w:tcPr>
            <w:tcW w:w="5805" w:type="dxa"/>
            <w:tcBorders>
              <w:top w:val="single" w:sz="4" w:space="0" w:color="auto"/>
              <w:left w:val="single" w:sz="4" w:space="0" w:color="auto"/>
              <w:bottom w:val="single" w:sz="4" w:space="0" w:color="auto"/>
              <w:right w:val="nil"/>
            </w:tcBorders>
            <w:shd w:val="clear" w:color="auto" w:fill="auto"/>
          </w:tcPr>
          <w:p w14:paraId="21E29660" w14:textId="32E7907C" w:rsidR="00F06BB6" w:rsidRPr="00A07AE3" w:rsidRDefault="00F06BB6" w:rsidP="00A07AE3">
            <w:pPr>
              <w:pStyle w:val="Paragraph"/>
              <w:spacing w:line="240" w:lineRule="auto"/>
              <w:rPr>
                <w:lang w:eastAsia="en-GB"/>
              </w:rPr>
            </w:pPr>
            <w:r w:rsidRPr="00A07AE3">
              <w:rPr>
                <w:rFonts w:cs="Arial"/>
                <w:color w:val="000000"/>
              </w:rPr>
              <w:t xml:space="preserve">The assumptions of 3 dressing changes per week (infected state) for all AMD’s is incorrect. Based on information re. the continued antimicrobial efficacy with iodine preparations in the presence of high levels of exudate and/or initial phases of infection of exudate, iodine preparations will need to be changed more </w:t>
            </w:r>
            <w:proofErr w:type="gramStart"/>
            <w:r w:rsidRPr="00A07AE3">
              <w:rPr>
                <w:rFonts w:cs="Arial"/>
                <w:color w:val="000000"/>
              </w:rPr>
              <w:t>frequently</w:t>
            </w:r>
            <w:proofErr w:type="gramEnd"/>
            <w:r w:rsidRPr="00A07AE3">
              <w:rPr>
                <w:rFonts w:cs="Arial"/>
                <w:color w:val="000000"/>
              </w:rPr>
              <w:t xml:space="preserve"> and manufacturers recommendations are up to daily dressing changes in these instances. </w:t>
            </w:r>
            <w:r w:rsidRPr="00A07AE3">
              <w:rPr>
                <w:rFonts w:cs="Arial"/>
                <w:color w:val="000000"/>
              </w:rPr>
              <w:br/>
              <w:t>Please update the frequency of dressing changes for iodine preparations.</w:t>
            </w:r>
          </w:p>
        </w:tc>
        <w:tc>
          <w:tcPr>
            <w:tcW w:w="3610" w:type="dxa"/>
          </w:tcPr>
          <w:p w14:paraId="0CAF987A" w14:textId="137804C5" w:rsidR="00F06BB6" w:rsidRPr="00A07AE3" w:rsidRDefault="00F06BB6" w:rsidP="00A07AE3">
            <w:pPr>
              <w:pStyle w:val="Paragraph"/>
              <w:spacing w:line="240" w:lineRule="auto"/>
              <w:rPr>
                <w:lang w:eastAsia="en-GB"/>
              </w:rPr>
            </w:pPr>
            <w:r w:rsidRPr="00A07AE3">
              <w:t>Thank you for your comment. Please see response to comment 99.</w:t>
            </w:r>
          </w:p>
        </w:tc>
      </w:tr>
      <w:tr w:rsidR="00F06BB6" w14:paraId="021533EC" w14:textId="77777777" w:rsidTr="00E21FCF">
        <w:tc>
          <w:tcPr>
            <w:tcW w:w="1323" w:type="dxa"/>
          </w:tcPr>
          <w:p w14:paraId="13C6F161"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226BF86" w14:textId="789EA662" w:rsidR="00F06BB6" w:rsidRPr="00A07AE3" w:rsidRDefault="00F06BB6"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338E54BE" w14:textId="7961E66C" w:rsidR="00F06BB6" w:rsidRPr="00A07AE3" w:rsidRDefault="00F06BB6" w:rsidP="00A07AE3">
            <w:pPr>
              <w:pStyle w:val="Paragraph"/>
              <w:spacing w:line="240" w:lineRule="auto"/>
              <w:rPr>
                <w:lang w:eastAsia="en-GB"/>
              </w:rPr>
            </w:pPr>
            <w:r w:rsidRPr="00A07AE3">
              <w:rPr>
                <w:rFonts w:cs="Arial"/>
                <w:color w:val="000000"/>
              </w:rPr>
              <w:t>3.11 Model inputs</w:t>
            </w:r>
          </w:p>
        </w:tc>
        <w:tc>
          <w:tcPr>
            <w:tcW w:w="5805" w:type="dxa"/>
            <w:tcBorders>
              <w:top w:val="single" w:sz="4" w:space="0" w:color="auto"/>
              <w:left w:val="single" w:sz="4" w:space="0" w:color="auto"/>
              <w:bottom w:val="single" w:sz="4" w:space="0" w:color="auto"/>
              <w:right w:val="nil"/>
            </w:tcBorders>
            <w:shd w:val="clear" w:color="auto" w:fill="auto"/>
          </w:tcPr>
          <w:p w14:paraId="7655C76D" w14:textId="3BD1C1EF" w:rsidR="00F06BB6" w:rsidRPr="00A07AE3" w:rsidRDefault="00F06BB6" w:rsidP="00A07AE3">
            <w:pPr>
              <w:pStyle w:val="Paragraph"/>
              <w:spacing w:line="240" w:lineRule="auto"/>
              <w:rPr>
                <w:lang w:eastAsia="en-GB"/>
              </w:rPr>
            </w:pPr>
            <w:r w:rsidRPr="00A07AE3">
              <w:rPr>
                <w:rFonts w:cs="Arial"/>
                <w:color w:val="000000"/>
              </w:rPr>
              <w:t>According to our published evidence, the number of dressings and frequency of dressing change in the non-infected static state will be around 50-75% more than non-infected improved state.</w:t>
            </w:r>
          </w:p>
        </w:tc>
        <w:tc>
          <w:tcPr>
            <w:tcW w:w="3610" w:type="dxa"/>
          </w:tcPr>
          <w:p w14:paraId="53D08899" w14:textId="4782780B" w:rsidR="00F06BB6" w:rsidRPr="00A07AE3" w:rsidRDefault="00F06BB6" w:rsidP="00A07AE3">
            <w:pPr>
              <w:pStyle w:val="Paragraph"/>
              <w:spacing w:line="240" w:lineRule="auto"/>
              <w:rPr>
                <w:lang w:eastAsia="en-GB"/>
              </w:rPr>
            </w:pPr>
            <w:r w:rsidRPr="00A07AE3">
              <w:t xml:space="preserve">Thank you for your comment. The difference in dressing changes between the infected and non-infected states in the EAG’s model are shown in Table 7.8. The EAG derived the multiplier of 1.79 (i.e. 79% more dressings in infected, unhealed vs. non-infected, unhealed) from </w:t>
            </w:r>
            <w:proofErr w:type="spellStart"/>
            <w:r w:rsidRPr="00A07AE3">
              <w:t>Meaume</w:t>
            </w:r>
            <w:proofErr w:type="spellEnd"/>
            <w:r w:rsidRPr="00A07AE3">
              <w:t xml:space="preserve"> et al (2005). This was a UK study of 99 UK people with either a venous leg ulcer or a pressure ulcer and, therefore, considered to be </w:t>
            </w:r>
            <w:r w:rsidRPr="00A07AE3">
              <w:lastRenderedPageBreak/>
              <w:t>appropriate to the UK clinical setting.</w:t>
            </w:r>
          </w:p>
        </w:tc>
      </w:tr>
      <w:tr w:rsidR="00F06BB6" w14:paraId="084E1256" w14:textId="77777777" w:rsidTr="00E21FCF">
        <w:tc>
          <w:tcPr>
            <w:tcW w:w="1323" w:type="dxa"/>
          </w:tcPr>
          <w:p w14:paraId="02758C27"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728E561C" w14:textId="7909BBAC" w:rsidR="00F06BB6" w:rsidRPr="00A07AE3" w:rsidRDefault="00F06BB6"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98A6BDF" w14:textId="0571AB20" w:rsidR="00F06BB6" w:rsidRPr="00A07AE3" w:rsidRDefault="00F06BB6" w:rsidP="00A07AE3">
            <w:pPr>
              <w:pStyle w:val="Paragraph"/>
              <w:spacing w:line="240" w:lineRule="auto"/>
              <w:rPr>
                <w:lang w:eastAsia="en-GB"/>
              </w:rPr>
            </w:pPr>
            <w:r w:rsidRPr="00A07AE3">
              <w:rPr>
                <w:rFonts w:cs="Arial"/>
                <w:color w:val="000000"/>
              </w:rPr>
              <w:t>3.14 Results of the economic evaluation</w:t>
            </w:r>
          </w:p>
        </w:tc>
        <w:tc>
          <w:tcPr>
            <w:tcW w:w="5805" w:type="dxa"/>
            <w:tcBorders>
              <w:top w:val="single" w:sz="4" w:space="0" w:color="auto"/>
              <w:left w:val="single" w:sz="4" w:space="0" w:color="auto"/>
              <w:bottom w:val="single" w:sz="4" w:space="0" w:color="auto"/>
              <w:right w:val="nil"/>
            </w:tcBorders>
            <w:shd w:val="clear" w:color="auto" w:fill="auto"/>
          </w:tcPr>
          <w:p w14:paraId="2E593E60" w14:textId="74BEA4FE" w:rsidR="00F06BB6" w:rsidRPr="00A07AE3" w:rsidRDefault="00F06BB6" w:rsidP="00A07AE3">
            <w:pPr>
              <w:pStyle w:val="Paragraph"/>
              <w:spacing w:line="240" w:lineRule="auto"/>
              <w:rPr>
                <w:lang w:eastAsia="en-GB"/>
              </w:rPr>
            </w:pPr>
            <w:r w:rsidRPr="00A07AE3">
              <w:rPr>
                <w:rFonts w:cs="Arial"/>
                <w:color w:val="000000"/>
              </w:rPr>
              <w:t>I am extremely surprised by this result and it may well reflect the structural flaws in the model and/or the fact that the model has been populated with data unrelated to infected leg ulcers and/or unrealistic assumptions and/or a conflated model for all leg ulcers and/or an error in a formula.</w:t>
            </w:r>
            <w:r w:rsidRPr="00A07AE3">
              <w:rPr>
                <w:rFonts w:cs="Arial"/>
                <w:color w:val="000000"/>
              </w:rPr>
              <w:br/>
            </w:r>
            <w:r w:rsidRPr="00A07AE3">
              <w:rPr>
                <w:rFonts w:cs="Arial"/>
                <w:color w:val="000000"/>
              </w:rPr>
              <w:br/>
              <w:t xml:space="preserve">In this regard, please can the EAG confirm that dressing change frequency in the base case model is linked to clinician visits. </w:t>
            </w:r>
            <w:proofErr w:type="gramStart"/>
            <w:r w:rsidRPr="00A07AE3">
              <w:rPr>
                <w:rFonts w:cs="Arial"/>
                <w:color w:val="000000"/>
              </w:rPr>
              <w:t>So</w:t>
            </w:r>
            <w:proofErr w:type="gramEnd"/>
            <w:r w:rsidRPr="00A07AE3">
              <w:rPr>
                <w:rFonts w:cs="Arial"/>
                <w:color w:val="000000"/>
              </w:rPr>
              <w:t xml:space="preserve"> if there is a change in the number of dressings, there is a simultaneous change in the number and cost of clinician visits and in the total cost.</w:t>
            </w:r>
            <w:r w:rsidRPr="00A07AE3">
              <w:rPr>
                <w:rFonts w:cs="Arial"/>
                <w:color w:val="000000"/>
              </w:rPr>
              <w:br/>
            </w:r>
            <w:r w:rsidRPr="00A07AE3">
              <w:rPr>
                <w:rFonts w:cs="Arial"/>
                <w:color w:val="000000"/>
              </w:rPr>
              <w:br/>
              <w:t>In our experience, I would expect the cost of clinician time to be the primary driver of cost-effectiveness. The cost of dressings is typically 10-15% of the total cost of wound management. Anything higher than that would suggest errors in the modelling.</w:t>
            </w:r>
          </w:p>
        </w:tc>
        <w:tc>
          <w:tcPr>
            <w:tcW w:w="3610" w:type="dxa"/>
          </w:tcPr>
          <w:p w14:paraId="5FC21D95" w14:textId="50000DB2" w:rsidR="00F06BB6" w:rsidRPr="00A07AE3" w:rsidRDefault="00F06BB6" w:rsidP="00A07AE3">
            <w:pPr>
              <w:pStyle w:val="Paragraph"/>
              <w:spacing w:line="240" w:lineRule="auto"/>
            </w:pPr>
            <w:r w:rsidRPr="00A07AE3">
              <w:t xml:space="preserve">Thank you for your comment. The EAG modelled the frequency of dressing changes independently to nurse visits. The EAG took resource use from Guest and Fuller 2023, as a UK based source. Costs were applied based on the health state, as described by this source. </w:t>
            </w:r>
          </w:p>
          <w:p w14:paraId="30BAC616" w14:textId="7699DC3E" w:rsidR="00F06BB6" w:rsidRPr="00A07AE3" w:rsidRDefault="00F06BB6" w:rsidP="00A07AE3">
            <w:pPr>
              <w:pStyle w:val="Paragraph"/>
              <w:spacing w:line="240" w:lineRule="auto"/>
              <w:rPr>
                <w:lang w:eastAsia="en-GB"/>
              </w:rPr>
            </w:pPr>
            <w:r w:rsidRPr="00A07AE3">
              <w:t>The EAG’s second addendum explored this assumption in a scenario analysis. Please see comment 80 for more information.</w:t>
            </w:r>
          </w:p>
        </w:tc>
      </w:tr>
      <w:tr w:rsidR="00F06BB6" w14:paraId="579A04F5" w14:textId="77777777" w:rsidTr="00E21FCF">
        <w:tc>
          <w:tcPr>
            <w:tcW w:w="1323" w:type="dxa"/>
          </w:tcPr>
          <w:p w14:paraId="362226A3"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7311A4C" w14:textId="50CC9138" w:rsidR="00F06BB6" w:rsidRPr="00A07AE3" w:rsidRDefault="00F06BB6"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11CAC2B5" w14:textId="52EBEF61" w:rsidR="00F06BB6" w:rsidRPr="00A07AE3" w:rsidRDefault="00F06BB6" w:rsidP="00A07AE3">
            <w:pPr>
              <w:pStyle w:val="Paragraph"/>
              <w:spacing w:line="240" w:lineRule="auto"/>
              <w:rPr>
                <w:lang w:eastAsia="en-GB"/>
              </w:rPr>
            </w:pPr>
            <w:r w:rsidRPr="00A07AE3">
              <w:rPr>
                <w:rFonts w:cs="Arial"/>
                <w:color w:val="000000"/>
              </w:rPr>
              <w:t>Not specified</w:t>
            </w:r>
          </w:p>
        </w:tc>
        <w:tc>
          <w:tcPr>
            <w:tcW w:w="5805" w:type="dxa"/>
            <w:tcBorders>
              <w:top w:val="single" w:sz="4" w:space="0" w:color="auto"/>
              <w:left w:val="single" w:sz="4" w:space="0" w:color="auto"/>
              <w:bottom w:val="single" w:sz="4" w:space="0" w:color="auto"/>
              <w:right w:val="nil"/>
            </w:tcBorders>
            <w:shd w:val="clear" w:color="auto" w:fill="auto"/>
          </w:tcPr>
          <w:p w14:paraId="2A9C5F37" w14:textId="404B3481" w:rsidR="00F06BB6" w:rsidRPr="00A07AE3" w:rsidRDefault="00F06BB6" w:rsidP="00A07AE3">
            <w:pPr>
              <w:pStyle w:val="Paragraph"/>
              <w:spacing w:line="240" w:lineRule="auto"/>
              <w:rPr>
                <w:lang w:eastAsia="en-GB"/>
              </w:rPr>
            </w:pPr>
            <w:r w:rsidRPr="00A07AE3">
              <w:rPr>
                <w:rFonts w:cs="Arial"/>
                <w:color w:val="000000"/>
              </w:rPr>
              <w:t>Wear time assumptions for iodine are inaccurate (EAG report table 7.8).</w:t>
            </w:r>
            <w:r w:rsidRPr="00A07AE3">
              <w:rPr>
                <w:rFonts w:cs="Arial"/>
                <w:color w:val="000000"/>
              </w:rPr>
              <w:br/>
            </w:r>
            <w:r w:rsidRPr="00A07AE3">
              <w:rPr>
                <w:rFonts w:cs="Arial"/>
                <w:color w:val="000000"/>
              </w:rPr>
              <w:br/>
              <w:t xml:space="preserve">Iodine wear time for infected wounds was not directly reported in any of the included studies so the EAG authors elected to estimate frequency of </w:t>
            </w:r>
            <w:r w:rsidRPr="00A07AE3">
              <w:rPr>
                <w:rFonts w:cs="Arial"/>
                <w:color w:val="000000"/>
              </w:rPr>
              <w:lastRenderedPageBreak/>
              <w:t xml:space="preserve">dressing changes by creating a multiplier from </w:t>
            </w:r>
            <w:proofErr w:type="spellStart"/>
            <w:r w:rsidRPr="00A07AE3">
              <w:rPr>
                <w:rFonts w:cs="Arial"/>
                <w:color w:val="000000"/>
              </w:rPr>
              <w:t>Meaume</w:t>
            </w:r>
            <w:proofErr w:type="spellEnd"/>
            <w:r w:rsidRPr="00A07AE3">
              <w:rPr>
                <w:rFonts w:cs="Arial"/>
                <w:color w:val="000000"/>
              </w:rPr>
              <w:t xml:space="preserve">, 2005. </w:t>
            </w:r>
            <w:proofErr w:type="spellStart"/>
            <w:r w:rsidRPr="00A07AE3">
              <w:rPr>
                <w:rFonts w:cs="Arial"/>
                <w:color w:val="000000"/>
              </w:rPr>
              <w:t>Meaume</w:t>
            </w:r>
            <w:proofErr w:type="spellEnd"/>
            <w:r w:rsidRPr="00A07AE3">
              <w:rPr>
                <w:rFonts w:cs="Arial"/>
                <w:color w:val="000000"/>
              </w:rPr>
              <w:t xml:space="preserve"> 2005 examines silver alginate dressings (</w:t>
            </w:r>
            <w:proofErr w:type="spellStart"/>
            <w:r w:rsidRPr="00A07AE3">
              <w:rPr>
                <w:rFonts w:cs="Arial"/>
                <w:color w:val="000000"/>
              </w:rPr>
              <w:t>Silvercel</w:t>
            </w:r>
            <w:proofErr w:type="spellEnd"/>
            <w:r w:rsidRPr="00A07AE3">
              <w:rPr>
                <w:rFonts w:cs="Arial"/>
                <w:color w:val="000000"/>
              </w:rPr>
              <w:t xml:space="preserve">) vs non-silver alginate dressings. There is no reason to believe this ratio of usage will apply for iodine dressings. Unlike silver dressings, iodine dressings are known to quickly "white out" in clinical practice and become exhausted of molecular iodine. A much safer assumption would be to consider the manufacturer's suggested usage (up to twice per day for infected or highly exuding wounds). This assumption is reflective of clinical practice. </w:t>
            </w:r>
            <w:proofErr w:type="spellStart"/>
            <w:r w:rsidRPr="00A07AE3">
              <w:rPr>
                <w:rFonts w:cs="Arial"/>
                <w:color w:val="000000"/>
              </w:rPr>
              <w:t>Cadexomer</w:t>
            </w:r>
            <w:proofErr w:type="spellEnd"/>
            <w:r w:rsidRPr="00A07AE3">
              <w:rPr>
                <w:rFonts w:cs="Arial"/>
                <w:color w:val="000000"/>
              </w:rPr>
              <w:t xml:space="preserve"> iodine dressings required changing 8 times/week (range 5–16 times/week) (Schwartz et al. A prospective, non-comparative, </w:t>
            </w:r>
            <w:proofErr w:type="spellStart"/>
            <w:r w:rsidRPr="00A07AE3">
              <w:rPr>
                <w:rFonts w:cs="Arial"/>
                <w:color w:val="000000"/>
              </w:rPr>
              <w:t>multicenter</w:t>
            </w:r>
            <w:proofErr w:type="spellEnd"/>
            <w:r w:rsidRPr="00A07AE3">
              <w:rPr>
                <w:rFonts w:cs="Arial"/>
                <w:color w:val="000000"/>
              </w:rPr>
              <w:t xml:space="preserve"> study to investigate the effect of </w:t>
            </w:r>
            <w:proofErr w:type="spellStart"/>
            <w:r w:rsidRPr="00A07AE3">
              <w:rPr>
                <w:rFonts w:cs="Arial"/>
                <w:color w:val="000000"/>
              </w:rPr>
              <w:t>cadexomer</w:t>
            </w:r>
            <w:proofErr w:type="spellEnd"/>
            <w:r w:rsidRPr="00A07AE3">
              <w:rPr>
                <w:rFonts w:cs="Arial"/>
                <w:color w:val="000000"/>
              </w:rPr>
              <w:t xml:space="preserve"> iodine on bioburden load and other wound characteristics in diabetic foot ulcers. Int Wound J 2013; 10: 193-199). Whilst this is not a study specific to infected VLUs, it is likely to be more reflective of real-world practice than the “up to 3 days” maximum wear time assumed by the LSA authors in the absence of evidence.</w:t>
            </w:r>
            <w:r w:rsidRPr="00A07AE3">
              <w:rPr>
                <w:rFonts w:cs="Arial"/>
                <w:color w:val="000000"/>
              </w:rPr>
              <w:br/>
            </w:r>
            <w:r w:rsidRPr="00A07AE3">
              <w:rPr>
                <w:rFonts w:cs="Arial"/>
                <w:color w:val="000000"/>
              </w:rPr>
              <w:br/>
              <w:t xml:space="preserve">This inaccurate assumption was flagged as a factual inaccurate by both </w:t>
            </w:r>
            <w:proofErr w:type="spellStart"/>
            <w:r w:rsidRPr="00A07AE3">
              <w:rPr>
                <w:rFonts w:cs="Arial"/>
                <w:color w:val="000000"/>
              </w:rPr>
              <w:t>Convatec</w:t>
            </w:r>
            <w:proofErr w:type="spellEnd"/>
            <w:r w:rsidRPr="00A07AE3">
              <w:rPr>
                <w:rFonts w:cs="Arial"/>
                <w:color w:val="000000"/>
              </w:rPr>
              <w:t xml:space="preserve"> and </w:t>
            </w:r>
            <w:proofErr w:type="spellStart"/>
            <w:r w:rsidRPr="00A07AE3">
              <w:rPr>
                <w:rFonts w:cs="Arial"/>
                <w:color w:val="000000"/>
              </w:rPr>
              <w:t>B.Braun</w:t>
            </w:r>
            <w:proofErr w:type="spellEnd"/>
            <w:r w:rsidRPr="00A07AE3">
              <w:rPr>
                <w:rFonts w:cs="Arial"/>
                <w:color w:val="000000"/>
              </w:rPr>
              <w:t xml:space="preserve"> (comments 53 and 157, respectively, in the EAR factual accuracy comments). The response from the EAG to these comments is not sufficient. The EAG responded that "the number of dressing changes was explored in sensitivity and scenario analysis." </w:t>
            </w:r>
            <w:r w:rsidRPr="00A07AE3">
              <w:rPr>
                <w:rFonts w:cs="Arial"/>
                <w:color w:val="000000"/>
              </w:rPr>
              <w:lastRenderedPageBreak/>
              <w:t xml:space="preserve">However, in the scenario analyses, the EAG only explored a change in dressing frequencies to make ALL dressings the same (either all changed once per </w:t>
            </w:r>
            <w:proofErr w:type="gramStart"/>
            <w:r w:rsidRPr="00A07AE3">
              <w:rPr>
                <w:rFonts w:cs="Arial"/>
                <w:color w:val="000000"/>
              </w:rPr>
              <w:t>week</w:t>
            </w:r>
            <w:proofErr w:type="gramEnd"/>
            <w:r w:rsidRPr="00A07AE3">
              <w:rPr>
                <w:rFonts w:cs="Arial"/>
                <w:color w:val="000000"/>
              </w:rPr>
              <w:t xml:space="preserve"> or all changed 3 times per week). This does not address the flawed assumptions with iodine dressing change frequency (by setting all dressing change frequencies to the same value, it effectively removes dressing change frequency as a drive of cost-effectiveness). To address this flawed assumption, the EAG should update the dressing change frequency for iodine in the main analysis.</w:t>
            </w:r>
          </w:p>
        </w:tc>
        <w:tc>
          <w:tcPr>
            <w:tcW w:w="3610" w:type="dxa"/>
          </w:tcPr>
          <w:p w14:paraId="4BFD8311" w14:textId="1E85F32D" w:rsidR="00F06BB6" w:rsidRPr="00A07AE3" w:rsidRDefault="00F06BB6" w:rsidP="00A07AE3">
            <w:pPr>
              <w:pStyle w:val="Paragraph"/>
              <w:spacing w:line="240" w:lineRule="auto"/>
              <w:rPr>
                <w:lang w:eastAsia="en-GB"/>
              </w:rPr>
            </w:pPr>
            <w:r w:rsidRPr="00A07AE3">
              <w:lastRenderedPageBreak/>
              <w:t>Thank you for your comment. Please see response to comment 99.</w:t>
            </w:r>
          </w:p>
        </w:tc>
      </w:tr>
      <w:tr w:rsidR="00F06BB6" w14:paraId="711E6DE0" w14:textId="77777777" w:rsidTr="00E21FCF">
        <w:tc>
          <w:tcPr>
            <w:tcW w:w="1323" w:type="dxa"/>
          </w:tcPr>
          <w:p w14:paraId="4ABD066B"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0AC016D" w14:textId="202A11A8" w:rsidR="00F06BB6" w:rsidRPr="00A07AE3" w:rsidRDefault="00F06BB6" w:rsidP="00A07AE3">
            <w:pPr>
              <w:pStyle w:val="Paragraph"/>
              <w:spacing w:line="240" w:lineRule="auto"/>
              <w:rPr>
                <w:lang w:eastAsia="en-GB"/>
              </w:rPr>
            </w:pPr>
            <w:r w:rsidRPr="00A07AE3">
              <w:rPr>
                <w:rFonts w:cs="Arial"/>
                <w:color w:val="000000"/>
              </w:rPr>
              <w:t>Consultee 14</w:t>
            </w:r>
            <w:r w:rsidRPr="00A07AE3">
              <w:rPr>
                <w:rFonts w:cs="Arial"/>
                <w:color w:val="000000"/>
              </w:rPr>
              <w:br/>
              <w:t>Essity</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71BF822B" w14:textId="08F416E0" w:rsidR="00F06BB6" w:rsidRPr="00A07AE3" w:rsidRDefault="00F06BB6" w:rsidP="00A07AE3">
            <w:pPr>
              <w:pStyle w:val="Paragraph"/>
              <w:spacing w:line="240" w:lineRule="auto"/>
              <w:rPr>
                <w:lang w:eastAsia="en-GB"/>
              </w:rPr>
            </w:pPr>
            <w:r w:rsidRPr="00A07AE3">
              <w:rPr>
                <w:rFonts w:cs="Arial"/>
                <w:color w:val="000000"/>
              </w:rPr>
              <w:t xml:space="preserve">2 </w:t>
            </w:r>
          </w:p>
        </w:tc>
        <w:tc>
          <w:tcPr>
            <w:tcW w:w="5805" w:type="dxa"/>
            <w:tcBorders>
              <w:top w:val="single" w:sz="4" w:space="0" w:color="auto"/>
              <w:left w:val="single" w:sz="4" w:space="0" w:color="auto"/>
              <w:bottom w:val="single" w:sz="4" w:space="0" w:color="auto"/>
              <w:right w:val="nil"/>
            </w:tcBorders>
            <w:shd w:val="clear" w:color="auto" w:fill="auto"/>
          </w:tcPr>
          <w:p w14:paraId="5AF1A813" w14:textId="171E55BC" w:rsidR="00F06BB6" w:rsidRPr="00A07AE3" w:rsidRDefault="00F06BB6" w:rsidP="00A07AE3">
            <w:pPr>
              <w:pStyle w:val="Paragraph"/>
              <w:spacing w:line="240" w:lineRule="auto"/>
              <w:rPr>
                <w:lang w:eastAsia="en-GB"/>
              </w:rPr>
            </w:pPr>
            <w:r w:rsidRPr="00A07AE3">
              <w:rPr>
                <w:rFonts w:cs="Arial"/>
                <w:color w:val="000000"/>
              </w:rPr>
              <w:t xml:space="preserve">• Merging of </w:t>
            </w:r>
            <w:proofErr w:type="spellStart"/>
            <w:r w:rsidRPr="00A07AE3">
              <w:rPr>
                <w:rFonts w:cs="Arial"/>
                <w:color w:val="000000"/>
              </w:rPr>
              <w:t>Iodoflex</w:t>
            </w:r>
            <w:proofErr w:type="spellEnd"/>
            <w:r w:rsidRPr="00A07AE3">
              <w:rPr>
                <w:rFonts w:cs="Arial"/>
                <w:color w:val="000000"/>
              </w:rPr>
              <w:t xml:space="preserve"> and Iodine is not accurate as very different products that have different wear times</w:t>
            </w:r>
          </w:p>
        </w:tc>
        <w:tc>
          <w:tcPr>
            <w:tcW w:w="3610" w:type="dxa"/>
          </w:tcPr>
          <w:p w14:paraId="03C9D5DF" w14:textId="2633A06A" w:rsidR="00F06BB6" w:rsidRPr="00A07AE3" w:rsidRDefault="00F06BB6" w:rsidP="00A07AE3">
            <w:pPr>
              <w:pStyle w:val="Paragraph"/>
              <w:spacing w:line="240" w:lineRule="auto"/>
              <w:rPr>
                <w:lang w:eastAsia="en-GB"/>
              </w:rPr>
            </w:pPr>
            <w:r w:rsidRPr="00A07AE3">
              <w:t xml:space="preserve">Thank you for your comment. The EAG’s report details the sub-agent analysis </w:t>
            </w:r>
            <w:proofErr w:type="gramStart"/>
            <w:r w:rsidRPr="00A07AE3">
              <w:t>conducted,</w:t>
            </w:r>
            <w:proofErr w:type="gramEnd"/>
            <w:r w:rsidRPr="00A07AE3">
              <w:t xml:space="preserve"> this includes </w:t>
            </w:r>
            <w:proofErr w:type="spellStart"/>
            <w:r w:rsidRPr="00A07AE3">
              <w:t>Cadexomer</w:t>
            </w:r>
            <w:proofErr w:type="spellEnd"/>
            <w:r w:rsidRPr="00A07AE3">
              <w:t xml:space="preserve"> iodine. </w:t>
            </w:r>
            <w:proofErr w:type="spellStart"/>
            <w:r w:rsidRPr="00A07AE3">
              <w:t>Cadexomer</w:t>
            </w:r>
            <w:proofErr w:type="spellEnd"/>
            <w:r w:rsidRPr="00A07AE3">
              <w:t xml:space="preserve"> iodine consists of </w:t>
            </w:r>
            <w:proofErr w:type="spellStart"/>
            <w:r w:rsidRPr="00A07AE3">
              <w:t>Iodoflex</w:t>
            </w:r>
            <w:proofErr w:type="spellEnd"/>
            <w:r w:rsidRPr="00A07AE3">
              <w:t xml:space="preserve"> paste dressing and </w:t>
            </w:r>
            <w:proofErr w:type="spellStart"/>
            <w:r w:rsidRPr="00A07AE3">
              <w:t>Iodosorb</w:t>
            </w:r>
            <w:proofErr w:type="spellEnd"/>
            <w:r w:rsidRPr="00A07AE3">
              <w:t xml:space="preserve"> ointment dressing (as per part </w:t>
            </w:r>
            <w:proofErr w:type="spellStart"/>
            <w:r w:rsidRPr="00A07AE3">
              <w:t>IXa</w:t>
            </w:r>
            <w:proofErr w:type="spellEnd"/>
            <w:r w:rsidRPr="00A07AE3">
              <w:t xml:space="preserve"> of the Drug Tariff).</w:t>
            </w:r>
          </w:p>
        </w:tc>
      </w:tr>
      <w:tr w:rsidR="00F06BB6" w14:paraId="3E755275" w14:textId="77777777" w:rsidTr="00E21FCF">
        <w:tc>
          <w:tcPr>
            <w:tcW w:w="1323" w:type="dxa"/>
          </w:tcPr>
          <w:p w14:paraId="376A2E79"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7F85BAC9" w14:textId="01CBD648" w:rsidR="00F06BB6" w:rsidRPr="00A07AE3" w:rsidRDefault="00F06BB6" w:rsidP="00A07AE3">
            <w:pPr>
              <w:pStyle w:val="Paragraph"/>
              <w:spacing w:line="240" w:lineRule="auto"/>
              <w:rPr>
                <w:lang w:eastAsia="en-GB"/>
              </w:rPr>
            </w:pPr>
            <w:r w:rsidRPr="00A07AE3">
              <w:rPr>
                <w:rFonts w:cs="Arial"/>
                <w:color w:val="000000"/>
              </w:rPr>
              <w:t>Consultee 14</w:t>
            </w:r>
            <w:r w:rsidRPr="00A07AE3">
              <w:rPr>
                <w:rFonts w:cs="Arial"/>
                <w:color w:val="000000"/>
              </w:rPr>
              <w:br/>
              <w:t>Essity</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485BA143" w14:textId="03E8387D" w:rsidR="00F06BB6" w:rsidRPr="00A07AE3" w:rsidRDefault="00F06BB6" w:rsidP="00A07AE3">
            <w:pPr>
              <w:pStyle w:val="Paragraph"/>
              <w:spacing w:line="240" w:lineRule="auto"/>
              <w:rPr>
                <w:lang w:eastAsia="en-GB"/>
              </w:rPr>
            </w:pPr>
            <w:r w:rsidRPr="00A07AE3">
              <w:rPr>
                <w:rFonts w:cs="Arial"/>
                <w:color w:val="000000"/>
              </w:rPr>
              <w:t>2.4 2 The technology</w:t>
            </w:r>
          </w:p>
        </w:tc>
        <w:tc>
          <w:tcPr>
            <w:tcW w:w="5805" w:type="dxa"/>
            <w:tcBorders>
              <w:top w:val="single" w:sz="4" w:space="0" w:color="auto"/>
              <w:left w:val="single" w:sz="4" w:space="0" w:color="auto"/>
              <w:bottom w:val="single" w:sz="4" w:space="0" w:color="auto"/>
              <w:right w:val="nil"/>
            </w:tcBorders>
            <w:shd w:val="clear" w:color="auto" w:fill="auto"/>
          </w:tcPr>
          <w:p w14:paraId="7E466512" w14:textId="269439DA" w:rsidR="00F06BB6" w:rsidRPr="00A07AE3" w:rsidRDefault="00F06BB6" w:rsidP="00A07AE3">
            <w:pPr>
              <w:pStyle w:val="Paragraph"/>
              <w:spacing w:line="240" w:lineRule="auto"/>
              <w:rPr>
                <w:lang w:eastAsia="en-GB"/>
              </w:rPr>
            </w:pPr>
            <w:r w:rsidRPr="00A07AE3">
              <w:rPr>
                <w:rFonts w:cs="Arial"/>
                <w:color w:val="000000"/>
              </w:rPr>
              <w:t xml:space="preserve">Enzyme </w:t>
            </w:r>
            <w:proofErr w:type="spellStart"/>
            <w:r w:rsidRPr="00A07AE3">
              <w:rPr>
                <w:rFonts w:cs="Arial"/>
                <w:color w:val="000000"/>
              </w:rPr>
              <w:t>alginogel</w:t>
            </w:r>
            <w:proofErr w:type="spellEnd"/>
            <w:r w:rsidRPr="00A07AE3">
              <w:rPr>
                <w:rFonts w:cs="Arial"/>
                <w:color w:val="000000"/>
              </w:rPr>
              <w:t xml:space="preserve">, </w:t>
            </w:r>
            <w:proofErr w:type="spellStart"/>
            <w:r w:rsidRPr="00A07AE3">
              <w:rPr>
                <w:rFonts w:cs="Arial"/>
                <w:color w:val="000000"/>
              </w:rPr>
              <w:t>octenidine</w:t>
            </w:r>
            <w:proofErr w:type="spellEnd"/>
            <w:r w:rsidRPr="00A07AE3">
              <w:rPr>
                <w:rFonts w:cs="Arial"/>
                <w:color w:val="000000"/>
              </w:rPr>
              <w:t xml:space="preserve">, DACC and chlorhexidine are excluded from the above table as the usage per week is unknown. Essity would like to understand what is meant by unknown usage per </w:t>
            </w:r>
            <w:proofErr w:type="gramStart"/>
            <w:r w:rsidRPr="00A07AE3">
              <w:rPr>
                <w:rFonts w:cs="Arial"/>
                <w:color w:val="000000"/>
              </w:rPr>
              <w:t>week ?</w:t>
            </w:r>
            <w:proofErr w:type="gramEnd"/>
            <w:r w:rsidRPr="00A07AE3">
              <w:rPr>
                <w:rFonts w:cs="Arial"/>
                <w:color w:val="000000"/>
              </w:rPr>
              <w:t xml:space="preserve"> All product in DACC range have IFU stating wear </w:t>
            </w:r>
            <w:proofErr w:type="gramStart"/>
            <w:r w:rsidRPr="00A07AE3">
              <w:rPr>
                <w:rFonts w:cs="Arial"/>
                <w:color w:val="000000"/>
              </w:rPr>
              <w:t>times ?</w:t>
            </w:r>
            <w:proofErr w:type="gramEnd"/>
          </w:p>
        </w:tc>
        <w:tc>
          <w:tcPr>
            <w:tcW w:w="3610" w:type="dxa"/>
          </w:tcPr>
          <w:p w14:paraId="6DA06CA8" w14:textId="5F5EA7A4" w:rsidR="00F06BB6" w:rsidRPr="00A07AE3" w:rsidRDefault="00F06BB6" w:rsidP="00A07AE3">
            <w:pPr>
              <w:pStyle w:val="Paragraph"/>
              <w:spacing w:line="240" w:lineRule="auto"/>
            </w:pPr>
            <w:r w:rsidRPr="00A07AE3">
              <w:t xml:space="preserve">Thank you for your comment. The EAG excluded these agents from the analysis due to a lack of evidence of a healing rate. Therefore, per week usage of these agents </w:t>
            </w:r>
            <w:proofErr w:type="gramStart"/>
            <w:r w:rsidRPr="00A07AE3">
              <w:t>were</w:t>
            </w:r>
            <w:proofErr w:type="gramEnd"/>
            <w:r w:rsidRPr="00A07AE3">
              <w:t xml:space="preserve"> not </w:t>
            </w:r>
            <w:r w:rsidRPr="00A07AE3">
              <w:lastRenderedPageBreak/>
              <w:t xml:space="preserve">applicable. Please see Table 7.3 of the EAR for more details. </w:t>
            </w:r>
          </w:p>
        </w:tc>
      </w:tr>
      <w:tr w:rsidR="00F06BB6" w14:paraId="7BAF2B14" w14:textId="77777777" w:rsidTr="00E21FCF">
        <w:tc>
          <w:tcPr>
            <w:tcW w:w="1323" w:type="dxa"/>
          </w:tcPr>
          <w:p w14:paraId="24C6B899"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76A49A06" w14:textId="651A9C03" w:rsidR="00F06BB6" w:rsidRPr="00A07AE3" w:rsidRDefault="00F06BB6"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23B5CD38" w14:textId="48DFF9C1" w:rsidR="00F06BB6" w:rsidRPr="00A07AE3" w:rsidRDefault="00F06BB6" w:rsidP="00A07AE3">
            <w:pPr>
              <w:pStyle w:val="Paragraph"/>
              <w:spacing w:line="240" w:lineRule="auto"/>
              <w:rPr>
                <w:rFonts w:cs="Arial"/>
                <w:color w:val="000000"/>
              </w:rPr>
            </w:pPr>
            <w:r w:rsidRPr="00A07AE3">
              <w:rPr>
                <w:rFonts w:cs="Arial"/>
                <w:color w:val="000000"/>
              </w:rPr>
              <w:t>EAR</w:t>
            </w:r>
          </w:p>
        </w:tc>
        <w:tc>
          <w:tcPr>
            <w:tcW w:w="5805" w:type="dxa"/>
            <w:tcBorders>
              <w:top w:val="single" w:sz="4" w:space="0" w:color="auto"/>
              <w:left w:val="single" w:sz="4" w:space="0" w:color="auto"/>
              <w:bottom w:val="single" w:sz="4" w:space="0" w:color="auto"/>
              <w:right w:val="nil"/>
            </w:tcBorders>
            <w:shd w:val="clear" w:color="auto" w:fill="auto"/>
          </w:tcPr>
          <w:p w14:paraId="108EACB2" w14:textId="7DA40CA0" w:rsidR="00F06BB6" w:rsidRPr="00A07AE3" w:rsidRDefault="00F06BB6" w:rsidP="00A07AE3">
            <w:pPr>
              <w:pStyle w:val="Paragraph"/>
              <w:spacing w:line="240" w:lineRule="auto"/>
              <w:rPr>
                <w:rFonts w:cs="Arial"/>
                <w:color w:val="000000"/>
              </w:rPr>
            </w:pPr>
            <w:r w:rsidRPr="00A07AE3">
              <w:rPr>
                <w:rFonts w:cs="Arial"/>
                <w:color w:val="000000"/>
              </w:rPr>
              <w:t>Gago (2008) – EAG assumption that patients were only managed once with the silver dressings is incorrect. Treatment with the silver dressings continued until clinical signs of infection were resolved (hence the ability to measure number of dressings used)</w:t>
            </w:r>
          </w:p>
        </w:tc>
        <w:tc>
          <w:tcPr>
            <w:tcW w:w="3610" w:type="dxa"/>
          </w:tcPr>
          <w:p w14:paraId="4C83E9DA" w14:textId="4FE0E54F" w:rsidR="00F06BB6" w:rsidRPr="00A07AE3" w:rsidRDefault="00F06BB6" w:rsidP="00A07AE3">
            <w:pPr>
              <w:pStyle w:val="Paragraph"/>
              <w:spacing w:line="240" w:lineRule="auto"/>
              <w:rPr>
                <w:lang w:eastAsia="en-GB"/>
              </w:rPr>
            </w:pPr>
            <w:r w:rsidRPr="00A07AE3">
              <w:rPr>
                <w:rFonts w:cs="Arial"/>
                <w:lang w:eastAsia="en-GB"/>
              </w:rPr>
              <w:t xml:space="preserve">Thank you for your comment. The EAG did not make this assumption in their model. As per Table 7.8, people with an infected, unhealed wound with a silver AMD will receive 1.5 dressings per week, and those with a non-infected unhealed wound will receive 1 silver AMD per week. The EAG’s second addendum allowed for silver dressings to be prescribed for up to 12 weeks The number of dressings required per week depends upon frequency of dressing changes and health state occupancy.  </w:t>
            </w:r>
          </w:p>
        </w:tc>
      </w:tr>
      <w:tr w:rsidR="00F06BB6" w14:paraId="4FE4F549" w14:textId="77777777" w:rsidTr="00E21FCF">
        <w:tc>
          <w:tcPr>
            <w:tcW w:w="1323" w:type="dxa"/>
          </w:tcPr>
          <w:p w14:paraId="0A14AB22"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55F5FD69" w14:textId="050F428B" w:rsidR="00F06BB6" w:rsidRPr="00A07AE3" w:rsidRDefault="00F06BB6"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907789D" w14:textId="35787A7B" w:rsidR="00F06BB6" w:rsidRPr="00A07AE3" w:rsidRDefault="00F06BB6" w:rsidP="00A07AE3">
            <w:pPr>
              <w:pStyle w:val="Paragraph"/>
              <w:spacing w:line="240" w:lineRule="auto"/>
              <w:rPr>
                <w:rFonts w:cs="Arial"/>
                <w:color w:val="000000"/>
              </w:rPr>
            </w:pPr>
            <w:r w:rsidRPr="00A07AE3">
              <w:rPr>
                <w:rFonts w:cs="Arial"/>
                <w:color w:val="000000"/>
              </w:rPr>
              <w:t>EAR</w:t>
            </w:r>
          </w:p>
        </w:tc>
        <w:tc>
          <w:tcPr>
            <w:tcW w:w="5805" w:type="dxa"/>
            <w:tcBorders>
              <w:top w:val="single" w:sz="4" w:space="0" w:color="auto"/>
              <w:left w:val="single" w:sz="4" w:space="0" w:color="auto"/>
              <w:bottom w:val="single" w:sz="4" w:space="0" w:color="auto"/>
              <w:right w:val="nil"/>
            </w:tcBorders>
            <w:shd w:val="clear" w:color="auto" w:fill="auto"/>
          </w:tcPr>
          <w:p w14:paraId="0EAB0637" w14:textId="69FF8C0F" w:rsidR="00F06BB6" w:rsidRPr="00A07AE3" w:rsidRDefault="00F06BB6" w:rsidP="00A07AE3">
            <w:pPr>
              <w:pStyle w:val="Paragraph"/>
              <w:spacing w:line="240" w:lineRule="auto"/>
              <w:rPr>
                <w:rFonts w:cs="Arial"/>
                <w:color w:val="000000"/>
              </w:rPr>
            </w:pPr>
            <w:r w:rsidRPr="00A07AE3">
              <w:rPr>
                <w:rFonts w:cs="Arial"/>
                <w:color w:val="000000"/>
              </w:rPr>
              <w:t xml:space="preserve">Analysis of dressing changes in Gago 2008 Assessment states “At 8 weeks’ follow up, more dressings changes were recorded in the ionic silver complex dressing arm, but statistical significance was not </w:t>
            </w:r>
            <w:proofErr w:type="gramStart"/>
            <w:r w:rsidRPr="00A07AE3">
              <w:rPr>
                <w:rFonts w:cs="Arial"/>
                <w:color w:val="000000"/>
              </w:rPr>
              <w:t>reported</w:t>
            </w:r>
            <w:proofErr w:type="gramEnd"/>
            <w:r w:rsidRPr="00A07AE3">
              <w:rPr>
                <w:rFonts w:cs="Arial"/>
                <w:color w:val="000000"/>
              </w:rPr>
              <w:t xml:space="preserve"> and it was unclear what factors might be driving the difference” it is clear from the paper that the ACTICOAT (Metallic silver) dressing </w:t>
            </w:r>
            <w:r w:rsidRPr="00A07AE3">
              <w:rPr>
                <w:rFonts w:cs="Arial"/>
                <w:color w:val="000000"/>
              </w:rPr>
              <w:lastRenderedPageBreak/>
              <w:t>resolved infection faster and therefore less dressing changes were required.</w:t>
            </w:r>
          </w:p>
        </w:tc>
        <w:tc>
          <w:tcPr>
            <w:tcW w:w="3610" w:type="dxa"/>
          </w:tcPr>
          <w:p w14:paraId="521A2407" w14:textId="64A4B920" w:rsidR="00F06BB6" w:rsidRPr="00A07AE3" w:rsidRDefault="00F06BB6" w:rsidP="00A07AE3">
            <w:pPr>
              <w:pStyle w:val="Paragraph"/>
              <w:spacing w:line="240" w:lineRule="auto"/>
              <w:rPr>
                <w:lang w:eastAsia="en-GB"/>
              </w:rPr>
            </w:pPr>
            <w:r w:rsidRPr="00A07AE3">
              <w:rPr>
                <w:lang w:eastAsia="en-GB"/>
              </w:rPr>
              <w:lastRenderedPageBreak/>
              <w:t>Thank you for your comment. The EAG have noted this correction in the second addendum to the EAR.</w:t>
            </w:r>
          </w:p>
        </w:tc>
      </w:tr>
      <w:tr w:rsidR="00F06BB6" w14:paraId="356BBAB2" w14:textId="77777777" w:rsidTr="00E21FCF">
        <w:tc>
          <w:tcPr>
            <w:tcW w:w="1323" w:type="dxa"/>
          </w:tcPr>
          <w:p w14:paraId="00061151" w14:textId="77777777" w:rsidR="00F06BB6" w:rsidRPr="00A07AE3" w:rsidRDefault="00F06BB6" w:rsidP="00A07AE3">
            <w:pPr>
              <w:pStyle w:val="Paragraph"/>
              <w:numPr>
                <w:ilvl w:val="0"/>
                <w:numId w:val="27"/>
              </w:numPr>
              <w:spacing w:line="240" w:lineRule="auto"/>
              <w:rPr>
                <w:lang w:eastAsia="en-GB"/>
              </w:rPr>
            </w:pPr>
          </w:p>
        </w:tc>
        <w:tc>
          <w:tcPr>
            <w:tcW w:w="1511" w:type="dxa"/>
            <w:tcBorders>
              <w:top w:val="single" w:sz="4" w:space="0" w:color="auto"/>
              <w:left w:val="nil"/>
              <w:bottom w:val="single" w:sz="4" w:space="0" w:color="auto"/>
              <w:right w:val="single" w:sz="4" w:space="0" w:color="auto"/>
            </w:tcBorders>
            <w:shd w:val="clear" w:color="auto" w:fill="auto"/>
          </w:tcPr>
          <w:p w14:paraId="03D306AE" w14:textId="0BAD1151" w:rsidR="00F06BB6" w:rsidRPr="00A07AE3" w:rsidRDefault="00F06BB6"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1699" w:type="dxa"/>
            <w:tcBorders>
              <w:top w:val="single" w:sz="4" w:space="0" w:color="auto"/>
              <w:left w:val="single" w:sz="4" w:space="0" w:color="auto"/>
              <w:bottom w:val="single" w:sz="4" w:space="0" w:color="auto"/>
              <w:right w:val="single" w:sz="4" w:space="0" w:color="auto"/>
            </w:tcBorders>
            <w:shd w:val="clear" w:color="auto" w:fill="auto"/>
          </w:tcPr>
          <w:p w14:paraId="51B3E1CE" w14:textId="097DF931" w:rsidR="00F06BB6" w:rsidRPr="00A07AE3" w:rsidRDefault="00F06BB6" w:rsidP="00A07AE3">
            <w:pPr>
              <w:pStyle w:val="Paragraph"/>
              <w:spacing w:line="240" w:lineRule="auto"/>
              <w:rPr>
                <w:rFonts w:cs="Arial"/>
                <w:color w:val="000000"/>
              </w:rPr>
            </w:pPr>
            <w:r w:rsidRPr="00A07AE3">
              <w:rPr>
                <w:rFonts w:cs="Arial"/>
                <w:color w:val="000000"/>
              </w:rPr>
              <w:t>EAR</w:t>
            </w:r>
          </w:p>
        </w:tc>
        <w:tc>
          <w:tcPr>
            <w:tcW w:w="5805" w:type="dxa"/>
            <w:tcBorders>
              <w:top w:val="single" w:sz="4" w:space="0" w:color="auto"/>
              <w:left w:val="single" w:sz="4" w:space="0" w:color="auto"/>
              <w:bottom w:val="single" w:sz="4" w:space="0" w:color="auto"/>
              <w:right w:val="nil"/>
            </w:tcBorders>
            <w:shd w:val="clear" w:color="auto" w:fill="auto"/>
          </w:tcPr>
          <w:p w14:paraId="7CEA83DA" w14:textId="40CD7915" w:rsidR="00F06BB6" w:rsidRPr="00A07AE3" w:rsidRDefault="00F06BB6" w:rsidP="00A07AE3">
            <w:pPr>
              <w:pStyle w:val="Paragraph"/>
              <w:spacing w:line="240" w:lineRule="auto"/>
              <w:rPr>
                <w:rFonts w:cs="Arial"/>
                <w:color w:val="000000"/>
              </w:rPr>
            </w:pPr>
            <w:r w:rsidRPr="00A07AE3">
              <w:rPr>
                <w:rFonts w:cs="Arial"/>
                <w:color w:val="000000"/>
              </w:rPr>
              <w:t>Incorrect assumption; Table 7.4. statement that silver dressings should be used for a maximum of 2-4 weeks (Brassington and Crotty 2024) has been mis-interpreted.  AMD dressing such as silver should be used for a minimum of 2-4 weeks followed by a review; at review if the wound is progressing but not all clinical signs of infection resolved AMD should be continued, if clinical signs are resolved the dressing should be stopped and if the wound is not progressing the type of AMD should be re-evaluated. IWII 2022 Dowsett 2020</w:t>
            </w:r>
          </w:p>
        </w:tc>
        <w:tc>
          <w:tcPr>
            <w:tcW w:w="3610" w:type="dxa"/>
          </w:tcPr>
          <w:p w14:paraId="4BD13F07" w14:textId="03A1CE56" w:rsidR="00F06BB6" w:rsidRPr="00A07AE3" w:rsidRDefault="00F06BB6" w:rsidP="00A07AE3">
            <w:pPr>
              <w:pStyle w:val="Paragraph"/>
              <w:spacing w:line="240" w:lineRule="auto"/>
              <w:rPr>
                <w:lang w:eastAsia="en-GB"/>
              </w:rPr>
            </w:pPr>
            <w:r w:rsidRPr="00A07AE3">
              <w:rPr>
                <w:rFonts w:cs="Arial"/>
                <w:lang w:eastAsia="en-GB"/>
              </w:rPr>
              <w:t>Thank you for your comment. Please see response to comment 112.</w:t>
            </w:r>
          </w:p>
        </w:tc>
      </w:tr>
    </w:tbl>
    <w:p w14:paraId="339DC5FF" w14:textId="77777777" w:rsidR="00E21FCF" w:rsidRDefault="00E21FCF" w:rsidP="00E21FCF">
      <w:pPr>
        <w:pStyle w:val="Heading1"/>
        <w:spacing w:line="240" w:lineRule="auto"/>
      </w:pPr>
      <w:r>
        <w:t>Table 16: health economic evaluation, results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79"/>
        <w:gridCol w:w="2217"/>
        <w:gridCol w:w="5134"/>
        <w:gridCol w:w="3595"/>
      </w:tblGrid>
      <w:tr w:rsidR="00F06BB6" w14:paraId="079E8B70" w14:textId="77777777" w:rsidTr="0040681C">
        <w:tc>
          <w:tcPr>
            <w:tcW w:w="1323" w:type="dxa"/>
            <w:shd w:val="clear" w:color="auto" w:fill="D9D9D9" w:themeFill="background1" w:themeFillShade="D9"/>
          </w:tcPr>
          <w:p w14:paraId="66C6E254" w14:textId="48FCF2CD" w:rsidR="00F06BB6" w:rsidRPr="00A07AE3" w:rsidRDefault="00F06BB6" w:rsidP="00A07AE3">
            <w:pPr>
              <w:pStyle w:val="Paragraph"/>
              <w:spacing w:line="240" w:lineRule="auto"/>
              <w:rPr>
                <w:lang w:eastAsia="en-GB"/>
              </w:rPr>
            </w:pPr>
            <w:r w:rsidRPr="00A07AE3">
              <w:rPr>
                <w:b/>
                <w:bCs/>
                <w:lang w:eastAsia="en-GB"/>
              </w:rPr>
              <w:t>Comment no.</w:t>
            </w:r>
          </w:p>
        </w:tc>
        <w:tc>
          <w:tcPr>
            <w:tcW w:w="1679" w:type="dxa"/>
            <w:tcBorders>
              <w:top w:val="single" w:sz="4" w:space="0" w:color="auto"/>
              <w:left w:val="nil"/>
              <w:bottom w:val="single" w:sz="4" w:space="0" w:color="auto"/>
              <w:right w:val="single" w:sz="4" w:space="0" w:color="auto"/>
            </w:tcBorders>
            <w:shd w:val="clear" w:color="auto" w:fill="D9D9D9" w:themeFill="background1" w:themeFillShade="D9"/>
          </w:tcPr>
          <w:p w14:paraId="76E5949E" w14:textId="2AFB7485" w:rsidR="00F06BB6" w:rsidRPr="00A07AE3" w:rsidRDefault="00F06BB6" w:rsidP="00A07AE3">
            <w:pPr>
              <w:pStyle w:val="Paragraph"/>
              <w:spacing w:line="240" w:lineRule="auto"/>
              <w:rPr>
                <w:rFonts w:cs="Arial"/>
                <w:color w:val="000000"/>
              </w:rPr>
            </w:pPr>
            <w:r w:rsidRPr="00A07AE3">
              <w:rPr>
                <w:b/>
                <w:bCs/>
                <w:lang w:eastAsia="en-GB"/>
              </w:rPr>
              <w:t>Consultee</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36503" w14:textId="0BB1E830"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134" w:type="dxa"/>
            <w:tcBorders>
              <w:top w:val="single" w:sz="4" w:space="0" w:color="auto"/>
              <w:left w:val="single" w:sz="4" w:space="0" w:color="auto"/>
              <w:bottom w:val="single" w:sz="4" w:space="0" w:color="auto"/>
              <w:right w:val="nil"/>
            </w:tcBorders>
            <w:shd w:val="clear" w:color="auto" w:fill="D9D9D9" w:themeFill="background1" w:themeFillShade="D9"/>
          </w:tcPr>
          <w:p w14:paraId="2BC7086C" w14:textId="4325330F" w:rsidR="00F06BB6" w:rsidRPr="00A07AE3" w:rsidRDefault="00F06BB6" w:rsidP="00A07AE3">
            <w:pPr>
              <w:pStyle w:val="Paragraph"/>
              <w:spacing w:line="240" w:lineRule="auto"/>
              <w:rPr>
                <w:rFonts w:cs="Arial"/>
                <w:color w:val="000000"/>
              </w:rPr>
            </w:pPr>
            <w:r w:rsidRPr="00A07AE3">
              <w:rPr>
                <w:b/>
                <w:bCs/>
                <w:lang w:eastAsia="en-GB"/>
              </w:rPr>
              <w:t>Comment</w:t>
            </w:r>
          </w:p>
        </w:tc>
        <w:tc>
          <w:tcPr>
            <w:tcW w:w="3595" w:type="dxa"/>
            <w:shd w:val="clear" w:color="auto" w:fill="D9D9D9" w:themeFill="background1" w:themeFillShade="D9"/>
          </w:tcPr>
          <w:p w14:paraId="0D9AD308" w14:textId="05249414" w:rsidR="00F06BB6" w:rsidRPr="00A07AE3" w:rsidRDefault="00F06BB6" w:rsidP="00A07AE3">
            <w:pPr>
              <w:pStyle w:val="Paragraph"/>
              <w:spacing w:line="240" w:lineRule="auto"/>
            </w:pPr>
            <w:r w:rsidRPr="00A07AE3">
              <w:rPr>
                <w:b/>
                <w:bCs/>
                <w:lang w:eastAsia="en-GB"/>
              </w:rPr>
              <w:t>Response</w:t>
            </w:r>
          </w:p>
        </w:tc>
      </w:tr>
      <w:tr w:rsidR="0055692D" w14:paraId="46B9230E" w14:textId="77777777" w:rsidTr="0040681C">
        <w:tc>
          <w:tcPr>
            <w:tcW w:w="1323" w:type="dxa"/>
          </w:tcPr>
          <w:p w14:paraId="35E91BDC" w14:textId="77777777" w:rsidR="0055692D" w:rsidRPr="00A07AE3" w:rsidRDefault="0055692D"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4ADE9A18" w14:textId="777E237E" w:rsidR="0055692D" w:rsidRPr="00A07AE3" w:rsidRDefault="0055692D"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8CA5605" w14:textId="3D249DC6" w:rsidR="0055692D" w:rsidRPr="00A07AE3" w:rsidRDefault="0055692D" w:rsidP="00A07AE3">
            <w:pPr>
              <w:pStyle w:val="Paragraph"/>
              <w:spacing w:line="240" w:lineRule="auto"/>
              <w:rPr>
                <w:lang w:eastAsia="en-GB"/>
              </w:rPr>
            </w:pPr>
            <w:r w:rsidRPr="00A07AE3">
              <w:rPr>
                <w:rFonts w:cs="Arial"/>
                <w:color w:val="000000"/>
              </w:rPr>
              <w:t>3.14 Results of the economic evaluation</w:t>
            </w:r>
          </w:p>
        </w:tc>
        <w:tc>
          <w:tcPr>
            <w:tcW w:w="5134" w:type="dxa"/>
            <w:tcBorders>
              <w:top w:val="single" w:sz="4" w:space="0" w:color="auto"/>
              <w:left w:val="single" w:sz="4" w:space="0" w:color="auto"/>
              <w:bottom w:val="single" w:sz="4" w:space="0" w:color="auto"/>
              <w:right w:val="nil"/>
            </w:tcBorders>
            <w:shd w:val="clear" w:color="auto" w:fill="auto"/>
          </w:tcPr>
          <w:p w14:paraId="6552ECB5" w14:textId="40C5784A" w:rsidR="0055692D" w:rsidRPr="00A07AE3" w:rsidRDefault="0055692D" w:rsidP="00A07AE3">
            <w:pPr>
              <w:pStyle w:val="Paragraph"/>
              <w:spacing w:line="240" w:lineRule="auto"/>
              <w:rPr>
                <w:lang w:eastAsia="en-GB"/>
              </w:rPr>
            </w:pPr>
            <w:r w:rsidRPr="00A07AE3">
              <w:rPr>
                <w:rFonts w:cs="Arial"/>
                <w:color w:val="000000"/>
              </w:rPr>
              <w:t>The EAG concluded that iodine dressings were the most cost-effective - should this not be stated here also?</w:t>
            </w:r>
          </w:p>
        </w:tc>
        <w:tc>
          <w:tcPr>
            <w:tcW w:w="3595" w:type="dxa"/>
          </w:tcPr>
          <w:p w14:paraId="394FD55D" w14:textId="602DC50C" w:rsidR="0055692D" w:rsidRPr="00A07AE3" w:rsidRDefault="0055692D" w:rsidP="00A07AE3">
            <w:pPr>
              <w:pStyle w:val="Paragraph"/>
              <w:spacing w:line="240" w:lineRule="auto"/>
              <w:rPr>
                <w:lang w:eastAsia="en-GB"/>
              </w:rPr>
            </w:pPr>
            <w:r w:rsidRPr="00A07AE3">
              <w:t xml:space="preserve">Thank you for your comment. The conclusion of the </w:t>
            </w:r>
            <w:r w:rsidR="006C0EEB" w:rsidRPr="00A07AE3">
              <w:t xml:space="preserve">EAG’s </w:t>
            </w:r>
            <w:r w:rsidRPr="00A07AE3">
              <w:t xml:space="preserve">report was not that iodine was most cost-effective. </w:t>
            </w:r>
            <w:r w:rsidR="006C0EEB" w:rsidRPr="00A07AE3">
              <w:t xml:space="preserve">The EAG’s conclusion </w:t>
            </w:r>
            <w:r w:rsidR="008C3C7B" w:rsidRPr="00A07AE3">
              <w:t xml:space="preserve">was: </w:t>
            </w:r>
            <w:r w:rsidRPr="00A07AE3">
              <w:t xml:space="preserve">“The current evidence base does not allow a clear assessment of the relative merits of different AMDs in UK </w:t>
            </w:r>
            <w:r w:rsidRPr="00A07AE3">
              <w:lastRenderedPageBreak/>
              <w:t>patients with infected leg ulcers”</w:t>
            </w:r>
          </w:p>
        </w:tc>
      </w:tr>
      <w:tr w:rsidR="0055692D" w14:paraId="0AC0CC2A" w14:textId="77777777" w:rsidTr="0040681C">
        <w:tc>
          <w:tcPr>
            <w:tcW w:w="1323" w:type="dxa"/>
          </w:tcPr>
          <w:p w14:paraId="4782BADC" w14:textId="77777777" w:rsidR="0055692D" w:rsidRPr="00A07AE3" w:rsidRDefault="0055692D"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7D475D8A" w14:textId="72A49409" w:rsidR="0055692D" w:rsidRPr="00A07AE3" w:rsidRDefault="0055692D" w:rsidP="00A07AE3">
            <w:pPr>
              <w:pStyle w:val="Paragraph"/>
              <w:spacing w:line="240" w:lineRule="auto"/>
              <w:rPr>
                <w:lang w:eastAsia="en-GB"/>
              </w:rPr>
            </w:pPr>
            <w:r w:rsidRPr="00A07AE3">
              <w:rPr>
                <w:rFonts w:cs="Arial"/>
                <w:color w:val="000000"/>
              </w:rPr>
              <w:t>Consultee 4</w:t>
            </w:r>
            <w:r w:rsidRPr="00A07AE3">
              <w:rPr>
                <w:rFonts w:cs="Arial"/>
                <w:color w:val="000000"/>
              </w:rPr>
              <w:br/>
              <w:t>Coloplast</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35DC6C3F" w14:textId="2ECFFF5A" w:rsidR="0055692D" w:rsidRPr="00A07AE3" w:rsidRDefault="0055692D" w:rsidP="00A07AE3">
            <w:pPr>
              <w:pStyle w:val="Paragraph"/>
              <w:spacing w:line="240" w:lineRule="auto"/>
              <w:rPr>
                <w:lang w:eastAsia="en-GB"/>
              </w:rPr>
            </w:pPr>
            <w:r w:rsidRPr="00A07AE3">
              <w:rPr>
                <w:rFonts w:cs="Arial"/>
                <w:color w:val="000000"/>
              </w:rPr>
              <w:t>3.13 Results of the economic evaluation</w:t>
            </w:r>
          </w:p>
        </w:tc>
        <w:tc>
          <w:tcPr>
            <w:tcW w:w="5134" w:type="dxa"/>
            <w:tcBorders>
              <w:top w:val="single" w:sz="4" w:space="0" w:color="auto"/>
              <w:left w:val="single" w:sz="4" w:space="0" w:color="auto"/>
              <w:bottom w:val="single" w:sz="4" w:space="0" w:color="auto"/>
              <w:right w:val="nil"/>
            </w:tcBorders>
            <w:shd w:val="clear" w:color="auto" w:fill="auto"/>
          </w:tcPr>
          <w:p w14:paraId="64318321" w14:textId="7C83F0B0" w:rsidR="0055692D" w:rsidRPr="00A07AE3" w:rsidRDefault="0055692D" w:rsidP="00A07AE3">
            <w:pPr>
              <w:pStyle w:val="Paragraph"/>
              <w:spacing w:line="240" w:lineRule="auto"/>
              <w:rPr>
                <w:lang w:eastAsia="en-GB"/>
              </w:rPr>
            </w:pPr>
            <w:r w:rsidRPr="00A07AE3">
              <w:rPr>
                <w:rFonts w:cs="Arial"/>
                <w:color w:val="000000"/>
              </w:rPr>
              <w:t xml:space="preserve">Not </w:t>
            </w:r>
            <w:proofErr w:type="gramStart"/>
            <w:r w:rsidRPr="00A07AE3">
              <w:rPr>
                <w:rFonts w:cs="Arial"/>
                <w:color w:val="000000"/>
              </w:rPr>
              <w:t>all of</w:t>
            </w:r>
            <w:proofErr w:type="gramEnd"/>
            <w:r w:rsidRPr="00A07AE3">
              <w:rPr>
                <w:rFonts w:cs="Arial"/>
                <w:color w:val="000000"/>
              </w:rPr>
              <w:t xml:space="preserve"> the relevant evidence has been considered.</w:t>
            </w:r>
            <w:r w:rsidRPr="00A07AE3">
              <w:rPr>
                <w:rFonts w:cs="Arial"/>
                <w:color w:val="000000"/>
              </w:rPr>
              <w:br/>
              <w:t>Only a small proportion of the sources judged by the EAG to have fully or partially met the decision problem were used to populate the economic model. Thirty-four studies fully or partially met the decision problem (section 4.2), but only seven were used to populate the model (Table 7.3). The rationale for the choice of these studies is not clear.</w:t>
            </w:r>
            <w:r w:rsidRPr="00A07AE3">
              <w:rPr>
                <w:rFonts w:cs="Arial"/>
                <w:color w:val="000000"/>
              </w:rPr>
              <w:br/>
              <w:t xml:space="preserve">This point is particularly relevant in the case of silver. A total of 18 studies of silver dressings fully met the decision problem: Five are UK-based studies, and six are RCTs (Section 4.2). The 4-week healing rate for silver dressings assumed in the economic model was derived from one single-arm study conducted in South Africa (n=14) (Table 7.3). </w:t>
            </w:r>
            <w:r w:rsidRPr="00A07AE3">
              <w:rPr>
                <w:rFonts w:cs="Arial"/>
                <w:color w:val="000000"/>
              </w:rPr>
              <w:br/>
              <w:t xml:space="preserve">When evidence is limited, pooling data from different studies reduces parameter uncertainty and generates confidence intervals around important parameter values. We believe pooling data from comparable studies would have improved the quality of the evidence base. The EAG’s Assessment Report (Appendix D) concludes that it would not have been possible to combine evidence </w:t>
            </w:r>
            <w:r w:rsidRPr="00A07AE3">
              <w:rPr>
                <w:rFonts w:cs="Arial"/>
                <w:color w:val="000000"/>
              </w:rPr>
              <w:lastRenderedPageBreak/>
              <w:t xml:space="preserve">from different studies because a) the comparators in each study are not sufficiently similar to combine results and b) the type of silver dressings differs in different studies (e.g. silver-releasing foam, nanocrystalline silver, silver-containing </w:t>
            </w:r>
            <w:proofErr w:type="spellStart"/>
            <w:r w:rsidRPr="00A07AE3">
              <w:rPr>
                <w:rFonts w:cs="Arial"/>
                <w:color w:val="000000"/>
              </w:rPr>
              <w:t>hydrofiber</w:t>
            </w:r>
            <w:proofErr w:type="spellEnd"/>
            <w:r w:rsidRPr="00A07AE3">
              <w:rPr>
                <w:rFonts w:cs="Arial"/>
                <w:color w:val="000000"/>
              </w:rPr>
              <w:t xml:space="preserve">, and silver-releasing </w:t>
            </w:r>
            <w:proofErr w:type="spellStart"/>
            <w:r w:rsidRPr="00A07AE3">
              <w:rPr>
                <w:rFonts w:cs="Arial"/>
                <w:color w:val="000000"/>
              </w:rPr>
              <w:t>hydroalginate</w:t>
            </w:r>
            <w:proofErr w:type="spellEnd"/>
            <w:r w:rsidRPr="00A07AE3">
              <w:rPr>
                <w:rFonts w:cs="Arial"/>
                <w:color w:val="000000"/>
              </w:rPr>
              <w:t xml:space="preserve">) (Table 10.7). </w:t>
            </w:r>
            <w:r w:rsidRPr="00A07AE3">
              <w:rPr>
                <w:rFonts w:cs="Arial"/>
                <w:color w:val="000000"/>
              </w:rPr>
              <w:br/>
              <w:t>We believe pooling evidence on healing rates and infection resolution would have been a valid approach for generating more accurate and more generalisable outputs. This is because:</w:t>
            </w:r>
            <w:r w:rsidRPr="00A07AE3">
              <w:rPr>
                <w:rFonts w:cs="Arial"/>
                <w:color w:val="000000"/>
              </w:rPr>
              <w:br/>
              <w:t>• The economic model is populated with estimates of healing rates and infection resolution for each antimicrobial compound individually, rather than a comparative treatment effect (e.g. Table 7.4). For this purpose, data on the performance of the intervention is relevant, irrespective of the comparator, so long as the study populations are similar. Not all the relevant evidence is from comparative studies in any case. Pooling of single-arm data would also be possible.</w:t>
            </w:r>
            <w:r w:rsidRPr="00A07AE3">
              <w:rPr>
                <w:rFonts w:cs="Arial"/>
                <w:color w:val="000000"/>
              </w:rPr>
              <w:br/>
              <w:t xml:space="preserve">• Similarly, the base case of the economic model compares compounds defined broadly, irrespective of the different sub-types that are available. For example, “silver” as opposed to separate silver sub-groups. The fact that different studies examined different types of silver dressings should not preclude </w:t>
            </w:r>
            <w:r w:rsidRPr="00A07AE3">
              <w:rPr>
                <w:rFonts w:cs="Arial"/>
                <w:color w:val="000000"/>
              </w:rPr>
              <w:lastRenderedPageBreak/>
              <w:t>combining results.</w:t>
            </w:r>
            <w:r w:rsidRPr="00A07AE3">
              <w:rPr>
                <w:rFonts w:cs="Arial"/>
                <w:color w:val="000000"/>
              </w:rPr>
              <w:br/>
              <w:t>Whether a more in-depth analysis would change the overall conclusions of the economic model is not known, but it would have reduced uncertainty.</w:t>
            </w:r>
          </w:p>
        </w:tc>
        <w:tc>
          <w:tcPr>
            <w:tcW w:w="3595" w:type="dxa"/>
          </w:tcPr>
          <w:p w14:paraId="5A806573" w14:textId="017933EC" w:rsidR="0055692D" w:rsidRPr="00A07AE3" w:rsidRDefault="0055692D" w:rsidP="00A07AE3">
            <w:pPr>
              <w:pStyle w:val="Paragraph"/>
              <w:spacing w:line="240" w:lineRule="auto"/>
              <w:rPr>
                <w:lang w:eastAsia="en-GB"/>
              </w:rPr>
            </w:pPr>
            <w:r w:rsidRPr="00A07AE3">
              <w:lastRenderedPageBreak/>
              <w:t xml:space="preserve">Thank you for your comment. </w:t>
            </w:r>
            <w:r w:rsidR="00C16B20" w:rsidRPr="00A07AE3">
              <w:t>The EAG noted that m</w:t>
            </w:r>
            <w:r w:rsidRPr="00A07AE3">
              <w:t xml:space="preserve">any of the available studies reported outcomes which </w:t>
            </w:r>
            <w:r w:rsidR="008C3C7B" w:rsidRPr="00A07AE3">
              <w:t xml:space="preserve">could </w:t>
            </w:r>
            <w:r w:rsidRPr="00A07AE3">
              <w:t>not be utilised in the model. For example</w:t>
            </w:r>
            <w:r w:rsidR="008C3C7B" w:rsidRPr="00A07AE3">
              <w:t>,</w:t>
            </w:r>
            <w:r w:rsidRPr="00A07AE3">
              <w:t xml:space="preserve"> </w:t>
            </w:r>
            <w:r w:rsidR="008C3C7B" w:rsidRPr="00A07AE3">
              <w:t xml:space="preserve">a key model parameter required </w:t>
            </w:r>
            <w:r w:rsidR="009049C6" w:rsidRPr="00A07AE3">
              <w:t xml:space="preserve">was </w:t>
            </w:r>
            <w:r w:rsidRPr="00A07AE3">
              <w:t xml:space="preserve">time to heal data, </w:t>
            </w:r>
            <w:r w:rsidR="008C3C7B" w:rsidRPr="00A07AE3">
              <w:t xml:space="preserve">whereas healing outcomes were more commonly reported as </w:t>
            </w:r>
            <w:r w:rsidRPr="00A07AE3">
              <w:t xml:space="preserve">proportions of people </w:t>
            </w:r>
            <w:r w:rsidR="008C3C7B" w:rsidRPr="00A07AE3">
              <w:t xml:space="preserve">whose ulcers had </w:t>
            </w:r>
            <w:r w:rsidRPr="00A07AE3">
              <w:t>healed. Pooling data/ conducting a meta-analysis was not feasible</w:t>
            </w:r>
            <w:r w:rsidR="008C3C7B" w:rsidRPr="00A07AE3">
              <w:t xml:space="preserve"> due to the between study heterogeneity</w:t>
            </w:r>
            <w:r w:rsidRPr="00A07AE3">
              <w:t xml:space="preserve">, this was supported by clinical input. </w:t>
            </w:r>
            <w:r w:rsidR="008C3C7B" w:rsidRPr="00A07AE3">
              <w:t>Please s</w:t>
            </w:r>
            <w:r w:rsidRPr="00A07AE3">
              <w:t>ee Appendix D</w:t>
            </w:r>
            <w:r w:rsidR="00ED579E" w:rsidRPr="00A07AE3">
              <w:t xml:space="preserve"> of the EAR for more details</w:t>
            </w:r>
            <w:r w:rsidRPr="00A07AE3">
              <w:t xml:space="preserve">. </w:t>
            </w:r>
          </w:p>
        </w:tc>
      </w:tr>
      <w:tr w:rsidR="001573E5" w14:paraId="061C591C" w14:textId="77777777" w:rsidTr="0040681C">
        <w:tc>
          <w:tcPr>
            <w:tcW w:w="1323" w:type="dxa"/>
          </w:tcPr>
          <w:p w14:paraId="21652381" w14:textId="77777777" w:rsidR="001573E5" w:rsidRPr="00A07AE3" w:rsidRDefault="001573E5"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400FC0D7" w14:textId="6CB59DB3" w:rsidR="001573E5" w:rsidRPr="00A07AE3" w:rsidRDefault="001573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3765BBB1" w14:textId="0E6FCF58" w:rsidR="001573E5" w:rsidRPr="00A07AE3" w:rsidRDefault="001573E5" w:rsidP="00A07AE3">
            <w:pPr>
              <w:pStyle w:val="Paragraph"/>
              <w:spacing w:line="240" w:lineRule="auto"/>
              <w:rPr>
                <w:lang w:eastAsia="en-GB"/>
              </w:rPr>
            </w:pPr>
            <w:r w:rsidRPr="00A07AE3">
              <w:rPr>
                <w:rFonts w:cs="Arial"/>
                <w:color w:val="000000"/>
              </w:rPr>
              <w:t>Not specified</w:t>
            </w:r>
          </w:p>
        </w:tc>
        <w:tc>
          <w:tcPr>
            <w:tcW w:w="5134" w:type="dxa"/>
            <w:tcBorders>
              <w:top w:val="single" w:sz="4" w:space="0" w:color="auto"/>
              <w:left w:val="single" w:sz="4" w:space="0" w:color="auto"/>
              <w:bottom w:val="single" w:sz="4" w:space="0" w:color="auto"/>
              <w:right w:val="nil"/>
            </w:tcBorders>
            <w:shd w:val="clear" w:color="auto" w:fill="auto"/>
          </w:tcPr>
          <w:p w14:paraId="54DE48FF" w14:textId="72722B6C" w:rsidR="001573E5" w:rsidRPr="00A07AE3" w:rsidRDefault="001573E5" w:rsidP="00A07AE3">
            <w:pPr>
              <w:pStyle w:val="Paragraph"/>
              <w:spacing w:line="240" w:lineRule="auto"/>
              <w:rPr>
                <w:lang w:eastAsia="en-GB"/>
              </w:rPr>
            </w:pPr>
            <w:r w:rsidRPr="00A07AE3">
              <w:rPr>
                <w:rFonts w:cs="Arial"/>
                <w:color w:val="000000"/>
              </w:rPr>
              <w:t>Why does the EAG Assessment report not present estimates for:</w:t>
            </w:r>
            <w:r w:rsidRPr="00A07AE3">
              <w:rPr>
                <w:rFonts w:cs="Arial"/>
                <w:color w:val="000000"/>
              </w:rPr>
              <w:br/>
              <w:t>1. time to infection resolution with each dressing?</w:t>
            </w:r>
            <w:r w:rsidRPr="00A07AE3">
              <w:rPr>
                <w:rFonts w:cs="Arial"/>
                <w:color w:val="000000"/>
              </w:rPr>
              <w:br/>
              <w:t>2. time to heal with each dressing?</w:t>
            </w:r>
            <w:r w:rsidRPr="00A07AE3">
              <w:rPr>
                <w:rFonts w:cs="Arial"/>
                <w:color w:val="000000"/>
              </w:rPr>
              <w:br/>
              <w:t>3. the amount each resource contributes to the total cost for each dressing?</w:t>
            </w:r>
          </w:p>
        </w:tc>
        <w:tc>
          <w:tcPr>
            <w:tcW w:w="3595" w:type="dxa"/>
          </w:tcPr>
          <w:p w14:paraId="62046260" w14:textId="545F85B3" w:rsidR="0055692D" w:rsidRPr="00A07AE3" w:rsidRDefault="0055692D" w:rsidP="00A07AE3">
            <w:pPr>
              <w:pStyle w:val="Paragraph"/>
              <w:spacing w:line="240" w:lineRule="auto"/>
              <w:rPr>
                <w:lang w:eastAsia="en-GB"/>
              </w:rPr>
            </w:pPr>
            <w:r w:rsidRPr="00A07AE3">
              <w:rPr>
                <w:lang w:eastAsia="en-GB"/>
              </w:rPr>
              <w:t>Thank you for your comment.</w:t>
            </w:r>
            <w:r w:rsidR="00DC70E4" w:rsidRPr="00A07AE3">
              <w:rPr>
                <w:lang w:eastAsia="en-GB"/>
              </w:rPr>
              <w:t xml:space="preserve"> </w:t>
            </w:r>
            <w:r w:rsidRPr="00A07AE3">
              <w:rPr>
                <w:lang w:eastAsia="en-GB"/>
              </w:rPr>
              <w:t xml:space="preserve">Table 7.19 </w:t>
            </w:r>
            <w:r w:rsidR="004E4D13" w:rsidRPr="00A07AE3">
              <w:rPr>
                <w:lang w:eastAsia="en-GB"/>
              </w:rPr>
              <w:t xml:space="preserve">of the EAR </w:t>
            </w:r>
            <w:r w:rsidRPr="00A07AE3">
              <w:rPr>
                <w:lang w:eastAsia="en-GB"/>
              </w:rPr>
              <w:t>presents the time (years) in each health state for first and second line</w:t>
            </w:r>
            <w:r w:rsidR="00E52A8A" w:rsidRPr="00A07AE3">
              <w:rPr>
                <w:lang w:eastAsia="en-GB"/>
              </w:rPr>
              <w:t xml:space="preserve"> for each antimicrobial agent. While Table 7.19 was disaggregated by agent there </w:t>
            </w:r>
            <w:r w:rsidRPr="00A07AE3">
              <w:rPr>
                <w:lang w:eastAsia="en-GB"/>
              </w:rPr>
              <w:t xml:space="preserve">was not enough evidence to inform this for each of the 317 </w:t>
            </w:r>
            <w:r w:rsidR="00A14DDC" w:rsidRPr="00A07AE3">
              <w:rPr>
                <w:lang w:eastAsia="en-GB"/>
              </w:rPr>
              <w:t xml:space="preserve">antimicrobial </w:t>
            </w:r>
            <w:r w:rsidRPr="00A07AE3">
              <w:rPr>
                <w:lang w:eastAsia="en-GB"/>
              </w:rPr>
              <w:t xml:space="preserve">dressings available on </w:t>
            </w:r>
            <w:r w:rsidR="00464DFF" w:rsidRPr="00A07AE3">
              <w:rPr>
                <w:lang w:eastAsia="en-GB"/>
              </w:rPr>
              <w:t xml:space="preserve">Part </w:t>
            </w:r>
            <w:proofErr w:type="spellStart"/>
            <w:r w:rsidR="00464DFF" w:rsidRPr="00A07AE3">
              <w:rPr>
                <w:lang w:eastAsia="en-GB"/>
              </w:rPr>
              <w:t>IXa</w:t>
            </w:r>
            <w:proofErr w:type="spellEnd"/>
            <w:r w:rsidR="00464DFF" w:rsidRPr="00A07AE3">
              <w:rPr>
                <w:lang w:eastAsia="en-GB"/>
              </w:rPr>
              <w:t xml:space="preserve"> of the Drug Tariff</w:t>
            </w:r>
            <w:r w:rsidRPr="00A07AE3">
              <w:rPr>
                <w:lang w:eastAsia="en-GB"/>
              </w:rPr>
              <w:t xml:space="preserve">. </w:t>
            </w:r>
          </w:p>
          <w:p w14:paraId="6EA3345A" w14:textId="6023F268" w:rsidR="001573E5" w:rsidRPr="00A07AE3" w:rsidRDefault="00A14DDC" w:rsidP="00A07AE3">
            <w:pPr>
              <w:pStyle w:val="Paragraph"/>
              <w:spacing w:line="240" w:lineRule="auto"/>
              <w:rPr>
                <w:lang w:eastAsia="en-GB"/>
              </w:rPr>
            </w:pPr>
            <w:r w:rsidRPr="00A07AE3">
              <w:rPr>
                <w:lang w:eastAsia="en-GB"/>
              </w:rPr>
              <w:t>The EAG used t</w:t>
            </w:r>
            <w:r w:rsidR="0055692D" w:rsidRPr="00A07AE3">
              <w:rPr>
                <w:lang w:eastAsia="en-GB"/>
              </w:rPr>
              <w:t>he resources to derive an overall health state cost which was applied in the model. However, each resource was varied in the DSA independently and the impact was assessed.</w:t>
            </w:r>
            <w:r w:rsidR="002E3F1D" w:rsidRPr="00A07AE3">
              <w:rPr>
                <w:lang w:eastAsia="en-GB"/>
              </w:rPr>
              <w:t xml:space="preserve"> See section </w:t>
            </w:r>
            <w:r w:rsidR="00682824" w:rsidRPr="00A07AE3">
              <w:rPr>
                <w:lang w:eastAsia="en-GB"/>
              </w:rPr>
              <w:t xml:space="preserve">7.3.2 for more details. </w:t>
            </w:r>
          </w:p>
        </w:tc>
      </w:tr>
      <w:tr w:rsidR="001573E5" w14:paraId="3AC991A0" w14:textId="77777777" w:rsidTr="0040681C">
        <w:tc>
          <w:tcPr>
            <w:tcW w:w="1323" w:type="dxa"/>
          </w:tcPr>
          <w:p w14:paraId="089336C1" w14:textId="77777777" w:rsidR="001573E5" w:rsidRPr="00A07AE3" w:rsidRDefault="001573E5"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12A84AB4" w14:textId="20F8C0E0" w:rsidR="001573E5" w:rsidRPr="00A07AE3" w:rsidRDefault="001573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D46A4E5" w14:textId="020C27EC" w:rsidR="001573E5" w:rsidRPr="00A07AE3" w:rsidRDefault="001573E5" w:rsidP="00A07AE3">
            <w:pPr>
              <w:pStyle w:val="Paragraph"/>
              <w:spacing w:line="240" w:lineRule="auto"/>
              <w:rPr>
                <w:lang w:eastAsia="en-GB"/>
              </w:rPr>
            </w:pPr>
            <w:r w:rsidRPr="00A07AE3">
              <w:rPr>
                <w:rFonts w:cs="Arial"/>
                <w:color w:val="000000"/>
              </w:rPr>
              <w:t>3.16 Evidence needed to show additional value</w:t>
            </w:r>
          </w:p>
        </w:tc>
        <w:tc>
          <w:tcPr>
            <w:tcW w:w="5134" w:type="dxa"/>
            <w:tcBorders>
              <w:top w:val="single" w:sz="4" w:space="0" w:color="auto"/>
              <w:left w:val="single" w:sz="4" w:space="0" w:color="auto"/>
              <w:bottom w:val="single" w:sz="4" w:space="0" w:color="auto"/>
              <w:right w:val="nil"/>
            </w:tcBorders>
            <w:shd w:val="clear" w:color="auto" w:fill="auto"/>
          </w:tcPr>
          <w:p w14:paraId="7A30C64C" w14:textId="27643458" w:rsidR="001573E5" w:rsidRPr="00A07AE3" w:rsidRDefault="001573E5" w:rsidP="00A07AE3">
            <w:pPr>
              <w:pStyle w:val="Paragraph"/>
              <w:spacing w:line="240" w:lineRule="auto"/>
              <w:rPr>
                <w:lang w:eastAsia="en-GB"/>
              </w:rPr>
            </w:pPr>
            <w:r w:rsidRPr="00A07AE3">
              <w:rPr>
                <w:rFonts w:cs="Arial"/>
                <w:color w:val="000000"/>
              </w:rPr>
              <w:t xml:space="preserve">While more evidence is undoubtedly required </w:t>
            </w:r>
            <w:proofErr w:type="gramStart"/>
            <w:r w:rsidRPr="00A07AE3">
              <w:rPr>
                <w:rFonts w:cs="Arial"/>
                <w:color w:val="000000"/>
              </w:rPr>
              <w:t>in order to</w:t>
            </w:r>
            <w:proofErr w:type="gramEnd"/>
            <w:r w:rsidRPr="00A07AE3">
              <w:rPr>
                <w:rFonts w:cs="Arial"/>
                <w:color w:val="000000"/>
              </w:rPr>
              <w:t xml:space="preserve"> demonstrate the clinical and economic benefits of different topical antimicrobial dressings in treating infected leg ulcers, the current results of EAG's modelling is misleading because:</w:t>
            </w:r>
            <w:r w:rsidRPr="00A07AE3">
              <w:rPr>
                <w:rFonts w:cs="Arial"/>
                <w:color w:val="000000"/>
              </w:rPr>
              <w:br/>
              <w:t>1. The model is structurally flawed.</w:t>
            </w:r>
            <w:r w:rsidRPr="00A07AE3">
              <w:rPr>
                <w:rFonts w:cs="Arial"/>
                <w:color w:val="000000"/>
              </w:rPr>
              <w:br/>
              <w:t>2. The model has been populated with data unrelated to infected leg ulcers.</w:t>
            </w:r>
            <w:r w:rsidRPr="00A07AE3">
              <w:rPr>
                <w:rFonts w:cs="Arial"/>
                <w:color w:val="000000"/>
              </w:rPr>
              <w:br/>
              <w:t>3. The model has been populated with data which in some cases is derived from an inaccurate interpretation of the published evidence.</w:t>
            </w:r>
            <w:r w:rsidRPr="00A07AE3">
              <w:rPr>
                <w:rFonts w:cs="Arial"/>
                <w:color w:val="000000"/>
              </w:rPr>
              <w:br/>
              <w:t xml:space="preserve">4. The model has been based on some assumptions which are implausible or not valid in clinical practice. </w:t>
            </w:r>
            <w:r w:rsidRPr="00A07AE3">
              <w:rPr>
                <w:rFonts w:cs="Arial"/>
                <w:color w:val="000000"/>
              </w:rPr>
              <w:br/>
              <w:t>5. The model does not simulate any transitions pertaining to recurrence of infection among unhealed ulcers.</w:t>
            </w:r>
            <w:r w:rsidRPr="00A07AE3">
              <w:rPr>
                <w:rFonts w:cs="Arial"/>
                <w:color w:val="000000"/>
              </w:rPr>
              <w:br/>
            </w:r>
            <w:r w:rsidRPr="00A07AE3">
              <w:rPr>
                <w:rFonts w:cs="Arial"/>
                <w:color w:val="000000"/>
              </w:rPr>
              <w:br/>
              <w:t>Additionally, in my view, one model will never be able to differentiate between the clinical and economic benefits of different topical antimicrobial dressings in infected leg ulcers. There needs to be a separate model for each ulcer type.</w:t>
            </w:r>
          </w:p>
        </w:tc>
        <w:tc>
          <w:tcPr>
            <w:tcW w:w="3595" w:type="dxa"/>
          </w:tcPr>
          <w:p w14:paraId="58D52D18" w14:textId="426A1CAF" w:rsidR="0055692D" w:rsidRPr="00A07AE3" w:rsidRDefault="0055692D" w:rsidP="00A07AE3">
            <w:pPr>
              <w:pStyle w:val="Paragraph"/>
              <w:spacing w:line="240" w:lineRule="auto"/>
              <w:rPr>
                <w:lang w:eastAsia="en-GB"/>
              </w:rPr>
            </w:pPr>
            <w:r w:rsidRPr="00A07AE3">
              <w:rPr>
                <w:lang w:eastAsia="en-GB"/>
              </w:rPr>
              <w:t>Thank you for your comment.</w:t>
            </w:r>
            <w:r w:rsidR="0080298F" w:rsidRPr="00A07AE3">
              <w:rPr>
                <w:lang w:eastAsia="en-GB"/>
              </w:rPr>
              <w:t xml:space="preserve"> For </w:t>
            </w:r>
            <w:r w:rsidR="00440E1C" w:rsidRPr="00A07AE3">
              <w:rPr>
                <w:lang w:eastAsia="en-GB"/>
              </w:rPr>
              <w:t xml:space="preserve">the point </w:t>
            </w:r>
            <w:r w:rsidR="0080298F" w:rsidRPr="00A07AE3">
              <w:rPr>
                <w:lang w:eastAsia="en-GB"/>
              </w:rPr>
              <w:t>relating to model structure please see responses to comments 124 to 133.</w:t>
            </w:r>
          </w:p>
          <w:p w14:paraId="67AC81A5" w14:textId="51B462C1" w:rsidR="00440E1C" w:rsidRPr="00A07AE3" w:rsidRDefault="00440E1C" w:rsidP="00A07AE3">
            <w:pPr>
              <w:pStyle w:val="Paragraph"/>
              <w:spacing w:line="240" w:lineRule="auto"/>
              <w:rPr>
                <w:lang w:eastAsia="en-GB"/>
              </w:rPr>
            </w:pPr>
            <w:r w:rsidRPr="00A07AE3">
              <w:rPr>
                <w:lang w:eastAsia="en-GB"/>
              </w:rPr>
              <w:t xml:space="preserve">For the point relating to the model using data for both uninfected and infected leg ulcers, please see response to comment </w:t>
            </w:r>
            <w:r w:rsidR="00C97F27" w:rsidRPr="00A07AE3">
              <w:rPr>
                <w:lang w:eastAsia="en-GB"/>
              </w:rPr>
              <w:t>89.</w:t>
            </w:r>
          </w:p>
          <w:p w14:paraId="1FF849E6" w14:textId="22CF192A" w:rsidR="00C97F27" w:rsidRPr="00A07AE3" w:rsidRDefault="00C97F27" w:rsidP="00A07AE3">
            <w:pPr>
              <w:pStyle w:val="Paragraph"/>
              <w:spacing w:line="240" w:lineRule="auto"/>
              <w:rPr>
                <w:lang w:eastAsia="en-GB"/>
              </w:rPr>
            </w:pPr>
            <w:r w:rsidRPr="00A07AE3">
              <w:rPr>
                <w:lang w:eastAsia="en-GB"/>
              </w:rPr>
              <w:t xml:space="preserve">For the point relating </w:t>
            </w:r>
            <w:r w:rsidR="00771E16" w:rsidRPr="00A07AE3">
              <w:rPr>
                <w:lang w:eastAsia="en-GB"/>
              </w:rPr>
              <w:t>t</w:t>
            </w:r>
            <w:r w:rsidRPr="00A07AE3">
              <w:rPr>
                <w:lang w:eastAsia="en-GB"/>
              </w:rPr>
              <w:t xml:space="preserve">o </w:t>
            </w:r>
            <w:r w:rsidR="00771E16" w:rsidRPr="00A07AE3">
              <w:rPr>
                <w:lang w:eastAsia="en-GB"/>
              </w:rPr>
              <w:t xml:space="preserve">interpretation of the evidence please see the second addendum for the EAG’s revisions due to factual </w:t>
            </w:r>
            <w:r w:rsidR="00435CA7" w:rsidRPr="00A07AE3">
              <w:rPr>
                <w:lang w:eastAsia="en-GB"/>
              </w:rPr>
              <w:t>inaccuracies</w:t>
            </w:r>
            <w:r w:rsidR="00771E16" w:rsidRPr="00A07AE3">
              <w:rPr>
                <w:lang w:eastAsia="en-GB"/>
              </w:rPr>
              <w:t>.</w:t>
            </w:r>
          </w:p>
          <w:p w14:paraId="329C6DEB" w14:textId="0705F189" w:rsidR="00093CE2" w:rsidRPr="00A07AE3" w:rsidRDefault="00093CE2" w:rsidP="00A07AE3">
            <w:pPr>
              <w:pStyle w:val="Paragraph"/>
              <w:spacing w:line="240" w:lineRule="auto"/>
              <w:rPr>
                <w:lang w:eastAsia="en-GB"/>
              </w:rPr>
            </w:pPr>
            <w:r w:rsidRPr="00A07AE3">
              <w:rPr>
                <w:lang w:eastAsia="en-GB"/>
              </w:rPr>
              <w:t xml:space="preserve">For the point relating to </w:t>
            </w:r>
            <w:r w:rsidR="004022BA" w:rsidRPr="00A07AE3">
              <w:rPr>
                <w:lang w:eastAsia="en-GB"/>
              </w:rPr>
              <w:t>model assumptions please response to comments 89 to 114.</w:t>
            </w:r>
          </w:p>
          <w:p w14:paraId="0D263EB2" w14:textId="77777777" w:rsidR="00C84BC7" w:rsidRPr="00A07AE3" w:rsidRDefault="005B2341" w:rsidP="00A07AE3">
            <w:pPr>
              <w:pStyle w:val="Paragraph"/>
              <w:spacing w:line="240" w:lineRule="auto"/>
              <w:rPr>
                <w:lang w:eastAsia="en-GB"/>
              </w:rPr>
            </w:pPr>
            <w:r w:rsidRPr="00A07AE3">
              <w:rPr>
                <w:lang w:eastAsia="en-GB"/>
              </w:rPr>
              <w:t xml:space="preserve">For the point relating to reinfection. The EAR discusses this among other limitation sin section </w:t>
            </w:r>
            <w:r w:rsidR="00C84BC7" w:rsidRPr="00A07AE3">
              <w:rPr>
                <w:lang w:eastAsia="en-GB"/>
              </w:rPr>
              <w:t xml:space="preserve">7.3.6. </w:t>
            </w:r>
          </w:p>
          <w:p w14:paraId="3C343B09" w14:textId="5A13DA91" w:rsidR="001573E5" w:rsidRPr="00A07AE3" w:rsidRDefault="00C84BC7" w:rsidP="00A07AE3">
            <w:pPr>
              <w:pStyle w:val="Paragraph"/>
              <w:spacing w:line="240" w:lineRule="auto"/>
              <w:rPr>
                <w:lang w:eastAsia="en-GB"/>
              </w:rPr>
            </w:pPr>
            <w:r w:rsidRPr="00A07AE3">
              <w:rPr>
                <w:lang w:eastAsia="en-GB"/>
              </w:rPr>
              <w:t xml:space="preserve">For the point relating to multiple models per ulcer type. </w:t>
            </w:r>
            <w:r w:rsidR="001B526D" w:rsidRPr="00A07AE3">
              <w:rPr>
                <w:lang w:eastAsia="en-GB"/>
              </w:rPr>
              <w:t xml:space="preserve">Analysis by ulcer type was originally </w:t>
            </w:r>
            <w:r w:rsidR="001B526D" w:rsidRPr="00A07AE3">
              <w:rPr>
                <w:lang w:eastAsia="en-GB"/>
              </w:rPr>
              <w:lastRenderedPageBreak/>
              <w:t xml:space="preserve">planned in the EAG’s protocol. </w:t>
            </w:r>
            <w:r w:rsidRPr="00A07AE3">
              <w:rPr>
                <w:lang w:eastAsia="en-GB"/>
              </w:rPr>
              <w:t>The EAG were not able to do this due to a p</w:t>
            </w:r>
            <w:r w:rsidR="001B526D" w:rsidRPr="00A07AE3">
              <w:rPr>
                <w:lang w:eastAsia="en-GB"/>
              </w:rPr>
              <w:t xml:space="preserve">aucity of robust data to inform models by ulcer type. </w:t>
            </w:r>
          </w:p>
        </w:tc>
      </w:tr>
      <w:tr w:rsidR="001573E5" w14:paraId="7FF17B25" w14:textId="77777777" w:rsidTr="0040681C">
        <w:tc>
          <w:tcPr>
            <w:tcW w:w="1323" w:type="dxa"/>
          </w:tcPr>
          <w:p w14:paraId="61E47A4B" w14:textId="77777777" w:rsidR="001573E5" w:rsidRPr="00A07AE3" w:rsidRDefault="001573E5"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153480EA" w14:textId="4A38E2DF" w:rsidR="001573E5" w:rsidRPr="00A07AE3" w:rsidRDefault="001573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A42598B" w14:textId="036459C2" w:rsidR="001573E5" w:rsidRPr="00A07AE3" w:rsidRDefault="001573E5" w:rsidP="00A07AE3">
            <w:pPr>
              <w:pStyle w:val="Paragraph"/>
              <w:spacing w:line="240" w:lineRule="auto"/>
              <w:rPr>
                <w:lang w:eastAsia="en-GB"/>
              </w:rPr>
            </w:pPr>
            <w:r w:rsidRPr="00A07AE3">
              <w:rPr>
                <w:rFonts w:cs="Arial"/>
                <w:color w:val="000000"/>
              </w:rPr>
              <w:t>3.13 Results of the economic evaluation</w:t>
            </w:r>
          </w:p>
        </w:tc>
        <w:tc>
          <w:tcPr>
            <w:tcW w:w="5134" w:type="dxa"/>
            <w:tcBorders>
              <w:top w:val="single" w:sz="4" w:space="0" w:color="auto"/>
              <w:left w:val="single" w:sz="4" w:space="0" w:color="auto"/>
              <w:bottom w:val="single" w:sz="4" w:space="0" w:color="auto"/>
              <w:right w:val="nil"/>
            </w:tcBorders>
            <w:shd w:val="clear" w:color="auto" w:fill="auto"/>
          </w:tcPr>
          <w:p w14:paraId="7E71D660" w14:textId="3BD42BA9" w:rsidR="001573E5" w:rsidRPr="00A07AE3" w:rsidRDefault="001573E5" w:rsidP="00A07AE3">
            <w:pPr>
              <w:pStyle w:val="Paragraph"/>
              <w:spacing w:line="240" w:lineRule="auto"/>
              <w:rPr>
                <w:lang w:eastAsia="en-GB"/>
              </w:rPr>
            </w:pPr>
            <w:r w:rsidRPr="00A07AE3">
              <w:rPr>
                <w:rFonts w:cs="Arial"/>
                <w:color w:val="000000"/>
              </w:rPr>
              <w:t xml:space="preserve">The EAG Assessment report has </w:t>
            </w:r>
            <w:proofErr w:type="gramStart"/>
            <w:r w:rsidRPr="00A07AE3">
              <w:rPr>
                <w:rFonts w:cs="Arial"/>
                <w:color w:val="000000"/>
              </w:rPr>
              <w:t>only  presented</w:t>
            </w:r>
            <w:proofErr w:type="gramEnd"/>
            <w:r w:rsidRPr="00A07AE3">
              <w:rPr>
                <w:rFonts w:cs="Arial"/>
                <w:color w:val="000000"/>
              </w:rPr>
              <w:t xml:space="preserve"> discounted results. Undiscounted results should also be presented.</w:t>
            </w:r>
          </w:p>
        </w:tc>
        <w:tc>
          <w:tcPr>
            <w:tcW w:w="3595" w:type="dxa"/>
          </w:tcPr>
          <w:p w14:paraId="5B86BA14" w14:textId="15359056" w:rsidR="003F3AFC" w:rsidRPr="00A07AE3" w:rsidRDefault="003F3AFC" w:rsidP="00A07AE3">
            <w:pPr>
              <w:pStyle w:val="Paragraph"/>
              <w:spacing w:line="240" w:lineRule="auto"/>
              <w:rPr>
                <w:lang w:eastAsia="en-GB"/>
              </w:rPr>
            </w:pPr>
            <w:r w:rsidRPr="00A07AE3">
              <w:rPr>
                <w:lang w:eastAsia="en-GB"/>
              </w:rPr>
              <w:t xml:space="preserve">Thank you for your </w:t>
            </w:r>
            <w:r w:rsidR="00DF5165" w:rsidRPr="00A07AE3">
              <w:rPr>
                <w:lang w:eastAsia="en-GB"/>
              </w:rPr>
              <w:t>comment</w:t>
            </w:r>
            <w:r w:rsidRPr="00A07AE3">
              <w:rPr>
                <w:lang w:eastAsia="en-GB"/>
              </w:rPr>
              <w:t>.</w:t>
            </w:r>
            <w:r w:rsidR="00DF5165" w:rsidRPr="00A07AE3">
              <w:rPr>
                <w:lang w:eastAsia="en-GB"/>
              </w:rPr>
              <w:t xml:space="preserve"> </w:t>
            </w:r>
          </w:p>
          <w:p w14:paraId="703A1982" w14:textId="5525AC1B" w:rsidR="001573E5" w:rsidRPr="00A07AE3" w:rsidRDefault="003F3AFC" w:rsidP="00A07AE3">
            <w:pPr>
              <w:pStyle w:val="Paragraph"/>
              <w:spacing w:line="240" w:lineRule="auto"/>
              <w:rPr>
                <w:lang w:eastAsia="en-GB"/>
              </w:rPr>
            </w:pPr>
            <w:r w:rsidRPr="00A07AE3">
              <w:rPr>
                <w:lang w:eastAsia="en-GB"/>
              </w:rPr>
              <w:t xml:space="preserve">The EAG updated the </w:t>
            </w:r>
            <w:r w:rsidR="0025032A" w:rsidRPr="00A07AE3">
              <w:rPr>
                <w:lang w:eastAsia="en-GB"/>
              </w:rPr>
              <w:t xml:space="preserve">results in </w:t>
            </w:r>
            <w:r w:rsidR="004C29F1" w:rsidRPr="00A07AE3">
              <w:rPr>
                <w:lang w:eastAsia="en-GB"/>
              </w:rPr>
              <w:t>the second</w:t>
            </w:r>
            <w:r w:rsidR="0025032A" w:rsidRPr="00A07AE3">
              <w:rPr>
                <w:lang w:eastAsia="en-GB"/>
              </w:rPr>
              <w:t xml:space="preserve"> addendum</w:t>
            </w:r>
            <w:r w:rsidRPr="00A07AE3">
              <w:rPr>
                <w:lang w:eastAsia="en-GB"/>
              </w:rPr>
              <w:t xml:space="preserve"> with 0% discounting.  </w:t>
            </w:r>
          </w:p>
        </w:tc>
      </w:tr>
      <w:tr w:rsidR="001573E5" w14:paraId="40C3B26F" w14:textId="77777777" w:rsidTr="0040681C">
        <w:tc>
          <w:tcPr>
            <w:tcW w:w="1323" w:type="dxa"/>
          </w:tcPr>
          <w:p w14:paraId="35587865" w14:textId="77777777" w:rsidR="001573E5" w:rsidRPr="00A07AE3" w:rsidRDefault="001573E5"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1E0F8266" w14:textId="559BD779" w:rsidR="001573E5" w:rsidRPr="00A07AE3" w:rsidRDefault="001573E5"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40A5660" w14:textId="56A61812" w:rsidR="001573E5" w:rsidRPr="00A07AE3" w:rsidRDefault="001573E5" w:rsidP="00A07AE3">
            <w:pPr>
              <w:pStyle w:val="Paragraph"/>
              <w:spacing w:line="240" w:lineRule="auto"/>
              <w:rPr>
                <w:lang w:eastAsia="en-GB"/>
              </w:rPr>
            </w:pPr>
            <w:r w:rsidRPr="00A07AE3">
              <w:rPr>
                <w:rFonts w:cs="Arial"/>
                <w:color w:val="000000"/>
              </w:rPr>
              <w:t>1.3 1 Recommendations</w:t>
            </w:r>
          </w:p>
        </w:tc>
        <w:tc>
          <w:tcPr>
            <w:tcW w:w="5134" w:type="dxa"/>
            <w:tcBorders>
              <w:top w:val="single" w:sz="4" w:space="0" w:color="auto"/>
              <w:left w:val="single" w:sz="4" w:space="0" w:color="auto"/>
              <w:bottom w:val="single" w:sz="4" w:space="0" w:color="auto"/>
              <w:right w:val="nil"/>
            </w:tcBorders>
            <w:shd w:val="clear" w:color="auto" w:fill="auto"/>
          </w:tcPr>
          <w:p w14:paraId="2BA07A1E" w14:textId="3CF63F95" w:rsidR="001573E5" w:rsidRPr="00A07AE3" w:rsidRDefault="001573E5" w:rsidP="00A07AE3">
            <w:pPr>
              <w:pStyle w:val="Paragraph"/>
              <w:spacing w:line="240" w:lineRule="auto"/>
              <w:rPr>
                <w:lang w:eastAsia="en-GB"/>
              </w:rPr>
            </w:pPr>
            <w:r w:rsidRPr="00A07AE3">
              <w:rPr>
                <w:rFonts w:cs="Arial"/>
                <w:color w:val="000000"/>
              </w:rPr>
              <w:t xml:space="preserve">The frequency of dressing change of Iodine at £4.17 a week or 5 </w:t>
            </w:r>
            <w:proofErr w:type="gramStart"/>
            <w:r w:rsidRPr="00A07AE3">
              <w:rPr>
                <w:rFonts w:cs="Arial"/>
                <w:color w:val="000000"/>
              </w:rPr>
              <w:t>in reality would</w:t>
            </w:r>
            <w:proofErr w:type="gramEnd"/>
            <w:r w:rsidRPr="00A07AE3">
              <w:rPr>
                <w:rFonts w:cs="Arial"/>
                <w:color w:val="000000"/>
              </w:rPr>
              <w:t xml:space="preserve"> result in the highest health utilisation costs. As published by Guest, dressing cost is associated with only 6% of the cost of wound care. </w:t>
            </w:r>
            <w:proofErr w:type="gramStart"/>
            <w:r w:rsidRPr="00A07AE3">
              <w:rPr>
                <w:rFonts w:cs="Arial"/>
                <w:color w:val="000000"/>
              </w:rPr>
              <w:t>The  system</w:t>
            </w:r>
            <w:proofErr w:type="gramEnd"/>
            <w:r w:rsidRPr="00A07AE3">
              <w:rPr>
                <w:rFonts w:cs="Arial"/>
                <w:color w:val="000000"/>
              </w:rPr>
              <w:t xml:space="preserve"> costs are nurse visits', and hence the more nurse visits the higher the system costs. With the consideration of system savings by the DHSC and </w:t>
            </w:r>
            <w:proofErr w:type="gramStart"/>
            <w:r w:rsidRPr="00A07AE3">
              <w:rPr>
                <w:rFonts w:cs="Arial"/>
                <w:color w:val="000000"/>
              </w:rPr>
              <w:t>value based</w:t>
            </w:r>
            <w:proofErr w:type="gramEnd"/>
            <w:r w:rsidRPr="00A07AE3">
              <w:rPr>
                <w:rFonts w:cs="Arial"/>
                <w:color w:val="000000"/>
              </w:rPr>
              <w:t xml:space="preserve"> outcomes the "least expensive" needs to be viewed on total cost per week not unit cost. </w:t>
            </w:r>
            <w:proofErr w:type="gramStart"/>
            <w:r w:rsidRPr="00A07AE3">
              <w:rPr>
                <w:rFonts w:cs="Arial"/>
                <w:color w:val="000000"/>
              </w:rPr>
              <w:t>Therefore</w:t>
            </w:r>
            <w:proofErr w:type="gramEnd"/>
            <w:r w:rsidRPr="00A07AE3">
              <w:rPr>
                <w:rFonts w:cs="Arial"/>
                <w:color w:val="000000"/>
              </w:rPr>
              <w:t xml:space="preserve"> iodine is not the least expensive option</w:t>
            </w:r>
          </w:p>
        </w:tc>
        <w:tc>
          <w:tcPr>
            <w:tcW w:w="3595" w:type="dxa"/>
          </w:tcPr>
          <w:p w14:paraId="46799130" w14:textId="2667D25C" w:rsidR="001573E5" w:rsidRPr="00A07AE3" w:rsidRDefault="00DE28A0" w:rsidP="00A07AE3">
            <w:pPr>
              <w:pStyle w:val="Paragraph"/>
              <w:spacing w:line="240" w:lineRule="auto"/>
              <w:rPr>
                <w:lang w:eastAsia="en-GB"/>
              </w:rPr>
            </w:pPr>
            <w:r w:rsidRPr="00A07AE3">
              <w:rPr>
                <w:rFonts w:cs="Arial"/>
                <w:lang w:eastAsia="en-GB"/>
              </w:rPr>
              <w:t xml:space="preserve">Thank you for your comment. </w:t>
            </w:r>
            <w:r w:rsidR="003F3AFC" w:rsidRPr="00A07AE3">
              <w:rPr>
                <w:rFonts w:cs="Arial"/>
                <w:lang w:eastAsia="en-GB"/>
              </w:rPr>
              <w:t xml:space="preserve">Please see </w:t>
            </w:r>
            <w:r w:rsidRPr="00A07AE3">
              <w:rPr>
                <w:rFonts w:cs="Arial"/>
                <w:lang w:eastAsia="en-GB"/>
              </w:rPr>
              <w:t>response</w:t>
            </w:r>
            <w:r w:rsidR="00E06C0F" w:rsidRPr="00A07AE3">
              <w:rPr>
                <w:rFonts w:cs="Arial"/>
                <w:lang w:eastAsia="en-GB"/>
              </w:rPr>
              <w:t>s</w:t>
            </w:r>
            <w:r w:rsidRPr="00A07AE3">
              <w:rPr>
                <w:rFonts w:cs="Arial"/>
                <w:lang w:eastAsia="en-GB"/>
              </w:rPr>
              <w:t xml:space="preserve"> to </w:t>
            </w:r>
            <w:r w:rsidR="003F3AFC" w:rsidRPr="00A07AE3">
              <w:rPr>
                <w:rFonts w:cs="Arial"/>
                <w:lang w:eastAsia="en-GB"/>
              </w:rPr>
              <w:t>comment 99</w:t>
            </w:r>
            <w:r w:rsidR="00E06C0F" w:rsidRPr="00A07AE3">
              <w:rPr>
                <w:rFonts w:cs="Arial"/>
                <w:lang w:eastAsia="en-GB"/>
              </w:rPr>
              <w:t xml:space="preserve"> and 115</w:t>
            </w:r>
            <w:r w:rsidR="003F3AFC" w:rsidRPr="00A07AE3">
              <w:rPr>
                <w:rFonts w:cs="Arial"/>
                <w:lang w:eastAsia="en-GB"/>
              </w:rPr>
              <w:t>.</w:t>
            </w:r>
            <w:r w:rsidR="0025032A" w:rsidRPr="00A07AE3">
              <w:rPr>
                <w:rFonts w:cs="Arial"/>
                <w:lang w:eastAsia="en-GB"/>
              </w:rPr>
              <w:t xml:space="preserve"> Additionally, </w:t>
            </w:r>
            <w:r w:rsidRPr="00A07AE3">
              <w:rPr>
                <w:rFonts w:cs="Arial"/>
                <w:lang w:eastAsia="en-GB"/>
              </w:rPr>
              <w:t>the EAG</w:t>
            </w:r>
            <w:r w:rsidR="0025032A" w:rsidRPr="00A07AE3">
              <w:rPr>
                <w:rFonts w:cs="Arial"/>
                <w:lang w:eastAsia="en-GB"/>
              </w:rPr>
              <w:t xml:space="preserve"> present</w:t>
            </w:r>
            <w:r w:rsidRPr="00A07AE3">
              <w:rPr>
                <w:rFonts w:cs="Arial"/>
                <w:lang w:eastAsia="en-GB"/>
              </w:rPr>
              <w:t>ed</w:t>
            </w:r>
            <w:r w:rsidR="0025032A" w:rsidRPr="00A07AE3">
              <w:rPr>
                <w:rFonts w:cs="Arial"/>
                <w:lang w:eastAsia="en-GB"/>
              </w:rPr>
              <w:t xml:space="preserve"> confidence intervals for each cost estimates to show uncertainty in values estimated (Figure 7.4</w:t>
            </w:r>
            <w:r w:rsidR="00E06C0F" w:rsidRPr="00A07AE3">
              <w:rPr>
                <w:rFonts w:cs="Arial"/>
                <w:lang w:eastAsia="en-GB"/>
              </w:rPr>
              <w:t xml:space="preserve"> in the EAR</w:t>
            </w:r>
            <w:r w:rsidR="0025032A" w:rsidRPr="00A07AE3">
              <w:rPr>
                <w:rFonts w:cs="Arial"/>
                <w:lang w:eastAsia="en-GB"/>
              </w:rPr>
              <w:t>).</w:t>
            </w:r>
          </w:p>
        </w:tc>
      </w:tr>
      <w:tr w:rsidR="001553E3" w14:paraId="03F3CE37" w14:textId="77777777" w:rsidTr="0040681C">
        <w:tc>
          <w:tcPr>
            <w:tcW w:w="1323" w:type="dxa"/>
          </w:tcPr>
          <w:p w14:paraId="7CAE131C" w14:textId="77777777" w:rsidR="001553E3" w:rsidRPr="00A07AE3" w:rsidRDefault="001553E3" w:rsidP="00A07AE3">
            <w:pPr>
              <w:pStyle w:val="Paragraph"/>
              <w:numPr>
                <w:ilvl w:val="0"/>
                <w:numId w:val="27"/>
              </w:numPr>
              <w:spacing w:line="240" w:lineRule="auto"/>
              <w:rPr>
                <w:lang w:eastAsia="en-GB"/>
              </w:rPr>
            </w:pPr>
          </w:p>
        </w:tc>
        <w:tc>
          <w:tcPr>
            <w:tcW w:w="1679" w:type="dxa"/>
            <w:tcBorders>
              <w:top w:val="single" w:sz="4" w:space="0" w:color="auto"/>
              <w:left w:val="nil"/>
              <w:bottom w:val="single" w:sz="4" w:space="0" w:color="auto"/>
              <w:right w:val="single" w:sz="4" w:space="0" w:color="auto"/>
            </w:tcBorders>
            <w:shd w:val="clear" w:color="auto" w:fill="auto"/>
          </w:tcPr>
          <w:p w14:paraId="3D200FDC" w14:textId="58AF6C12" w:rsidR="001553E3" w:rsidRPr="00A07AE3" w:rsidRDefault="001553E3"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20D39F9" w14:textId="5CD1DA6F" w:rsidR="001553E3" w:rsidRPr="00A07AE3" w:rsidRDefault="001553E3" w:rsidP="00A07AE3">
            <w:pPr>
              <w:pStyle w:val="Paragraph"/>
              <w:spacing w:line="240" w:lineRule="auto"/>
              <w:rPr>
                <w:rFonts w:cs="Arial"/>
                <w:color w:val="000000"/>
              </w:rPr>
            </w:pPr>
            <w:r w:rsidRPr="00A07AE3">
              <w:rPr>
                <w:rFonts w:cs="Arial"/>
                <w:color w:val="000000"/>
              </w:rPr>
              <w:t>EAR</w:t>
            </w:r>
          </w:p>
        </w:tc>
        <w:tc>
          <w:tcPr>
            <w:tcW w:w="5134" w:type="dxa"/>
            <w:tcBorders>
              <w:top w:val="single" w:sz="4" w:space="0" w:color="auto"/>
              <w:left w:val="single" w:sz="4" w:space="0" w:color="auto"/>
              <w:bottom w:val="single" w:sz="4" w:space="0" w:color="auto"/>
              <w:right w:val="nil"/>
            </w:tcBorders>
            <w:shd w:val="clear" w:color="auto" w:fill="auto"/>
          </w:tcPr>
          <w:p w14:paraId="2075D123" w14:textId="79B5C3BD" w:rsidR="001553E3" w:rsidRPr="00A07AE3" w:rsidRDefault="001553E3" w:rsidP="00A07AE3">
            <w:pPr>
              <w:pStyle w:val="Paragraph"/>
              <w:spacing w:line="240" w:lineRule="auto"/>
              <w:rPr>
                <w:rFonts w:cs="Arial"/>
                <w:color w:val="000000"/>
              </w:rPr>
            </w:pPr>
            <w:r w:rsidRPr="00A07AE3">
              <w:rPr>
                <w:rFonts w:cs="Arial"/>
                <w:color w:val="000000"/>
              </w:rPr>
              <w:t>Why was CPRD data used to show usage of AMDs but not any clinical outcomes?</w:t>
            </w:r>
          </w:p>
        </w:tc>
        <w:tc>
          <w:tcPr>
            <w:tcW w:w="3595" w:type="dxa"/>
          </w:tcPr>
          <w:p w14:paraId="148A1EA8" w14:textId="77777777" w:rsidR="003F3AFC" w:rsidRPr="00A07AE3" w:rsidRDefault="003F3AFC" w:rsidP="00A07AE3">
            <w:pPr>
              <w:pStyle w:val="Paragraph"/>
              <w:spacing w:line="240" w:lineRule="auto"/>
              <w:rPr>
                <w:rFonts w:cs="Arial"/>
                <w:lang w:eastAsia="en-GB"/>
              </w:rPr>
            </w:pPr>
            <w:r w:rsidRPr="00A07AE3">
              <w:rPr>
                <w:rFonts w:cs="Arial"/>
                <w:lang w:eastAsia="en-GB"/>
              </w:rPr>
              <w:t>Thank you for your comment.</w:t>
            </w:r>
          </w:p>
          <w:p w14:paraId="62E4F0B9" w14:textId="727FCEF0" w:rsidR="001553E3" w:rsidRPr="00A07AE3" w:rsidRDefault="003F3AFC" w:rsidP="00A07AE3">
            <w:pPr>
              <w:pStyle w:val="Paragraph"/>
              <w:spacing w:line="240" w:lineRule="auto"/>
              <w:rPr>
                <w:lang w:eastAsia="en-GB"/>
              </w:rPr>
            </w:pPr>
            <w:r w:rsidRPr="00A07AE3">
              <w:rPr>
                <w:rFonts w:cs="Arial"/>
                <w:lang w:eastAsia="en-GB"/>
              </w:rPr>
              <w:t xml:space="preserve">Treatment of leg ulcers typically occurs in the community setting; however, this is not </w:t>
            </w:r>
            <w:r w:rsidRPr="00A07AE3">
              <w:rPr>
                <w:rFonts w:cs="Arial"/>
                <w:lang w:eastAsia="en-GB"/>
              </w:rPr>
              <w:lastRenderedPageBreak/>
              <w:t>captured in the CPRD data. Furthermore,</w:t>
            </w:r>
            <w:r w:rsidRPr="00A07AE3">
              <w:t xml:space="preserve"> </w:t>
            </w:r>
            <w:r w:rsidR="0067627D" w:rsidRPr="00A07AE3">
              <w:t>CPRD</w:t>
            </w:r>
            <w:r w:rsidRPr="00A07AE3">
              <w:t xml:space="preserve"> did not distinguish between prophylactic and interventional use of AMDs (i.e. the infection status), nor was it guaranteed that the AMD was prescribed for the ulcer itself.</w:t>
            </w:r>
            <w:r w:rsidR="007D24C8" w:rsidRPr="00A07AE3">
              <w:t xml:space="preserve"> </w:t>
            </w:r>
            <w:r w:rsidRPr="00A07AE3">
              <w:t>For these reasons, the EAG did not consider analysis of CPRD data would provide robust clinical evidence to inform the model.</w:t>
            </w:r>
          </w:p>
        </w:tc>
      </w:tr>
    </w:tbl>
    <w:p w14:paraId="3B1DFAA5" w14:textId="77777777" w:rsidR="0040681C" w:rsidRDefault="0040681C" w:rsidP="0040681C">
      <w:pPr>
        <w:pStyle w:val="Heading1"/>
        <w:spacing w:line="240" w:lineRule="auto"/>
      </w:pPr>
      <w:r>
        <w:lastRenderedPageBreak/>
        <w:t>Table 17: health economic evaluation, 2</w:t>
      </w:r>
      <w:r w:rsidRPr="00C1326A">
        <w:rPr>
          <w:vertAlign w:val="superscript"/>
        </w:rPr>
        <w:t>nd</w:t>
      </w:r>
      <w:r>
        <w:t xml:space="preserve"> line basket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8"/>
        <w:gridCol w:w="2035"/>
        <w:gridCol w:w="5252"/>
        <w:gridCol w:w="3650"/>
      </w:tblGrid>
      <w:tr w:rsidR="00F06BB6" w14:paraId="59EBFB1B" w14:textId="77777777" w:rsidTr="00376221">
        <w:tc>
          <w:tcPr>
            <w:tcW w:w="1323" w:type="dxa"/>
            <w:shd w:val="clear" w:color="auto" w:fill="D9D9D9" w:themeFill="background1" w:themeFillShade="D9"/>
          </w:tcPr>
          <w:p w14:paraId="5B510E44" w14:textId="00C1E5D2" w:rsidR="00F06BB6" w:rsidRPr="00A07AE3" w:rsidRDefault="00F06BB6" w:rsidP="00A07AE3">
            <w:pPr>
              <w:pStyle w:val="Paragraph"/>
              <w:spacing w:line="240" w:lineRule="auto"/>
              <w:rPr>
                <w:lang w:eastAsia="en-GB"/>
              </w:rPr>
            </w:pPr>
            <w:r w:rsidRPr="00A07AE3">
              <w:rPr>
                <w:b/>
                <w:bCs/>
                <w:lang w:eastAsia="en-GB"/>
              </w:rPr>
              <w:t>Comment no.</w:t>
            </w:r>
          </w:p>
        </w:tc>
        <w:tc>
          <w:tcPr>
            <w:tcW w:w="1688" w:type="dxa"/>
            <w:tcBorders>
              <w:top w:val="single" w:sz="4" w:space="0" w:color="auto"/>
              <w:left w:val="nil"/>
              <w:bottom w:val="single" w:sz="4" w:space="0" w:color="auto"/>
              <w:right w:val="single" w:sz="4" w:space="0" w:color="auto"/>
            </w:tcBorders>
            <w:shd w:val="clear" w:color="auto" w:fill="D9D9D9" w:themeFill="background1" w:themeFillShade="D9"/>
          </w:tcPr>
          <w:p w14:paraId="4F9D36A5" w14:textId="299A49F6"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64004" w14:textId="1F141D57"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252" w:type="dxa"/>
            <w:tcBorders>
              <w:top w:val="single" w:sz="4" w:space="0" w:color="auto"/>
              <w:left w:val="single" w:sz="4" w:space="0" w:color="auto"/>
              <w:bottom w:val="single" w:sz="4" w:space="0" w:color="auto"/>
              <w:right w:val="nil"/>
            </w:tcBorders>
            <w:shd w:val="clear" w:color="auto" w:fill="D9D9D9" w:themeFill="background1" w:themeFillShade="D9"/>
          </w:tcPr>
          <w:p w14:paraId="6B12BEC1" w14:textId="61B64FB5" w:rsidR="00F06BB6" w:rsidRPr="00A07AE3" w:rsidRDefault="00F06BB6" w:rsidP="00A07AE3">
            <w:pPr>
              <w:pStyle w:val="Paragraph"/>
              <w:spacing w:line="240" w:lineRule="auto"/>
              <w:rPr>
                <w:rFonts w:cs="Arial"/>
                <w:color w:val="000000"/>
              </w:rPr>
            </w:pPr>
            <w:r w:rsidRPr="00A07AE3">
              <w:rPr>
                <w:b/>
                <w:bCs/>
                <w:lang w:eastAsia="en-GB"/>
              </w:rPr>
              <w:t>Comment</w:t>
            </w:r>
          </w:p>
        </w:tc>
        <w:tc>
          <w:tcPr>
            <w:tcW w:w="3650" w:type="dxa"/>
            <w:shd w:val="clear" w:color="auto" w:fill="D9D9D9" w:themeFill="background1" w:themeFillShade="D9"/>
          </w:tcPr>
          <w:p w14:paraId="492CE221" w14:textId="2A1CC4AF" w:rsidR="00F06BB6" w:rsidRPr="00A07AE3" w:rsidRDefault="00F06BB6" w:rsidP="00A07AE3">
            <w:pPr>
              <w:pStyle w:val="Paragraph"/>
              <w:spacing w:line="240" w:lineRule="auto"/>
              <w:rPr>
                <w:lang w:eastAsia="en-GB"/>
              </w:rPr>
            </w:pPr>
            <w:r w:rsidRPr="00A07AE3">
              <w:rPr>
                <w:b/>
                <w:bCs/>
                <w:lang w:eastAsia="en-GB"/>
              </w:rPr>
              <w:t>Response</w:t>
            </w:r>
          </w:p>
        </w:tc>
      </w:tr>
      <w:tr w:rsidR="00C1326A" w14:paraId="31C6FEEA" w14:textId="77777777" w:rsidTr="00376221">
        <w:tc>
          <w:tcPr>
            <w:tcW w:w="1323" w:type="dxa"/>
          </w:tcPr>
          <w:p w14:paraId="2EA1178E" w14:textId="77777777" w:rsidR="00C1326A" w:rsidRPr="00A07AE3" w:rsidRDefault="00C1326A" w:rsidP="00A07AE3">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75116425" w14:textId="4CD5C79B" w:rsidR="00C1326A" w:rsidRPr="00A07AE3" w:rsidRDefault="00C1326A"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373BDD2C" w14:textId="40577075" w:rsidR="00C1326A" w:rsidRPr="00A07AE3" w:rsidRDefault="00C1326A" w:rsidP="00A07AE3">
            <w:pPr>
              <w:pStyle w:val="Paragraph"/>
              <w:spacing w:line="240" w:lineRule="auto"/>
              <w:rPr>
                <w:lang w:eastAsia="en-GB"/>
              </w:rPr>
            </w:pPr>
            <w:r w:rsidRPr="00A07AE3">
              <w:rPr>
                <w:rFonts w:cs="Arial"/>
                <w:color w:val="000000"/>
              </w:rPr>
              <w:t>Not specified</w:t>
            </w:r>
          </w:p>
        </w:tc>
        <w:tc>
          <w:tcPr>
            <w:tcW w:w="5252" w:type="dxa"/>
            <w:tcBorders>
              <w:top w:val="single" w:sz="4" w:space="0" w:color="auto"/>
              <w:left w:val="single" w:sz="4" w:space="0" w:color="auto"/>
              <w:bottom w:val="single" w:sz="4" w:space="0" w:color="auto"/>
              <w:right w:val="nil"/>
            </w:tcBorders>
            <w:shd w:val="clear" w:color="auto" w:fill="auto"/>
          </w:tcPr>
          <w:p w14:paraId="0EA0B309" w14:textId="75820899" w:rsidR="00C1326A" w:rsidRPr="00A07AE3" w:rsidRDefault="00C1326A" w:rsidP="00A07AE3">
            <w:pPr>
              <w:pStyle w:val="Paragraph"/>
              <w:spacing w:line="240" w:lineRule="auto"/>
              <w:rPr>
                <w:lang w:eastAsia="en-GB"/>
              </w:rPr>
            </w:pPr>
            <w:r w:rsidRPr="00A07AE3">
              <w:rPr>
                <w:rFonts w:cs="Arial"/>
                <w:color w:val="000000"/>
              </w:rPr>
              <w:t xml:space="preserve">In the EAG Assessment report Table 7.5: Second line basket efficacy data, the EAG has used healing rates that do not pertain to infected wounds. Suggest reviewing Figure 4 and Table 5 in Venous leg ulcer management in clinical practice in the UK: costs and outcomes. Int Wound J 2017; </w:t>
            </w:r>
            <w:proofErr w:type="spellStart"/>
            <w:r w:rsidRPr="00A07AE3">
              <w:rPr>
                <w:rFonts w:cs="Arial"/>
                <w:color w:val="000000"/>
              </w:rPr>
              <w:t>doi</w:t>
            </w:r>
            <w:proofErr w:type="spellEnd"/>
            <w:r w:rsidRPr="00A07AE3">
              <w:rPr>
                <w:rFonts w:cs="Arial"/>
                <w:color w:val="000000"/>
              </w:rPr>
              <w:t>: 10.1111/iwj.12814 and other relevant studies.</w:t>
            </w:r>
          </w:p>
        </w:tc>
        <w:tc>
          <w:tcPr>
            <w:tcW w:w="3650" w:type="dxa"/>
          </w:tcPr>
          <w:p w14:paraId="46010FC6" w14:textId="1FE1CA36" w:rsidR="00C1326A" w:rsidRPr="00A07AE3" w:rsidRDefault="007D24C8" w:rsidP="00A07AE3">
            <w:pPr>
              <w:pStyle w:val="Paragraph"/>
              <w:spacing w:line="240" w:lineRule="auto"/>
              <w:rPr>
                <w:lang w:eastAsia="en-GB"/>
              </w:rPr>
            </w:pPr>
            <w:r w:rsidRPr="00A07AE3">
              <w:rPr>
                <w:lang w:eastAsia="en-GB"/>
              </w:rPr>
              <w:t xml:space="preserve">Thank you for your comment. </w:t>
            </w:r>
            <w:r w:rsidR="003F3AFC" w:rsidRPr="00A07AE3">
              <w:rPr>
                <w:lang w:eastAsia="en-GB"/>
              </w:rPr>
              <w:t xml:space="preserve">Please see </w:t>
            </w:r>
            <w:r w:rsidRPr="00A07AE3">
              <w:rPr>
                <w:lang w:eastAsia="en-GB"/>
              </w:rPr>
              <w:t xml:space="preserve">response to </w:t>
            </w:r>
            <w:r w:rsidR="003F3AFC" w:rsidRPr="00A07AE3">
              <w:rPr>
                <w:lang w:eastAsia="en-GB"/>
              </w:rPr>
              <w:t>comment 89.</w:t>
            </w:r>
          </w:p>
        </w:tc>
      </w:tr>
    </w:tbl>
    <w:p w14:paraId="4250F966" w14:textId="77777777" w:rsidR="00376221" w:rsidRDefault="00376221" w:rsidP="00376221">
      <w:pPr>
        <w:pStyle w:val="Heading1"/>
      </w:pPr>
      <w:r>
        <w:lastRenderedPageBreak/>
        <w:t xml:space="preserve">Table 18: health economic evaluation, efficacy sensitivity analysis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9"/>
        <w:gridCol w:w="2036"/>
        <w:gridCol w:w="5246"/>
        <w:gridCol w:w="3654"/>
      </w:tblGrid>
      <w:tr w:rsidR="00F06BB6" w14:paraId="7ECCAB95" w14:textId="77777777" w:rsidTr="00AC232C">
        <w:tc>
          <w:tcPr>
            <w:tcW w:w="1323" w:type="dxa"/>
            <w:shd w:val="clear" w:color="auto" w:fill="D9D9D9" w:themeFill="background1" w:themeFillShade="D9"/>
          </w:tcPr>
          <w:p w14:paraId="0B859F63" w14:textId="4C3E3208" w:rsidR="00F06BB6" w:rsidRPr="00A07AE3" w:rsidRDefault="00F06BB6" w:rsidP="00A07AE3">
            <w:pPr>
              <w:pStyle w:val="Paragraph"/>
              <w:spacing w:line="240" w:lineRule="auto"/>
              <w:rPr>
                <w:lang w:eastAsia="en-GB"/>
              </w:rPr>
            </w:pPr>
            <w:r w:rsidRPr="00A07AE3">
              <w:rPr>
                <w:b/>
                <w:bCs/>
                <w:lang w:eastAsia="en-GB"/>
              </w:rPr>
              <w:t>Comment no.</w:t>
            </w:r>
          </w:p>
        </w:tc>
        <w:tc>
          <w:tcPr>
            <w:tcW w:w="1689" w:type="dxa"/>
            <w:tcBorders>
              <w:top w:val="single" w:sz="4" w:space="0" w:color="auto"/>
              <w:left w:val="nil"/>
              <w:bottom w:val="single" w:sz="4" w:space="0" w:color="auto"/>
              <w:right w:val="single" w:sz="4" w:space="0" w:color="auto"/>
            </w:tcBorders>
            <w:shd w:val="clear" w:color="auto" w:fill="D9D9D9" w:themeFill="background1" w:themeFillShade="D9"/>
          </w:tcPr>
          <w:p w14:paraId="20404613" w14:textId="091235B3"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D07B7" w14:textId="1AA2D0DF"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246" w:type="dxa"/>
            <w:tcBorders>
              <w:top w:val="single" w:sz="4" w:space="0" w:color="auto"/>
              <w:left w:val="single" w:sz="4" w:space="0" w:color="auto"/>
              <w:bottom w:val="single" w:sz="4" w:space="0" w:color="auto"/>
              <w:right w:val="nil"/>
            </w:tcBorders>
            <w:shd w:val="clear" w:color="auto" w:fill="D9D9D9" w:themeFill="background1" w:themeFillShade="D9"/>
          </w:tcPr>
          <w:p w14:paraId="40ADD5E4" w14:textId="7333C15E" w:rsidR="00F06BB6" w:rsidRPr="00A07AE3" w:rsidRDefault="00F06BB6" w:rsidP="00A07AE3">
            <w:pPr>
              <w:pStyle w:val="Paragraph"/>
              <w:spacing w:line="240" w:lineRule="auto"/>
              <w:rPr>
                <w:rFonts w:cs="Arial"/>
                <w:color w:val="000000"/>
              </w:rPr>
            </w:pPr>
            <w:r w:rsidRPr="00A07AE3">
              <w:rPr>
                <w:b/>
                <w:bCs/>
                <w:lang w:eastAsia="en-GB"/>
              </w:rPr>
              <w:t>Comment</w:t>
            </w:r>
          </w:p>
        </w:tc>
        <w:tc>
          <w:tcPr>
            <w:tcW w:w="3654" w:type="dxa"/>
            <w:shd w:val="clear" w:color="auto" w:fill="D9D9D9" w:themeFill="background1" w:themeFillShade="D9"/>
          </w:tcPr>
          <w:p w14:paraId="67F36092" w14:textId="238E227E" w:rsidR="00F06BB6" w:rsidRPr="00A07AE3" w:rsidRDefault="00F06BB6" w:rsidP="00A07AE3">
            <w:pPr>
              <w:pStyle w:val="Paragraph"/>
              <w:spacing w:line="240" w:lineRule="auto"/>
              <w:rPr>
                <w:lang w:eastAsia="en-GB"/>
              </w:rPr>
            </w:pPr>
            <w:r w:rsidRPr="00A07AE3">
              <w:rPr>
                <w:b/>
                <w:bCs/>
                <w:lang w:eastAsia="en-GB"/>
              </w:rPr>
              <w:t>Response</w:t>
            </w:r>
          </w:p>
        </w:tc>
      </w:tr>
      <w:tr w:rsidR="005B174C" w14:paraId="595FF026" w14:textId="77777777" w:rsidTr="00AC232C">
        <w:tc>
          <w:tcPr>
            <w:tcW w:w="1323" w:type="dxa"/>
          </w:tcPr>
          <w:p w14:paraId="3A2E24A2" w14:textId="77777777" w:rsidR="005B174C" w:rsidRPr="00A07AE3" w:rsidRDefault="005B174C"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17403B96" w14:textId="48A394D1" w:rsidR="005B174C" w:rsidRPr="00A07AE3" w:rsidRDefault="005B174C"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63AB014" w14:textId="4690F2FD" w:rsidR="005B174C" w:rsidRPr="00A07AE3" w:rsidRDefault="005B174C" w:rsidP="00A07AE3">
            <w:pPr>
              <w:pStyle w:val="Paragraph"/>
              <w:spacing w:line="240" w:lineRule="auto"/>
              <w:rPr>
                <w:lang w:eastAsia="en-GB"/>
              </w:rPr>
            </w:pPr>
            <w:r w:rsidRPr="00A07AE3">
              <w:rPr>
                <w:rFonts w:cs="Arial"/>
                <w:color w:val="000000"/>
              </w:rPr>
              <w:t>Not specified</w:t>
            </w:r>
          </w:p>
        </w:tc>
        <w:tc>
          <w:tcPr>
            <w:tcW w:w="5246" w:type="dxa"/>
            <w:tcBorders>
              <w:top w:val="single" w:sz="4" w:space="0" w:color="auto"/>
              <w:left w:val="single" w:sz="4" w:space="0" w:color="auto"/>
              <w:bottom w:val="single" w:sz="4" w:space="0" w:color="auto"/>
              <w:right w:val="nil"/>
            </w:tcBorders>
            <w:shd w:val="clear" w:color="auto" w:fill="auto"/>
          </w:tcPr>
          <w:p w14:paraId="6481A6C9" w14:textId="41C69E50" w:rsidR="005B174C" w:rsidRPr="00A07AE3" w:rsidRDefault="005B174C" w:rsidP="00A07AE3">
            <w:pPr>
              <w:pStyle w:val="Paragraph"/>
              <w:spacing w:line="240" w:lineRule="auto"/>
              <w:rPr>
                <w:lang w:eastAsia="en-GB"/>
              </w:rPr>
            </w:pPr>
            <w:r w:rsidRPr="00A07AE3">
              <w:rPr>
                <w:rFonts w:cs="Arial"/>
                <w:color w:val="000000"/>
              </w:rPr>
              <w:t xml:space="preserve">The EAG assessment report lacks some critical sensitivity analyses such as varying the inputs pertaining to unrealistic assumptions. For example: </w:t>
            </w:r>
            <w:r w:rsidRPr="00A07AE3">
              <w:rPr>
                <w:rFonts w:cs="Arial"/>
                <w:color w:val="000000"/>
              </w:rPr>
              <w:br/>
              <w:t>1. assessing the effect of changing the assumption that time to infection resolution is proportional to the healing rate.</w:t>
            </w:r>
            <w:r w:rsidRPr="00A07AE3">
              <w:rPr>
                <w:rFonts w:cs="Arial"/>
                <w:color w:val="000000"/>
              </w:rPr>
              <w:br/>
              <w:t>2. assessing how differentially changing the frequency of dressing change between different AMDs affects the number and cost of clinician visits and the total cost.</w:t>
            </w:r>
            <w:r w:rsidRPr="00A07AE3">
              <w:rPr>
                <w:rFonts w:cs="Arial"/>
                <w:color w:val="000000"/>
              </w:rPr>
              <w:br/>
            </w:r>
            <w:r w:rsidRPr="00A07AE3">
              <w:rPr>
                <w:rFonts w:cs="Arial"/>
                <w:color w:val="000000"/>
              </w:rPr>
              <w:br/>
              <w:t>Anecdotal evidence suggests that post-pandemic, leg ulcer dressings are being changed less frequently in clinics as there is an increase in self-care or care provided by family members or other informal carers. What is the effect of this in a scenario analysis?</w:t>
            </w:r>
          </w:p>
        </w:tc>
        <w:tc>
          <w:tcPr>
            <w:tcW w:w="3654" w:type="dxa"/>
          </w:tcPr>
          <w:p w14:paraId="6DBF297F" w14:textId="2FD0DB3E" w:rsidR="003F3AFC" w:rsidRPr="00A07AE3" w:rsidRDefault="003F3AFC" w:rsidP="00A07AE3">
            <w:pPr>
              <w:pStyle w:val="Paragraph"/>
              <w:spacing w:line="240" w:lineRule="auto"/>
              <w:rPr>
                <w:lang w:eastAsia="en-GB"/>
              </w:rPr>
            </w:pPr>
            <w:r w:rsidRPr="00A07AE3">
              <w:rPr>
                <w:lang w:eastAsia="en-GB"/>
              </w:rPr>
              <w:t>Thank you for your comment.</w:t>
            </w:r>
            <w:r w:rsidR="00235E75" w:rsidRPr="00A07AE3">
              <w:rPr>
                <w:lang w:eastAsia="en-GB"/>
              </w:rPr>
              <w:t xml:space="preserve"> </w:t>
            </w:r>
          </w:p>
          <w:p w14:paraId="59E16E38" w14:textId="3695D4C3" w:rsidR="00235E75" w:rsidRPr="00A07AE3" w:rsidRDefault="007B5A7C" w:rsidP="00A07AE3">
            <w:pPr>
              <w:pStyle w:val="Paragraph"/>
              <w:spacing w:line="240" w:lineRule="auto"/>
              <w:rPr>
                <w:lang w:eastAsia="en-GB"/>
              </w:rPr>
            </w:pPr>
            <w:r w:rsidRPr="00A07AE3">
              <w:rPr>
                <w:lang w:eastAsia="en-GB"/>
              </w:rPr>
              <w:t xml:space="preserve">In relation to the first point, </w:t>
            </w:r>
            <w:r w:rsidR="00235E75" w:rsidRPr="00A07AE3">
              <w:rPr>
                <w:lang w:eastAsia="en-GB"/>
              </w:rPr>
              <w:t xml:space="preserve">The EAG explored this assumption in </w:t>
            </w:r>
            <w:proofErr w:type="gramStart"/>
            <w:r w:rsidR="00235E75" w:rsidRPr="00A07AE3">
              <w:rPr>
                <w:lang w:eastAsia="en-GB"/>
              </w:rPr>
              <w:t>a number of</w:t>
            </w:r>
            <w:proofErr w:type="gramEnd"/>
            <w:r w:rsidR="00235E75" w:rsidRPr="00A07AE3">
              <w:rPr>
                <w:lang w:eastAsia="en-GB"/>
              </w:rPr>
              <w:t xml:space="preserve"> scenario </w:t>
            </w:r>
            <w:r w:rsidRPr="00A07AE3">
              <w:rPr>
                <w:lang w:eastAsia="en-GB"/>
              </w:rPr>
              <w:t xml:space="preserve">analyses. </w:t>
            </w:r>
            <w:r w:rsidR="00235E75" w:rsidRPr="00A07AE3">
              <w:rPr>
                <w:lang w:eastAsia="en-GB"/>
              </w:rPr>
              <w:t>Please see section 7.3.4 of the EAR</w:t>
            </w:r>
            <w:r w:rsidRPr="00A07AE3">
              <w:rPr>
                <w:lang w:eastAsia="en-GB"/>
              </w:rPr>
              <w:t xml:space="preserve"> for more details. </w:t>
            </w:r>
          </w:p>
          <w:p w14:paraId="5CCFE80E" w14:textId="096F5BC7" w:rsidR="007B5A7C" w:rsidRPr="00A07AE3" w:rsidRDefault="007B5A7C" w:rsidP="00A07AE3">
            <w:pPr>
              <w:pStyle w:val="Paragraph"/>
              <w:spacing w:line="240" w:lineRule="auto"/>
              <w:rPr>
                <w:lang w:eastAsia="en-GB"/>
              </w:rPr>
            </w:pPr>
            <w:r w:rsidRPr="00A07AE3">
              <w:rPr>
                <w:lang w:eastAsia="en-GB"/>
              </w:rPr>
              <w:t>Relating to the second point. Please see response to comment 80.</w:t>
            </w:r>
          </w:p>
          <w:p w14:paraId="5CE85DB6" w14:textId="5C3903A2" w:rsidR="005B174C" w:rsidRPr="00A07AE3" w:rsidRDefault="0094189E" w:rsidP="00A07AE3">
            <w:pPr>
              <w:pStyle w:val="Paragraph"/>
              <w:spacing w:line="240" w:lineRule="auto"/>
              <w:rPr>
                <w:lang w:eastAsia="en-GB"/>
              </w:rPr>
            </w:pPr>
            <w:r w:rsidRPr="00A07AE3">
              <w:rPr>
                <w:lang w:eastAsia="en-GB"/>
              </w:rPr>
              <w:t>Relating to post-pandemic data</w:t>
            </w:r>
            <w:r w:rsidR="001D4518" w:rsidRPr="00A07AE3">
              <w:rPr>
                <w:lang w:eastAsia="en-GB"/>
              </w:rPr>
              <w:t xml:space="preserve">. </w:t>
            </w:r>
            <w:r w:rsidR="003F3AFC" w:rsidRPr="00A07AE3">
              <w:rPr>
                <w:lang w:eastAsia="en-GB"/>
              </w:rPr>
              <w:t xml:space="preserve">Post-pandemic data is not available. However, the </w:t>
            </w:r>
            <w:r w:rsidR="001D4518" w:rsidRPr="00A07AE3">
              <w:rPr>
                <w:lang w:eastAsia="en-GB"/>
              </w:rPr>
              <w:t xml:space="preserve">EAG noted that </w:t>
            </w:r>
            <w:r w:rsidR="003F3AFC" w:rsidRPr="00A07AE3">
              <w:rPr>
                <w:lang w:eastAsia="en-GB"/>
              </w:rPr>
              <w:t>peri-pandemic data shows the impact on the model from a reduction in resource use / visits from nurses. Please see Section 7.3.4</w:t>
            </w:r>
            <w:r w:rsidR="001D4518" w:rsidRPr="00A07AE3">
              <w:rPr>
                <w:lang w:eastAsia="en-GB"/>
              </w:rPr>
              <w:t xml:space="preserve"> for more details</w:t>
            </w:r>
            <w:r w:rsidR="003F3AFC" w:rsidRPr="00A07AE3">
              <w:rPr>
                <w:lang w:eastAsia="en-GB"/>
              </w:rPr>
              <w:t>.</w:t>
            </w:r>
          </w:p>
        </w:tc>
      </w:tr>
    </w:tbl>
    <w:p w14:paraId="79EA0FA7" w14:textId="77777777" w:rsidR="00AC232C" w:rsidRDefault="00AC232C" w:rsidP="00AC232C">
      <w:pPr>
        <w:pStyle w:val="Heading1"/>
        <w:spacing w:line="240" w:lineRule="auto"/>
      </w:pPr>
      <w:r>
        <w:lastRenderedPageBreak/>
        <w:t xml:space="preserve">Table 19: health economic evaluation, model structure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9"/>
        <w:gridCol w:w="2036"/>
        <w:gridCol w:w="5244"/>
        <w:gridCol w:w="3656"/>
      </w:tblGrid>
      <w:tr w:rsidR="00F06BB6" w14:paraId="125B10EE" w14:textId="77777777" w:rsidTr="1948D9BA">
        <w:tc>
          <w:tcPr>
            <w:tcW w:w="1323" w:type="dxa"/>
            <w:shd w:val="clear" w:color="auto" w:fill="D9D9D9" w:themeFill="background1" w:themeFillShade="D9"/>
          </w:tcPr>
          <w:p w14:paraId="6A9E264F" w14:textId="0075C3C8" w:rsidR="00F06BB6" w:rsidRPr="00A07AE3" w:rsidRDefault="00F06BB6" w:rsidP="00A07AE3">
            <w:pPr>
              <w:pStyle w:val="Paragraph"/>
              <w:spacing w:line="240" w:lineRule="auto"/>
              <w:rPr>
                <w:lang w:eastAsia="en-GB"/>
              </w:rPr>
            </w:pPr>
            <w:r w:rsidRPr="00A07AE3">
              <w:rPr>
                <w:b/>
                <w:bCs/>
                <w:lang w:eastAsia="en-GB"/>
              </w:rPr>
              <w:t>Comment no.</w:t>
            </w:r>
          </w:p>
        </w:tc>
        <w:tc>
          <w:tcPr>
            <w:tcW w:w="1689" w:type="dxa"/>
            <w:tcBorders>
              <w:top w:val="single" w:sz="4" w:space="0" w:color="auto"/>
              <w:left w:val="nil"/>
              <w:bottom w:val="single" w:sz="4" w:space="0" w:color="auto"/>
              <w:right w:val="single" w:sz="4" w:space="0" w:color="auto"/>
            </w:tcBorders>
            <w:shd w:val="clear" w:color="auto" w:fill="D9D9D9" w:themeFill="background1" w:themeFillShade="D9"/>
          </w:tcPr>
          <w:p w14:paraId="50309B4F" w14:textId="40E46E27"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31424" w14:textId="1662A53D"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244" w:type="dxa"/>
            <w:tcBorders>
              <w:top w:val="single" w:sz="4" w:space="0" w:color="auto"/>
              <w:left w:val="single" w:sz="4" w:space="0" w:color="auto"/>
              <w:bottom w:val="single" w:sz="4" w:space="0" w:color="auto"/>
              <w:right w:val="nil"/>
            </w:tcBorders>
            <w:shd w:val="clear" w:color="auto" w:fill="D9D9D9" w:themeFill="background1" w:themeFillShade="D9"/>
          </w:tcPr>
          <w:p w14:paraId="1DE89F3E" w14:textId="6169D6A5" w:rsidR="00F06BB6" w:rsidRPr="00A07AE3" w:rsidRDefault="00F06BB6" w:rsidP="00A07AE3">
            <w:pPr>
              <w:pStyle w:val="Paragraph"/>
              <w:spacing w:line="240" w:lineRule="auto"/>
              <w:rPr>
                <w:rFonts w:cs="Arial"/>
                <w:color w:val="000000"/>
              </w:rPr>
            </w:pPr>
            <w:r w:rsidRPr="00A07AE3">
              <w:rPr>
                <w:b/>
                <w:bCs/>
                <w:lang w:eastAsia="en-GB"/>
              </w:rPr>
              <w:t>Comment</w:t>
            </w:r>
          </w:p>
        </w:tc>
        <w:tc>
          <w:tcPr>
            <w:tcW w:w="3656" w:type="dxa"/>
            <w:shd w:val="clear" w:color="auto" w:fill="D9D9D9" w:themeFill="background1" w:themeFillShade="D9"/>
          </w:tcPr>
          <w:p w14:paraId="0031D23D" w14:textId="345C6EB4" w:rsidR="00F06BB6" w:rsidRPr="00A07AE3" w:rsidRDefault="00F06BB6" w:rsidP="00A07AE3">
            <w:pPr>
              <w:pStyle w:val="Paragraph"/>
              <w:spacing w:line="240" w:lineRule="auto"/>
              <w:rPr>
                <w:lang w:eastAsia="en-GB"/>
              </w:rPr>
            </w:pPr>
            <w:r w:rsidRPr="00A07AE3">
              <w:rPr>
                <w:b/>
                <w:bCs/>
                <w:lang w:eastAsia="en-GB"/>
              </w:rPr>
              <w:t>Response</w:t>
            </w:r>
          </w:p>
        </w:tc>
      </w:tr>
      <w:tr w:rsidR="00076BE5" w14:paraId="3E88E700" w14:textId="77777777" w:rsidTr="1948D9BA">
        <w:tc>
          <w:tcPr>
            <w:tcW w:w="1323" w:type="dxa"/>
          </w:tcPr>
          <w:p w14:paraId="508CC443"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43520BBE" w14:textId="519F1F5D" w:rsidR="00076BE5" w:rsidRPr="00A07AE3" w:rsidRDefault="00076BE5" w:rsidP="00A07AE3">
            <w:pPr>
              <w:pStyle w:val="Paragraph"/>
              <w:spacing w:line="240" w:lineRule="auto"/>
              <w:rPr>
                <w:lang w:eastAsia="en-GB"/>
              </w:rPr>
            </w:pPr>
            <w:r w:rsidRPr="00A07AE3">
              <w:rPr>
                <w:rFonts w:cs="Arial"/>
                <w:color w:val="000000"/>
              </w:rPr>
              <w:t>Consultee 1</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D9943DA" w14:textId="608321D4" w:rsidR="00076BE5" w:rsidRPr="00A07AE3" w:rsidRDefault="00076BE5" w:rsidP="00A07AE3">
            <w:pPr>
              <w:pStyle w:val="Paragraph"/>
              <w:spacing w:line="240" w:lineRule="auto"/>
              <w:rPr>
                <w:lang w:eastAsia="en-GB"/>
              </w:rPr>
            </w:pPr>
            <w:r w:rsidRPr="00A07AE3">
              <w:rPr>
                <w:rFonts w:cs="Arial"/>
                <w:color w:val="000000"/>
              </w:rPr>
              <w:t>3.12 Model inputs</w:t>
            </w:r>
          </w:p>
        </w:tc>
        <w:tc>
          <w:tcPr>
            <w:tcW w:w="5244" w:type="dxa"/>
            <w:tcBorders>
              <w:top w:val="single" w:sz="4" w:space="0" w:color="auto"/>
              <w:left w:val="single" w:sz="4" w:space="0" w:color="auto"/>
              <w:bottom w:val="single" w:sz="4" w:space="0" w:color="auto"/>
              <w:right w:val="nil"/>
            </w:tcBorders>
            <w:shd w:val="clear" w:color="auto" w:fill="auto"/>
          </w:tcPr>
          <w:p w14:paraId="3BCCD524" w14:textId="21B5A333" w:rsidR="00076BE5" w:rsidRPr="00A07AE3" w:rsidRDefault="00076BE5" w:rsidP="00A07AE3">
            <w:pPr>
              <w:pStyle w:val="Paragraph"/>
              <w:spacing w:line="240" w:lineRule="auto"/>
              <w:rPr>
                <w:lang w:eastAsia="en-GB"/>
              </w:rPr>
            </w:pPr>
            <w:r w:rsidRPr="00A07AE3">
              <w:rPr>
                <w:rFonts w:cs="Arial"/>
                <w:color w:val="000000"/>
              </w:rPr>
              <w:t>no consideration of population areas and socioeconomic challenges and concordance of patients</w:t>
            </w:r>
          </w:p>
        </w:tc>
        <w:tc>
          <w:tcPr>
            <w:tcW w:w="3656" w:type="dxa"/>
          </w:tcPr>
          <w:p w14:paraId="3C19A2D7" w14:textId="2FE93D3C" w:rsidR="00076BE5" w:rsidRPr="00A07AE3" w:rsidRDefault="003F3AFC" w:rsidP="00A07AE3">
            <w:pPr>
              <w:pStyle w:val="Paragraph"/>
              <w:spacing w:line="240" w:lineRule="auto"/>
              <w:rPr>
                <w:lang w:eastAsia="en-GB"/>
              </w:rPr>
            </w:pPr>
            <w:r w:rsidRPr="00A07AE3">
              <w:rPr>
                <w:lang w:eastAsia="en-GB"/>
              </w:rPr>
              <w:t>Thank you for your comment.</w:t>
            </w:r>
            <w:r w:rsidR="001D4518" w:rsidRPr="00A07AE3">
              <w:rPr>
                <w:lang w:eastAsia="en-GB"/>
              </w:rPr>
              <w:t xml:space="preserve"> These factors were not raised during the scoping process. </w:t>
            </w:r>
            <w:r w:rsidR="00FF1DD8" w:rsidRPr="00A07AE3">
              <w:rPr>
                <w:lang w:eastAsia="en-GB"/>
              </w:rPr>
              <w:t xml:space="preserve">However, due to the lack of robust data it is unlikely that subgroup analysis by these factors would be possible. </w:t>
            </w:r>
          </w:p>
        </w:tc>
      </w:tr>
      <w:tr w:rsidR="00076BE5" w14:paraId="384A088E" w14:textId="77777777" w:rsidTr="1948D9BA">
        <w:tc>
          <w:tcPr>
            <w:tcW w:w="1323" w:type="dxa"/>
          </w:tcPr>
          <w:p w14:paraId="2512BD20"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AEE2B19" w14:textId="5042A58E" w:rsidR="00076BE5" w:rsidRPr="00A07AE3" w:rsidRDefault="00076BE5"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7DF839F1" w14:textId="27D6241C" w:rsidR="00076BE5" w:rsidRPr="00A07AE3" w:rsidRDefault="00076BE5" w:rsidP="00A07AE3">
            <w:pPr>
              <w:pStyle w:val="Paragraph"/>
              <w:spacing w:line="240" w:lineRule="auto"/>
              <w:rPr>
                <w:lang w:eastAsia="en-GB"/>
              </w:rPr>
            </w:pPr>
            <w:r w:rsidRPr="00A07AE3">
              <w:rPr>
                <w:rFonts w:cs="Arial"/>
                <w:color w:val="000000"/>
              </w:rPr>
              <w:t>Not specified</w:t>
            </w:r>
          </w:p>
        </w:tc>
        <w:tc>
          <w:tcPr>
            <w:tcW w:w="5244" w:type="dxa"/>
            <w:tcBorders>
              <w:top w:val="single" w:sz="4" w:space="0" w:color="auto"/>
              <w:left w:val="single" w:sz="4" w:space="0" w:color="auto"/>
              <w:bottom w:val="single" w:sz="4" w:space="0" w:color="auto"/>
              <w:right w:val="nil"/>
            </w:tcBorders>
            <w:shd w:val="clear" w:color="auto" w:fill="auto"/>
          </w:tcPr>
          <w:p w14:paraId="36D3C6EA" w14:textId="5D3412BF" w:rsidR="00076BE5" w:rsidRPr="00A07AE3" w:rsidRDefault="00076BE5" w:rsidP="00A07AE3">
            <w:pPr>
              <w:pStyle w:val="Paragraph"/>
              <w:spacing w:line="240" w:lineRule="auto"/>
              <w:rPr>
                <w:lang w:eastAsia="en-GB"/>
              </w:rPr>
            </w:pPr>
            <w:r w:rsidRPr="00A07AE3">
              <w:rPr>
                <w:rFonts w:cs="Arial"/>
                <w:color w:val="000000"/>
              </w:rPr>
              <w:t xml:space="preserve">Costs of infection have not </w:t>
            </w:r>
            <w:proofErr w:type="gramStart"/>
            <w:r w:rsidRPr="00A07AE3">
              <w:rPr>
                <w:rFonts w:cs="Arial"/>
                <w:color w:val="000000"/>
              </w:rPr>
              <w:t>taken into account</w:t>
            </w:r>
            <w:proofErr w:type="gramEnd"/>
            <w:r w:rsidRPr="00A07AE3">
              <w:rPr>
                <w:rFonts w:cs="Arial"/>
                <w:color w:val="000000"/>
              </w:rPr>
              <w:t xml:space="preserve"> added complications if infection progresses from local infection to systemic infection and even bacteraemia.  NHS fingertips data does show how many bacteraemia cases are linked to skin and soft tissue infections and there are publications that highlight the impact effective AMDs may have on halting this progression (Newton 2010, Wounds UK)</w:t>
            </w:r>
          </w:p>
        </w:tc>
        <w:tc>
          <w:tcPr>
            <w:tcW w:w="3656" w:type="dxa"/>
          </w:tcPr>
          <w:p w14:paraId="7582DC4A" w14:textId="324F21CA" w:rsidR="00076BE5" w:rsidRPr="00A07AE3" w:rsidRDefault="0003667E" w:rsidP="00A07AE3">
            <w:pPr>
              <w:pStyle w:val="Paragraph"/>
              <w:spacing w:line="240" w:lineRule="auto"/>
              <w:rPr>
                <w:lang w:eastAsia="en-GB"/>
              </w:rPr>
            </w:pPr>
            <w:r w:rsidRPr="00A07AE3">
              <w:rPr>
                <w:rFonts w:cs="Arial"/>
                <w:lang w:eastAsia="en-GB"/>
              </w:rPr>
              <w:t xml:space="preserve">Thank you for your comment. </w:t>
            </w:r>
            <w:r w:rsidR="003F3AFC" w:rsidRPr="00A07AE3">
              <w:rPr>
                <w:rFonts w:cs="Arial"/>
                <w:lang w:eastAsia="en-GB"/>
              </w:rPr>
              <w:t xml:space="preserve">Please see </w:t>
            </w:r>
            <w:r w:rsidRPr="00A07AE3">
              <w:rPr>
                <w:rFonts w:cs="Arial"/>
                <w:lang w:eastAsia="en-GB"/>
              </w:rPr>
              <w:t xml:space="preserve">response to </w:t>
            </w:r>
            <w:r w:rsidR="003F3AFC" w:rsidRPr="00A07AE3">
              <w:rPr>
                <w:rFonts w:cs="Arial"/>
                <w:lang w:eastAsia="en-GB"/>
              </w:rPr>
              <w:t>comment 84.</w:t>
            </w:r>
          </w:p>
        </w:tc>
      </w:tr>
      <w:tr w:rsidR="00076BE5" w14:paraId="08E800AC" w14:textId="77777777" w:rsidTr="1948D9BA">
        <w:tc>
          <w:tcPr>
            <w:tcW w:w="1323" w:type="dxa"/>
          </w:tcPr>
          <w:p w14:paraId="0B370B3A"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9B6692A" w14:textId="31C01BA7" w:rsidR="00076BE5" w:rsidRPr="00A07AE3" w:rsidRDefault="00076BE5"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45ED59D5" w14:textId="31F1AF95" w:rsidR="00076BE5" w:rsidRPr="00A07AE3" w:rsidRDefault="00076BE5" w:rsidP="00A07AE3">
            <w:pPr>
              <w:pStyle w:val="Paragraph"/>
              <w:spacing w:line="240" w:lineRule="auto"/>
              <w:rPr>
                <w:lang w:eastAsia="en-GB"/>
              </w:rPr>
            </w:pPr>
            <w:r w:rsidRPr="00A07AE3">
              <w:rPr>
                <w:rFonts w:cs="Arial"/>
                <w:color w:val="000000"/>
              </w:rPr>
              <w:t>3.11 Model inputs</w:t>
            </w:r>
          </w:p>
        </w:tc>
        <w:tc>
          <w:tcPr>
            <w:tcW w:w="5244" w:type="dxa"/>
            <w:tcBorders>
              <w:top w:val="single" w:sz="4" w:space="0" w:color="auto"/>
              <w:left w:val="single" w:sz="4" w:space="0" w:color="auto"/>
              <w:bottom w:val="single" w:sz="4" w:space="0" w:color="auto"/>
              <w:right w:val="nil"/>
            </w:tcBorders>
            <w:shd w:val="clear" w:color="auto" w:fill="auto"/>
          </w:tcPr>
          <w:p w14:paraId="3D9C1799" w14:textId="1FE9BFC5" w:rsidR="00076BE5" w:rsidRPr="00A07AE3" w:rsidRDefault="00076BE5" w:rsidP="00A07AE3">
            <w:pPr>
              <w:pStyle w:val="Paragraph"/>
              <w:spacing w:line="240" w:lineRule="auto"/>
              <w:rPr>
                <w:lang w:eastAsia="en-GB"/>
              </w:rPr>
            </w:pPr>
            <w:r w:rsidRPr="00A07AE3">
              <w:rPr>
                <w:rFonts w:cs="Arial"/>
                <w:color w:val="000000"/>
              </w:rPr>
              <w:t>Progression of infection from local to spreading/ systemic/ bacteraemia have not been considered in the potential costs</w:t>
            </w:r>
          </w:p>
        </w:tc>
        <w:tc>
          <w:tcPr>
            <w:tcW w:w="3656" w:type="dxa"/>
          </w:tcPr>
          <w:p w14:paraId="28420C8B" w14:textId="24583384" w:rsidR="00076BE5" w:rsidRPr="00A07AE3" w:rsidRDefault="0003667E" w:rsidP="00A07AE3">
            <w:pPr>
              <w:pStyle w:val="Paragraph"/>
              <w:spacing w:line="240" w:lineRule="auto"/>
              <w:rPr>
                <w:lang w:eastAsia="en-GB"/>
              </w:rPr>
            </w:pPr>
            <w:r w:rsidRPr="00A07AE3">
              <w:rPr>
                <w:rFonts w:cs="Arial"/>
                <w:lang w:eastAsia="en-GB"/>
              </w:rPr>
              <w:t>Thank you for your comment. Please see response to comment 84.</w:t>
            </w:r>
          </w:p>
        </w:tc>
      </w:tr>
      <w:tr w:rsidR="00076BE5" w14:paraId="626180C2" w14:textId="77777777" w:rsidTr="1948D9BA">
        <w:tc>
          <w:tcPr>
            <w:tcW w:w="1323" w:type="dxa"/>
          </w:tcPr>
          <w:p w14:paraId="476E8799"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7654CC80" w14:textId="656EBDD5" w:rsidR="00076BE5" w:rsidRPr="00A07AE3" w:rsidRDefault="00076BE5" w:rsidP="00A07AE3">
            <w:pPr>
              <w:pStyle w:val="Paragraph"/>
              <w:spacing w:line="240" w:lineRule="auto"/>
              <w:rPr>
                <w:lang w:eastAsia="en-GB"/>
              </w:rPr>
            </w:pPr>
            <w:r w:rsidRPr="00A07AE3">
              <w:rPr>
                <w:rFonts w:cs="Arial"/>
                <w:color w:val="000000"/>
              </w:rPr>
              <w:t>Consultee 5</w:t>
            </w:r>
            <w:r w:rsidRPr="00A07AE3">
              <w:rPr>
                <w:rFonts w:cs="Arial"/>
                <w:color w:val="000000"/>
              </w:rPr>
              <w:br/>
              <w:t>Urgo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2E363520" w14:textId="64758957" w:rsidR="00076BE5" w:rsidRPr="00A07AE3" w:rsidRDefault="00076BE5" w:rsidP="00A07AE3">
            <w:pPr>
              <w:pStyle w:val="Paragraph"/>
              <w:spacing w:line="240" w:lineRule="auto"/>
              <w:rPr>
                <w:lang w:eastAsia="en-GB"/>
              </w:rPr>
            </w:pPr>
            <w:r w:rsidRPr="00A07AE3">
              <w:rPr>
                <w:rFonts w:cs="Arial"/>
                <w:color w:val="000000"/>
              </w:rPr>
              <w:t>3.11 Model inputs</w:t>
            </w:r>
          </w:p>
        </w:tc>
        <w:tc>
          <w:tcPr>
            <w:tcW w:w="5244" w:type="dxa"/>
            <w:tcBorders>
              <w:top w:val="single" w:sz="4" w:space="0" w:color="auto"/>
              <w:left w:val="single" w:sz="4" w:space="0" w:color="auto"/>
              <w:bottom w:val="single" w:sz="4" w:space="0" w:color="auto"/>
              <w:right w:val="nil"/>
            </w:tcBorders>
            <w:shd w:val="clear" w:color="auto" w:fill="auto"/>
          </w:tcPr>
          <w:p w14:paraId="70A0D261" w14:textId="0C22BD34" w:rsidR="00076BE5" w:rsidRPr="00A07AE3" w:rsidRDefault="00076BE5" w:rsidP="00A07AE3">
            <w:pPr>
              <w:pStyle w:val="Paragraph"/>
              <w:spacing w:line="240" w:lineRule="auto"/>
              <w:rPr>
                <w:lang w:eastAsia="en-GB"/>
              </w:rPr>
            </w:pPr>
            <w:r w:rsidRPr="00A07AE3">
              <w:rPr>
                <w:rFonts w:cs="Arial"/>
                <w:color w:val="000000"/>
              </w:rPr>
              <w:t>NICE CKS Leg Ulcer-Venous states:</w:t>
            </w:r>
            <w:r w:rsidRPr="00A07AE3">
              <w:rPr>
                <w:rFonts w:cs="Arial"/>
                <w:color w:val="000000"/>
              </w:rPr>
              <w:br/>
              <w:t xml:space="preserve">Venous leg ulcers are the most common type of leg ulcers, accounting for 60 – 80% of cases </w:t>
            </w:r>
            <w:r w:rsidRPr="00A07AE3">
              <w:rPr>
                <w:rFonts w:cs="Arial"/>
                <w:color w:val="000000"/>
              </w:rPr>
              <w:lastRenderedPageBreak/>
              <w:t>(SIGN, 2010; PCDS, 2023).</w:t>
            </w:r>
            <w:r w:rsidRPr="00A07AE3">
              <w:rPr>
                <w:rFonts w:cs="Arial"/>
                <w:color w:val="000000"/>
              </w:rPr>
              <w:br/>
              <w:t xml:space="preserve">Twelve-month reoccurrence rates for venous leg ulcers range between 26 – 69% </w:t>
            </w:r>
            <w:r w:rsidRPr="00A07AE3">
              <w:rPr>
                <w:rFonts w:cs="Arial"/>
                <w:color w:val="000000"/>
              </w:rPr>
              <w:br/>
              <w:t>Repeat cycles of ulceration, healing, and recurrence are common.</w:t>
            </w:r>
            <w:r w:rsidRPr="00A07AE3">
              <w:rPr>
                <w:rFonts w:cs="Arial"/>
                <w:color w:val="000000"/>
              </w:rPr>
              <w:br/>
              <w:t>To reduce the risk of recurrence after the leg ulcer has healed:</w:t>
            </w:r>
            <w:r w:rsidRPr="00A07AE3">
              <w:rPr>
                <w:rFonts w:cs="Arial"/>
                <w:color w:val="000000"/>
              </w:rPr>
              <w:br/>
              <w:t>Long-term use of below-knee graduated compression hosiery is recommended</w:t>
            </w:r>
            <w:r w:rsidRPr="00A07AE3">
              <w:rPr>
                <w:rFonts w:cs="Arial"/>
                <w:color w:val="000000"/>
              </w:rPr>
              <w:br/>
              <w:t>Lifestyle measures should be encouraged</w:t>
            </w:r>
            <w:r w:rsidRPr="00A07AE3">
              <w:rPr>
                <w:rFonts w:cs="Arial"/>
                <w:color w:val="000000"/>
              </w:rPr>
              <w:br/>
              <w:t xml:space="preserve">The person should be reviewed appropriately of venous leg ulcers </w:t>
            </w:r>
            <w:r w:rsidRPr="00A07AE3">
              <w:rPr>
                <w:rFonts w:cs="Arial"/>
                <w:color w:val="000000"/>
              </w:rPr>
              <w:br/>
              <w:t xml:space="preserve">The modelling for topical AMD (infected unhealed → uninfected unhealed →healed leg ulcer) and assuming no reoccurrence is incorrect for the study population (leg ulcers).  Healing of leg ulcers is not attributed to the topical antimicrobial therapy, but to addressing the underlying cause of leg ulceration and managing these causes. </w:t>
            </w:r>
            <w:r w:rsidRPr="00A07AE3">
              <w:rPr>
                <w:rFonts w:cs="Arial"/>
                <w:color w:val="000000"/>
              </w:rPr>
              <w:br/>
              <w:t xml:space="preserve">For venous leg ulcers, the gold standard treatment is compression. </w:t>
            </w:r>
            <w:r w:rsidRPr="00A07AE3">
              <w:rPr>
                <w:rFonts w:cs="Arial"/>
                <w:color w:val="000000"/>
              </w:rPr>
              <w:br/>
              <w:t>A topical antimicrobials’ aim is to reduce and resolve localised infection only, and a topical antimicrobial can achieve this aim with a leg ulcer still not achieving a healed state.</w:t>
            </w:r>
          </w:p>
        </w:tc>
        <w:tc>
          <w:tcPr>
            <w:tcW w:w="3656" w:type="dxa"/>
          </w:tcPr>
          <w:p w14:paraId="567C52B1" w14:textId="77777777" w:rsidR="003F3AFC" w:rsidRPr="00A07AE3" w:rsidRDefault="003F3AFC" w:rsidP="00A07AE3">
            <w:pPr>
              <w:pStyle w:val="Paragraph"/>
              <w:spacing w:line="240" w:lineRule="auto"/>
              <w:rPr>
                <w:lang w:eastAsia="en-GB"/>
              </w:rPr>
            </w:pPr>
            <w:r w:rsidRPr="00A07AE3">
              <w:rPr>
                <w:lang w:eastAsia="en-GB"/>
              </w:rPr>
              <w:lastRenderedPageBreak/>
              <w:t xml:space="preserve">Thank you for your comment. </w:t>
            </w:r>
          </w:p>
          <w:p w14:paraId="7A7D2F75" w14:textId="3286A638" w:rsidR="003F3AFC" w:rsidRPr="00A07AE3" w:rsidRDefault="003F3AFC" w:rsidP="00A07AE3">
            <w:pPr>
              <w:pStyle w:val="Paragraph"/>
              <w:spacing w:line="240" w:lineRule="auto"/>
              <w:rPr>
                <w:lang w:eastAsia="en-GB"/>
              </w:rPr>
            </w:pPr>
            <w:r w:rsidRPr="00A07AE3">
              <w:rPr>
                <w:lang w:eastAsia="en-GB"/>
              </w:rPr>
              <w:lastRenderedPageBreak/>
              <w:t>Th</w:t>
            </w:r>
            <w:r w:rsidR="001D3BA9" w:rsidRPr="00A07AE3">
              <w:rPr>
                <w:lang w:eastAsia="en-GB"/>
              </w:rPr>
              <w:t xml:space="preserve">e scope </w:t>
            </w:r>
            <w:r w:rsidRPr="00A07AE3">
              <w:rPr>
                <w:lang w:eastAsia="en-GB"/>
              </w:rPr>
              <w:t xml:space="preserve">was to assess topical antimicrobial dressings for </w:t>
            </w:r>
            <w:r w:rsidR="003533FF">
              <w:rPr>
                <w:lang w:eastAsia="en-GB"/>
              </w:rPr>
              <w:t xml:space="preserve">locally </w:t>
            </w:r>
            <w:r w:rsidRPr="00A07AE3">
              <w:rPr>
                <w:lang w:eastAsia="en-GB"/>
              </w:rPr>
              <w:t>infected leg ulcers.</w:t>
            </w:r>
            <w:r w:rsidR="00C1559F" w:rsidRPr="00A07AE3">
              <w:rPr>
                <w:lang w:eastAsia="en-GB"/>
              </w:rPr>
              <w:t xml:space="preserve"> There is a separate </w:t>
            </w:r>
            <w:proofErr w:type="gramStart"/>
            <w:r w:rsidR="00C1559F" w:rsidRPr="00A07AE3">
              <w:rPr>
                <w:lang w:eastAsia="en-GB"/>
              </w:rPr>
              <w:t>late stage</w:t>
            </w:r>
            <w:proofErr w:type="gramEnd"/>
            <w:r w:rsidR="00C1559F" w:rsidRPr="00A07AE3">
              <w:rPr>
                <w:lang w:eastAsia="en-GB"/>
              </w:rPr>
              <w:t xml:space="preserve"> assessment evaluating compression products for venous leg ulcers. </w:t>
            </w:r>
          </w:p>
          <w:p w14:paraId="2F928F92" w14:textId="02C34135" w:rsidR="003F3AFC" w:rsidRPr="00A07AE3" w:rsidRDefault="003F3AFC" w:rsidP="00A07AE3">
            <w:pPr>
              <w:pStyle w:val="Paragraph"/>
              <w:spacing w:line="240" w:lineRule="auto"/>
              <w:rPr>
                <w:lang w:eastAsia="en-GB"/>
              </w:rPr>
            </w:pPr>
            <w:r w:rsidRPr="00A07AE3">
              <w:rPr>
                <w:lang w:eastAsia="en-GB"/>
              </w:rPr>
              <w:t>With regards to recurrence of ulcer</w:t>
            </w:r>
            <w:r w:rsidR="0048518B" w:rsidRPr="00A07AE3">
              <w:rPr>
                <w:lang w:eastAsia="en-GB"/>
              </w:rPr>
              <w:t>s once healed</w:t>
            </w:r>
            <w:r w:rsidRPr="00A07AE3">
              <w:rPr>
                <w:lang w:eastAsia="en-GB"/>
              </w:rPr>
              <w:t xml:space="preserve">, the EAG could not identify any evidence that use of a particular agent impacted whether an ulcer reoccurred. The clinical trials informing the model were typically short and, therefore, data on reoccurrence of the ulcer was not presented. </w:t>
            </w:r>
          </w:p>
          <w:p w14:paraId="249A9574" w14:textId="2D9EB81A" w:rsidR="003F3AFC" w:rsidRPr="00A07AE3" w:rsidRDefault="003F3AFC" w:rsidP="00A07AE3">
            <w:pPr>
              <w:pStyle w:val="Paragraph"/>
              <w:spacing w:line="240" w:lineRule="auto"/>
              <w:rPr>
                <w:lang w:eastAsia="en-GB"/>
              </w:rPr>
            </w:pPr>
            <w:r w:rsidRPr="00A07AE3">
              <w:rPr>
                <w:lang w:eastAsia="en-GB"/>
              </w:rPr>
              <w:t>Use of compression was considered in the resource use data</w:t>
            </w:r>
            <w:r w:rsidR="0067627D" w:rsidRPr="00A07AE3">
              <w:rPr>
                <w:lang w:eastAsia="en-GB"/>
              </w:rPr>
              <w:t>. However, concomitant treatment use (such as use of compression bandages) was poorly reported by included studies.</w:t>
            </w:r>
            <w:r w:rsidRPr="00A07AE3">
              <w:rPr>
                <w:lang w:eastAsia="en-GB"/>
              </w:rPr>
              <w:t xml:space="preserve"> </w:t>
            </w:r>
          </w:p>
          <w:p w14:paraId="64B3D78F" w14:textId="30FC19B1" w:rsidR="00076BE5" w:rsidRPr="00A07AE3" w:rsidRDefault="003F3AFC" w:rsidP="00A07AE3">
            <w:pPr>
              <w:pStyle w:val="Paragraph"/>
              <w:spacing w:line="240" w:lineRule="auto"/>
              <w:rPr>
                <w:lang w:eastAsia="en-GB"/>
              </w:rPr>
            </w:pPr>
            <w:r w:rsidRPr="00A07AE3">
              <w:rPr>
                <w:lang w:eastAsia="en-GB"/>
              </w:rPr>
              <w:t xml:space="preserve">The EAG explored scenarios in which the dressing was discontinued after infection </w:t>
            </w:r>
            <w:r w:rsidRPr="00A07AE3">
              <w:rPr>
                <w:lang w:eastAsia="en-GB"/>
              </w:rPr>
              <w:lastRenderedPageBreak/>
              <w:t>resolution, however, given that the clinical trials used to inform the model allowed for people to remain on antimicrobial dressing regardless of infection status, this assumption was used in the</w:t>
            </w:r>
            <w:r w:rsidR="00A800F0" w:rsidRPr="00A07AE3">
              <w:rPr>
                <w:lang w:eastAsia="en-GB"/>
              </w:rPr>
              <w:t xml:space="preserve"> EAG’s</w:t>
            </w:r>
            <w:r w:rsidRPr="00A07AE3">
              <w:rPr>
                <w:lang w:eastAsia="en-GB"/>
              </w:rPr>
              <w:t xml:space="preserve"> model.  </w:t>
            </w:r>
          </w:p>
        </w:tc>
      </w:tr>
      <w:tr w:rsidR="00076BE5" w14:paraId="02F80BC2" w14:textId="77777777" w:rsidTr="1948D9BA">
        <w:tc>
          <w:tcPr>
            <w:tcW w:w="1323" w:type="dxa"/>
          </w:tcPr>
          <w:p w14:paraId="51957D53"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6EF5B3BD" w14:textId="2BC12B44" w:rsidR="00076BE5" w:rsidRPr="00A07AE3" w:rsidRDefault="00076B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2FD4AA6" w14:textId="2CA58C19" w:rsidR="00076BE5" w:rsidRPr="00A07AE3" w:rsidRDefault="00076BE5" w:rsidP="00A07AE3">
            <w:pPr>
              <w:pStyle w:val="Paragraph"/>
              <w:spacing w:line="240" w:lineRule="auto"/>
              <w:rPr>
                <w:lang w:eastAsia="en-GB"/>
              </w:rPr>
            </w:pPr>
            <w:r w:rsidRPr="00A07AE3">
              <w:rPr>
                <w:rFonts w:cs="Arial"/>
                <w:color w:val="000000"/>
              </w:rPr>
              <w:t>Not specified</w:t>
            </w:r>
          </w:p>
        </w:tc>
        <w:tc>
          <w:tcPr>
            <w:tcW w:w="5244" w:type="dxa"/>
            <w:tcBorders>
              <w:top w:val="single" w:sz="4" w:space="0" w:color="auto"/>
              <w:left w:val="single" w:sz="4" w:space="0" w:color="auto"/>
              <w:bottom w:val="single" w:sz="4" w:space="0" w:color="auto"/>
              <w:right w:val="nil"/>
            </w:tcBorders>
            <w:shd w:val="clear" w:color="auto" w:fill="auto"/>
          </w:tcPr>
          <w:p w14:paraId="2A25BF36" w14:textId="65FC5DFE" w:rsidR="00076BE5" w:rsidRPr="00A07AE3" w:rsidRDefault="00076BE5" w:rsidP="00A07AE3">
            <w:pPr>
              <w:pStyle w:val="Paragraph"/>
              <w:spacing w:line="240" w:lineRule="auto"/>
              <w:rPr>
                <w:lang w:eastAsia="en-GB"/>
              </w:rPr>
            </w:pPr>
            <w:r w:rsidRPr="00A07AE3">
              <w:rPr>
                <w:rFonts w:cs="Arial"/>
                <w:color w:val="000000"/>
              </w:rPr>
              <w:t>Additionally, has the EAG allowed for infected ulcers to transition to a non-infected unhealed state without healing?</w:t>
            </w:r>
          </w:p>
        </w:tc>
        <w:tc>
          <w:tcPr>
            <w:tcW w:w="3656" w:type="dxa"/>
          </w:tcPr>
          <w:p w14:paraId="05254C98" w14:textId="0C6B8CEF" w:rsidR="00076BE5" w:rsidRPr="00A07AE3" w:rsidRDefault="49CF5F79" w:rsidP="00A07AE3">
            <w:pPr>
              <w:pStyle w:val="Paragraph"/>
              <w:spacing w:line="240" w:lineRule="auto"/>
              <w:rPr>
                <w:lang w:eastAsia="en-GB"/>
              </w:rPr>
            </w:pPr>
            <w:r w:rsidRPr="1948D9BA">
              <w:rPr>
                <w:lang w:eastAsia="en-GB"/>
              </w:rPr>
              <w:t>Thank you for your comment.</w:t>
            </w:r>
            <w:r w:rsidR="2818BD47" w:rsidRPr="1948D9BA">
              <w:rPr>
                <w:lang w:eastAsia="en-GB"/>
              </w:rPr>
              <w:t xml:space="preserve"> </w:t>
            </w:r>
            <w:r w:rsidR="49BD2542" w:rsidRPr="1948D9BA">
              <w:rPr>
                <w:lang w:eastAsia="en-GB"/>
              </w:rPr>
              <w:t>In the EAG’s model people with an infected unhealed ulcer could move to a non-infect</w:t>
            </w:r>
            <w:r w:rsidR="00612D55" w:rsidRPr="1948D9BA">
              <w:rPr>
                <w:lang w:eastAsia="en-GB"/>
              </w:rPr>
              <w:t>ed</w:t>
            </w:r>
            <w:r w:rsidR="49BD2542" w:rsidRPr="1948D9BA">
              <w:rPr>
                <w:lang w:eastAsia="en-GB"/>
              </w:rPr>
              <w:t xml:space="preserve"> unhealed state. </w:t>
            </w:r>
            <w:r w:rsidRPr="1948D9BA">
              <w:rPr>
                <w:lang w:eastAsia="en-GB"/>
              </w:rPr>
              <w:t xml:space="preserve">Please see </w:t>
            </w:r>
            <w:bookmarkStart w:id="0" w:name="_Ref181261670"/>
            <w:r>
              <w:t xml:space="preserve">Figure </w:t>
            </w:r>
            <w:r w:rsidR="003F3AFC" w:rsidRPr="1948D9BA">
              <w:fldChar w:fldCharType="begin"/>
            </w:r>
            <w:r w:rsidR="003F3AFC">
              <w:instrText xml:space="preserve"> STYLEREF 1 \s </w:instrText>
            </w:r>
            <w:r w:rsidR="003F3AFC" w:rsidRPr="1948D9BA">
              <w:fldChar w:fldCharType="separate"/>
            </w:r>
            <w:r w:rsidRPr="1948D9BA">
              <w:rPr>
                <w:noProof/>
              </w:rPr>
              <w:t>7</w:t>
            </w:r>
            <w:r w:rsidR="003F3AFC" w:rsidRPr="1948D9BA">
              <w:rPr>
                <w:noProof/>
              </w:rPr>
              <w:fldChar w:fldCharType="end"/>
            </w:r>
            <w:r>
              <w:t>.</w:t>
            </w:r>
            <w:r w:rsidR="003F3AFC" w:rsidRPr="1948D9BA">
              <w:fldChar w:fldCharType="begin"/>
            </w:r>
            <w:r w:rsidR="003F3AFC">
              <w:instrText xml:space="preserve"> SEQ Figure \* ARABIC \s 1 </w:instrText>
            </w:r>
            <w:r w:rsidR="003F3AFC" w:rsidRPr="1948D9BA">
              <w:fldChar w:fldCharType="separate"/>
            </w:r>
            <w:r w:rsidRPr="1948D9BA">
              <w:rPr>
                <w:noProof/>
              </w:rPr>
              <w:t>1</w:t>
            </w:r>
            <w:r w:rsidR="003F3AFC" w:rsidRPr="1948D9BA">
              <w:rPr>
                <w:noProof/>
              </w:rPr>
              <w:fldChar w:fldCharType="end"/>
            </w:r>
            <w:bookmarkEnd w:id="0"/>
            <w:r w:rsidRPr="1948D9BA">
              <w:rPr>
                <w:noProof/>
              </w:rPr>
              <w:t xml:space="preserve"> in the EAR for the model structure.</w:t>
            </w:r>
          </w:p>
        </w:tc>
      </w:tr>
      <w:tr w:rsidR="00076BE5" w14:paraId="08AF3531" w14:textId="77777777" w:rsidTr="1948D9BA">
        <w:tc>
          <w:tcPr>
            <w:tcW w:w="1323" w:type="dxa"/>
          </w:tcPr>
          <w:p w14:paraId="00E7CF39"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8056499" w14:textId="1DAEBAFB" w:rsidR="00076BE5" w:rsidRPr="00A07AE3" w:rsidRDefault="00076B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1F11678" w14:textId="534803A0" w:rsidR="00076BE5" w:rsidRPr="00A07AE3" w:rsidRDefault="00076BE5" w:rsidP="00A07AE3">
            <w:pPr>
              <w:pStyle w:val="Paragraph"/>
              <w:spacing w:line="240" w:lineRule="auto"/>
              <w:rPr>
                <w:lang w:eastAsia="en-GB"/>
              </w:rPr>
            </w:pPr>
            <w:r w:rsidRPr="00A07AE3">
              <w:rPr>
                <w:rFonts w:cs="Arial"/>
                <w:color w:val="000000"/>
              </w:rPr>
              <w:t>Not specified</w:t>
            </w:r>
          </w:p>
        </w:tc>
        <w:tc>
          <w:tcPr>
            <w:tcW w:w="5244" w:type="dxa"/>
            <w:tcBorders>
              <w:top w:val="single" w:sz="4" w:space="0" w:color="auto"/>
              <w:left w:val="single" w:sz="4" w:space="0" w:color="auto"/>
              <w:bottom w:val="single" w:sz="4" w:space="0" w:color="auto"/>
              <w:right w:val="nil"/>
            </w:tcBorders>
            <w:shd w:val="clear" w:color="auto" w:fill="auto"/>
          </w:tcPr>
          <w:p w14:paraId="78F7DEF8" w14:textId="0CC0062B" w:rsidR="00076BE5" w:rsidRPr="00A07AE3" w:rsidRDefault="00076BE5" w:rsidP="00A07AE3">
            <w:pPr>
              <w:pStyle w:val="Paragraph"/>
              <w:spacing w:line="240" w:lineRule="auto"/>
              <w:rPr>
                <w:lang w:eastAsia="en-GB"/>
              </w:rPr>
            </w:pPr>
            <w:r w:rsidRPr="00A07AE3">
              <w:rPr>
                <w:rFonts w:cs="Arial"/>
                <w:color w:val="000000"/>
              </w:rPr>
              <w:t>EAG assessment report page 250, paragraph beginning "The modelling demonstrated that the largest proportion of costs incurred in the management of leg ulcers............."</w:t>
            </w:r>
            <w:r w:rsidRPr="00A07AE3">
              <w:rPr>
                <w:rFonts w:cs="Arial"/>
                <w:color w:val="000000"/>
              </w:rPr>
              <w:br/>
            </w:r>
            <w:r w:rsidRPr="00A07AE3">
              <w:rPr>
                <w:rFonts w:cs="Arial"/>
                <w:color w:val="000000"/>
              </w:rPr>
              <w:br/>
              <w:t>This paragraph does not reflect the ulcer pathway in clinical practice. Infected ulcers once ameliorated would transition to either a static unhealed state or an improved unhealed state. A large proportion of ulcers in the static state will remain there indefinitely. Many ulcers in the improved state will go on and heal.</w:t>
            </w:r>
          </w:p>
        </w:tc>
        <w:tc>
          <w:tcPr>
            <w:tcW w:w="3656" w:type="dxa"/>
          </w:tcPr>
          <w:p w14:paraId="5831C714" w14:textId="41CA0A09" w:rsidR="00076BE5" w:rsidRPr="00A07AE3" w:rsidRDefault="00B51DB0" w:rsidP="00A07AE3">
            <w:pPr>
              <w:pStyle w:val="Paragraph"/>
              <w:spacing w:line="240" w:lineRule="auto"/>
              <w:rPr>
                <w:lang w:eastAsia="en-GB"/>
              </w:rPr>
            </w:pPr>
            <w:r w:rsidRPr="00A07AE3">
              <w:rPr>
                <w:rFonts w:cs="Arial"/>
                <w:lang w:eastAsia="en-GB"/>
              </w:rPr>
              <w:t xml:space="preserve">Thank you for your comment. </w:t>
            </w:r>
            <w:r w:rsidR="003F3AFC" w:rsidRPr="00A07AE3">
              <w:rPr>
                <w:rFonts w:cs="Arial"/>
                <w:lang w:eastAsia="en-GB"/>
              </w:rPr>
              <w:t xml:space="preserve">Please see </w:t>
            </w:r>
            <w:r w:rsidRPr="00A07AE3">
              <w:rPr>
                <w:rFonts w:cs="Arial"/>
                <w:lang w:eastAsia="en-GB"/>
              </w:rPr>
              <w:t xml:space="preserve">response to </w:t>
            </w:r>
            <w:r w:rsidR="003F3AFC" w:rsidRPr="00A07AE3">
              <w:rPr>
                <w:rFonts w:cs="Arial"/>
                <w:lang w:eastAsia="en-GB"/>
              </w:rPr>
              <w:t>comment</w:t>
            </w:r>
            <w:r w:rsidR="004F37E0" w:rsidRPr="00A07AE3">
              <w:rPr>
                <w:rFonts w:cs="Arial"/>
                <w:lang w:eastAsia="en-GB"/>
              </w:rPr>
              <w:t>s</w:t>
            </w:r>
            <w:r w:rsidR="003F3AFC" w:rsidRPr="00A07AE3">
              <w:rPr>
                <w:rFonts w:cs="Arial"/>
                <w:lang w:eastAsia="en-GB"/>
              </w:rPr>
              <w:t xml:space="preserve"> 91</w:t>
            </w:r>
            <w:r w:rsidR="004F37E0" w:rsidRPr="00A07AE3">
              <w:rPr>
                <w:rFonts w:cs="Arial"/>
                <w:lang w:eastAsia="en-GB"/>
              </w:rPr>
              <w:t xml:space="preserve"> and 130</w:t>
            </w:r>
            <w:r w:rsidR="003F3AFC" w:rsidRPr="00A07AE3">
              <w:rPr>
                <w:rFonts w:cs="Arial"/>
                <w:lang w:eastAsia="en-GB"/>
              </w:rPr>
              <w:t>.</w:t>
            </w:r>
            <w:r w:rsidRPr="00A07AE3">
              <w:rPr>
                <w:rFonts w:cs="Arial"/>
                <w:lang w:eastAsia="en-GB"/>
              </w:rPr>
              <w:t xml:space="preserve"> </w:t>
            </w:r>
          </w:p>
        </w:tc>
      </w:tr>
      <w:tr w:rsidR="00076BE5" w14:paraId="36C5A219" w14:textId="77777777" w:rsidTr="1948D9BA">
        <w:tc>
          <w:tcPr>
            <w:tcW w:w="1323" w:type="dxa"/>
          </w:tcPr>
          <w:p w14:paraId="449853FF"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2DB2425" w14:textId="3DB94875" w:rsidR="00076BE5" w:rsidRPr="00A07AE3" w:rsidRDefault="00076B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4C06765C" w14:textId="081D8A1F" w:rsidR="00076BE5" w:rsidRPr="00A07AE3" w:rsidRDefault="00076BE5" w:rsidP="00A07AE3">
            <w:pPr>
              <w:pStyle w:val="Paragraph"/>
              <w:spacing w:line="240" w:lineRule="auto"/>
              <w:rPr>
                <w:lang w:eastAsia="en-GB"/>
              </w:rPr>
            </w:pPr>
            <w:r w:rsidRPr="00A07AE3">
              <w:rPr>
                <w:rFonts w:cs="Arial"/>
                <w:color w:val="000000"/>
              </w:rPr>
              <w:t>3.10 Model structure</w:t>
            </w:r>
          </w:p>
        </w:tc>
        <w:tc>
          <w:tcPr>
            <w:tcW w:w="5244" w:type="dxa"/>
            <w:tcBorders>
              <w:top w:val="single" w:sz="4" w:space="0" w:color="auto"/>
              <w:left w:val="single" w:sz="4" w:space="0" w:color="auto"/>
              <w:bottom w:val="single" w:sz="4" w:space="0" w:color="auto"/>
              <w:right w:val="nil"/>
            </w:tcBorders>
            <w:shd w:val="clear" w:color="auto" w:fill="auto"/>
          </w:tcPr>
          <w:p w14:paraId="2EF775E0" w14:textId="70488407" w:rsidR="00076BE5" w:rsidRPr="00A07AE3" w:rsidRDefault="00076BE5" w:rsidP="00A07AE3">
            <w:pPr>
              <w:pStyle w:val="Paragraph"/>
              <w:spacing w:line="240" w:lineRule="auto"/>
              <w:rPr>
                <w:lang w:eastAsia="en-GB"/>
              </w:rPr>
            </w:pPr>
            <w:r w:rsidRPr="00A07AE3">
              <w:rPr>
                <w:rFonts w:cs="Arial"/>
                <w:color w:val="000000"/>
              </w:rPr>
              <w:t>The non-infected, unhealed wound state is a conflation of two separate states: non-infected static wound and non-infected improved wound. Combining these two states into one health state represents a structural flaw in the model because ulcers in these two different states consume different levels of healthcare resources and associated costs and their outcomes are different.</w:t>
            </w:r>
          </w:p>
        </w:tc>
        <w:tc>
          <w:tcPr>
            <w:tcW w:w="3656" w:type="dxa"/>
          </w:tcPr>
          <w:p w14:paraId="6671CCAB" w14:textId="7FEC3254" w:rsidR="00076BE5" w:rsidRPr="00A07AE3" w:rsidRDefault="003F3AFC" w:rsidP="00A07AE3">
            <w:pPr>
              <w:pStyle w:val="Paragraph"/>
              <w:spacing w:line="240" w:lineRule="auto"/>
              <w:rPr>
                <w:lang w:eastAsia="en-GB"/>
              </w:rPr>
            </w:pPr>
            <w:r w:rsidRPr="00A07AE3">
              <w:rPr>
                <w:lang w:eastAsia="en-GB"/>
              </w:rPr>
              <w:t xml:space="preserve">Thank you for your comment. Unfortunately, there was no robust clinical data to inform this transition. Based upon the clinical data available, a three-state model was </w:t>
            </w:r>
            <w:r w:rsidR="002E4A9B" w:rsidRPr="00A07AE3">
              <w:rPr>
                <w:lang w:eastAsia="en-GB"/>
              </w:rPr>
              <w:t xml:space="preserve">considered </w:t>
            </w:r>
            <w:r w:rsidRPr="00A07AE3">
              <w:rPr>
                <w:lang w:eastAsia="en-GB"/>
              </w:rPr>
              <w:t>appropriate</w:t>
            </w:r>
            <w:r w:rsidR="004F37E0" w:rsidRPr="00A07AE3">
              <w:rPr>
                <w:lang w:eastAsia="en-GB"/>
              </w:rPr>
              <w:t xml:space="preserve"> by the EAG</w:t>
            </w:r>
            <w:r w:rsidRPr="00A07AE3">
              <w:rPr>
                <w:lang w:eastAsia="en-GB"/>
              </w:rPr>
              <w:t>.</w:t>
            </w:r>
          </w:p>
        </w:tc>
      </w:tr>
      <w:tr w:rsidR="00076BE5" w14:paraId="62E90629" w14:textId="77777777" w:rsidTr="1948D9BA">
        <w:tc>
          <w:tcPr>
            <w:tcW w:w="1323" w:type="dxa"/>
          </w:tcPr>
          <w:p w14:paraId="56E87B16"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FC6EB50" w14:textId="28FDE64C" w:rsidR="00076BE5" w:rsidRPr="00A07AE3" w:rsidRDefault="00076BE5"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7D3E1A40" w14:textId="2F78BEDD" w:rsidR="00076BE5" w:rsidRPr="00A07AE3" w:rsidRDefault="00076BE5" w:rsidP="00A07AE3">
            <w:pPr>
              <w:pStyle w:val="Paragraph"/>
              <w:spacing w:line="240" w:lineRule="auto"/>
              <w:rPr>
                <w:lang w:eastAsia="en-GB"/>
              </w:rPr>
            </w:pPr>
            <w:r w:rsidRPr="00A07AE3">
              <w:rPr>
                <w:rFonts w:cs="Arial"/>
                <w:color w:val="000000"/>
              </w:rPr>
              <w:t>3.11 Model inputs</w:t>
            </w:r>
          </w:p>
        </w:tc>
        <w:tc>
          <w:tcPr>
            <w:tcW w:w="5244" w:type="dxa"/>
            <w:tcBorders>
              <w:top w:val="single" w:sz="4" w:space="0" w:color="auto"/>
              <w:left w:val="single" w:sz="4" w:space="0" w:color="auto"/>
              <w:bottom w:val="single" w:sz="4" w:space="0" w:color="auto"/>
              <w:right w:val="nil"/>
            </w:tcBorders>
            <w:shd w:val="clear" w:color="auto" w:fill="auto"/>
          </w:tcPr>
          <w:p w14:paraId="5282004F" w14:textId="463EE22D" w:rsidR="00076BE5" w:rsidRPr="00A07AE3" w:rsidRDefault="00076BE5" w:rsidP="00A07AE3">
            <w:pPr>
              <w:pStyle w:val="Paragraph"/>
              <w:spacing w:line="240" w:lineRule="auto"/>
              <w:rPr>
                <w:lang w:eastAsia="en-GB"/>
              </w:rPr>
            </w:pPr>
            <w:r w:rsidRPr="00A07AE3">
              <w:rPr>
                <w:rFonts w:cs="Arial"/>
                <w:color w:val="000000"/>
              </w:rPr>
              <w:t>This is not a plausible assumption. If an ulcer remains unhealed, infection can frequently recur. This is fundamental and EAG should model infection recurrence in their base case model and not leave it as a scenario analysis.</w:t>
            </w:r>
          </w:p>
        </w:tc>
        <w:tc>
          <w:tcPr>
            <w:tcW w:w="3656" w:type="dxa"/>
          </w:tcPr>
          <w:p w14:paraId="7D52174A" w14:textId="60DBC6CA" w:rsidR="003F3AFC" w:rsidRPr="00A07AE3" w:rsidRDefault="003F3AFC" w:rsidP="00A07AE3">
            <w:pPr>
              <w:pStyle w:val="Paragraph"/>
              <w:rPr>
                <w:lang w:eastAsia="en-GB"/>
              </w:rPr>
            </w:pPr>
            <w:r w:rsidRPr="00A07AE3">
              <w:rPr>
                <w:lang w:eastAsia="en-GB"/>
              </w:rPr>
              <w:t>Thank you for your comment.</w:t>
            </w:r>
            <w:r w:rsidR="000D30F2" w:rsidRPr="00A07AE3">
              <w:rPr>
                <w:lang w:eastAsia="en-GB"/>
              </w:rPr>
              <w:t xml:space="preserve"> </w:t>
            </w:r>
          </w:p>
          <w:p w14:paraId="6052C8AA" w14:textId="2FDD88F4" w:rsidR="00076BE5" w:rsidRPr="00A07AE3" w:rsidRDefault="003F3AFC" w:rsidP="00A07AE3">
            <w:pPr>
              <w:pStyle w:val="Paragraph"/>
              <w:spacing w:line="240" w:lineRule="auto"/>
              <w:rPr>
                <w:lang w:eastAsia="en-GB"/>
              </w:rPr>
            </w:pPr>
            <w:r w:rsidRPr="00A07AE3">
              <w:rPr>
                <w:lang w:eastAsia="en-GB"/>
              </w:rPr>
              <w:t xml:space="preserve">Where data were available, the EAG considered reoccurrence of infection. The base case reflected the clinical evidence available. </w:t>
            </w:r>
            <w:r w:rsidR="000D30F2" w:rsidRPr="00A07AE3">
              <w:rPr>
                <w:lang w:eastAsia="en-GB"/>
              </w:rPr>
              <w:t>Section 7.3.4 describes</w:t>
            </w:r>
            <w:r w:rsidRPr="00A07AE3">
              <w:rPr>
                <w:lang w:eastAsia="en-GB"/>
              </w:rPr>
              <w:t xml:space="preserve"> scenarios </w:t>
            </w:r>
            <w:r w:rsidR="000D30F2" w:rsidRPr="00A07AE3">
              <w:rPr>
                <w:lang w:eastAsia="en-GB"/>
              </w:rPr>
              <w:t xml:space="preserve">which </w:t>
            </w:r>
            <w:r w:rsidRPr="00A07AE3">
              <w:rPr>
                <w:lang w:eastAsia="en-GB"/>
              </w:rPr>
              <w:t xml:space="preserve">were designed to test the assumptions. </w:t>
            </w:r>
            <w:r w:rsidR="000D30F2" w:rsidRPr="00A07AE3">
              <w:rPr>
                <w:lang w:eastAsia="en-GB"/>
              </w:rPr>
              <w:t>T</w:t>
            </w:r>
            <w:r w:rsidRPr="00A07AE3">
              <w:rPr>
                <w:lang w:eastAsia="en-GB"/>
              </w:rPr>
              <w:t xml:space="preserve">here was no change to the </w:t>
            </w:r>
            <w:r w:rsidR="000D30F2" w:rsidRPr="00A07AE3">
              <w:rPr>
                <w:lang w:eastAsia="en-GB"/>
              </w:rPr>
              <w:t xml:space="preserve">EAG’s </w:t>
            </w:r>
            <w:r w:rsidRPr="00A07AE3">
              <w:rPr>
                <w:lang w:eastAsia="en-GB"/>
              </w:rPr>
              <w:t xml:space="preserve">overall </w:t>
            </w:r>
            <w:r w:rsidR="000D30F2" w:rsidRPr="00A07AE3">
              <w:rPr>
                <w:lang w:eastAsia="en-GB"/>
              </w:rPr>
              <w:t>conclusions</w:t>
            </w:r>
            <w:r w:rsidRPr="00A07AE3">
              <w:rPr>
                <w:lang w:eastAsia="en-GB"/>
              </w:rPr>
              <w:t xml:space="preserve"> with reoccurrence of infection.</w:t>
            </w:r>
          </w:p>
        </w:tc>
      </w:tr>
      <w:tr w:rsidR="00076BE5" w14:paraId="7C3129DA" w14:textId="77777777" w:rsidTr="1948D9BA">
        <w:tc>
          <w:tcPr>
            <w:tcW w:w="1323" w:type="dxa"/>
          </w:tcPr>
          <w:p w14:paraId="209E3C05"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71715F95" w14:textId="7577B388" w:rsidR="00076BE5" w:rsidRPr="00A07AE3" w:rsidRDefault="00076BE5" w:rsidP="00A07AE3">
            <w:pPr>
              <w:pStyle w:val="Paragraph"/>
              <w:spacing w:line="240" w:lineRule="auto"/>
              <w:rPr>
                <w:lang w:eastAsia="en-GB"/>
              </w:rPr>
            </w:pPr>
            <w:r w:rsidRPr="00A07AE3">
              <w:rPr>
                <w:rFonts w:cs="Arial"/>
                <w:color w:val="000000"/>
              </w:rPr>
              <w:t>Consultee 14</w:t>
            </w:r>
            <w:r w:rsidRPr="00A07AE3">
              <w:rPr>
                <w:rFonts w:cs="Arial"/>
                <w:color w:val="000000"/>
              </w:rPr>
              <w:br/>
              <w:t>Essity</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256CDA2E" w14:textId="0C2F6AC9" w:rsidR="00076BE5" w:rsidRPr="00A07AE3" w:rsidRDefault="00076BE5" w:rsidP="00A07AE3">
            <w:pPr>
              <w:pStyle w:val="Paragraph"/>
              <w:spacing w:line="240" w:lineRule="auto"/>
              <w:rPr>
                <w:lang w:eastAsia="en-GB"/>
              </w:rPr>
            </w:pPr>
            <w:r w:rsidRPr="00A07AE3">
              <w:rPr>
                <w:rFonts w:cs="Arial"/>
                <w:color w:val="000000"/>
              </w:rPr>
              <w:t xml:space="preserve">2 </w:t>
            </w:r>
          </w:p>
        </w:tc>
        <w:tc>
          <w:tcPr>
            <w:tcW w:w="5244" w:type="dxa"/>
            <w:tcBorders>
              <w:top w:val="single" w:sz="4" w:space="0" w:color="auto"/>
              <w:left w:val="single" w:sz="4" w:space="0" w:color="auto"/>
              <w:bottom w:val="single" w:sz="4" w:space="0" w:color="auto"/>
              <w:right w:val="nil"/>
            </w:tcBorders>
            <w:shd w:val="clear" w:color="auto" w:fill="auto"/>
          </w:tcPr>
          <w:p w14:paraId="5BFAE4B6" w14:textId="12205699" w:rsidR="00076BE5" w:rsidRPr="00A07AE3" w:rsidRDefault="00076BE5" w:rsidP="00A07AE3">
            <w:pPr>
              <w:pStyle w:val="Paragraph"/>
              <w:spacing w:line="240" w:lineRule="auto"/>
              <w:rPr>
                <w:lang w:eastAsia="en-GB"/>
              </w:rPr>
            </w:pPr>
            <w:r w:rsidRPr="00A07AE3">
              <w:rPr>
                <w:rFonts w:cs="Arial"/>
                <w:color w:val="000000"/>
              </w:rPr>
              <w:t xml:space="preserve">• The decision to omit Bio films from the model does not show the overall cost and does make an accurate assessment of treating infected </w:t>
            </w:r>
            <w:r w:rsidRPr="00A07AE3">
              <w:rPr>
                <w:rFonts w:cs="Arial"/>
                <w:color w:val="000000"/>
              </w:rPr>
              <w:lastRenderedPageBreak/>
              <w:t>wounds as the wound bed prep is key to treating the infection</w:t>
            </w:r>
          </w:p>
        </w:tc>
        <w:tc>
          <w:tcPr>
            <w:tcW w:w="3656" w:type="dxa"/>
          </w:tcPr>
          <w:p w14:paraId="4324F754" w14:textId="3D283A86" w:rsidR="00076BE5" w:rsidRPr="00A07AE3" w:rsidRDefault="003F3AFC" w:rsidP="00A07AE3">
            <w:pPr>
              <w:pStyle w:val="Paragraph"/>
              <w:spacing w:line="240" w:lineRule="auto"/>
              <w:rPr>
                <w:lang w:eastAsia="en-GB"/>
              </w:rPr>
            </w:pPr>
            <w:r w:rsidRPr="00A07AE3">
              <w:rPr>
                <w:lang w:eastAsia="en-GB"/>
              </w:rPr>
              <w:lastRenderedPageBreak/>
              <w:t>Thank you for your comment.</w:t>
            </w:r>
            <w:r w:rsidR="00A938D8" w:rsidRPr="00A07AE3">
              <w:rPr>
                <w:lang w:eastAsia="en-GB"/>
              </w:rPr>
              <w:t xml:space="preserve"> Please see response to comment 36.</w:t>
            </w:r>
          </w:p>
        </w:tc>
      </w:tr>
      <w:tr w:rsidR="00076BE5" w14:paraId="39C6BFA7" w14:textId="77777777" w:rsidTr="1948D9BA">
        <w:tc>
          <w:tcPr>
            <w:tcW w:w="1323" w:type="dxa"/>
          </w:tcPr>
          <w:p w14:paraId="051F9652" w14:textId="77777777" w:rsidR="00076BE5" w:rsidRPr="00A07AE3" w:rsidRDefault="00076BE5"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7D680A9" w14:textId="7DA6DA2F" w:rsidR="00076BE5" w:rsidRPr="00A07AE3" w:rsidRDefault="00076BE5" w:rsidP="00A07AE3">
            <w:pPr>
              <w:pStyle w:val="Paragraph"/>
              <w:spacing w:line="240" w:lineRule="auto"/>
              <w:rPr>
                <w:lang w:eastAsia="en-GB"/>
              </w:rPr>
            </w:pPr>
            <w:r w:rsidRPr="00A07AE3">
              <w:rPr>
                <w:rFonts w:cs="Arial"/>
                <w:color w:val="000000"/>
              </w:rPr>
              <w:t>Consultee 14</w:t>
            </w:r>
            <w:r w:rsidRPr="00A07AE3">
              <w:rPr>
                <w:rFonts w:cs="Arial"/>
                <w:color w:val="000000"/>
              </w:rPr>
              <w:br/>
              <w:t>Essity</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B12A810" w14:textId="050D3C88" w:rsidR="00076BE5" w:rsidRPr="00A07AE3" w:rsidRDefault="00076BE5" w:rsidP="00A07AE3">
            <w:pPr>
              <w:pStyle w:val="Paragraph"/>
              <w:spacing w:line="240" w:lineRule="auto"/>
              <w:rPr>
                <w:lang w:eastAsia="en-GB"/>
              </w:rPr>
            </w:pPr>
            <w:r w:rsidRPr="00A07AE3">
              <w:rPr>
                <w:rFonts w:cs="Arial"/>
                <w:color w:val="000000"/>
              </w:rPr>
              <w:t>3.9 Additional limitations of the evidence</w:t>
            </w:r>
          </w:p>
        </w:tc>
        <w:tc>
          <w:tcPr>
            <w:tcW w:w="5244" w:type="dxa"/>
            <w:tcBorders>
              <w:top w:val="single" w:sz="4" w:space="0" w:color="auto"/>
              <w:left w:val="single" w:sz="4" w:space="0" w:color="auto"/>
              <w:bottom w:val="single" w:sz="4" w:space="0" w:color="auto"/>
              <w:right w:val="nil"/>
            </w:tcBorders>
            <w:shd w:val="clear" w:color="auto" w:fill="auto"/>
          </w:tcPr>
          <w:p w14:paraId="45C65164" w14:textId="67D7DFD5" w:rsidR="00076BE5" w:rsidRPr="00A07AE3" w:rsidRDefault="00076BE5" w:rsidP="00A07AE3">
            <w:pPr>
              <w:pStyle w:val="Paragraph"/>
              <w:spacing w:line="240" w:lineRule="auto"/>
              <w:rPr>
                <w:lang w:eastAsia="en-GB"/>
              </w:rPr>
            </w:pPr>
            <w:r w:rsidRPr="00A07AE3">
              <w:rPr>
                <w:rFonts w:cs="Arial"/>
                <w:color w:val="000000"/>
              </w:rPr>
              <w:t>3.9 non-infected, unhealed wound – Should this be included as this point no AMD Would be required</w:t>
            </w:r>
            <w:r w:rsidRPr="00A07AE3">
              <w:rPr>
                <w:rFonts w:cs="Arial"/>
                <w:color w:val="000000"/>
              </w:rPr>
              <w:br/>
              <w:t>More clarity would be useful as why this is included</w:t>
            </w:r>
          </w:p>
        </w:tc>
        <w:tc>
          <w:tcPr>
            <w:tcW w:w="3656" w:type="dxa"/>
          </w:tcPr>
          <w:p w14:paraId="642D529A" w14:textId="097794F4" w:rsidR="00076BE5" w:rsidRPr="00A07AE3" w:rsidRDefault="00940837" w:rsidP="00A07AE3">
            <w:pPr>
              <w:pStyle w:val="Paragraph"/>
              <w:spacing w:line="240" w:lineRule="auto"/>
              <w:rPr>
                <w:lang w:eastAsia="en-GB"/>
              </w:rPr>
            </w:pPr>
            <w:r w:rsidRPr="00A07AE3">
              <w:rPr>
                <w:lang w:eastAsia="en-GB"/>
              </w:rPr>
              <w:t>Thank you for your comment. Clinical experts advised the EAG that best practice is not to treat uninfected wounds with antimicrobials, instead they automatically discontinue their AMD and transition to the second line treatment.</w:t>
            </w:r>
            <w:r w:rsidR="00EA155E" w:rsidRPr="00A07AE3">
              <w:rPr>
                <w:lang w:eastAsia="en-GB"/>
              </w:rPr>
              <w:t xml:space="preserve"> </w:t>
            </w:r>
            <w:r w:rsidRPr="00A07AE3">
              <w:rPr>
                <w:lang w:eastAsia="en-GB"/>
              </w:rPr>
              <w:t xml:space="preserve">The length of healing rate was dictated by the evidence provided for the AMDs. Longitudinal data on healing rate based on the type of AMD used was not available and the efficacy of the types of AMDs used over that 12-month period would be hard to entangle. </w:t>
            </w:r>
            <w:r w:rsidR="00EA155E" w:rsidRPr="00A07AE3">
              <w:rPr>
                <w:lang w:eastAsia="en-GB"/>
              </w:rPr>
              <w:t xml:space="preserve">The EAG </w:t>
            </w:r>
            <w:r w:rsidRPr="00A07AE3">
              <w:rPr>
                <w:lang w:eastAsia="en-GB"/>
              </w:rPr>
              <w:t>note that this assumption was used only when the cohort were still receiving treatment with antimicrobial dressings.</w:t>
            </w:r>
          </w:p>
        </w:tc>
      </w:tr>
    </w:tbl>
    <w:p w14:paraId="740C635A" w14:textId="77777777" w:rsidR="00AF6238" w:rsidRDefault="00AF6238" w:rsidP="00AF6238">
      <w:pPr>
        <w:pStyle w:val="Heading1"/>
        <w:spacing w:line="240" w:lineRule="auto"/>
      </w:pPr>
      <w:r>
        <w:lastRenderedPageBreak/>
        <w:t>Table 20: clinical review, inclusion of evidence from a broader scope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9"/>
        <w:gridCol w:w="2035"/>
        <w:gridCol w:w="5243"/>
        <w:gridCol w:w="3658"/>
      </w:tblGrid>
      <w:tr w:rsidR="00F06BB6" w14:paraId="78FF7418" w14:textId="77777777" w:rsidTr="0076272F">
        <w:tc>
          <w:tcPr>
            <w:tcW w:w="1323" w:type="dxa"/>
            <w:shd w:val="clear" w:color="auto" w:fill="D9D9D9" w:themeFill="background1" w:themeFillShade="D9"/>
          </w:tcPr>
          <w:p w14:paraId="6B43C934" w14:textId="4F35700A" w:rsidR="00F06BB6" w:rsidRPr="00A07AE3" w:rsidRDefault="00F06BB6" w:rsidP="00A07AE3">
            <w:pPr>
              <w:pStyle w:val="Paragraph"/>
              <w:spacing w:line="240" w:lineRule="auto"/>
              <w:rPr>
                <w:lang w:eastAsia="en-GB"/>
              </w:rPr>
            </w:pPr>
            <w:r w:rsidRPr="00A07AE3">
              <w:rPr>
                <w:b/>
                <w:bCs/>
                <w:lang w:eastAsia="en-GB"/>
              </w:rPr>
              <w:t>Comment no.</w:t>
            </w:r>
          </w:p>
        </w:tc>
        <w:tc>
          <w:tcPr>
            <w:tcW w:w="1689" w:type="dxa"/>
            <w:tcBorders>
              <w:top w:val="single" w:sz="4" w:space="0" w:color="auto"/>
              <w:left w:val="nil"/>
              <w:bottom w:val="single" w:sz="4" w:space="0" w:color="auto"/>
              <w:right w:val="single" w:sz="4" w:space="0" w:color="auto"/>
            </w:tcBorders>
            <w:shd w:val="clear" w:color="auto" w:fill="D9D9D9" w:themeFill="background1" w:themeFillShade="D9"/>
          </w:tcPr>
          <w:p w14:paraId="228AC47B" w14:textId="501820B3" w:rsidR="00F06BB6" w:rsidRPr="00A07AE3" w:rsidRDefault="00F06BB6" w:rsidP="00A07AE3">
            <w:pPr>
              <w:pStyle w:val="Paragraph"/>
              <w:spacing w:line="240" w:lineRule="auto"/>
              <w:rPr>
                <w:rFonts w:cs="Arial"/>
                <w:color w:val="000000"/>
              </w:rPr>
            </w:pPr>
            <w:r w:rsidRPr="00A07AE3">
              <w:rPr>
                <w:b/>
                <w:bCs/>
                <w:lang w:eastAsia="en-GB"/>
              </w:rPr>
              <w:t>Consultee</w:t>
            </w:r>
          </w:p>
        </w:tc>
        <w:tc>
          <w:tcPr>
            <w:tcW w:w="2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06E70" w14:textId="48AB508A" w:rsidR="00F06BB6" w:rsidRPr="00A07AE3" w:rsidRDefault="00F06BB6" w:rsidP="00A07AE3">
            <w:pPr>
              <w:pStyle w:val="Paragraph"/>
              <w:spacing w:line="240" w:lineRule="auto"/>
              <w:rPr>
                <w:rFonts w:cs="Arial"/>
                <w:color w:val="000000"/>
              </w:rPr>
            </w:pPr>
            <w:r w:rsidRPr="00A07AE3">
              <w:rPr>
                <w:b/>
                <w:bCs/>
                <w:lang w:eastAsia="en-GB"/>
              </w:rPr>
              <w:t>Section no.</w:t>
            </w:r>
          </w:p>
        </w:tc>
        <w:tc>
          <w:tcPr>
            <w:tcW w:w="5243" w:type="dxa"/>
            <w:tcBorders>
              <w:top w:val="single" w:sz="4" w:space="0" w:color="auto"/>
              <w:left w:val="single" w:sz="4" w:space="0" w:color="auto"/>
              <w:bottom w:val="single" w:sz="4" w:space="0" w:color="auto"/>
              <w:right w:val="nil"/>
            </w:tcBorders>
            <w:shd w:val="clear" w:color="auto" w:fill="D9D9D9" w:themeFill="background1" w:themeFillShade="D9"/>
          </w:tcPr>
          <w:p w14:paraId="65B98AAA" w14:textId="6F3D8BFB" w:rsidR="00F06BB6" w:rsidRPr="00A07AE3" w:rsidRDefault="00F06BB6" w:rsidP="00A07AE3">
            <w:pPr>
              <w:pStyle w:val="Paragraph"/>
              <w:spacing w:line="240" w:lineRule="auto"/>
              <w:rPr>
                <w:rFonts w:cs="Arial"/>
                <w:color w:val="000000"/>
              </w:rPr>
            </w:pPr>
            <w:r w:rsidRPr="00A07AE3">
              <w:rPr>
                <w:b/>
                <w:bCs/>
                <w:lang w:eastAsia="en-GB"/>
              </w:rPr>
              <w:t>Comment</w:t>
            </w:r>
          </w:p>
        </w:tc>
        <w:tc>
          <w:tcPr>
            <w:tcW w:w="3658" w:type="dxa"/>
            <w:shd w:val="clear" w:color="auto" w:fill="D9D9D9" w:themeFill="background1" w:themeFillShade="D9"/>
          </w:tcPr>
          <w:p w14:paraId="1A097CA5" w14:textId="273011D3" w:rsidR="00F06BB6" w:rsidRPr="00A07AE3" w:rsidRDefault="00F06BB6" w:rsidP="00A07AE3">
            <w:pPr>
              <w:pStyle w:val="Paragraph"/>
              <w:spacing w:line="240" w:lineRule="auto"/>
              <w:rPr>
                <w:lang w:eastAsia="en-GB"/>
              </w:rPr>
            </w:pPr>
            <w:r w:rsidRPr="00A07AE3">
              <w:rPr>
                <w:b/>
                <w:bCs/>
                <w:lang w:eastAsia="en-GB"/>
              </w:rPr>
              <w:t>Response</w:t>
            </w:r>
          </w:p>
        </w:tc>
      </w:tr>
      <w:tr w:rsidR="00805008" w14:paraId="687E1B17" w14:textId="77777777" w:rsidTr="0076272F">
        <w:tc>
          <w:tcPr>
            <w:tcW w:w="1323" w:type="dxa"/>
          </w:tcPr>
          <w:p w14:paraId="18B33E1D"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F62AD36" w14:textId="7D9F5EBC" w:rsidR="00805008" w:rsidRPr="00A07AE3" w:rsidRDefault="00805008" w:rsidP="00A07AE3">
            <w:pPr>
              <w:pStyle w:val="Paragraph"/>
              <w:spacing w:line="240" w:lineRule="auto"/>
              <w:rPr>
                <w:lang w:eastAsia="en-GB"/>
              </w:rPr>
            </w:pPr>
            <w:r w:rsidRPr="00A07AE3">
              <w:rPr>
                <w:rFonts w:cs="Arial"/>
                <w:color w:val="000000"/>
              </w:rPr>
              <w:t>Consultee 3</w:t>
            </w:r>
            <w:r w:rsidRPr="00A07AE3">
              <w:rPr>
                <w:rFonts w:cs="Arial"/>
                <w:color w:val="000000"/>
              </w:rPr>
              <w:br/>
              <w:t>Individual</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779BBFD0" w14:textId="66023D71" w:rsidR="00805008" w:rsidRPr="00A07AE3" w:rsidRDefault="00805008" w:rsidP="00A07AE3">
            <w:pPr>
              <w:pStyle w:val="Paragraph"/>
              <w:spacing w:line="240" w:lineRule="auto"/>
              <w:rPr>
                <w:lang w:eastAsia="en-GB"/>
              </w:rPr>
            </w:pPr>
            <w:r w:rsidRPr="00A07AE3">
              <w:rPr>
                <w:rFonts w:cs="Arial"/>
                <w:color w:val="000000"/>
              </w:rPr>
              <w:t>3.8 Key evidence is limited</w:t>
            </w:r>
          </w:p>
        </w:tc>
        <w:tc>
          <w:tcPr>
            <w:tcW w:w="5243" w:type="dxa"/>
            <w:tcBorders>
              <w:top w:val="single" w:sz="4" w:space="0" w:color="auto"/>
              <w:left w:val="single" w:sz="4" w:space="0" w:color="auto"/>
              <w:bottom w:val="single" w:sz="4" w:space="0" w:color="auto"/>
              <w:right w:val="nil"/>
            </w:tcBorders>
            <w:shd w:val="clear" w:color="auto" w:fill="auto"/>
          </w:tcPr>
          <w:p w14:paraId="2D1A8E8B" w14:textId="7EFC0EA9" w:rsidR="00805008" w:rsidRPr="00A07AE3" w:rsidRDefault="00805008" w:rsidP="00A07AE3">
            <w:pPr>
              <w:pStyle w:val="Paragraph"/>
              <w:spacing w:line="240" w:lineRule="auto"/>
              <w:rPr>
                <w:lang w:eastAsia="en-GB"/>
              </w:rPr>
            </w:pPr>
            <w:r w:rsidRPr="00A07AE3">
              <w:rPr>
                <w:rFonts w:cs="Arial"/>
                <w:color w:val="000000"/>
              </w:rPr>
              <w:t>This methodology allowed for increased bias - diluting out evidence that fits the scope accurately and therefore leading to the heterogeneity observed.</w:t>
            </w:r>
          </w:p>
        </w:tc>
        <w:tc>
          <w:tcPr>
            <w:tcW w:w="3658" w:type="dxa"/>
          </w:tcPr>
          <w:p w14:paraId="7441515E" w14:textId="0CBFC90F" w:rsidR="005B5A3C" w:rsidRPr="00A07AE3" w:rsidRDefault="005B5A3C" w:rsidP="00A07AE3">
            <w:pPr>
              <w:pStyle w:val="Paragraph"/>
              <w:spacing w:line="240" w:lineRule="auto"/>
              <w:rPr>
                <w:lang w:eastAsia="en-GB"/>
              </w:rPr>
            </w:pPr>
            <w:r w:rsidRPr="00A07AE3">
              <w:rPr>
                <w:lang w:eastAsia="en-GB"/>
              </w:rPr>
              <w:t xml:space="preserve">Thank you for your comment. The </w:t>
            </w:r>
            <w:r w:rsidR="0066278B" w:rsidRPr="00A07AE3">
              <w:rPr>
                <w:lang w:eastAsia="en-GB"/>
              </w:rPr>
              <w:t xml:space="preserve">decision to include </w:t>
            </w:r>
            <w:r w:rsidRPr="00A07AE3">
              <w:rPr>
                <w:lang w:eastAsia="en-GB"/>
              </w:rPr>
              <w:t xml:space="preserve">evidence </w:t>
            </w:r>
            <w:r w:rsidR="0066278B" w:rsidRPr="00A07AE3">
              <w:rPr>
                <w:lang w:eastAsia="en-GB"/>
              </w:rPr>
              <w:t xml:space="preserve">relevant to a broader decision problem than that set in the NICE final scope was made prior to the start of the review, as stated in the review protocol. This approach is consistent with </w:t>
            </w:r>
            <w:hyperlink r:id="rId14" w:history="1">
              <w:r w:rsidRPr="00A07AE3">
                <w:rPr>
                  <w:rStyle w:val="Hyperlink"/>
                  <w:lang w:eastAsia="en-GB"/>
                </w:rPr>
                <w:t>NICE approved methods for conducting an LSA</w:t>
              </w:r>
            </w:hyperlink>
            <w:r w:rsidRPr="00A07AE3">
              <w:rPr>
                <w:lang w:eastAsia="en-GB"/>
              </w:rPr>
              <w:t xml:space="preserve">, </w:t>
            </w:r>
            <w:r w:rsidR="0066278B" w:rsidRPr="00A07AE3">
              <w:rPr>
                <w:lang w:eastAsia="en-GB"/>
              </w:rPr>
              <w:t xml:space="preserve">and </w:t>
            </w:r>
            <w:r w:rsidR="00096B5C" w:rsidRPr="00A07AE3">
              <w:rPr>
                <w:lang w:eastAsia="en-GB"/>
              </w:rPr>
              <w:t xml:space="preserve">was in the </w:t>
            </w:r>
            <w:r w:rsidR="00F60ABF" w:rsidRPr="00A07AE3">
              <w:rPr>
                <w:lang w:eastAsia="en-GB"/>
              </w:rPr>
              <w:t xml:space="preserve">EAG’s </w:t>
            </w:r>
            <w:r w:rsidR="0066278B" w:rsidRPr="00A07AE3">
              <w:rPr>
                <w:lang w:eastAsia="en-GB"/>
              </w:rPr>
              <w:t>protocol</w:t>
            </w:r>
            <w:r w:rsidRPr="00A07AE3">
              <w:rPr>
                <w:lang w:eastAsia="en-GB"/>
              </w:rPr>
              <w:t>.</w:t>
            </w:r>
          </w:p>
          <w:p w14:paraId="6EDB2743" w14:textId="50DE6F03" w:rsidR="00805008" w:rsidRPr="00A07AE3" w:rsidRDefault="005B5A3C" w:rsidP="00A07AE3">
            <w:pPr>
              <w:pStyle w:val="Paragraph"/>
              <w:spacing w:line="240" w:lineRule="auto"/>
              <w:rPr>
                <w:lang w:eastAsia="en-GB"/>
              </w:rPr>
            </w:pPr>
            <w:r w:rsidRPr="00A07AE3">
              <w:rPr>
                <w:lang w:eastAsia="en-GB"/>
              </w:rPr>
              <w:t xml:space="preserve">The purpose of this approach was to be able to present the Committee with some evidence for as many eligible </w:t>
            </w:r>
            <w:r w:rsidR="00F45360" w:rsidRPr="00A07AE3">
              <w:rPr>
                <w:lang w:eastAsia="en-GB"/>
              </w:rPr>
              <w:t xml:space="preserve">antimicrobials agents used in </w:t>
            </w:r>
            <w:r w:rsidRPr="00A07AE3">
              <w:rPr>
                <w:lang w:eastAsia="en-GB"/>
              </w:rPr>
              <w:t xml:space="preserve">AMDs as possible, rather than no evidence. </w:t>
            </w:r>
            <w:r w:rsidR="00F45360" w:rsidRPr="00A07AE3">
              <w:rPr>
                <w:lang w:eastAsia="en-GB"/>
              </w:rPr>
              <w:t>The EAG</w:t>
            </w:r>
            <w:r w:rsidRPr="00A07AE3">
              <w:rPr>
                <w:lang w:eastAsia="en-GB"/>
              </w:rPr>
              <w:t xml:space="preserve"> acknowledge</w:t>
            </w:r>
            <w:r w:rsidR="00F45360" w:rsidRPr="00A07AE3">
              <w:rPr>
                <w:lang w:eastAsia="en-GB"/>
              </w:rPr>
              <w:t>d</w:t>
            </w:r>
            <w:r w:rsidRPr="00A07AE3">
              <w:rPr>
                <w:lang w:eastAsia="en-GB"/>
              </w:rPr>
              <w:t xml:space="preserve"> the limitations of this approach including potential heterogeneity and noted these in </w:t>
            </w:r>
            <w:r w:rsidR="009A358B" w:rsidRPr="00A07AE3">
              <w:rPr>
                <w:lang w:eastAsia="en-GB"/>
              </w:rPr>
              <w:t>section</w:t>
            </w:r>
            <w:r w:rsidR="00E10D20" w:rsidRPr="00A07AE3">
              <w:rPr>
                <w:lang w:eastAsia="en-GB"/>
              </w:rPr>
              <w:t xml:space="preserve"> 7.3.6 of </w:t>
            </w:r>
            <w:r w:rsidRPr="00A07AE3">
              <w:rPr>
                <w:lang w:eastAsia="en-GB"/>
              </w:rPr>
              <w:t>the EAR.</w:t>
            </w:r>
          </w:p>
        </w:tc>
      </w:tr>
      <w:tr w:rsidR="00805008" w14:paraId="5A0DC21C" w14:textId="77777777" w:rsidTr="0076272F">
        <w:tc>
          <w:tcPr>
            <w:tcW w:w="1323" w:type="dxa"/>
          </w:tcPr>
          <w:p w14:paraId="48E234F8"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916F259" w14:textId="26CB57D7" w:rsidR="00805008" w:rsidRPr="00A07AE3" w:rsidRDefault="00805008"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705C1B84" w14:textId="61F5A30D" w:rsidR="00805008" w:rsidRPr="00A07AE3" w:rsidRDefault="00805008" w:rsidP="00A07AE3">
            <w:pPr>
              <w:pStyle w:val="Paragraph"/>
              <w:spacing w:line="240" w:lineRule="auto"/>
              <w:rPr>
                <w:lang w:eastAsia="en-GB"/>
              </w:rPr>
            </w:pPr>
            <w:r w:rsidRPr="00A07AE3">
              <w:rPr>
                <w:rFonts w:cs="Arial"/>
                <w:color w:val="000000"/>
              </w:rPr>
              <w:t>Not specified</w:t>
            </w:r>
          </w:p>
        </w:tc>
        <w:tc>
          <w:tcPr>
            <w:tcW w:w="5243" w:type="dxa"/>
            <w:tcBorders>
              <w:top w:val="single" w:sz="4" w:space="0" w:color="auto"/>
              <w:left w:val="single" w:sz="4" w:space="0" w:color="auto"/>
              <w:bottom w:val="single" w:sz="4" w:space="0" w:color="auto"/>
              <w:right w:val="nil"/>
            </w:tcBorders>
            <w:shd w:val="clear" w:color="auto" w:fill="auto"/>
          </w:tcPr>
          <w:p w14:paraId="18989955" w14:textId="5B4F8FDF" w:rsidR="00805008" w:rsidRPr="00A07AE3" w:rsidRDefault="006E44A0" w:rsidP="00A07AE3">
            <w:pPr>
              <w:pStyle w:val="Paragraph"/>
              <w:spacing w:line="240" w:lineRule="auto"/>
              <w:rPr>
                <w:lang w:eastAsia="en-GB"/>
              </w:rPr>
            </w:pPr>
            <w:r w:rsidRPr="00A07AE3">
              <w:rPr>
                <w:rFonts w:cs="Arial"/>
                <w:color w:val="000000"/>
              </w:rPr>
              <w:t xml:space="preserve">Some of the published sources cited in the EAG Assessment report and used in the modelling are prophylactic and not therapeutic studies. </w:t>
            </w:r>
            <w:r w:rsidR="00805008" w:rsidRPr="00A07AE3">
              <w:rPr>
                <w:rFonts w:cs="Arial"/>
                <w:color w:val="000000"/>
              </w:rPr>
              <w:t xml:space="preserve">Also, some patients in a few of these studies had a pressure ulcer or diabetic foot ulcer which are not relevant within the context of this guidance. </w:t>
            </w:r>
            <w:r w:rsidRPr="00A07AE3">
              <w:rPr>
                <w:rFonts w:cs="Arial"/>
                <w:color w:val="000000"/>
              </w:rPr>
              <w:t xml:space="preserve">Furthermore, some articles did not assess the efficacy or safety of the antimicrobial dressing in question; they assessed the effect of an adjunctive treatment. </w:t>
            </w:r>
            <w:r w:rsidR="00805008" w:rsidRPr="00A07AE3">
              <w:rPr>
                <w:rFonts w:cs="Arial"/>
                <w:color w:val="000000"/>
              </w:rPr>
              <w:t>More scrutiny of the content of the published sources is required.</w:t>
            </w:r>
          </w:p>
        </w:tc>
        <w:tc>
          <w:tcPr>
            <w:tcW w:w="3658" w:type="dxa"/>
          </w:tcPr>
          <w:p w14:paraId="2E678CF7" w14:textId="7F24B8AA" w:rsidR="00242B96" w:rsidRPr="00A07AE3" w:rsidRDefault="001C389F" w:rsidP="00A07AE3">
            <w:pPr>
              <w:pStyle w:val="Paragraph"/>
              <w:spacing w:line="240" w:lineRule="auto"/>
              <w:rPr>
                <w:lang w:eastAsia="en-GB"/>
              </w:rPr>
            </w:pPr>
            <w:r w:rsidRPr="00A07AE3">
              <w:rPr>
                <w:lang w:eastAsia="en-GB"/>
              </w:rPr>
              <w:t xml:space="preserve">Thank you for your comment. </w:t>
            </w:r>
            <w:r w:rsidR="0067627D" w:rsidRPr="00A07AE3">
              <w:rPr>
                <w:lang w:eastAsia="en-GB"/>
              </w:rPr>
              <w:t xml:space="preserve">The EAG included </w:t>
            </w:r>
            <w:r w:rsidR="00242B96" w:rsidRPr="00A07AE3">
              <w:rPr>
                <w:lang w:eastAsia="en-GB"/>
              </w:rPr>
              <w:t xml:space="preserve">prophylactic studies (i.e. studies in non-infected wounds) or studies </w:t>
            </w:r>
            <w:r w:rsidR="0067627D" w:rsidRPr="00A07AE3">
              <w:rPr>
                <w:lang w:eastAsia="en-GB"/>
              </w:rPr>
              <w:t xml:space="preserve">of </w:t>
            </w:r>
            <w:r w:rsidR="00242B96" w:rsidRPr="00A07AE3">
              <w:rPr>
                <w:lang w:eastAsia="en-GB"/>
              </w:rPr>
              <w:t>patients with</w:t>
            </w:r>
            <w:r w:rsidR="0067627D" w:rsidRPr="00A07AE3">
              <w:rPr>
                <w:lang w:eastAsia="en-GB"/>
              </w:rPr>
              <w:t xml:space="preserve"> </w:t>
            </w:r>
            <w:r w:rsidR="00242B96" w:rsidRPr="00A07AE3">
              <w:rPr>
                <w:lang w:eastAsia="en-GB"/>
              </w:rPr>
              <w:t xml:space="preserve">pressure or </w:t>
            </w:r>
            <w:r w:rsidR="006E44A0" w:rsidRPr="00A07AE3">
              <w:rPr>
                <w:lang w:eastAsia="en-GB"/>
              </w:rPr>
              <w:t>diabetic foot ulcers</w:t>
            </w:r>
            <w:r w:rsidR="00242B96" w:rsidRPr="00A07AE3">
              <w:rPr>
                <w:lang w:eastAsia="en-GB"/>
              </w:rPr>
              <w:t xml:space="preserve"> </w:t>
            </w:r>
            <w:r w:rsidR="0067627D" w:rsidRPr="00A07AE3">
              <w:rPr>
                <w:lang w:eastAsia="en-GB"/>
              </w:rPr>
              <w:t xml:space="preserve">when sufficient </w:t>
            </w:r>
            <w:r w:rsidR="00242B96" w:rsidRPr="00A07AE3">
              <w:rPr>
                <w:lang w:eastAsia="en-GB"/>
              </w:rPr>
              <w:t xml:space="preserve">evidence </w:t>
            </w:r>
            <w:r w:rsidR="0067627D" w:rsidRPr="00A07AE3">
              <w:rPr>
                <w:lang w:eastAsia="en-GB"/>
              </w:rPr>
              <w:t xml:space="preserve">that </w:t>
            </w:r>
            <w:r w:rsidR="00242B96" w:rsidRPr="00A07AE3">
              <w:rPr>
                <w:lang w:eastAsia="en-GB"/>
              </w:rPr>
              <w:t>fully met the decision problem was not available for a given antimicrobial agent.</w:t>
            </w:r>
            <w:r w:rsidR="006E44A0" w:rsidRPr="00A07AE3">
              <w:rPr>
                <w:lang w:eastAsia="en-GB"/>
              </w:rPr>
              <w:t xml:space="preserve"> </w:t>
            </w:r>
            <w:r w:rsidR="00242B96" w:rsidRPr="00A07AE3">
              <w:rPr>
                <w:lang w:eastAsia="en-GB"/>
              </w:rPr>
              <w:t>P</w:t>
            </w:r>
            <w:r w:rsidRPr="00A07AE3">
              <w:rPr>
                <w:lang w:eastAsia="en-GB"/>
              </w:rPr>
              <w:t>lease see response to comment 134.</w:t>
            </w:r>
            <w:r w:rsidR="00AB4243" w:rsidRPr="00A07AE3">
              <w:rPr>
                <w:lang w:eastAsia="en-GB"/>
              </w:rPr>
              <w:t xml:space="preserve"> </w:t>
            </w:r>
          </w:p>
          <w:p w14:paraId="313F0774" w14:textId="5F007A6C" w:rsidR="00805008" w:rsidRPr="00A07AE3" w:rsidRDefault="00AB4243" w:rsidP="00A07AE3">
            <w:pPr>
              <w:pStyle w:val="Paragraph"/>
              <w:spacing w:line="240" w:lineRule="auto"/>
              <w:rPr>
                <w:lang w:eastAsia="en-GB"/>
              </w:rPr>
            </w:pPr>
            <w:r w:rsidRPr="00A07AE3">
              <w:rPr>
                <w:lang w:eastAsia="en-GB"/>
              </w:rPr>
              <w:t>Regarding the adjunctive treatment, all included studies assessed an antimicrobial dressing either alone or as part of a wider wound-care treatment protocol. The potential for heterogeneity due to different adjunctive care protocols across studies is acknowledged in</w:t>
            </w:r>
            <w:r w:rsidR="009F3576" w:rsidRPr="00A07AE3">
              <w:rPr>
                <w:lang w:eastAsia="en-GB"/>
              </w:rPr>
              <w:t xml:space="preserve"> section </w:t>
            </w:r>
            <w:r w:rsidR="004E125E" w:rsidRPr="00A07AE3">
              <w:rPr>
                <w:lang w:eastAsia="en-GB"/>
              </w:rPr>
              <w:t>5.3 of</w:t>
            </w:r>
            <w:r w:rsidRPr="00A07AE3">
              <w:rPr>
                <w:lang w:eastAsia="en-GB"/>
              </w:rPr>
              <w:t xml:space="preserve"> the EAR.</w:t>
            </w:r>
          </w:p>
        </w:tc>
      </w:tr>
      <w:tr w:rsidR="00805008" w14:paraId="4CF99CB8" w14:textId="77777777" w:rsidTr="0076272F">
        <w:tc>
          <w:tcPr>
            <w:tcW w:w="1323" w:type="dxa"/>
          </w:tcPr>
          <w:p w14:paraId="5CDC8543"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12F1340F" w14:textId="06A76751" w:rsidR="00805008" w:rsidRPr="00A07AE3" w:rsidRDefault="00805008"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4A66D953" w14:textId="5F33518F" w:rsidR="00805008" w:rsidRPr="00A07AE3" w:rsidRDefault="00805008" w:rsidP="00A07AE3">
            <w:pPr>
              <w:pStyle w:val="Paragraph"/>
              <w:spacing w:line="240" w:lineRule="auto"/>
              <w:rPr>
                <w:lang w:eastAsia="en-GB"/>
              </w:rPr>
            </w:pPr>
            <w:r w:rsidRPr="00A07AE3">
              <w:rPr>
                <w:rFonts w:cs="Arial"/>
                <w:color w:val="000000"/>
              </w:rPr>
              <w:t>3.8 Key evidence is limited</w:t>
            </w:r>
          </w:p>
        </w:tc>
        <w:tc>
          <w:tcPr>
            <w:tcW w:w="5243" w:type="dxa"/>
            <w:tcBorders>
              <w:top w:val="single" w:sz="4" w:space="0" w:color="auto"/>
              <w:left w:val="single" w:sz="4" w:space="0" w:color="auto"/>
              <w:bottom w:val="single" w:sz="4" w:space="0" w:color="auto"/>
              <w:right w:val="nil"/>
            </w:tcBorders>
            <w:shd w:val="clear" w:color="auto" w:fill="auto"/>
          </w:tcPr>
          <w:p w14:paraId="66AC0FA1" w14:textId="4ECCD18F" w:rsidR="00805008" w:rsidRPr="00A07AE3" w:rsidRDefault="00805008" w:rsidP="00A07AE3">
            <w:pPr>
              <w:pStyle w:val="Paragraph"/>
              <w:spacing w:line="240" w:lineRule="auto"/>
              <w:rPr>
                <w:lang w:eastAsia="en-GB"/>
              </w:rPr>
            </w:pPr>
            <w:r w:rsidRPr="00A07AE3">
              <w:rPr>
                <w:rFonts w:cs="Arial"/>
                <w:color w:val="000000"/>
              </w:rPr>
              <w:t xml:space="preserve">This is an erroneous assumption. If an infected wound elsewhere on the body has a good vascular supply but infection amelioration is confounded by other factors, how can that be applied to an infected leg ulcer? For example, would an infected wound on the hand resolve in the same way as an infected leg ulcer? Such </w:t>
            </w:r>
            <w:r w:rsidRPr="00A07AE3">
              <w:rPr>
                <w:rFonts w:cs="Arial"/>
                <w:color w:val="000000"/>
              </w:rPr>
              <w:lastRenderedPageBreak/>
              <w:t>assumptions only serve to weaken the validity of the analysis.</w:t>
            </w:r>
          </w:p>
        </w:tc>
        <w:tc>
          <w:tcPr>
            <w:tcW w:w="3658" w:type="dxa"/>
          </w:tcPr>
          <w:p w14:paraId="71E08274" w14:textId="47EDB4C8" w:rsidR="00805008" w:rsidRPr="00A07AE3" w:rsidRDefault="001C389F" w:rsidP="00A07AE3">
            <w:pPr>
              <w:pStyle w:val="Paragraph"/>
              <w:spacing w:line="240" w:lineRule="auto"/>
              <w:rPr>
                <w:lang w:eastAsia="en-GB"/>
              </w:rPr>
            </w:pPr>
            <w:r w:rsidRPr="00A07AE3">
              <w:rPr>
                <w:lang w:eastAsia="en-GB"/>
              </w:rPr>
              <w:lastRenderedPageBreak/>
              <w:t>Thank you for your comment. Please see response to comment 134.</w:t>
            </w:r>
          </w:p>
        </w:tc>
      </w:tr>
      <w:tr w:rsidR="00805008" w14:paraId="405A8DB0" w14:textId="77777777" w:rsidTr="0076272F">
        <w:tc>
          <w:tcPr>
            <w:tcW w:w="1323" w:type="dxa"/>
          </w:tcPr>
          <w:p w14:paraId="1EFE0CFF"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1345576D" w14:textId="22904965" w:rsidR="00805008" w:rsidRPr="00A07AE3" w:rsidRDefault="00805008" w:rsidP="00A07AE3">
            <w:pPr>
              <w:pStyle w:val="Paragraph"/>
              <w:spacing w:line="240" w:lineRule="auto"/>
              <w:rPr>
                <w:lang w:eastAsia="en-GB"/>
              </w:rPr>
            </w:pPr>
            <w:r w:rsidRPr="00A07AE3">
              <w:rPr>
                <w:rFonts w:cs="Arial"/>
                <w:color w:val="000000"/>
              </w:rPr>
              <w:t>Consultee 6</w:t>
            </w:r>
            <w:r w:rsidRPr="00A07AE3">
              <w:rPr>
                <w:rFonts w:cs="Arial"/>
                <w:color w:val="000000"/>
              </w:rPr>
              <w:br/>
              <w:t>Individual</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66379A55" w14:textId="145C777E" w:rsidR="00805008" w:rsidRPr="00A07AE3" w:rsidRDefault="00805008" w:rsidP="00A07AE3">
            <w:pPr>
              <w:pStyle w:val="Paragraph"/>
              <w:spacing w:line="240" w:lineRule="auto"/>
              <w:rPr>
                <w:lang w:eastAsia="en-GB"/>
              </w:rPr>
            </w:pPr>
            <w:r w:rsidRPr="00A07AE3">
              <w:rPr>
                <w:rFonts w:cs="Arial"/>
                <w:color w:val="000000"/>
              </w:rPr>
              <w:t>3.8 Key evidence is limited</w:t>
            </w:r>
          </w:p>
        </w:tc>
        <w:tc>
          <w:tcPr>
            <w:tcW w:w="5243" w:type="dxa"/>
            <w:tcBorders>
              <w:top w:val="single" w:sz="4" w:space="0" w:color="auto"/>
              <w:left w:val="single" w:sz="4" w:space="0" w:color="auto"/>
              <w:bottom w:val="single" w:sz="4" w:space="0" w:color="auto"/>
              <w:right w:val="nil"/>
            </w:tcBorders>
            <w:shd w:val="clear" w:color="auto" w:fill="auto"/>
          </w:tcPr>
          <w:p w14:paraId="7E288F62" w14:textId="3A60E169" w:rsidR="00805008" w:rsidRPr="00A07AE3" w:rsidRDefault="00805008" w:rsidP="00A07AE3">
            <w:pPr>
              <w:pStyle w:val="Paragraph"/>
              <w:spacing w:line="240" w:lineRule="auto"/>
              <w:rPr>
                <w:lang w:eastAsia="en-GB"/>
              </w:rPr>
            </w:pPr>
            <w:r w:rsidRPr="00A07AE3">
              <w:rPr>
                <w:rFonts w:cs="Arial"/>
                <w:color w:val="000000"/>
              </w:rPr>
              <w:t>This assumption is not valid as the aim of this guidance is to assess the use of topical antimicrobial dressings in infected leg ulcers. Any evidence derived from studies in people with uninfected leg ulcers has no value within the context of this guidance and therefore weakens the validity of the analysis.</w:t>
            </w:r>
          </w:p>
        </w:tc>
        <w:tc>
          <w:tcPr>
            <w:tcW w:w="3658" w:type="dxa"/>
          </w:tcPr>
          <w:p w14:paraId="7511A101" w14:textId="796664EF" w:rsidR="00805008" w:rsidRPr="00A07AE3" w:rsidRDefault="00925CF9" w:rsidP="00A07AE3">
            <w:pPr>
              <w:pStyle w:val="Paragraph"/>
              <w:spacing w:line="240" w:lineRule="auto"/>
              <w:rPr>
                <w:lang w:eastAsia="en-GB"/>
              </w:rPr>
            </w:pPr>
            <w:r w:rsidRPr="00A07AE3">
              <w:rPr>
                <w:lang w:eastAsia="en-GB"/>
              </w:rPr>
              <w:t>Thank you for your comment. Please see response to comment 134.</w:t>
            </w:r>
          </w:p>
        </w:tc>
      </w:tr>
      <w:tr w:rsidR="00805008" w14:paraId="0B3B879F" w14:textId="77777777" w:rsidTr="0076272F">
        <w:tc>
          <w:tcPr>
            <w:tcW w:w="1323" w:type="dxa"/>
          </w:tcPr>
          <w:p w14:paraId="6CFA692F"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DA21E84" w14:textId="31B43B4F" w:rsidR="00805008" w:rsidRPr="00A07AE3" w:rsidRDefault="00805008"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2F79A444" w14:textId="6A540815" w:rsidR="00805008" w:rsidRPr="00A07AE3" w:rsidRDefault="00805008" w:rsidP="00A07AE3">
            <w:pPr>
              <w:pStyle w:val="Paragraph"/>
              <w:spacing w:line="240" w:lineRule="auto"/>
              <w:rPr>
                <w:lang w:eastAsia="en-GB"/>
              </w:rPr>
            </w:pPr>
            <w:r w:rsidRPr="00A07AE3">
              <w:rPr>
                <w:rFonts w:cs="Arial"/>
                <w:color w:val="000000"/>
              </w:rPr>
              <w:t>Not specified</w:t>
            </w:r>
          </w:p>
        </w:tc>
        <w:tc>
          <w:tcPr>
            <w:tcW w:w="5243" w:type="dxa"/>
            <w:tcBorders>
              <w:top w:val="single" w:sz="4" w:space="0" w:color="auto"/>
              <w:left w:val="single" w:sz="4" w:space="0" w:color="auto"/>
              <w:bottom w:val="single" w:sz="4" w:space="0" w:color="auto"/>
              <w:right w:val="nil"/>
            </w:tcBorders>
            <w:shd w:val="clear" w:color="auto" w:fill="auto"/>
          </w:tcPr>
          <w:p w14:paraId="689F9746" w14:textId="34C70B49" w:rsidR="00805008" w:rsidRPr="00A07AE3" w:rsidRDefault="00805008" w:rsidP="00A07AE3">
            <w:pPr>
              <w:pStyle w:val="Paragraph"/>
              <w:spacing w:line="240" w:lineRule="auto"/>
              <w:rPr>
                <w:lang w:eastAsia="en-GB"/>
              </w:rPr>
            </w:pPr>
            <w:r w:rsidRPr="00A07AE3">
              <w:rPr>
                <w:rFonts w:cs="Arial"/>
                <w:color w:val="000000"/>
              </w:rPr>
              <w:t xml:space="preserve">Copper dressings should not be included in the main analysis of the EAG report. </w:t>
            </w:r>
            <w:r w:rsidRPr="00A07AE3">
              <w:rPr>
                <w:rFonts w:cs="Arial"/>
                <w:color w:val="000000"/>
              </w:rPr>
              <w:br/>
              <w:t>Whilst section 4.1 reports the decision tree for selecting studies to inform efficacy assumptions, the inclusion of copper dressings in the analysis is not an apples-to-apples comparison</w:t>
            </w:r>
            <w:r w:rsidRPr="00A07AE3">
              <w:rPr>
                <w:rFonts w:cs="Arial"/>
                <w:color w:val="000000"/>
              </w:rPr>
              <w:br/>
              <w:t>The model relies on Treadwell 2022 to inform the efficacy data for copper dressings. Treadwell 2022:</w:t>
            </w:r>
            <w:r w:rsidRPr="00A07AE3">
              <w:rPr>
                <w:rFonts w:cs="Arial"/>
                <w:color w:val="000000"/>
              </w:rPr>
              <w:br/>
              <w:t>1. Is not a peer-reviewed publication.</w:t>
            </w:r>
            <w:r w:rsidRPr="00A07AE3">
              <w:rPr>
                <w:rFonts w:cs="Arial"/>
                <w:color w:val="000000"/>
              </w:rPr>
              <w:br/>
              <w:t>2. Includes non-infected wounds</w:t>
            </w:r>
            <w:r w:rsidRPr="00A07AE3">
              <w:rPr>
                <w:rFonts w:cs="Arial"/>
                <w:color w:val="000000"/>
              </w:rPr>
              <w:br/>
              <w:t>3. Includes wounds of various aetiologies and locations.</w:t>
            </w:r>
            <w:r w:rsidRPr="00A07AE3">
              <w:rPr>
                <w:rFonts w:cs="Arial"/>
                <w:color w:val="000000"/>
              </w:rPr>
              <w:br/>
            </w:r>
            <w:r w:rsidRPr="00A07AE3">
              <w:rPr>
                <w:rFonts w:cs="Arial"/>
                <w:color w:val="000000"/>
              </w:rPr>
              <w:br/>
              <w:t xml:space="preserve">Treadwell 2022 should've been excluded based on the methodology outlined in section 4.1: "Where no evidence was found for an agent, or the evidence was limited (for </w:t>
            </w:r>
            <w:r w:rsidRPr="00A07AE3">
              <w:rPr>
                <w:rFonts w:cs="Arial"/>
                <w:color w:val="000000"/>
              </w:rPr>
              <w:lastRenderedPageBreak/>
              <w:t>example consisting of conference abstracts or studies with small sample sizes), the population criteria were broadened in stages until evidence for that agent was identified." Treadwell 2022 does not report outcomes for infected wounds separately, so it does not meet the broadened criteria:</w:t>
            </w:r>
            <w:r w:rsidRPr="00A07AE3">
              <w:rPr>
                <w:rFonts w:cs="Arial"/>
                <w:color w:val="000000"/>
              </w:rPr>
              <w:br/>
              <w:t>"No evidence in infected wounds of the lower limb: studies of infected wounds elsewhere on the body."</w:t>
            </w:r>
            <w:r w:rsidRPr="00A07AE3">
              <w:rPr>
                <w:rFonts w:cs="Arial"/>
                <w:color w:val="000000"/>
              </w:rPr>
              <w:br/>
              <w:t>"No evidence in infected wounds elsewhere on the body: studies of non-infected (or not specified to be infected) lower-leg ulcers were included (excluding records with limited information such as conference abstracts)."</w:t>
            </w:r>
            <w:r w:rsidRPr="00A07AE3">
              <w:rPr>
                <w:rFonts w:cs="Arial"/>
                <w:color w:val="000000"/>
              </w:rPr>
              <w:br/>
              <w:t xml:space="preserve">Treadwell 2022 does not report outcomes for infected wounds separately so it does not meet the first of these criteria and should be excluded. Treadwell 2022 is a conference </w:t>
            </w:r>
            <w:proofErr w:type="gramStart"/>
            <w:r w:rsidRPr="00A07AE3">
              <w:rPr>
                <w:rFonts w:cs="Arial"/>
                <w:color w:val="000000"/>
              </w:rPr>
              <w:t>abstract  and</w:t>
            </w:r>
            <w:proofErr w:type="gramEnd"/>
            <w:r w:rsidRPr="00A07AE3">
              <w:rPr>
                <w:rFonts w:cs="Arial"/>
                <w:color w:val="000000"/>
              </w:rPr>
              <w:t xml:space="preserve"> therefore does not meet the second of these criteria. It should be excluded according to the published methodology outlined in section 4.1.</w:t>
            </w:r>
          </w:p>
        </w:tc>
        <w:tc>
          <w:tcPr>
            <w:tcW w:w="3658" w:type="dxa"/>
          </w:tcPr>
          <w:p w14:paraId="710263B2" w14:textId="5EF5760C" w:rsidR="00A3432B" w:rsidRPr="00A07AE3" w:rsidRDefault="00A3432B" w:rsidP="00A07AE3">
            <w:pPr>
              <w:pStyle w:val="Paragraph"/>
              <w:spacing w:line="240" w:lineRule="auto"/>
              <w:rPr>
                <w:lang w:eastAsia="en-GB"/>
              </w:rPr>
            </w:pPr>
            <w:r w:rsidRPr="00A07AE3">
              <w:rPr>
                <w:lang w:eastAsia="en-GB"/>
              </w:rPr>
              <w:lastRenderedPageBreak/>
              <w:t xml:space="preserve">Thank you for your comment. Where no evidence of non-infected wounds of the lower limb was identified, evidence in non-infected (or unclear infection status) wounds on the foot or elsewhere (or mixed </w:t>
            </w:r>
            <w:proofErr w:type="gramStart"/>
            <w:r w:rsidRPr="00A07AE3">
              <w:rPr>
                <w:lang w:eastAsia="en-GB"/>
              </w:rPr>
              <w:t>lower-leg</w:t>
            </w:r>
            <w:proofErr w:type="gramEnd"/>
            <w:r w:rsidRPr="00A07AE3">
              <w:rPr>
                <w:lang w:eastAsia="en-GB"/>
              </w:rPr>
              <w:t xml:space="preserve"> with foot/elsewhere ulcers) was included</w:t>
            </w:r>
            <w:r w:rsidR="00114820" w:rsidRPr="00A07AE3">
              <w:rPr>
                <w:lang w:eastAsia="en-GB"/>
              </w:rPr>
              <w:t xml:space="preserve"> by the EAG</w:t>
            </w:r>
            <w:r w:rsidRPr="00A07AE3">
              <w:rPr>
                <w:lang w:eastAsia="en-GB"/>
              </w:rPr>
              <w:t xml:space="preserve"> (see Table 5.1).</w:t>
            </w:r>
            <w:r w:rsidR="005113BC" w:rsidRPr="00A07AE3">
              <w:rPr>
                <w:lang w:eastAsia="en-GB"/>
              </w:rPr>
              <w:t xml:space="preserve"> Evidence in sources such as small sample-size pilot studies or conference abstracts were considered insufficient (i.e. evidence in wider populations were further sought if only conference abstract evidence fully meeting the decision </w:t>
            </w:r>
            <w:r w:rsidR="005113BC" w:rsidRPr="00A07AE3">
              <w:rPr>
                <w:lang w:eastAsia="en-GB"/>
              </w:rPr>
              <w:lastRenderedPageBreak/>
              <w:t>problem was identified</w:t>
            </w:r>
            <w:proofErr w:type="gramStart"/>
            <w:r w:rsidR="005113BC" w:rsidRPr="00A07AE3">
              <w:rPr>
                <w:lang w:eastAsia="en-GB"/>
              </w:rPr>
              <w:t>), but</w:t>
            </w:r>
            <w:proofErr w:type="gramEnd"/>
            <w:r w:rsidR="005113BC" w:rsidRPr="00A07AE3">
              <w:rPr>
                <w:lang w:eastAsia="en-GB"/>
              </w:rPr>
              <w:t xml:space="preserve"> were not excluded</w:t>
            </w:r>
            <w:r w:rsidR="00114820" w:rsidRPr="00A07AE3">
              <w:rPr>
                <w:lang w:eastAsia="en-GB"/>
              </w:rPr>
              <w:t xml:space="preserve"> by the EAG</w:t>
            </w:r>
            <w:r w:rsidR="005113BC" w:rsidRPr="00A07AE3">
              <w:rPr>
                <w:lang w:eastAsia="en-GB"/>
              </w:rPr>
              <w:t>.</w:t>
            </w:r>
          </w:p>
          <w:p w14:paraId="4D7B38B6" w14:textId="4088CEEC" w:rsidR="00A3432B" w:rsidRPr="00A07AE3" w:rsidRDefault="00A3432B" w:rsidP="00A07AE3">
            <w:pPr>
              <w:pStyle w:val="Paragraph"/>
              <w:spacing w:line="240" w:lineRule="auto"/>
              <w:rPr>
                <w:lang w:eastAsia="en-GB"/>
              </w:rPr>
            </w:pPr>
          </w:p>
        </w:tc>
      </w:tr>
      <w:tr w:rsidR="00805008" w14:paraId="2052AF75" w14:textId="77777777" w:rsidTr="0076272F">
        <w:tc>
          <w:tcPr>
            <w:tcW w:w="1323" w:type="dxa"/>
          </w:tcPr>
          <w:p w14:paraId="05CE88A7"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F5D1062" w14:textId="5308BA72" w:rsidR="00805008" w:rsidRPr="00A07AE3" w:rsidRDefault="00805008"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104A75C4" w14:textId="10E599D5" w:rsidR="00805008" w:rsidRPr="00A07AE3" w:rsidRDefault="00805008" w:rsidP="00A07AE3">
            <w:pPr>
              <w:pStyle w:val="Paragraph"/>
              <w:spacing w:line="240" w:lineRule="auto"/>
              <w:rPr>
                <w:lang w:eastAsia="en-GB"/>
              </w:rPr>
            </w:pPr>
            <w:r w:rsidRPr="00A07AE3">
              <w:rPr>
                <w:rFonts w:cs="Arial"/>
                <w:color w:val="000000"/>
              </w:rPr>
              <w:t>3.8 Key evidence is limited</w:t>
            </w:r>
          </w:p>
        </w:tc>
        <w:tc>
          <w:tcPr>
            <w:tcW w:w="5243" w:type="dxa"/>
            <w:tcBorders>
              <w:top w:val="single" w:sz="4" w:space="0" w:color="auto"/>
              <w:left w:val="single" w:sz="4" w:space="0" w:color="auto"/>
              <w:bottom w:val="single" w:sz="4" w:space="0" w:color="auto"/>
              <w:right w:val="nil"/>
            </w:tcBorders>
            <w:shd w:val="clear" w:color="auto" w:fill="auto"/>
          </w:tcPr>
          <w:p w14:paraId="1394A4D7" w14:textId="534B41DE" w:rsidR="00805008" w:rsidRPr="00A07AE3" w:rsidRDefault="00805008" w:rsidP="00A07AE3">
            <w:pPr>
              <w:pStyle w:val="Paragraph"/>
              <w:spacing w:line="240" w:lineRule="auto"/>
              <w:rPr>
                <w:lang w:eastAsia="en-GB"/>
              </w:rPr>
            </w:pPr>
            <w:r w:rsidRPr="00A07AE3">
              <w:rPr>
                <w:rFonts w:cs="Arial"/>
                <w:color w:val="000000"/>
              </w:rPr>
              <w:t xml:space="preserve"> In </w:t>
            </w:r>
            <w:proofErr w:type="gramStart"/>
            <w:r w:rsidRPr="00A07AE3">
              <w:rPr>
                <w:rFonts w:cs="Arial"/>
                <w:color w:val="000000"/>
              </w:rPr>
              <w:t>addition</w:t>
            </w:r>
            <w:proofErr w:type="gramEnd"/>
            <w:r w:rsidRPr="00A07AE3">
              <w:rPr>
                <w:rFonts w:cs="Arial"/>
                <w:color w:val="000000"/>
              </w:rPr>
              <w:t xml:space="preserve"> evidence has been included which is out of scope on infected wounds on other parts of the body which would have a very different healing trajectory, weakening the validity of the model.</w:t>
            </w:r>
          </w:p>
        </w:tc>
        <w:tc>
          <w:tcPr>
            <w:tcW w:w="3658" w:type="dxa"/>
          </w:tcPr>
          <w:p w14:paraId="48848E44" w14:textId="3FEFD8C7" w:rsidR="00805008" w:rsidRPr="00A07AE3" w:rsidRDefault="005113BC" w:rsidP="00A07AE3">
            <w:pPr>
              <w:pStyle w:val="Paragraph"/>
              <w:spacing w:line="240" w:lineRule="auto"/>
              <w:rPr>
                <w:lang w:eastAsia="en-GB"/>
              </w:rPr>
            </w:pPr>
            <w:r w:rsidRPr="00A07AE3">
              <w:rPr>
                <w:lang w:eastAsia="en-GB"/>
              </w:rPr>
              <w:t>Thank you for your comment, see response to comment 13</w:t>
            </w:r>
            <w:r w:rsidR="006522F2" w:rsidRPr="00A07AE3">
              <w:rPr>
                <w:lang w:eastAsia="en-GB"/>
              </w:rPr>
              <w:t>4</w:t>
            </w:r>
            <w:r w:rsidRPr="00A07AE3">
              <w:rPr>
                <w:lang w:eastAsia="en-GB"/>
              </w:rPr>
              <w:t>.</w:t>
            </w:r>
          </w:p>
        </w:tc>
      </w:tr>
      <w:tr w:rsidR="00805008" w14:paraId="3DF74E52" w14:textId="77777777" w:rsidTr="0076272F">
        <w:tc>
          <w:tcPr>
            <w:tcW w:w="1323" w:type="dxa"/>
          </w:tcPr>
          <w:p w14:paraId="1F21CC6F"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6EAC8940" w14:textId="092AB20D" w:rsidR="00805008" w:rsidRPr="00A07AE3" w:rsidRDefault="00805008"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6C1A4EAA" w14:textId="45FD4C61" w:rsidR="00805008" w:rsidRPr="00A07AE3" w:rsidRDefault="00805008" w:rsidP="00A07AE3">
            <w:pPr>
              <w:pStyle w:val="Paragraph"/>
              <w:spacing w:line="240" w:lineRule="auto"/>
              <w:rPr>
                <w:lang w:eastAsia="en-GB"/>
              </w:rPr>
            </w:pPr>
            <w:r w:rsidRPr="00A07AE3">
              <w:rPr>
                <w:rFonts w:cs="Arial"/>
                <w:color w:val="000000"/>
              </w:rPr>
              <w:t>3.10 Model structure</w:t>
            </w:r>
          </w:p>
        </w:tc>
        <w:tc>
          <w:tcPr>
            <w:tcW w:w="5243" w:type="dxa"/>
            <w:tcBorders>
              <w:top w:val="single" w:sz="4" w:space="0" w:color="auto"/>
              <w:left w:val="single" w:sz="4" w:space="0" w:color="auto"/>
              <w:bottom w:val="single" w:sz="4" w:space="0" w:color="auto"/>
              <w:right w:val="nil"/>
            </w:tcBorders>
            <w:shd w:val="clear" w:color="auto" w:fill="auto"/>
          </w:tcPr>
          <w:p w14:paraId="4848B7AF" w14:textId="2167ECCC" w:rsidR="00805008" w:rsidRPr="00A07AE3" w:rsidRDefault="00805008" w:rsidP="00A07AE3">
            <w:pPr>
              <w:pStyle w:val="Paragraph"/>
              <w:spacing w:line="240" w:lineRule="auto"/>
              <w:rPr>
                <w:lang w:eastAsia="en-GB"/>
              </w:rPr>
            </w:pPr>
            <w:r w:rsidRPr="00A07AE3">
              <w:rPr>
                <w:rFonts w:cs="Arial"/>
                <w:color w:val="000000"/>
              </w:rPr>
              <w:t xml:space="preserve">These were iodine, copper, chitosan, silver, honey and PHMB. </w:t>
            </w:r>
            <w:r w:rsidRPr="00A07AE3">
              <w:rPr>
                <w:rFonts w:cs="Arial"/>
                <w:color w:val="000000"/>
              </w:rPr>
              <w:br/>
              <w:t>There was not enough evidence to include copper dressings in this analysis. The analysis relied on healing data for copper from Treadwell, 2022, a conference poster that includes non-infected and infected wounds of various locations and aetiologies. Section 4.3 of the EAG report makes clear that studies including non-infected wounds where evidence is limited, such as conference abstracts, should be excluded.</w:t>
            </w:r>
          </w:p>
        </w:tc>
        <w:tc>
          <w:tcPr>
            <w:tcW w:w="3658" w:type="dxa"/>
          </w:tcPr>
          <w:p w14:paraId="28BB8C04" w14:textId="002B5EB8" w:rsidR="00805008" w:rsidRPr="00A07AE3" w:rsidRDefault="005113BC" w:rsidP="00A07AE3">
            <w:pPr>
              <w:pStyle w:val="Paragraph"/>
              <w:spacing w:line="240" w:lineRule="auto"/>
              <w:rPr>
                <w:lang w:eastAsia="en-GB"/>
              </w:rPr>
            </w:pPr>
            <w:r w:rsidRPr="00A07AE3">
              <w:rPr>
                <w:lang w:eastAsia="en-GB"/>
              </w:rPr>
              <w:t>Thank you for your comment, see response to comment 138.</w:t>
            </w:r>
          </w:p>
        </w:tc>
      </w:tr>
      <w:tr w:rsidR="00805008" w14:paraId="5F55B460" w14:textId="77777777" w:rsidTr="0076272F">
        <w:tc>
          <w:tcPr>
            <w:tcW w:w="1323" w:type="dxa"/>
          </w:tcPr>
          <w:p w14:paraId="53846399"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18EDCD2F" w14:textId="2AF4137F" w:rsidR="00805008" w:rsidRPr="00A07AE3" w:rsidRDefault="00805008" w:rsidP="00A07AE3">
            <w:pPr>
              <w:pStyle w:val="Paragraph"/>
              <w:spacing w:line="240" w:lineRule="auto"/>
              <w:rPr>
                <w:lang w:eastAsia="en-GB"/>
              </w:rPr>
            </w:pPr>
            <w:r w:rsidRPr="00A07AE3">
              <w:rPr>
                <w:rFonts w:cs="Arial"/>
                <w:color w:val="000000"/>
              </w:rPr>
              <w:t>Consultee 11</w:t>
            </w:r>
            <w:r w:rsidRPr="00A07AE3">
              <w:rPr>
                <w:rFonts w:cs="Arial"/>
                <w:color w:val="000000"/>
              </w:rPr>
              <w:br/>
            </w:r>
            <w:proofErr w:type="spellStart"/>
            <w:r w:rsidRPr="00A07AE3">
              <w:rPr>
                <w:rFonts w:cs="Arial"/>
                <w:color w:val="000000"/>
              </w:rPr>
              <w:t>Convatec</w:t>
            </w:r>
            <w:proofErr w:type="spellEnd"/>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75E54D6D" w14:textId="709CAA41" w:rsidR="00805008" w:rsidRPr="00A07AE3" w:rsidRDefault="00805008" w:rsidP="00A07AE3">
            <w:pPr>
              <w:pStyle w:val="Paragraph"/>
              <w:spacing w:line="240" w:lineRule="auto"/>
              <w:rPr>
                <w:lang w:eastAsia="en-GB"/>
              </w:rPr>
            </w:pPr>
            <w:r w:rsidRPr="00A07AE3">
              <w:rPr>
                <w:rFonts w:cs="Arial"/>
                <w:color w:val="000000"/>
              </w:rPr>
              <w:t>3.10 Model structure</w:t>
            </w:r>
          </w:p>
        </w:tc>
        <w:tc>
          <w:tcPr>
            <w:tcW w:w="5243" w:type="dxa"/>
            <w:tcBorders>
              <w:top w:val="single" w:sz="4" w:space="0" w:color="auto"/>
              <w:left w:val="single" w:sz="4" w:space="0" w:color="auto"/>
              <w:bottom w:val="single" w:sz="4" w:space="0" w:color="auto"/>
              <w:right w:val="nil"/>
            </w:tcBorders>
            <w:shd w:val="clear" w:color="auto" w:fill="auto"/>
          </w:tcPr>
          <w:p w14:paraId="78D84821" w14:textId="453C6584" w:rsidR="00805008" w:rsidRPr="00A07AE3" w:rsidRDefault="00805008" w:rsidP="00A07AE3">
            <w:pPr>
              <w:pStyle w:val="Paragraph"/>
              <w:spacing w:line="240" w:lineRule="auto"/>
              <w:rPr>
                <w:lang w:eastAsia="en-GB"/>
              </w:rPr>
            </w:pPr>
            <w:r w:rsidRPr="00A07AE3">
              <w:rPr>
                <w:rFonts w:cs="Arial"/>
                <w:color w:val="000000"/>
              </w:rPr>
              <w:t>There was not enough evidence to include copper dressings in this analysis.</w:t>
            </w:r>
            <w:r w:rsidRPr="00A07AE3">
              <w:rPr>
                <w:rFonts w:cs="Arial"/>
                <w:color w:val="000000"/>
              </w:rPr>
              <w:br/>
            </w:r>
            <w:r w:rsidRPr="00A07AE3">
              <w:rPr>
                <w:rFonts w:cs="Arial"/>
                <w:color w:val="000000"/>
              </w:rPr>
              <w:br/>
              <w:t>The analysis relied on healing data for copper from Treadwell, 2022, a conference poster that includes non-infected and infected wounds of various locations and aetiologies. Section 4.3 of the EAG report makes clear that studies including non-infected wounds where evidence is limited, such as conference abstracts, should be excluded.</w:t>
            </w:r>
          </w:p>
        </w:tc>
        <w:tc>
          <w:tcPr>
            <w:tcW w:w="3658" w:type="dxa"/>
          </w:tcPr>
          <w:p w14:paraId="1C540BCF" w14:textId="142B46DA" w:rsidR="00805008" w:rsidRPr="00A07AE3" w:rsidRDefault="005113BC" w:rsidP="00A07AE3">
            <w:pPr>
              <w:pStyle w:val="Paragraph"/>
              <w:spacing w:line="240" w:lineRule="auto"/>
              <w:rPr>
                <w:lang w:eastAsia="en-GB"/>
              </w:rPr>
            </w:pPr>
            <w:r w:rsidRPr="00A07AE3">
              <w:rPr>
                <w:lang w:eastAsia="en-GB"/>
              </w:rPr>
              <w:t>Thank you for your comment, see response to comment 138.</w:t>
            </w:r>
          </w:p>
        </w:tc>
      </w:tr>
      <w:tr w:rsidR="00805008" w14:paraId="33513B70" w14:textId="77777777" w:rsidTr="0076272F">
        <w:tc>
          <w:tcPr>
            <w:tcW w:w="1323" w:type="dxa"/>
          </w:tcPr>
          <w:p w14:paraId="75F5BF35" w14:textId="77777777" w:rsidR="00805008" w:rsidRPr="00A07AE3" w:rsidRDefault="00805008"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6FB54984" w14:textId="390F53FE" w:rsidR="00805008" w:rsidRPr="00A07AE3" w:rsidRDefault="00805008" w:rsidP="00A07AE3">
            <w:pPr>
              <w:pStyle w:val="Paragraph"/>
              <w:spacing w:line="240" w:lineRule="auto"/>
              <w:rPr>
                <w:lang w:eastAsia="en-GB"/>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18D23123" w14:textId="1C16055A" w:rsidR="00805008" w:rsidRPr="00A07AE3" w:rsidRDefault="00805008" w:rsidP="00A07AE3">
            <w:pPr>
              <w:pStyle w:val="Paragraph"/>
              <w:spacing w:line="240" w:lineRule="auto"/>
              <w:rPr>
                <w:lang w:eastAsia="en-GB"/>
              </w:rPr>
            </w:pPr>
            <w:r w:rsidRPr="00A07AE3">
              <w:rPr>
                <w:rFonts w:cs="Arial"/>
                <w:color w:val="000000"/>
              </w:rPr>
              <w:t>3.8 Key evidence is limited</w:t>
            </w:r>
          </w:p>
        </w:tc>
        <w:tc>
          <w:tcPr>
            <w:tcW w:w="5243" w:type="dxa"/>
            <w:tcBorders>
              <w:top w:val="single" w:sz="4" w:space="0" w:color="auto"/>
              <w:left w:val="single" w:sz="4" w:space="0" w:color="auto"/>
              <w:bottom w:val="single" w:sz="4" w:space="0" w:color="auto"/>
              <w:right w:val="nil"/>
            </w:tcBorders>
            <w:shd w:val="clear" w:color="auto" w:fill="auto"/>
          </w:tcPr>
          <w:p w14:paraId="52B3B9A5" w14:textId="13D80B84" w:rsidR="00805008" w:rsidRPr="00A07AE3" w:rsidRDefault="00805008" w:rsidP="00A07AE3">
            <w:pPr>
              <w:pStyle w:val="Paragraph"/>
              <w:spacing w:line="240" w:lineRule="auto"/>
              <w:rPr>
                <w:lang w:eastAsia="en-GB"/>
              </w:rPr>
            </w:pPr>
            <w:r w:rsidRPr="00A07AE3">
              <w:rPr>
                <w:rFonts w:cs="Arial"/>
                <w:color w:val="000000"/>
              </w:rPr>
              <w:t xml:space="preserve">Section </w:t>
            </w:r>
            <w:proofErr w:type="gramStart"/>
            <w:r w:rsidRPr="00A07AE3">
              <w:rPr>
                <w:rFonts w:cs="Arial"/>
                <w:color w:val="000000"/>
              </w:rPr>
              <w:t>3.7  -</w:t>
            </w:r>
            <w:proofErr w:type="gramEnd"/>
            <w:r w:rsidRPr="00A07AE3">
              <w:rPr>
                <w:rFonts w:cs="Arial"/>
                <w:color w:val="000000"/>
              </w:rPr>
              <w:t xml:space="preserve"> consideration of evidence from infected wounds that were not VLU </w:t>
            </w:r>
            <w:proofErr w:type="gramStart"/>
            <w:r w:rsidRPr="00A07AE3">
              <w:rPr>
                <w:rFonts w:cs="Arial"/>
                <w:color w:val="000000"/>
              </w:rPr>
              <w:t>and also</w:t>
            </w:r>
            <w:proofErr w:type="gramEnd"/>
            <w:r w:rsidRPr="00A07AE3">
              <w:rPr>
                <w:rFonts w:cs="Arial"/>
                <w:color w:val="000000"/>
              </w:rPr>
              <w:t xml:space="preserve"> non-infected wounds - This causes bias to AMDs that have limited evidence and </w:t>
            </w:r>
            <w:r w:rsidRPr="00A07AE3">
              <w:rPr>
                <w:rFonts w:cs="Arial"/>
                <w:color w:val="000000"/>
              </w:rPr>
              <w:lastRenderedPageBreak/>
              <w:t>increases the already high heterogeneity of the analysis.</w:t>
            </w:r>
          </w:p>
        </w:tc>
        <w:tc>
          <w:tcPr>
            <w:tcW w:w="3658" w:type="dxa"/>
          </w:tcPr>
          <w:p w14:paraId="53E5D60B" w14:textId="35FAB7EE" w:rsidR="00805008" w:rsidRPr="00A07AE3" w:rsidRDefault="000435BA" w:rsidP="00A07AE3">
            <w:pPr>
              <w:pStyle w:val="Paragraph"/>
              <w:spacing w:line="240" w:lineRule="auto"/>
              <w:rPr>
                <w:lang w:eastAsia="en-GB"/>
              </w:rPr>
            </w:pPr>
            <w:r w:rsidRPr="00A07AE3">
              <w:rPr>
                <w:lang w:eastAsia="en-GB"/>
              </w:rPr>
              <w:lastRenderedPageBreak/>
              <w:t>Thank you for your comment, please see response to comment 134.</w:t>
            </w:r>
          </w:p>
        </w:tc>
      </w:tr>
      <w:tr w:rsidR="00BA2743" w14:paraId="1AF02F30" w14:textId="77777777" w:rsidTr="0076272F">
        <w:tc>
          <w:tcPr>
            <w:tcW w:w="1323" w:type="dxa"/>
          </w:tcPr>
          <w:p w14:paraId="6EF11939" w14:textId="77777777" w:rsidR="00BA2743" w:rsidRPr="00A07AE3" w:rsidRDefault="00BA2743" w:rsidP="00A07AE3">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32618C6E" w14:textId="55304C2C" w:rsidR="00BA2743" w:rsidRPr="00A07AE3" w:rsidRDefault="00BA2743" w:rsidP="00A07AE3">
            <w:pPr>
              <w:pStyle w:val="Paragraph"/>
              <w:spacing w:line="240" w:lineRule="auto"/>
              <w:rPr>
                <w:rFonts w:cs="Arial"/>
                <w:color w:val="000000"/>
              </w:rPr>
            </w:pPr>
            <w:r w:rsidRPr="00A07AE3">
              <w:rPr>
                <w:rFonts w:cs="Arial"/>
                <w:color w:val="000000"/>
              </w:rPr>
              <w:t>Consultee 15</w:t>
            </w:r>
            <w:r w:rsidRPr="00A07AE3">
              <w:rPr>
                <w:rFonts w:cs="Arial"/>
                <w:color w:val="000000"/>
              </w:rPr>
              <w:br/>
            </w:r>
            <w:proofErr w:type="spellStart"/>
            <w:r w:rsidRPr="00A07AE3">
              <w:rPr>
                <w:rFonts w:cs="Arial"/>
                <w:color w:val="000000"/>
              </w:rPr>
              <w:t>T.J.Smith</w:t>
            </w:r>
            <w:proofErr w:type="spellEnd"/>
            <w:r w:rsidRPr="00A07AE3">
              <w:rPr>
                <w:rFonts w:cs="Arial"/>
                <w:color w:val="000000"/>
              </w:rPr>
              <w:t xml:space="preserve"> and Nephew Ltd</w:t>
            </w:r>
          </w:p>
        </w:tc>
        <w:tc>
          <w:tcPr>
            <w:tcW w:w="2035" w:type="dxa"/>
            <w:tcBorders>
              <w:top w:val="single" w:sz="4" w:space="0" w:color="auto"/>
              <w:left w:val="single" w:sz="4" w:space="0" w:color="auto"/>
              <w:bottom w:val="single" w:sz="4" w:space="0" w:color="auto"/>
              <w:right w:val="single" w:sz="4" w:space="0" w:color="auto"/>
            </w:tcBorders>
            <w:shd w:val="clear" w:color="auto" w:fill="auto"/>
          </w:tcPr>
          <w:p w14:paraId="63552104" w14:textId="38E721AE" w:rsidR="00BA2743" w:rsidRPr="00A07AE3" w:rsidRDefault="00BA2743" w:rsidP="00A07AE3">
            <w:pPr>
              <w:pStyle w:val="Paragraph"/>
              <w:spacing w:line="240" w:lineRule="auto"/>
              <w:rPr>
                <w:rFonts w:cs="Arial"/>
                <w:color w:val="000000"/>
              </w:rPr>
            </w:pPr>
            <w:r w:rsidRPr="00A07AE3">
              <w:rPr>
                <w:rFonts w:cs="Arial"/>
                <w:color w:val="000000"/>
              </w:rPr>
              <w:t>EAR</w:t>
            </w:r>
          </w:p>
        </w:tc>
        <w:tc>
          <w:tcPr>
            <w:tcW w:w="5243" w:type="dxa"/>
            <w:tcBorders>
              <w:top w:val="single" w:sz="4" w:space="0" w:color="auto"/>
              <w:left w:val="single" w:sz="4" w:space="0" w:color="auto"/>
              <w:bottom w:val="single" w:sz="4" w:space="0" w:color="auto"/>
              <w:right w:val="nil"/>
            </w:tcBorders>
            <w:shd w:val="clear" w:color="auto" w:fill="auto"/>
          </w:tcPr>
          <w:p w14:paraId="53E0741D" w14:textId="1603E70E" w:rsidR="00BA2743" w:rsidRPr="00A07AE3" w:rsidRDefault="00BA2743" w:rsidP="00A07AE3">
            <w:pPr>
              <w:pStyle w:val="Paragraph"/>
              <w:spacing w:line="240" w:lineRule="auto"/>
              <w:rPr>
                <w:rFonts w:cs="Arial"/>
                <w:color w:val="000000"/>
              </w:rPr>
            </w:pPr>
            <w:r w:rsidRPr="00A07AE3">
              <w:rPr>
                <w:rFonts w:cs="Arial"/>
                <w:color w:val="000000"/>
              </w:rPr>
              <w:t xml:space="preserve">“13 studies were included because evidence fully meeting the scope was lacking for some AMDs”  </w:t>
            </w:r>
            <w:r w:rsidRPr="00A07AE3">
              <w:rPr>
                <w:rFonts w:cs="Arial"/>
                <w:color w:val="000000"/>
              </w:rPr>
              <w:br/>
              <w:t>This creates an imbalance in the review – surely the broader literature should be assessed for all agents/ dressings included or those dressings that do not have supportive evidence in this indication be removed from the assessment?</w:t>
            </w:r>
          </w:p>
        </w:tc>
        <w:tc>
          <w:tcPr>
            <w:tcW w:w="3658" w:type="dxa"/>
          </w:tcPr>
          <w:p w14:paraId="64D35852" w14:textId="4C53FC8D" w:rsidR="00BA2743" w:rsidRPr="00A07AE3" w:rsidRDefault="000435BA" w:rsidP="00A07AE3">
            <w:pPr>
              <w:pStyle w:val="Paragraph"/>
              <w:spacing w:line="240" w:lineRule="auto"/>
              <w:rPr>
                <w:lang w:eastAsia="en-GB"/>
              </w:rPr>
            </w:pPr>
            <w:r w:rsidRPr="00A07AE3">
              <w:rPr>
                <w:lang w:eastAsia="en-GB"/>
              </w:rPr>
              <w:t xml:space="preserve">Thank you for your comment. </w:t>
            </w:r>
            <w:r w:rsidR="002B3F40" w:rsidRPr="00A07AE3">
              <w:rPr>
                <w:lang w:eastAsia="en-GB"/>
              </w:rPr>
              <w:t>Please see response to comment 134.</w:t>
            </w:r>
            <w:r w:rsidR="004234AB" w:rsidRPr="00A07AE3">
              <w:rPr>
                <w:lang w:eastAsia="en-GB"/>
              </w:rPr>
              <w:t xml:space="preserve"> </w:t>
            </w:r>
          </w:p>
        </w:tc>
      </w:tr>
    </w:tbl>
    <w:p w14:paraId="1602B644" w14:textId="77777777" w:rsidR="0076272F" w:rsidRDefault="0076272F" w:rsidP="0076272F">
      <w:pPr>
        <w:pStyle w:val="Heading1"/>
        <w:spacing w:line="240" w:lineRule="auto"/>
      </w:pPr>
      <w:r>
        <w:t>Table 21: clinical review, evidence included or excluded</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6"/>
        <w:gridCol w:w="2025"/>
        <w:gridCol w:w="5259"/>
        <w:gridCol w:w="3655"/>
      </w:tblGrid>
      <w:tr w:rsidR="003F4BC4" w14:paraId="50155F9D" w14:textId="77777777" w:rsidTr="00EC5D14">
        <w:tc>
          <w:tcPr>
            <w:tcW w:w="1323" w:type="dxa"/>
            <w:shd w:val="clear" w:color="auto" w:fill="D9D9D9" w:themeFill="background1" w:themeFillShade="D9"/>
          </w:tcPr>
          <w:p w14:paraId="756B02D4" w14:textId="1EC964FC" w:rsidR="003F4BC4" w:rsidRPr="00B97D77" w:rsidRDefault="003F4BC4" w:rsidP="00B97D77">
            <w:pPr>
              <w:pStyle w:val="Paragraph"/>
              <w:spacing w:line="240" w:lineRule="auto"/>
              <w:rPr>
                <w:lang w:eastAsia="en-GB"/>
              </w:rPr>
            </w:pPr>
            <w:r w:rsidRPr="00B97D77">
              <w:rPr>
                <w:b/>
                <w:bCs/>
                <w:lang w:eastAsia="en-GB"/>
              </w:rPr>
              <w:t>Comment no.</w:t>
            </w:r>
          </w:p>
        </w:tc>
        <w:tc>
          <w:tcPr>
            <w:tcW w:w="1686" w:type="dxa"/>
            <w:tcBorders>
              <w:top w:val="single" w:sz="4" w:space="0" w:color="auto"/>
              <w:left w:val="nil"/>
              <w:bottom w:val="single" w:sz="4" w:space="0" w:color="auto"/>
              <w:right w:val="single" w:sz="4" w:space="0" w:color="auto"/>
            </w:tcBorders>
            <w:shd w:val="clear" w:color="auto" w:fill="D9D9D9" w:themeFill="background1" w:themeFillShade="D9"/>
          </w:tcPr>
          <w:p w14:paraId="25586332" w14:textId="2F33EACB" w:rsidR="003F4BC4" w:rsidRPr="00B97D77" w:rsidRDefault="003F4BC4" w:rsidP="00B97D77">
            <w:pPr>
              <w:pStyle w:val="Paragraph"/>
              <w:spacing w:line="240" w:lineRule="auto"/>
              <w:rPr>
                <w:rFonts w:cs="Arial"/>
                <w:color w:val="000000"/>
              </w:rPr>
            </w:pPr>
            <w:r w:rsidRPr="00B97D77">
              <w:rPr>
                <w:b/>
                <w:bCs/>
                <w:lang w:eastAsia="en-GB"/>
              </w:rPr>
              <w:t>Consultee</w:t>
            </w: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24975" w14:textId="75C34004" w:rsidR="003F4BC4" w:rsidRPr="00B97D77" w:rsidRDefault="003F4BC4" w:rsidP="00B97D77">
            <w:pPr>
              <w:pStyle w:val="Paragraph"/>
              <w:spacing w:line="240" w:lineRule="auto"/>
              <w:rPr>
                <w:rFonts w:cs="Arial"/>
                <w:color w:val="000000"/>
              </w:rPr>
            </w:pPr>
            <w:r w:rsidRPr="00B97D77">
              <w:rPr>
                <w:b/>
                <w:bCs/>
                <w:lang w:eastAsia="en-GB"/>
              </w:rPr>
              <w:t>Section no.</w:t>
            </w:r>
          </w:p>
        </w:tc>
        <w:tc>
          <w:tcPr>
            <w:tcW w:w="5259" w:type="dxa"/>
            <w:tcBorders>
              <w:top w:val="single" w:sz="4" w:space="0" w:color="auto"/>
              <w:left w:val="single" w:sz="4" w:space="0" w:color="auto"/>
              <w:bottom w:val="single" w:sz="4" w:space="0" w:color="auto"/>
              <w:right w:val="nil"/>
            </w:tcBorders>
            <w:shd w:val="clear" w:color="auto" w:fill="D9D9D9" w:themeFill="background1" w:themeFillShade="D9"/>
          </w:tcPr>
          <w:p w14:paraId="6628F49A" w14:textId="5E7BC439" w:rsidR="003F4BC4" w:rsidRPr="00B97D77" w:rsidRDefault="003F4BC4" w:rsidP="00B97D77">
            <w:pPr>
              <w:pStyle w:val="Paragraph"/>
              <w:spacing w:line="240" w:lineRule="auto"/>
              <w:rPr>
                <w:rFonts w:cs="Arial"/>
                <w:color w:val="000000"/>
              </w:rPr>
            </w:pPr>
            <w:r w:rsidRPr="00B97D77">
              <w:rPr>
                <w:b/>
                <w:bCs/>
                <w:lang w:eastAsia="en-GB"/>
              </w:rPr>
              <w:t>Comment</w:t>
            </w:r>
          </w:p>
        </w:tc>
        <w:tc>
          <w:tcPr>
            <w:tcW w:w="3655" w:type="dxa"/>
            <w:shd w:val="clear" w:color="auto" w:fill="D9D9D9" w:themeFill="background1" w:themeFillShade="D9"/>
          </w:tcPr>
          <w:p w14:paraId="4C3CB5C0" w14:textId="4D23B8C4" w:rsidR="003F4BC4" w:rsidRPr="00B97D77" w:rsidRDefault="003F4BC4" w:rsidP="00B97D77">
            <w:pPr>
              <w:pStyle w:val="Paragraph"/>
              <w:spacing w:line="240" w:lineRule="auto"/>
              <w:rPr>
                <w:lang w:eastAsia="en-GB"/>
              </w:rPr>
            </w:pPr>
            <w:r w:rsidRPr="00B97D77">
              <w:rPr>
                <w:b/>
                <w:bCs/>
                <w:lang w:eastAsia="en-GB"/>
              </w:rPr>
              <w:t>Response</w:t>
            </w:r>
          </w:p>
        </w:tc>
      </w:tr>
      <w:tr w:rsidR="00494310" w14:paraId="7695ED33" w14:textId="77777777" w:rsidTr="00EC5D14">
        <w:tc>
          <w:tcPr>
            <w:tcW w:w="1323" w:type="dxa"/>
          </w:tcPr>
          <w:p w14:paraId="4E62108D" w14:textId="77777777" w:rsidR="00494310" w:rsidRPr="00B97D77" w:rsidRDefault="00494310"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2321DB66" w14:textId="2BD3744A" w:rsidR="00494310" w:rsidRPr="00B97D77" w:rsidRDefault="00494310" w:rsidP="00B97D77">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64EA9A4A" w14:textId="6A20FA45" w:rsidR="00494310" w:rsidRPr="00B97D77" w:rsidRDefault="00494310" w:rsidP="00B97D77">
            <w:pPr>
              <w:pStyle w:val="Paragraph"/>
              <w:spacing w:line="240" w:lineRule="auto"/>
              <w:rPr>
                <w:lang w:eastAsia="en-GB"/>
              </w:rPr>
            </w:pPr>
            <w:r w:rsidRPr="00B97D77">
              <w:rPr>
                <w:rFonts w:cs="Arial"/>
                <w:color w:val="000000"/>
              </w:rPr>
              <w:t>Not specified</w:t>
            </w:r>
          </w:p>
        </w:tc>
        <w:tc>
          <w:tcPr>
            <w:tcW w:w="5259" w:type="dxa"/>
            <w:tcBorders>
              <w:top w:val="single" w:sz="4" w:space="0" w:color="auto"/>
              <w:left w:val="single" w:sz="4" w:space="0" w:color="auto"/>
              <w:bottom w:val="single" w:sz="4" w:space="0" w:color="auto"/>
              <w:right w:val="nil"/>
            </w:tcBorders>
            <w:shd w:val="clear" w:color="auto" w:fill="auto"/>
          </w:tcPr>
          <w:p w14:paraId="172DF89B" w14:textId="0E2E1C89" w:rsidR="00494310" w:rsidRPr="00B97D77" w:rsidRDefault="00494310" w:rsidP="00B97D77">
            <w:pPr>
              <w:pStyle w:val="Paragraph"/>
              <w:spacing w:line="240" w:lineRule="auto"/>
              <w:rPr>
                <w:lang w:eastAsia="en-GB"/>
              </w:rPr>
            </w:pPr>
            <w:r w:rsidRPr="00B97D77">
              <w:rPr>
                <w:rFonts w:cs="Arial"/>
                <w:color w:val="000000"/>
              </w:rPr>
              <w:t xml:space="preserve">Large gaps in evidence base used as part of the EAG for example </w:t>
            </w:r>
            <w:proofErr w:type="spellStart"/>
            <w:r w:rsidRPr="00B97D77">
              <w:rPr>
                <w:rFonts w:cs="Arial"/>
                <w:color w:val="000000"/>
              </w:rPr>
              <w:t>Cadexomer</w:t>
            </w:r>
            <w:proofErr w:type="spellEnd"/>
            <w:r w:rsidRPr="00B97D77">
              <w:rPr>
                <w:rFonts w:cs="Arial"/>
                <w:color w:val="000000"/>
              </w:rPr>
              <w:t xml:space="preserve"> iodine has another 7 RCT's supporting various outcomes listed in the EAG </w:t>
            </w:r>
            <w:proofErr w:type="gramStart"/>
            <w:r w:rsidRPr="00B97D77">
              <w:rPr>
                <w:rFonts w:cs="Arial"/>
                <w:color w:val="000000"/>
              </w:rPr>
              <w:t>report  whereas</w:t>
            </w:r>
            <w:proofErr w:type="gramEnd"/>
            <w:r w:rsidRPr="00B97D77">
              <w:rPr>
                <w:rFonts w:cs="Arial"/>
                <w:color w:val="000000"/>
              </w:rPr>
              <w:t xml:space="preserve"> Nanocrystalline silver evidence supporting use in VLU has been missed</w:t>
            </w:r>
          </w:p>
        </w:tc>
        <w:tc>
          <w:tcPr>
            <w:tcW w:w="3655" w:type="dxa"/>
          </w:tcPr>
          <w:p w14:paraId="59A6FF1D" w14:textId="133CFDD5" w:rsidR="00494310" w:rsidRPr="00B97D77" w:rsidRDefault="006B56B5" w:rsidP="00B97D77">
            <w:pPr>
              <w:pStyle w:val="Paragraph"/>
              <w:spacing w:line="240" w:lineRule="auto"/>
              <w:rPr>
                <w:lang w:eastAsia="en-GB"/>
              </w:rPr>
            </w:pPr>
            <w:r w:rsidRPr="00B97D77">
              <w:rPr>
                <w:lang w:eastAsia="en-GB"/>
              </w:rPr>
              <w:t>Thank you for your comment</w:t>
            </w:r>
            <w:r w:rsidR="00C371CF" w:rsidRPr="00B97D77">
              <w:rPr>
                <w:lang w:eastAsia="en-GB"/>
              </w:rPr>
              <w:t xml:space="preserve">. Without the references for these RCTs it </w:t>
            </w:r>
            <w:r w:rsidR="00F72EFA" w:rsidRPr="00B97D77">
              <w:rPr>
                <w:lang w:eastAsia="en-GB"/>
              </w:rPr>
              <w:t>was</w:t>
            </w:r>
            <w:r w:rsidR="00C371CF" w:rsidRPr="00B97D77">
              <w:rPr>
                <w:lang w:eastAsia="en-GB"/>
              </w:rPr>
              <w:t xml:space="preserve"> not possible for </w:t>
            </w:r>
            <w:r w:rsidR="00F72EFA" w:rsidRPr="00B97D77">
              <w:rPr>
                <w:lang w:eastAsia="en-GB"/>
              </w:rPr>
              <w:t xml:space="preserve">the EAG </w:t>
            </w:r>
            <w:r w:rsidR="00C371CF" w:rsidRPr="00B97D77">
              <w:rPr>
                <w:lang w:eastAsia="en-GB"/>
              </w:rPr>
              <w:t xml:space="preserve">to assess whether they were identified and </w:t>
            </w:r>
            <w:proofErr w:type="gramStart"/>
            <w:r w:rsidR="00C371CF" w:rsidRPr="00B97D77">
              <w:rPr>
                <w:lang w:eastAsia="en-GB"/>
              </w:rPr>
              <w:t>excluded</w:t>
            </w:r>
            <w:r w:rsidR="00D75D44" w:rsidRPr="00B97D77">
              <w:rPr>
                <w:lang w:eastAsia="en-GB"/>
              </w:rPr>
              <w:t>,</w:t>
            </w:r>
            <w:r w:rsidR="00C371CF" w:rsidRPr="00B97D77">
              <w:rPr>
                <w:lang w:eastAsia="en-GB"/>
              </w:rPr>
              <w:t xml:space="preserve"> or</w:t>
            </w:r>
            <w:proofErr w:type="gramEnd"/>
            <w:r w:rsidR="00C371CF" w:rsidRPr="00B97D77">
              <w:rPr>
                <w:lang w:eastAsia="en-GB"/>
              </w:rPr>
              <w:t xml:space="preserve"> were not found by the literature searches.</w:t>
            </w:r>
            <w:r w:rsidR="00D75D44" w:rsidRPr="00B97D77">
              <w:rPr>
                <w:lang w:eastAsia="en-GB"/>
              </w:rPr>
              <w:t xml:space="preserve"> </w:t>
            </w:r>
            <w:r w:rsidR="0053493C" w:rsidRPr="00B97D77">
              <w:rPr>
                <w:lang w:eastAsia="en-GB"/>
              </w:rPr>
              <w:t xml:space="preserve">However, </w:t>
            </w:r>
            <w:r w:rsidR="007D3C66" w:rsidRPr="00B97D77">
              <w:rPr>
                <w:lang w:eastAsia="en-GB"/>
              </w:rPr>
              <w:t>p</w:t>
            </w:r>
            <w:r w:rsidR="00D75D44" w:rsidRPr="00B97D77">
              <w:rPr>
                <w:lang w:eastAsia="en-GB"/>
              </w:rPr>
              <w:t xml:space="preserve">lease see comment 148 </w:t>
            </w:r>
            <w:r w:rsidR="007D3C66" w:rsidRPr="00B97D77">
              <w:rPr>
                <w:lang w:eastAsia="en-GB"/>
              </w:rPr>
              <w:t xml:space="preserve">for a </w:t>
            </w:r>
            <w:proofErr w:type="gramStart"/>
            <w:r w:rsidR="007D3C66" w:rsidRPr="00B97D77">
              <w:rPr>
                <w:lang w:eastAsia="en-GB"/>
              </w:rPr>
              <w:t xml:space="preserve">list </w:t>
            </w:r>
            <w:r w:rsidR="00D75D44" w:rsidRPr="00B97D77">
              <w:rPr>
                <w:lang w:eastAsia="en-GB"/>
              </w:rPr>
              <w:t>reasons</w:t>
            </w:r>
            <w:proofErr w:type="gramEnd"/>
            <w:r w:rsidR="00D75D44" w:rsidRPr="00B97D77">
              <w:rPr>
                <w:lang w:eastAsia="en-GB"/>
              </w:rPr>
              <w:t xml:space="preserve"> for excluding 7 RCTs evaluating </w:t>
            </w:r>
            <w:proofErr w:type="spellStart"/>
            <w:r w:rsidR="00D75D44" w:rsidRPr="00B97D77">
              <w:rPr>
                <w:lang w:eastAsia="en-GB"/>
              </w:rPr>
              <w:t>cadexomer</w:t>
            </w:r>
            <w:proofErr w:type="spellEnd"/>
            <w:r w:rsidR="00D75D44" w:rsidRPr="00B97D77">
              <w:rPr>
                <w:lang w:eastAsia="en-GB"/>
              </w:rPr>
              <w:t xml:space="preserve"> iodine.</w:t>
            </w:r>
          </w:p>
        </w:tc>
      </w:tr>
      <w:tr w:rsidR="00494310" w14:paraId="3FC5DFF1" w14:textId="77777777" w:rsidTr="00EC5D14">
        <w:tc>
          <w:tcPr>
            <w:tcW w:w="1323" w:type="dxa"/>
          </w:tcPr>
          <w:p w14:paraId="70B9AC6B" w14:textId="77777777" w:rsidR="00494310" w:rsidRPr="00B97D77" w:rsidRDefault="00494310"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1E187E7B" w14:textId="1A0963BA" w:rsidR="00494310" w:rsidRPr="00B97D77" w:rsidRDefault="00494310" w:rsidP="00B97D77">
            <w:pPr>
              <w:pStyle w:val="Paragraph"/>
              <w:spacing w:line="240" w:lineRule="auto"/>
              <w:rPr>
                <w:lang w:eastAsia="en-GB"/>
              </w:rPr>
            </w:pPr>
            <w:r w:rsidRPr="00B97D77">
              <w:rPr>
                <w:rFonts w:cs="Arial"/>
                <w:color w:val="000000"/>
              </w:rPr>
              <w:t>Consultee 4</w:t>
            </w:r>
            <w:r w:rsidRPr="00B97D77">
              <w:rPr>
                <w:rFonts w:cs="Arial"/>
                <w:color w:val="000000"/>
              </w:rPr>
              <w:br/>
              <w:t>Coloplast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2CB90708" w14:textId="754393A2" w:rsidR="00494310" w:rsidRPr="00B97D77" w:rsidRDefault="00494310" w:rsidP="00B97D77">
            <w:pPr>
              <w:pStyle w:val="Paragraph"/>
              <w:spacing w:line="240" w:lineRule="auto"/>
              <w:rPr>
                <w:lang w:eastAsia="en-GB"/>
              </w:rPr>
            </w:pPr>
            <w:r w:rsidRPr="00B97D77">
              <w:rPr>
                <w:rFonts w:cs="Arial"/>
                <w:color w:val="000000"/>
              </w:rPr>
              <w:t>3.8 Key evidence is limited</w:t>
            </w:r>
          </w:p>
        </w:tc>
        <w:tc>
          <w:tcPr>
            <w:tcW w:w="5259" w:type="dxa"/>
            <w:tcBorders>
              <w:top w:val="single" w:sz="4" w:space="0" w:color="auto"/>
              <w:left w:val="single" w:sz="4" w:space="0" w:color="auto"/>
              <w:bottom w:val="single" w:sz="4" w:space="0" w:color="auto"/>
              <w:right w:val="nil"/>
            </w:tcBorders>
            <w:shd w:val="clear" w:color="auto" w:fill="auto"/>
          </w:tcPr>
          <w:p w14:paraId="514F8949" w14:textId="3C83AF7A" w:rsidR="00494310" w:rsidRPr="00B97D77" w:rsidRDefault="00494310" w:rsidP="00B97D77">
            <w:pPr>
              <w:pStyle w:val="Paragraph"/>
              <w:spacing w:line="240" w:lineRule="auto"/>
              <w:rPr>
                <w:lang w:eastAsia="en-GB"/>
              </w:rPr>
            </w:pPr>
            <w:r w:rsidRPr="00B97D77">
              <w:rPr>
                <w:rFonts w:cs="Arial"/>
                <w:color w:val="000000"/>
              </w:rPr>
              <w:t xml:space="preserve">Not </w:t>
            </w:r>
            <w:proofErr w:type="gramStart"/>
            <w:r w:rsidRPr="00B97D77">
              <w:rPr>
                <w:rFonts w:cs="Arial"/>
                <w:color w:val="000000"/>
              </w:rPr>
              <w:t>all of</w:t>
            </w:r>
            <w:proofErr w:type="gramEnd"/>
            <w:r w:rsidRPr="00B97D77">
              <w:rPr>
                <w:rFonts w:cs="Arial"/>
                <w:color w:val="000000"/>
              </w:rPr>
              <w:t xml:space="preserve"> the relevant evidence has been considered.</w:t>
            </w:r>
            <w:r w:rsidRPr="00B97D77">
              <w:rPr>
                <w:rFonts w:cs="Arial"/>
                <w:color w:val="000000"/>
              </w:rPr>
              <w:br/>
              <w:t>Only a small proportion of the sources judged by the EAG to have fully or partially met the decision problem were used to populate the economic model. Thirty-four studies fully or partially met the decision problem (section 4.2), but only seven were used to populate the model (Table 7.3). The rationale for the choice of these studies is not clear.</w:t>
            </w:r>
          </w:p>
        </w:tc>
        <w:tc>
          <w:tcPr>
            <w:tcW w:w="3655" w:type="dxa"/>
          </w:tcPr>
          <w:p w14:paraId="73528504" w14:textId="623868B7" w:rsidR="00494310" w:rsidRPr="00B97D77" w:rsidRDefault="00172685" w:rsidP="00B97D77">
            <w:pPr>
              <w:pStyle w:val="Paragraph"/>
              <w:spacing w:line="240" w:lineRule="auto"/>
              <w:rPr>
                <w:lang w:eastAsia="en-GB"/>
              </w:rPr>
            </w:pPr>
            <w:r w:rsidRPr="00B97D77">
              <w:rPr>
                <w:lang w:eastAsia="en-GB"/>
              </w:rPr>
              <w:t>Thank you for your comment</w:t>
            </w:r>
            <w:r w:rsidR="009E64F3" w:rsidRPr="00B97D77">
              <w:rPr>
                <w:lang w:eastAsia="en-GB"/>
              </w:rPr>
              <w:t>. Please</w:t>
            </w:r>
            <w:r w:rsidRPr="00B97D77">
              <w:rPr>
                <w:lang w:eastAsia="en-GB"/>
              </w:rPr>
              <w:t xml:space="preserve"> </w:t>
            </w:r>
            <w:r w:rsidR="00D8458E" w:rsidRPr="00B97D77">
              <w:rPr>
                <w:lang w:eastAsia="en-GB"/>
              </w:rPr>
              <w:t>see response to comment 116.</w:t>
            </w:r>
          </w:p>
        </w:tc>
      </w:tr>
      <w:tr w:rsidR="00494310" w14:paraId="3D801C91" w14:textId="77777777" w:rsidTr="00EC5D14">
        <w:tc>
          <w:tcPr>
            <w:tcW w:w="1323" w:type="dxa"/>
          </w:tcPr>
          <w:p w14:paraId="252CF333" w14:textId="77777777" w:rsidR="00494310" w:rsidRPr="00B97D77" w:rsidRDefault="00494310"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487AAC6A" w14:textId="22EFBE74" w:rsidR="00494310" w:rsidRPr="00B97D77" w:rsidRDefault="00494310" w:rsidP="00B97D77">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253543E3" w14:textId="626A2787" w:rsidR="00494310" w:rsidRPr="00B97D77" w:rsidRDefault="00494310" w:rsidP="00B97D77">
            <w:pPr>
              <w:pStyle w:val="Paragraph"/>
              <w:spacing w:line="240" w:lineRule="auto"/>
              <w:rPr>
                <w:lang w:eastAsia="en-GB"/>
              </w:rPr>
            </w:pPr>
            <w:r w:rsidRPr="00B97D77">
              <w:rPr>
                <w:rFonts w:cs="Arial"/>
                <w:color w:val="000000"/>
              </w:rPr>
              <w:t>3.8 Key evidence is limited</w:t>
            </w:r>
          </w:p>
        </w:tc>
        <w:tc>
          <w:tcPr>
            <w:tcW w:w="5259" w:type="dxa"/>
            <w:tcBorders>
              <w:top w:val="single" w:sz="4" w:space="0" w:color="auto"/>
              <w:left w:val="single" w:sz="4" w:space="0" w:color="auto"/>
              <w:bottom w:val="single" w:sz="4" w:space="0" w:color="auto"/>
              <w:right w:val="nil"/>
            </w:tcBorders>
            <w:shd w:val="clear" w:color="auto" w:fill="auto"/>
          </w:tcPr>
          <w:p w14:paraId="077A2C17" w14:textId="1D7B5983" w:rsidR="00494310" w:rsidRPr="00B97D77" w:rsidRDefault="00494310" w:rsidP="00B97D77">
            <w:pPr>
              <w:pStyle w:val="Paragraph"/>
              <w:spacing w:line="240" w:lineRule="auto"/>
              <w:rPr>
                <w:lang w:eastAsia="en-GB"/>
              </w:rPr>
            </w:pPr>
            <w:r w:rsidRPr="00B97D77">
              <w:rPr>
                <w:rFonts w:cs="Arial"/>
                <w:color w:val="000000"/>
              </w:rPr>
              <w:t>If there was still no evidence for the agent, the EAG included studies in people with leg ulcers that were not infected or where the infection status was unclear. Section 4.3 of the EAG report makes clear that this should exclude studies where evidence is limited, such as conference abstracts.</w:t>
            </w:r>
            <w:r w:rsidRPr="00B97D77">
              <w:rPr>
                <w:rFonts w:cs="Arial"/>
                <w:color w:val="000000"/>
              </w:rPr>
              <w:br/>
            </w:r>
            <w:r w:rsidRPr="00B97D77">
              <w:rPr>
                <w:rFonts w:cs="Arial"/>
                <w:color w:val="000000"/>
              </w:rPr>
              <w:br/>
              <w:t>By this methodology, Treadwell 2022 should be excluded.</w:t>
            </w:r>
          </w:p>
        </w:tc>
        <w:tc>
          <w:tcPr>
            <w:tcW w:w="3655" w:type="dxa"/>
          </w:tcPr>
          <w:p w14:paraId="74FA32E9" w14:textId="6951C538" w:rsidR="00494310" w:rsidRPr="00B97D77" w:rsidRDefault="0022545B" w:rsidP="00B97D77">
            <w:pPr>
              <w:pStyle w:val="Paragraph"/>
              <w:spacing w:line="240" w:lineRule="auto"/>
              <w:rPr>
                <w:lang w:eastAsia="en-GB"/>
              </w:rPr>
            </w:pPr>
            <w:r w:rsidRPr="00B97D77">
              <w:rPr>
                <w:lang w:eastAsia="en-GB"/>
              </w:rPr>
              <w:t>Thank you for your comment</w:t>
            </w:r>
            <w:r w:rsidR="005D3EDB" w:rsidRPr="00B97D77">
              <w:rPr>
                <w:lang w:eastAsia="en-GB"/>
              </w:rPr>
              <w:t xml:space="preserve">. Please </w:t>
            </w:r>
            <w:r w:rsidRPr="00B97D77">
              <w:rPr>
                <w:lang w:eastAsia="en-GB"/>
              </w:rPr>
              <w:t>see response to comment 138.</w:t>
            </w:r>
          </w:p>
        </w:tc>
      </w:tr>
      <w:tr w:rsidR="00494310" w14:paraId="1BC0D7A4" w14:textId="77777777" w:rsidTr="00EC5D14">
        <w:tc>
          <w:tcPr>
            <w:tcW w:w="1323" w:type="dxa"/>
          </w:tcPr>
          <w:p w14:paraId="76D4AD55" w14:textId="77777777" w:rsidR="00494310" w:rsidRPr="00B97D77" w:rsidRDefault="00494310"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580A7ABB" w14:textId="2025A68C" w:rsidR="00494310" w:rsidRPr="00B97D77" w:rsidRDefault="00494310" w:rsidP="00B97D77">
            <w:pPr>
              <w:pStyle w:val="Paragraph"/>
              <w:spacing w:line="240" w:lineRule="auto"/>
              <w:rPr>
                <w:lang w:eastAsia="en-GB"/>
              </w:rPr>
            </w:pPr>
            <w:r w:rsidRPr="00B97D77">
              <w:rPr>
                <w:rFonts w:cs="Arial"/>
                <w:color w:val="000000"/>
              </w:rPr>
              <w:t>Consultee 14</w:t>
            </w:r>
            <w:r w:rsidRPr="00B97D77">
              <w:rPr>
                <w:rFonts w:cs="Arial"/>
                <w:color w:val="000000"/>
              </w:rPr>
              <w:br/>
              <w:t>Essity</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251344A8" w14:textId="5F7305ED" w:rsidR="00494310" w:rsidRPr="00B97D77" w:rsidRDefault="00494310" w:rsidP="00B97D77">
            <w:pPr>
              <w:pStyle w:val="Paragraph"/>
              <w:spacing w:line="240" w:lineRule="auto"/>
              <w:rPr>
                <w:lang w:eastAsia="en-GB"/>
              </w:rPr>
            </w:pPr>
            <w:r w:rsidRPr="00B97D77">
              <w:rPr>
                <w:rFonts w:cs="Arial"/>
                <w:color w:val="000000"/>
              </w:rPr>
              <w:t>Not specified</w:t>
            </w:r>
          </w:p>
        </w:tc>
        <w:tc>
          <w:tcPr>
            <w:tcW w:w="5259" w:type="dxa"/>
            <w:tcBorders>
              <w:top w:val="single" w:sz="4" w:space="0" w:color="auto"/>
              <w:left w:val="single" w:sz="4" w:space="0" w:color="auto"/>
              <w:bottom w:val="single" w:sz="4" w:space="0" w:color="auto"/>
              <w:right w:val="nil"/>
            </w:tcBorders>
            <w:shd w:val="clear" w:color="auto" w:fill="auto"/>
          </w:tcPr>
          <w:p w14:paraId="6F3DAA02" w14:textId="5AB7305C" w:rsidR="00494310" w:rsidRPr="00B97D77" w:rsidRDefault="00494310" w:rsidP="00B97D77">
            <w:pPr>
              <w:pStyle w:val="Paragraph"/>
              <w:spacing w:line="240" w:lineRule="auto"/>
              <w:rPr>
                <w:lang w:eastAsia="en-GB"/>
              </w:rPr>
            </w:pPr>
            <w:r w:rsidRPr="00B97D77">
              <w:rPr>
                <w:rFonts w:cs="Arial"/>
                <w:color w:val="000000"/>
              </w:rPr>
              <w:t xml:space="preserve">• Has </w:t>
            </w:r>
            <w:proofErr w:type="gramStart"/>
            <w:r w:rsidRPr="00B97D77">
              <w:rPr>
                <w:rFonts w:cs="Arial"/>
                <w:color w:val="000000"/>
              </w:rPr>
              <w:t>all of</w:t>
            </w:r>
            <w:proofErr w:type="gramEnd"/>
            <w:r w:rsidRPr="00B97D77">
              <w:rPr>
                <w:rFonts w:cs="Arial"/>
                <w:color w:val="000000"/>
              </w:rPr>
              <w:t xml:space="preserve"> the relevant evidence been </w:t>
            </w:r>
            <w:proofErr w:type="gramStart"/>
            <w:r w:rsidRPr="00B97D77">
              <w:rPr>
                <w:rFonts w:cs="Arial"/>
                <w:color w:val="000000"/>
              </w:rPr>
              <w:t>taken into account</w:t>
            </w:r>
            <w:proofErr w:type="gramEnd"/>
            <w:r w:rsidRPr="00B97D77">
              <w:rPr>
                <w:rFonts w:cs="Arial"/>
                <w:color w:val="000000"/>
              </w:rPr>
              <w:t xml:space="preserve">? </w:t>
            </w:r>
            <w:r w:rsidRPr="00B97D77">
              <w:rPr>
                <w:rFonts w:cs="Arial"/>
                <w:color w:val="000000"/>
              </w:rPr>
              <w:br/>
              <w:t xml:space="preserve">As evidence is available in other therapy areas for DACC we would encourage </w:t>
            </w:r>
            <w:proofErr w:type="gramStart"/>
            <w:r w:rsidRPr="00B97D77">
              <w:rPr>
                <w:rFonts w:cs="Arial"/>
                <w:color w:val="000000"/>
              </w:rPr>
              <w:t>a wider review evidence</w:t>
            </w:r>
            <w:proofErr w:type="gramEnd"/>
            <w:r w:rsidRPr="00B97D77">
              <w:rPr>
                <w:rFonts w:cs="Arial"/>
                <w:color w:val="000000"/>
              </w:rPr>
              <w:t xml:space="preserve"> that show positive impacts of </w:t>
            </w:r>
            <w:proofErr w:type="gramStart"/>
            <w:r w:rsidRPr="00B97D77">
              <w:rPr>
                <w:rFonts w:cs="Arial"/>
                <w:color w:val="000000"/>
              </w:rPr>
              <w:t>products  using</w:t>
            </w:r>
            <w:proofErr w:type="gramEnd"/>
            <w:r w:rsidRPr="00B97D77">
              <w:rPr>
                <w:rFonts w:cs="Arial"/>
                <w:color w:val="000000"/>
              </w:rPr>
              <w:t xml:space="preserve"> the same </w:t>
            </w:r>
            <w:proofErr w:type="gramStart"/>
            <w:r w:rsidRPr="00B97D77">
              <w:rPr>
                <w:rFonts w:cs="Arial"/>
                <w:color w:val="000000"/>
              </w:rPr>
              <w:t>dressing  formulation</w:t>
            </w:r>
            <w:proofErr w:type="gramEnd"/>
            <w:r w:rsidRPr="00B97D77">
              <w:rPr>
                <w:rFonts w:cs="Arial"/>
                <w:color w:val="000000"/>
              </w:rPr>
              <w:t xml:space="preserve"> </w:t>
            </w:r>
            <w:r w:rsidRPr="00B97D77">
              <w:rPr>
                <w:rFonts w:cs="Arial"/>
                <w:color w:val="000000"/>
              </w:rPr>
              <w:br/>
              <w:t xml:space="preserve">Essity understands the reason but would still recommend the Mosti et al 2015 (Mosti et al. </w:t>
            </w:r>
            <w:r w:rsidRPr="00B97D77">
              <w:rPr>
                <w:rFonts w:cs="Arial"/>
                <w:color w:val="000000"/>
              </w:rPr>
              <w:lastRenderedPageBreak/>
              <w:t xml:space="preserve">2015) was a short pilot RCT assessing silver versus DACC dressings. </w:t>
            </w:r>
            <w:r w:rsidRPr="00B97D77">
              <w:rPr>
                <w:rFonts w:cs="Arial"/>
                <w:color w:val="000000"/>
              </w:rPr>
              <w:br/>
            </w:r>
            <w:r w:rsidRPr="00B97D77">
              <w:rPr>
                <w:rFonts w:cs="Arial"/>
                <w:color w:val="000000"/>
              </w:rPr>
              <w:br/>
              <w:t>Essity would like to highlight a study of Kammerlander_030407_02.qxd This was shared in a narrative review and does have wound healing rates included</w:t>
            </w:r>
          </w:p>
        </w:tc>
        <w:tc>
          <w:tcPr>
            <w:tcW w:w="3655" w:type="dxa"/>
          </w:tcPr>
          <w:p w14:paraId="721562BA" w14:textId="0168778E" w:rsidR="00A531F6" w:rsidRPr="00B97D77" w:rsidRDefault="005B5A3C" w:rsidP="00B97D77">
            <w:pPr>
              <w:pStyle w:val="Paragraph"/>
              <w:spacing w:line="240" w:lineRule="auto"/>
              <w:rPr>
                <w:lang w:eastAsia="en-GB"/>
              </w:rPr>
            </w:pPr>
            <w:r w:rsidRPr="00B97D77">
              <w:rPr>
                <w:lang w:eastAsia="en-GB"/>
              </w:rPr>
              <w:lastRenderedPageBreak/>
              <w:t xml:space="preserve">Thank you for your comment. </w:t>
            </w:r>
            <w:r w:rsidR="00A531F6" w:rsidRPr="00B97D77">
              <w:rPr>
                <w:lang w:eastAsia="en-GB"/>
              </w:rPr>
              <w:t>F</w:t>
            </w:r>
            <w:r w:rsidR="009D24F5" w:rsidRPr="00B97D77">
              <w:rPr>
                <w:lang w:eastAsia="en-GB"/>
              </w:rPr>
              <w:t>irst</w:t>
            </w:r>
            <w:r w:rsidR="00A531F6" w:rsidRPr="00B97D77">
              <w:rPr>
                <w:lang w:eastAsia="en-GB"/>
              </w:rPr>
              <w:t xml:space="preserve"> please see responses to comments 134 and 135.</w:t>
            </w:r>
          </w:p>
          <w:p w14:paraId="7B5719DA" w14:textId="73C0A446" w:rsidR="005B5A3C" w:rsidRPr="00B97D77" w:rsidRDefault="005B5A3C" w:rsidP="00B97D77">
            <w:pPr>
              <w:pStyle w:val="Paragraph"/>
              <w:spacing w:line="240" w:lineRule="auto"/>
              <w:rPr>
                <w:lang w:eastAsia="en-GB"/>
              </w:rPr>
            </w:pPr>
            <w:r w:rsidRPr="00B97D77">
              <w:rPr>
                <w:lang w:eastAsia="en-GB"/>
              </w:rPr>
              <w:t>The EA</w:t>
            </w:r>
            <w:r w:rsidR="009D24F5" w:rsidRPr="00B97D77">
              <w:rPr>
                <w:lang w:eastAsia="en-GB"/>
              </w:rPr>
              <w:t>G</w:t>
            </w:r>
            <w:r w:rsidRPr="00B97D77">
              <w:rPr>
                <w:lang w:eastAsia="en-GB"/>
              </w:rPr>
              <w:t xml:space="preserve"> acknowledge</w:t>
            </w:r>
            <w:r w:rsidR="009D24F5" w:rsidRPr="00B97D77">
              <w:rPr>
                <w:lang w:eastAsia="en-GB"/>
              </w:rPr>
              <w:t>d</w:t>
            </w:r>
            <w:r w:rsidRPr="00B97D77">
              <w:rPr>
                <w:lang w:eastAsia="en-GB"/>
              </w:rPr>
              <w:t xml:space="preserve"> that Mosti et al 2015 was a small pilot study</w:t>
            </w:r>
            <w:r w:rsidR="005808E9" w:rsidRPr="00B97D77">
              <w:rPr>
                <w:lang w:eastAsia="en-GB"/>
              </w:rPr>
              <w:t>,</w:t>
            </w:r>
            <w:r w:rsidRPr="00B97D77">
              <w:rPr>
                <w:lang w:eastAsia="en-GB"/>
              </w:rPr>
              <w:t xml:space="preserve"> and for this reason </w:t>
            </w:r>
            <w:r w:rsidR="005808E9" w:rsidRPr="00B97D77">
              <w:rPr>
                <w:lang w:eastAsia="en-GB"/>
              </w:rPr>
              <w:t xml:space="preserve">sought </w:t>
            </w:r>
            <w:r w:rsidRPr="00B97D77">
              <w:rPr>
                <w:lang w:eastAsia="en-GB"/>
              </w:rPr>
              <w:t xml:space="preserve">further </w:t>
            </w:r>
            <w:r w:rsidR="005808E9" w:rsidRPr="00B97D77">
              <w:rPr>
                <w:lang w:eastAsia="en-GB"/>
              </w:rPr>
              <w:t xml:space="preserve">evidence of the </w:t>
            </w:r>
            <w:r w:rsidR="005808E9" w:rsidRPr="00B97D77">
              <w:rPr>
                <w:lang w:eastAsia="en-GB"/>
              </w:rPr>
              <w:lastRenderedPageBreak/>
              <w:t xml:space="preserve">performance of </w:t>
            </w:r>
            <w:r w:rsidRPr="00B97D77">
              <w:rPr>
                <w:lang w:eastAsia="en-GB"/>
              </w:rPr>
              <w:t xml:space="preserve">DACC </w:t>
            </w:r>
            <w:r w:rsidR="005808E9" w:rsidRPr="00B97D77">
              <w:rPr>
                <w:lang w:eastAsia="en-GB"/>
              </w:rPr>
              <w:t xml:space="preserve">from studies </w:t>
            </w:r>
            <w:r w:rsidRPr="00B97D77">
              <w:rPr>
                <w:lang w:eastAsia="en-GB"/>
              </w:rPr>
              <w:t>partly meeting the decision problem. This led to the inclusion of a prospective case series (Bruce et al 2012) evaluating DACC in infected wounds other than leg ulcers.</w:t>
            </w:r>
          </w:p>
          <w:p w14:paraId="2BB00BC9" w14:textId="77AD6ECB" w:rsidR="00494310" w:rsidRPr="00B97D77" w:rsidRDefault="005B5A3C" w:rsidP="00B97D77">
            <w:pPr>
              <w:pStyle w:val="Paragraph"/>
              <w:spacing w:line="240" w:lineRule="auto"/>
              <w:rPr>
                <w:lang w:eastAsia="en-GB"/>
              </w:rPr>
            </w:pPr>
            <w:r w:rsidRPr="00B97D77">
              <w:rPr>
                <w:lang w:eastAsia="en-GB"/>
              </w:rPr>
              <w:t xml:space="preserve">The </w:t>
            </w:r>
            <w:bookmarkStart w:id="1" w:name="_Hlk192704340"/>
            <w:proofErr w:type="spellStart"/>
            <w:r w:rsidRPr="00B97D77">
              <w:rPr>
                <w:lang w:eastAsia="en-GB"/>
              </w:rPr>
              <w:t>Kammerlander</w:t>
            </w:r>
            <w:proofErr w:type="spellEnd"/>
            <w:r w:rsidRPr="00B97D77">
              <w:rPr>
                <w:lang w:eastAsia="en-GB"/>
              </w:rPr>
              <w:t xml:space="preserve"> et al 2015 </w:t>
            </w:r>
            <w:bookmarkEnd w:id="1"/>
            <w:r w:rsidRPr="00B97D77">
              <w:rPr>
                <w:lang w:eastAsia="en-GB"/>
              </w:rPr>
              <w:t>study was reported in German</w:t>
            </w:r>
            <w:r w:rsidR="005808E9" w:rsidRPr="00B97D77">
              <w:rPr>
                <w:lang w:eastAsia="en-GB"/>
              </w:rPr>
              <w:t xml:space="preserve">, and so not eligible for review (as stated in </w:t>
            </w:r>
            <w:r w:rsidR="00FF5989" w:rsidRPr="00B97D77">
              <w:rPr>
                <w:lang w:eastAsia="en-GB"/>
              </w:rPr>
              <w:t>the EAG’s</w:t>
            </w:r>
            <w:r w:rsidR="005808E9" w:rsidRPr="00B97D77">
              <w:rPr>
                <w:lang w:eastAsia="en-GB"/>
              </w:rPr>
              <w:t xml:space="preserve"> a priori protocol)</w:t>
            </w:r>
            <w:r w:rsidRPr="00B97D77">
              <w:rPr>
                <w:lang w:eastAsia="en-GB"/>
              </w:rPr>
              <w:t>.</w:t>
            </w:r>
          </w:p>
        </w:tc>
      </w:tr>
      <w:tr w:rsidR="00494310" w14:paraId="037F3A51" w14:textId="77777777" w:rsidTr="00EC5D14">
        <w:tc>
          <w:tcPr>
            <w:tcW w:w="1323" w:type="dxa"/>
          </w:tcPr>
          <w:p w14:paraId="501D7C34" w14:textId="77777777" w:rsidR="00494310" w:rsidRPr="00B97D77" w:rsidRDefault="00494310"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1632B7A0" w14:textId="40C71C67" w:rsidR="00494310" w:rsidRPr="00B97D77" w:rsidRDefault="00494310" w:rsidP="00B97D77">
            <w:pPr>
              <w:pStyle w:val="Paragraph"/>
              <w:spacing w:line="240" w:lineRule="auto"/>
              <w:rPr>
                <w:lang w:eastAsia="en-GB"/>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32BB3BB5" w14:textId="3199733C" w:rsidR="00494310" w:rsidRPr="00B97D77" w:rsidRDefault="00494310" w:rsidP="00B97D77">
            <w:pPr>
              <w:pStyle w:val="Paragraph"/>
              <w:spacing w:line="240" w:lineRule="auto"/>
              <w:rPr>
                <w:lang w:eastAsia="en-GB"/>
              </w:rPr>
            </w:pPr>
            <w:r w:rsidRPr="00B97D77">
              <w:rPr>
                <w:rFonts w:cs="Arial"/>
                <w:color w:val="000000"/>
              </w:rPr>
              <w:t>Not specified</w:t>
            </w:r>
          </w:p>
        </w:tc>
        <w:tc>
          <w:tcPr>
            <w:tcW w:w="5259" w:type="dxa"/>
            <w:tcBorders>
              <w:top w:val="single" w:sz="4" w:space="0" w:color="auto"/>
              <w:left w:val="single" w:sz="4" w:space="0" w:color="auto"/>
              <w:bottom w:val="single" w:sz="4" w:space="0" w:color="auto"/>
              <w:right w:val="nil"/>
            </w:tcBorders>
            <w:shd w:val="clear" w:color="auto" w:fill="auto"/>
          </w:tcPr>
          <w:p w14:paraId="53EE6CA3" w14:textId="66E69A23" w:rsidR="00494310" w:rsidRPr="00B97D77" w:rsidRDefault="00494310" w:rsidP="00B97D77">
            <w:pPr>
              <w:pStyle w:val="Paragraph"/>
              <w:spacing w:line="240" w:lineRule="auto"/>
              <w:rPr>
                <w:lang w:eastAsia="en-GB"/>
              </w:rPr>
            </w:pPr>
            <w:r w:rsidRPr="00B97D77">
              <w:rPr>
                <w:rFonts w:cs="Arial"/>
                <w:color w:val="000000"/>
              </w:rPr>
              <w:t>Submitted appendix with reference tables and comments on supporting documents via NICE Doc</w:t>
            </w:r>
            <w:r w:rsidRPr="00B97D77">
              <w:rPr>
                <w:rFonts w:cs="Arial"/>
                <w:color w:val="000000"/>
              </w:rPr>
              <w:br/>
            </w:r>
            <w:r w:rsidRPr="00B97D77">
              <w:rPr>
                <w:rFonts w:cs="Arial"/>
                <w:color w:val="000000"/>
              </w:rPr>
              <w:br/>
              <w:t>The guidance asks “has all of the relevant evidence been taken into account?”</w:t>
            </w:r>
            <w:r w:rsidRPr="00B97D77">
              <w:rPr>
                <w:rFonts w:cs="Arial"/>
                <w:color w:val="000000"/>
              </w:rPr>
              <w:br/>
            </w:r>
            <w:r w:rsidRPr="00B97D77">
              <w:rPr>
                <w:rFonts w:cs="Arial"/>
                <w:color w:val="000000"/>
              </w:rPr>
              <w:br/>
              <w:t xml:space="preserve">No – multiple RCTs covering </w:t>
            </w:r>
            <w:proofErr w:type="spellStart"/>
            <w:r w:rsidRPr="00B97D77">
              <w:rPr>
                <w:rFonts w:cs="Arial"/>
                <w:color w:val="000000"/>
              </w:rPr>
              <w:t>Cadexomer</w:t>
            </w:r>
            <w:proofErr w:type="spellEnd"/>
            <w:r w:rsidRPr="00B97D77">
              <w:rPr>
                <w:rFonts w:cs="Arial"/>
                <w:color w:val="000000"/>
              </w:rPr>
              <w:t xml:space="preserve"> iodine have not been considered including;  </w:t>
            </w:r>
            <w:proofErr w:type="spellStart"/>
            <w:r w:rsidRPr="00B97D77">
              <w:rPr>
                <w:rFonts w:cs="Arial"/>
                <w:color w:val="000000"/>
              </w:rPr>
              <w:t>Harcup</w:t>
            </w:r>
            <w:proofErr w:type="spellEnd"/>
            <w:r w:rsidRPr="00B97D77">
              <w:rPr>
                <w:rFonts w:cs="Arial"/>
                <w:color w:val="000000"/>
              </w:rPr>
              <w:t xml:space="preserve"> 1986, Ormiston 1985, Hansson 1998, </w:t>
            </w:r>
            <w:proofErr w:type="spellStart"/>
            <w:r w:rsidRPr="00B97D77">
              <w:rPr>
                <w:rFonts w:cs="Arial"/>
                <w:color w:val="000000"/>
              </w:rPr>
              <w:t>Laudanska</w:t>
            </w:r>
            <w:proofErr w:type="spellEnd"/>
            <w:r w:rsidRPr="00B97D77">
              <w:rPr>
                <w:rFonts w:cs="Arial"/>
                <w:color w:val="000000"/>
              </w:rPr>
              <w:t xml:space="preserve"> 1988, Lindsay 1986, Holloway 1989, Hillstrom 1988 and the Meta-analysis performed by the Cochrane review group in 2014 by O’Meara.</w:t>
            </w:r>
            <w:r w:rsidRPr="00B97D77">
              <w:rPr>
                <w:rFonts w:cs="Arial"/>
                <w:color w:val="000000"/>
              </w:rPr>
              <w:br/>
              <w:t xml:space="preserve">  </w:t>
            </w:r>
            <w:r w:rsidRPr="00B97D77">
              <w:rPr>
                <w:rFonts w:cs="Arial"/>
                <w:color w:val="000000"/>
              </w:rPr>
              <w:br/>
              <w:t xml:space="preserve">In addition, studies using nanocrystalline silver </w:t>
            </w:r>
            <w:r w:rsidRPr="00B97D77">
              <w:rPr>
                <w:rFonts w:cs="Arial"/>
                <w:color w:val="000000"/>
              </w:rPr>
              <w:lastRenderedPageBreak/>
              <w:t>(metallic/ elemental silver group) on the prevention of infection (</w:t>
            </w:r>
            <w:proofErr w:type="spellStart"/>
            <w:r w:rsidRPr="00B97D77">
              <w:rPr>
                <w:rFonts w:cs="Arial"/>
                <w:color w:val="000000"/>
              </w:rPr>
              <w:t>Strohal</w:t>
            </w:r>
            <w:proofErr w:type="spellEnd"/>
            <w:r w:rsidRPr="00B97D77">
              <w:rPr>
                <w:rFonts w:cs="Arial"/>
                <w:color w:val="000000"/>
              </w:rPr>
              <w:t xml:space="preserve"> 2005) and prevention of progression of infection (reduction in bacteraemia) Newton 2010, were not included. Furthermore, the large retrospective review published in 2021 (Hurd 2021) has not been assessed or included despite including data from 196 VLU managed with Nanocrystalline silver.</w:t>
            </w:r>
          </w:p>
        </w:tc>
        <w:tc>
          <w:tcPr>
            <w:tcW w:w="3655" w:type="dxa"/>
          </w:tcPr>
          <w:p w14:paraId="3ECBB654" w14:textId="696EC6FB" w:rsidR="00494310" w:rsidRPr="00B97D77" w:rsidRDefault="00931209" w:rsidP="00B97D77">
            <w:pPr>
              <w:pStyle w:val="Paragraph"/>
              <w:spacing w:line="240" w:lineRule="auto"/>
              <w:rPr>
                <w:lang w:eastAsia="en-GB"/>
              </w:rPr>
            </w:pPr>
            <w:r w:rsidRPr="00B97D77">
              <w:rPr>
                <w:lang w:eastAsia="en-GB"/>
              </w:rPr>
              <w:lastRenderedPageBreak/>
              <w:t xml:space="preserve">Thank you for your comment. The </w:t>
            </w:r>
            <w:proofErr w:type="spellStart"/>
            <w:r w:rsidRPr="00B97D77">
              <w:rPr>
                <w:lang w:eastAsia="en-GB"/>
              </w:rPr>
              <w:t>cadexomer</w:t>
            </w:r>
            <w:proofErr w:type="spellEnd"/>
            <w:r w:rsidRPr="00B97D77">
              <w:rPr>
                <w:lang w:eastAsia="en-GB"/>
              </w:rPr>
              <w:t xml:space="preserve"> iodine RCTs cited were identified in the</w:t>
            </w:r>
            <w:r w:rsidR="00522EE7" w:rsidRPr="00B97D77">
              <w:rPr>
                <w:lang w:eastAsia="en-GB"/>
              </w:rPr>
              <w:t xml:space="preserve"> EAG’s </w:t>
            </w:r>
            <w:r w:rsidRPr="00B97D77">
              <w:rPr>
                <w:lang w:eastAsia="en-GB"/>
              </w:rPr>
              <w:t>review and excluded for the following reasons:</w:t>
            </w:r>
          </w:p>
          <w:p w14:paraId="16DB0DC4" w14:textId="4CABD335" w:rsidR="00931209" w:rsidRPr="00B97D77" w:rsidRDefault="00931209" w:rsidP="00B97D77">
            <w:pPr>
              <w:pStyle w:val="Paragraph"/>
              <w:numPr>
                <w:ilvl w:val="0"/>
                <w:numId w:val="28"/>
              </w:numPr>
              <w:spacing w:line="240" w:lineRule="auto"/>
              <w:rPr>
                <w:lang w:eastAsia="en-GB"/>
              </w:rPr>
            </w:pPr>
            <w:proofErr w:type="spellStart"/>
            <w:r w:rsidRPr="00B97D77">
              <w:rPr>
                <w:lang w:eastAsia="en-GB"/>
              </w:rPr>
              <w:t>Harcup</w:t>
            </w:r>
            <w:proofErr w:type="spellEnd"/>
            <w:r w:rsidRPr="00B97D77">
              <w:rPr>
                <w:lang w:eastAsia="en-GB"/>
              </w:rPr>
              <w:t xml:space="preserve"> 1986 – Excluded at title and abstract because included ulcers were non-infected.</w:t>
            </w:r>
          </w:p>
          <w:p w14:paraId="424E7A37" w14:textId="5DE3A34C" w:rsidR="00931209" w:rsidRPr="00B97D77" w:rsidRDefault="00931209" w:rsidP="00B97D77">
            <w:pPr>
              <w:pStyle w:val="Paragraph"/>
              <w:numPr>
                <w:ilvl w:val="0"/>
                <w:numId w:val="28"/>
              </w:numPr>
              <w:spacing w:line="240" w:lineRule="auto"/>
              <w:rPr>
                <w:lang w:eastAsia="en-GB"/>
              </w:rPr>
            </w:pPr>
            <w:r w:rsidRPr="00B97D77">
              <w:rPr>
                <w:lang w:eastAsia="en-GB"/>
              </w:rPr>
              <w:t>Ormiston 1985 – Excluded at full text selection, ulcers not infected</w:t>
            </w:r>
          </w:p>
          <w:p w14:paraId="7092BDF8" w14:textId="09BF15CE" w:rsidR="00931209" w:rsidRPr="00B97D77" w:rsidRDefault="00931209" w:rsidP="00B97D77">
            <w:pPr>
              <w:pStyle w:val="Paragraph"/>
              <w:numPr>
                <w:ilvl w:val="0"/>
                <w:numId w:val="28"/>
              </w:numPr>
              <w:spacing w:line="240" w:lineRule="auto"/>
              <w:rPr>
                <w:lang w:eastAsia="en-GB"/>
              </w:rPr>
            </w:pPr>
            <w:r w:rsidRPr="00B97D77">
              <w:rPr>
                <w:lang w:eastAsia="en-GB"/>
              </w:rPr>
              <w:lastRenderedPageBreak/>
              <w:t>Hansson 1998 – Excluded at full text selection, ulcers not infected</w:t>
            </w:r>
          </w:p>
          <w:p w14:paraId="11C327F2" w14:textId="1B62F0A8" w:rsidR="00931209" w:rsidRPr="00B97D77" w:rsidRDefault="00931209" w:rsidP="00B97D77">
            <w:pPr>
              <w:pStyle w:val="Paragraph"/>
              <w:numPr>
                <w:ilvl w:val="0"/>
                <w:numId w:val="28"/>
              </w:numPr>
              <w:spacing w:line="240" w:lineRule="auto"/>
              <w:rPr>
                <w:lang w:eastAsia="en-GB"/>
              </w:rPr>
            </w:pPr>
            <w:proofErr w:type="spellStart"/>
            <w:r w:rsidRPr="00B97D77">
              <w:rPr>
                <w:lang w:eastAsia="en-GB"/>
              </w:rPr>
              <w:t>Laudanska</w:t>
            </w:r>
            <w:proofErr w:type="spellEnd"/>
            <w:r w:rsidRPr="00B97D77">
              <w:rPr>
                <w:lang w:eastAsia="en-GB"/>
              </w:rPr>
              <w:t xml:space="preserve"> 1988 - Excluded at full text selection, ulcers not infected</w:t>
            </w:r>
          </w:p>
          <w:p w14:paraId="19A41618" w14:textId="378703B7" w:rsidR="00931209" w:rsidRPr="00B97D77" w:rsidRDefault="00931209" w:rsidP="00B97D77">
            <w:pPr>
              <w:pStyle w:val="Paragraph"/>
              <w:numPr>
                <w:ilvl w:val="0"/>
                <w:numId w:val="28"/>
              </w:numPr>
              <w:spacing w:line="240" w:lineRule="auto"/>
              <w:rPr>
                <w:lang w:eastAsia="en-GB"/>
              </w:rPr>
            </w:pPr>
            <w:r w:rsidRPr="00B97D77">
              <w:rPr>
                <w:lang w:eastAsia="en-GB"/>
              </w:rPr>
              <w:t>Lindsay 1986 – Excluded at full text selection, ulcers not infected</w:t>
            </w:r>
          </w:p>
          <w:p w14:paraId="132B8376" w14:textId="68636AC3" w:rsidR="00931209" w:rsidRPr="00B97D77" w:rsidRDefault="00931209" w:rsidP="00B97D77">
            <w:pPr>
              <w:pStyle w:val="Paragraph"/>
              <w:numPr>
                <w:ilvl w:val="0"/>
                <w:numId w:val="28"/>
              </w:numPr>
              <w:spacing w:line="240" w:lineRule="auto"/>
              <w:rPr>
                <w:lang w:eastAsia="en-GB"/>
              </w:rPr>
            </w:pPr>
            <w:r w:rsidRPr="00B97D77">
              <w:rPr>
                <w:lang w:eastAsia="en-GB"/>
              </w:rPr>
              <w:t>Holloway 1989 – Excluded at full text selection, ulcers not infected</w:t>
            </w:r>
          </w:p>
          <w:p w14:paraId="78FA422C" w14:textId="02AF1B08" w:rsidR="00931209" w:rsidRPr="00B97D77" w:rsidRDefault="00931209" w:rsidP="00B97D77">
            <w:pPr>
              <w:pStyle w:val="Paragraph"/>
              <w:numPr>
                <w:ilvl w:val="0"/>
                <w:numId w:val="28"/>
              </w:numPr>
              <w:spacing w:line="240" w:lineRule="auto"/>
              <w:rPr>
                <w:lang w:eastAsia="en-GB"/>
              </w:rPr>
            </w:pPr>
            <w:r w:rsidRPr="00B97D77">
              <w:rPr>
                <w:lang w:eastAsia="en-GB"/>
              </w:rPr>
              <w:t>Hillstrom 1988 – Excluded at full text selection, no separate results for infected ulcer subgroup</w:t>
            </w:r>
          </w:p>
          <w:p w14:paraId="04C038E9" w14:textId="2FB3C751" w:rsidR="00931209" w:rsidRPr="00B97D77" w:rsidRDefault="00931209" w:rsidP="00B97D77">
            <w:pPr>
              <w:pStyle w:val="Paragraph"/>
              <w:spacing w:line="240" w:lineRule="auto"/>
              <w:rPr>
                <w:lang w:eastAsia="en-GB"/>
              </w:rPr>
            </w:pPr>
            <w:r w:rsidRPr="00B97D77">
              <w:rPr>
                <w:lang w:eastAsia="en-GB"/>
              </w:rPr>
              <w:t xml:space="preserve">The O’Meara 2014 </w:t>
            </w:r>
            <w:proofErr w:type="spellStart"/>
            <w:proofErr w:type="gramStart"/>
            <w:r w:rsidRPr="00B97D77">
              <w:rPr>
                <w:lang w:eastAsia="en-GB"/>
              </w:rPr>
              <w:t>meta analysis</w:t>
            </w:r>
            <w:proofErr w:type="spellEnd"/>
            <w:proofErr w:type="gramEnd"/>
            <w:r w:rsidRPr="00B97D77">
              <w:rPr>
                <w:lang w:eastAsia="en-GB"/>
              </w:rPr>
              <w:t xml:space="preserve"> was not included</w:t>
            </w:r>
            <w:r w:rsidR="00BF05EE" w:rsidRPr="00B97D77">
              <w:rPr>
                <w:lang w:eastAsia="en-GB"/>
              </w:rPr>
              <w:t xml:space="preserve"> as it is not a primary study, but its</w:t>
            </w:r>
            <w:r w:rsidRPr="00B97D77">
              <w:rPr>
                <w:lang w:eastAsia="en-GB"/>
              </w:rPr>
              <w:t xml:space="preserve"> included studies list was </w:t>
            </w:r>
            <w:r w:rsidRPr="00B97D77">
              <w:rPr>
                <w:lang w:eastAsia="en-GB"/>
              </w:rPr>
              <w:lastRenderedPageBreak/>
              <w:t xml:space="preserve">checked </w:t>
            </w:r>
            <w:r w:rsidR="00CF2E81" w:rsidRPr="00B97D77">
              <w:rPr>
                <w:lang w:eastAsia="en-GB"/>
              </w:rPr>
              <w:t xml:space="preserve">by the EAG </w:t>
            </w:r>
            <w:r w:rsidRPr="00B97D77">
              <w:rPr>
                <w:lang w:eastAsia="en-GB"/>
              </w:rPr>
              <w:t>for eligible studies.</w:t>
            </w:r>
          </w:p>
          <w:p w14:paraId="7CCA99E7" w14:textId="7DDC1D50" w:rsidR="00931209" w:rsidRPr="00B97D77" w:rsidRDefault="00931209" w:rsidP="00B97D77">
            <w:pPr>
              <w:pStyle w:val="Paragraph"/>
              <w:spacing w:line="240" w:lineRule="auto"/>
              <w:rPr>
                <w:lang w:eastAsia="en-GB"/>
              </w:rPr>
            </w:pPr>
            <w:r w:rsidRPr="00B97D77">
              <w:rPr>
                <w:lang w:eastAsia="en-GB"/>
              </w:rPr>
              <w:t xml:space="preserve">Of the nanocrystalline studies, Hurd 2021 was identified and excluded </w:t>
            </w:r>
            <w:r w:rsidR="00CF2E81" w:rsidRPr="00B97D77">
              <w:rPr>
                <w:lang w:eastAsia="en-GB"/>
              </w:rPr>
              <w:t xml:space="preserve">by the EAG </w:t>
            </w:r>
            <w:r w:rsidRPr="00B97D77">
              <w:rPr>
                <w:lang w:eastAsia="en-GB"/>
              </w:rPr>
              <w:t>at full text selection because the included ulcers were not infected.</w:t>
            </w:r>
            <w:r w:rsidR="00966D89" w:rsidRPr="00B97D77">
              <w:rPr>
                <w:lang w:eastAsia="en-GB"/>
              </w:rPr>
              <w:t xml:space="preserve"> </w:t>
            </w:r>
            <w:proofErr w:type="spellStart"/>
            <w:r w:rsidR="00966D89" w:rsidRPr="00B97D77">
              <w:rPr>
                <w:lang w:eastAsia="en-GB"/>
              </w:rPr>
              <w:t>Strohal</w:t>
            </w:r>
            <w:proofErr w:type="spellEnd"/>
            <w:r w:rsidR="00966D89" w:rsidRPr="00B97D77">
              <w:rPr>
                <w:lang w:eastAsia="en-GB"/>
              </w:rPr>
              <w:t xml:space="preserve"> 2005 and Newton 2010 were not identified in the searches. </w:t>
            </w:r>
            <w:r w:rsidR="00CF2E81" w:rsidRPr="00B97D77">
              <w:rPr>
                <w:lang w:eastAsia="en-GB"/>
              </w:rPr>
              <w:t xml:space="preserve">The EAG </w:t>
            </w:r>
            <w:r w:rsidR="006E44A0" w:rsidRPr="00B97D77">
              <w:rPr>
                <w:lang w:eastAsia="en-GB"/>
              </w:rPr>
              <w:t xml:space="preserve">assessed these for eligibility and added these assessments to the </w:t>
            </w:r>
            <w:r w:rsidR="004C29F1" w:rsidRPr="00B97D77">
              <w:rPr>
                <w:lang w:eastAsia="en-GB"/>
              </w:rPr>
              <w:t xml:space="preserve">second </w:t>
            </w:r>
            <w:r w:rsidR="006E44A0" w:rsidRPr="00B97D77">
              <w:rPr>
                <w:lang w:eastAsia="en-GB"/>
              </w:rPr>
              <w:t>addendum</w:t>
            </w:r>
            <w:r w:rsidR="00F3702A" w:rsidRPr="00B97D77">
              <w:rPr>
                <w:lang w:eastAsia="en-GB"/>
              </w:rPr>
              <w:t>. Both were prospective case series evaluating a silver AMD and both were determined to be ineligible because a mix of ulcer types was included. As evidence that fully met the decision problem for silver agents was available, additional evidence in a broader population was not eligible for the review.</w:t>
            </w:r>
          </w:p>
        </w:tc>
      </w:tr>
      <w:tr w:rsidR="00A914C6" w14:paraId="54D7A9A0" w14:textId="77777777" w:rsidTr="00EC5D14">
        <w:tc>
          <w:tcPr>
            <w:tcW w:w="1323" w:type="dxa"/>
          </w:tcPr>
          <w:p w14:paraId="247B2F1A" w14:textId="77777777" w:rsidR="00A914C6" w:rsidRPr="00B97D77" w:rsidRDefault="00A914C6"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24CABA9C" w14:textId="0814000B" w:rsidR="00A914C6" w:rsidRPr="00B97D77" w:rsidRDefault="00A914C6"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w:t>
            </w:r>
            <w:r w:rsidRPr="00B97D77">
              <w:rPr>
                <w:rFonts w:cs="Arial"/>
                <w:color w:val="000000"/>
              </w:rPr>
              <w:lastRenderedPageBreak/>
              <w:t>and Nephew Ltd</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1065C373" w14:textId="025258BA" w:rsidR="00A914C6" w:rsidRPr="00B97D77" w:rsidRDefault="00A914C6" w:rsidP="00B97D77">
            <w:pPr>
              <w:pStyle w:val="Paragraph"/>
              <w:spacing w:line="240" w:lineRule="auto"/>
              <w:rPr>
                <w:rFonts w:cs="Arial"/>
                <w:color w:val="000000"/>
              </w:rPr>
            </w:pPr>
            <w:r w:rsidRPr="00B97D77">
              <w:rPr>
                <w:rFonts w:cs="Arial"/>
                <w:color w:val="000000"/>
              </w:rPr>
              <w:lastRenderedPageBreak/>
              <w:t>EAR</w:t>
            </w:r>
          </w:p>
        </w:tc>
        <w:tc>
          <w:tcPr>
            <w:tcW w:w="5259" w:type="dxa"/>
            <w:tcBorders>
              <w:top w:val="single" w:sz="4" w:space="0" w:color="auto"/>
              <w:left w:val="single" w:sz="4" w:space="0" w:color="auto"/>
              <w:bottom w:val="single" w:sz="4" w:space="0" w:color="auto"/>
              <w:right w:val="nil"/>
            </w:tcBorders>
            <w:shd w:val="clear" w:color="auto" w:fill="auto"/>
          </w:tcPr>
          <w:p w14:paraId="2B07BEE9" w14:textId="2C2289EC" w:rsidR="00A914C6" w:rsidRPr="00B97D77" w:rsidRDefault="00A914C6" w:rsidP="00B97D77">
            <w:pPr>
              <w:pStyle w:val="Paragraph"/>
              <w:spacing w:line="240" w:lineRule="auto"/>
              <w:rPr>
                <w:rFonts w:cs="Arial"/>
                <w:color w:val="000000"/>
              </w:rPr>
            </w:pPr>
            <w:r w:rsidRPr="00B97D77">
              <w:rPr>
                <w:rFonts w:cs="Arial"/>
                <w:color w:val="000000"/>
              </w:rPr>
              <w:t xml:space="preserve">Skog 1983 – RCT in VLU </w:t>
            </w:r>
            <w:proofErr w:type="spellStart"/>
            <w:r w:rsidRPr="00B97D77">
              <w:rPr>
                <w:rFonts w:cs="Arial"/>
                <w:color w:val="000000"/>
              </w:rPr>
              <w:t>Cadexomer</w:t>
            </w:r>
            <w:proofErr w:type="spellEnd"/>
            <w:r w:rsidRPr="00B97D77">
              <w:rPr>
                <w:rFonts w:cs="Arial"/>
                <w:color w:val="000000"/>
              </w:rPr>
              <w:t xml:space="preserve"> iodine vs SoC – additional outcomes were measured in this study and have not been listed or assessed – these include: reduction in exudate </w:t>
            </w:r>
            <w:r w:rsidRPr="00B97D77">
              <w:rPr>
                <w:rFonts w:cs="Arial"/>
                <w:color w:val="000000"/>
              </w:rPr>
              <w:lastRenderedPageBreak/>
              <w:t>and oedema, reduction in bioburden (swabs) and reduction in pus and debris (called slough in current understanding)</w:t>
            </w:r>
          </w:p>
        </w:tc>
        <w:tc>
          <w:tcPr>
            <w:tcW w:w="3655" w:type="dxa"/>
          </w:tcPr>
          <w:p w14:paraId="6DA2AD9C" w14:textId="7A5FA5BB" w:rsidR="00A914C6" w:rsidRPr="00B97D77" w:rsidRDefault="006E44A0" w:rsidP="00B97D77">
            <w:pPr>
              <w:pStyle w:val="Paragraph"/>
              <w:spacing w:line="240" w:lineRule="auto"/>
              <w:rPr>
                <w:lang w:eastAsia="en-GB"/>
              </w:rPr>
            </w:pPr>
            <w:r w:rsidRPr="00B97D77">
              <w:rPr>
                <w:lang w:eastAsia="en-GB"/>
              </w:rPr>
              <w:lastRenderedPageBreak/>
              <w:t xml:space="preserve">Thank you for </w:t>
            </w:r>
            <w:r w:rsidR="00982F8B" w:rsidRPr="00B97D77">
              <w:rPr>
                <w:lang w:eastAsia="en-GB"/>
              </w:rPr>
              <w:t xml:space="preserve">your comment. </w:t>
            </w:r>
            <w:r w:rsidR="00662C62" w:rsidRPr="00B97D77">
              <w:rPr>
                <w:lang w:eastAsia="en-GB"/>
              </w:rPr>
              <w:t xml:space="preserve">In the EAR </w:t>
            </w:r>
            <w:bookmarkStart w:id="2" w:name="_Hlk192602852"/>
            <w:r w:rsidR="00662C62" w:rsidRPr="00B97D77">
              <w:rPr>
                <w:lang w:eastAsia="en-GB"/>
              </w:rPr>
              <w:t>p</w:t>
            </w:r>
            <w:r w:rsidR="00F561AD" w:rsidRPr="00B97D77">
              <w:rPr>
                <w:lang w:eastAsia="en-GB"/>
              </w:rPr>
              <w:t xml:space="preserve">us and debris </w:t>
            </w:r>
            <w:r w:rsidR="00662C62" w:rsidRPr="00B97D77">
              <w:rPr>
                <w:lang w:eastAsia="en-GB"/>
              </w:rPr>
              <w:t>was</w:t>
            </w:r>
            <w:r w:rsidR="00F561AD" w:rsidRPr="00B97D77">
              <w:rPr>
                <w:lang w:eastAsia="en-GB"/>
              </w:rPr>
              <w:t xml:space="preserve"> extracted under </w:t>
            </w:r>
            <w:r w:rsidR="00662C62" w:rsidRPr="00B97D77">
              <w:rPr>
                <w:lang w:eastAsia="en-GB"/>
              </w:rPr>
              <w:t>‘</w:t>
            </w:r>
            <w:r w:rsidR="00F561AD" w:rsidRPr="00B97D77">
              <w:rPr>
                <w:lang w:eastAsia="en-GB"/>
              </w:rPr>
              <w:t>Purulent discharge/drainage</w:t>
            </w:r>
            <w:r w:rsidR="00662C62" w:rsidRPr="00B97D77">
              <w:rPr>
                <w:lang w:eastAsia="en-GB"/>
              </w:rPr>
              <w:t>’</w:t>
            </w:r>
            <w:bookmarkEnd w:id="2"/>
            <w:r w:rsidR="00662C62" w:rsidRPr="00B97D77">
              <w:rPr>
                <w:lang w:eastAsia="en-GB"/>
              </w:rPr>
              <w:t xml:space="preserve">. The </w:t>
            </w:r>
            <w:proofErr w:type="gramStart"/>
            <w:r w:rsidR="00662C62" w:rsidRPr="00B97D77">
              <w:rPr>
                <w:lang w:eastAsia="en-GB"/>
              </w:rPr>
              <w:t xml:space="preserve">EAG </w:t>
            </w:r>
            <w:r w:rsidR="004C29F1" w:rsidRPr="00B97D77">
              <w:rPr>
                <w:lang w:eastAsia="en-GB"/>
              </w:rPr>
              <w:t xml:space="preserve"> </w:t>
            </w:r>
            <w:r w:rsidR="004C29F1" w:rsidRPr="00B97D77">
              <w:rPr>
                <w:lang w:eastAsia="en-GB"/>
              </w:rPr>
              <w:lastRenderedPageBreak/>
              <w:t>have</w:t>
            </w:r>
            <w:proofErr w:type="gramEnd"/>
            <w:r w:rsidR="004C29F1" w:rsidRPr="00B97D77">
              <w:rPr>
                <w:lang w:eastAsia="en-GB"/>
              </w:rPr>
              <w:t xml:space="preserve"> noted</w:t>
            </w:r>
            <w:r w:rsidR="00626DD5" w:rsidRPr="00B97D77">
              <w:rPr>
                <w:lang w:eastAsia="en-GB"/>
              </w:rPr>
              <w:t xml:space="preserve"> this error and correction in the </w:t>
            </w:r>
            <w:r w:rsidR="004C29F1" w:rsidRPr="00B97D77">
              <w:rPr>
                <w:lang w:eastAsia="en-GB"/>
              </w:rPr>
              <w:t xml:space="preserve">second </w:t>
            </w:r>
            <w:r w:rsidR="00626DD5" w:rsidRPr="00B97D77">
              <w:rPr>
                <w:lang w:eastAsia="en-GB"/>
              </w:rPr>
              <w:t>addendum</w:t>
            </w:r>
            <w:r w:rsidR="00F561AD" w:rsidRPr="00B97D77">
              <w:rPr>
                <w:lang w:eastAsia="en-GB"/>
              </w:rPr>
              <w:t>.</w:t>
            </w:r>
          </w:p>
          <w:p w14:paraId="6333C9F5" w14:textId="3025D677" w:rsidR="00F50C65" w:rsidRPr="00B97D77" w:rsidRDefault="00F50C65" w:rsidP="00B97D77">
            <w:pPr>
              <w:pStyle w:val="Paragraph"/>
              <w:spacing w:line="240" w:lineRule="auto"/>
              <w:rPr>
                <w:lang w:eastAsia="en-GB"/>
              </w:rPr>
            </w:pPr>
            <w:r w:rsidRPr="00B97D77">
              <w:rPr>
                <w:lang w:eastAsia="en-GB"/>
              </w:rPr>
              <w:t xml:space="preserve">Oedema and exudate reduction are reported as change in VAS scores and thus </w:t>
            </w:r>
            <w:r w:rsidR="000C480F" w:rsidRPr="00B97D77">
              <w:rPr>
                <w:lang w:eastAsia="en-GB"/>
              </w:rPr>
              <w:t xml:space="preserve">were </w:t>
            </w:r>
            <w:proofErr w:type="gramStart"/>
            <w:r w:rsidRPr="00B97D77">
              <w:rPr>
                <w:lang w:eastAsia="en-GB"/>
              </w:rPr>
              <w:t>not  synthesised</w:t>
            </w:r>
            <w:proofErr w:type="gramEnd"/>
            <w:r w:rsidRPr="00B97D77">
              <w:rPr>
                <w:lang w:eastAsia="en-GB"/>
              </w:rPr>
              <w:t xml:space="preserve"> </w:t>
            </w:r>
            <w:r w:rsidR="000C480F" w:rsidRPr="00B97D77">
              <w:rPr>
                <w:lang w:eastAsia="en-GB"/>
              </w:rPr>
              <w:t xml:space="preserve">by the EAG </w:t>
            </w:r>
            <w:r w:rsidRPr="00B97D77">
              <w:rPr>
                <w:lang w:eastAsia="en-GB"/>
              </w:rPr>
              <w:t>with the studies that report change in oedema/exudate as the change in the number of ulcers with these features.</w:t>
            </w:r>
          </w:p>
        </w:tc>
      </w:tr>
      <w:tr w:rsidR="00A914C6" w14:paraId="666FC546" w14:textId="77777777" w:rsidTr="00EC5D14">
        <w:tc>
          <w:tcPr>
            <w:tcW w:w="1323" w:type="dxa"/>
          </w:tcPr>
          <w:p w14:paraId="088AA353" w14:textId="77777777" w:rsidR="00A914C6" w:rsidRPr="00B97D77" w:rsidRDefault="00A914C6" w:rsidP="00B97D77">
            <w:pPr>
              <w:pStyle w:val="Paragraph"/>
              <w:numPr>
                <w:ilvl w:val="0"/>
                <w:numId w:val="27"/>
              </w:numPr>
              <w:spacing w:line="240" w:lineRule="auto"/>
              <w:rPr>
                <w:lang w:eastAsia="en-GB"/>
              </w:rPr>
            </w:pPr>
          </w:p>
        </w:tc>
        <w:tc>
          <w:tcPr>
            <w:tcW w:w="1686" w:type="dxa"/>
            <w:tcBorders>
              <w:top w:val="single" w:sz="4" w:space="0" w:color="auto"/>
              <w:left w:val="nil"/>
              <w:bottom w:val="single" w:sz="4" w:space="0" w:color="auto"/>
              <w:right w:val="single" w:sz="4" w:space="0" w:color="auto"/>
            </w:tcBorders>
            <w:shd w:val="clear" w:color="auto" w:fill="auto"/>
          </w:tcPr>
          <w:p w14:paraId="49A84B31" w14:textId="4411FEF9" w:rsidR="00A914C6" w:rsidRPr="00B97D77" w:rsidRDefault="00A914C6"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58597ECD" w14:textId="016F77F1" w:rsidR="00A914C6" w:rsidRPr="00B97D77" w:rsidRDefault="00A914C6" w:rsidP="00B97D77">
            <w:pPr>
              <w:pStyle w:val="Paragraph"/>
              <w:spacing w:line="240" w:lineRule="auto"/>
              <w:rPr>
                <w:rFonts w:cs="Arial"/>
                <w:color w:val="000000"/>
              </w:rPr>
            </w:pPr>
            <w:r w:rsidRPr="00B97D77">
              <w:rPr>
                <w:rFonts w:cs="Arial"/>
                <w:color w:val="000000"/>
              </w:rPr>
              <w:t>EAR</w:t>
            </w:r>
          </w:p>
        </w:tc>
        <w:tc>
          <w:tcPr>
            <w:tcW w:w="5259" w:type="dxa"/>
            <w:tcBorders>
              <w:top w:val="single" w:sz="4" w:space="0" w:color="auto"/>
              <w:left w:val="single" w:sz="4" w:space="0" w:color="auto"/>
              <w:bottom w:val="single" w:sz="4" w:space="0" w:color="auto"/>
              <w:right w:val="nil"/>
            </w:tcBorders>
            <w:shd w:val="clear" w:color="auto" w:fill="auto"/>
          </w:tcPr>
          <w:p w14:paraId="7C625CCE" w14:textId="2C591817" w:rsidR="00A914C6" w:rsidRPr="00B97D77" w:rsidRDefault="00A914C6" w:rsidP="00B97D77">
            <w:pPr>
              <w:pStyle w:val="Paragraph"/>
              <w:spacing w:line="240" w:lineRule="auto"/>
              <w:rPr>
                <w:rFonts w:cs="Arial"/>
                <w:color w:val="000000"/>
              </w:rPr>
            </w:pPr>
            <w:r w:rsidRPr="00B97D77">
              <w:rPr>
                <w:rFonts w:cs="Arial"/>
                <w:color w:val="000000"/>
              </w:rPr>
              <w:t xml:space="preserve">Why were other RCTs with </w:t>
            </w:r>
            <w:proofErr w:type="spellStart"/>
            <w:r w:rsidRPr="00B97D77">
              <w:rPr>
                <w:rFonts w:cs="Arial"/>
                <w:color w:val="000000"/>
              </w:rPr>
              <w:t>Cadexomer</w:t>
            </w:r>
            <w:proofErr w:type="spellEnd"/>
            <w:r w:rsidRPr="00B97D77">
              <w:rPr>
                <w:rFonts w:cs="Arial"/>
                <w:color w:val="000000"/>
              </w:rPr>
              <w:t xml:space="preserve"> iodine not included in this assessment? All show significant impact on PAR, and reduction in other surrogate measures of infection (see appendix table 1 below)</w:t>
            </w:r>
            <w:r w:rsidRPr="00B97D77">
              <w:rPr>
                <w:rFonts w:cs="Arial"/>
                <w:color w:val="000000"/>
              </w:rPr>
              <w:br/>
              <w:t xml:space="preserve">• </w:t>
            </w:r>
            <w:proofErr w:type="spellStart"/>
            <w:r w:rsidRPr="00B97D77">
              <w:rPr>
                <w:rFonts w:cs="Arial"/>
                <w:color w:val="000000"/>
              </w:rPr>
              <w:t>Harcup</w:t>
            </w:r>
            <w:proofErr w:type="spellEnd"/>
            <w:r w:rsidRPr="00B97D77">
              <w:rPr>
                <w:rFonts w:cs="Arial"/>
                <w:color w:val="000000"/>
              </w:rPr>
              <w:t xml:space="preserve"> 1986</w:t>
            </w:r>
            <w:r w:rsidRPr="00B97D77">
              <w:rPr>
                <w:rFonts w:cs="Arial"/>
                <w:color w:val="000000"/>
              </w:rPr>
              <w:br/>
              <w:t>• Ormiston 1985</w:t>
            </w:r>
            <w:r w:rsidRPr="00B97D77">
              <w:rPr>
                <w:rFonts w:cs="Arial"/>
                <w:color w:val="000000"/>
              </w:rPr>
              <w:br/>
              <w:t>• Hansson 1998</w:t>
            </w:r>
            <w:r w:rsidRPr="00B97D77">
              <w:rPr>
                <w:rFonts w:cs="Arial"/>
                <w:color w:val="000000"/>
              </w:rPr>
              <w:br/>
              <w:t xml:space="preserve">• </w:t>
            </w:r>
            <w:proofErr w:type="spellStart"/>
            <w:r w:rsidRPr="00B97D77">
              <w:rPr>
                <w:rFonts w:cs="Arial"/>
                <w:color w:val="000000"/>
              </w:rPr>
              <w:t>Laudanska</w:t>
            </w:r>
            <w:proofErr w:type="spellEnd"/>
            <w:r w:rsidRPr="00B97D77">
              <w:rPr>
                <w:rFonts w:cs="Arial"/>
                <w:color w:val="000000"/>
              </w:rPr>
              <w:t xml:space="preserve"> 1988</w:t>
            </w:r>
            <w:r w:rsidRPr="00B97D77">
              <w:rPr>
                <w:rFonts w:cs="Arial"/>
                <w:color w:val="000000"/>
              </w:rPr>
              <w:br/>
              <w:t>• Lindsay 1986</w:t>
            </w:r>
            <w:r w:rsidRPr="00B97D77">
              <w:rPr>
                <w:rFonts w:cs="Arial"/>
                <w:color w:val="000000"/>
              </w:rPr>
              <w:br/>
              <w:t>• Holloway 1989</w:t>
            </w:r>
            <w:r w:rsidRPr="00B97D77">
              <w:rPr>
                <w:rFonts w:cs="Arial"/>
                <w:color w:val="000000"/>
              </w:rPr>
              <w:br/>
              <w:t>• Hillstrom 1988</w:t>
            </w:r>
            <w:r w:rsidRPr="00B97D77">
              <w:rPr>
                <w:rFonts w:cs="Arial"/>
                <w:color w:val="000000"/>
              </w:rPr>
              <w:br/>
            </w:r>
            <w:r w:rsidRPr="00B97D77">
              <w:rPr>
                <w:rFonts w:cs="Arial"/>
                <w:color w:val="000000"/>
              </w:rPr>
              <w:br/>
            </w:r>
            <w:proofErr w:type="spellStart"/>
            <w:r w:rsidRPr="00B97D77">
              <w:rPr>
                <w:rFonts w:cs="Arial"/>
                <w:color w:val="000000"/>
              </w:rPr>
              <w:t>Cadexomer</w:t>
            </w:r>
            <w:proofErr w:type="spellEnd"/>
            <w:r w:rsidRPr="00B97D77">
              <w:rPr>
                <w:rFonts w:cs="Arial"/>
                <w:color w:val="000000"/>
              </w:rPr>
              <w:t xml:space="preserve"> iodine shown to favour healing in O’Meara et al 2014 – when data from the </w:t>
            </w:r>
            <w:r w:rsidRPr="00B97D77">
              <w:rPr>
                <w:rFonts w:cs="Arial"/>
                <w:color w:val="000000"/>
              </w:rPr>
              <w:lastRenderedPageBreak/>
              <w:t>above studies was pooled - why were these results not analysed in this review?</w:t>
            </w:r>
          </w:p>
        </w:tc>
        <w:tc>
          <w:tcPr>
            <w:tcW w:w="3655" w:type="dxa"/>
          </w:tcPr>
          <w:p w14:paraId="648F3EF9" w14:textId="1FDE9D44" w:rsidR="00A914C6" w:rsidRPr="00B97D77" w:rsidRDefault="00F561AD" w:rsidP="00B97D77">
            <w:pPr>
              <w:pStyle w:val="Paragraph"/>
              <w:spacing w:line="240" w:lineRule="auto"/>
              <w:rPr>
                <w:lang w:eastAsia="en-GB"/>
              </w:rPr>
            </w:pPr>
            <w:r w:rsidRPr="00B97D77">
              <w:rPr>
                <w:lang w:eastAsia="en-GB"/>
              </w:rPr>
              <w:lastRenderedPageBreak/>
              <w:t>Thank you for your comment. Please see response to comment 148.</w:t>
            </w:r>
          </w:p>
        </w:tc>
      </w:tr>
    </w:tbl>
    <w:p w14:paraId="407D9222" w14:textId="77777777" w:rsidR="00EC5D14" w:rsidRDefault="00EC5D14" w:rsidP="00EC5D14">
      <w:pPr>
        <w:pStyle w:val="Heading1"/>
        <w:spacing w:line="240" w:lineRule="auto"/>
      </w:pPr>
      <w:r>
        <w:t>Table 22: external assessment report factual accuracy queries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7"/>
        <w:gridCol w:w="2036"/>
        <w:gridCol w:w="5252"/>
        <w:gridCol w:w="3650"/>
      </w:tblGrid>
      <w:tr w:rsidR="003F4BC4" w14:paraId="2283BC43" w14:textId="77777777" w:rsidTr="00632BDB">
        <w:tc>
          <w:tcPr>
            <w:tcW w:w="1323" w:type="dxa"/>
            <w:shd w:val="clear" w:color="auto" w:fill="D9D9D9" w:themeFill="background1" w:themeFillShade="D9"/>
          </w:tcPr>
          <w:p w14:paraId="731CC94A" w14:textId="3D7BA91B" w:rsidR="003F4BC4" w:rsidRPr="00B97D77" w:rsidRDefault="003F4BC4" w:rsidP="00B97D77">
            <w:pPr>
              <w:pStyle w:val="Paragraph"/>
              <w:spacing w:line="240" w:lineRule="auto"/>
              <w:rPr>
                <w:lang w:eastAsia="en-GB"/>
              </w:rPr>
            </w:pPr>
            <w:r w:rsidRPr="00B97D77">
              <w:rPr>
                <w:b/>
                <w:bCs/>
                <w:lang w:eastAsia="en-GB"/>
              </w:rPr>
              <w:t>Comment no.</w:t>
            </w:r>
          </w:p>
        </w:tc>
        <w:tc>
          <w:tcPr>
            <w:tcW w:w="1687" w:type="dxa"/>
            <w:tcBorders>
              <w:top w:val="single" w:sz="4" w:space="0" w:color="auto"/>
              <w:left w:val="nil"/>
              <w:bottom w:val="single" w:sz="4" w:space="0" w:color="auto"/>
              <w:right w:val="single" w:sz="4" w:space="0" w:color="auto"/>
            </w:tcBorders>
            <w:shd w:val="clear" w:color="auto" w:fill="D9D9D9" w:themeFill="background1" w:themeFillShade="D9"/>
          </w:tcPr>
          <w:p w14:paraId="3263077B" w14:textId="4C13579C" w:rsidR="003F4BC4" w:rsidRPr="00B97D77" w:rsidRDefault="003F4BC4" w:rsidP="00B97D77">
            <w:pPr>
              <w:pStyle w:val="Paragraph"/>
              <w:spacing w:line="240" w:lineRule="auto"/>
              <w:rPr>
                <w:rFonts w:cs="Arial"/>
                <w:color w:val="000000"/>
              </w:rPr>
            </w:pPr>
            <w:r w:rsidRPr="00B97D77">
              <w:rPr>
                <w:b/>
                <w:bCs/>
                <w:lang w:eastAsia="en-GB"/>
              </w:rPr>
              <w:t>Consultee</w:t>
            </w:r>
          </w:p>
        </w:tc>
        <w:tc>
          <w:tcPr>
            <w:tcW w:w="2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2CD3B" w14:textId="1D14DD9B" w:rsidR="003F4BC4" w:rsidRPr="00B97D77" w:rsidRDefault="003F4BC4" w:rsidP="00B97D77">
            <w:pPr>
              <w:pStyle w:val="Paragraph"/>
              <w:spacing w:line="240" w:lineRule="auto"/>
              <w:rPr>
                <w:rFonts w:cs="Arial"/>
                <w:color w:val="000000"/>
              </w:rPr>
            </w:pPr>
            <w:r w:rsidRPr="00B97D77">
              <w:rPr>
                <w:b/>
                <w:bCs/>
                <w:lang w:eastAsia="en-GB"/>
              </w:rPr>
              <w:t>Section no.</w:t>
            </w:r>
          </w:p>
        </w:tc>
        <w:tc>
          <w:tcPr>
            <w:tcW w:w="5252" w:type="dxa"/>
            <w:tcBorders>
              <w:top w:val="single" w:sz="4" w:space="0" w:color="auto"/>
              <w:left w:val="single" w:sz="4" w:space="0" w:color="auto"/>
              <w:bottom w:val="single" w:sz="4" w:space="0" w:color="auto"/>
              <w:right w:val="nil"/>
            </w:tcBorders>
            <w:shd w:val="clear" w:color="auto" w:fill="D9D9D9" w:themeFill="background1" w:themeFillShade="D9"/>
          </w:tcPr>
          <w:p w14:paraId="7E281836" w14:textId="4486464B" w:rsidR="003F4BC4" w:rsidRPr="00B97D77" w:rsidRDefault="003F4BC4" w:rsidP="00B97D77">
            <w:pPr>
              <w:pStyle w:val="Paragraph"/>
              <w:spacing w:line="240" w:lineRule="auto"/>
              <w:rPr>
                <w:rFonts w:cs="Arial"/>
                <w:color w:val="000000"/>
              </w:rPr>
            </w:pPr>
            <w:r w:rsidRPr="00B97D77">
              <w:rPr>
                <w:b/>
                <w:bCs/>
                <w:lang w:eastAsia="en-GB"/>
              </w:rPr>
              <w:t>Comment</w:t>
            </w:r>
          </w:p>
        </w:tc>
        <w:tc>
          <w:tcPr>
            <w:tcW w:w="3650" w:type="dxa"/>
            <w:shd w:val="clear" w:color="auto" w:fill="D9D9D9" w:themeFill="background1" w:themeFillShade="D9"/>
          </w:tcPr>
          <w:p w14:paraId="6335D044" w14:textId="6E4393EB" w:rsidR="003F4BC4" w:rsidRPr="00B97D77" w:rsidRDefault="003F4BC4" w:rsidP="00B97D77">
            <w:pPr>
              <w:pStyle w:val="Paragraph"/>
              <w:spacing w:line="240" w:lineRule="auto"/>
              <w:rPr>
                <w:lang w:eastAsia="en-GB"/>
              </w:rPr>
            </w:pPr>
            <w:r w:rsidRPr="00B97D77">
              <w:rPr>
                <w:b/>
                <w:bCs/>
                <w:lang w:eastAsia="en-GB"/>
              </w:rPr>
              <w:t>Response</w:t>
            </w:r>
          </w:p>
        </w:tc>
      </w:tr>
      <w:tr w:rsidR="000572D0" w14:paraId="10118803" w14:textId="77777777" w:rsidTr="00632BDB">
        <w:tc>
          <w:tcPr>
            <w:tcW w:w="1323" w:type="dxa"/>
          </w:tcPr>
          <w:p w14:paraId="42ECF198"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6FD2897" w14:textId="7F61EA40" w:rsidR="000572D0" w:rsidRPr="00B97D77" w:rsidRDefault="000572D0" w:rsidP="00B97D77">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090AF091" w14:textId="6A64933B" w:rsidR="000572D0" w:rsidRPr="00B97D77" w:rsidRDefault="000572D0" w:rsidP="00B97D77">
            <w:pPr>
              <w:pStyle w:val="Paragraph"/>
              <w:spacing w:line="240" w:lineRule="auto"/>
              <w:rPr>
                <w:lang w:eastAsia="en-GB"/>
              </w:rPr>
            </w:pPr>
            <w:r w:rsidRPr="00B97D77">
              <w:rPr>
                <w:rFonts w:cs="Arial"/>
                <w:color w:val="000000"/>
              </w:rPr>
              <w:t>Not specified</w:t>
            </w:r>
          </w:p>
        </w:tc>
        <w:tc>
          <w:tcPr>
            <w:tcW w:w="5252" w:type="dxa"/>
            <w:tcBorders>
              <w:top w:val="single" w:sz="4" w:space="0" w:color="auto"/>
              <w:left w:val="single" w:sz="4" w:space="0" w:color="auto"/>
              <w:bottom w:val="single" w:sz="4" w:space="0" w:color="auto"/>
              <w:right w:val="nil"/>
            </w:tcBorders>
            <w:shd w:val="clear" w:color="auto" w:fill="auto"/>
          </w:tcPr>
          <w:p w14:paraId="03BB97A3" w14:textId="2F71338C" w:rsidR="000572D0" w:rsidRPr="00B97D77" w:rsidRDefault="000572D0" w:rsidP="00B97D77">
            <w:pPr>
              <w:pStyle w:val="Paragraph"/>
              <w:spacing w:line="240" w:lineRule="auto"/>
              <w:rPr>
                <w:lang w:eastAsia="en-GB"/>
              </w:rPr>
            </w:pPr>
            <w:r w:rsidRPr="00B97D77">
              <w:rPr>
                <w:rFonts w:cs="Arial"/>
                <w:color w:val="000000"/>
              </w:rPr>
              <w:t>EAG report review has mis-represented Nanocrystalline silver (Metallic/ elemental silver) as ionic silver throughout the EAG which may impact analysis and conclusions - this should be rectified before final recommendations are proposed</w:t>
            </w:r>
          </w:p>
        </w:tc>
        <w:tc>
          <w:tcPr>
            <w:tcW w:w="3650" w:type="dxa"/>
          </w:tcPr>
          <w:p w14:paraId="4EB4FB17" w14:textId="1D053E93" w:rsidR="000572D0" w:rsidRPr="00B97D77" w:rsidRDefault="00EA15E3" w:rsidP="00B97D77">
            <w:pPr>
              <w:pStyle w:val="Paragraph"/>
              <w:spacing w:line="240" w:lineRule="auto"/>
              <w:rPr>
                <w:lang w:eastAsia="en-GB"/>
              </w:rPr>
            </w:pPr>
            <w:r w:rsidRPr="00B97D77">
              <w:rPr>
                <w:lang w:eastAsia="en-GB"/>
              </w:rPr>
              <w:t xml:space="preserve">Thank you for your comment. This dressing was categorised as an ionic silver dressing following advice from the SDMA that the active antimicrobial component is ionic silver. </w:t>
            </w:r>
            <w:r w:rsidR="004F7F2D" w:rsidRPr="00B97D77">
              <w:rPr>
                <w:lang w:eastAsia="en-GB"/>
              </w:rPr>
              <w:t xml:space="preserve">In addition, the information submitted by the manufacturer in the request for information form describes </w:t>
            </w:r>
            <w:proofErr w:type="spellStart"/>
            <w:r w:rsidR="004F7F2D" w:rsidRPr="00B97D77">
              <w:rPr>
                <w:lang w:eastAsia="en-GB"/>
              </w:rPr>
              <w:t>Acticoat</w:t>
            </w:r>
            <w:proofErr w:type="spellEnd"/>
            <w:r w:rsidR="004F7F2D" w:rsidRPr="00B97D77">
              <w:rPr>
                <w:lang w:eastAsia="en-GB"/>
              </w:rPr>
              <w:t xml:space="preserve"> dressings as having a nano-</w:t>
            </w:r>
            <w:proofErr w:type="spellStart"/>
            <w:r w:rsidR="004F7F2D" w:rsidRPr="00B97D77">
              <w:rPr>
                <w:lang w:eastAsia="en-GB"/>
              </w:rPr>
              <w:t>crystaline</w:t>
            </w:r>
            <w:proofErr w:type="spellEnd"/>
            <w:r w:rsidR="004F7F2D" w:rsidRPr="00B97D77">
              <w:rPr>
                <w:lang w:eastAsia="en-GB"/>
              </w:rPr>
              <w:t xml:space="preserve"> 'coating' but the principal active antimicrobial agent in that coating is ionic silver. </w:t>
            </w:r>
          </w:p>
        </w:tc>
      </w:tr>
      <w:tr w:rsidR="000572D0" w14:paraId="01770A8B" w14:textId="77777777" w:rsidTr="00632BDB">
        <w:tc>
          <w:tcPr>
            <w:tcW w:w="1323" w:type="dxa"/>
          </w:tcPr>
          <w:p w14:paraId="0B9B88BA"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68D8EC6F" w14:textId="24D35807" w:rsidR="000572D0" w:rsidRPr="00B97D77" w:rsidRDefault="000572D0" w:rsidP="00B97D77">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4F3463F" w14:textId="5AE4DA09" w:rsidR="000572D0" w:rsidRPr="00B97D77" w:rsidRDefault="000572D0" w:rsidP="00B97D77">
            <w:pPr>
              <w:pStyle w:val="Paragraph"/>
              <w:spacing w:line="240" w:lineRule="auto"/>
              <w:rPr>
                <w:lang w:eastAsia="en-GB"/>
              </w:rPr>
            </w:pPr>
            <w:r w:rsidRPr="00B97D77">
              <w:rPr>
                <w:rFonts w:cs="Arial"/>
                <w:color w:val="000000"/>
              </w:rPr>
              <w:t>Not specified</w:t>
            </w:r>
          </w:p>
        </w:tc>
        <w:tc>
          <w:tcPr>
            <w:tcW w:w="5252" w:type="dxa"/>
            <w:tcBorders>
              <w:top w:val="single" w:sz="4" w:space="0" w:color="auto"/>
              <w:left w:val="single" w:sz="4" w:space="0" w:color="auto"/>
              <w:bottom w:val="single" w:sz="4" w:space="0" w:color="auto"/>
              <w:right w:val="nil"/>
            </w:tcBorders>
            <w:shd w:val="clear" w:color="auto" w:fill="auto"/>
          </w:tcPr>
          <w:p w14:paraId="63DADC9D" w14:textId="188D6EC7" w:rsidR="000572D0" w:rsidRPr="00B97D77" w:rsidRDefault="000572D0" w:rsidP="00B97D77">
            <w:pPr>
              <w:pStyle w:val="Paragraph"/>
              <w:spacing w:line="240" w:lineRule="auto"/>
              <w:rPr>
                <w:lang w:eastAsia="en-GB"/>
              </w:rPr>
            </w:pPr>
            <w:r w:rsidRPr="00B97D77">
              <w:rPr>
                <w:rFonts w:cs="Arial"/>
                <w:color w:val="000000"/>
              </w:rPr>
              <w:t xml:space="preserve">EAG report assumed that in the Gago 2008 study patients were only managed once with the silver dressings - this is incorrect.  Wounds were managed with silver dressings until the clinical signs and symptoms of infection were </w:t>
            </w:r>
            <w:r w:rsidRPr="00B97D77">
              <w:rPr>
                <w:rFonts w:cs="Arial"/>
                <w:color w:val="000000"/>
              </w:rPr>
              <w:lastRenderedPageBreak/>
              <w:t>resolved hence the most effective dressing (nanocrystalline silver) resolved infection much earlier resulting a reduced need for dressings.</w:t>
            </w:r>
          </w:p>
        </w:tc>
        <w:tc>
          <w:tcPr>
            <w:tcW w:w="3650" w:type="dxa"/>
          </w:tcPr>
          <w:p w14:paraId="5E4E6B4B" w14:textId="3874AA07" w:rsidR="000572D0" w:rsidRPr="00B97D77" w:rsidRDefault="008231FC" w:rsidP="00B97D77">
            <w:pPr>
              <w:pStyle w:val="Paragraph"/>
              <w:spacing w:line="240" w:lineRule="auto"/>
              <w:rPr>
                <w:lang w:eastAsia="en-GB"/>
              </w:rPr>
            </w:pPr>
            <w:r w:rsidRPr="00B97D77">
              <w:rPr>
                <w:lang w:eastAsia="en-GB"/>
              </w:rPr>
              <w:lastRenderedPageBreak/>
              <w:t xml:space="preserve">Thank you for your comment. </w:t>
            </w:r>
            <w:r w:rsidR="00A94E89" w:rsidRPr="00B97D77">
              <w:rPr>
                <w:lang w:eastAsia="en-GB"/>
              </w:rPr>
              <w:t>Please s</w:t>
            </w:r>
            <w:r w:rsidR="00873078" w:rsidRPr="00B97D77">
              <w:rPr>
                <w:lang w:eastAsia="en-GB"/>
              </w:rPr>
              <w:t xml:space="preserve">ee </w:t>
            </w:r>
            <w:r w:rsidRPr="00B97D77">
              <w:rPr>
                <w:lang w:eastAsia="en-GB"/>
              </w:rPr>
              <w:t xml:space="preserve">response to </w:t>
            </w:r>
            <w:r w:rsidR="00873078" w:rsidRPr="00B97D77">
              <w:rPr>
                <w:lang w:eastAsia="en-GB"/>
              </w:rPr>
              <w:t xml:space="preserve">comment 112. </w:t>
            </w:r>
          </w:p>
        </w:tc>
      </w:tr>
      <w:tr w:rsidR="000572D0" w14:paraId="701A9D5D" w14:textId="77777777" w:rsidTr="00632BDB">
        <w:tc>
          <w:tcPr>
            <w:tcW w:w="1323" w:type="dxa"/>
          </w:tcPr>
          <w:p w14:paraId="4EDC385C"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716AEE4C" w14:textId="04DF842A" w:rsidR="000572D0" w:rsidRPr="00B97D77" w:rsidRDefault="000572D0" w:rsidP="00B97D77">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2E44CCDA" w14:textId="0DDDF7C2" w:rsidR="000572D0" w:rsidRPr="00B97D77" w:rsidRDefault="000572D0" w:rsidP="00B97D77">
            <w:pPr>
              <w:pStyle w:val="Paragraph"/>
              <w:spacing w:line="240" w:lineRule="auto"/>
              <w:rPr>
                <w:lang w:eastAsia="en-GB"/>
              </w:rPr>
            </w:pPr>
            <w:r w:rsidRPr="00B97D77">
              <w:rPr>
                <w:rFonts w:cs="Arial"/>
                <w:color w:val="000000"/>
              </w:rPr>
              <w:t>3.8 Key evidence is limited</w:t>
            </w:r>
          </w:p>
        </w:tc>
        <w:tc>
          <w:tcPr>
            <w:tcW w:w="5252" w:type="dxa"/>
            <w:tcBorders>
              <w:top w:val="single" w:sz="4" w:space="0" w:color="auto"/>
              <w:left w:val="single" w:sz="4" w:space="0" w:color="auto"/>
              <w:bottom w:val="single" w:sz="4" w:space="0" w:color="auto"/>
              <w:right w:val="nil"/>
            </w:tcBorders>
            <w:shd w:val="clear" w:color="auto" w:fill="auto"/>
          </w:tcPr>
          <w:p w14:paraId="207388C3" w14:textId="17767F4F" w:rsidR="000572D0" w:rsidRPr="00B97D77" w:rsidRDefault="000572D0" w:rsidP="00B97D77">
            <w:pPr>
              <w:pStyle w:val="Paragraph"/>
              <w:spacing w:line="240" w:lineRule="auto"/>
              <w:rPr>
                <w:lang w:eastAsia="en-GB"/>
              </w:rPr>
            </w:pPr>
            <w:r w:rsidRPr="00B97D77">
              <w:rPr>
                <w:rFonts w:cs="Arial"/>
                <w:color w:val="000000"/>
              </w:rPr>
              <w:t xml:space="preserve">As stated previously, </w:t>
            </w:r>
            <w:proofErr w:type="spellStart"/>
            <w:r w:rsidRPr="00B97D77">
              <w:rPr>
                <w:rFonts w:cs="Arial"/>
                <w:color w:val="000000"/>
              </w:rPr>
              <w:t>on</w:t>
            </w:r>
            <w:proofErr w:type="spellEnd"/>
            <w:r w:rsidRPr="00B97D77">
              <w:rPr>
                <w:rFonts w:cs="Arial"/>
                <w:color w:val="000000"/>
              </w:rPr>
              <w:t xml:space="preserve"> of the metallic/ elemental dressings has been inaccurately labelled as ionic silver in the evidence assessment.</w:t>
            </w:r>
          </w:p>
        </w:tc>
        <w:tc>
          <w:tcPr>
            <w:tcW w:w="3650" w:type="dxa"/>
          </w:tcPr>
          <w:p w14:paraId="0B5251D9" w14:textId="0D1ADB5D" w:rsidR="000572D0" w:rsidRPr="00B97D77" w:rsidRDefault="007B02B9" w:rsidP="00B97D77">
            <w:pPr>
              <w:pStyle w:val="Paragraph"/>
              <w:spacing w:line="240" w:lineRule="auto"/>
              <w:rPr>
                <w:lang w:eastAsia="en-GB"/>
              </w:rPr>
            </w:pPr>
            <w:r w:rsidRPr="00B97D77">
              <w:rPr>
                <w:lang w:eastAsia="en-GB"/>
              </w:rPr>
              <w:t>Thank you for your comment</w:t>
            </w:r>
            <w:r w:rsidR="00886EF1" w:rsidRPr="00B97D77">
              <w:rPr>
                <w:lang w:eastAsia="en-GB"/>
              </w:rPr>
              <w:t>.</w:t>
            </w:r>
            <w:r w:rsidRPr="00B97D77">
              <w:rPr>
                <w:lang w:eastAsia="en-GB"/>
              </w:rPr>
              <w:t xml:space="preserve"> </w:t>
            </w:r>
            <w:r w:rsidR="00886EF1" w:rsidRPr="00B97D77">
              <w:rPr>
                <w:lang w:eastAsia="en-GB"/>
              </w:rPr>
              <w:t>P</w:t>
            </w:r>
            <w:r w:rsidRPr="00B97D77">
              <w:rPr>
                <w:lang w:eastAsia="en-GB"/>
              </w:rPr>
              <w:t>lease see response to comment 151.</w:t>
            </w:r>
          </w:p>
        </w:tc>
      </w:tr>
      <w:tr w:rsidR="000572D0" w14:paraId="2433AC76" w14:textId="77777777" w:rsidTr="00632BDB">
        <w:tc>
          <w:tcPr>
            <w:tcW w:w="1323" w:type="dxa"/>
          </w:tcPr>
          <w:p w14:paraId="4813E714"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3E94D27E" w14:textId="37FEA529" w:rsidR="000572D0" w:rsidRPr="00B97D77" w:rsidRDefault="000572D0" w:rsidP="00B97D77">
            <w:pPr>
              <w:pStyle w:val="Paragraph"/>
              <w:spacing w:line="240" w:lineRule="auto"/>
              <w:rPr>
                <w:lang w:eastAsia="en-GB"/>
              </w:rPr>
            </w:pPr>
            <w:r w:rsidRPr="00B97D77">
              <w:rPr>
                <w:rFonts w:cs="Arial"/>
                <w:color w:val="000000"/>
              </w:rPr>
              <w:t>Consultee 4</w:t>
            </w:r>
            <w:r w:rsidRPr="00B97D77">
              <w:rPr>
                <w:rFonts w:cs="Arial"/>
                <w:color w:val="000000"/>
              </w:rPr>
              <w:br/>
              <w:t>Coloplast</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E5BF8A6" w14:textId="3F12D6DC" w:rsidR="000572D0" w:rsidRPr="00B97D77" w:rsidRDefault="000572D0" w:rsidP="00B97D77">
            <w:pPr>
              <w:pStyle w:val="Paragraph"/>
              <w:spacing w:line="240" w:lineRule="auto"/>
              <w:rPr>
                <w:lang w:eastAsia="en-GB"/>
              </w:rPr>
            </w:pPr>
            <w:r w:rsidRPr="00B97D77">
              <w:rPr>
                <w:rFonts w:cs="Arial"/>
                <w:color w:val="000000"/>
              </w:rPr>
              <w:t>2.3 2 The technology</w:t>
            </w:r>
          </w:p>
        </w:tc>
        <w:tc>
          <w:tcPr>
            <w:tcW w:w="5252" w:type="dxa"/>
            <w:tcBorders>
              <w:top w:val="single" w:sz="4" w:space="0" w:color="auto"/>
              <w:left w:val="single" w:sz="4" w:space="0" w:color="auto"/>
              <w:bottom w:val="single" w:sz="4" w:space="0" w:color="auto"/>
              <w:right w:val="nil"/>
            </w:tcBorders>
            <w:shd w:val="clear" w:color="auto" w:fill="auto"/>
          </w:tcPr>
          <w:p w14:paraId="595EE014" w14:textId="50C97BE7" w:rsidR="000572D0" w:rsidRPr="00B97D77" w:rsidRDefault="000572D0" w:rsidP="00B97D77">
            <w:pPr>
              <w:pStyle w:val="Paragraph"/>
              <w:spacing w:line="240" w:lineRule="auto"/>
              <w:rPr>
                <w:lang w:eastAsia="en-GB"/>
              </w:rPr>
            </w:pPr>
            <w:r w:rsidRPr="00B97D77">
              <w:rPr>
                <w:rFonts w:cs="Arial"/>
                <w:color w:val="000000"/>
              </w:rPr>
              <w:t>Coloplast products have not been categorised consistently. They are listed as ‘silver salts and compounds’ in the report but as ‘silver with anti-biofilm mechanism’ elsewhere in the report and model (data library tab). Please can the EAG confirm what constitutes anti-biofilm mechanisms so our products can be appropriately categorised. Please note many silver dressings have anti-biofilm mechanisms but do this by means other than a surfactant.</w:t>
            </w:r>
          </w:p>
        </w:tc>
        <w:tc>
          <w:tcPr>
            <w:tcW w:w="3650" w:type="dxa"/>
          </w:tcPr>
          <w:p w14:paraId="27C74F23" w14:textId="3968B266" w:rsidR="000572D0" w:rsidRPr="00B97D77" w:rsidRDefault="005B5A3C" w:rsidP="00B97D77">
            <w:pPr>
              <w:pStyle w:val="Paragraph"/>
              <w:spacing w:line="240" w:lineRule="auto"/>
            </w:pPr>
            <w:r w:rsidRPr="00B97D77">
              <w:t xml:space="preserve">Thank you for your comment. </w:t>
            </w:r>
            <w:r w:rsidR="00EE4EFB" w:rsidRPr="00B97D77">
              <w:t>‘</w:t>
            </w:r>
            <w:r w:rsidRPr="00B97D77">
              <w:t>Silver with antibiofilm mechanism</w:t>
            </w:r>
            <w:r w:rsidR="00EE4EFB" w:rsidRPr="00B97D77">
              <w:t>’</w:t>
            </w:r>
            <w:r w:rsidRPr="00B97D77">
              <w:t xml:space="preserve"> is defined </w:t>
            </w:r>
            <w:r w:rsidR="00A94E89" w:rsidRPr="00B97D77">
              <w:t>by</w:t>
            </w:r>
            <w:r w:rsidRPr="00B97D77">
              <w:t xml:space="preserve"> the IWII 2022 consensus update as an agent </w:t>
            </w:r>
            <w:r w:rsidR="00EE4EFB" w:rsidRPr="00B97D77">
              <w:t>‘</w:t>
            </w:r>
            <w:r w:rsidRPr="00B97D77">
              <w:t xml:space="preserve">available as 1.2% ionic silver-impregnated dressing enhanced with EDTA (a chelating agent with its own broad-spectrum antimicrobial and antibiofilm activity277) and </w:t>
            </w:r>
            <w:proofErr w:type="spellStart"/>
            <w:r w:rsidRPr="00B97D77">
              <w:t>benzethonium</w:t>
            </w:r>
            <w:proofErr w:type="spellEnd"/>
            <w:r w:rsidRPr="00B97D77">
              <w:t xml:space="preserve"> chloride (BEC; a surfactant)</w:t>
            </w:r>
            <w:r w:rsidR="00EE4EFB" w:rsidRPr="00B97D77">
              <w:t>’</w:t>
            </w:r>
            <w:r w:rsidRPr="00B97D77">
              <w:t xml:space="preserve"> (</w:t>
            </w:r>
            <w:hyperlink r:id="rId15" w:tgtFrame="_blank" w:history="1">
              <w:r w:rsidRPr="00B97D77">
                <w:rPr>
                  <w:color w:val="0000FF"/>
                  <w:u w:val="single"/>
                </w:rPr>
                <w:t>IWII 2022</w:t>
              </w:r>
            </w:hyperlink>
            <w:r w:rsidRPr="00B97D77">
              <w:t xml:space="preserve">, page 33). </w:t>
            </w:r>
            <w:r w:rsidR="00A94E89" w:rsidRPr="00B97D77">
              <w:t xml:space="preserve">Using this </w:t>
            </w:r>
            <w:r w:rsidR="00803E92" w:rsidRPr="00B97D77">
              <w:t xml:space="preserve">definition </w:t>
            </w:r>
            <w:proofErr w:type="spellStart"/>
            <w:r w:rsidR="00803E92" w:rsidRPr="00B97D77">
              <w:t>Biatain</w:t>
            </w:r>
            <w:proofErr w:type="spellEnd"/>
            <w:r w:rsidR="00803E92" w:rsidRPr="00B97D77">
              <w:t xml:space="preserve"> Ag should </w:t>
            </w:r>
            <w:r w:rsidR="00485CFF" w:rsidRPr="00B97D77">
              <w:t>have been</w:t>
            </w:r>
            <w:r w:rsidR="00803E92" w:rsidRPr="00B97D77">
              <w:t xml:space="preserve"> categorised</w:t>
            </w:r>
            <w:r w:rsidR="00485CFF" w:rsidRPr="00B97D77">
              <w:t xml:space="preserve"> by the EAG</w:t>
            </w:r>
            <w:r w:rsidR="00803E92" w:rsidRPr="00B97D77">
              <w:t xml:space="preserve"> among “Silver salts and compounds” for the </w:t>
            </w:r>
            <w:r w:rsidR="00485CFF" w:rsidRPr="00B97D77">
              <w:t>health economic silver</w:t>
            </w:r>
            <w:r w:rsidR="00803E92" w:rsidRPr="00B97D77">
              <w:t xml:space="preserve"> subagent analysis. </w:t>
            </w:r>
            <w:r w:rsidR="00485CFF" w:rsidRPr="00B97D77">
              <w:t xml:space="preserve">The EAG </w:t>
            </w:r>
            <w:r w:rsidR="00803E92" w:rsidRPr="00B97D77">
              <w:t>have noted the inconsistency in its categorisation as a correction in the addendum</w:t>
            </w:r>
            <w:r w:rsidR="00FB10FE" w:rsidRPr="00B97D77">
              <w:t xml:space="preserve"> and </w:t>
            </w:r>
            <w:r w:rsidR="00FB10FE" w:rsidRPr="00B97D77">
              <w:lastRenderedPageBreak/>
              <w:t xml:space="preserve">updated the silver sub-agent analysis </w:t>
            </w:r>
            <w:r w:rsidR="00782DF1" w:rsidRPr="00B97D77">
              <w:t>with the correct costs</w:t>
            </w:r>
            <w:r w:rsidR="00485CFF" w:rsidRPr="00B97D77">
              <w:t xml:space="preserve"> in the second addendum</w:t>
            </w:r>
            <w:r w:rsidR="00803E92" w:rsidRPr="00B97D77">
              <w:t>.</w:t>
            </w:r>
          </w:p>
        </w:tc>
      </w:tr>
      <w:tr w:rsidR="000572D0" w14:paraId="3300696B" w14:textId="77777777" w:rsidTr="00632BDB">
        <w:tc>
          <w:tcPr>
            <w:tcW w:w="1323" w:type="dxa"/>
          </w:tcPr>
          <w:p w14:paraId="6D6BEDED"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60938CBD" w14:textId="5CA33FC8" w:rsidR="000572D0" w:rsidRPr="00B97D77" w:rsidRDefault="000572D0" w:rsidP="00B97D77">
            <w:pPr>
              <w:pStyle w:val="Paragraph"/>
              <w:spacing w:line="240" w:lineRule="auto"/>
              <w:rPr>
                <w:lang w:eastAsia="en-GB"/>
              </w:rPr>
            </w:pPr>
            <w:r w:rsidRPr="00B97D77">
              <w:rPr>
                <w:rFonts w:cs="Arial"/>
                <w:color w:val="000000"/>
              </w:rPr>
              <w:t>Consultee 4</w:t>
            </w:r>
            <w:r w:rsidRPr="00B97D77">
              <w:rPr>
                <w:rFonts w:cs="Arial"/>
                <w:color w:val="000000"/>
              </w:rPr>
              <w:br/>
              <w:t>Coloplast</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78B2161" w14:textId="7DD2C6F3" w:rsidR="000572D0" w:rsidRPr="00B97D77" w:rsidRDefault="000572D0" w:rsidP="00B97D77">
            <w:pPr>
              <w:pStyle w:val="Paragraph"/>
              <w:spacing w:line="240" w:lineRule="auto"/>
              <w:rPr>
                <w:lang w:eastAsia="en-GB"/>
              </w:rPr>
            </w:pPr>
            <w:r w:rsidRPr="00B97D77">
              <w:rPr>
                <w:rFonts w:cs="Arial"/>
                <w:color w:val="000000"/>
              </w:rPr>
              <w:t>3.12 Model inputs</w:t>
            </w:r>
          </w:p>
        </w:tc>
        <w:tc>
          <w:tcPr>
            <w:tcW w:w="5252" w:type="dxa"/>
            <w:tcBorders>
              <w:top w:val="single" w:sz="4" w:space="0" w:color="auto"/>
              <w:left w:val="single" w:sz="4" w:space="0" w:color="auto"/>
              <w:bottom w:val="single" w:sz="4" w:space="0" w:color="auto"/>
              <w:right w:val="nil"/>
            </w:tcBorders>
            <w:shd w:val="clear" w:color="auto" w:fill="auto"/>
          </w:tcPr>
          <w:p w14:paraId="4F8C3D3C" w14:textId="1A275CAE" w:rsidR="000572D0" w:rsidRPr="00B97D77" w:rsidRDefault="000572D0" w:rsidP="00B97D77">
            <w:pPr>
              <w:pStyle w:val="Paragraph"/>
              <w:spacing w:line="240" w:lineRule="auto"/>
              <w:rPr>
                <w:lang w:eastAsia="en-GB"/>
              </w:rPr>
            </w:pPr>
            <w:r w:rsidRPr="00B97D77">
              <w:rPr>
                <w:rFonts w:cs="Arial"/>
                <w:color w:val="000000"/>
              </w:rPr>
              <w:t>The full range of sizes of our products are not listed within the table or model despite being available on Part IX of the drug tariff. Can you please explain the rationale for this.</w:t>
            </w:r>
          </w:p>
        </w:tc>
        <w:tc>
          <w:tcPr>
            <w:tcW w:w="3650" w:type="dxa"/>
          </w:tcPr>
          <w:p w14:paraId="52160D13" w14:textId="7687AAA9" w:rsidR="000572D0" w:rsidRPr="00B97D77" w:rsidRDefault="003F3AFC" w:rsidP="00B97D77">
            <w:pPr>
              <w:pStyle w:val="Paragraph"/>
              <w:spacing w:line="240" w:lineRule="auto"/>
              <w:rPr>
                <w:lang w:eastAsia="en-GB"/>
              </w:rPr>
            </w:pPr>
            <w:r w:rsidRPr="00B97D77">
              <w:rPr>
                <w:lang w:eastAsia="en-GB"/>
              </w:rPr>
              <w:t xml:space="preserve">The sizes used are from CPRD data on market shares, see Appendix H. As CPRD is the available </w:t>
            </w:r>
            <w:proofErr w:type="gramStart"/>
            <w:r w:rsidRPr="00B97D77">
              <w:rPr>
                <w:lang w:eastAsia="en-GB"/>
              </w:rPr>
              <w:t>real world</w:t>
            </w:r>
            <w:proofErr w:type="gramEnd"/>
            <w:r w:rsidRPr="00B97D77">
              <w:rPr>
                <w:lang w:eastAsia="en-GB"/>
              </w:rPr>
              <w:t xml:space="preserve"> data on the usage of AMD products we consider this to be the most robust approach to costing the AMDs.</w:t>
            </w:r>
          </w:p>
        </w:tc>
      </w:tr>
      <w:tr w:rsidR="000572D0" w14:paraId="66E3F2C5" w14:textId="77777777" w:rsidTr="00632BDB">
        <w:tc>
          <w:tcPr>
            <w:tcW w:w="1323" w:type="dxa"/>
          </w:tcPr>
          <w:p w14:paraId="31D90DB5"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6EEF9871" w14:textId="731B312F" w:rsidR="000572D0" w:rsidRPr="00B97D77" w:rsidRDefault="000572D0" w:rsidP="00B97D77">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78B81006" w14:textId="753ADE31" w:rsidR="000572D0" w:rsidRPr="00B97D77" w:rsidRDefault="000572D0" w:rsidP="00B97D77">
            <w:pPr>
              <w:pStyle w:val="Paragraph"/>
              <w:spacing w:line="240" w:lineRule="auto"/>
              <w:rPr>
                <w:lang w:eastAsia="en-GB"/>
              </w:rPr>
            </w:pPr>
            <w:r w:rsidRPr="00B97D77">
              <w:rPr>
                <w:rFonts w:cs="Arial"/>
                <w:color w:val="000000"/>
              </w:rPr>
              <w:t>Not specified</w:t>
            </w:r>
          </w:p>
        </w:tc>
        <w:tc>
          <w:tcPr>
            <w:tcW w:w="5252" w:type="dxa"/>
            <w:tcBorders>
              <w:top w:val="single" w:sz="4" w:space="0" w:color="auto"/>
              <w:left w:val="single" w:sz="4" w:space="0" w:color="auto"/>
              <w:bottom w:val="single" w:sz="4" w:space="0" w:color="auto"/>
              <w:right w:val="nil"/>
            </w:tcBorders>
            <w:shd w:val="clear" w:color="auto" w:fill="auto"/>
          </w:tcPr>
          <w:p w14:paraId="484BA273" w14:textId="6E6B0365" w:rsidR="000572D0" w:rsidRPr="00B97D77" w:rsidRDefault="000572D0" w:rsidP="00B97D77">
            <w:pPr>
              <w:pStyle w:val="Paragraph"/>
              <w:spacing w:line="240" w:lineRule="auto"/>
              <w:rPr>
                <w:lang w:eastAsia="en-GB"/>
              </w:rPr>
            </w:pPr>
            <w:r w:rsidRPr="00B97D77">
              <w:rPr>
                <w:rFonts w:cs="Arial"/>
                <w:color w:val="000000"/>
              </w:rPr>
              <w:t xml:space="preserve">Appendix H of the EAG report misclassifies </w:t>
            </w:r>
            <w:proofErr w:type="spellStart"/>
            <w:r w:rsidRPr="00B97D77">
              <w:rPr>
                <w:rFonts w:cs="Arial"/>
                <w:color w:val="000000"/>
              </w:rPr>
              <w:t>Biatain</w:t>
            </w:r>
            <w:proofErr w:type="spellEnd"/>
            <w:r w:rsidRPr="00B97D77">
              <w:rPr>
                <w:rFonts w:cs="Arial"/>
                <w:color w:val="000000"/>
              </w:rPr>
              <w:t xml:space="preserve"> dressings (</w:t>
            </w:r>
            <w:proofErr w:type="spellStart"/>
            <w:r w:rsidRPr="00B97D77">
              <w:rPr>
                <w:rFonts w:cs="Arial"/>
                <w:color w:val="000000"/>
              </w:rPr>
              <w:t>Biatain</w:t>
            </w:r>
            <w:proofErr w:type="spellEnd"/>
            <w:r w:rsidRPr="00B97D77">
              <w:rPr>
                <w:rFonts w:cs="Arial"/>
                <w:color w:val="000000"/>
              </w:rPr>
              <w:t xml:space="preserve"> Ag, </w:t>
            </w:r>
            <w:proofErr w:type="spellStart"/>
            <w:r w:rsidRPr="00B97D77">
              <w:rPr>
                <w:rFonts w:cs="Arial"/>
                <w:color w:val="000000"/>
              </w:rPr>
              <w:t>Biatain</w:t>
            </w:r>
            <w:proofErr w:type="spellEnd"/>
            <w:r w:rsidRPr="00B97D77">
              <w:rPr>
                <w:rFonts w:cs="Arial"/>
                <w:color w:val="000000"/>
              </w:rPr>
              <w:t xml:space="preserve"> Alginate Ag, </w:t>
            </w:r>
            <w:proofErr w:type="spellStart"/>
            <w:r w:rsidRPr="00B97D77">
              <w:rPr>
                <w:rFonts w:cs="Arial"/>
                <w:color w:val="000000"/>
              </w:rPr>
              <w:t>Biatain</w:t>
            </w:r>
            <w:proofErr w:type="spellEnd"/>
            <w:r w:rsidRPr="00B97D77">
              <w:rPr>
                <w:rFonts w:cs="Arial"/>
                <w:color w:val="000000"/>
              </w:rPr>
              <w:t xml:space="preserve"> Silicone Ag), these have been mistakenly classified as "silver with anti-biofilm mechanisms" when they should be classified as "silver salts and compounds." </w:t>
            </w:r>
            <w:r w:rsidRPr="00B97D77">
              <w:rPr>
                <w:rFonts w:cs="Arial"/>
                <w:color w:val="000000"/>
              </w:rPr>
              <w:br/>
            </w:r>
            <w:proofErr w:type="spellStart"/>
            <w:r w:rsidRPr="00B97D77">
              <w:rPr>
                <w:rFonts w:cs="Arial"/>
                <w:color w:val="000000"/>
              </w:rPr>
              <w:t>Biatain</w:t>
            </w:r>
            <w:proofErr w:type="spellEnd"/>
            <w:r w:rsidRPr="00B97D77">
              <w:rPr>
                <w:rFonts w:cs="Arial"/>
                <w:color w:val="000000"/>
              </w:rPr>
              <w:t xml:space="preserve"> Ag dressings do not contain actives or mechanisms that are specifically designed to target biofilms (beyond the inherent antimicrobial activity of silver salts and compounds). They have been correctly classified in table 2.3.</w:t>
            </w:r>
            <w:r w:rsidRPr="00B97D77">
              <w:rPr>
                <w:rFonts w:cs="Arial"/>
                <w:color w:val="000000"/>
              </w:rPr>
              <w:br/>
              <w:t xml:space="preserve">It is noteworthy that even Biotin's manufacturers, Coloplast, queried why their products had been classified as "silver with </w:t>
            </w:r>
            <w:proofErr w:type="spellStart"/>
            <w:r w:rsidRPr="00B97D77">
              <w:rPr>
                <w:rFonts w:cs="Arial"/>
                <w:color w:val="000000"/>
              </w:rPr>
              <w:t>anti biofilm</w:t>
            </w:r>
            <w:proofErr w:type="spellEnd"/>
            <w:r w:rsidRPr="00B97D77">
              <w:rPr>
                <w:rFonts w:cs="Arial"/>
                <w:color w:val="000000"/>
              </w:rPr>
              <w:t xml:space="preserve"> mechanisms" in appendix H. Appendix </w:t>
            </w:r>
            <w:r w:rsidRPr="00B97D77">
              <w:rPr>
                <w:rFonts w:cs="Arial"/>
                <w:color w:val="000000"/>
              </w:rPr>
              <w:lastRenderedPageBreak/>
              <w:t xml:space="preserve">H should be corrected to classify </w:t>
            </w:r>
            <w:proofErr w:type="spellStart"/>
            <w:r w:rsidRPr="00B97D77">
              <w:rPr>
                <w:rFonts w:cs="Arial"/>
                <w:color w:val="000000"/>
              </w:rPr>
              <w:t>Biatain</w:t>
            </w:r>
            <w:proofErr w:type="spellEnd"/>
            <w:r w:rsidRPr="00B97D77">
              <w:rPr>
                <w:rFonts w:cs="Arial"/>
                <w:color w:val="000000"/>
              </w:rPr>
              <w:t xml:space="preserve"> products as "silver salts and compounds."</w:t>
            </w:r>
          </w:p>
        </w:tc>
        <w:tc>
          <w:tcPr>
            <w:tcW w:w="3650" w:type="dxa"/>
          </w:tcPr>
          <w:p w14:paraId="18A401C0" w14:textId="4DF159EC" w:rsidR="000572D0" w:rsidRPr="00B97D77" w:rsidRDefault="005B5A3C" w:rsidP="00B97D77">
            <w:pPr>
              <w:pStyle w:val="Paragraph"/>
              <w:spacing w:line="240" w:lineRule="auto"/>
              <w:rPr>
                <w:lang w:eastAsia="en-GB"/>
              </w:rPr>
            </w:pPr>
            <w:r w:rsidRPr="00B97D77">
              <w:rPr>
                <w:lang w:eastAsia="en-GB"/>
              </w:rPr>
              <w:lastRenderedPageBreak/>
              <w:t>Thank you for your comment, please see response to comment 154.</w:t>
            </w:r>
          </w:p>
        </w:tc>
      </w:tr>
      <w:tr w:rsidR="000572D0" w14:paraId="08260ED6" w14:textId="77777777" w:rsidTr="00632BDB">
        <w:tc>
          <w:tcPr>
            <w:tcW w:w="1323" w:type="dxa"/>
          </w:tcPr>
          <w:p w14:paraId="51E56F78"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69F22AC1" w14:textId="1A6E34CD" w:rsidR="000572D0" w:rsidRPr="00B97D77" w:rsidRDefault="000572D0" w:rsidP="00B97D77">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0A5F17FE" w14:textId="10EC60BC" w:rsidR="000572D0" w:rsidRPr="00B97D77" w:rsidRDefault="000572D0" w:rsidP="00B97D77">
            <w:pPr>
              <w:pStyle w:val="Paragraph"/>
              <w:spacing w:line="240" w:lineRule="auto"/>
              <w:rPr>
                <w:lang w:eastAsia="en-GB"/>
              </w:rPr>
            </w:pPr>
            <w:r w:rsidRPr="00B97D77">
              <w:rPr>
                <w:rFonts w:cs="Arial"/>
                <w:color w:val="000000"/>
              </w:rPr>
              <w:t>Not specified</w:t>
            </w:r>
          </w:p>
        </w:tc>
        <w:tc>
          <w:tcPr>
            <w:tcW w:w="5252" w:type="dxa"/>
            <w:tcBorders>
              <w:top w:val="single" w:sz="4" w:space="0" w:color="auto"/>
              <w:left w:val="single" w:sz="4" w:space="0" w:color="auto"/>
              <w:bottom w:val="single" w:sz="4" w:space="0" w:color="auto"/>
              <w:right w:val="nil"/>
            </w:tcBorders>
            <w:shd w:val="clear" w:color="auto" w:fill="auto"/>
          </w:tcPr>
          <w:p w14:paraId="7D2811A2" w14:textId="3AA5945F" w:rsidR="000572D0" w:rsidRPr="00E0366E" w:rsidRDefault="00412819" w:rsidP="00B97D77">
            <w:pPr>
              <w:pStyle w:val="Paragraph"/>
              <w:spacing w:line="240" w:lineRule="auto"/>
              <w:rPr>
                <w:rFonts w:cs="Arial"/>
                <w:color w:val="000000"/>
              </w:rPr>
            </w:pPr>
            <w:r>
              <w:rPr>
                <w:rFonts w:cs="Arial"/>
                <w:color w:val="000000"/>
              </w:rPr>
              <w:t>See appendix A for comment</w:t>
            </w:r>
            <w:r w:rsidR="00E0366E">
              <w:rPr>
                <w:rFonts w:cs="Arial"/>
                <w:color w:val="000000"/>
              </w:rPr>
              <w:t xml:space="preserve"> (greater than 500 words)</w:t>
            </w:r>
          </w:p>
        </w:tc>
        <w:tc>
          <w:tcPr>
            <w:tcW w:w="3650" w:type="dxa"/>
          </w:tcPr>
          <w:p w14:paraId="0539740F" w14:textId="40BC5666" w:rsidR="000572D0" w:rsidRPr="00B97D77" w:rsidRDefault="003F3AFC" w:rsidP="00B97D77">
            <w:pPr>
              <w:pStyle w:val="Paragraph"/>
              <w:spacing w:line="240" w:lineRule="auto"/>
              <w:rPr>
                <w:lang w:eastAsia="en-GB"/>
              </w:rPr>
            </w:pPr>
            <w:r w:rsidRPr="00B97D77">
              <w:rPr>
                <w:lang w:eastAsia="en-GB"/>
              </w:rPr>
              <w:t xml:space="preserve">Thank you for your comment. </w:t>
            </w:r>
            <w:r w:rsidR="005C2F4F" w:rsidRPr="00B97D77">
              <w:rPr>
                <w:lang w:eastAsia="en-GB"/>
              </w:rPr>
              <w:t>The EAG</w:t>
            </w:r>
            <w:r w:rsidRPr="00B97D77">
              <w:rPr>
                <w:lang w:eastAsia="en-GB"/>
              </w:rPr>
              <w:t xml:space="preserve"> have changed this in the base case </w:t>
            </w:r>
            <w:r w:rsidR="00622714" w:rsidRPr="00B97D77">
              <w:rPr>
                <w:lang w:eastAsia="en-GB"/>
              </w:rPr>
              <w:t xml:space="preserve">prescription time for silver </w:t>
            </w:r>
            <w:r w:rsidRPr="00B97D77">
              <w:rPr>
                <w:lang w:eastAsia="en-GB"/>
              </w:rPr>
              <w:t>to 12 weeks</w:t>
            </w:r>
            <w:r w:rsidR="00622714" w:rsidRPr="00B97D77">
              <w:rPr>
                <w:lang w:eastAsia="en-GB"/>
              </w:rPr>
              <w:t>. Please see the second addendum for the results.</w:t>
            </w:r>
          </w:p>
        </w:tc>
      </w:tr>
      <w:tr w:rsidR="000572D0" w14:paraId="428BC4B5" w14:textId="77777777" w:rsidTr="00632BDB">
        <w:tc>
          <w:tcPr>
            <w:tcW w:w="1323" w:type="dxa"/>
          </w:tcPr>
          <w:p w14:paraId="3713E1BD"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0C7D9C4" w14:textId="794F612C" w:rsidR="000572D0" w:rsidRPr="00B97D77" w:rsidRDefault="000572D0" w:rsidP="00B97D77">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5DFA0054" w14:textId="754FD0C3" w:rsidR="000572D0" w:rsidRPr="00B97D77" w:rsidRDefault="000572D0" w:rsidP="00B97D77">
            <w:pPr>
              <w:pStyle w:val="Paragraph"/>
              <w:spacing w:line="240" w:lineRule="auto"/>
              <w:rPr>
                <w:lang w:eastAsia="en-GB"/>
              </w:rPr>
            </w:pPr>
            <w:r w:rsidRPr="00B97D77">
              <w:rPr>
                <w:rFonts w:cs="Arial"/>
                <w:color w:val="000000"/>
              </w:rPr>
              <w:t>3.2 Current practice</w:t>
            </w:r>
          </w:p>
        </w:tc>
        <w:tc>
          <w:tcPr>
            <w:tcW w:w="5252" w:type="dxa"/>
            <w:tcBorders>
              <w:top w:val="single" w:sz="4" w:space="0" w:color="auto"/>
              <w:left w:val="single" w:sz="4" w:space="0" w:color="auto"/>
              <w:bottom w:val="single" w:sz="4" w:space="0" w:color="auto"/>
              <w:right w:val="nil"/>
            </w:tcBorders>
            <w:shd w:val="clear" w:color="auto" w:fill="auto"/>
          </w:tcPr>
          <w:p w14:paraId="5AEB8555" w14:textId="11D3432E" w:rsidR="000572D0" w:rsidRPr="00B97D77" w:rsidRDefault="00FD4399" w:rsidP="00B97D77">
            <w:pPr>
              <w:pStyle w:val="Paragraph"/>
              <w:spacing w:line="240" w:lineRule="auto"/>
              <w:rPr>
                <w:lang w:eastAsia="en-GB"/>
              </w:rPr>
            </w:pPr>
            <w:r>
              <w:rPr>
                <w:rFonts w:cs="Arial"/>
                <w:color w:val="000000"/>
              </w:rPr>
              <w:t>See appendix A for comment (greater than 500 words)</w:t>
            </w:r>
          </w:p>
        </w:tc>
        <w:tc>
          <w:tcPr>
            <w:tcW w:w="3650" w:type="dxa"/>
          </w:tcPr>
          <w:p w14:paraId="18670086" w14:textId="2CD8F8C8" w:rsidR="00622714" w:rsidRPr="00B97D77" w:rsidRDefault="003F3AFC" w:rsidP="00B97D77">
            <w:pPr>
              <w:pStyle w:val="Paragraph"/>
              <w:spacing w:line="240" w:lineRule="auto"/>
              <w:rPr>
                <w:lang w:eastAsia="en-GB"/>
              </w:rPr>
            </w:pPr>
            <w:r w:rsidRPr="00B97D77">
              <w:rPr>
                <w:lang w:eastAsia="en-GB"/>
              </w:rPr>
              <w:t>Thank you for your comment.</w:t>
            </w:r>
            <w:r w:rsidR="004C29F1" w:rsidRPr="00B97D77">
              <w:rPr>
                <w:lang w:eastAsia="en-GB"/>
              </w:rPr>
              <w:t xml:space="preserve"> </w:t>
            </w:r>
            <w:r w:rsidRPr="00B97D77">
              <w:rPr>
                <w:lang w:eastAsia="en-GB"/>
              </w:rPr>
              <w:t>This quote from an NHS pharmacist was not included in the report.</w:t>
            </w:r>
            <w:r w:rsidR="0062224B" w:rsidRPr="00B97D77">
              <w:rPr>
                <w:lang w:eastAsia="en-GB"/>
              </w:rPr>
              <w:t xml:space="preserve"> In response to consultation comments t</w:t>
            </w:r>
            <w:r w:rsidR="002C70F6" w:rsidRPr="00B97D77">
              <w:rPr>
                <w:lang w:eastAsia="en-GB"/>
              </w:rPr>
              <w:t xml:space="preserve">he EAG </w:t>
            </w:r>
            <w:r w:rsidR="00A94E89" w:rsidRPr="00B97D77">
              <w:rPr>
                <w:lang w:eastAsia="en-GB"/>
              </w:rPr>
              <w:t>has</w:t>
            </w:r>
            <w:r w:rsidR="002C70F6" w:rsidRPr="00B97D77">
              <w:rPr>
                <w:lang w:eastAsia="en-GB"/>
              </w:rPr>
              <w:t xml:space="preserve"> updated the</w:t>
            </w:r>
            <w:r w:rsidR="00622714" w:rsidRPr="00B97D77">
              <w:rPr>
                <w:lang w:eastAsia="en-GB"/>
              </w:rPr>
              <w:t xml:space="preserve"> base case prescription time for silver to 12 weeks. Please see the second addendum for the results.</w:t>
            </w:r>
          </w:p>
        </w:tc>
      </w:tr>
      <w:tr w:rsidR="000572D0" w14:paraId="7D278D0B" w14:textId="77777777" w:rsidTr="00632BDB">
        <w:tc>
          <w:tcPr>
            <w:tcW w:w="1323" w:type="dxa"/>
          </w:tcPr>
          <w:p w14:paraId="07063E28" w14:textId="77777777" w:rsidR="000572D0" w:rsidRPr="00B97D77" w:rsidRDefault="000572D0"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58B3550" w14:textId="767CF816" w:rsidR="000572D0" w:rsidRPr="00B97D77" w:rsidRDefault="000572D0" w:rsidP="00B97D77">
            <w:pPr>
              <w:pStyle w:val="Paragraph"/>
              <w:spacing w:line="240" w:lineRule="auto"/>
              <w:rPr>
                <w:lang w:eastAsia="en-GB"/>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888FB0F" w14:textId="33464972" w:rsidR="000572D0" w:rsidRPr="00B97D77" w:rsidRDefault="000572D0" w:rsidP="00B97D77">
            <w:pPr>
              <w:pStyle w:val="Paragraph"/>
              <w:spacing w:line="240" w:lineRule="auto"/>
              <w:rPr>
                <w:lang w:eastAsia="en-GB"/>
              </w:rPr>
            </w:pPr>
            <w:r w:rsidRPr="00B97D77">
              <w:rPr>
                <w:rFonts w:cs="Arial"/>
                <w:color w:val="000000"/>
              </w:rPr>
              <w:t>3.8 Key evidence is limited</w:t>
            </w:r>
          </w:p>
        </w:tc>
        <w:tc>
          <w:tcPr>
            <w:tcW w:w="5252" w:type="dxa"/>
            <w:tcBorders>
              <w:top w:val="single" w:sz="4" w:space="0" w:color="auto"/>
              <w:left w:val="single" w:sz="4" w:space="0" w:color="auto"/>
              <w:bottom w:val="single" w:sz="4" w:space="0" w:color="auto"/>
              <w:right w:val="nil"/>
            </w:tcBorders>
            <w:shd w:val="clear" w:color="auto" w:fill="auto"/>
          </w:tcPr>
          <w:p w14:paraId="5A141C61" w14:textId="2A7C7228" w:rsidR="000572D0" w:rsidRPr="00B97D77" w:rsidRDefault="000572D0" w:rsidP="00B97D77">
            <w:pPr>
              <w:pStyle w:val="Paragraph"/>
              <w:spacing w:line="240" w:lineRule="auto"/>
              <w:rPr>
                <w:lang w:eastAsia="en-GB"/>
              </w:rPr>
            </w:pPr>
            <w:r w:rsidRPr="00B97D77">
              <w:rPr>
                <w:rFonts w:cs="Arial"/>
                <w:color w:val="000000"/>
              </w:rPr>
              <w:t xml:space="preserve">Sub-agents of silver; It is noted that some of the evidence in the EAG (Gago 2008 and Miller 2010) was mis-labelled as ionic silver when it was </w:t>
            </w:r>
            <w:proofErr w:type="gramStart"/>
            <w:r w:rsidRPr="00B97D77">
              <w:rPr>
                <w:rFonts w:cs="Arial"/>
                <w:color w:val="000000"/>
              </w:rPr>
              <w:t>actually Nanocrystalline</w:t>
            </w:r>
            <w:proofErr w:type="gramEnd"/>
            <w:r w:rsidRPr="00B97D77">
              <w:rPr>
                <w:rFonts w:cs="Arial"/>
                <w:color w:val="000000"/>
              </w:rPr>
              <w:t xml:space="preserve"> silver (elemental/ metallic) this should be reassessed to ensure it does not impact on the final analysis</w:t>
            </w:r>
          </w:p>
        </w:tc>
        <w:tc>
          <w:tcPr>
            <w:tcW w:w="3650" w:type="dxa"/>
          </w:tcPr>
          <w:p w14:paraId="50919C57" w14:textId="4E9D464D" w:rsidR="000572D0" w:rsidRPr="00B97D77" w:rsidRDefault="00D7007C" w:rsidP="00B97D77">
            <w:pPr>
              <w:pStyle w:val="Paragraph"/>
              <w:spacing w:line="240" w:lineRule="auto"/>
              <w:rPr>
                <w:lang w:eastAsia="en-GB"/>
              </w:rPr>
            </w:pPr>
            <w:r w:rsidRPr="00B97D77">
              <w:rPr>
                <w:lang w:eastAsia="en-GB"/>
              </w:rPr>
              <w:t>Thank you for your comment</w:t>
            </w:r>
            <w:r w:rsidR="0062224B" w:rsidRPr="00B97D77">
              <w:rPr>
                <w:lang w:eastAsia="en-GB"/>
              </w:rPr>
              <w:t>.</w:t>
            </w:r>
            <w:r w:rsidRPr="00B97D77">
              <w:rPr>
                <w:lang w:eastAsia="en-GB"/>
              </w:rPr>
              <w:t xml:space="preserve"> </w:t>
            </w:r>
            <w:r w:rsidR="0062224B" w:rsidRPr="00B97D77">
              <w:rPr>
                <w:lang w:eastAsia="en-GB"/>
              </w:rPr>
              <w:t>P</w:t>
            </w:r>
            <w:r w:rsidRPr="00B97D77">
              <w:rPr>
                <w:lang w:eastAsia="en-GB"/>
              </w:rPr>
              <w:t xml:space="preserve">lease see response to comment </w:t>
            </w:r>
            <w:r w:rsidR="0062224B" w:rsidRPr="00B97D77">
              <w:rPr>
                <w:lang w:eastAsia="en-GB"/>
              </w:rPr>
              <w:t>15</w:t>
            </w:r>
            <w:r w:rsidRPr="00B97D77">
              <w:rPr>
                <w:lang w:eastAsia="en-GB"/>
              </w:rPr>
              <w:t>1.</w:t>
            </w:r>
          </w:p>
        </w:tc>
      </w:tr>
      <w:tr w:rsidR="002731C2" w14:paraId="767B17B7" w14:textId="77777777" w:rsidTr="00632BDB">
        <w:tc>
          <w:tcPr>
            <w:tcW w:w="1323" w:type="dxa"/>
          </w:tcPr>
          <w:p w14:paraId="5E16207F"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1E9A0A0" w14:textId="605ECEC6"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4AC3D099" w14:textId="302F7D30"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55265971" w14:textId="28E26C90" w:rsidR="002731C2" w:rsidRPr="00B97D77" w:rsidRDefault="002731C2" w:rsidP="00B97D77">
            <w:pPr>
              <w:pStyle w:val="Paragraph"/>
              <w:spacing w:line="240" w:lineRule="auto"/>
              <w:rPr>
                <w:rFonts w:cs="Arial"/>
                <w:color w:val="000000"/>
              </w:rPr>
            </w:pPr>
            <w:bookmarkStart w:id="3" w:name="_Hlk192603126"/>
            <w:r w:rsidRPr="00B97D77">
              <w:rPr>
                <w:rFonts w:cs="Arial"/>
                <w:color w:val="000000"/>
              </w:rPr>
              <w:t xml:space="preserve">Miller 2010; This study was performed in the community care setting in Australia not in the UK as stated </w:t>
            </w:r>
            <w:bookmarkEnd w:id="3"/>
          </w:p>
        </w:tc>
        <w:tc>
          <w:tcPr>
            <w:tcW w:w="3650" w:type="dxa"/>
          </w:tcPr>
          <w:p w14:paraId="3B42386A" w14:textId="1484CE98" w:rsidR="002731C2" w:rsidRPr="00B97D77" w:rsidRDefault="006E44A0" w:rsidP="00B97D77">
            <w:pPr>
              <w:pStyle w:val="Paragraph"/>
              <w:spacing w:line="240" w:lineRule="auto"/>
              <w:rPr>
                <w:lang w:eastAsia="en-GB"/>
              </w:rPr>
            </w:pPr>
            <w:r w:rsidRPr="00B97D77">
              <w:rPr>
                <w:lang w:eastAsia="en-GB"/>
              </w:rPr>
              <w:t xml:space="preserve">Thank you for </w:t>
            </w:r>
            <w:r w:rsidR="009E17EF" w:rsidRPr="00B97D77">
              <w:rPr>
                <w:lang w:eastAsia="en-GB"/>
              </w:rPr>
              <w:t>your comment. The EAG</w:t>
            </w:r>
            <w:r w:rsidRPr="00B97D77">
              <w:rPr>
                <w:lang w:eastAsia="en-GB"/>
              </w:rPr>
              <w:t xml:space="preserve"> have noted this in a list of errata in </w:t>
            </w:r>
            <w:r w:rsidR="004C29F1" w:rsidRPr="00B97D77">
              <w:rPr>
                <w:lang w:eastAsia="en-GB"/>
              </w:rPr>
              <w:t>the second</w:t>
            </w:r>
            <w:r w:rsidRPr="00B97D77">
              <w:rPr>
                <w:lang w:eastAsia="en-GB"/>
              </w:rPr>
              <w:t xml:space="preserve"> addendum to the report.</w:t>
            </w:r>
          </w:p>
        </w:tc>
      </w:tr>
      <w:tr w:rsidR="002731C2" w14:paraId="181BE08C" w14:textId="77777777" w:rsidTr="00632BDB">
        <w:tc>
          <w:tcPr>
            <w:tcW w:w="1323" w:type="dxa"/>
          </w:tcPr>
          <w:p w14:paraId="69304375"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7B98CF85" w14:textId="116B86CA"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05E105D" w14:textId="651EA8E1"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23A67AC1" w14:textId="6441B41A" w:rsidR="002731C2" w:rsidRPr="00B97D77" w:rsidRDefault="002731C2" w:rsidP="00B97D77">
            <w:pPr>
              <w:pStyle w:val="Paragraph"/>
              <w:spacing w:line="240" w:lineRule="auto"/>
              <w:rPr>
                <w:rFonts w:cs="Arial"/>
                <w:color w:val="000000"/>
              </w:rPr>
            </w:pPr>
            <w:r w:rsidRPr="00B97D77">
              <w:rPr>
                <w:rFonts w:cs="Arial"/>
                <w:color w:val="000000"/>
              </w:rPr>
              <w:t xml:space="preserve">Query over date study performed and results generalisable to current care - Skog 1983 - included compression which is still considered </w:t>
            </w:r>
            <w:proofErr w:type="gramStart"/>
            <w:r w:rsidRPr="00B97D77">
              <w:rPr>
                <w:rFonts w:cs="Arial"/>
                <w:color w:val="000000"/>
              </w:rPr>
              <w:t>Gold</w:t>
            </w:r>
            <w:proofErr w:type="gramEnd"/>
            <w:r w:rsidRPr="00B97D77">
              <w:rPr>
                <w:rFonts w:cs="Arial"/>
                <w:color w:val="000000"/>
              </w:rPr>
              <w:t xml:space="preserve"> standard of care for VLU (NWCSP)</w:t>
            </w:r>
          </w:p>
        </w:tc>
        <w:tc>
          <w:tcPr>
            <w:tcW w:w="3650" w:type="dxa"/>
          </w:tcPr>
          <w:p w14:paraId="44C01614" w14:textId="37F41C93" w:rsidR="002731C2" w:rsidRPr="00B97D77" w:rsidRDefault="005B5A3C" w:rsidP="00B97D77">
            <w:pPr>
              <w:pStyle w:val="Paragraph"/>
              <w:spacing w:line="240" w:lineRule="auto"/>
              <w:rPr>
                <w:lang w:eastAsia="en-GB"/>
              </w:rPr>
            </w:pPr>
            <w:r w:rsidRPr="00B97D77">
              <w:rPr>
                <w:lang w:eastAsia="en-GB"/>
              </w:rPr>
              <w:t xml:space="preserve">Thank you for your comment. The point on generalisability of evidence to present practice is that evidence from older studies may not be as applicable to current care. Compression bandaging has remained standard of care over this time, </w:t>
            </w:r>
            <w:r w:rsidR="00A94E89" w:rsidRPr="00B97D77">
              <w:rPr>
                <w:lang w:eastAsia="en-GB"/>
              </w:rPr>
              <w:t>al</w:t>
            </w:r>
            <w:r w:rsidRPr="00B97D77">
              <w:rPr>
                <w:lang w:eastAsia="en-GB"/>
              </w:rPr>
              <w:t xml:space="preserve">though the design </w:t>
            </w:r>
            <w:r w:rsidR="00A94E89" w:rsidRPr="00B97D77">
              <w:rPr>
                <w:lang w:eastAsia="en-GB"/>
              </w:rPr>
              <w:t>and composition of</w:t>
            </w:r>
            <w:r w:rsidR="004F6ACE" w:rsidRPr="00B97D77">
              <w:rPr>
                <w:lang w:eastAsia="en-GB"/>
              </w:rPr>
              <w:t xml:space="preserve"> </w:t>
            </w:r>
            <w:r w:rsidRPr="00B97D77">
              <w:rPr>
                <w:lang w:eastAsia="en-GB"/>
              </w:rPr>
              <w:t>compression</w:t>
            </w:r>
            <w:r w:rsidR="004F6ACE" w:rsidRPr="00B97D77">
              <w:rPr>
                <w:lang w:eastAsia="en-GB"/>
              </w:rPr>
              <w:t xml:space="preserve"> bandaging products may have changed</w:t>
            </w:r>
            <w:r w:rsidRPr="00B97D77">
              <w:rPr>
                <w:lang w:eastAsia="en-GB"/>
              </w:rPr>
              <w:t>. Other aspects of wound care practice may also have changed. The extent to which changes have occurred in wound care practice and the effect this will have on generalisability of findings to current care is uncertain, but the EAG considered the possibility worth noting.</w:t>
            </w:r>
          </w:p>
        </w:tc>
      </w:tr>
      <w:tr w:rsidR="002731C2" w14:paraId="1DC87B80" w14:textId="77777777" w:rsidTr="00632BDB">
        <w:tc>
          <w:tcPr>
            <w:tcW w:w="1323" w:type="dxa"/>
          </w:tcPr>
          <w:p w14:paraId="00822831"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C4C7E4D" w14:textId="47A726A8"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D9600AD" w14:textId="7282D35E"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3EA4D4BC" w14:textId="1FF3C346" w:rsidR="002731C2" w:rsidRPr="00B97D77" w:rsidRDefault="002731C2" w:rsidP="00B97D77">
            <w:pPr>
              <w:pStyle w:val="Paragraph"/>
              <w:spacing w:line="240" w:lineRule="auto"/>
              <w:rPr>
                <w:rFonts w:cs="Arial"/>
                <w:color w:val="000000"/>
              </w:rPr>
            </w:pPr>
            <w:r w:rsidRPr="00B97D77">
              <w:rPr>
                <w:rFonts w:cs="Arial"/>
                <w:color w:val="000000"/>
              </w:rPr>
              <w:t>Clinical signs of infection; Skog 1983 –supports a statistical reduction in pain, pus and debris, exudate and oedema along with a statistical reduction in wound organisms (swabs) in this study – the analysis in p97 states no change in discharge was noted – this is incorrect and the assessment has not considered the other clear clinical signs of infection stated above (as aligned with IWII 2022)</w:t>
            </w:r>
          </w:p>
        </w:tc>
        <w:tc>
          <w:tcPr>
            <w:tcW w:w="3650" w:type="dxa"/>
          </w:tcPr>
          <w:p w14:paraId="2DCF447C" w14:textId="6F460F1A" w:rsidR="005B5A3C" w:rsidRPr="00B97D77" w:rsidRDefault="005B5A3C" w:rsidP="00B97D77">
            <w:pPr>
              <w:pStyle w:val="Paragraph"/>
              <w:spacing w:line="240" w:lineRule="auto"/>
              <w:rPr>
                <w:lang w:eastAsia="en-GB"/>
              </w:rPr>
            </w:pPr>
            <w:r w:rsidRPr="00B97D77">
              <w:rPr>
                <w:lang w:eastAsia="en-GB"/>
              </w:rPr>
              <w:t>Thank you for your comment</w:t>
            </w:r>
            <w:r w:rsidR="00584A70" w:rsidRPr="00B97D77">
              <w:rPr>
                <w:lang w:eastAsia="en-GB"/>
              </w:rPr>
              <w:t>.</w:t>
            </w:r>
            <w:r w:rsidRPr="00B97D77">
              <w:rPr>
                <w:lang w:eastAsia="en-GB"/>
              </w:rPr>
              <w:t xml:space="preserve"> </w:t>
            </w:r>
            <w:r w:rsidR="00584A70" w:rsidRPr="00B97D77">
              <w:rPr>
                <w:lang w:eastAsia="en-GB"/>
              </w:rPr>
              <w:t>P</w:t>
            </w:r>
            <w:r w:rsidRPr="00B97D77">
              <w:rPr>
                <w:lang w:eastAsia="en-GB"/>
              </w:rPr>
              <w:t>lease see response to comment 149.</w:t>
            </w:r>
          </w:p>
          <w:p w14:paraId="54821766" w14:textId="61C4A158" w:rsidR="002731C2" w:rsidRPr="00B97D77" w:rsidRDefault="005B5A3C" w:rsidP="00B97D77">
            <w:pPr>
              <w:pStyle w:val="Paragraph"/>
              <w:spacing w:line="240" w:lineRule="auto"/>
              <w:rPr>
                <w:lang w:eastAsia="en-GB"/>
              </w:rPr>
            </w:pPr>
            <w:r w:rsidRPr="00B97D77">
              <w:rPr>
                <w:lang w:eastAsia="en-GB"/>
              </w:rPr>
              <w:t>Regarding the sentence that states no change in discharge was noted,</w:t>
            </w:r>
            <w:r w:rsidR="00DA3DD8" w:rsidRPr="00B97D77">
              <w:rPr>
                <w:lang w:eastAsia="en-GB"/>
              </w:rPr>
              <w:t xml:space="preserve"> the EAG h</w:t>
            </w:r>
            <w:r w:rsidRPr="00B97D77">
              <w:rPr>
                <w:lang w:eastAsia="en-GB"/>
              </w:rPr>
              <w:t xml:space="preserve">ave noted </w:t>
            </w:r>
            <w:r w:rsidR="00DA3DD8" w:rsidRPr="00B97D77">
              <w:rPr>
                <w:lang w:eastAsia="en-GB"/>
              </w:rPr>
              <w:t xml:space="preserve">this </w:t>
            </w:r>
            <w:r w:rsidRPr="00B97D77">
              <w:rPr>
                <w:lang w:eastAsia="en-GB"/>
              </w:rPr>
              <w:t xml:space="preserve">as a correction in the </w:t>
            </w:r>
            <w:r w:rsidR="004C29F1" w:rsidRPr="00B97D77">
              <w:rPr>
                <w:lang w:eastAsia="en-GB"/>
              </w:rPr>
              <w:t xml:space="preserve">second </w:t>
            </w:r>
            <w:r w:rsidRPr="00B97D77">
              <w:rPr>
                <w:lang w:eastAsia="en-GB"/>
              </w:rPr>
              <w:t>addendum.</w:t>
            </w:r>
          </w:p>
        </w:tc>
      </w:tr>
      <w:tr w:rsidR="002731C2" w14:paraId="5721F8B1" w14:textId="77777777" w:rsidTr="00632BDB">
        <w:tc>
          <w:tcPr>
            <w:tcW w:w="1323" w:type="dxa"/>
          </w:tcPr>
          <w:p w14:paraId="0292C600"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53C2988F" w14:textId="65970D4C"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B638662" w14:textId="6EE617A4"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642745AD" w14:textId="0C25D229" w:rsidR="002731C2" w:rsidRPr="00B97D77" w:rsidRDefault="002731C2" w:rsidP="00B97D77">
            <w:pPr>
              <w:pStyle w:val="Paragraph"/>
              <w:spacing w:line="240" w:lineRule="auto"/>
              <w:rPr>
                <w:rFonts w:cs="Arial"/>
                <w:color w:val="000000"/>
              </w:rPr>
            </w:pPr>
            <w:r w:rsidRPr="00B97D77">
              <w:rPr>
                <w:rFonts w:cs="Arial"/>
                <w:color w:val="000000"/>
              </w:rPr>
              <w:t xml:space="preserve">Wound bed / </w:t>
            </w:r>
            <w:proofErr w:type="spellStart"/>
            <w:r w:rsidRPr="00B97D77">
              <w:rPr>
                <w:rFonts w:cs="Arial"/>
                <w:color w:val="000000"/>
              </w:rPr>
              <w:t>periwound</w:t>
            </w:r>
            <w:proofErr w:type="spellEnd"/>
            <w:r w:rsidRPr="00B97D77">
              <w:rPr>
                <w:rFonts w:cs="Arial"/>
                <w:color w:val="000000"/>
              </w:rPr>
              <w:t xml:space="preserve"> improvements</w:t>
            </w:r>
            <w:r w:rsidRPr="00B97D77">
              <w:rPr>
                <w:rFonts w:cs="Arial"/>
                <w:color w:val="000000"/>
              </w:rPr>
              <w:br/>
              <w:t>Skog 19837 demonstrated significant reduction in wound pus and debris, oedema and exudate and a significant improvement in granulation tissue – this was not highlighted in the analysis</w:t>
            </w:r>
          </w:p>
        </w:tc>
        <w:tc>
          <w:tcPr>
            <w:tcW w:w="3650" w:type="dxa"/>
          </w:tcPr>
          <w:p w14:paraId="4CF57A86" w14:textId="38BD112F" w:rsidR="00322DD7" w:rsidRPr="00B97D77" w:rsidRDefault="005B5A3C" w:rsidP="00B97D77">
            <w:pPr>
              <w:pStyle w:val="Paragraph"/>
              <w:spacing w:line="240" w:lineRule="auto"/>
              <w:rPr>
                <w:lang w:eastAsia="en-GB"/>
              </w:rPr>
            </w:pPr>
            <w:r w:rsidRPr="00B97D77">
              <w:rPr>
                <w:lang w:eastAsia="en-GB"/>
              </w:rPr>
              <w:t xml:space="preserve">Thank you for your comment. </w:t>
            </w:r>
            <w:r w:rsidR="00322DD7" w:rsidRPr="00B97D77">
              <w:rPr>
                <w:lang w:eastAsia="en-GB"/>
              </w:rPr>
              <w:t xml:space="preserve">The absence of the Skog 1983 pus/debris data in the EAR section 5.4.6 </w:t>
            </w:r>
            <w:r w:rsidR="006F7F07" w:rsidRPr="00B97D77">
              <w:rPr>
                <w:lang w:eastAsia="en-GB"/>
              </w:rPr>
              <w:t>(</w:t>
            </w:r>
            <w:r w:rsidR="00322DD7" w:rsidRPr="00B97D77">
              <w:rPr>
                <w:lang w:eastAsia="en-GB"/>
              </w:rPr>
              <w:t>wound bed/per-wound condition synthesis</w:t>
            </w:r>
            <w:r w:rsidR="006F7F07" w:rsidRPr="00B97D77">
              <w:rPr>
                <w:lang w:eastAsia="en-GB"/>
              </w:rPr>
              <w:t>)</w:t>
            </w:r>
            <w:r w:rsidR="00322DD7" w:rsidRPr="00B97D77">
              <w:rPr>
                <w:lang w:eastAsia="en-GB"/>
              </w:rPr>
              <w:t xml:space="preserve"> is due to this data being incorrectly extracted as a clinical sign of infection (purulent discharge</w:t>
            </w:r>
            <w:proofErr w:type="gramStart"/>
            <w:r w:rsidR="00322DD7" w:rsidRPr="00B97D77">
              <w:rPr>
                <w:lang w:eastAsia="en-GB"/>
              </w:rPr>
              <w:t>)</w:t>
            </w:r>
            <w:r w:rsidR="006F7F07" w:rsidRPr="00B97D77">
              <w:rPr>
                <w:lang w:eastAsia="en-GB"/>
              </w:rPr>
              <w:t>, and</w:t>
            </w:r>
            <w:proofErr w:type="gramEnd"/>
            <w:r w:rsidR="006F7F07" w:rsidRPr="00B97D77">
              <w:rPr>
                <w:lang w:eastAsia="en-GB"/>
              </w:rPr>
              <w:t xml:space="preserve"> therefore</w:t>
            </w:r>
            <w:r w:rsidR="00322DD7" w:rsidRPr="00B97D77">
              <w:rPr>
                <w:lang w:eastAsia="en-GB"/>
              </w:rPr>
              <w:t xml:space="preserve"> summarised in EAR section 5.4.4. </w:t>
            </w:r>
            <w:r w:rsidR="009B54DC" w:rsidRPr="00B97D77">
              <w:rPr>
                <w:lang w:eastAsia="en-GB"/>
              </w:rPr>
              <w:t>The EAG have provided a</w:t>
            </w:r>
            <w:r w:rsidR="00322DD7" w:rsidRPr="00B97D77">
              <w:rPr>
                <w:lang w:eastAsia="en-GB"/>
              </w:rPr>
              <w:t xml:space="preserve"> correction on this point in t</w:t>
            </w:r>
            <w:r w:rsidR="006F7F07" w:rsidRPr="00B97D77">
              <w:rPr>
                <w:lang w:eastAsia="en-GB"/>
              </w:rPr>
              <w:t xml:space="preserve">he second addendum </w:t>
            </w:r>
            <w:r w:rsidR="00322DD7" w:rsidRPr="00B97D77">
              <w:rPr>
                <w:lang w:eastAsia="en-GB"/>
              </w:rPr>
              <w:t>(</w:t>
            </w:r>
            <w:r w:rsidR="006F7F07" w:rsidRPr="00B97D77">
              <w:rPr>
                <w:lang w:eastAsia="en-GB"/>
              </w:rPr>
              <w:t xml:space="preserve">please also </w:t>
            </w:r>
            <w:r w:rsidR="00322DD7" w:rsidRPr="00B97D77">
              <w:rPr>
                <w:lang w:eastAsia="en-GB"/>
              </w:rPr>
              <w:t>see response to comment 149).</w:t>
            </w:r>
          </w:p>
          <w:p w14:paraId="51A8E33A" w14:textId="41B56B10" w:rsidR="002731C2" w:rsidRPr="00B97D77" w:rsidRDefault="00322DD7" w:rsidP="00B97D77">
            <w:pPr>
              <w:pStyle w:val="Paragraph"/>
              <w:spacing w:line="240" w:lineRule="auto"/>
              <w:rPr>
                <w:lang w:eastAsia="en-GB"/>
              </w:rPr>
            </w:pPr>
            <w:r w:rsidRPr="00B97D77">
              <w:rPr>
                <w:lang w:eastAsia="en-GB"/>
              </w:rPr>
              <w:t xml:space="preserve">Regarding the other wound bed/peri-wound condition data reported in Skog et al 1983, the significantly greater reduction in </w:t>
            </w:r>
            <w:r w:rsidRPr="00B97D77">
              <w:rPr>
                <w:lang w:eastAsia="en-GB"/>
              </w:rPr>
              <w:lastRenderedPageBreak/>
              <w:t xml:space="preserve">exudate with iodine dressing compared to </w:t>
            </w:r>
            <w:r w:rsidR="0066599F" w:rsidRPr="00B97D77">
              <w:rPr>
                <w:lang w:eastAsia="en-GB"/>
              </w:rPr>
              <w:t xml:space="preserve">the non-anti-microbial dressing is summarised in the section 5.4.4 synthesis. The outcomes oedema and granulation </w:t>
            </w:r>
            <w:r w:rsidR="00494418" w:rsidRPr="00B97D77">
              <w:rPr>
                <w:lang w:eastAsia="en-GB"/>
              </w:rPr>
              <w:t>were</w:t>
            </w:r>
            <w:r w:rsidR="0066599F" w:rsidRPr="00B97D77">
              <w:rPr>
                <w:lang w:eastAsia="en-GB"/>
              </w:rPr>
              <w:t xml:space="preserve"> not summarised </w:t>
            </w:r>
            <w:r w:rsidR="00D35D1A" w:rsidRPr="00B97D77">
              <w:rPr>
                <w:lang w:eastAsia="en-GB"/>
              </w:rPr>
              <w:t>t</w:t>
            </w:r>
            <w:r w:rsidR="0066599F" w:rsidRPr="00B97D77">
              <w:rPr>
                <w:lang w:eastAsia="en-GB"/>
              </w:rPr>
              <w:t xml:space="preserve">here </w:t>
            </w:r>
            <w:r w:rsidR="00D35D1A" w:rsidRPr="00B97D77">
              <w:rPr>
                <w:lang w:eastAsia="en-GB"/>
              </w:rPr>
              <w:t xml:space="preserve">by the EAG </w:t>
            </w:r>
            <w:r w:rsidR="0066599F" w:rsidRPr="00B97D77">
              <w:rPr>
                <w:lang w:eastAsia="en-GB"/>
              </w:rPr>
              <w:t>due to the limited reporting of these outcomes across the included studies</w:t>
            </w:r>
            <w:r w:rsidR="00415920" w:rsidRPr="00B97D77">
              <w:rPr>
                <w:lang w:eastAsia="en-GB"/>
              </w:rPr>
              <w:t>. T</w:t>
            </w:r>
            <w:r w:rsidR="0066599F" w:rsidRPr="00B97D77">
              <w:rPr>
                <w:lang w:eastAsia="en-GB"/>
              </w:rPr>
              <w:t>he oedema and granulation results reported by Skog et al are noted in the data tables and detailed outcome summary in the appendices</w:t>
            </w:r>
            <w:r w:rsidR="00415920" w:rsidRPr="00B97D77">
              <w:rPr>
                <w:lang w:eastAsia="en-GB"/>
              </w:rPr>
              <w:t xml:space="preserve"> </w:t>
            </w:r>
            <w:r w:rsidR="00144F57" w:rsidRPr="00B97D77">
              <w:rPr>
                <w:lang w:eastAsia="en-GB"/>
              </w:rPr>
              <w:t xml:space="preserve">F and G </w:t>
            </w:r>
            <w:r w:rsidR="00415920" w:rsidRPr="00B97D77">
              <w:rPr>
                <w:lang w:eastAsia="en-GB"/>
              </w:rPr>
              <w:t>of the EAR</w:t>
            </w:r>
            <w:r w:rsidR="0066599F" w:rsidRPr="00B97D77">
              <w:rPr>
                <w:lang w:eastAsia="en-GB"/>
              </w:rPr>
              <w:t>.</w:t>
            </w:r>
          </w:p>
        </w:tc>
      </w:tr>
      <w:tr w:rsidR="002731C2" w14:paraId="56C73500" w14:textId="77777777" w:rsidTr="00632BDB">
        <w:tc>
          <w:tcPr>
            <w:tcW w:w="1323" w:type="dxa"/>
          </w:tcPr>
          <w:p w14:paraId="4D4E8939"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58F33143" w14:textId="21FC31CF"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04B5C437" w14:textId="630F8D8A"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4C352289" w14:textId="66B5E1F0" w:rsidR="002731C2" w:rsidRPr="00B97D77" w:rsidRDefault="002731C2" w:rsidP="00B97D77">
            <w:pPr>
              <w:pStyle w:val="Paragraph"/>
              <w:spacing w:line="240" w:lineRule="auto"/>
              <w:rPr>
                <w:rFonts w:cs="Arial"/>
                <w:color w:val="000000"/>
              </w:rPr>
            </w:pPr>
            <w:r w:rsidRPr="00B97D77">
              <w:rPr>
                <w:rFonts w:cs="Arial"/>
                <w:color w:val="000000"/>
              </w:rPr>
              <w:t>Typo/ issue with indexing of table referencing</w:t>
            </w:r>
          </w:p>
        </w:tc>
        <w:tc>
          <w:tcPr>
            <w:tcW w:w="3650" w:type="dxa"/>
          </w:tcPr>
          <w:p w14:paraId="2D7AB039" w14:textId="07DB48D4" w:rsidR="002731C2" w:rsidRPr="00B97D77" w:rsidRDefault="004E11A8" w:rsidP="00B97D77">
            <w:pPr>
              <w:pStyle w:val="Paragraph"/>
              <w:spacing w:line="240" w:lineRule="auto"/>
              <w:rPr>
                <w:lang w:eastAsia="en-GB"/>
              </w:rPr>
            </w:pPr>
            <w:r w:rsidRPr="00B97D77">
              <w:rPr>
                <w:lang w:eastAsia="en-GB"/>
              </w:rPr>
              <w:t>Thank you for your comment</w:t>
            </w:r>
            <w:r w:rsidR="00144F57" w:rsidRPr="00B97D77">
              <w:rPr>
                <w:lang w:eastAsia="en-GB"/>
              </w:rPr>
              <w:t xml:space="preserve">. </w:t>
            </w:r>
            <w:r w:rsidR="002F41E1" w:rsidRPr="00B97D77">
              <w:rPr>
                <w:lang w:eastAsia="en-GB"/>
              </w:rPr>
              <w:t>It is unclear which</w:t>
            </w:r>
            <w:r w:rsidRPr="00B97D77">
              <w:rPr>
                <w:lang w:eastAsia="en-GB"/>
              </w:rPr>
              <w:t xml:space="preserve"> </w:t>
            </w:r>
            <w:r w:rsidR="002F41E1" w:rsidRPr="00B97D77">
              <w:rPr>
                <w:lang w:eastAsia="en-GB"/>
              </w:rPr>
              <w:t xml:space="preserve">table legends </w:t>
            </w:r>
            <w:r w:rsidR="004F7F2D" w:rsidRPr="00B97D77">
              <w:rPr>
                <w:lang w:eastAsia="en-GB"/>
              </w:rPr>
              <w:t xml:space="preserve">EAR </w:t>
            </w:r>
            <w:r w:rsidR="002F41E1" w:rsidRPr="00B97D77">
              <w:rPr>
                <w:lang w:eastAsia="en-GB"/>
              </w:rPr>
              <w:t>are being referred to.</w:t>
            </w:r>
            <w:r w:rsidRPr="00B97D77">
              <w:rPr>
                <w:lang w:eastAsia="en-GB"/>
              </w:rPr>
              <w:t xml:space="preserve"> </w:t>
            </w:r>
          </w:p>
        </w:tc>
      </w:tr>
      <w:tr w:rsidR="002731C2" w14:paraId="2D9808E4" w14:textId="77777777" w:rsidTr="00632BDB">
        <w:tc>
          <w:tcPr>
            <w:tcW w:w="1323" w:type="dxa"/>
          </w:tcPr>
          <w:p w14:paraId="334926FA" w14:textId="77777777" w:rsidR="002731C2" w:rsidRPr="00B97D77" w:rsidRDefault="002731C2"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186926D4" w14:textId="6AA9A939" w:rsidR="002731C2" w:rsidRPr="00B97D77" w:rsidRDefault="002731C2"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5035CF9" w14:textId="09CDE546" w:rsidR="002731C2" w:rsidRPr="00B97D77" w:rsidRDefault="002731C2"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3D127AA6" w14:textId="3AE161AE" w:rsidR="002731C2" w:rsidRPr="00B97D77" w:rsidRDefault="002731C2" w:rsidP="00B97D77">
            <w:pPr>
              <w:pStyle w:val="Paragraph"/>
              <w:spacing w:line="240" w:lineRule="auto"/>
              <w:rPr>
                <w:rFonts w:cs="Arial"/>
                <w:color w:val="000000"/>
              </w:rPr>
            </w:pPr>
            <w:r w:rsidRPr="00B97D77">
              <w:rPr>
                <w:rFonts w:cs="Arial"/>
                <w:color w:val="000000"/>
              </w:rPr>
              <w:t>Paucity of clarity over outcomes for infected VLU stated – however these have been published see Haesler 2019</w:t>
            </w:r>
          </w:p>
        </w:tc>
        <w:tc>
          <w:tcPr>
            <w:tcW w:w="3650" w:type="dxa"/>
          </w:tcPr>
          <w:p w14:paraId="08F80302" w14:textId="34675162" w:rsidR="002731C2" w:rsidRPr="00B97D77" w:rsidRDefault="00873078" w:rsidP="00B97D77">
            <w:pPr>
              <w:pStyle w:val="Paragraph"/>
              <w:spacing w:line="240" w:lineRule="auto"/>
              <w:rPr>
                <w:lang w:eastAsia="en-GB"/>
              </w:rPr>
            </w:pPr>
            <w:r w:rsidRPr="00B97D77">
              <w:rPr>
                <w:lang w:eastAsia="en-GB"/>
              </w:rPr>
              <w:t>Thank you for your comment. Haesler 2019</w:t>
            </w:r>
            <w:r w:rsidR="005E5A52" w:rsidRPr="00B97D77">
              <w:rPr>
                <w:lang w:eastAsia="en-GB"/>
              </w:rPr>
              <w:t xml:space="preserve"> are international </w:t>
            </w:r>
            <w:r w:rsidRPr="00B97D77">
              <w:rPr>
                <w:lang w:eastAsia="en-GB"/>
              </w:rPr>
              <w:t>guidelines</w:t>
            </w:r>
            <w:r w:rsidR="005E5A52" w:rsidRPr="00B97D77">
              <w:rPr>
                <w:lang w:eastAsia="en-GB"/>
              </w:rPr>
              <w:t xml:space="preserve"> and not a primary study, therefore this is ineligible for consideration in the review</w:t>
            </w:r>
            <w:r w:rsidR="00407C07" w:rsidRPr="00B97D77">
              <w:rPr>
                <w:lang w:eastAsia="en-GB"/>
              </w:rPr>
              <w:t xml:space="preserve"> as per the EAG’s protocol</w:t>
            </w:r>
            <w:r w:rsidR="001D3BA9" w:rsidRPr="00B97D77">
              <w:rPr>
                <w:lang w:eastAsia="en-GB"/>
              </w:rPr>
              <w:t>.</w:t>
            </w:r>
            <w:r w:rsidRPr="00B97D77">
              <w:rPr>
                <w:rFonts w:cs="Arial"/>
                <w:color w:val="000000"/>
              </w:rPr>
              <w:t xml:space="preserve"> </w:t>
            </w:r>
          </w:p>
        </w:tc>
      </w:tr>
      <w:tr w:rsidR="00BA763B" w14:paraId="7EF7319D" w14:textId="77777777" w:rsidTr="00632BDB">
        <w:tc>
          <w:tcPr>
            <w:tcW w:w="1323" w:type="dxa"/>
          </w:tcPr>
          <w:p w14:paraId="17E84AA5" w14:textId="77777777" w:rsidR="00BA763B" w:rsidRPr="00B97D77" w:rsidRDefault="00BA763B" w:rsidP="00B97D77">
            <w:pPr>
              <w:pStyle w:val="Paragraph"/>
              <w:numPr>
                <w:ilvl w:val="0"/>
                <w:numId w:val="27"/>
              </w:numPr>
              <w:spacing w:line="240" w:lineRule="auto"/>
              <w:rPr>
                <w:lang w:eastAsia="en-GB"/>
              </w:rPr>
            </w:pPr>
          </w:p>
        </w:tc>
        <w:tc>
          <w:tcPr>
            <w:tcW w:w="1687" w:type="dxa"/>
            <w:tcBorders>
              <w:top w:val="single" w:sz="4" w:space="0" w:color="auto"/>
              <w:left w:val="nil"/>
              <w:bottom w:val="single" w:sz="4" w:space="0" w:color="auto"/>
              <w:right w:val="single" w:sz="4" w:space="0" w:color="auto"/>
            </w:tcBorders>
            <w:shd w:val="clear" w:color="auto" w:fill="auto"/>
          </w:tcPr>
          <w:p w14:paraId="45846166" w14:textId="21480DC0" w:rsidR="00BA763B" w:rsidRPr="00B97D77" w:rsidRDefault="00BA763B" w:rsidP="00B97D77">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02996E82" w14:textId="6444404F" w:rsidR="00BA763B" w:rsidRPr="00B97D77" w:rsidRDefault="00BA763B" w:rsidP="00B97D77">
            <w:pPr>
              <w:pStyle w:val="Paragraph"/>
              <w:spacing w:line="240" w:lineRule="auto"/>
              <w:rPr>
                <w:rFonts w:cs="Arial"/>
                <w:color w:val="000000"/>
              </w:rPr>
            </w:pPr>
            <w:r w:rsidRPr="00B97D77">
              <w:rPr>
                <w:rFonts w:cs="Arial"/>
                <w:color w:val="000000"/>
              </w:rPr>
              <w:t>EAR</w:t>
            </w:r>
          </w:p>
        </w:tc>
        <w:tc>
          <w:tcPr>
            <w:tcW w:w="5252" w:type="dxa"/>
            <w:tcBorders>
              <w:top w:val="single" w:sz="4" w:space="0" w:color="auto"/>
              <w:left w:val="single" w:sz="4" w:space="0" w:color="auto"/>
              <w:bottom w:val="single" w:sz="4" w:space="0" w:color="auto"/>
              <w:right w:val="nil"/>
            </w:tcBorders>
            <w:shd w:val="clear" w:color="auto" w:fill="auto"/>
          </w:tcPr>
          <w:p w14:paraId="2C65884B" w14:textId="77777777" w:rsidR="00BA763B" w:rsidRPr="00B97D77" w:rsidRDefault="00BA763B" w:rsidP="00B97D77">
            <w:pPr>
              <w:pStyle w:val="Paragraph"/>
              <w:spacing w:line="240" w:lineRule="auto"/>
              <w:rPr>
                <w:rFonts w:cs="Arial"/>
                <w:color w:val="000000"/>
              </w:rPr>
            </w:pPr>
            <w:r w:rsidRPr="00B97D77">
              <w:rPr>
                <w:rFonts w:cs="Arial"/>
                <w:color w:val="000000"/>
              </w:rPr>
              <w:t>Inconsistencies of dressing classifications; ACTICOAT family of dressings labelled under elemental silver (nano-crystalline) in initial key (Table 2.2/ 2.3) but then incorrectly labelled as ionic silver dressing in p71, p72 and p 79 (table 5.2), p85 (table 5.3), p86, p92 (table 5.9), p99 (table 5.14), p116, p124 (table 5.29), p129, 131, 241 through clinical evidence assessments.</w:t>
            </w:r>
          </w:p>
          <w:p w14:paraId="4B1BB18D" w14:textId="2F5B56D4" w:rsidR="00BA763B" w:rsidRPr="00B97D77" w:rsidRDefault="00BA763B" w:rsidP="00B97D77">
            <w:pPr>
              <w:pStyle w:val="Paragraph"/>
              <w:spacing w:line="240" w:lineRule="auto"/>
              <w:rPr>
                <w:rFonts w:cs="Arial"/>
                <w:color w:val="000000"/>
              </w:rPr>
            </w:pPr>
            <w:r w:rsidRPr="00B97D77">
              <w:rPr>
                <w:rFonts w:cs="Arial"/>
                <w:color w:val="000000"/>
              </w:rPr>
              <w:t>p154 (table 7.3) and p158 (table 7.4) healing rate health economic analysis – labels ACTICOAT as elemental silver.</w:t>
            </w:r>
          </w:p>
          <w:p w14:paraId="53312CA5" w14:textId="78BE7A62" w:rsidR="00BA763B" w:rsidRPr="00B97D77" w:rsidRDefault="00BA763B" w:rsidP="00B97D77">
            <w:pPr>
              <w:pStyle w:val="Paragraph"/>
              <w:spacing w:line="240" w:lineRule="auto"/>
              <w:rPr>
                <w:rFonts w:cs="Arial"/>
                <w:color w:val="000000"/>
              </w:rPr>
            </w:pPr>
            <w:r w:rsidRPr="00B97D77">
              <w:rPr>
                <w:rFonts w:cs="Arial"/>
                <w:color w:val="000000"/>
              </w:rPr>
              <w:t xml:space="preserve">This impacts the analysis and suggests data favouring ionic silver when </w:t>
            </w:r>
            <w:proofErr w:type="gramStart"/>
            <w:r w:rsidRPr="00B97D77">
              <w:rPr>
                <w:rFonts w:cs="Arial"/>
                <w:color w:val="000000"/>
              </w:rPr>
              <w:t>actually it</w:t>
            </w:r>
            <w:proofErr w:type="gramEnd"/>
            <w:r w:rsidRPr="00B97D77">
              <w:rPr>
                <w:rFonts w:cs="Arial"/>
                <w:color w:val="000000"/>
              </w:rPr>
              <w:t xml:space="preserve"> is metallic/ elemental silver as per the scope.</w:t>
            </w:r>
          </w:p>
        </w:tc>
        <w:tc>
          <w:tcPr>
            <w:tcW w:w="3650" w:type="dxa"/>
          </w:tcPr>
          <w:p w14:paraId="208A915C" w14:textId="0E42AADF" w:rsidR="00F45760" w:rsidRPr="00B97D77" w:rsidRDefault="00F45760" w:rsidP="00B97D77">
            <w:pPr>
              <w:pStyle w:val="Paragraph"/>
              <w:spacing w:line="240" w:lineRule="auto"/>
              <w:rPr>
                <w:lang w:eastAsia="en-GB"/>
              </w:rPr>
            </w:pPr>
            <w:r w:rsidRPr="00B97D77">
              <w:rPr>
                <w:lang w:eastAsia="en-GB"/>
              </w:rPr>
              <w:t>Thank you for your comment, please see response to comment 151.</w:t>
            </w:r>
          </w:p>
        </w:tc>
      </w:tr>
    </w:tbl>
    <w:p w14:paraId="2082EE7B" w14:textId="77777777" w:rsidR="00632BDB" w:rsidRDefault="00632BDB" w:rsidP="00632BDB">
      <w:pPr>
        <w:pStyle w:val="Heading1"/>
        <w:spacing w:line="240" w:lineRule="auto"/>
      </w:pPr>
      <w:r>
        <w:t xml:space="preserve">Table 23: outcome measures and population included in scope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76"/>
        <w:gridCol w:w="2217"/>
        <w:gridCol w:w="5144"/>
        <w:gridCol w:w="3588"/>
      </w:tblGrid>
      <w:tr w:rsidR="003F4BC4" w14:paraId="24BAB4D1" w14:textId="77777777" w:rsidTr="00271578">
        <w:tc>
          <w:tcPr>
            <w:tcW w:w="1323" w:type="dxa"/>
            <w:shd w:val="clear" w:color="auto" w:fill="D9D9D9" w:themeFill="background1" w:themeFillShade="D9"/>
          </w:tcPr>
          <w:p w14:paraId="1A58884C" w14:textId="5927F9B8" w:rsidR="003F4BC4" w:rsidRPr="00B97D77" w:rsidRDefault="003F4BC4" w:rsidP="00BA1B80">
            <w:pPr>
              <w:pStyle w:val="Paragraph"/>
              <w:spacing w:line="240" w:lineRule="auto"/>
              <w:rPr>
                <w:lang w:eastAsia="en-GB"/>
              </w:rPr>
            </w:pPr>
            <w:r w:rsidRPr="00B97D77">
              <w:rPr>
                <w:b/>
                <w:bCs/>
                <w:lang w:eastAsia="en-GB"/>
              </w:rPr>
              <w:t>Comment no.</w:t>
            </w:r>
          </w:p>
        </w:tc>
        <w:tc>
          <w:tcPr>
            <w:tcW w:w="1676" w:type="dxa"/>
            <w:tcBorders>
              <w:top w:val="single" w:sz="4" w:space="0" w:color="auto"/>
              <w:left w:val="nil"/>
              <w:bottom w:val="single" w:sz="4" w:space="0" w:color="auto"/>
              <w:right w:val="single" w:sz="4" w:space="0" w:color="auto"/>
            </w:tcBorders>
            <w:shd w:val="clear" w:color="auto" w:fill="D9D9D9" w:themeFill="background1" w:themeFillShade="D9"/>
          </w:tcPr>
          <w:p w14:paraId="51717EB6" w14:textId="6DA3ED25" w:rsidR="003F4BC4" w:rsidRPr="00B97D77" w:rsidRDefault="003F4BC4" w:rsidP="00BA1B80">
            <w:pPr>
              <w:pStyle w:val="Paragraph"/>
              <w:spacing w:line="240" w:lineRule="auto"/>
              <w:rPr>
                <w:rFonts w:cs="Arial"/>
                <w:color w:val="000000"/>
              </w:rPr>
            </w:pPr>
            <w:r w:rsidRPr="00B97D77">
              <w:rPr>
                <w:b/>
                <w:bCs/>
                <w:lang w:eastAsia="en-GB"/>
              </w:rPr>
              <w:t>Consultee</w:t>
            </w:r>
          </w:p>
        </w:tc>
        <w:tc>
          <w:tcPr>
            <w:tcW w:w="2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6E150" w14:textId="44CD9476" w:rsidR="003F4BC4" w:rsidRPr="00B97D77" w:rsidRDefault="003F4BC4" w:rsidP="00BA1B80">
            <w:pPr>
              <w:pStyle w:val="Paragraph"/>
              <w:spacing w:line="240" w:lineRule="auto"/>
              <w:rPr>
                <w:rFonts w:cs="Arial"/>
                <w:color w:val="000000"/>
              </w:rPr>
            </w:pPr>
            <w:r w:rsidRPr="00B97D77">
              <w:rPr>
                <w:b/>
                <w:bCs/>
                <w:lang w:eastAsia="en-GB"/>
              </w:rPr>
              <w:t>Section no.</w:t>
            </w:r>
          </w:p>
        </w:tc>
        <w:tc>
          <w:tcPr>
            <w:tcW w:w="5144" w:type="dxa"/>
            <w:tcBorders>
              <w:top w:val="single" w:sz="4" w:space="0" w:color="auto"/>
              <w:left w:val="single" w:sz="4" w:space="0" w:color="auto"/>
              <w:bottom w:val="single" w:sz="4" w:space="0" w:color="auto"/>
              <w:right w:val="nil"/>
            </w:tcBorders>
            <w:shd w:val="clear" w:color="auto" w:fill="D9D9D9" w:themeFill="background1" w:themeFillShade="D9"/>
          </w:tcPr>
          <w:p w14:paraId="2ACE81B2" w14:textId="1DC53BA0" w:rsidR="003F4BC4" w:rsidRPr="00B97D77" w:rsidRDefault="003F4BC4" w:rsidP="00BA1B80">
            <w:pPr>
              <w:pStyle w:val="Paragraph"/>
              <w:spacing w:line="240" w:lineRule="auto"/>
              <w:rPr>
                <w:rFonts w:cs="Arial"/>
                <w:color w:val="000000"/>
              </w:rPr>
            </w:pPr>
            <w:r w:rsidRPr="00B97D77">
              <w:rPr>
                <w:b/>
                <w:bCs/>
                <w:lang w:eastAsia="en-GB"/>
              </w:rPr>
              <w:t>Comment</w:t>
            </w:r>
          </w:p>
        </w:tc>
        <w:tc>
          <w:tcPr>
            <w:tcW w:w="3588" w:type="dxa"/>
            <w:shd w:val="clear" w:color="auto" w:fill="D9D9D9" w:themeFill="background1" w:themeFillShade="D9"/>
          </w:tcPr>
          <w:p w14:paraId="4F525604" w14:textId="328D2AEA" w:rsidR="003F4BC4" w:rsidRPr="00B97D77" w:rsidRDefault="003F4BC4" w:rsidP="00BA1B80">
            <w:pPr>
              <w:pStyle w:val="Paragraph"/>
              <w:spacing w:line="240" w:lineRule="auto"/>
              <w:rPr>
                <w:lang w:eastAsia="en-GB"/>
              </w:rPr>
            </w:pPr>
            <w:r w:rsidRPr="00B97D77">
              <w:rPr>
                <w:b/>
                <w:bCs/>
                <w:lang w:eastAsia="en-GB"/>
              </w:rPr>
              <w:t>Response</w:t>
            </w:r>
          </w:p>
        </w:tc>
      </w:tr>
      <w:tr w:rsidR="0012078B" w14:paraId="156CA461" w14:textId="77777777" w:rsidTr="00271578">
        <w:tc>
          <w:tcPr>
            <w:tcW w:w="1323" w:type="dxa"/>
          </w:tcPr>
          <w:p w14:paraId="715ADE39" w14:textId="77777777" w:rsidR="0012078B" w:rsidRPr="00B97D77" w:rsidRDefault="0012078B"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460C1B08" w14:textId="7DEF6DA1" w:rsidR="0012078B" w:rsidRPr="00B97D77" w:rsidRDefault="0012078B" w:rsidP="00BA1B80">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975D227" w14:textId="654DBCC3" w:rsidR="0012078B" w:rsidRPr="00B97D77" w:rsidRDefault="0012078B" w:rsidP="00BA1B80">
            <w:pPr>
              <w:pStyle w:val="Paragraph"/>
              <w:spacing w:line="240" w:lineRule="auto"/>
              <w:rPr>
                <w:lang w:eastAsia="en-GB"/>
              </w:rPr>
            </w:pPr>
            <w:r w:rsidRPr="00B97D77">
              <w:rPr>
                <w:rFonts w:cs="Arial"/>
                <w:color w:val="000000"/>
              </w:rPr>
              <w:t>Not specified</w:t>
            </w:r>
          </w:p>
        </w:tc>
        <w:tc>
          <w:tcPr>
            <w:tcW w:w="5144" w:type="dxa"/>
            <w:tcBorders>
              <w:top w:val="single" w:sz="4" w:space="0" w:color="auto"/>
              <w:left w:val="single" w:sz="4" w:space="0" w:color="auto"/>
              <w:bottom w:val="single" w:sz="4" w:space="0" w:color="auto"/>
              <w:right w:val="nil"/>
            </w:tcBorders>
            <w:shd w:val="clear" w:color="auto" w:fill="auto"/>
          </w:tcPr>
          <w:p w14:paraId="180C109D" w14:textId="724F67AB" w:rsidR="0012078B" w:rsidRPr="00B97D77" w:rsidRDefault="0012078B" w:rsidP="00BA1B80">
            <w:pPr>
              <w:pStyle w:val="Paragraph"/>
              <w:spacing w:line="240" w:lineRule="auto"/>
              <w:rPr>
                <w:lang w:eastAsia="en-GB"/>
              </w:rPr>
            </w:pPr>
            <w:r w:rsidRPr="00B97D77">
              <w:rPr>
                <w:rFonts w:cs="Arial"/>
                <w:color w:val="000000"/>
              </w:rPr>
              <w:t xml:space="preserve">Healing should not be the primary endpoint for studies on </w:t>
            </w:r>
            <w:proofErr w:type="gramStart"/>
            <w:r w:rsidRPr="00B97D77">
              <w:rPr>
                <w:rFonts w:cs="Arial"/>
                <w:color w:val="000000"/>
              </w:rPr>
              <w:t>Antimicrobial</w:t>
            </w:r>
            <w:proofErr w:type="gramEnd"/>
            <w:r w:rsidRPr="00B97D77">
              <w:rPr>
                <w:rFonts w:cs="Arial"/>
                <w:color w:val="000000"/>
              </w:rPr>
              <w:t xml:space="preserve"> dressings - Appropriate use of AMDs as part of </w:t>
            </w:r>
            <w:proofErr w:type="gramStart"/>
            <w:r w:rsidRPr="00B97D77">
              <w:rPr>
                <w:rFonts w:cs="Arial"/>
                <w:color w:val="000000"/>
              </w:rPr>
              <w:t>Antimicrobial</w:t>
            </w:r>
            <w:proofErr w:type="gramEnd"/>
            <w:r w:rsidRPr="00B97D77">
              <w:rPr>
                <w:rFonts w:cs="Arial"/>
                <w:color w:val="000000"/>
              </w:rPr>
              <w:t xml:space="preserve"> stewardship would support use of AMDs until the clinical signs of infection are resolved, but this may be earlier than </w:t>
            </w:r>
            <w:r w:rsidRPr="00B97D77">
              <w:rPr>
                <w:rFonts w:cs="Arial"/>
                <w:color w:val="000000"/>
              </w:rPr>
              <w:lastRenderedPageBreak/>
              <w:t>complete healing - surrogate endpoints should be used</w:t>
            </w:r>
          </w:p>
        </w:tc>
        <w:tc>
          <w:tcPr>
            <w:tcW w:w="3588" w:type="dxa"/>
          </w:tcPr>
          <w:p w14:paraId="21E626D6" w14:textId="5E412BC7" w:rsidR="006F547A" w:rsidRPr="00B97D77" w:rsidRDefault="00C448AF" w:rsidP="00BA1B80">
            <w:pPr>
              <w:pStyle w:val="Paragraph"/>
              <w:spacing w:line="240" w:lineRule="auto"/>
              <w:rPr>
                <w:lang w:eastAsia="en-GB"/>
              </w:rPr>
            </w:pPr>
            <w:r w:rsidRPr="00B97D77">
              <w:rPr>
                <w:lang w:eastAsia="en-GB"/>
              </w:rPr>
              <w:lastRenderedPageBreak/>
              <w:t>Thank you for your comment.</w:t>
            </w:r>
            <w:r w:rsidR="007B7E80" w:rsidRPr="00B97D77">
              <w:rPr>
                <w:lang w:eastAsia="en-GB"/>
              </w:rPr>
              <w:t xml:space="preserve"> Complete wound healing is a necessary outcome to demonstrate downstream </w:t>
            </w:r>
            <w:r w:rsidR="006F547A" w:rsidRPr="00B97D77">
              <w:rPr>
                <w:lang w:eastAsia="en-GB"/>
              </w:rPr>
              <w:t xml:space="preserve">benefits of a dressing. This was confirmed during the scoping </w:t>
            </w:r>
            <w:r w:rsidR="006F547A" w:rsidRPr="00B97D77">
              <w:rPr>
                <w:lang w:eastAsia="en-GB"/>
              </w:rPr>
              <w:lastRenderedPageBreak/>
              <w:t xml:space="preserve">process. </w:t>
            </w:r>
            <w:r w:rsidR="003944C9" w:rsidRPr="00B97D77">
              <w:rPr>
                <w:lang w:eastAsia="en-GB"/>
              </w:rPr>
              <w:t>Performance of dressings in resolving infection was included</w:t>
            </w:r>
            <w:r w:rsidR="0052236D" w:rsidRPr="00B97D77">
              <w:rPr>
                <w:lang w:eastAsia="en-GB"/>
              </w:rPr>
              <w:t xml:space="preserve"> and was a driver in cost-effectiveness.</w:t>
            </w:r>
          </w:p>
        </w:tc>
      </w:tr>
      <w:tr w:rsidR="0012078B" w14:paraId="30B2CC29" w14:textId="77777777" w:rsidTr="00271578">
        <w:tc>
          <w:tcPr>
            <w:tcW w:w="1323" w:type="dxa"/>
          </w:tcPr>
          <w:p w14:paraId="03EADF67" w14:textId="77777777" w:rsidR="0012078B" w:rsidRPr="00B97D77" w:rsidRDefault="0012078B"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48934CD" w14:textId="6B48FB5D" w:rsidR="0012078B" w:rsidRPr="00B97D77" w:rsidRDefault="0012078B" w:rsidP="00BA1B80">
            <w:pPr>
              <w:pStyle w:val="Paragraph"/>
              <w:spacing w:line="240" w:lineRule="auto"/>
              <w:rPr>
                <w:lang w:eastAsia="en-GB"/>
              </w:rPr>
            </w:pPr>
            <w:r w:rsidRPr="00B97D77">
              <w:rPr>
                <w:rFonts w:cs="Arial"/>
                <w:color w:val="000000"/>
              </w:rPr>
              <w:t>Consultee 3</w:t>
            </w:r>
            <w:r w:rsidRPr="00B97D77">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EBB9A20" w14:textId="69DFFC85" w:rsidR="0012078B" w:rsidRPr="00B97D77" w:rsidRDefault="0012078B" w:rsidP="00BA1B80">
            <w:pPr>
              <w:pStyle w:val="Paragraph"/>
              <w:spacing w:line="240" w:lineRule="auto"/>
              <w:rPr>
                <w:lang w:eastAsia="en-GB"/>
              </w:rPr>
            </w:pPr>
            <w:r w:rsidRPr="00B97D77">
              <w:rPr>
                <w:rFonts w:cs="Arial"/>
                <w:color w:val="000000"/>
              </w:rPr>
              <w:t>Not specified</w:t>
            </w:r>
          </w:p>
        </w:tc>
        <w:tc>
          <w:tcPr>
            <w:tcW w:w="5144" w:type="dxa"/>
            <w:tcBorders>
              <w:top w:val="single" w:sz="4" w:space="0" w:color="auto"/>
              <w:left w:val="single" w:sz="4" w:space="0" w:color="auto"/>
              <w:bottom w:val="single" w:sz="4" w:space="0" w:color="auto"/>
              <w:right w:val="nil"/>
            </w:tcBorders>
            <w:shd w:val="clear" w:color="auto" w:fill="auto"/>
          </w:tcPr>
          <w:p w14:paraId="7E14AEEA" w14:textId="5498CA33" w:rsidR="0012078B" w:rsidRPr="00B97D77" w:rsidRDefault="0012078B" w:rsidP="00BA1B80">
            <w:pPr>
              <w:pStyle w:val="Paragraph"/>
              <w:spacing w:line="240" w:lineRule="auto"/>
              <w:rPr>
                <w:lang w:eastAsia="en-GB"/>
              </w:rPr>
            </w:pPr>
            <w:r w:rsidRPr="00B97D77">
              <w:rPr>
                <w:rFonts w:cs="Arial"/>
                <w:color w:val="000000"/>
              </w:rPr>
              <w:t>The IWII 2022 supports the use of AMDs to manage local bioburden and infection across the continuum where bioburden is causing a response in the patient (overt and covert infection) OR if the patient is at high risk of developing an infection (co-morbidities, immunocompromised status etc...) The scope should segment the evidence into these areas not just infected wounds</w:t>
            </w:r>
          </w:p>
        </w:tc>
        <w:tc>
          <w:tcPr>
            <w:tcW w:w="3588" w:type="dxa"/>
          </w:tcPr>
          <w:p w14:paraId="7A87396C" w14:textId="6D487141" w:rsidR="0012078B" w:rsidRPr="00B97D77" w:rsidRDefault="000F503C" w:rsidP="00BA1B80">
            <w:pPr>
              <w:pStyle w:val="Paragraph"/>
              <w:spacing w:line="240" w:lineRule="auto"/>
              <w:rPr>
                <w:lang w:eastAsia="en-GB"/>
              </w:rPr>
            </w:pPr>
            <w:r w:rsidRPr="00B97D77">
              <w:rPr>
                <w:lang w:eastAsia="en-GB"/>
              </w:rPr>
              <w:t xml:space="preserve">Thank you for your comment. The prophylactic use of antimicrobial dressings was </w:t>
            </w:r>
            <w:r w:rsidR="00283E82" w:rsidRPr="00B97D77">
              <w:rPr>
                <w:lang w:eastAsia="en-GB"/>
              </w:rPr>
              <w:t xml:space="preserve">discussed during the scope period. </w:t>
            </w:r>
            <w:r w:rsidR="00EF3CD4" w:rsidRPr="00B97D77">
              <w:rPr>
                <w:lang w:eastAsia="en-GB"/>
              </w:rPr>
              <w:t xml:space="preserve">Clinical experts advised that while antimicrobial dressings are sometimes used prophylactically, they were not routinely recommended. </w:t>
            </w:r>
            <w:r w:rsidR="004769AF" w:rsidRPr="00B97D77">
              <w:rPr>
                <w:lang w:eastAsia="en-GB"/>
              </w:rPr>
              <w:t xml:space="preserve">Experts also expressed that there would </w:t>
            </w:r>
            <w:r w:rsidR="002C3612" w:rsidRPr="00B97D77">
              <w:rPr>
                <w:lang w:eastAsia="en-GB"/>
              </w:rPr>
              <w:t>difficulty in defining the ‘at risk’ population</w:t>
            </w:r>
            <w:r w:rsidR="004769AF" w:rsidRPr="00B97D77">
              <w:rPr>
                <w:lang w:eastAsia="en-GB"/>
              </w:rPr>
              <w:t xml:space="preserve"> which would introduce heter</w:t>
            </w:r>
            <w:r w:rsidR="00D27305" w:rsidRPr="00B97D77">
              <w:rPr>
                <w:lang w:eastAsia="en-GB"/>
              </w:rPr>
              <w:t>ogeneity into an already heterogeneous evidence base</w:t>
            </w:r>
            <w:r w:rsidR="002C3612" w:rsidRPr="00B97D77">
              <w:rPr>
                <w:lang w:eastAsia="en-GB"/>
              </w:rPr>
              <w:t xml:space="preserve">. </w:t>
            </w:r>
          </w:p>
        </w:tc>
      </w:tr>
      <w:tr w:rsidR="0012078B" w14:paraId="3739680C" w14:textId="77777777" w:rsidTr="00271578">
        <w:tc>
          <w:tcPr>
            <w:tcW w:w="1323" w:type="dxa"/>
          </w:tcPr>
          <w:p w14:paraId="564F1856" w14:textId="77777777" w:rsidR="0012078B" w:rsidRPr="00B97D77" w:rsidRDefault="0012078B"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3365741C" w14:textId="56ED44AF" w:rsidR="0012078B" w:rsidRPr="00B97D77" w:rsidRDefault="0012078B" w:rsidP="00BA1B80">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62419FB" w14:textId="6770CB28" w:rsidR="0012078B" w:rsidRPr="00B97D77" w:rsidRDefault="0012078B" w:rsidP="00BA1B80">
            <w:pPr>
              <w:pStyle w:val="Paragraph"/>
              <w:spacing w:line="240" w:lineRule="auto"/>
              <w:rPr>
                <w:lang w:eastAsia="en-GB"/>
              </w:rPr>
            </w:pPr>
            <w:r w:rsidRPr="00B97D77">
              <w:rPr>
                <w:rFonts w:cs="Arial"/>
                <w:color w:val="000000"/>
              </w:rPr>
              <w:t>1.1 1 Recommendations</w:t>
            </w:r>
          </w:p>
        </w:tc>
        <w:tc>
          <w:tcPr>
            <w:tcW w:w="5144" w:type="dxa"/>
            <w:tcBorders>
              <w:top w:val="single" w:sz="4" w:space="0" w:color="auto"/>
              <w:left w:val="single" w:sz="4" w:space="0" w:color="auto"/>
              <w:bottom w:val="single" w:sz="4" w:space="0" w:color="auto"/>
              <w:right w:val="nil"/>
            </w:tcBorders>
            <w:shd w:val="clear" w:color="auto" w:fill="auto"/>
          </w:tcPr>
          <w:p w14:paraId="42059AC9" w14:textId="6D2EB8B6" w:rsidR="0012078B" w:rsidRPr="00B97D77" w:rsidRDefault="0012078B" w:rsidP="00BA1B80">
            <w:pPr>
              <w:pStyle w:val="Paragraph"/>
              <w:spacing w:line="240" w:lineRule="auto"/>
              <w:rPr>
                <w:lang w:eastAsia="en-GB"/>
              </w:rPr>
            </w:pPr>
            <w:r w:rsidRPr="00B97D77">
              <w:rPr>
                <w:rFonts w:cs="Arial"/>
                <w:color w:val="000000"/>
              </w:rPr>
              <w:t xml:space="preserve">The conclusion of not enough evidence is result of a narrow scope and rigid assessment. Narrowness of the LSA to infected Leg Ulcers will exclude valuable evidence due to the nature of recruiting a patient population this narrow. The LSA examines a subset (Infected) of a subset (Leg Ulcers). At current rates on clinicaltrials.gov, for an infected VLU it could take 9-10 years to </w:t>
            </w:r>
            <w:r w:rsidRPr="00B97D77">
              <w:rPr>
                <w:rFonts w:cs="Arial"/>
                <w:color w:val="000000"/>
              </w:rPr>
              <w:lastRenderedPageBreak/>
              <w:t>recruit and publish RCT-level evidence. The time and resource required to produce high level evidence, comparative or non-</w:t>
            </w:r>
            <w:proofErr w:type="gramStart"/>
            <w:r w:rsidRPr="00B97D77">
              <w:rPr>
                <w:rFonts w:cs="Arial"/>
                <w:color w:val="000000"/>
              </w:rPr>
              <w:t>comparative,</w:t>
            </w:r>
            <w:proofErr w:type="gramEnd"/>
            <w:r w:rsidRPr="00B97D77">
              <w:rPr>
                <w:rFonts w:cs="Arial"/>
                <w:color w:val="000000"/>
              </w:rPr>
              <w:t xml:space="preserve"> in a scope this narrow is extremely unrealistic.</w:t>
            </w:r>
          </w:p>
        </w:tc>
        <w:tc>
          <w:tcPr>
            <w:tcW w:w="3588" w:type="dxa"/>
          </w:tcPr>
          <w:p w14:paraId="6C0FDA5F" w14:textId="609DD92A" w:rsidR="0012078B" w:rsidRPr="00B97D77" w:rsidRDefault="000B4773" w:rsidP="00BA1B80">
            <w:pPr>
              <w:pStyle w:val="Paragraph"/>
              <w:spacing w:line="240" w:lineRule="auto"/>
              <w:rPr>
                <w:lang w:eastAsia="en-GB"/>
              </w:rPr>
            </w:pPr>
            <w:r w:rsidRPr="00B97D77">
              <w:rPr>
                <w:lang w:eastAsia="en-GB"/>
              </w:rPr>
              <w:lastRenderedPageBreak/>
              <w:t xml:space="preserve">Thank you for your comment. Please see response to comment </w:t>
            </w:r>
            <w:r w:rsidR="00701341" w:rsidRPr="00B97D77">
              <w:rPr>
                <w:lang w:eastAsia="en-GB"/>
              </w:rPr>
              <w:t>42.</w:t>
            </w:r>
          </w:p>
        </w:tc>
      </w:tr>
      <w:tr w:rsidR="0012078B" w14:paraId="4852AA13" w14:textId="77777777" w:rsidTr="00271578">
        <w:tc>
          <w:tcPr>
            <w:tcW w:w="1323" w:type="dxa"/>
          </w:tcPr>
          <w:p w14:paraId="30595FD0" w14:textId="77777777" w:rsidR="0012078B" w:rsidRPr="00B97D77" w:rsidRDefault="0012078B"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FBD8507" w14:textId="34710FA2" w:rsidR="0012078B" w:rsidRPr="00B97D77" w:rsidRDefault="0012078B" w:rsidP="00BA1B80">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54A54EE9" w14:textId="70719AE2" w:rsidR="0012078B" w:rsidRPr="00B97D77" w:rsidRDefault="0012078B" w:rsidP="00BA1B80">
            <w:pPr>
              <w:pStyle w:val="Paragraph"/>
              <w:spacing w:line="240" w:lineRule="auto"/>
              <w:rPr>
                <w:lang w:eastAsia="en-GB"/>
              </w:rPr>
            </w:pPr>
            <w:r w:rsidRPr="00B97D77">
              <w:rPr>
                <w:rFonts w:cs="Arial"/>
                <w:color w:val="000000"/>
              </w:rPr>
              <w:t>3.8 Key evidence is limited</w:t>
            </w:r>
          </w:p>
        </w:tc>
        <w:tc>
          <w:tcPr>
            <w:tcW w:w="5144" w:type="dxa"/>
            <w:tcBorders>
              <w:top w:val="single" w:sz="4" w:space="0" w:color="auto"/>
              <w:left w:val="single" w:sz="4" w:space="0" w:color="auto"/>
              <w:bottom w:val="single" w:sz="4" w:space="0" w:color="auto"/>
              <w:right w:val="nil"/>
            </w:tcBorders>
            <w:shd w:val="clear" w:color="auto" w:fill="auto"/>
          </w:tcPr>
          <w:p w14:paraId="64D113BD" w14:textId="514FB28E" w:rsidR="0012078B" w:rsidRPr="00B97D77" w:rsidRDefault="0012078B" w:rsidP="00BA1B80">
            <w:pPr>
              <w:pStyle w:val="Paragraph"/>
              <w:spacing w:line="240" w:lineRule="auto"/>
              <w:rPr>
                <w:lang w:eastAsia="en-GB"/>
              </w:rPr>
            </w:pPr>
            <w:r w:rsidRPr="00B97D77">
              <w:rPr>
                <w:rFonts w:cs="Arial"/>
                <w:color w:val="000000"/>
              </w:rPr>
              <w:t>The narrowness of scope is also questionable given that there is no accurate diagnostic test for local infection and that, in the absence of a definitive test, most AMDs are indicated for infected wounds and wounds at risk of infection. Narrowing the scope in this way has excluded higher-quality studies on the efficacy of AMDs and makes the LSA less relevant to real-world clinical decision making.</w:t>
            </w:r>
          </w:p>
        </w:tc>
        <w:tc>
          <w:tcPr>
            <w:tcW w:w="3588" w:type="dxa"/>
          </w:tcPr>
          <w:p w14:paraId="43EF245C" w14:textId="0E4D543B" w:rsidR="0012078B" w:rsidRPr="00B97D77" w:rsidRDefault="00701341" w:rsidP="00BA1B80">
            <w:pPr>
              <w:pStyle w:val="Paragraph"/>
              <w:spacing w:line="240" w:lineRule="auto"/>
              <w:rPr>
                <w:lang w:eastAsia="en-GB"/>
              </w:rPr>
            </w:pPr>
            <w:r w:rsidRPr="00B97D77">
              <w:rPr>
                <w:lang w:eastAsia="en-GB"/>
              </w:rPr>
              <w:t xml:space="preserve">Thank you for your comment. The signs and symptoms outlined </w:t>
            </w:r>
            <w:r w:rsidR="00905A67" w:rsidRPr="00B97D77">
              <w:rPr>
                <w:lang w:eastAsia="en-GB"/>
              </w:rPr>
              <w:t xml:space="preserve">by the IWII were used in this evaluation. </w:t>
            </w:r>
            <w:r w:rsidR="0055626A">
              <w:rPr>
                <w:lang w:eastAsia="en-GB"/>
              </w:rPr>
              <w:t>This has been clarified in the guidance and the title has been changed to make it</w:t>
            </w:r>
            <w:r w:rsidR="009128A1">
              <w:rPr>
                <w:lang w:eastAsia="en-GB"/>
              </w:rPr>
              <w:t xml:space="preserve"> clearer. </w:t>
            </w:r>
            <w:proofErr w:type="gramStart"/>
            <w:r w:rsidR="00905A67" w:rsidRPr="00B97D77">
              <w:rPr>
                <w:lang w:eastAsia="en-GB"/>
              </w:rPr>
              <w:t>Additionally</w:t>
            </w:r>
            <w:proofErr w:type="gramEnd"/>
            <w:r w:rsidR="00905A67" w:rsidRPr="00B97D77">
              <w:rPr>
                <w:lang w:eastAsia="en-GB"/>
              </w:rPr>
              <w:t xml:space="preserve"> the EAG did not exclude any study based on the</w:t>
            </w:r>
            <w:r w:rsidR="00841C23" w:rsidRPr="00B97D77">
              <w:rPr>
                <w:lang w:eastAsia="en-GB"/>
              </w:rPr>
              <w:t xml:space="preserve"> studies </w:t>
            </w:r>
            <w:r w:rsidR="00905A67" w:rsidRPr="00B97D77">
              <w:rPr>
                <w:lang w:eastAsia="en-GB"/>
              </w:rPr>
              <w:t xml:space="preserve">definition of infection. </w:t>
            </w:r>
            <w:r w:rsidR="00F035DA" w:rsidRPr="00B97D77">
              <w:rPr>
                <w:lang w:eastAsia="en-GB"/>
              </w:rPr>
              <w:t>This means no study</w:t>
            </w:r>
            <w:r w:rsidR="00841C23" w:rsidRPr="00B97D77">
              <w:rPr>
                <w:lang w:eastAsia="en-GB"/>
              </w:rPr>
              <w:t xml:space="preserve"> identified in the review</w:t>
            </w:r>
            <w:r w:rsidR="00F035DA" w:rsidRPr="00B97D77">
              <w:rPr>
                <w:lang w:eastAsia="en-GB"/>
              </w:rPr>
              <w:t xml:space="preserve"> was disadvantaged. </w:t>
            </w:r>
          </w:p>
        </w:tc>
      </w:tr>
      <w:tr w:rsidR="0012078B" w14:paraId="6C58429A" w14:textId="77777777" w:rsidTr="00271578">
        <w:tc>
          <w:tcPr>
            <w:tcW w:w="1323" w:type="dxa"/>
          </w:tcPr>
          <w:p w14:paraId="26536DC6" w14:textId="77777777" w:rsidR="0012078B" w:rsidRPr="00B97D77" w:rsidRDefault="0012078B"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9A71AB8" w14:textId="7981E57F" w:rsidR="0012078B" w:rsidRPr="00B97D77" w:rsidRDefault="0012078B" w:rsidP="00BA1B80">
            <w:pPr>
              <w:pStyle w:val="Paragraph"/>
              <w:spacing w:line="240" w:lineRule="auto"/>
              <w:rPr>
                <w:lang w:eastAsia="en-GB"/>
              </w:rPr>
            </w:pPr>
            <w:r w:rsidRPr="00B97D77">
              <w:rPr>
                <w:rFonts w:cs="Arial"/>
                <w:color w:val="000000"/>
              </w:rPr>
              <w:t>Consultee 11</w:t>
            </w:r>
            <w:r w:rsidRPr="00B97D77">
              <w:rPr>
                <w:rFonts w:cs="Arial"/>
                <w:color w:val="000000"/>
              </w:rPr>
              <w:br/>
            </w:r>
            <w:proofErr w:type="spellStart"/>
            <w:r w:rsidRPr="00B97D77">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AB90439" w14:textId="074E3945" w:rsidR="0012078B" w:rsidRPr="00B97D77" w:rsidRDefault="0012078B" w:rsidP="00BA1B80">
            <w:pPr>
              <w:pStyle w:val="Paragraph"/>
              <w:spacing w:line="240" w:lineRule="auto"/>
              <w:rPr>
                <w:lang w:eastAsia="en-GB"/>
              </w:rPr>
            </w:pPr>
            <w:r w:rsidRPr="00B97D77">
              <w:rPr>
                <w:rFonts w:cs="Arial"/>
                <w:color w:val="000000"/>
              </w:rPr>
              <w:t>3.8 Additional limitations of the evidence</w:t>
            </w:r>
          </w:p>
        </w:tc>
        <w:tc>
          <w:tcPr>
            <w:tcW w:w="5144" w:type="dxa"/>
            <w:tcBorders>
              <w:top w:val="single" w:sz="4" w:space="0" w:color="auto"/>
              <w:left w:val="single" w:sz="4" w:space="0" w:color="auto"/>
              <w:bottom w:val="single" w:sz="4" w:space="0" w:color="auto"/>
              <w:right w:val="nil"/>
            </w:tcBorders>
            <w:shd w:val="clear" w:color="auto" w:fill="auto"/>
          </w:tcPr>
          <w:p w14:paraId="36E3D074" w14:textId="5EF7B08E" w:rsidR="0012078B" w:rsidRPr="00B97D77" w:rsidRDefault="0012078B" w:rsidP="00BA1B80">
            <w:pPr>
              <w:pStyle w:val="Paragraph"/>
              <w:spacing w:line="240" w:lineRule="auto"/>
              <w:rPr>
                <w:lang w:eastAsia="en-GB"/>
              </w:rPr>
            </w:pPr>
            <w:r w:rsidRPr="00B97D77">
              <w:rPr>
                <w:rFonts w:cs="Arial"/>
                <w:color w:val="000000"/>
              </w:rPr>
              <w:t>Additional Limitations of evidence. The LSA examines a subset (Infected) of a subset (Leg Ulcers). At current rates on clinicaltrials.gov, for an infected VLU it could take 9-10 years to recruit and publish RCT-level evidence. The time and resource required to produce high level evidence, comparative or non-</w:t>
            </w:r>
            <w:proofErr w:type="gramStart"/>
            <w:r w:rsidRPr="00B97D77">
              <w:rPr>
                <w:rFonts w:cs="Arial"/>
                <w:color w:val="000000"/>
              </w:rPr>
              <w:t>comparative,</w:t>
            </w:r>
            <w:proofErr w:type="gramEnd"/>
            <w:r w:rsidRPr="00B97D77">
              <w:rPr>
                <w:rFonts w:cs="Arial"/>
                <w:color w:val="000000"/>
              </w:rPr>
              <w:t xml:space="preserve"> in a scope this narrow is extremely unrealistic. As a result, the summary of clinical evidence did not identify evidence to adequately draw a conclusion on </w:t>
            </w:r>
            <w:r w:rsidRPr="00B97D77">
              <w:rPr>
                <w:rFonts w:cs="Arial"/>
                <w:color w:val="000000"/>
              </w:rPr>
              <w:lastRenderedPageBreak/>
              <w:t>the relative efficacy of AMDs to treat infected leg ulcers.</w:t>
            </w:r>
          </w:p>
        </w:tc>
        <w:tc>
          <w:tcPr>
            <w:tcW w:w="3588" w:type="dxa"/>
          </w:tcPr>
          <w:p w14:paraId="5CC0D27F" w14:textId="2FFBB0AF" w:rsidR="0012078B" w:rsidRPr="00B97D77" w:rsidRDefault="009A0351" w:rsidP="00BA1B80">
            <w:pPr>
              <w:pStyle w:val="Paragraph"/>
              <w:spacing w:line="240" w:lineRule="auto"/>
              <w:rPr>
                <w:lang w:eastAsia="en-GB"/>
              </w:rPr>
            </w:pPr>
            <w:r w:rsidRPr="00B97D77">
              <w:rPr>
                <w:lang w:eastAsia="en-GB"/>
              </w:rPr>
              <w:lastRenderedPageBreak/>
              <w:t>Thank you for your comment. Please see response to comment 42.</w:t>
            </w:r>
          </w:p>
        </w:tc>
      </w:tr>
      <w:tr w:rsidR="0085204E" w14:paraId="00A54B4E" w14:textId="77777777" w:rsidTr="00271578">
        <w:tc>
          <w:tcPr>
            <w:tcW w:w="1323" w:type="dxa"/>
          </w:tcPr>
          <w:p w14:paraId="146F2824" w14:textId="77777777" w:rsidR="0085204E" w:rsidRPr="00B97D77" w:rsidRDefault="0085204E"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0763982A" w14:textId="7A34CB17" w:rsidR="0085204E" w:rsidRPr="00B97D77" w:rsidRDefault="0085204E" w:rsidP="00BA1B80">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2D147BF" w14:textId="56603C46" w:rsidR="0085204E" w:rsidRPr="00B97D77" w:rsidRDefault="0085204E" w:rsidP="00BA1B80">
            <w:pPr>
              <w:pStyle w:val="Paragraph"/>
              <w:spacing w:line="240" w:lineRule="auto"/>
              <w:rPr>
                <w:rFonts w:cs="Arial"/>
                <w:color w:val="000000"/>
              </w:rPr>
            </w:pPr>
            <w:r w:rsidRPr="00B97D77">
              <w:rPr>
                <w:rFonts w:cs="Arial"/>
                <w:color w:val="000000"/>
              </w:rPr>
              <w:t>EAR</w:t>
            </w:r>
          </w:p>
        </w:tc>
        <w:tc>
          <w:tcPr>
            <w:tcW w:w="5144" w:type="dxa"/>
            <w:tcBorders>
              <w:top w:val="single" w:sz="4" w:space="0" w:color="auto"/>
              <w:left w:val="single" w:sz="4" w:space="0" w:color="auto"/>
              <w:bottom w:val="single" w:sz="4" w:space="0" w:color="auto"/>
              <w:right w:val="nil"/>
            </w:tcBorders>
            <w:shd w:val="clear" w:color="auto" w:fill="auto"/>
          </w:tcPr>
          <w:p w14:paraId="01BA1E9E" w14:textId="44F51A47" w:rsidR="0085204E" w:rsidRPr="00B97D77" w:rsidRDefault="0085204E" w:rsidP="00BA1B80">
            <w:pPr>
              <w:pStyle w:val="Paragraph"/>
              <w:spacing w:line="240" w:lineRule="auto"/>
              <w:rPr>
                <w:rFonts w:cs="Arial"/>
                <w:color w:val="000000"/>
              </w:rPr>
            </w:pPr>
            <w:r w:rsidRPr="00B97D77">
              <w:rPr>
                <w:rFonts w:cs="Arial"/>
                <w:color w:val="000000"/>
              </w:rPr>
              <w:t>Table 1.1 Summary of decision problem</w:t>
            </w:r>
            <w:r w:rsidRPr="00B97D77">
              <w:rPr>
                <w:rFonts w:cs="Arial"/>
                <w:color w:val="000000"/>
              </w:rPr>
              <w:br/>
              <w:t>• Imbalance of scope if evidence not found adds to heterogeneity and lack of conclusion (see comment from p 8 above)</w:t>
            </w:r>
            <w:r w:rsidRPr="00B97D77">
              <w:rPr>
                <w:rFonts w:cs="Arial"/>
                <w:color w:val="000000"/>
              </w:rPr>
              <w:br/>
              <w:t>• Outcomes (p12); Obviously complete healing is the ultimate goal but if using antimicrobials appropriately – the duration of use should only be until the infection issue has been resolved/ managed and then be stepped down to standard of care thus studies may not measure out to healing (which can be a lot longer than 12 weeks for infected VLU)</w:t>
            </w:r>
            <w:r w:rsidRPr="00B97D77">
              <w:rPr>
                <w:rFonts w:cs="Arial"/>
                <w:color w:val="000000"/>
              </w:rPr>
              <w:br/>
              <w:t>• Resolution of infection measured by clinical signs and symptoms and/ or microbiological culture would be a more appropriate primary outcome measure</w:t>
            </w:r>
            <w:r w:rsidRPr="00B97D77">
              <w:rPr>
                <w:rFonts w:cs="Arial"/>
                <w:color w:val="000000"/>
              </w:rPr>
              <w:br/>
              <w:t>• Other considerations (p 12) Not including wounds at risk of infection is at odds with the clinical intended use of AMD dressings which is to manage bioburden locally and support infection management locally in combination with oral/ IV antimicrobials (again as per the IWII guidance) – see comment below also</w:t>
            </w:r>
          </w:p>
        </w:tc>
        <w:tc>
          <w:tcPr>
            <w:tcW w:w="3588" w:type="dxa"/>
          </w:tcPr>
          <w:p w14:paraId="31E21726" w14:textId="77777777" w:rsidR="008F1B20" w:rsidRPr="00B97D77" w:rsidRDefault="00997816" w:rsidP="00BA1B80">
            <w:pPr>
              <w:pStyle w:val="Paragraph"/>
              <w:spacing w:after="0" w:line="240" w:lineRule="auto"/>
              <w:rPr>
                <w:lang w:eastAsia="en-GB"/>
              </w:rPr>
            </w:pPr>
            <w:r w:rsidRPr="00B97D77">
              <w:rPr>
                <w:lang w:eastAsia="en-GB"/>
              </w:rPr>
              <w:t>Thank you for your comment</w:t>
            </w:r>
          </w:p>
          <w:p w14:paraId="4FF1B80D" w14:textId="6A8AB5D7" w:rsidR="00997816" w:rsidRPr="00B97D77" w:rsidRDefault="00997816" w:rsidP="00BA1B80">
            <w:pPr>
              <w:pStyle w:val="Paragraph"/>
              <w:spacing w:after="0" w:line="240" w:lineRule="auto"/>
              <w:rPr>
                <w:lang w:eastAsia="en-GB"/>
              </w:rPr>
            </w:pPr>
            <w:r w:rsidRPr="00B97D77">
              <w:rPr>
                <w:lang w:eastAsia="en-GB"/>
              </w:rPr>
              <w:t>Please see response</w:t>
            </w:r>
            <w:r w:rsidR="004F4750" w:rsidRPr="00B97D77">
              <w:rPr>
                <w:lang w:eastAsia="en-GB"/>
              </w:rPr>
              <w:t>s</w:t>
            </w:r>
            <w:r w:rsidRPr="00B97D77">
              <w:rPr>
                <w:lang w:eastAsia="en-GB"/>
              </w:rPr>
              <w:t xml:space="preserve"> to comment</w:t>
            </w:r>
            <w:r w:rsidR="004F4750" w:rsidRPr="00B97D77">
              <w:rPr>
                <w:lang w:eastAsia="en-GB"/>
              </w:rPr>
              <w:t>s</w:t>
            </w:r>
            <w:r w:rsidRPr="00B97D77">
              <w:rPr>
                <w:lang w:eastAsia="en-GB"/>
              </w:rPr>
              <w:t xml:space="preserve"> </w:t>
            </w:r>
            <w:r w:rsidR="00B40060" w:rsidRPr="00B97D77">
              <w:rPr>
                <w:lang w:eastAsia="en-GB"/>
              </w:rPr>
              <w:t>134</w:t>
            </w:r>
            <w:r w:rsidR="004F4750" w:rsidRPr="00B97D77">
              <w:rPr>
                <w:lang w:eastAsia="en-GB"/>
              </w:rPr>
              <w:t>, 167, 168 and 170</w:t>
            </w:r>
          </w:p>
          <w:p w14:paraId="5C3537AA" w14:textId="29638878" w:rsidR="006D1626" w:rsidRPr="00B97D77" w:rsidRDefault="006D1626" w:rsidP="00BA1B80">
            <w:pPr>
              <w:pStyle w:val="Paragraph"/>
              <w:spacing w:after="0" w:line="240" w:lineRule="auto"/>
              <w:rPr>
                <w:lang w:eastAsia="en-GB"/>
              </w:rPr>
            </w:pPr>
          </w:p>
        </w:tc>
      </w:tr>
      <w:tr w:rsidR="0085204E" w14:paraId="57163AAD" w14:textId="77777777" w:rsidTr="00271578">
        <w:tc>
          <w:tcPr>
            <w:tcW w:w="1323" w:type="dxa"/>
          </w:tcPr>
          <w:p w14:paraId="70FE29D7" w14:textId="77777777" w:rsidR="0085204E" w:rsidRPr="00B97D77" w:rsidRDefault="0085204E"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19804F4" w14:textId="09FDEF43" w:rsidR="0085204E" w:rsidRPr="00B97D77" w:rsidRDefault="0085204E" w:rsidP="00BA1B80">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002FB8E" w14:textId="6DD08C2B" w:rsidR="0085204E" w:rsidRPr="00B97D77" w:rsidRDefault="0085204E" w:rsidP="00BA1B80">
            <w:pPr>
              <w:pStyle w:val="Paragraph"/>
              <w:spacing w:line="240" w:lineRule="auto"/>
              <w:rPr>
                <w:rFonts w:cs="Arial"/>
                <w:color w:val="000000"/>
              </w:rPr>
            </w:pPr>
            <w:r w:rsidRPr="00B97D77">
              <w:rPr>
                <w:rFonts w:cs="Arial"/>
                <w:color w:val="000000"/>
              </w:rPr>
              <w:t>EAR</w:t>
            </w:r>
          </w:p>
        </w:tc>
        <w:tc>
          <w:tcPr>
            <w:tcW w:w="5144" w:type="dxa"/>
            <w:tcBorders>
              <w:top w:val="single" w:sz="4" w:space="0" w:color="auto"/>
              <w:left w:val="single" w:sz="4" w:space="0" w:color="auto"/>
              <w:bottom w:val="single" w:sz="4" w:space="0" w:color="auto"/>
              <w:right w:val="nil"/>
            </w:tcBorders>
            <w:shd w:val="clear" w:color="auto" w:fill="auto"/>
          </w:tcPr>
          <w:p w14:paraId="2D79342E" w14:textId="749E3B9D" w:rsidR="0085204E" w:rsidRPr="00B97D77" w:rsidRDefault="0085204E" w:rsidP="00BA1B80">
            <w:pPr>
              <w:pStyle w:val="Paragraph"/>
              <w:spacing w:line="240" w:lineRule="auto"/>
              <w:rPr>
                <w:rFonts w:cs="Arial"/>
                <w:color w:val="000000"/>
              </w:rPr>
            </w:pPr>
            <w:r w:rsidRPr="00B97D77">
              <w:rPr>
                <w:rFonts w:cs="Arial"/>
                <w:color w:val="000000"/>
              </w:rPr>
              <w:t>Including only infected wounds in the scope:</w:t>
            </w:r>
            <w:r w:rsidRPr="00B97D77">
              <w:rPr>
                <w:rFonts w:cs="Arial"/>
                <w:color w:val="000000"/>
              </w:rPr>
              <w:br/>
            </w:r>
            <w:r w:rsidRPr="00B97D77">
              <w:rPr>
                <w:rFonts w:cs="Arial"/>
                <w:color w:val="000000"/>
              </w:rPr>
              <w:br/>
              <w:t>IWII 2022 2supports the use of AMD in management of local bioburden and infection across the infection continuum where the bioburden is causing a response in the patient (Overt AND covert clinical signs and symptoms) OR if the patient is high risk of developing an infection</w:t>
            </w:r>
            <w:r w:rsidRPr="00B97D77">
              <w:rPr>
                <w:rFonts w:cs="Arial"/>
                <w:color w:val="000000"/>
              </w:rPr>
              <w:br/>
            </w:r>
            <w:r w:rsidRPr="00B97D77">
              <w:rPr>
                <w:rFonts w:cs="Arial"/>
                <w:color w:val="000000"/>
              </w:rPr>
              <w:br/>
              <w:t>How is this accounted for in the current scope of the assessment (only infected wounds)</w:t>
            </w:r>
            <w:r w:rsidRPr="00B97D77">
              <w:rPr>
                <w:rFonts w:cs="Arial"/>
                <w:color w:val="000000"/>
              </w:rPr>
              <w:br/>
            </w:r>
            <w:r w:rsidRPr="00B97D77">
              <w:rPr>
                <w:rFonts w:cs="Arial"/>
                <w:color w:val="000000"/>
              </w:rPr>
              <w:br/>
              <w:t>This scope contradicts the intended use of AMDs which is to manage local bioburden in a wound not to treat infection.</w:t>
            </w:r>
          </w:p>
        </w:tc>
        <w:tc>
          <w:tcPr>
            <w:tcW w:w="3588" w:type="dxa"/>
          </w:tcPr>
          <w:p w14:paraId="1DD38807" w14:textId="64CABF2B" w:rsidR="0085204E" w:rsidRPr="00B97D77" w:rsidRDefault="00337DCF" w:rsidP="00BA1B80">
            <w:pPr>
              <w:pStyle w:val="Paragraph"/>
              <w:spacing w:line="240" w:lineRule="auto"/>
              <w:rPr>
                <w:lang w:eastAsia="en-GB"/>
              </w:rPr>
            </w:pPr>
            <w:r w:rsidRPr="00B97D77">
              <w:rPr>
                <w:lang w:eastAsia="en-GB"/>
              </w:rPr>
              <w:t xml:space="preserve">Thank you for your comment. Please response to comments </w:t>
            </w:r>
            <w:r w:rsidR="00461ABC" w:rsidRPr="00B97D77">
              <w:rPr>
                <w:lang w:eastAsia="en-GB"/>
              </w:rPr>
              <w:t xml:space="preserve">167 and </w:t>
            </w:r>
            <w:r w:rsidRPr="00B97D77">
              <w:rPr>
                <w:lang w:eastAsia="en-GB"/>
              </w:rPr>
              <w:t>168.</w:t>
            </w:r>
          </w:p>
        </w:tc>
      </w:tr>
      <w:tr w:rsidR="0085204E" w14:paraId="7D230312" w14:textId="77777777" w:rsidTr="00271578">
        <w:tc>
          <w:tcPr>
            <w:tcW w:w="1323" w:type="dxa"/>
          </w:tcPr>
          <w:p w14:paraId="2B48E732" w14:textId="77777777" w:rsidR="0085204E" w:rsidRPr="00B97D77" w:rsidRDefault="0085204E"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26DA32AC" w14:textId="7561E8BF" w:rsidR="0085204E" w:rsidRPr="00B97D77" w:rsidRDefault="0085204E" w:rsidP="00BA1B80">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1BD6AB3B" w14:textId="482AEB2F" w:rsidR="0085204E" w:rsidRPr="00B97D77" w:rsidRDefault="0085204E" w:rsidP="00BA1B80">
            <w:pPr>
              <w:pStyle w:val="Paragraph"/>
              <w:spacing w:line="240" w:lineRule="auto"/>
              <w:rPr>
                <w:rFonts w:cs="Arial"/>
                <w:color w:val="000000"/>
              </w:rPr>
            </w:pPr>
            <w:r w:rsidRPr="00B97D77">
              <w:rPr>
                <w:rFonts w:cs="Arial"/>
                <w:color w:val="000000"/>
              </w:rPr>
              <w:t>EAR</w:t>
            </w:r>
          </w:p>
        </w:tc>
        <w:tc>
          <w:tcPr>
            <w:tcW w:w="5144" w:type="dxa"/>
            <w:tcBorders>
              <w:top w:val="single" w:sz="4" w:space="0" w:color="auto"/>
              <w:left w:val="single" w:sz="4" w:space="0" w:color="auto"/>
              <w:bottom w:val="single" w:sz="4" w:space="0" w:color="auto"/>
              <w:right w:val="nil"/>
            </w:tcBorders>
            <w:shd w:val="clear" w:color="auto" w:fill="auto"/>
          </w:tcPr>
          <w:p w14:paraId="1573B97F" w14:textId="318D5765" w:rsidR="0085204E" w:rsidRPr="00B97D77" w:rsidRDefault="0085204E" w:rsidP="00BA1B80">
            <w:pPr>
              <w:pStyle w:val="Paragraph"/>
              <w:spacing w:line="240" w:lineRule="auto"/>
              <w:rPr>
                <w:rFonts w:cs="Arial"/>
                <w:color w:val="000000"/>
              </w:rPr>
            </w:pPr>
            <w:r w:rsidRPr="00B97D77">
              <w:rPr>
                <w:rFonts w:cs="Arial"/>
                <w:color w:val="000000"/>
              </w:rPr>
              <w:t>The description of AMDs is detailed as; “can be used to reduce the level of bacteria at the surface of the wound” yet the outcome measures applied to this assessment do not measure this use.</w:t>
            </w:r>
          </w:p>
        </w:tc>
        <w:tc>
          <w:tcPr>
            <w:tcW w:w="3588" w:type="dxa"/>
          </w:tcPr>
          <w:p w14:paraId="7188A3D2" w14:textId="77777777" w:rsidR="000B31AD" w:rsidRPr="00B97D77" w:rsidRDefault="00461ABC" w:rsidP="00BA1B80">
            <w:pPr>
              <w:pStyle w:val="Paragraph"/>
              <w:spacing w:line="240" w:lineRule="auto"/>
              <w:rPr>
                <w:lang w:eastAsia="en-GB"/>
              </w:rPr>
            </w:pPr>
            <w:r w:rsidRPr="00B97D77">
              <w:rPr>
                <w:lang w:eastAsia="en-GB"/>
              </w:rPr>
              <w:t xml:space="preserve">Thank you for your comment. </w:t>
            </w:r>
          </w:p>
          <w:p w14:paraId="13A0066B" w14:textId="1D140816" w:rsidR="0085204E" w:rsidRPr="00B97D77" w:rsidRDefault="00C6596C" w:rsidP="00BA1B80">
            <w:pPr>
              <w:pStyle w:val="Paragraph"/>
              <w:spacing w:line="240" w:lineRule="auto"/>
              <w:rPr>
                <w:lang w:eastAsia="en-GB"/>
              </w:rPr>
            </w:pPr>
            <w:r w:rsidRPr="00B97D77">
              <w:rPr>
                <w:lang w:eastAsia="en-GB"/>
              </w:rPr>
              <w:t>M</w:t>
            </w:r>
            <w:r w:rsidR="00342563" w:rsidRPr="00B97D77">
              <w:rPr>
                <w:lang w:eastAsia="en-GB"/>
              </w:rPr>
              <w:t>icrobial burden of the wound w</w:t>
            </w:r>
            <w:r w:rsidRPr="00B97D77">
              <w:rPr>
                <w:lang w:eastAsia="en-GB"/>
              </w:rPr>
              <w:t xml:space="preserve">as </w:t>
            </w:r>
            <w:r w:rsidR="00342563" w:rsidRPr="00B97D77">
              <w:rPr>
                <w:lang w:eastAsia="en-GB"/>
              </w:rPr>
              <w:t xml:space="preserve">considered </w:t>
            </w:r>
            <w:r w:rsidRPr="00B97D77">
              <w:rPr>
                <w:lang w:eastAsia="en-GB"/>
              </w:rPr>
              <w:t xml:space="preserve">as an outcome measure </w:t>
            </w:r>
            <w:r w:rsidR="00342563" w:rsidRPr="00B97D77">
              <w:rPr>
                <w:lang w:eastAsia="en-GB"/>
              </w:rPr>
              <w:t xml:space="preserve">during the scoping period. </w:t>
            </w:r>
            <w:r w:rsidRPr="00B97D77">
              <w:rPr>
                <w:lang w:eastAsia="en-GB"/>
              </w:rPr>
              <w:t>It was</w:t>
            </w:r>
            <w:r w:rsidR="00342563" w:rsidRPr="00B97D77">
              <w:rPr>
                <w:lang w:eastAsia="en-GB"/>
              </w:rPr>
              <w:t xml:space="preserve"> considered inappropriate for the scope</w:t>
            </w:r>
            <w:r w:rsidRPr="00B97D77">
              <w:rPr>
                <w:lang w:eastAsia="en-GB"/>
              </w:rPr>
              <w:t xml:space="preserve"> due </w:t>
            </w:r>
            <w:r w:rsidR="00A63395" w:rsidRPr="00B97D77">
              <w:rPr>
                <w:lang w:eastAsia="en-GB"/>
              </w:rPr>
              <w:t xml:space="preserve">to the fact this </w:t>
            </w:r>
            <w:r w:rsidR="000D300C" w:rsidRPr="00B97D77">
              <w:rPr>
                <w:lang w:eastAsia="en-GB"/>
              </w:rPr>
              <w:t xml:space="preserve">outcome </w:t>
            </w:r>
            <w:r w:rsidR="00A63395" w:rsidRPr="00B97D77">
              <w:rPr>
                <w:lang w:eastAsia="en-GB"/>
              </w:rPr>
              <w:t xml:space="preserve">is not routinely collected </w:t>
            </w:r>
            <w:r w:rsidR="000863D0" w:rsidRPr="00B97D77">
              <w:rPr>
                <w:lang w:eastAsia="en-GB"/>
              </w:rPr>
              <w:t>in practice or research and that i</w:t>
            </w:r>
            <w:r w:rsidR="000D300C" w:rsidRPr="00B97D77">
              <w:rPr>
                <w:lang w:eastAsia="en-GB"/>
              </w:rPr>
              <w:t xml:space="preserve">t would not be feasible to </w:t>
            </w:r>
            <w:r w:rsidR="000863D0" w:rsidRPr="00B97D77">
              <w:rPr>
                <w:lang w:eastAsia="en-GB"/>
              </w:rPr>
              <w:t xml:space="preserve">correlate </w:t>
            </w:r>
            <w:r w:rsidR="003A21A9" w:rsidRPr="00B97D77">
              <w:rPr>
                <w:lang w:eastAsia="en-GB"/>
              </w:rPr>
              <w:t xml:space="preserve">it </w:t>
            </w:r>
            <w:r w:rsidR="000863D0" w:rsidRPr="00B97D77">
              <w:rPr>
                <w:lang w:eastAsia="en-GB"/>
              </w:rPr>
              <w:t xml:space="preserve">with the outcomes most important to clinicians or people with </w:t>
            </w:r>
            <w:r w:rsidR="000863D0" w:rsidRPr="00B97D77">
              <w:rPr>
                <w:lang w:eastAsia="en-GB"/>
              </w:rPr>
              <w:lastRenderedPageBreak/>
              <w:t>infected leg ulcers (infection resolution and healing)</w:t>
            </w:r>
            <w:r w:rsidR="00C94D09" w:rsidRPr="00B97D77">
              <w:rPr>
                <w:lang w:eastAsia="en-GB"/>
              </w:rPr>
              <w:t>.</w:t>
            </w:r>
          </w:p>
        </w:tc>
      </w:tr>
      <w:tr w:rsidR="0085204E" w14:paraId="17A0EDE9" w14:textId="77777777" w:rsidTr="00271578">
        <w:tc>
          <w:tcPr>
            <w:tcW w:w="1323" w:type="dxa"/>
          </w:tcPr>
          <w:p w14:paraId="4339BF54" w14:textId="77777777" w:rsidR="0085204E" w:rsidRPr="00B97D77" w:rsidRDefault="0085204E"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196DC1AD" w14:textId="165E980F" w:rsidR="0085204E" w:rsidRPr="00B97D77" w:rsidRDefault="0085204E" w:rsidP="00BA1B80">
            <w:pPr>
              <w:pStyle w:val="Paragraph"/>
              <w:spacing w:line="240" w:lineRule="auto"/>
              <w:rPr>
                <w:rFonts w:cs="Arial"/>
                <w:color w:val="000000"/>
              </w:rPr>
            </w:pPr>
            <w:r w:rsidRPr="00B97D77">
              <w:rPr>
                <w:rFonts w:cs="Arial"/>
                <w:color w:val="000000"/>
              </w:rPr>
              <w:t>Consultee 15</w:t>
            </w:r>
            <w:r w:rsidRPr="00B97D77">
              <w:rPr>
                <w:rFonts w:cs="Arial"/>
                <w:color w:val="000000"/>
              </w:rPr>
              <w:br/>
            </w:r>
            <w:proofErr w:type="spellStart"/>
            <w:r w:rsidRPr="00B97D77">
              <w:rPr>
                <w:rFonts w:cs="Arial"/>
                <w:color w:val="000000"/>
              </w:rPr>
              <w:t>T.J.Smith</w:t>
            </w:r>
            <w:proofErr w:type="spellEnd"/>
            <w:r w:rsidRPr="00B97D77">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2ABBA41" w14:textId="45FC2D2C" w:rsidR="0085204E" w:rsidRPr="00B97D77" w:rsidRDefault="0085204E" w:rsidP="00BA1B80">
            <w:pPr>
              <w:pStyle w:val="Paragraph"/>
              <w:spacing w:line="240" w:lineRule="auto"/>
              <w:rPr>
                <w:rFonts w:cs="Arial"/>
                <w:color w:val="000000"/>
              </w:rPr>
            </w:pPr>
            <w:r w:rsidRPr="00B97D77">
              <w:rPr>
                <w:rFonts w:cs="Arial"/>
                <w:color w:val="000000"/>
              </w:rPr>
              <w:t>EAR</w:t>
            </w:r>
          </w:p>
        </w:tc>
        <w:tc>
          <w:tcPr>
            <w:tcW w:w="5144" w:type="dxa"/>
            <w:tcBorders>
              <w:top w:val="single" w:sz="4" w:space="0" w:color="auto"/>
              <w:left w:val="single" w:sz="4" w:space="0" w:color="auto"/>
              <w:bottom w:val="single" w:sz="4" w:space="0" w:color="auto"/>
              <w:right w:val="nil"/>
            </w:tcBorders>
            <w:shd w:val="clear" w:color="auto" w:fill="auto"/>
          </w:tcPr>
          <w:p w14:paraId="31151021" w14:textId="765DD3E3" w:rsidR="0085204E" w:rsidRPr="00B97D77" w:rsidRDefault="0085204E" w:rsidP="00BA1B80">
            <w:pPr>
              <w:pStyle w:val="Paragraph"/>
              <w:spacing w:line="240" w:lineRule="auto"/>
              <w:rPr>
                <w:rFonts w:cs="Arial"/>
                <w:color w:val="000000"/>
              </w:rPr>
            </w:pPr>
            <w:r w:rsidRPr="00B97D77">
              <w:rPr>
                <w:rFonts w:cs="Arial"/>
                <w:color w:val="000000"/>
              </w:rPr>
              <w:t>Contradiction in scope:</w:t>
            </w:r>
            <w:r w:rsidRPr="00B97D77">
              <w:rPr>
                <w:rFonts w:cs="Arial"/>
                <w:color w:val="000000"/>
              </w:rPr>
              <w:br/>
            </w:r>
            <w:proofErr w:type="gramStart"/>
            <w:r w:rsidRPr="00B97D77">
              <w:rPr>
                <w:rFonts w:cs="Arial"/>
                <w:color w:val="000000"/>
              </w:rPr>
              <w:t>“..</w:t>
            </w:r>
            <w:proofErr w:type="gramEnd"/>
            <w:r w:rsidRPr="00B97D77">
              <w:rPr>
                <w:rFonts w:cs="Arial"/>
                <w:color w:val="000000"/>
              </w:rPr>
              <w:t>consideration of biofilm is outside the scope of this assessment”</w:t>
            </w:r>
            <w:r w:rsidRPr="00B97D77">
              <w:rPr>
                <w:rFonts w:cs="Arial"/>
                <w:color w:val="000000"/>
              </w:rPr>
              <w:br/>
              <w:t>Why have dressings with specific antibiofilm technology been included in the scope?</w:t>
            </w:r>
          </w:p>
        </w:tc>
        <w:tc>
          <w:tcPr>
            <w:tcW w:w="3588" w:type="dxa"/>
          </w:tcPr>
          <w:p w14:paraId="06DC073A" w14:textId="16ED6BD9" w:rsidR="0074702E" w:rsidRPr="00B97D77" w:rsidRDefault="009D7604" w:rsidP="00BA1B80">
            <w:pPr>
              <w:pStyle w:val="Paragraph"/>
              <w:spacing w:line="240" w:lineRule="auto"/>
              <w:rPr>
                <w:lang w:eastAsia="en-GB"/>
              </w:rPr>
            </w:pPr>
            <w:r w:rsidRPr="00B97D77">
              <w:rPr>
                <w:lang w:eastAsia="en-GB"/>
              </w:rPr>
              <w:t xml:space="preserve">Thank you for your comment. </w:t>
            </w:r>
            <w:r w:rsidR="00E90D92" w:rsidRPr="00B97D77">
              <w:rPr>
                <w:lang w:eastAsia="en-GB"/>
              </w:rPr>
              <w:t xml:space="preserve">This </w:t>
            </w:r>
            <w:proofErr w:type="gramStart"/>
            <w:r w:rsidR="00E90D92" w:rsidRPr="00B97D77">
              <w:rPr>
                <w:lang w:eastAsia="en-GB"/>
              </w:rPr>
              <w:t>late stage</w:t>
            </w:r>
            <w:proofErr w:type="gramEnd"/>
            <w:r w:rsidR="00E90D92" w:rsidRPr="00B97D77">
              <w:rPr>
                <w:lang w:eastAsia="en-GB"/>
              </w:rPr>
              <w:t xml:space="preserve"> assessment </w:t>
            </w:r>
            <w:r w:rsidR="00953D97" w:rsidRPr="00B97D77">
              <w:rPr>
                <w:lang w:eastAsia="en-GB"/>
              </w:rPr>
              <w:t xml:space="preserve">evaluated the clinical and economic benefits of different </w:t>
            </w:r>
            <w:r w:rsidR="00240745" w:rsidRPr="00B97D77">
              <w:rPr>
                <w:lang w:eastAsia="en-GB"/>
              </w:rPr>
              <w:t xml:space="preserve">antimicrobial agents used in antimicrobial dressings. </w:t>
            </w:r>
            <w:r w:rsidRPr="00B97D77">
              <w:rPr>
                <w:lang w:eastAsia="en-GB"/>
              </w:rPr>
              <w:t xml:space="preserve">Antimicrobial dressings available on </w:t>
            </w:r>
            <w:r w:rsidR="00360606" w:rsidRPr="00B97D77">
              <w:rPr>
                <w:lang w:eastAsia="en-GB"/>
              </w:rPr>
              <w:t>P</w:t>
            </w:r>
            <w:r w:rsidRPr="00B97D77">
              <w:rPr>
                <w:lang w:eastAsia="en-GB"/>
              </w:rPr>
              <w:t xml:space="preserve">art </w:t>
            </w:r>
            <w:proofErr w:type="spellStart"/>
            <w:r w:rsidRPr="00B97D77">
              <w:rPr>
                <w:lang w:eastAsia="en-GB"/>
              </w:rPr>
              <w:t>IXa</w:t>
            </w:r>
            <w:proofErr w:type="spellEnd"/>
            <w:r w:rsidRPr="00B97D77">
              <w:rPr>
                <w:lang w:eastAsia="en-GB"/>
              </w:rPr>
              <w:t xml:space="preserve"> of the Drug Tarriff were eligible for inclusion. Some of these </w:t>
            </w:r>
            <w:r w:rsidR="00360606" w:rsidRPr="00B97D77">
              <w:rPr>
                <w:lang w:eastAsia="en-GB"/>
              </w:rPr>
              <w:t xml:space="preserve">antimicrobial dressings have </w:t>
            </w:r>
            <w:r w:rsidRPr="00B97D77">
              <w:rPr>
                <w:lang w:eastAsia="en-GB"/>
              </w:rPr>
              <w:t>antibiofilm technologies</w:t>
            </w:r>
            <w:r w:rsidR="003F6B25" w:rsidRPr="00B97D77">
              <w:rPr>
                <w:lang w:eastAsia="en-GB"/>
              </w:rPr>
              <w:t xml:space="preserve"> in addition to an antimicrobial agent</w:t>
            </w:r>
            <w:r w:rsidRPr="00B97D77">
              <w:rPr>
                <w:lang w:eastAsia="en-GB"/>
              </w:rPr>
              <w:t xml:space="preserve">. </w:t>
            </w:r>
            <w:r w:rsidR="00AB7170" w:rsidRPr="00B97D77">
              <w:rPr>
                <w:lang w:eastAsia="en-GB"/>
              </w:rPr>
              <w:t xml:space="preserve">It would not be appropriate to exclude them for this reason. </w:t>
            </w:r>
          </w:p>
          <w:p w14:paraId="10188487" w14:textId="642B27AF" w:rsidR="0085204E" w:rsidRPr="00B97D77" w:rsidRDefault="00360606" w:rsidP="00BA1B80">
            <w:pPr>
              <w:pStyle w:val="Paragraph"/>
              <w:spacing w:line="240" w:lineRule="auto"/>
              <w:rPr>
                <w:lang w:eastAsia="en-GB"/>
              </w:rPr>
            </w:pPr>
            <w:r w:rsidRPr="00B97D77">
              <w:rPr>
                <w:lang w:eastAsia="en-GB"/>
              </w:rPr>
              <w:t xml:space="preserve">Performance of antimicrobial dressings </w:t>
            </w:r>
            <w:r w:rsidR="0074702E" w:rsidRPr="00B97D77">
              <w:rPr>
                <w:lang w:eastAsia="en-GB"/>
              </w:rPr>
              <w:t>against biofilm is out of scope.</w:t>
            </w:r>
            <w:r w:rsidR="003F6B25" w:rsidRPr="00B97D77">
              <w:rPr>
                <w:lang w:eastAsia="en-GB"/>
              </w:rPr>
              <w:t xml:space="preserve"> Please see response to comment </w:t>
            </w:r>
            <w:r w:rsidR="00D94ED8" w:rsidRPr="00B97D77">
              <w:rPr>
                <w:lang w:eastAsia="en-GB"/>
              </w:rPr>
              <w:t xml:space="preserve">36 for more details. </w:t>
            </w:r>
          </w:p>
        </w:tc>
      </w:tr>
    </w:tbl>
    <w:p w14:paraId="46E6C1CD" w14:textId="77777777" w:rsidR="00271578" w:rsidRDefault="00271578" w:rsidP="00271578">
      <w:pPr>
        <w:pStyle w:val="Heading1"/>
        <w:spacing w:line="240" w:lineRule="auto"/>
      </w:pPr>
      <w:r>
        <w:lastRenderedPageBreak/>
        <w:t>Table 24: specialist committee members and lived experience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9"/>
        <w:gridCol w:w="2038"/>
        <w:gridCol w:w="5243"/>
        <w:gridCol w:w="3655"/>
      </w:tblGrid>
      <w:tr w:rsidR="003F4BC4" w14:paraId="251DA498" w14:textId="77777777" w:rsidTr="209F09E9">
        <w:tc>
          <w:tcPr>
            <w:tcW w:w="1323" w:type="dxa"/>
            <w:shd w:val="clear" w:color="auto" w:fill="D9D9D9" w:themeFill="background1" w:themeFillShade="D9"/>
          </w:tcPr>
          <w:p w14:paraId="123FA55F" w14:textId="5A12653F" w:rsidR="003F4BC4" w:rsidRPr="00BA1B80" w:rsidRDefault="003F4BC4" w:rsidP="00BA1B80">
            <w:pPr>
              <w:pStyle w:val="Paragraph"/>
              <w:spacing w:line="240" w:lineRule="auto"/>
              <w:rPr>
                <w:lang w:eastAsia="en-GB"/>
              </w:rPr>
            </w:pPr>
            <w:r w:rsidRPr="00BA1B80">
              <w:rPr>
                <w:b/>
                <w:bCs/>
                <w:lang w:eastAsia="en-GB"/>
              </w:rPr>
              <w:t>Comment no.</w:t>
            </w:r>
          </w:p>
        </w:tc>
        <w:tc>
          <w:tcPr>
            <w:tcW w:w="1689" w:type="dxa"/>
            <w:tcBorders>
              <w:top w:val="single" w:sz="4" w:space="0" w:color="auto"/>
              <w:left w:val="nil"/>
              <w:bottom w:val="single" w:sz="4" w:space="0" w:color="auto"/>
              <w:right w:val="single" w:sz="4" w:space="0" w:color="auto"/>
            </w:tcBorders>
            <w:shd w:val="clear" w:color="auto" w:fill="D9D9D9" w:themeFill="background1" w:themeFillShade="D9"/>
          </w:tcPr>
          <w:p w14:paraId="2EB7F286" w14:textId="0EC2FA88" w:rsidR="003F4BC4" w:rsidRPr="00BA1B80" w:rsidRDefault="003F4BC4" w:rsidP="00BA1B80">
            <w:pPr>
              <w:pStyle w:val="Paragraph"/>
              <w:spacing w:line="240" w:lineRule="auto"/>
              <w:rPr>
                <w:rFonts w:cs="Arial"/>
                <w:color w:val="000000"/>
              </w:rPr>
            </w:pPr>
            <w:r w:rsidRPr="00BA1B80">
              <w:rPr>
                <w:b/>
                <w:bCs/>
                <w:lang w:eastAsia="en-GB"/>
              </w:rPr>
              <w:t>Consultee</w:t>
            </w:r>
          </w:p>
        </w:tc>
        <w:tc>
          <w:tcPr>
            <w:tcW w:w="2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FBD51" w14:textId="6911E24F" w:rsidR="003F4BC4" w:rsidRPr="00BA1B80" w:rsidRDefault="003F4BC4" w:rsidP="00BA1B80">
            <w:pPr>
              <w:pStyle w:val="Paragraph"/>
              <w:spacing w:line="240" w:lineRule="auto"/>
              <w:rPr>
                <w:rFonts w:cs="Arial"/>
                <w:color w:val="000000"/>
              </w:rPr>
            </w:pPr>
            <w:r w:rsidRPr="00BA1B80">
              <w:rPr>
                <w:b/>
                <w:bCs/>
                <w:lang w:eastAsia="en-GB"/>
              </w:rPr>
              <w:t>Section no.</w:t>
            </w:r>
          </w:p>
        </w:tc>
        <w:tc>
          <w:tcPr>
            <w:tcW w:w="5243" w:type="dxa"/>
            <w:tcBorders>
              <w:top w:val="single" w:sz="4" w:space="0" w:color="auto"/>
              <w:left w:val="single" w:sz="4" w:space="0" w:color="auto"/>
              <w:bottom w:val="single" w:sz="4" w:space="0" w:color="auto"/>
              <w:right w:val="nil"/>
            </w:tcBorders>
            <w:shd w:val="clear" w:color="auto" w:fill="D9D9D9" w:themeFill="background1" w:themeFillShade="D9"/>
          </w:tcPr>
          <w:p w14:paraId="5F6EC6EF" w14:textId="6E23E5A9" w:rsidR="003F4BC4" w:rsidRPr="00BA1B80" w:rsidRDefault="003F4BC4" w:rsidP="00BA1B80">
            <w:pPr>
              <w:pStyle w:val="Paragraph"/>
              <w:spacing w:line="240" w:lineRule="auto"/>
              <w:rPr>
                <w:rFonts w:cs="Arial"/>
                <w:color w:val="000000"/>
              </w:rPr>
            </w:pPr>
            <w:r w:rsidRPr="00BA1B80">
              <w:rPr>
                <w:b/>
                <w:bCs/>
                <w:lang w:eastAsia="en-GB"/>
              </w:rPr>
              <w:t>Comment</w:t>
            </w:r>
          </w:p>
        </w:tc>
        <w:tc>
          <w:tcPr>
            <w:tcW w:w="3655" w:type="dxa"/>
            <w:shd w:val="clear" w:color="auto" w:fill="D9D9D9" w:themeFill="background1" w:themeFillShade="D9"/>
          </w:tcPr>
          <w:p w14:paraId="37D297FD" w14:textId="722E72FC" w:rsidR="003F4BC4" w:rsidRPr="00BA1B80" w:rsidRDefault="003F4BC4" w:rsidP="00BA1B80">
            <w:pPr>
              <w:pStyle w:val="Paragraph"/>
              <w:spacing w:line="240" w:lineRule="auto"/>
              <w:rPr>
                <w:lang w:eastAsia="en-GB"/>
              </w:rPr>
            </w:pPr>
            <w:r w:rsidRPr="00BA1B80">
              <w:rPr>
                <w:b/>
                <w:bCs/>
                <w:lang w:eastAsia="en-GB"/>
              </w:rPr>
              <w:t>Response</w:t>
            </w:r>
          </w:p>
        </w:tc>
      </w:tr>
      <w:tr w:rsidR="004101D1" w14:paraId="2787224F" w14:textId="77777777" w:rsidTr="209F09E9">
        <w:tc>
          <w:tcPr>
            <w:tcW w:w="1323" w:type="dxa"/>
          </w:tcPr>
          <w:p w14:paraId="11000070"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481D9125" w14:textId="4DCB1780" w:rsidR="004101D1" w:rsidRPr="00BA1B80" w:rsidRDefault="004101D1" w:rsidP="00BA1B80">
            <w:pPr>
              <w:pStyle w:val="Paragraph"/>
              <w:spacing w:line="240" w:lineRule="auto"/>
              <w:rPr>
                <w:lang w:eastAsia="en-GB"/>
              </w:rPr>
            </w:pPr>
            <w:r w:rsidRPr="00BA1B80">
              <w:rPr>
                <w:rFonts w:cs="Arial"/>
                <w:color w:val="000000"/>
              </w:rPr>
              <w:t>Consultee 3</w:t>
            </w:r>
            <w:r w:rsidRPr="00BA1B80">
              <w:rPr>
                <w:rFonts w:cs="Arial"/>
                <w:color w:val="000000"/>
              </w:rPr>
              <w:br/>
              <w:t>Individual</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315604B8" w14:textId="0351789F" w:rsidR="004101D1" w:rsidRPr="00BA1B80" w:rsidRDefault="004101D1" w:rsidP="00BA1B80">
            <w:pPr>
              <w:pStyle w:val="Paragraph"/>
              <w:spacing w:line="240" w:lineRule="auto"/>
              <w:rPr>
                <w:lang w:eastAsia="en-GB"/>
              </w:rPr>
            </w:pPr>
            <w:r w:rsidRPr="00BA1B80">
              <w:rPr>
                <w:rFonts w:cs="Arial"/>
                <w:color w:val="000000"/>
              </w:rPr>
              <w:t>4 Specialist committee members</w:t>
            </w:r>
          </w:p>
        </w:tc>
        <w:tc>
          <w:tcPr>
            <w:tcW w:w="5243" w:type="dxa"/>
            <w:tcBorders>
              <w:top w:val="single" w:sz="4" w:space="0" w:color="auto"/>
              <w:left w:val="single" w:sz="4" w:space="0" w:color="auto"/>
              <w:bottom w:val="single" w:sz="4" w:space="0" w:color="auto"/>
              <w:right w:val="nil"/>
            </w:tcBorders>
            <w:shd w:val="clear" w:color="auto" w:fill="auto"/>
          </w:tcPr>
          <w:p w14:paraId="4BFFDD3C" w14:textId="678D2D8C" w:rsidR="004101D1" w:rsidRPr="00BA1B80" w:rsidRDefault="004101D1" w:rsidP="00BA1B80">
            <w:pPr>
              <w:pStyle w:val="Paragraph"/>
              <w:spacing w:line="240" w:lineRule="auto"/>
              <w:rPr>
                <w:lang w:eastAsia="en-GB"/>
              </w:rPr>
            </w:pPr>
            <w:r w:rsidRPr="00BA1B80">
              <w:rPr>
                <w:rFonts w:cs="Arial"/>
                <w:color w:val="000000"/>
              </w:rPr>
              <w:t>No microbiologist involved in the specialist committee - this should be considered</w:t>
            </w:r>
          </w:p>
        </w:tc>
        <w:tc>
          <w:tcPr>
            <w:tcW w:w="3655" w:type="dxa"/>
          </w:tcPr>
          <w:p w14:paraId="31D73132" w14:textId="78850C6D" w:rsidR="004101D1" w:rsidRPr="00BA1B80" w:rsidRDefault="00B6495C" w:rsidP="00BA1B80">
            <w:pPr>
              <w:pStyle w:val="Paragraph"/>
              <w:spacing w:line="240" w:lineRule="auto"/>
              <w:rPr>
                <w:lang w:eastAsia="en-GB"/>
              </w:rPr>
            </w:pPr>
            <w:r w:rsidRPr="00BA1B80">
              <w:rPr>
                <w:lang w:eastAsia="en-GB"/>
              </w:rPr>
              <w:t xml:space="preserve">Thank you for your comment. The role of microbiologists was discussed during the scoping </w:t>
            </w:r>
            <w:r w:rsidR="008C62D9" w:rsidRPr="00BA1B80">
              <w:rPr>
                <w:lang w:eastAsia="en-GB"/>
              </w:rPr>
              <w:t>workshop. It was decided not include microbiologists as specialist committee members due to their lack of direct involvement in wound care.</w:t>
            </w:r>
          </w:p>
        </w:tc>
      </w:tr>
      <w:tr w:rsidR="004101D1" w14:paraId="0CB06FC9" w14:textId="77777777" w:rsidTr="209F09E9">
        <w:tc>
          <w:tcPr>
            <w:tcW w:w="1323" w:type="dxa"/>
          </w:tcPr>
          <w:p w14:paraId="063BEDB2"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441A7398" w14:textId="2E194022" w:rsidR="004101D1" w:rsidRPr="00BA1B80" w:rsidRDefault="004101D1" w:rsidP="00BA1B80">
            <w:pPr>
              <w:pStyle w:val="Paragraph"/>
              <w:spacing w:line="240" w:lineRule="auto"/>
              <w:rPr>
                <w:lang w:eastAsia="en-GB"/>
              </w:rPr>
            </w:pPr>
            <w:r w:rsidRPr="00BA1B80">
              <w:rPr>
                <w:rFonts w:cs="Arial"/>
                <w:color w:val="000000"/>
              </w:rPr>
              <w:t>Consultee 4</w:t>
            </w:r>
            <w:r w:rsidRPr="00BA1B80">
              <w:rPr>
                <w:rFonts w:cs="Arial"/>
                <w:color w:val="000000"/>
              </w:rPr>
              <w:br/>
              <w:t>Coloplast</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45D17552" w14:textId="19BE34E4" w:rsidR="004101D1" w:rsidRPr="00BA1B80" w:rsidRDefault="004101D1" w:rsidP="00BA1B80">
            <w:pPr>
              <w:pStyle w:val="Paragraph"/>
              <w:spacing w:line="240" w:lineRule="auto"/>
              <w:rPr>
                <w:lang w:eastAsia="en-GB"/>
              </w:rPr>
            </w:pPr>
            <w:r w:rsidRPr="00BA1B80">
              <w:rPr>
                <w:rFonts w:cs="Arial"/>
                <w:color w:val="000000"/>
              </w:rPr>
              <w:t>3 3 Committee discussion</w:t>
            </w:r>
          </w:p>
        </w:tc>
        <w:tc>
          <w:tcPr>
            <w:tcW w:w="5243" w:type="dxa"/>
            <w:tcBorders>
              <w:top w:val="single" w:sz="4" w:space="0" w:color="auto"/>
              <w:left w:val="single" w:sz="4" w:space="0" w:color="auto"/>
              <w:bottom w:val="single" w:sz="4" w:space="0" w:color="auto"/>
              <w:right w:val="nil"/>
            </w:tcBorders>
            <w:shd w:val="clear" w:color="auto" w:fill="auto"/>
          </w:tcPr>
          <w:p w14:paraId="0F8EA23C" w14:textId="30FFCED1" w:rsidR="004101D1" w:rsidRPr="00BA1B80" w:rsidRDefault="004101D1" w:rsidP="00BA1B80">
            <w:pPr>
              <w:pStyle w:val="Paragraph"/>
              <w:spacing w:line="240" w:lineRule="auto"/>
              <w:rPr>
                <w:lang w:eastAsia="en-GB"/>
              </w:rPr>
            </w:pPr>
            <w:r w:rsidRPr="00BA1B80">
              <w:rPr>
                <w:rFonts w:cs="Arial"/>
                <w:color w:val="000000"/>
              </w:rPr>
              <w:t>The “lived experience” patient presented had a surgical site infection (SSI) from a caesarean section, which is irrelevant to the scoped population of infected leg ulcers.</w:t>
            </w:r>
          </w:p>
        </w:tc>
        <w:tc>
          <w:tcPr>
            <w:tcW w:w="3655" w:type="dxa"/>
          </w:tcPr>
          <w:p w14:paraId="6DF28A4C" w14:textId="5E631B39" w:rsidR="004101D1" w:rsidRPr="00BA1B80" w:rsidRDefault="000C65DB" w:rsidP="00BA1B80">
            <w:pPr>
              <w:pStyle w:val="Paragraph"/>
              <w:spacing w:line="240" w:lineRule="auto"/>
              <w:rPr>
                <w:lang w:eastAsia="en-GB"/>
              </w:rPr>
            </w:pPr>
            <w:r w:rsidRPr="00BA1B80">
              <w:rPr>
                <w:lang w:eastAsia="en-GB"/>
              </w:rPr>
              <w:t xml:space="preserve">Thank you for your comment. While this person with lived experience does not have a leg ulcer, they do have extensive experience with antimicrobial dressings. </w:t>
            </w:r>
            <w:r w:rsidR="00D04873" w:rsidRPr="00BA1B80">
              <w:rPr>
                <w:lang w:eastAsia="en-GB"/>
              </w:rPr>
              <w:t>Th</w:t>
            </w:r>
            <w:r w:rsidR="006B4718" w:rsidRPr="00BA1B80">
              <w:rPr>
                <w:lang w:eastAsia="en-GB"/>
              </w:rPr>
              <w:t>is fact was recognised by the committee and is stated in the guidance in section 3.2</w:t>
            </w:r>
            <w:r w:rsidR="004D3D5E" w:rsidRPr="00BA1B80">
              <w:rPr>
                <w:lang w:eastAsia="en-GB"/>
              </w:rPr>
              <w:t>. The lived experience they provided was in line with the patient survey in people with infected leg ulcers</w:t>
            </w:r>
            <w:r w:rsidR="001045C1" w:rsidRPr="00BA1B80">
              <w:rPr>
                <w:lang w:eastAsia="en-GB"/>
              </w:rPr>
              <w:t xml:space="preserve"> and clinical experts stated that the themes highlighted by the person with lived experience aligned with their</w:t>
            </w:r>
            <w:r w:rsidR="00D85180" w:rsidRPr="00BA1B80">
              <w:rPr>
                <w:lang w:eastAsia="en-GB"/>
              </w:rPr>
              <w:t xml:space="preserve"> observed</w:t>
            </w:r>
            <w:r w:rsidR="001045C1" w:rsidRPr="00BA1B80">
              <w:rPr>
                <w:lang w:eastAsia="en-GB"/>
              </w:rPr>
              <w:t xml:space="preserve"> </w:t>
            </w:r>
            <w:r w:rsidR="001045C1" w:rsidRPr="00BA1B80">
              <w:rPr>
                <w:lang w:eastAsia="en-GB"/>
              </w:rPr>
              <w:lastRenderedPageBreak/>
              <w:t xml:space="preserve">experience </w:t>
            </w:r>
            <w:r w:rsidR="00D85180" w:rsidRPr="00BA1B80">
              <w:rPr>
                <w:lang w:eastAsia="en-GB"/>
              </w:rPr>
              <w:t>of people with infected leg ulcers</w:t>
            </w:r>
            <w:r w:rsidR="004D3D5E" w:rsidRPr="00BA1B80">
              <w:rPr>
                <w:lang w:eastAsia="en-GB"/>
              </w:rPr>
              <w:t xml:space="preserve">. </w:t>
            </w:r>
          </w:p>
        </w:tc>
      </w:tr>
      <w:tr w:rsidR="004101D1" w14:paraId="096AAF0F" w14:textId="77777777" w:rsidTr="209F09E9">
        <w:tc>
          <w:tcPr>
            <w:tcW w:w="1323" w:type="dxa"/>
          </w:tcPr>
          <w:p w14:paraId="67BD3454"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608D7133" w14:textId="60AE0669" w:rsidR="004101D1" w:rsidRPr="00BA1B80" w:rsidRDefault="004101D1" w:rsidP="00BA1B80">
            <w:pPr>
              <w:pStyle w:val="Paragraph"/>
              <w:spacing w:line="240" w:lineRule="auto"/>
              <w:rPr>
                <w:lang w:eastAsia="en-GB"/>
              </w:rPr>
            </w:pPr>
            <w:r w:rsidRPr="00BA1B80">
              <w:rPr>
                <w:rFonts w:cs="Arial"/>
                <w:color w:val="000000"/>
              </w:rPr>
              <w:t>Consultee 5</w:t>
            </w:r>
            <w:r w:rsidRPr="00BA1B80">
              <w:rPr>
                <w:rFonts w:cs="Arial"/>
                <w:color w:val="000000"/>
              </w:rPr>
              <w:br/>
              <w:t>Urgo Ltd</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2D3CA6F1" w14:textId="0F38C5DC" w:rsidR="004101D1" w:rsidRPr="00BA1B80" w:rsidRDefault="004101D1" w:rsidP="00BA1B80">
            <w:pPr>
              <w:pStyle w:val="Paragraph"/>
              <w:spacing w:line="240" w:lineRule="auto"/>
              <w:rPr>
                <w:lang w:eastAsia="en-GB"/>
              </w:rPr>
            </w:pPr>
            <w:r w:rsidRPr="00BA1B80">
              <w:rPr>
                <w:rFonts w:cs="Arial"/>
                <w:color w:val="000000"/>
              </w:rPr>
              <w:t>3.3 Lived experience</w:t>
            </w:r>
          </w:p>
        </w:tc>
        <w:tc>
          <w:tcPr>
            <w:tcW w:w="5243" w:type="dxa"/>
            <w:tcBorders>
              <w:top w:val="single" w:sz="4" w:space="0" w:color="auto"/>
              <w:left w:val="single" w:sz="4" w:space="0" w:color="auto"/>
              <w:bottom w:val="single" w:sz="4" w:space="0" w:color="auto"/>
              <w:right w:val="nil"/>
            </w:tcBorders>
            <w:shd w:val="clear" w:color="auto" w:fill="auto"/>
          </w:tcPr>
          <w:p w14:paraId="0ADD373B" w14:textId="100B48FD" w:rsidR="004101D1" w:rsidRPr="00BA1B80" w:rsidRDefault="004101D1" w:rsidP="00BA1B80">
            <w:pPr>
              <w:pStyle w:val="Paragraph"/>
              <w:spacing w:line="240" w:lineRule="auto"/>
              <w:rPr>
                <w:lang w:eastAsia="en-GB"/>
              </w:rPr>
            </w:pPr>
            <w:r w:rsidRPr="00BA1B80">
              <w:rPr>
                <w:rFonts w:cs="Arial"/>
                <w:color w:val="000000"/>
              </w:rPr>
              <w:t>We recommend that the commentary on the patient expert should be caveated that their wound experience was not related to the scope (leg ulcers).</w:t>
            </w:r>
          </w:p>
        </w:tc>
        <w:tc>
          <w:tcPr>
            <w:tcW w:w="3655" w:type="dxa"/>
          </w:tcPr>
          <w:p w14:paraId="639C9771" w14:textId="4EA6C824" w:rsidR="004101D1" w:rsidRPr="00BA1B80" w:rsidRDefault="004D3D5E" w:rsidP="00BA1B80">
            <w:pPr>
              <w:pStyle w:val="Paragraph"/>
              <w:spacing w:line="240" w:lineRule="auto"/>
              <w:rPr>
                <w:lang w:eastAsia="en-GB"/>
              </w:rPr>
            </w:pPr>
            <w:r w:rsidRPr="00BA1B80">
              <w:rPr>
                <w:lang w:eastAsia="en-GB"/>
              </w:rPr>
              <w:t>Thank you for your comment. Please see response to comment 177.</w:t>
            </w:r>
          </w:p>
        </w:tc>
      </w:tr>
      <w:tr w:rsidR="004101D1" w14:paraId="34EE2087" w14:textId="77777777" w:rsidTr="209F09E9">
        <w:tc>
          <w:tcPr>
            <w:tcW w:w="1323" w:type="dxa"/>
          </w:tcPr>
          <w:p w14:paraId="5CCA803B"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5FA63099" w14:textId="1BFBD101" w:rsidR="004101D1" w:rsidRPr="00BA1B80" w:rsidRDefault="004101D1" w:rsidP="00BA1B80">
            <w:pPr>
              <w:pStyle w:val="Paragraph"/>
              <w:spacing w:line="240" w:lineRule="auto"/>
              <w:rPr>
                <w:lang w:eastAsia="en-GB"/>
              </w:rPr>
            </w:pPr>
            <w:r w:rsidRPr="00BA1B80">
              <w:rPr>
                <w:rFonts w:cs="Arial"/>
                <w:color w:val="000000"/>
              </w:rPr>
              <w:t>Consultee 5</w:t>
            </w:r>
            <w:r w:rsidRPr="00BA1B80">
              <w:rPr>
                <w:rFonts w:cs="Arial"/>
                <w:color w:val="000000"/>
              </w:rPr>
              <w:br/>
              <w:t>Urgo Ltd</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05A33D45" w14:textId="268DC498" w:rsidR="004101D1" w:rsidRPr="00BA1B80" w:rsidRDefault="004101D1" w:rsidP="00BA1B80">
            <w:pPr>
              <w:pStyle w:val="Paragraph"/>
              <w:spacing w:line="240" w:lineRule="auto"/>
              <w:rPr>
                <w:lang w:eastAsia="en-GB"/>
              </w:rPr>
            </w:pPr>
            <w:r w:rsidRPr="00BA1B80">
              <w:rPr>
                <w:rFonts w:cs="Arial"/>
                <w:color w:val="000000"/>
              </w:rPr>
              <w:t>4 Specialist committee members</w:t>
            </w:r>
          </w:p>
        </w:tc>
        <w:tc>
          <w:tcPr>
            <w:tcW w:w="5243" w:type="dxa"/>
            <w:tcBorders>
              <w:top w:val="single" w:sz="4" w:space="0" w:color="auto"/>
              <w:left w:val="single" w:sz="4" w:space="0" w:color="auto"/>
              <w:bottom w:val="single" w:sz="4" w:space="0" w:color="auto"/>
              <w:right w:val="nil"/>
            </w:tcBorders>
            <w:shd w:val="clear" w:color="auto" w:fill="auto"/>
          </w:tcPr>
          <w:p w14:paraId="627231D1" w14:textId="27BBBBA9" w:rsidR="004101D1" w:rsidRPr="00BA1B80" w:rsidRDefault="004101D1" w:rsidP="00BA1B80">
            <w:pPr>
              <w:pStyle w:val="Paragraph"/>
              <w:spacing w:line="240" w:lineRule="auto"/>
              <w:rPr>
                <w:lang w:eastAsia="en-GB"/>
              </w:rPr>
            </w:pPr>
            <w:r w:rsidRPr="00BA1B80">
              <w:rPr>
                <w:rFonts w:cs="Arial"/>
                <w:color w:val="000000"/>
              </w:rPr>
              <w:t>Final assessment report p.169</w:t>
            </w:r>
            <w:r w:rsidRPr="00BA1B80">
              <w:rPr>
                <w:rFonts w:cs="Arial"/>
                <w:color w:val="000000"/>
              </w:rPr>
              <w:br/>
              <w:t>‘’use of this study would require additional assumptions, for example, that resource use in Northwest of England is representative of the English and Welsh population’’</w:t>
            </w:r>
            <w:r w:rsidRPr="00BA1B80">
              <w:rPr>
                <w:rFonts w:cs="Arial"/>
                <w:color w:val="000000"/>
              </w:rPr>
              <w:br/>
              <w:t>If assumptions as stated above were not used as they may not be representative of the wider population, why have the opinions of a few, been assumed to be representative of the views of the wider clinical population?</w:t>
            </w:r>
            <w:r w:rsidRPr="00BA1B80">
              <w:rPr>
                <w:rFonts w:cs="Arial"/>
                <w:color w:val="000000"/>
              </w:rPr>
              <w:br/>
              <w:t xml:space="preserve">The specialist committee members, do not include any representation from Wales or the Southwest of England.  </w:t>
            </w:r>
            <w:r w:rsidRPr="00BA1B80">
              <w:rPr>
                <w:rFonts w:cs="Arial"/>
                <w:color w:val="000000"/>
              </w:rPr>
              <w:br/>
              <w:t>How are their views considered to represent the clinical population as part of the specialist committee?</w:t>
            </w:r>
          </w:p>
        </w:tc>
        <w:tc>
          <w:tcPr>
            <w:tcW w:w="3655" w:type="dxa"/>
          </w:tcPr>
          <w:p w14:paraId="5413A5EF" w14:textId="77777777" w:rsidR="004101D1" w:rsidRPr="00BA1B80" w:rsidRDefault="00A62674" w:rsidP="00BA1B80">
            <w:pPr>
              <w:pStyle w:val="Paragraph"/>
              <w:spacing w:line="240" w:lineRule="auto"/>
              <w:rPr>
                <w:lang w:eastAsia="en-GB"/>
              </w:rPr>
            </w:pPr>
            <w:r w:rsidRPr="00BA1B80">
              <w:rPr>
                <w:lang w:eastAsia="en-GB"/>
              </w:rPr>
              <w:t xml:space="preserve">Thank you for your comment. </w:t>
            </w:r>
          </w:p>
          <w:p w14:paraId="3567E3F0" w14:textId="04BC6522" w:rsidR="007E6238" w:rsidRPr="00BA1B80" w:rsidRDefault="007E6238" w:rsidP="00BA1B80">
            <w:pPr>
              <w:pStyle w:val="Paragraph"/>
              <w:spacing w:line="240" w:lineRule="auto"/>
              <w:rPr>
                <w:lang w:eastAsia="en-GB"/>
              </w:rPr>
            </w:pPr>
            <w:r w:rsidRPr="209F09E9">
              <w:rPr>
                <w:lang w:eastAsia="en-GB"/>
              </w:rPr>
              <w:t>The EAG’s point relates to the expected variation in practice across the UK</w:t>
            </w:r>
            <w:r w:rsidR="00E5361E" w:rsidRPr="209F09E9">
              <w:rPr>
                <w:lang w:eastAsia="en-GB"/>
              </w:rPr>
              <w:t xml:space="preserve"> and the costs associated with this</w:t>
            </w:r>
            <w:r w:rsidR="3FFD11AB" w:rsidRPr="209F09E9">
              <w:rPr>
                <w:lang w:eastAsia="en-GB"/>
              </w:rPr>
              <w:t xml:space="preserve"> and in context this statement is one of </w:t>
            </w:r>
            <w:proofErr w:type="gramStart"/>
            <w:r w:rsidR="3FFD11AB" w:rsidRPr="209F09E9">
              <w:rPr>
                <w:lang w:eastAsia="en-GB"/>
              </w:rPr>
              <w:t>a number of</w:t>
            </w:r>
            <w:proofErr w:type="gramEnd"/>
            <w:r w:rsidR="3FFD11AB" w:rsidRPr="209F09E9">
              <w:rPr>
                <w:lang w:eastAsia="en-GB"/>
              </w:rPr>
              <w:t xml:space="preserve"> reasons given as a limitation of the evidence source</w:t>
            </w:r>
            <w:r w:rsidRPr="209F09E9">
              <w:rPr>
                <w:lang w:eastAsia="en-GB"/>
              </w:rPr>
              <w:t>.</w:t>
            </w:r>
          </w:p>
          <w:p w14:paraId="51EE1024" w14:textId="2B1C0395" w:rsidR="00E5361E" w:rsidRPr="00BA1B80" w:rsidRDefault="00E5361E" w:rsidP="00BA1B80">
            <w:pPr>
              <w:pStyle w:val="Paragraph"/>
              <w:spacing w:line="240" w:lineRule="auto"/>
              <w:rPr>
                <w:lang w:eastAsia="en-GB"/>
              </w:rPr>
            </w:pPr>
            <w:r w:rsidRPr="209F09E9">
              <w:rPr>
                <w:lang w:eastAsia="en-GB"/>
              </w:rPr>
              <w:t xml:space="preserve">The role of the specialist committee member is </w:t>
            </w:r>
            <w:r w:rsidR="00AB228F" w:rsidRPr="209F09E9">
              <w:rPr>
                <w:lang w:eastAsia="en-GB"/>
              </w:rPr>
              <w:t>not to represent their geographical location. Instead</w:t>
            </w:r>
            <w:r w:rsidR="00607A0A" w:rsidRPr="209F09E9">
              <w:rPr>
                <w:lang w:eastAsia="en-GB"/>
              </w:rPr>
              <w:t>,</w:t>
            </w:r>
            <w:r w:rsidR="00AB228F" w:rsidRPr="209F09E9">
              <w:rPr>
                <w:lang w:eastAsia="en-GB"/>
              </w:rPr>
              <w:t xml:space="preserve"> it is to act as</w:t>
            </w:r>
            <w:r w:rsidR="37E264CB" w:rsidRPr="209F09E9">
              <w:rPr>
                <w:lang w:eastAsia="en-GB"/>
              </w:rPr>
              <w:t xml:space="preserve"> clinical and patient experts</w:t>
            </w:r>
            <w:r w:rsidR="2C59487B" w:rsidRPr="209F09E9">
              <w:rPr>
                <w:lang w:eastAsia="en-GB"/>
              </w:rPr>
              <w:t xml:space="preserve"> and have the same decision-making</w:t>
            </w:r>
            <w:r w:rsidR="37E264CB" w:rsidRPr="209F09E9">
              <w:rPr>
                <w:lang w:eastAsia="en-GB"/>
              </w:rPr>
              <w:t xml:space="preserve"> </w:t>
            </w:r>
            <w:r w:rsidR="619BB341" w:rsidRPr="209F09E9">
              <w:rPr>
                <w:lang w:eastAsia="en-GB"/>
              </w:rPr>
              <w:t xml:space="preserve">role as standing members of the committee. </w:t>
            </w:r>
            <w:r w:rsidR="00AB228F" w:rsidRPr="209F09E9">
              <w:rPr>
                <w:lang w:eastAsia="en-GB"/>
              </w:rPr>
              <w:t xml:space="preserve"> </w:t>
            </w:r>
            <w:r w:rsidR="00282176" w:rsidRPr="209F09E9">
              <w:rPr>
                <w:lang w:eastAsia="en-GB"/>
              </w:rPr>
              <w:t xml:space="preserve"> </w:t>
            </w:r>
          </w:p>
        </w:tc>
      </w:tr>
      <w:tr w:rsidR="004101D1" w14:paraId="30DA21E0" w14:textId="77777777" w:rsidTr="209F09E9">
        <w:tc>
          <w:tcPr>
            <w:tcW w:w="1323" w:type="dxa"/>
          </w:tcPr>
          <w:p w14:paraId="4354D17E"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7F5A89D" w14:textId="681AFDF6" w:rsidR="004101D1" w:rsidRPr="00BA1B80" w:rsidRDefault="004101D1" w:rsidP="00BA1B80">
            <w:pPr>
              <w:pStyle w:val="Paragraph"/>
              <w:spacing w:line="240" w:lineRule="auto"/>
              <w:rPr>
                <w:lang w:eastAsia="en-GB"/>
              </w:rPr>
            </w:pPr>
            <w:r w:rsidRPr="00BA1B80">
              <w:rPr>
                <w:rFonts w:cs="Arial"/>
                <w:color w:val="000000"/>
              </w:rPr>
              <w:t>Consultee 5</w:t>
            </w:r>
            <w:r w:rsidRPr="00BA1B80">
              <w:rPr>
                <w:rFonts w:cs="Arial"/>
                <w:color w:val="000000"/>
              </w:rPr>
              <w:br/>
              <w:t>Urgo Ltd</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65260B6" w14:textId="6E8DAFB7" w:rsidR="004101D1" w:rsidRPr="00BA1B80" w:rsidRDefault="004101D1" w:rsidP="00BA1B80">
            <w:pPr>
              <w:pStyle w:val="Paragraph"/>
              <w:spacing w:line="240" w:lineRule="auto"/>
              <w:rPr>
                <w:lang w:eastAsia="en-GB"/>
              </w:rPr>
            </w:pPr>
            <w:r w:rsidRPr="00BA1B80">
              <w:rPr>
                <w:rFonts w:cs="Arial"/>
                <w:color w:val="000000"/>
              </w:rPr>
              <w:t>4 Clinical experts</w:t>
            </w:r>
          </w:p>
        </w:tc>
        <w:tc>
          <w:tcPr>
            <w:tcW w:w="5243" w:type="dxa"/>
            <w:tcBorders>
              <w:top w:val="single" w:sz="4" w:space="0" w:color="auto"/>
              <w:left w:val="single" w:sz="4" w:space="0" w:color="auto"/>
              <w:bottom w:val="single" w:sz="4" w:space="0" w:color="auto"/>
              <w:right w:val="nil"/>
            </w:tcBorders>
            <w:shd w:val="clear" w:color="auto" w:fill="auto"/>
          </w:tcPr>
          <w:p w14:paraId="7154D924" w14:textId="4C9AE828" w:rsidR="004101D1" w:rsidRPr="00BA1B80" w:rsidRDefault="004101D1" w:rsidP="00BA1B80">
            <w:pPr>
              <w:pStyle w:val="Paragraph"/>
              <w:spacing w:line="240" w:lineRule="auto"/>
              <w:rPr>
                <w:lang w:eastAsia="en-GB"/>
              </w:rPr>
            </w:pPr>
            <w:r w:rsidRPr="00BA1B80">
              <w:rPr>
                <w:rFonts w:cs="Arial"/>
                <w:color w:val="000000"/>
              </w:rPr>
              <w:t>Final assessment report p.169</w:t>
            </w:r>
            <w:r w:rsidRPr="00BA1B80">
              <w:rPr>
                <w:rFonts w:cs="Arial"/>
                <w:color w:val="000000"/>
              </w:rPr>
              <w:br/>
              <w:t>‘’use of this study would require additional assumptions, for example, that resource use in Northwest of England is representative of the English and Welsh population’’</w:t>
            </w:r>
            <w:r w:rsidRPr="00BA1B80">
              <w:rPr>
                <w:rFonts w:cs="Arial"/>
                <w:color w:val="000000"/>
              </w:rPr>
              <w:br/>
              <w:t>If assumptions on the above were not used as they may not be representative of the wider population, why have the opinions of so few clinical experts, been assumed to be representative of the views of the wider clinical population?</w:t>
            </w:r>
            <w:r w:rsidRPr="00BA1B80">
              <w:rPr>
                <w:rFonts w:cs="Arial"/>
                <w:color w:val="000000"/>
              </w:rPr>
              <w:br/>
              <w:t xml:space="preserve">The clinical experts, do not include any representation from Wales or the Southwest of England.  </w:t>
            </w:r>
            <w:r w:rsidRPr="00BA1B80">
              <w:rPr>
                <w:rFonts w:cs="Arial"/>
                <w:color w:val="000000"/>
              </w:rPr>
              <w:br/>
              <w:t>How are their views considered to represent the clinical population as part of the clinical experts?</w:t>
            </w:r>
          </w:p>
        </w:tc>
        <w:tc>
          <w:tcPr>
            <w:tcW w:w="3655" w:type="dxa"/>
          </w:tcPr>
          <w:p w14:paraId="3310DA47" w14:textId="77777777" w:rsidR="004101D1" w:rsidRPr="00BA1B80" w:rsidRDefault="006C4450" w:rsidP="00BA1B80">
            <w:pPr>
              <w:pStyle w:val="Paragraph"/>
              <w:spacing w:line="240" w:lineRule="auto"/>
              <w:rPr>
                <w:lang w:eastAsia="en-GB"/>
              </w:rPr>
            </w:pPr>
            <w:r w:rsidRPr="00BA1B80">
              <w:rPr>
                <w:lang w:eastAsia="en-GB"/>
              </w:rPr>
              <w:t xml:space="preserve">Thank you for your comment. </w:t>
            </w:r>
          </w:p>
          <w:p w14:paraId="2359BB19" w14:textId="77777777" w:rsidR="00C3281D" w:rsidRPr="00BA1B80" w:rsidRDefault="00C3281D" w:rsidP="00BA1B80">
            <w:pPr>
              <w:pStyle w:val="Paragraph"/>
              <w:spacing w:line="240" w:lineRule="auto"/>
              <w:rPr>
                <w:lang w:eastAsia="en-GB"/>
              </w:rPr>
            </w:pPr>
            <w:r w:rsidRPr="00BA1B80">
              <w:rPr>
                <w:lang w:eastAsia="en-GB"/>
              </w:rPr>
              <w:t>For the point related to the EAG’s report please response to comment 179.</w:t>
            </w:r>
          </w:p>
          <w:p w14:paraId="0DDE830A" w14:textId="1AE11190" w:rsidR="006C4450" w:rsidRPr="00BA1B80" w:rsidRDefault="006C4450" w:rsidP="00BA1B80">
            <w:pPr>
              <w:pStyle w:val="Paragraph"/>
              <w:spacing w:line="240" w:lineRule="auto"/>
              <w:rPr>
                <w:lang w:eastAsia="en-GB"/>
              </w:rPr>
            </w:pPr>
            <w:r w:rsidRPr="209F09E9">
              <w:rPr>
                <w:lang w:eastAsia="en-GB"/>
              </w:rPr>
              <w:t xml:space="preserve">The role of experts is not to </w:t>
            </w:r>
            <w:r w:rsidR="00BA0810" w:rsidRPr="209F09E9">
              <w:rPr>
                <w:lang w:eastAsia="en-GB"/>
              </w:rPr>
              <w:t>represent their geographical location. Instead</w:t>
            </w:r>
            <w:r w:rsidR="00C3281D" w:rsidRPr="209F09E9">
              <w:rPr>
                <w:lang w:eastAsia="en-GB"/>
              </w:rPr>
              <w:t>,</w:t>
            </w:r>
            <w:r w:rsidR="00BA0810" w:rsidRPr="209F09E9">
              <w:rPr>
                <w:lang w:eastAsia="en-GB"/>
              </w:rPr>
              <w:t xml:space="preserve"> </w:t>
            </w:r>
            <w:r w:rsidR="00775A3E" w:rsidRPr="209F09E9">
              <w:rPr>
                <w:lang w:eastAsia="en-GB"/>
              </w:rPr>
              <w:t>clinical experts may be asked</w:t>
            </w:r>
            <w:r w:rsidR="00BA0810" w:rsidRPr="209F09E9">
              <w:rPr>
                <w:lang w:eastAsia="en-GB"/>
              </w:rPr>
              <w:t xml:space="preserve"> </w:t>
            </w:r>
            <w:r w:rsidR="00775A3E" w:rsidRPr="209F09E9">
              <w:rPr>
                <w:lang w:eastAsia="en-GB"/>
              </w:rPr>
              <w:t>clarify issues about the evidence base and participate in committee meetings. They may be asked to provide advice before, during and after committee meetings.</w:t>
            </w:r>
            <w:r w:rsidR="00EC1987" w:rsidRPr="209F09E9">
              <w:rPr>
                <w:lang w:eastAsia="en-GB"/>
              </w:rPr>
              <w:t xml:space="preserve"> For late-stage assessment this includes participation in the user preference assessment. </w:t>
            </w:r>
          </w:p>
          <w:p w14:paraId="5F1B2EAA" w14:textId="26FFBF4D" w:rsidR="00775A3E" w:rsidRPr="00BA1B80" w:rsidRDefault="00775A3E" w:rsidP="00BA1B80">
            <w:pPr>
              <w:pStyle w:val="Paragraph"/>
              <w:rPr>
                <w:lang w:eastAsia="en-GB"/>
              </w:rPr>
            </w:pPr>
          </w:p>
        </w:tc>
      </w:tr>
      <w:tr w:rsidR="004101D1" w14:paraId="47AA7A61" w14:textId="77777777" w:rsidTr="209F09E9">
        <w:tc>
          <w:tcPr>
            <w:tcW w:w="1323" w:type="dxa"/>
          </w:tcPr>
          <w:p w14:paraId="3B525A5A"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61610F93" w14:textId="6DC916ED" w:rsidR="004101D1" w:rsidRPr="00BA1B80" w:rsidRDefault="004101D1"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639F7548" w14:textId="56817E7A" w:rsidR="004101D1" w:rsidRPr="00BA1B80" w:rsidRDefault="004101D1" w:rsidP="00BA1B80">
            <w:pPr>
              <w:pStyle w:val="Paragraph"/>
              <w:spacing w:line="240" w:lineRule="auto"/>
              <w:rPr>
                <w:lang w:eastAsia="en-GB"/>
              </w:rPr>
            </w:pPr>
            <w:r w:rsidRPr="00BA1B80">
              <w:rPr>
                <w:rFonts w:cs="Arial"/>
                <w:color w:val="000000"/>
              </w:rPr>
              <w:t>3.3 Lived experience</w:t>
            </w:r>
          </w:p>
        </w:tc>
        <w:tc>
          <w:tcPr>
            <w:tcW w:w="5243" w:type="dxa"/>
            <w:tcBorders>
              <w:top w:val="single" w:sz="4" w:space="0" w:color="auto"/>
              <w:left w:val="single" w:sz="4" w:space="0" w:color="auto"/>
              <w:bottom w:val="single" w:sz="4" w:space="0" w:color="auto"/>
              <w:right w:val="nil"/>
            </w:tcBorders>
            <w:shd w:val="clear" w:color="auto" w:fill="auto"/>
          </w:tcPr>
          <w:p w14:paraId="77634729" w14:textId="40DDFC3E" w:rsidR="004101D1" w:rsidRPr="00BA1B80" w:rsidRDefault="004101D1" w:rsidP="00BA1B80">
            <w:pPr>
              <w:pStyle w:val="Paragraph"/>
              <w:spacing w:line="240" w:lineRule="auto"/>
              <w:rPr>
                <w:lang w:eastAsia="en-GB"/>
              </w:rPr>
            </w:pPr>
            <w:r w:rsidRPr="00BA1B80">
              <w:rPr>
                <w:rFonts w:cs="Arial"/>
                <w:color w:val="000000"/>
              </w:rPr>
              <w:t xml:space="preserve">They explained that the dressing caused discomfort and embarrassment, and that there was sometimes a smell from the infected wound. Using the dressing had also had a negative impact on their mental health and their relationships. This lived experience could equally relate to the wound management in general and not relate to the fact that the patient had been treated with an antimicrobial </w:t>
            </w:r>
            <w:r w:rsidRPr="00BA1B80">
              <w:rPr>
                <w:rFonts w:cs="Arial"/>
                <w:color w:val="000000"/>
              </w:rPr>
              <w:lastRenderedPageBreak/>
              <w:t>dressing. Any dressing could have resulted in equivalent lived experience</w:t>
            </w:r>
          </w:p>
        </w:tc>
        <w:tc>
          <w:tcPr>
            <w:tcW w:w="3655" w:type="dxa"/>
          </w:tcPr>
          <w:p w14:paraId="36ADE156" w14:textId="687398A0" w:rsidR="004101D1" w:rsidRPr="00BA1B80" w:rsidRDefault="004511E1" w:rsidP="00BA1B80">
            <w:pPr>
              <w:pStyle w:val="Paragraph"/>
              <w:spacing w:line="240" w:lineRule="auto"/>
              <w:rPr>
                <w:lang w:eastAsia="en-GB"/>
              </w:rPr>
            </w:pPr>
            <w:r w:rsidRPr="00BA1B80">
              <w:rPr>
                <w:lang w:eastAsia="en-GB"/>
              </w:rPr>
              <w:lastRenderedPageBreak/>
              <w:t>Thank you for your comment. The lived experience provided was not technology specific.</w:t>
            </w:r>
            <w:r w:rsidR="00777393" w:rsidRPr="00BA1B80">
              <w:rPr>
                <w:lang w:eastAsia="en-GB"/>
              </w:rPr>
              <w:t xml:space="preserve"> </w:t>
            </w:r>
            <w:r w:rsidR="00B74A0C" w:rsidRPr="00BA1B80">
              <w:rPr>
                <w:lang w:eastAsia="en-GB"/>
              </w:rPr>
              <w:t xml:space="preserve">The guidance clearly states that the smell was from the wound and not the dressing. </w:t>
            </w:r>
            <w:r w:rsidR="002D145E" w:rsidRPr="00BA1B80">
              <w:rPr>
                <w:lang w:eastAsia="en-GB"/>
              </w:rPr>
              <w:t>Clinical experts state that m</w:t>
            </w:r>
            <w:r w:rsidR="00B74A0C" w:rsidRPr="00BA1B80">
              <w:rPr>
                <w:lang w:eastAsia="en-GB"/>
              </w:rPr>
              <w:t xml:space="preserve">anagement </w:t>
            </w:r>
            <w:r w:rsidR="002D145E" w:rsidRPr="00BA1B80">
              <w:rPr>
                <w:lang w:eastAsia="en-GB"/>
              </w:rPr>
              <w:t xml:space="preserve">and consideration </w:t>
            </w:r>
            <w:r w:rsidR="00B74A0C" w:rsidRPr="00BA1B80">
              <w:rPr>
                <w:lang w:eastAsia="en-GB"/>
              </w:rPr>
              <w:t xml:space="preserve">of odour is </w:t>
            </w:r>
            <w:r w:rsidR="002D145E" w:rsidRPr="00BA1B80">
              <w:rPr>
                <w:lang w:eastAsia="en-GB"/>
              </w:rPr>
              <w:t xml:space="preserve">part of wound care </w:t>
            </w:r>
            <w:r w:rsidR="002D145E" w:rsidRPr="00BA1B80">
              <w:rPr>
                <w:lang w:eastAsia="en-GB"/>
              </w:rPr>
              <w:lastRenderedPageBreak/>
              <w:t>management</w:t>
            </w:r>
            <w:r w:rsidR="00836AB9" w:rsidRPr="00BA1B80">
              <w:rPr>
                <w:lang w:eastAsia="en-GB"/>
              </w:rPr>
              <w:t xml:space="preserve">. </w:t>
            </w:r>
            <w:r w:rsidR="00322AAB" w:rsidRPr="00BA1B80">
              <w:rPr>
                <w:lang w:eastAsia="en-GB"/>
              </w:rPr>
              <w:t xml:space="preserve">See </w:t>
            </w:r>
            <w:r w:rsidR="00836AB9" w:rsidRPr="00BA1B80">
              <w:rPr>
                <w:lang w:eastAsia="en-GB"/>
              </w:rPr>
              <w:t xml:space="preserve">section </w:t>
            </w:r>
            <w:r w:rsidR="00107A51" w:rsidRPr="00BA1B80">
              <w:rPr>
                <w:lang w:eastAsia="en-GB"/>
              </w:rPr>
              <w:t xml:space="preserve">4 of the </w:t>
            </w:r>
            <w:r w:rsidR="00322AAB" w:rsidRPr="00BA1B80">
              <w:rPr>
                <w:lang w:eastAsia="en-GB"/>
              </w:rPr>
              <w:t>user preference report</w:t>
            </w:r>
            <w:r w:rsidR="00107A51" w:rsidRPr="00BA1B80">
              <w:rPr>
                <w:lang w:eastAsia="en-GB"/>
              </w:rPr>
              <w:t xml:space="preserve"> for more details</w:t>
            </w:r>
            <w:r w:rsidR="00322AAB" w:rsidRPr="00BA1B80">
              <w:rPr>
                <w:lang w:eastAsia="en-GB"/>
              </w:rPr>
              <w:t xml:space="preserve">. </w:t>
            </w:r>
          </w:p>
        </w:tc>
      </w:tr>
      <w:tr w:rsidR="004101D1" w14:paraId="4732551E" w14:textId="77777777" w:rsidTr="209F09E9">
        <w:tc>
          <w:tcPr>
            <w:tcW w:w="1323" w:type="dxa"/>
          </w:tcPr>
          <w:p w14:paraId="7225C8C8" w14:textId="77777777" w:rsidR="004101D1" w:rsidRPr="00BA1B80" w:rsidRDefault="004101D1" w:rsidP="00BA1B80">
            <w:pPr>
              <w:pStyle w:val="Paragraph"/>
              <w:numPr>
                <w:ilvl w:val="0"/>
                <w:numId w:val="27"/>
              </w:numPr>
              <w:spacing w:line="240" w:lineRule="auto"/>
              <w:rPr>
                <w:lang w:eastAsia="en-GB"/>
              </w:rPr>
            </w:pPr>
          </w:p>
        </w:tc>
        <w:tc>
          <w:tcPr>
            <w:tcW w:w="1689" w:type="dxa"/>
            <w:tcBorders>
              <w:top w:val="single" w:sz="4" w:space="0" w:color="auto"/>
              <w:left w:val="nil"/>
              <w:bottom w:val="single" w:sz="4" w:space="0" w:color="auto"/>
              <w:right w:val="single" w:sz="4" w:space="0" w:color="auto"/>
            </w:tcBorders>
            <w:shd w:val="clear" w:color="auto" w:fill="auto"/>
          </w:tcPr>
          <w:p w14:paraId="2E948FED" w14:textId="1F229BE9" w:rsidR="004101D1" w:rsidRPr="00BA1B80" w:rsidRDefault="004101D1" w:rsidP="00BA1B80">
            <w:pPr>
              <w:pStyle w:val="Paragraph"/>
              <w:spacing w:line="240" w:lineRule="auto"/>
              <w:rPr>
                <w:lang w:eastAsia="en-GB"/>
              </w:rPr>
            </w:pPr>
            <w:r w:rsidRPr="00BA1B80">
              <w:rPr>
                <w:rFonts w:cs="Arial"/>
                <w:color w:val="000000"/>
              </w:rPr>
              <w:t>Consultee 14</w:t>
            </w:r>
            <w:r w:rsidRPr="00BA1B80">
              <w:rPr>
                <w:rFonts w:cs="Arial"/>
                <w:color w:val="000000"/>
              </w:rPr>
              <w:br/>
              <w:t>Essity</w:t>
            </w:r>
          </w:p>
        </w:tc>
        <w:tc>
          <w:tcPr>
            <w:tcW w:w="2038" w:type="dxa"/>
            <w:tcBorders>
              <w:top w:val="single" w:sz="4" w:space="0" w:color="auto"/>
              <w:left w:val="single" w:sz="4" w:space="0" w:color="auto"/>
              <w:bottom w:val="single" w:sz="4" w:space="0" w:color="auto"/>
              <w:right w:val="single" w:sz="4" w:space="0" w:color="auto"/>
            </w:tcBorders>
            <w:shd w:val="clear" w:color="auto" w:fill="auto"/>
          </w:tcPr>
          <w:p w14:paraId="146246E6" w14:textId="0DC3F4C4" w:rsidR="004101D1" w:rsidRPr="00BA1B80" w:rsidRDefault="004101D1" w:rsidP="00BA1B80">
            <w:pPr>
              <w:pStyle w:val="Paragraph"/>
              <w:spacing w:line="240" w:lineRule="auto"/>
              <w:rPr>
                <w:lang w:eastAsia="en-GB"/>
              </w:rPr>
            </w:pPr>
            <w:r w:rsidRPr="00BA1B80">
              <w:rPr>
                <w:rFonts w:cs="Arial"/>
                <w:color w:val="000000"/>
              </w:rPr>
              <w:t>3.3 Lived experience</w:t>
            </w:r>
          </w:p>
        </w:tc>
        <w:tc>
          <w:tcPr>
            <w:tcW w:w="5243" w:type="dxa"/>
            <w:tcBorders>
              <w:top w:val="single" w:sz="4" w:space="0" w:color="auto"/>
              <w:left w:val="single" w:sz="4" w:space="0" w:color="auto"/>
              <w:bottom w:val="single" w:sz="4" w:space="0" w:color="auto"/>
              <w:right w:val="nil"/>
            </w:tcBorders>
            <w:shd w:val="clear" w:color="auto" w:fill="auto"/>
          </w:tcPr>
          <w:p w14:paraId="1946AA31" w14:textId="3191C2BE" w:rsidR="004101D1" w:rsidRPr="00BA1B80" w:rsidRDefault="004101D1" w:rsidP="00BA1B80">
            <w:pPr>
              <w:pStyle w:val="Paragraph"/>
              <w:spacing w:line="240" w:lineRule="auto"/>
              <w:rPr>
                <w:lang w:eastAsia="en-GB"/>
              </w:rPr>
            </w:pPr>
            <w:r w:rsidRPr="00BA1B80">
              <w:rPr>
                <w:rFonts w:cs="Arial"/>
                <w:color w:val="000000"/>
              </w:rPr>
              <w:t xml:space="preserve">Essity feel that with the number of wounds and leg ulcers a cohort of 12 patients is not fair representation of the patient population </w:t>
            </w:r>
            <w:r w:rsidRPr="00BA1B80">
              <w:rPr>
                <w:rFonts w:cs="Arial"/>
                <w:color w:val="000000"/>
              </w:rPr>
              <w:br/>
              <w:t xml:space="preserve">The patient described the dressing as discomfort and embarrassment based on smell. This is not a reflection of the dressing but the type of bacteria </w:t>
            </w:r>
            <w:proofErr w:type="gramStart"/>
            <w:r w:rsidRPr="00BA1B80">
              <w:rPr>
                <w:rFonts w:cs="Arial"/>
                <w:color w:val="000000"/>
              </w:rPr>
              <w:t>present</w:t>
            </w:r>
            <w:proofErr w:type="gramEnd"/>
            <w:r w:rsidRPr="00BA1B80">
              <w:rPr>
                <w:rFonts w:cs="Arial"/>
                <w:color w:val="000000"/>
              </w:rPr>
              <w:t xml:space="preserve"> in the wound. Dressing selection could have supported the smell as some AMDs have charcoal properties </w:t>
            </w:r>
            <w:r w:rsidRPr="00BA1B80">
              <w:rPr>
                <w:rFonts w:cs="Arial"/>
                <w:color w:val="000000"/>
              </w:rPr>
              <w:br/>
              <w:t xml:space="preserve">Using the dressing had also had a negative impact on their mental health and their relationships – was this the infection or the </w:t>
            </w:r>
            <w:proofErr w:type="gramStart"/>
            <w:r w:rsidRPr="00BA1B80">
              <w:rPr>
                <w:rFonts w:cs="Arial"/>
                <w:color w:val="000000"/>
              </w:rPr>
              <w:t>dressing ?</w:t>
            </w:r>
            <w:proofErr w:type="gramEnd"/>
            <w:r w:rsidRPr="00BA1B80">
              <w:rPr>
                <w:rFonts w:cs="Arial"/>
                <w:color w:val="000000"/>
              </w:rPr>
              <w:t xml:space="preserve"> Essity feels this needs to be made clear as the right dressing choice can support patients </w:t>
            </w:r>
            <w:proofErr w:type="spellStart"/>
            <w:r w:rsidRPr="00BA1B80">
              <w:rPr>
                <w:rFonts w:cs="Arial"/>
                <w:color w:val="000000"/>
              </w:rPr>
              <w:t>well being</w:t>
            </w:r>
            <w:proofErr w:type="spellEnd"/>
            <w:r w:rsidRPr="00BA1B80">
              <w:rPr>
                <w:rFonts w:cs="Arial"/>
                <w:color w:val="000000"/>
              </w:rPr>
              <w:t xml:space="preserve">. In DACC there is products used </w:t>
            </w:r>
            <w:proofErr w:type="spellStart"/>
            <w:r w:rsidRPr="00BA1B80">
              <w:rPr>
                <w:rFonts w:cs="Arial"/>
                <w:color w:val="000000"/>
              </w:rPr>
              <w:t>post surgery</w:t>
            </w:r>
            <w:proofErr w:type="spellEnd"/>
            <w:r w:rsidRPr="00BA1B80">
              <w:rPr>
                <w:rFonts w:cs="Arial"/>
                <w:color w:val="000000"/>
              </w:rPr>
              <w:t xml:space="preserve"> which has high levels of evidence which shows that the right AMD can improve patient outcomes following C section</w:t>
            </w:r>
          </w:p>
        </w:tc>
        <w:tc>
          <w:tcPr>
            <w:tcW w:w="3655" w:type="dxa"/>
          </w:tcPr>
          <w:p w14:paraId="46FBDBF6" w14:textId="7A9CF909" w:rsidR="00716FA3" w:rsidRPr="00BA1B80" w:rsidRDefault="00716FA3" w:rsidP="00BA1B80">
            <w:pPr>
              <w:pStyle w:val="Paragraph"/>
              <w:spacing w:line="240" w:lineRule="auto"/>
              <w:rPr>
                <w:lang w:eastAsia="en-GB"/>
              </w:rPr>
            </w:pPr>
            <w:r w:rsidRPr="00BA1B80">
              <w:rPr>
                <w:lang w:eastAsia="en-GB"/>
              </w:rPr>
              <w:t>Thank you for your comment. For the first point please see response to comment 181.</w:t>
            </w:r>
            <w:r w:rsidR="00A774C9" w:rsidRPr="00BA1B80">
              <w:rPr>
                <w:lang w:eastAsia="en-GB"/>
              </w:rPr>
              <w:t xml:space="preserve"> </w:t>
            </w:r>
            <w:r w:rsidR="008D1983" w:rsidRPr="00BA1B80">
              <w:rPr>
                <w:lang w:eastAsia="en-GB"/>
              </w:rPr>
              <w:t xml:space="preserve">The person with lived experience </w:t>
            </w:r>
            <w:r w:rsidR="00667621" w:rsidRPr="00BA1B80">
              <w:rPr>
                <w:lang w:eastAsia="en-GB"/>
              </w:rPr>
              <w:t>explained that the negative impact</w:t>
            </w:r>
            <w:r w:rsidR="00F83D22" w:rsidRPr="00BA1B80">
              <w:rPr>
                <w:lang w:eastAsia="en-GB"/>
              </w:rPr>
              <w:t xml:space="preserve">s they described were </w:t>
            </w:r>
            <w:proofErr w:type="gramStart"/>
            <w:r w:rsidR="00F83D22" w:rsidRPr="00BA1B80">
              <w:rPr>
                <w:lang w:eastAsia="en-GB"/>
              </w:rPr>
              <w:t>as a result of</w:t>
            </w:r>
            <w:proofErr w:type="gramEnd"/>
            <w:r w:rsidR="00F83D22" w:rsidRPr="00BA1B80">
              <w:rPr>
                <w:lang w:eastAsia="en-GB"/>
              </w:rPr>
              <w:t xml:space="preserve"> both an infected wound and the need to wear a dressing. This is </w:t>
            </w:r>
            <w:r w:rsidR="006A59F8" w:rsidRPr="00BA1B80">
              <w:rPr>
                <w:lang w:eastAsia="en-GB"/>
              </w:rPr>
              <w:t xml:space="preserve">in section </w:t>
            </w:r>
            <w:r w:rsidR="00272023" w:rsidRPr="00BA1B80">
              <w:rPr>
                <w:lang w:eastAsia="en-GB"/>
              </w:rPr>
              <w:t xml:space="preserve">3.2 of the guidance document. </w:t>
            </w:r>
          </w:p>
        </w:tc>
      </w:tr>
    </w:tbl>
    <w:p w14:paraId="6734B5AB" w14:textId="77777777" w:rsidR="00255DB1" w:rsidRDefault="00255DB1" w:rsidP="00255DB1">
      <w:pPr>
        <w:pStyle w:val="Heading1"/>
        <w:spacing w:line="240" w:lineRule="auto"/>
      </w:pPr>
      <w:r>
        <w:t xml:space="preserve">Table 25: resource impact assessment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8"/>
        <w:gridCol w:w="2039"/>
        <w:gridCol w:w="5236"/>
        <w:gridCol w:w="3662"/>
      </w:tblGrid>
      <w:tr w:rsidR="002414F6" w14:paraId="77B43C40" w14:textId="77777777" w:rsidTr="001C5E88">
        <w:tc>
          <w:tcPr>
            <w:tcW w:w="1323" w:type="dxa"/>
            <w:shd w:val="clear" w:color="auto" w:fill="D9D9D9" w:themeFill="background1" w:themeFillShade="D9"/>
          </w:tcPr>
          <w:p w14:paraId="7492528F" w14:textId="697E86B3" w:rsidR="002414F6" w:rsidRPr="00BA1B80" w:rsidRDefault="002414F6" w:rsidP="00BA1B80">
            <w:pPr>
              <w:pStyle w:val="Paragraph"/>
              <w:spacing w:line="240" w:lineRule="auto"/>
              <w:rPr>
                <w:lang w:eastAsia="en-GB"/>
              </w:rPr>
            </w:pPr>
            <w:r w:rsidRPr="00BA1B80">
              <w:rPr>
                <w:b/>
                <w:bCs/>
                <w:lang w:eastAsia="en-GB"/>
              </w:rPr>
              <w:t>Comment no.</w:t>
            </w:r>
          </w:p>
        </w:tc>
        <w:tc>
          <w:tcPr>
            <w:tcW w:w="1688" w:type="dxa"/>
            <w:tcBorders>
              <w:top w:val="single" w:sz="4" w:space="0" w:color="auto"/>
              <w:left w:val="nil"/>
              <w:bottom w:val="single" w:sz="4" w:space="0" w:color="auto"/>
              <w:right w:val="single" w:sz="4" w:space="0" w:color="auto"/>
            </w:tcBorders>
            <w:shd w:val="clear" w:color="auto" w:fill="D9D9D9" w:themeFill="background1" w:themeFillShade="D9"/>
          </w:tcPr>
          <w:p w14:paraId="2C762772" w14:textId="36027D09" w:rsidR="002414F6" w:rsidRPr="00BA1B80" w:rsidRDefault="002414F6" w:rsidP="00BA1B80">
            <w:pPr>
              <w:pStyle w:val="Paragraph"/>
              <w:spacing w:line="240" w:lineRule="auto"/>
              <w:rPr>
                <w:rFonts w:cs="Arial"/>
                <w:color w:val="000000"/>
              </w:rPr>
            </w:pPr>
            <w:r w:rsidRPr="00BA1B80">
              <w:rPr>
                <w:b/>
                <w:bCs/>
                <w:lang w:eastAsia="en-GB"/>
              </w:rPr>
              <w:t>Consultee</w:t>
            </w:r>
          </w:p>
        </w:tc>
        <w:tc>
          <w:tcPr>
            <w:tcW w:w="2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3FEAE" w14:textId="18838D5A" w:rsidR="002414F6" w:rsidRPr="00BA1B80" w:rsidRDefault="002414F6" w:rsidP="00BA1B80">
            <w:pPr>
              <w:pStyle w:val="Paragraph"/>
              <w:spacing w:line="240" w:lineRule="auto"/>
              <w:rPr>
                <w:rFonts w:cs="Arial"/>
                <w:color w:val="000000"/>
              </w:rPr>
            </w:pPr>
            <w:r w:rsidRPr="00BA1B80">
              <w:rPr>
                <w:b/>
                <w:bCs/>
                <w:lang w:eastAsia="en-GB"/>
              </w:rPr>
              <w:t>Section no.</w:t>
            </w:r>
          </w:p>
        </w:tc>
        <w:tc>
          <w:tcPr>
            <w:tcW w:w="5236" w:type="dxa"/>
            <w:tcBorders>
              <w:top w:val="single" w:sz="4" w:space="0" w:color="auto"/>
              <w:left w:val="single" w:sz="4" w:space="0" w:color="auto"/>
              <w:bottom w:val="single" w:sz="4" w:space="0" w:color="auto"/>
              <w:right w:val="nil"/>
            </w:tcBorders>
            <w:shd w:val="clear" w:color="auto" w:fill="D9D9D9" w:themeFill="background1" w:themeFillShade="D9"/>
          </w:tcPr>
          <w:p w14:paraId="1EDE30E1" w14:textId="09D26953" w:rsidR="002414F6" w:rsidRPr="00BA1B80" w:rsidRDefault="002414F6" w:rsidP="00BA1B80">
            <w:pPr>
              <w:pStyle w:val="Paragraph"/>
              <w:spacing w:line="240" w:lineRule="auto"/>
              <w:rPr>
                <w:rFonts w:cs="Arial"/>
                <w:color w:val="000000"/>
              </w:rPr>
            </w:pPr>
            <w:r w:rsidRPr="00BA1B80">
              <w:rPr>
                <w:b/>
                <w:bCs/>
                <w:lang w:eastAsia="en-GB"/>
              </w:rPr>
              <w:t>Comment</w:t>
            </w:r>
          </w:p>
        </w:tc>
        <w:tc>
          <w:tcPr>
            <w:tcW w:w="3662" w:type="dxa"/>
            <w:shd w:val="clear" w:color="auto" w:fill="D9D9D9" w:themeFill="background1" w:themeFillShade="D9"/>
          </w:tcPr>
          <w:p w14:paraId="4D05EF25" w14:textId="681F4E65" w:rsidR="002414F6" w:rsidRPr="00BA1B80" w:rsidRDefault="002414F6" w:rsidP="00BA1B80">
            <w:pPr>
              <w:pStyle w:val="Paragraph"/>
              <w:spacing w:line="240" w:lineRule="auto"/>
              <w:rPr>
                <w:lang w:eastAsia="en-GB"/>
              </w:rPr>
            </w:pPr>
            <w:r w:rsidRPr="00BA1B80">
              <w:rPr>
                <w:b/>
                <w:bCs/>
                <w:lang w:eastAsia="en-GB"/>
              </w:rPr>
              <w:t>Response</w:t>
            </w:r>
          </w:p>
        </w:tc>
      </w:tr>
      <w:tr w:rsidR="0060676C" w14:paraId="49BA9BFF" w14:textId="77777777" w:rsidTr="001C5E88">
        <w:tc>
          <w:tcPr>
            <w:tcW w:w="1323" w:type="dxa"/>
          </w:tcPr>
          <w:p w14:paraId="70F83730"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7D6A1DBA" w14:textId="3B4DB0D2" w:rsidR="0060676C" w:rsidRPr="00BA1B80" w:rsidRDefault="0060676C" w:rsidP="00BA1B80">
            <w:pPr>
              <w:pStyle w:val="Paragraph"/>
              <w:spacing w:line="240" w:lineRule="auto"/>
              <w:rPr>
                <w:lang w:eastAsia="en-GB"/>
              </w:rPr>
            </w:pPr>
            <w:r w:rsidRPr="00BA1B80">
              <w:rPr>
                <w:rFonts w:cs="Arial"/>
                <w:color w:val="000000"/>
              </w:rPr>
              <w:t>Consultee 3</w:t>
            </w:r>
            <w:r w:rsidRPr="00BA1B80">
              <w:rPr>
                <w:rFonts w:cs="Arial"/>
                <w:color w:val="000000"/>
              </w:rPr>
              <w:br/>
              <w:t>Individual</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B035AFC" w14:textId="2E854307" w:rsidR="0060676C" w:rsidRPr="00BA1B80" w:rsidRDefault="0060676C" w:rsidP="00BA1B80">
            <w:pPr>
              <w:pStyle w:val="Paragraph"/>
              <w:spacing w:line="240" w:lineRule="auto"/>
              <w:rPr>
                <w:lang w:eastAsia="en-GB"/>
              </w:rPr>
            </w:pPr>
            <w:r w:rsidRPr="00BA1B80">
              <w:rPr>
                <w:rFonts w:cs="Arial"/>
                <w:color w:val="000000"/>
              </w:rPr>
              <w:t>3.15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7AC65D78" w14:textId="49693C1C" w:rsidR="0060676C" w:rsidRPr="00BA1B80" w:rsidRDefault="0060676C" w:rsidP="00BA1B80">
            <w:pPr>
              <w:pStyle w:val="Paragraph"/>
              <w:spacing w:line="240" w:lineRule="auto"/>
              <w:rPr>
                <w:lang w:eastAsia="en-GB"/>
              </w:rPr>
            </w:pPr>
            <w:r w:rsidRPr="00BA1B80">
              <w:rPr>
                <w:rFonts w:cs="Arial"/>
                <w:color w:val="000000"/>
              </w:rPr>
              <w:t>How can this be the case when there is so much variation in levels of active/ available antimicrobial agent.  We wouldn't expect a below MIC level of an antibiotic to be clinically effective - this is widely understood - the same assessment should apply here.</w:t>
            </w:r>
          </w:p>
        </w:tc>
        <w:tc>
          <w:tcPr>
            <w:tcW w:w="3662" w:type="dxa"/>
          </w:tcPr>
          <w:p w14:paraId="2B1EB13C" w14:textId="3FA64C46" w:rsidR="00C633B2" w:rsidRPr="00BA1B80" w:rsidRDefault="00C633B2" w:rsidP="00BA1B80">
            <w:pPr>
              <w:pStyle w:val="Paragraph"/>
              <w:spacing w:line="240" w:lineRule="auto"/>
              <w:rPr>
                <w:lang w:eastAsia="en-GB"/>
              </w:rPr>
            </w:pPr>
            <w:r w:rsidRPr="00BA1B80">
              <w:rPr>
                <w:lang w:eastAsia="en-GB"/>
              </w:rPr>
              <w:t>Thank you for your comment.</w:t>
            </w:r>
            <w:r w:rsidR="00FF5B16" w:rsidRPr="00BA1B80">
              <w:rPr>
                <w:lang w:eastAsia="en-GB"/>
              </w:rPr>
              <w:t xml:space="preserve"> </w:t>
            </w:r>
            <w:r w:rsidRPr="00BA1B80">
              <w:rPr>
                <w:lang w:eastAsia="en-GB"/>
              </w:rPr>
              <w:t>The analysis assumes clinical equivalence for illustrative purposes</w:t>
            </w:r>
            <w:r w:rsidR="00FF5B16" w:rsidRPr="00BA1B80">
              <w:rPr>
                <w:lang w:eastAsia="en-GB"/>
              </w:rPr>
              <w:t xml:space="preserve"> only</w:t>
            </w:r>
            <w:r w:rsidR="00BA1B80">
              <w:rPr>
                <w:lang w:eastAsia="en-GB"/>
              </w:rPr>
              <w:t xml:space="preserve">. </w:t>
            </w:r>
            <w:r w:rsidRPr="00BA1B80">
              <w:rPr>
                <w:lang w:eastAsia="en-GB"/>
              </w:rPr>
              <w:t>The recommendations 1.1-1.</w:t>
            </w:r>
            <w:r w:rsidR="00FF5B16" w:rsidRPr="00BA1B80">
              <w:rPr>
                <w:lang w:eastAsia="en-GB"/>
              </w:rPr>
              <w:t>4</w:t>
            </w:r>
            <w:r w:rsidRPr="00BA1B80">
              <w:rPr>
                <w:lang w:eastAsia="en-GB"/>
              </w:rPr>
              <w:t xml:space="preserve"> state that a least expensive option should only be considered if more than one clinically appropriate dressing is available. </w:t>
            </w:r>
          </w:p>
          <w:p w14:paraId="26FCC266" w14:textId="1C67FC84" w:rsidR="0060676C" w:rsidRPr="00BA1B80" w:rsidRDefault="00C633B2" w:rsidP="00BA1B80">
            <w:pPr>
              <w:pStyle w:val="Paragraph"/>
              <w:spacing w:line="240" w:lineRule="auto"/>
              <w:rPr>
                <w:lang w:eastAsia="en-GB"/>
              </w:rPr>
            </w:pPr>
            <w:r w:rsidRPr="00BA1B80">
              <w:rPr>
                <w:lang w:eastAsia="en-GB"/>
              </w:rPr>
              <w:t xml:space="preserve">The conclusion of the </w:t>
            </w:r>
            <w:r w:rsidR="00FF5B16" w:rsidRPr="00BA1B80">
              <w:rPr>
                <w:lang w:eastAsia="en-GB"/>
              </w:rPr>
              <w:t xml:space="preserve">resource impact analysis </w:t>
            </w:r>
            <w:r w:rsidRPr="00BA1B80">
              <w:rPr>
                <w:lang w:eastAsia="en-GB"/>
              </w:rPr>
              <w:t>report acknowledges that ‘Savings would depend on local current practice, prices being paid, and the considerations for choosing the least expensive option outlined in the draft recommendations.’</w:t>
            </w:r>
          </w:p>
        </w:tc>
      </w:tr>
      <w:tr w:rsidR="0060676C" w14:paraId="388948A0" w14:textId="77777777" w:rsidTr="001C5E88">
        <w:tc>
          <w:tcPr>
            <w:tcW w:w="1323" w:type="dxa"/>
          </w:tcPr>
          <w:p w14:paraId="16FF506B"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5BBCD6FC" w14:textId="6533CC78" w:rsidR="0060676C" w:rsidRPr="00BA1B80" w:rsidRDefault="0060676C" w:rsidP="00BA1B80">
            <w:pPr>
              <w:pStyle w:val="Paragraph"/>
              <w:spacing w:line="240" w:lineRule="auto"/>
              <w:rPr>
                <w:lang w:eastAsia="en-GB"/>
              </w:rPr>
            </w:pPr>
            <w:r w:rsidRPr="00BA1B80">
              <w:rPr>
                <w:rFonts w:cs="Arial"/>
                <w:color w:val="000000"/>
              </w:rPr>
              <w:t>Consultee 4</w:t>
            </w:r>
            <w:r w:rsidRPr="00BA1B80">
              <w:rPr>
                <w:rFonts w:cs="Arial"/>
                <w:color w:val="000000"/>
              </w:rPr>
              <w:br/>
              <w:t>Coloplast</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69071A3" w14:textId="0F3810AE" w:rsidR="0060676C" w:rsidRPr="00BA1B80" w:rsidRDefault="0060676C" w:rsidP="00BA1B80">
            <w:pPr>
              <w:pStyle w:val="Paragraph"/>
              <w:spacing w:line="240" w:lineRule="auto"/>
              <w:rPr>
                <w:lang w:eastAsia="en-GB"/>
              </w:rPr>
            </w:pPr>
            <w:r w:rsidRPr="00BA1B80">
              <w:rPr>
                <w:rFonts w:cs="Arial"/>
                <w:color w:val="000000"/>
              </w:rPr>
              <w:t>3.15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1E64703B" w14:textId="74E4AB10" w:rsidR="0060676C" w:rsidRPr="00BA1B80" w:rsidRDefault="0060676C" w:rsidP="00BA1B80">
            <w:pPr>
              <w:pStyle w:val="Paragraph"/>
              <w:spacing w:line="240" w:lineRule="auto"/>
              <w:rPr>
                <w:lang w:eastAsia="en-GB"/>
              </w:rPr>
            </w:pPr>
            <w:r w:rsidRPr="00BA1B80">
              <w:rPr>
                <w:rFonts w:cs="Arial"/>
                <w:color w:val="000000"/>
              </w:rPr>
              <w:t xml:space="preserve">Initially outlining potential savings from a 100% shift from current technologies to iodine is a naive assumption and based on out-of-scope data, which contradicts the clinical and economic conclusions of the EAG report. The EAG report acknowledges the absence of sufficient evidence to justify such conclusions. We understand that ‘further analysis exploring difference assumptions are being prepared </w:t>
            </w:r>
            <w:r w:rsidRPr="00BA1B80">
              <w:rPr>
                <w:rFonts w:cs="Arial"/>
                <w:color w:val="000000"/>
              </w:rPr>
              <w:lastRenderedPageBreak/>
              <w:t xml:space="preserve">and will be presented to the committee for their consideration’. </w:t>
            </w:r>
            <w:proofErr w:type="gramStart"/>
            <w:r w:rsidRPr="00BA1B80">
              <w:rPr>
                <w:rFonts w:cs="Arial"/>
                <w:color w:val="000000"/>
              </w:rPr>
              <w:t>In light of</w:t>
            </w:r>
            <w:proofErr w:type="gramEnd"/>
            <w:r w:rsidRPr="00BA1B80">
              <w:rPr>
                <w:rFonts w:cs="Arial"/>
                <w:color w:val="000000"/>
              </w:rPr>
              <w:t xml:space="preserve"> the errors in the analysis presented at the first committee meeting, please can NICE confirm that stakeholders, in the interests of accuracy and transparency, will have the opportunity to review the further analyses before they are presented to the committee?</w:t>
            </w:r>
          </w:p>
        </w:tc>
        <w:tc>
          <w:tcPr>
            <w:tcW w:w="3662" w:type="dxa"/>
          </w:tcPr>
          <w:p w14:paraId="0E323E36" w14:textId="4DDCB99B" w:rsidR="0060676C" w:rsidRPr="00BA1B80" w:rsidRDefault="00F53311" w:rsidP="00BA1B80">
            <w:pPr>
              <w:pStyle w:val="Paragraph"/>
              <w:spacing w:line="240" w:lineRule="auto"/>
              <w:rPr>
                <w:lang w:eastAsia="en-GB"/>
              </w:rPr>
            </w:pPr>
            <w:r w:rsidRPr="00BA1B80">
              <w:rPr>
                <w:lang w:eastAsia="en-GB"/>
              </w:rPr>
              <w:lastRenderedPageBreak/>
              <w:t xml:space="preserve">Thank you for your comment. The resource impact assessment team provided a report acknowledging and highlighting the inaccuracies in the presentation at the first committee meeting. This report also included updated work from the team illustrating </w:t>
            </w:r>
            <w:r w:rsidRPr="00BA1B80">
              <w:rPr>
                <w:lang w:eastAsia="en-GB"/>
              </w:rPr>
              <w:lastRenderedPageBreak/>
              <w:t>potential savings.  This report was included in the public consultation.</w:t>
            </w:r>
          </w:p>
        </w:tc>
      </w:tr>
      <w:tr w:rsidR="0060676C" w14:paraId="306EA223" w14:textId="77777777" w:rsidTr="001C5E88">
        <w:tc>
          <w:tcPr>
            <w:tcW w:w="1323" w:type="dxa"/>
          </w:tcPr>
          <w:p w14:paraId="05B40602"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66573312" w14:textId="03838C70" w:rsidR="0060676C" w:rsidRPr="00BA1B80" w:rsidRDefault="0060676C" w:rsidP="00BA1B80">
            <w:pPr>
              <w:pStyle w:val="Paragraph"/>
              <w:spacing w:line="240" w:lineRule="auto"/>
              <w:rPr>
                <w:lang w:eastAsia="en-GB"/>
              </w:rPr>
            </w:pPr>
            <w:r w:rsidRPr="00BA1B80">
              <w:rPr>
                <w:rFonts w:cs="Arial"/>
                <w:color w:val="000000"/>
              </w:rPr>
              <w:t>Consultee 6</w:t>
            </w:r>
            <w:r w:rsidRPr="00BA1B80">
              <w:rPr>
                <w:rFonts w:cs="Arial"/>
                <w:color w:val="000000"/>
              </w:rPr>
              <w:br/>
              <w:t>Individual</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3A4F2A28" w14:textId="68AF4F78" w:rsidR="0060676C" w:rsidRPr="00BA1B80" w:rsidRDefault="0060676C" w:rsidP="00BA1B80">
            <w:pPr>
              <w:pStyle w:val="Paragraph"/>
              <w:spacing w:line="240" w:lineRule="auto"/>
              <w:rPr>
                <w:lang w:eastAsia="en-GB"/>
              </w:rPr>
            </w:pPr>
            <w:r w:rsidRPr="00BA1B80">
              <w:rPr>
                <w:rFonts w:cs="Arial"/>
                <w:color w:val="000000"/>
              </w:rPr>
              <w:t>3.15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0A111A99" w14:textId="2888A3EF" w:rsidR="0060676C" w:rsidRPr="00BA1B80" w:rsidRDefault="0060676C" w:rsidP="00BA1B80">
            <w:pPr>
              <w:pStyle w:val="Paragraph"/>
              <w:spacing w:line="240" w:lineRule="auto"/>
              <w:rPr>
                <w:lang w:eastAsia="en-GB"/>
              </w:rPr>
            </w:pPr>
            <w:r w:rsidRPr="00BA1B80">
              <w:rPr>
                <w:rFonts w:cs="Arial"/>
                <w:color w:val="000000"/>
              </w:rPr>
              <w:t>Not all antimicrobial agents are clinically equivalent. (We have unpublished data showing different levels of effectiveness between silver, iodine and honey dressings in different wound types).</w:t>
            </w:r>
            <w:r w:rsidRPr="00BA1B80">
              <w:rPr>
                <w:rFonts w:cs="Arial"/>
                <w:color w:val="000000"/>
              </w:rPr>
              <w:br/>
            </w:r>
            <w:r w:rsidRPr="00BA1B80">
              <w:rPr>
                <w:rFonts w:cs="Arial"/>
                <w:color w:val="000000"/>
              </w:rPr>
              <w:br/>
              <w:t xml:space="preserve">I do not agree with these 'simplistic' assumptions. </w:t>
            </w:r>
            <w:r w:rsidRPr="00BA1B80">
              <w:rPr>
                <w:rFonts w:cs="Arial"/>
                <w:color w:val="000000"/>
              </w:rPr>
              <w:br/>
              <w:t xml:space="preserve">Dressings would not necessarily be used for the same amount of </w:t>
            </w:r>
            <w:proofErr w:type="gramStart"/>
            <w:r w:rsidRPr="00BA1B80">
              <w:rPr>
                <w:rFonts w:cs="Arial"/>
                <w:color w:val="000000"/>
              </w:rPr>
              <w:t>time</w:t>
            </w:r>
            <w:proofErr w:type="gramEnd"/>
            <w:r w:rsidRPr="00BA1B80">
              <w:rPr>
                <w:rFonts w:cs="Arial"/>
                <w:color w:val="000000"/>
              </w:rPr>
              <w:t xml:space="preserve"> and they would not necessarily be changed with the same frequency.</w:t>
            </w:r>
            <w:r w:rsidRPr="00BA1B80">
              <w:rPr>
                <w:rFonts w:cs="Arial"/>
                <w:color w:val="000000"/>
              </w:rPr>
              <w:br/>
            </w:r>
            <w:r w:rsidRPr="00BA1B80">
              <w:rPr>
                <w:rFonts w:cs="Arial"/>
                <w:color w:val="000000"/>
              </w:rPr>
              <w:br/>
              <w:t>It is also far too simplistic to assume that all infected leg ulcers are the same grade</w:t>
            </w:r>
          </w:p>
        </w:tc>
        <w:tc>
          <w:tcPr>
            <w:tcW w:w="3662" w:type="dxa"/>
          </w:tcPr>
          <w:p w14:paraId="3946AE06" w14:textId="70AEEA79" w:rsidR="00244A3F" w:rsidRPr="00BA1B80" w:rsidRDefault="00244A3F" w:rsidP="00BA1B80">
            <w:pPr>
              <w:pStyle w:val="Paragraph"/>
              <w:spacing w:line="240" w:lineRule="auto"/>
              <w:rPr>
                <w:lang w:eastAsia="en-GB"/>
              </w:rPr>
            </w:pPr>
            <w:r w:rsidRPr="00BA1B80">
              <w:rPr>
                <w:lang w:eastAsia="en-GB"/>
              </w:rPr>
              <w:t>Thank you for your comment. Please see response</w:t>
            </w:r>
            <w:r w:rsidR="00620A37" w:rsidRPr="00BA1B80">
              <w:rPr>
                <w:lang w:eastAsia="en-GB"/>
              </w:rPr>
              <w:t>s</w:t>
            </w:r>
            <w:r w:rsidRPr="00BA1B80">
              <w:rPr>
                <w:lang w:eastAsia="en-GB"/>
              </w:rPr>
              <w:t xml:space="preserve"> to comment</w:t>
            </w:r>
            <w:r w:rsidR="00620A37" w:rsidRPr="00BA1B80">
              <w:rPr>
                <w:lang w:eastAsia="en-GB"/>
              </w:rPr>
              <w:t>s 183 and</w:t>
            </w:r>
            <w:r w:rsidRPr="00BA1B80">
              <w:rPr>
                <w:lang w:eastAsia="en-GB"/>
              </w:rPr>
              <w:t xml:space="preserve"> 184.</w:t>
            </w:r>
          </w:p>
          <w:p w14:paraId="4D361FCC" w14:textId="77777777" w:rsidR="0060676C" w:rsidRPr="00BA1B80" w:rsidRDefault="0060676C" w:rsidP="00BA1B80">
            <w:pPr>
              <w:pStyle w:val="Paragraph"/>
              <w:spacing w:line="240" w:lineRule="auto"/>
              <w:rPr>
                <w:lang w:eastAsia="en-GB"/>
              </w:rPr>
            </w:pPr>
          </w:p>
        </w:tc>
      </w:tr>
      <w:tr w:rsidR="0060676C" w14:paraId="262A3391" w14:textId="77777777" w:rsidTr="001C5E88">
        <w:tc>
          <w:tcPr>
            <w:tcW w:w="1323" w:type="dxa"/>
          </w:tcPr>
          <w:p w14:paraId="1F4EE811"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3129955D" w14:textId="1D05CC89" w:rsidR="0060676C" w:rsidRPr="00BA1B80" w:rsidRDefault="0060676C" w:rsidP="00BA1B80">
            <w:pPr>
              <w:pStyle w:val="Paragraph"/>
              <w:spacing w:line="240" w:lineRule="auto"/>
              <w:rPr>
                <w:lang w:eastAsia="en-GB"/>
              </w:rPr>
            </w:pPr>
            <w:r w:rsidRPr="00BA1B80">
              <w:rPr>
                <w:rFonts w:cs="Arial"/>
                <w:color w:val="000000"/>
              </w:rPr>
              <w:t>Consultee 7</w:t>
            </w:r>
            <w:r w:rsidRPr="00BA1B80">
              <w:rPr>
                <w:rFonts w:cs="Arial"/>
                <w:color w:val="000000"/>
              </w:rPr>
              <w:br/>
              <w:t>Flen Health</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353EBAD" w14:textId="02846CE7" w:rsidR="0060676C" w:rsidRPr="00BA1B80" w:rsidRDefault="0060676C" w:rsidP="00BA1B80">
            <w:pPr>
              <w:pStyle w:val="Paragraph"/>
              <w:spacing w:line="240" w:lineRule="auto"/>
              <w:rPr>
                <w:lang w:eastAsia="en-GB"/>
              </w:rPr>
            </w:pPr>
            <w:r w:rsidRPr="00BA1B80">
              <w:rPr>
                <w:rFonts w:cs="Arial"/>
                <w:color w:val="000000"/>
              </w:rPr>
              <w:t>Not specified</w:t>
            </w:r>
          </w:p>
        </w:tc>
        <w:tc>
          <w:tcPr>
            <w:tcW w:w="5236" w:type="dxa"/>
            <w:tcBorders>
              <w:top w:val="single" w:sz="4" w:space="0" w:color="auto"/>
              <w:left w:val="single" w:sz="4" w:space="0" w:color="auto"/>
              <w:bottom w:val="single" w:sz="4" w:space="0" w:color="auto"/>
              <w:right w:val="nil"/>
            </w:tcBorders>
            <w:shd w:val="clear" w:color="auto" w:fill="auto"/>
          </w:tcPr>
          <w:p w14:paraId="65850BFC" w14:textId="2D52982F" w:rsidR="0060676C" w:rsidRPr="00BA1B80" w:rsidRDefault="0060676C" w:rsidP="00BA1B80">
            <w:pPr>
              <w:pStyle w:val="Paragraph"/>
              <w:spacing w:line="240" w:lineRule="auto"/>
              <w:rPr>
                <w:lang w:eastAsia="en-GB"/>
              </w:rPr>
            </w:pPr>
            <w:r w:rsidRPr="00BA1B80">
              <w:rPr>
                <w:rFonts w:cs="Arial"/>
                <w:color w:val="000000"/>
              </w:rPr>
              <w:t xml:space="preserve">Due to factual inaccuracies, I would like to request a review of the unit pricing for enzyme </w:t>
            </w:r>
            <w:proofErr w:type="spellStart"/>
            <w:r w:rsidRPr="00BA1B80">
              <w:rPr>
                <w:rFonts w:cs="Arial"/>
                <w:color w:val="000000"/>
              </w:rPr>
              <w:t>alginogel</w:t>
            </w:r>
            <w:proofErr w:type="spellEnd"/>
            <w:r w:rsidRPr="00BA1B80">
              <w:rPr>
                <w:rFonts w:cs="Arial"/>
                <w:color w:val="000000"/>
              </w:rPr>
              <w:t xml:space="preserve"> (gel AMD), as outlined in the resource impact assessment document, following a significant increase in the proposed </w:t>
            </w:r>
            <w:r w:rsidRPr="00BA1B80">
              <w:rPr>
                <w:rFonts w:cs="Arial"/>
                <w:color w:val="000000"/>
              </w:rPr>
              <w:lastRenderedPageBreak/>
              <w:t>cost.</w:t>
            </w:r>
            <w:r w:rsidRPr="00BA1B80">
              <w:rPr>
                <w:rFonts w:cs="Arial"/>
                <w:color w:val="000000"/>
              </w:rPr>
              <w:br/>
            </w:r>
            <w:r w:rsidRPr="00BA1B80">
              <w:rPr>
                <w:rFonts w:cs="Arial"/>
                <w:color w:val="000000"/>
              </w:rPr>
              <w:br/>
              <w:t>With the model looking to compare 10x10 dressings as a form of standardising measurements, we propose the following:</w:t>
            </w:r>
            <w:r w:rsidRPr="00BA1B80">
              <w:rPr>
                <w:rFonts w:cs="Arial"/>
                <w:color w:val="000000"/>
              </w:rPr>
              <w:br/>
            </w:r>
            <w:r w:rsidRPr="00BA1B80">
              <w:rPr>
                <w:rFonts w:cs="Arial"/>
                <w:color w:val="000000"/>
              </w:rPr>
              <w:br/>
              <w:t xml:space="preserve">- Current unit price of </w:t>
            </w:r>
            <w:proofErr w:type="spellStart"/>
            <w:r w:rsidRPr="00BA1B80">
              <w:rPr>
                <w:rFonts w:cs="Arial"/>
                <w:color w:val="000000"/>
              </w:rPr>
              <w:t>Flaminal</w:t>
            </w:r>
            <w:proofErr w:type="spellEnd"/>
            <w:r w:rsidRPr="00BA1B80">
              <w:rPr>
                <w:rFonts w:cs="Arial"/>
                <w:color w:val="000000"/>
              </w:rPr>
              <w:t xml:space="preserve"> featured on the NICE LSA resource impact model is £18.20 and we propose a change to £12.66</w:t>
            </w:r>
            <w:r w:rsidRPr="00BA1B80">
              <w:rPr>
                <w:rFonts w:cs="Arial"/>
                <w:color w:val="000000"/>
              </w:rPr>
              <w:br/>
            </w:r>
            <w:r w:rsidRPr="00BA1B80">
              <w:rPr>
                <w:rFonts w:cs="Arial"/>
                <w:color w:val="000000"/>
              </w:rPr>
              <w:br/>
              <w:t>Rationale:</w:t>
            </w:r>
            <w:r w:rsidRPr="00BA1B80">
              <w:rPr>
                <w:rFonts w:cs="Arial"/>
                <w:color w:val="000000"/>
              </w:rPr>
              <w:br/>
            </w:r>
            <w:r w:rsidRPr="00BA1B80">
              <w:rPr>
                <w:rFonts w:cs="Arial"/>
                <w:color w:val="000000"/>
              </w:rPr>
              <w:br/>
              <w:t xml:space="preserve">- All </w:t>
            </w:r>
            <w:proofErr w:type="spellStart"/>
            <w:r w:rsidRPr="00BA1B80">
              <w:rPr>
                <w:rFonts w:cs="Arial"/>
                <w:color w:val="000000"/>
              </w:rPr>
              <w:t>Flaminal</w:t>
            </w:r>
            <w:proofErr w:type="spellEnd"/>
            <w:r w:rsidRPr="00BA1B80">
              <w:rPr>
                <w:rFonts w:cs="Arial"/>
                <w:color w:val="000000"/>
              </w:rPr>
              <w:t xml:space="preserve"> tubes are single patient use but can be used multiple times (once open a </w:t>
            </w:r>
            <w:proofErr w:type="spellStart"/>
            <w:r w:rsidRPr="00BA1B80">
              <w:rPr>
                <w:rFonts w:cs="Arial"/>
                <w:color w:val="000000"/>
              </w:rPr>
              <w:t>Flaminal</w:t>
            </w:r>
            <w:proofErr w:type="spellEnd"/>
            <w:r w:rsidRPr="00BA1B80">
              <w:rPr>
                <w:rFonts w:cs="Arial"/>
                <w:color w:val="000000"/>
              </w:rPr>
              <w:t xml:space="preserve"> tube remains safe for use in the patient's treatment for up to 12 months.)</w:t>
            </w:r>
            <w:r w:rsidRPr="00BA1B80">
              <w:rPr>
                <w:rFonts w:cs="Arial"/>
                <w:color w:val="000000"/>
              </w:rPr>
              <w:br/>
            </w:r>
            <w:r w:rsidRPr="00BA1B80">
              <w:rPr>
                <w:rFonts w:cs="Arial"/>
                <w:color w:val="000000"/>
              </w:rPr>
              <w:br/>
              <w:t xml:space="preserve">- Therefore, one </w:t>
            </w:r>
            <w:proofErr w:type="spellStart"/>
            <w:r w:rsidRPr="00BA1B80">
              <w:rPr>
                <w:rFonts w:cs="Arial"/>
                <w:color w:val="000000"/>
              </w:rPr>
              <w:t>Flaminal</w:t>
            </w:r>
            <w:proofErr w:type="spellEnd"/>
            <w:r w:rsidRPr="00BA1B80">
              <w:rPr>
                <w:rFonts w:cs="Arial"/>
                <w:color w:val="000000"/>
              </w:rPr>
              <w:t xml:space="preserve"> 15g tube priced at £8.44 has an approximate coverage of 40cm2 (as stated on Drug Tariff) – 1g will cover approx. 3cm2</w:t>
            </w:r>
            <w:r w:rsidRPr="00BA1B80">
              <w:rPr>
                <w:rFonts w:cs="Arial"/>
                <w:color w:val="000000"/>
              </w:rPr>
              <w:br/>
            </w:r>
            <w:r w:rsidRPr="00BA1B80">
              <w:rPr>
                <w:rFonts w:cs="Arial"/>
                <w:color w:val="000000"/>
              </w:rPr>
              <w:br/>
              <w:t xml:space="preserve">- Most 10x10 flat dressings suggest a 2cm dressing overlap, therefore approx. max wound size to accommodate this is 8x8 (64cm2) </w:t>
            </w:r>
            <w:r w:rsidRPr="00BA1B80">
              <w:rPr>
                <w:rFonts w:cs="Arial"/>
                <w:color w:val="000000"/>
              </w:rPr>
              <w:br/>
            </w:r>
            <w:r w:rsidRPr="00BA1B80">
              <w:rPr>
                <w:rFonts w:cs="Arial"/>
                <w:color w:val="000000"/>
              </w:rPr>
              <w:br/>
              <w:t xml:space="preserve">- As a gel, </w:t>
            </w:r>
            <w:proofErr w:type="spellStart"/>
            <w:r w:rsidRPr="00BA1B80">
              <w:rPr>
                <w:rFonts w:cs="Arial"/>
                <w:color w:val="000000"/>
              </w:rPr>
              <w:t>Flaminal</w:t>
            </w:r>
            <w:proofErr w:type="spellEnd"/>
            <w:r w:rsidRPr="00BA1B80">
              <w:rPr>
                <w:rFonts w:cs="Arial"/>
                <w:color w:val="000000"/>
              </w:rPr>
              <w:t xml:space="preserve"> (Enzyme </w:t>
            </w:r>
            <w:proofErr w:type="spellStart"/>
            <w:r w:rsidRPr="00BA1B80">
              <w:rPr>
                <w:rFonts w:cs="Arial"/>
                <w:color w:val="000000"/>
              </w:rPr>
              <w:t>Alginogel</w:t>
            </w:r>
            <w:proofErr w:type="spellEnd"/>
            <w:r w:rsidRPr="00BA1B80">
              <w:rPr>
                <w:rFonts w:cs="Arial"/>
                <w:color w:val="000000"/>
              </w:rPr>
              <w:t xml:space="preserve">) is applied directly to the wound and no overlap is required, therefore to cover 64cm2 wound surface, 1.5 tubes of 15g </w:t>
            </w:r>
            <w:proofErr w:type="spellStart"/>
            <w:r w:rsidRPr="00BA1B80">
              <w:rPr>
                <w:rFonts w:cs="Arial"/>
                <w:color w:val="000000"/>
              </w:rPr>
              <w:t>Flaminal</w:t>
            </w:r>
            <w:proofErr w:type="spellEnd"/>
            <w:r w:rsidRPr="00BA1B80">
              <w:rPr>
                <w:rFonts w:cs="Arial"/>
                <w:color w:val="000000"/>
              </w:rPr>
              <w:t xml:space="preserve"> are required </w:t>
            </w:r>
            <w:r w:rsidRPr="00BA1B80">
              <w:rPr>
                <w:rFonts w:cs="Arial"/>
                <w:color w:val="000000"/>
              </w:rPr>
              <w:lastRenderedPageBreak/>
              <w:t>at a cost of £12.66</w:t>
            </w:r>
            <w:r w:rsidRPr="00BA1B80">
              <w:rPr>
                <w:rFonts w:cs="Arial"/>
                <w:color w:val="000000"/>
              </w:rPr>
              <w:br/>
            </w:r>
            <w:r w:rsidRPr="00BA1B80">
              <w:rPr>
                <w:rFonts w:cs="Arial"/>
                <w:color w:val="000000"/>
              </w:rPr>
              <w:br/>
              <w:t>Additional considerations for the review group:</w:t>
            </w:r>
            <w:r w:rsidRPr="00BA1B80">
              <w:rPr>
                <w:rFonts w:cs="Arial"/>
                <w:color w:val="000000"/>
              </w:rPr>
              <w:br/>
            </w:r>
            <w:r w:rsidRPr="00BA1B80">
              <w:rPr>
                <w:rFonts w:cs="Arial"/>
                <w:color w:val="000000"/>
              </w:rPr>
              <w:br/>
              <w:t xml:space="preserve">• According to Ousey et al (2013), the average wound size in the UK is 8.37 cm². To cover a wound of this size, 3g of enzyme </w:t>
            </w:r>
            <w:proofErr w:type="spellStart"/>
            <w:r w:rsidRPr="00BA1B80">
              <w:rPr>
                <w:rFonts w:cs="Arial"/>
                <w:color w:val="000000"/>
              </w:rPr>
              <w:t>alginogel</w:t>
            </w:r>
            <w:proofErr w:type="spellEnd"/>
            <w:r w:rsidRPr="00BA1B80">
              <w:rPr>
                <w:rFonts w:cs="Arial"/>
                <w:color w:val="000000"/>
              </w:rPr>
              <w:t xml:space="preserve"> is required. Consequently, a single 15g unit, priced at £8.44, would be sufficient to treat 5 wounds of average size. This results in a price of £1.68 per dressing change.</w:t>
            </w:r>
            <w:r w:rsidRPr="00BA1B80">
              <w:rPr>
                <w:rFonts w:cs="Arial"/>
                <w:color w:val="000000"/>
              </w:rPr>
              <w:br/>
            </w:r>
            <w:r w:rsidRPr="00BA1B80">
              <w:rPr>
                <w:rFonts w:cs="Arial"/>
                <w:color w:val="000000"/>
              </w:rPr>
              <w:br/>
              <w:t xml:space="preserve">• Anecdotal evidence suggests that a 10x10 flat dressing is used for multiple smaller wound sizes (up to a maximum of 64cm2), whereby the quantity of enzyme </w:t>
            </w:r>
            <w:proofErr w:type="spellStart"/>
            <w:r w:rsidRPr="00BA1B80">
              <w:rPr>
                <w:rFonts w:cs="Arial"/>
                <w:color w:val="000000"/>
              </w:rPr>
              <w:t>alginogel</w:t>
            </w:r>
            <w:proofErr w:type="spellEnd"/>
            <w:r w:rsidRPr="00BA1B80">
              <w:rPr>
                <w:rFonts w:cs="Arial"/>
                <w:color w:val="000000"/>
              </w:rPr>
              <w:t xml:space="preserve"> needed would be adjusted accordingly.</w:t>
            </w:r>
            <w:r w:rsidRPr="00BA1B80">
              <w:rPr>
                <w:rFonts w:cs="Arial"/>
                <w:color w:val="000000"/>
              </w:rPr>
              <w:br/>
            </w:r>
            <w:r w:rsidRPr="00BA1B80">
              <w:rPr>
                <w:rFonts w:cs="Arial"/>
                <w:color w:val="000000"/>
              </w:rPr>
              <w:br/>
              <w:t>We kindly request that this information be reviewed to ensure accurate and appropriate pricing.</w:t>
            </w:r>
            <w:r w:rsidRPr="00BA1B80">
              <w:rPr>
                <w:rFonts w:cs="Arial"/>
                <w:color w:val="000000"/>
              </w:rPr>
              <w:br/>
            </w:r>
            <w:r w:rsidRPr="00BA1B80">
              <w:rPr>
                <w:rFonts w:cs="Arial"/>
                <w:color w:val="000000"/>
              </w:rPr>
              <w:br/>
              <w:t>Reference:</w:t>
            </w:r>
            <w:r w:rsidRPr="00BA1B80">
              <w:rPr>
                <w:rFonts w:cs="Arial"/>
                <w:color w:val="000000"/>
              </w:rPr>
              <w:br/>
              <w:t>Ousey et al (2013) Average wound size taken from Wound care in five English NHS Trusts, Wounds UK | Vol 9 | No 4 | 2013</w:t>
            </w:r>
          </w:p>
        </w:tc>
        <w:tc>
          <w:tcPr>
            <w:tcW w:w="3662" w:type="dxa"/>
          </w:tcPr>
          <w:p w14:paraId="76684D93" w14:textId="2544C3AC" w:rsidR="00CA4DDB" w:rsidRPr="00BA1B80" w:rsidRDefault="00CA4DDB" w:rsidP="00BA1B80">
            <w:pPr>
              <w:pStyle w:val="Paragraph"/>
              <w:spacing w:line="240" w:lineRule="auto"/>
              <w:rPr>
                <w:lang w:eastAsia="en-GB"/>
              </w:rPr>
            </w:pPr>
            <w:r w:rsidRPr="00BA1B80">
              <w:rPr>
                <w:lang w:eastAsia="en-GB"/>
              </w:rPr>
              <w:lastRenderedPageBreak/>
              <w:t xml:space="preserve">Thank you for your comment. There was a unit cost error highlighted in the resource impact assessment work presented at the first committee </w:t>
            </w:r>
            <w:r w:rsidRPr="00BA1B80">
              <w:rPr>
                <w:lang w:eastAsia="en-GB"/>
              </w:rPr>
              <w:lastRenderedPageBreak/>
              <w:t xml:space="preserve">meeting. To reflect the EAG’s report the updated report from the resource impact assessment team now uses the costs used by the EAG. </w:t>
            </w:r>
          </w:p>
          <w:p w14:paraId="3C29AEF8" w14:textId="1A74E4E2" w:rsidR="0060676C" w:rsidRPr="00BA1B80" w:rsidRDefault="00CA4DDB" w:rsidP="00BA1B80">
            <w:pPr>
              <w:pStyle w:val="Paragraph"/>
              <w:spacing w:line="240" w:lineRule="auto"/>
              <w:rPr>
                <w:lang w:eastAsia="en-GB"/>
              </w:rPr>
            </w:pPr>
            <w:r w:rsidRPr="00BA1B80">
              <w:rPr>
                <w:lang w:eastAsia="en-GB"/>
              </w:rPr>
              <w:t xml:space="preserve">The updated analysis is for illustrative purposes. The conclusion of the report acknowledges that ‘Savings would depend on local current practice, prices being paid, and the considerations for choosing the least expensive option outlined in the draft recommendations.’ These considerations include the frequency of dressing changes. If a tube of </w:t>
            </w:r>
            <w:proofErr w:type="spellStart"/>
            <w:r w:rsidRPr="00BA1B80">
              <w:rPr>
                <w:lang w:eastAsia="en-GB"/>
              </w:rPr>
              <w:t>Flaminal</w:t>
            </w:r>
            <w:proofErr w:type="spellEnd"/>
            <w:r w:rsidRPr="00BA1B80">
              <w:rPr>
                <w:lang w:eastAsia="en-GB"/>
              </w:rPr>
              <w:t xml:space="preserve"> will last more than one dressing change (dependent on wound size), this is when the variable of that cost will be considered.</w:t>
            </w:r>
          </w:p>
        </w:tc>
      </w:tr>
      <w:tr w:rsidR="0060676C" w14:paraId="6451D332" w14:textId="77777777" w:rsidTr="001C5E88">
        <w:tc>
          <w:tcPr>
            <w:tcW w:w="1323" w:type="dxa"/>
          </w:tcPr>
          <w:p w14:paraId="3C09027D"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40B153D2" w14:textId="54A51ABE" w:rsidR="0060676C" w:rsidRPr="00BA1B80" w:rsidRDefault="0060676C"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DE97408" w14:textId="5CFFC96F" w:rsidR="0060676C" w:rsidRPr="00BA1B80" w:rsidRDefault="0060676C" w:rsidP="00BA1B80">
            <w:pPr>
              <w:pStyle w:val="Paragraph"/>
              <w:spacing w:line="240" w:lineRule="auto"/>
              <w:rPr>
                <w:lang w:eastAsia="en-GB"/>
              </w:rPr>
            </w:pPr>
            <w:r w:rsidRPr="00BA1B80">
              <w:rPr>
                <w:rFonts w:cs="Arial"/>
                <w:color w:val="000000"/>
              </w:rPr>
              <w:t>3.14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30154175" w14:textId="5BDF7C11" w:rsidR="0060676C" w:rsidRPr="00BA1B80" w:rsidRDefault="0060676C" w:rsidP="00BA1B80">
            <w:pPr>
              <w:pStyle w:val="Paragraph"/>
              <w:spacing w:line="240" w:lineRule="auto"/>
              <w:rPr>
                <w:lang w:eastAsia="en-GB"/>
              </w:rPr>
            </w:pPr>
            <w:r w:rsidRPr="00BA1B80">
              <w:rPr>
                <w:rFonts w:cs="Arial"/>
                <w:color w:val="000000"/>
              </w:rPr>
              <w:t xml:space="preserve">Resource impact Assessment. How has the weighted average for price been calculated? If this is based on market </w:t>
            </w:r>
            <w:proofErr w:type="gramStart"/>
            <w:r w:rsidRPr="00BA1B80">
              <w:rPr>
                <w:rFonts w:cs="Arial"/>
                <w:color w:val="000000"/>
              </w:rPr>
              <w:t>share</w:t>
            </w:r>
            <w:proofErr w:type="gramEnd"/>
            <w:r w:rsidRPr="00BA1B80">
              <w:rPr>
                <w:rFonts w:cs="Arial"/>
                <w:color w:val="000000"/>
              </w:rPr>
              <w:t xml:space="preserve"> then why has the price of Silver per week increased to £7.52 from £5.71 which is incorrect and should be a lower value per week.</w:t>
            </w:r>
          </w:p>
        </w:tc>
        <w:tc>
          <w:tcPr>
            <w:tcW w:w="3662" w:type="dxa"/>
          </w:tcPr>
          <w:p w14:paraId="3A7CE45F" w14:textId="0AA290DA" w:rsidR="0060676C" w:rsidRPr="00BA1B80" w:rsidRDefault="00185757" w:rsidP="00BA1B80">
            <w:pPr>
              <w:pStyle w:val="Paragraph"/>
              <w:spacing w:line="240" w:lineRule="auto"/>
              <w:rPr>
                <w:lang w:eastAsia="en-GB"/>
              </w:rPr>
            </w:pPr>
            <w:r w:rsidRPr="00BA1B80">
              <w:rPr>
                <w:lang w:eastAsia="en-GB"/>
              </w:rPr>
              <w:t>Thank you for your comment. Following factual inaccuracies</w:t>
            </w:r>
            <w:r w:rsidR="00A333E7" w:rsidRPr="00BA1B80">
              <w:rPr>
                <w:lang w:eastAsia="en-GB"/>
              </w:rPr>
              <w:t xml:space="preserve"> highlighted</w:t>
            </w:r>
            <w:r w:rsidRPr="00BA1B80">
              <w:rPr>
                <w:lang w:eastAsia="en-GB"/>
              </w:rPr>
              <w:t xml:space="preserve"> in the work presented by the resource impact assessment team at the first committee meeting, the </w:t>
            </w:r>
            <w:r w:rsidR="00A333E7" w:rsidRPr="00BA1B80">
              <w:rPr>
                <w:lang w:eastAsia="en-GB"/>
              </w:rPr>
              <w:t xml:space="preserve">resource impact assessment </w:t>
            </w:r>
            <w:r w:rsidRPr="00BA1B80">
              <w:rPr>
                <w:lang w:eastAsia="en-GB"/>
              </w:rPr>
              <w:t>team aligned their costs with the EAG’s report.</w:t>
            </w:r>
          </w:p>
        </w:tc>
      </w:tr>
      <w:tr w:rsidR="0060676C" w14:paraId="6EF21B4E" w14:textId="77777777" w:rsidTr="001C5E88">
        <w:tc>
          <w:tcPr>
            <w:tcW w:w="1323" w:type="dxa"/>
          </w:tcPr>
          <w:p w14:paraId="32201854"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14522F53" w14:textId="27A782BA" w:rsidR="0060676C" w:rsidRPr="00BA1B80" w:rsidRDefault="0060676C"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2FEE50B4" w14:textId="604ED849" w:rsidR="0060676C" w:rsidRPr="00BA1B80" w:rsidRDefault="0060676C" w:rsidP="00BA1B80">
            <w:pPr>
              <w:pStyle w:val="Paragraph"/>
              <w:spacing w:line="240" w:lineRule="auto"/>
              <w:rPr>
                <w:lang w:eastAsia="en-GB"/>
              </w:rPr>
            </w:pPr>
            <w:r w:rsidRPr="00BA1B80">
              <w:rPr>
                <w:rFonts w:cs="Arial"/>
                <w:color w:val="000000"/>
              </w:rPr>
              <w:t>3.14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649AE327" w14:textId="4BCC43A2" w:rsidR="0060676C" w:rsidRPr="00BA1B80" w:rsidRDefault="0060676C" w:rsidP="00BA1B80">
            <w:pPr>
              <w:pStyle w:val="Paragraph"/>
              <w:spacing w:line="240" w:lineRule="auto"/>
              <w:rPr>
                <w:lang w:eastAsia="en-GB"/>
              </w:rPr>
            </w:pPr>
            <w:r w:rsidRPr="00BA1B80">
              <w:rPr>
                <w:rFonts w:cs="Arial"/>
                <w:color w:val="000000"/>
              </w:rPr>
              <w:t>The RIA is fundamentally incompatible with the EAG report. Its shows a lack of familiarity with the therapy area and features critical flaws that are likely to INCREASE the financial burden wound care places on the NHS. The RIA report only considers the unit cost of dressings. This is myopic and makes a mockery of the EAG report.</w:t>
            </w:r>
            <w:r w:rsidRPr="00BA1B80">
              <w:rPr>
                <w:rFonts w:cs="Arial"/>
                <w:color w:val="000000"/>
              </w:rPr>
              <w:br/>
              <w:t>1. The RIA assumes equivalent efficacy between all AMD agents. This approach was rejected by the EAG as it is not reflective of reality</w:t>
            </w:r>
            <w:r w:rsidRPr="00BA1B80">
              <w:rPr>
                <w:rFonts w:cs="Arial"/>
                <w:color w:val="000000"/>
              </w:rPr>
              <w:br/>
              <w:t>In reality, some AMDs will lead to wound healing before others. This will affect the overall healthcare spend significantly.</w:t>
            </w:r>
            <w:r w:rsidRPr="00BA1B80">
              <w:rPr>
                <w:rFonts w:cs="Arial"/>
                <w:color w:val="000000"/>
              </w:rPr>
              <w:br/>
            </w:r>
            <w:r w:rsidRPr="00BA1B80">
              <w:rPr>
                <w:rFonts w:cs="Arial"/>
                <w:color w:val="000000"/>
              </w:rPr>
              <w:br/>
              <w:t>2. The RIA report does not factor in the increased costs that come with increased dressing change frequency.</w:t>
            </w:r>
            <w:r w:rsidRPr="00BA1B80">
              <w:rPr>
                <w:rFonts w:cs="Arial"/>
                <w:color w:val="000000"/>
              </w:rPr>
              <w:br/>
              <w:t xml:space="preserve">In practice, many dressing changes for </w:t>
            </w:r>
            <w:r w:rsidRPr="00BA1B80">
              <w:rPr>
                <w:rFonts w:cs="Arial"/>
                <w:color w:val="000000"/>
              </w:rPr>
              <w:lastRenderedPageBreak/>
              <w:t>infected leg ulcers are performed by the District Nursing team. This means that increased dressing change frequencies will also result in increased healthcare utilisation costs. For example, at present, the RIA reports the weekly cost of iodine and silver dressings as follows:</w:t>
            </w:r>
            <w:r w:rsidRPr="00BA1B80">
              <w:rPr>
                <w:rFonts w:cs="Arial"/>
                <w:color w:val="000000"/>
              </w:rPr>
              <w:br/>
              <w:t>Iodine: £6.04</w:t>
            </w:r>
            <w:r w:rsidRPr="00BA1B80">
              <w:rPr>
                <w:rFonts w:cs="Arial"/>
                <w:color w:val="000000"/>
              </w:rPr>
              <w:br/>
              <w:t>Silver: £11.21</w:t>
            </w:r>
            <w:r w:rsidRPr="00BA1B80">
              <w:rPr>
                <w:rFonts w:cs="Arial"/>
                <w:color w:val="000000"/>
              </w:rPr>
              <w:br/>
              <w:t>This is simply calculated using their weighted save. dressing cost x the frequency of dressing changes per week. However, real world cost-in-use for each dressing is more likely closer to the below figures:</w:t>
            </w:r>
            <w:r w:rsidRPr="00BA1B80">
              <w:rPr>
                <w:rFonts w:cs="Arial"/>
                <w:color w:val="000000"/>
              </w:rPr>
              <w:br/>
              <w:t>Iodine: £238.73 per week</w:t>
            </w:r>
            <w:r w:rsidRPr="00BA1B80">
              <w:rPr>
                <w:rFonts w:cs="Arial"/>
                <w:color w:val="000000"/>
              </w:rPr>
              <w:br/>
              <w:t>Silver: £94.35 per week</w:t>
            </w:r>
            <w:r w:rsidRPr="00BA1B80">
              <w:rPr>
                <w:rFonts w:cs="Arial"/>
                <w:color w:val="000000"/>
              </w:rPr>
              <w:br/>
            </w:r>
            <w:r w:rsidRPr="00BA1B80">
              <w:rPr>
                <w:rFonts w:cs="Arial"/>
                <w:color w:val="000000"/>
              </w:rPr>
              <w:br/>
              <w:t xml:space="preserve">This is because we must factor in the cost to the district nursing service to perform these dressing changes. The EAG report gives the cost of a district nursing team visit at £55.80. Iodine will require 4.17 visits per week (£232.69), whilst silver requires only 1.49 (£83.14). The RIA must include this critical context otherwise it </w:t>
            </w:r>
            <w:proofErr w:type="gramStart"/>
            <w:r w:rsidRPr="00BA1B80">
              <w:rPr>
                <w:rFonts w:cs="Arial"/>
                <w:color w:val="000000"/>
              </w:rPr>
              <w:t>risk</w:t>
            </w:r>
            <w:proofErr w:type="gramEnd"/>
            <w:r w:rsidRPr="00BA1B80">
              <w:rPr>
                <w:rFonts w:cs="Arial"/>
                <w:color w:val="000000"/>
              </w:rPr>
              <w:t xml:space="preserve"> misleading clinicians and is likely </w:t>
            </w:r>
            <w:proofErr w:type="spellStart"/>
            <w:r w:rsidRPr="00BA1B80">
              <w:rPr>
                <w:rFonts w:cs="Arial"/>
                <w:color w:val="000000"/>
              </w:rPr>
              <w:t>likely</w:t>
            </w:r>
            <w:proofErr w:type="spellEnd"/>
            <w:r w:rsidRPr="00BA1B80">
              <w:rPr>
                <w:rFonts w:cs="Arial"/>
                <w:color w:val="000000"/>
              </w:rPr>
              <w:t xml:space="preserve"> to INCREASE the financial burden wound care places on the NHS.</w:t>
            </w:r>
          </w:p>
        </w:tc>
        <w:tc>
          <w:tcPr>
            <w:tcW w:w="3662" w:type="dxa"/>
          </w:tcPr>
          <w:p w14:paraId="2509403D" w14:textId="1F663474" w:rsidR="0060676C" w:rsidRPr="00BA1B80" w:rsidRDefault="00A1325C" w:rsidP="00BA1B80">
            <w:pPr>
              <w:pStyle w:val="Paragraph"/>
              <w:spacing w:line="240" w:lineRule="auto"/>
              <w:rPr>
                <w:lang w:eastAsia="en-GB"/>
              </w:rPr>
            </w:pPr>
            <w:r w:rsidRPr="00BA1B80">
              <w:rPr>
                <w:lang w:eastAsia="en-GB"/>
              </w:rPr>
              <w:lastRenderedPageBreak/>
              <w:t>Thank you for your comment.</w:t>
            </w:r>
            <w:r w:rsidR="005F64FC" w:rsidRPr="00BA1B80">
              <w:rPr>
                <w:lang w:eastAsia="en-GB"/>
              </w:rPr>
              <w:t xml:space="preserve"> </w:t>
            </w:r>
            <w:r w:rsidRPr="00BA1B80">
              <w:rPr>
                <w:lang w:eastAsia="en-GB"/>
              </w:rPr>
              <w:t>The updated analysis is for illustrative purposes of potential savings. The conclusion of the report acknowledges that ‘Savings would depend on local current practice, prices being paid, and the considerations for choosing the least expensive option outlined in the draft recommendations.’ These considerations include the number of visits of a healthcare professional.</w:t>
            </w:r>
          </w:p>
        </w:tc>
      </w:tr>
      <w:tr w:rsidR="0060676C" w14:paraId="75F46619" w14:textId="77777777" w:rsidTr="001C5E88">
        <w:tc>
          <w:tcPr>
            <w:tcW w:w="1323" w:type="dxa"/>
          </w:tcPr>
          <w:p w14:paraId="590E738C"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1A73B793" w14:textId="764B72E4" w:rsidR="0060676C" w:rsidRPr="00BA1B80" w:rsidRDefault="0060676C"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64564397" w14:textId="47839B40" w:rsidR="0060676C" w:rsidRPr="00BA1B80" w:rsidRDefault="0060676C" w:rsidP="00BA1B80">
            <w:pPr>
              <w:pStyle w:val="Paragraph"/>
              <w:spacing w:line="240" w:lineRule="auto"/>
              <w:rPr>
                <w:lang w:eastAsia="en-GB"/>
              </w:rPr>
            </w:pPr>
            <w:r w:rsidRPr="00BA1B80">
              <w:rPr>
                <w:rFonts w:cs="Arial"/>
                <w:color w:val="000000"/>
              </w:rPr>
              <w:t>3.15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5C6BD2BE" w14:textId="1EE7BAFF" w:rsidR="0060676C" w:rsidRPr="00BA1B80" w:rsidRDefault="0060676C" w:rsidP="00BA1B80">
            <w:pPr>
              <w:pStyle w:val="Paragraph"/>
              <w:spacing w:line="240" w:lineRule="auto"/>
              <w:rPr>
                <w:lang w:eastAsia="en-GB"/>
              </w:rPr>
            </w:pPr>
            <w:r w:rsidRPr="00BA1B80">
              <w:rPr>
                <w:rFonts w:cs="Arial"/>
                <w:color w:val="000000"/>
              </w:rPr>
              <w:t>Why are the savings presented in the resource impact assessment:</w:t>
            </w:r>
            <w:r w:rsidRPr="00BA1B80">
              <w:rPr>
                <w:rFonts w:cs="Arial"/>
                <w:color w:val="000000"/>
              </w:rPr>
              <w:br/>
              <w:t xml:space="preserve">1. Out of scope, the LSA is for Infected leg </w:t>
            </w:r>
            <w:proofErr w:type="gramStart"/>
            <w:r w:rsidRPr="00BA1B80">
              <w:rPr>
                <w:rFonts w:cs="Arial"/>
                <w:color w:val="000000"/>
              </w:rPr>
              <w:t>ulcers</w:t>
            </w:r>
            <w:proofErr w:type="gramEnd"/>
            <w:r w:rsidRPr="00BA1B80">
              <w:rPr>
                <w:rFonts w:cs="Arial"/>
                <w:color w:val="000000"/>
              </w:rPr>
              <w:t xml:space="preserve"> yet data presented is across all AMD use. </w:t>
            </w:r>
            <w:r w:rsidRPr="00BA1B80">
              <w:rPr>
                <w:rFonts w:cs="Arial"/>
                <w:color w:val="000000"/>
              </w:rPr>
              <w:br/>
              <w:t>2. Shows unit cost per week and not the total cost per week giving an inaccurate picture of the true cost of a product when only 6% cost is associated with the product. The calculation should be unit cost x number of units per week x average cost of nurse visit.</w:t>
            </w:r>
          </w:p>
        </w:tc>
        <w:tc>
          <w:tcPr>
            <w:tcW w:w="3662" w:type="dxa"/>
          </w:tcPr>
          <w:p w14:paraId="2F80A987" w14:textId="3E8498BD" w:rsidR="0060676C" w:rsidRPr="00BA1B80" w:rsidRDefault="003F3A99" w:rsidP="00BA1B80">
            <w:pPr>
              <w:pStyle w:val="Paragraph"/>
              <w:spacing w:line="240" w:lineRule="auto"/>
              <w:rPr>
                <w:lang w:eastAsia="en-GB"/>
              </w:rPr>
            </w:pPr>
            <w:r w:rsidRPr="00BA1B80">
              <w:rPr>
                <w:lang w:eastAsia="en-GB"/>
              </w:rPr>
              <w:t>Thank you for your comment.</w:t>
            </w:r>
            <w:r w:rsidR="005F64FC" w:rsidRPr="00BA1B80">
              <w:rPr>
                <w:lang w:eastAsia="en-GB"/>
              </w:rPr>
              <w:t xml:space="preserve"> </w:t>
            </w:r>
            <w:r w:rsidRPr="00BA1B80">
              <w:rPr>
                <w:lang w:eastAsia="en-GB"/>
              </w:rPr>
              <w:t xml:space="preserve">Please see the response to comment 188. </w:t>
            </w:r>
          </w:p>
        </w:tc>
      </w:tr>
      <w:tr w:rsidR="0060676C" w14:paraId="5E001547" w14:textId="77777777" w:rsidTr="001C5E88">
        <w:tc>
          <w:tcPr>
            <w:tcW w:w="1323" w:type="dxa"/>
          </w:tcPr>
          <w:p w14:paraId="3BFDC6EB"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11C4E656" w14:textId="3AFD8CD2" w:rsidR="0060676C" w:rsidRPr="00BA1B80" w:rsidRDefault="0060676C"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49C5373A" w14:textId="2C10395E" w:rsidR="0060676C" w:rsidRPr="00BA1B80" w:rsidRDefault="0060676C" w:rsidP="00BA1B80">
            <w:pPr>
              <w:pStyle w:val="Paragraph"/>
              <w:spacing w:line="240" w:lineRule="auto"/>
              <w:rPr>
                <w:lang w:eastAsia="en-GB"/>
              </w:rPr>
            </w:pPr>
            <w:r w:rsidRPr="00BA1B80">
              <w:rPr>
                <w:rFonts w:cs="Arial"/>
                <w:color w:val="000000"/>
              </w:rPr>
              <w:t>3.15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2DE47893" w14:textId="0575A644" w:rsidR="0060676C" w:rsidRPr="00BA1B80" w:rsidRDefault="0060676C" w:rsidP="00BA1B80">
            <w:pPr>
              <w:pStyle w:val="Paragraph"/>
              <w:spacing w:line="240" w:lineRule="auto"/>
              <w:rPr>
                <w:lang w:eastAsia="en-GB"/>
              </w:rPr>
            </w:pPr>
            <w:r w:rsidRPr="00BA1B80">
              <w:rPr>
                <w:rFonts w:cs="Arial"/>
                <w:color w:val="000000"/>
              </w:rPr>
              <w:t>Further analyses exploring different assumptions are being prepared and will be presented to committee for their consideration. Please expand on this to allow for commentary?</w:t>
            </w:r>
          </w:p>
        </w:tc>
        <w:tc>
          <w:tcPr>
            <w:tcW w:w="3662" w:type="dxa"/>
          </w:tcPr>
          <w:p w14:paraId="30F26456" w14:textId="048C79F9" w:rsidR="0060676C" w:rsidRPr="00BA1B80" w:rsidRDefault="00E559CD" w:rsidP="00BA1B80">
            <w:pPr>
              <w:pStyle w:val="Paragraph"/>
              <w:spacing w:line="240" w:lineRule="auto"/>
              <w:rPr>
                <w:lang w:eastAsia="en-GB"/>
              </w:rPr>
            </w:pPr>
            <w:r w:rsidRPr="00BA1B80">
              <w:rPr>
                <w:lang w:eastAsia="en-GB"/>
              </w:rPr>
              <w:t>Thank you for your comment. Please see response to comment 184.</w:t>
            </w:r>
          </w:p>
        </w:tc>
      </w:tr>
      <w:tr w:rsidR="0060676C" w14:paraId="7028E305" w14:textId="77777777" w:rsidTr="001C5E88">
        <w:tc>
          <w:tcPr>
            <w:tcW w:w="1323" w:type="dxa"/>
          </w:tcPr>
          <w:p w14:paraId="443D1D0F" w14:textId="77777777" w:rsidR="0060676C" w:rsidRPr="00BA1B80" w:rsidRDefault="0060676C" w:rsidP="00BA1B80">
            <w:pPr>
              <w:pStyle w:val="Paragraph"/>
              <w:numPr>
                <w:ilvl w:val="0"/>
                <w:numId w:val="27"/>
              </w:numPr>
              <w:spacing w:line="240" w:lineRule="auto"/>
              <w:rPr>
                <w:lang w:eastAsia="en-GB"/>
              </w:rPr>
            </w:pPr>
          </w:p>
        </w:tc>
        <w:tc>
          <w:tcPr>
            <w:tcW w:w="1688" w:type="dxa"/>
            <w:tcBorders>
              <w:top w:val="single" w:sz="4" w:space="0" w:color="auto"/>
              <w:left w:val="nil"/>
              <w:bottom w:val="single" w:sz="4" w:space="0" w:color="auto"/>
              <w:right w:val="single" w:sz="4" w:space="0" w:color="auto"/>
            </w:tcBorders>
            <w:shd w:val="clear" w:color="auto" w:fill="auto"/>
          </w:tcPr>
          <w:p w14:paraId="7790A13C" w14:textId="0D782D63" w:rsidR="0060676C" w:rsidRPr="00BA1B80" w:rsidRDefault="0060676C" w:rsidP="00BA1B80">
            <w:pPr>
              <w:pStyle w:val="Paragraph"/>
              <w:spacing w:line="240" w:lineRule="auto"/>
              <w:rPr>
                <w:lang w:eastAsia="en-GB"/>
              </w:rPr>
            </w:pPr>
            <w:r w:rsidRPr="00BA1B80">
              <w:rPr>
                <w:rFonts w:cs="Arial"/>
                <w:color w:val="000000"/>
              </w:rPr>
              <w:t>Consultee 15</w:t>
            </w:r>
            <w:r w:rsidRPr="00BA1B80">
              <w:rPr>
                <w:rFonts w:cs="Arial"/>
                <w:color w:val="000000"/>
              </w:rPr>
              <w:br/>
            </w:r>
            <w:proofErr w:type="spellStart"/>
            <w:r w:rsidRPr="00BA1B80">
              <w:rPr>
                <w:rFonts w:cs="Arial"/>
                <w:color w:val="000000"/>
              </w:rPr>
              <w:t>T.J.Smith</w:t>
            </w:r>
            <w:proofErr w:type="spellEnd"/>
            <w:r w:rsidRPr="00BA1B80">
              <w:rPr>
                <w:rFonts w:cs="Arial"/>
                <w:color w:val="000000"/>
              </w:rPr>
              <w:t xml:space="preserve"> and Nephew Ltd</w:t>
            </w: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286845F" w14:textId="5671E8A9" w:rsidR="0060676C" w:rsidRPr="00BA1B80" w:rsidRDefault="0060676C" w:rsidP="00BA1B80">
            <w:pPr>
              <w:pStyle w:val="Paragraph"/>
              <w:spacing w:line="240" w:lineRule="auto"/>
              <w:rPr>
                <w:lang w:eastAsia="en-GB"/>
              </w:rPr>
            </w:pPr>
            <w:r w:rsidRPr="00BA1B80">
              <w:rPr>
                <w:rFonts w:cs="Arial"/>
                <w:color w:val="000000"/>
              </w:rPr>
              <w:t>3.14 Resource impact assessment</w:t>
            </w:r>
          </w:p>
        </w:tc>
        <w:tc>
          <w:tcPr>
            <w:tcW w:w="5236" w:type="dxa"/>
            <w:tcBorders>
              <w:top w:val="single" w:sz="4" w:space="0" w:color="auto"/>
              <w:left w:val="single" w:sz="4" w:space="0" w:color="auto"/>
              <w:bottom w:val="single" w:sz="4" w:space="0" w:color="auto"/>
              <w:right w:val="nil"/>
            </w:tcBorders>
            <w:shd w:val="clear" w:color="auto" w:fill="auto"/>
          </w:tcPr>
          <w:p w14:paraId="7D90D081" w14:textId="6AF76FFC" w:rsidR="0060676C" w:rsidRPr="00BA1B80" w:rsidRDefault="0060676C" w:rsidP="00BA1B80">
            <w:pPr>
              <w:pStyle w:val="Paragraph"/>
              <w:spacing w:line="240" w:lineRule="auto"/>
              <w:rPr>
                <w:lang w:eastAsia="en-GB"/>
              </w:rPr>
            </w:pPr>
            <w:r w:rsidRPr="00BA1B80">
              <w:rPr>
                <w:rFonts w:cs="Arial"/>
                <w:color w:val="000000"/>
              </w:rPr>
              <w:t>Section 3.15/ section 3.16. How does this align to other antimicrobials? Antibiotics are required to have clear breakpoint data and dosing information to justify the correct and appropriate level of antimicrobial required to show a clinical effect.</w:t>
            </w:r>
          </w:p>
        </w:tc>
        <w:tc>
          <w:tcPr>
            <w:tcW w:w="3662" w:type="dxa"/>
          </w:tcPr>
          <w:p w14:paraId="379BD436" w14:textId="70C04BEF" w:rsidR="0060676C" w:rsidRPr="00BA1B80" w:rsidRDefault="00A54E52" w:rsidP="00BA1B80">
            <w:pPr>
              <w:pStyle w:val="Paragraph"/>
              <w:spacing w:line="240" w:lineRule="auto"/>
              <w:rPr>
                <w:lang w:eastAsia="en-GB"/>
              </w:rPr>
            </w:pPr>
            <w:r w:rsidRPr="00BA1B80">
              <w:rPr>
                <w:lang w:eastAsia="en-GB"/>
              </w:rPr>
              <w:t>Thank you for your comment. Please see response to comment 183.</w:t>
            </w:r>
          </w:p>
        </w:tc>
      </w:tr>
    </w:tbl>
    <w:p w14:paraId="032F41E6" w14:textId="77777777" w:rsidR="001C5E88" w:rsidRDefault="001C5E88" w:rsidP="001C5E88">
      <w:pPr>
        <w:pStyle w:val="Heading1"/>
        <w:spacing w:line="240" w:lineRule="auto"/>
      </w:pPr>
      <w:r>
        <w:lastRenderedPageBreak/>
        <w:t>Table 26: general comments on the draft guidance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76"/>
        <w:gridCol w:w="2217"/>
        <w:gridCol w:w="5157"/>
        <w:gridCol w:w="3575"/>
      </w:tblGrid>
      <w:tr w:rsidR="002414F6" w14:paraId="00B3426A" w14:textId="77777777" w:rsidTr="00780A3F">
        <w:tc>
          <w:tcPr>
            <w:tcW w:w="1323" w:type="dxa"/>
          </w:tcPr>
          <w:p w14:paraId="5E6CF6ED" w14:textId="66524736" w:rsidR="002414F6" w:rsidRPr="00BA1B80" w:rsidRDefault="002414F6" w:rsidP="00BA1B80">
            <w:pPr>
              <w:pStyle w:val="Paragraph"/>
              <w:spacing w:line="240" w:lineRule="auto"/>
              <w:rPr>
                <w:lang w:eastAsia="en-GB"/>
              </w:rPr>
            </w:pPr>
            <w:r w:rsidRPr="00BA1B80">
              <w:rPr>
                <w:b/>
                <w:bCs/>
                <w:lang w:eastAsia="en-GB"/>
              </w:rPr>
              <w:t>Comment no.</w:t>
            </w:r>
          </w:p>
        </w:tc>
        <w:tc>
          <w:tcPr>
            <w:tcW w:w="1676" w:type="dxa"/>
            <w:tcBorders>
              <w:top w:val="single" w:sz="4" w:space="0" w:color="auto"/>
              <w:left w:val="nil"/>
              <w:bottom w:val="single" w:sz="4" w:space="0" w:color="auto"/>
              <w:right w:val="single" w:sz="4" w:space="0" w:color="auto"/>
            </w:tcBorders>
            <w:shd w:val="clear" w:color="auto" w:fill="auto"/>
          </w:tcPr>
          <w:p w14:paraId="1549CE5F" w14:textId="7D82D747" w:rsidR="002414F6" w:rsidRPr="00BA1B80" w:rsidRDefault="002414F6" w:rsidP="00BA1B80">
            <w:pPr>
              <w:pStyle w:val="Paragraph"/>
              <w:spacing w:line="240" w:lineRule="auto"/>
              <w:rPr>
                <w:rFonts w:cs="Arial"/>
                <w:color w:val="000000"/>
              </w:rPr>
            </w:pPr>
            <w:r w:rsidRPr="00BA1B80">
              <w:rPr>
                <w:b/>
                <w:bCs/>
                <w:lang w:eastAsia="en-GB"/>
              </w:rPr>
              <w:t>Consultee</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4B7ED80B" w14:textId="1F89B7E1" w:rsidR="002414F6" w:rsidRPr="00BA1B80" w:rsidRDefault="002414F6" w:rsidP="00BA1B80">
            <w:pPr>
              <w:pStyle w:val="Paragraph"/>
              <w:spacing w:line="240" w:lineRule="auto"/>
              <w:rPr>
                <w:rFonts w:cs="Arial"/>
                <w:color w:val="000000"/>
              </w:rPr>
            </w:pPr>
            <w:r w:rsidRPr="00BA1B80">
              <w:rPr>
                <w:b/>
                <w:bCs/>
                <w:lang w:eastAsia="en-GB"/>
              </w:rPr>
              <w:t>Section no.</w:t>
            </w:r>
          </w:p>
        </w:tc>
        <w:tc>
          <w:tcPr>
            <w:tcW w:w="5157" w:type="dxa"/>
            <w:tcBorders>
              <w:top w:val="single" w:sz="4" w:space="0" w:color="auto"/>
              <w:left w:val="single" w:sz="4" w:space="0" w:color="auto"/>
              <w:bottom w:val="single" w:sz="4" w:space="0" w:color="auto"/>
              <w:right w:val="nil"/>
            </w:tcBorders>
            <w:shd w:val="clear" w:color="auto" w:fill="auto"/>
          </w:tcPr>
          <w:p w14:paraId="5C330D6A" w14:textId="015FFA99" w:rsidR="002414F6" w:rsidRPr="00BA1B80" w:rsidRDefault="002414F6" w:rsidP="00BA1B80">
            <w:pPr>
              <w:pStyle w:val="Paragraph"/>
              <w:spacing w:line="240" w:lineRule="auto"/>
              <w:rPr>
                <w:rFonts w:cs="Arial"/>
                <w:color w:val="000000"/>
              </w:rPr>
            </w:pPr>
            <w:r w:rsidRPr="00BA1B80">
              <w:rPr>
                <w:b/>
                <w:bCs/>
                <w:lang w:eastAsia="en-GB"/>
              </w:rPr>
              <w:t>Comment</w:t>
            </w:r>
          </w:p>
        </w:tc>
        <w:tc>
          <w:tcPr>
            <w:tcW w:w="3575" w:type="dxa"/>
          </w:tcPr>
          <w:p w14:paraId="2D96792B" w14:textId="5A1D7A79" w:rsidR="002414F6" w:rsidRPr="00BA1B80" w:rsidRDefault="002414F6" w:rsidP="00BA1B80">
            <w:pPr>
              <w:pStyle w:val="Paragraph"/>
              <w:spacing w:line="240" w:lineRule="auto"/>
              <w:rPr>
                <w:lang w:eastAsia="en-GB"/>
              </w:rPr>
            </w:pPr>
            <w:r w:rsidRPr="00BA1B80">
              <w:rPr>
                <w:b/>
                <w:bCs/>
                <w:lang w:eastAsia="en-GB"/>
              </w:rPr>
              <w:t>Response</w:t>
            </w:r>
          </w:p>
        </w:tc>
      </w:tr>
      <w:tr w:rsidR="00DB7D79" w14:paraId="6666BAE0" w14:textId="77777777" w:rsidTr="00780A3F">
        <w:tc>
          <w:tcPr>
            <w:tcW w:w="1323" w:type="dxa"/>
          </w:tcPr>
          <w:p w14:paraId="6B9A3AFD" w14:textId="77777777" w:rsidR="00DB7D79" w:rsidRPr="00BA1B80" w:rsidRDefault="00DB7D79"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16D5E5A3" w14:textId="28202B46" w:rsidR="00DB7D79" w:rsidRPr="00BA1B80" w:rsidRDefault="00DB7D79" w:rsidP="00BA1B80">
            <w:pPr>
              <w:pStyle w:val="Paragraph"/>
              <w:spacing w:line="240" w:lineRule="auto"/>
              <w:rPr>
                <w:lang w:eastAsia="en-GB"/>
              </w:rPr>
            </w:pPr>
            <w:r w:rsidRPr="00BA1B80">
              <w:rPr>
                <w:rFonts w:cs="Arial"/>
                <w:color w:val="000000"/>
              </w:rPr>
              <w:t>Consultee 1</w:t>
            </w:r>
            <w:r w:rsidRPr="00BA1B80">
              <w:rPr>
                <w:rFonts w:cs="Arial"/>
                <w:color w:val="000000"/>
              </w:rPr>
              <w:br/>
              <w:t>Individual</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26D75D15" w14:textId="7528E508" w:rsidR="00DB7D79" w:rsidRPr="00BA1B80" w:rsidRDefault="00DB7D79" w:rsidP="00BA1B80">
            <w:pPr>
              <w:pStyle w:val="Paragraph"/>
              <w:spacing w:line="240" w:lineRule="auto"/>
              <w:rPr>
                <w:lang w:eastAsia="en-GB"/>
              </w:rPr>
            </w:pPr>
            <w:r w:rsidRPr="00BA1B80">
              <w:rPr>
                <w:rFonts w:cs="Arial"/>
                <w:color w:val="000000"/>
              </w:rPr>
              <w:t>Not specified</w:t>
            </w:r>
          </w:p>
        </w:tc>
        <w:tc>
          <w:tcPr>
            <w:tcW w:w="5157" w:type="dxa"/>
            <w:tcBorders>
              <w:top w:val="single" w:sz="4" w:space="0" w:color="auto"/>
              <w:left w:val="single" w:sz="4" w:space="0" w:color="auto"/>
              <w:bottom w:val="single" w:sz="4" w:space="0" w:color="auto"/>
              <w:right w:val="nil"/>
            </w:tcBorders>
            <w:shd w:val="clear" w:color="auto" w:fill="auto"/>
          </w:tcPr>
          <w:p w14:paraId="2F1AB151" w14:textId="3CE7647C" w:rsidR="00DB7D79" w:rsidRPr="00BA1B80" w:rsidRDefault="00DB7D79" w:rsidP="00BA1B80">
            <w:pPr>
              <w:pStyle w:val="Paragraph"/>
              <w:spacing w:line="240" w:lineRule="auto"/>
              <w:rPr>
                <w:lang w:eastAsia="en-GB"/>
              </w:rPr>
            </w:pPr>
            <w:r w:rsidRPr="00BA1B80">
              <w:rPr>
                <w:rFonts w:cs="Arial"/>
                <w:color w:val="000000"/>
              </w:rPr>
              <w:t xml:space="preserve">no direction as to time limits of treating with </w:t>
            </w:r>
            <w:proofErr w:type="gramStart"/>
            <w:r w:rsidRPr="00BA1B80">
              <w:rPr>
                <w:rFonts w:cs="Arial"/>
                <w:color w:val="000000"/>
              </w:rPr>
              <w:t>AMD ,</w:t>
            </w:r>
            <w:proofErr w:type="gramEnd"/>
            <w:r w:rsidRPr="00BA1B80">
              <w:rPr>
                <w:rFonts w:cs="Arial"/>
                <w:color w:val="000000"/>
              </w:rPr>
              <w:t xml:space="preserve"> </w:t>
            </w:r>
            <w:proofErr w:type="spellStart"/>
            <w:r w:rsidRPr="00BA1B80">
              <w:rPr>
                <w:rFonts w:cs="Arial"/>
                <w:color w:val="000000"/>
              </w:rPr>
              <w:t>its</w:t>
            </w:r>
            <w:proofErr w:type="spellEnd"/>
            <w:r w:rsidRPr="00BA1B80">
              <w:rPr>
                <w:rFonts w:cs="Arial"/>
                <w:color w:val="000000"/>
              </w:rPr>
              <w:t xml:space="preserve"> all about the dressing choose the least </w:t>
            </w:r>
            <w:proofErr w:type="gramStart"/>
            <w:r w:rsidRPr="00BA1B80">
              <w:rPr>
                <w:rFonts w:cs="Arial"/>
                <w:color w:val="000000"/>
              </w:rPr>
              <w:t>expensive ,</w:t>
            </w:r>
            <w:proofErr w:type="gramEnd"/>
            <w:r w:rsidRPr="00BA1B80">
              <w:rPr>
                <w:rFonts w:cs="Arial"/>
                <w:color w:val="000000"/>
              </w:rPr>
              <w:t xml:space="preserve"> consult patients about choices - no mention of concordance or if the pt wants the most expensive dressing against clinical </w:t>
            </w:r>
            <w:proofErr w:type="gramStart"/>
            <w:r w:rsidRPr="00BA1B80">
              <w:rPr>
                <w:rFonts w:cs="Arial"/>
                <w:color w:val="000000"/>
              </w:rPr>
              <w:t>recommendations,  using</w:t>
            </w:r>
            <w:proofErr w:type="gramEnd"/>
            <w:r w:rsidRPr="00BA1B80">
              <w:rPr>
                <w:rFonts w:cs="Arial"/>
                <w:color w:val="000000"/>
              </w:rPr>
              <w:t xml:space="preserve"> clinical judgement we should all be doing that anyway</w:t>
            </w:r>
          </w:p>
        </w:tc>
        <w:tc>
          <w:tcPr>
            <w:tcW w:w="3575" w:type="dxa"/>
          </w:tcPr>
          <w:p w14:paraId="2E113D3B" w14:textId="6FFB84D4" w:rsidR="00DB7D79" w:rsidRPr="00BA1B80" w:rsidRDefault="00411E4D" w:rsidP="00BA1B80">
            <w:pPr>
              <w:pStyle w:val="Paragraph"/>
              <w:spacing w:line="240" w:lineRule="auto"/>
              <w:rPr>
                <w:lang w:eastAsia="en-GB"/>
              </w:rPr>
            </w:pPr>
            <w:r w:rsidRPr="00BA1B80">
              <w:rPr>
                <w:lang w:eastAsia="en-GB"/>
              </w:rPr>
              <w:t xml:space="preserve">Thank you for your comment. </w:t>
            </w:r>
            <w:r w:rsidR="00E33678" w:rsidRPr="00BA1B80">
              <w:rPr>
                <w:lang w:eastAsia="en-GB"/>
              </w:rPr>
              <w:t>Please see response</w:t>
            </w:r>
            <w:r w:rsidR="0003512F" w:rsidRPr="00BA1B80">
              <w:rPr>
                <w:lang w:eastAsia="en-GB"/>
              </w:rPr>
              <w:t>s</w:t>
            </w:r>
            <w:r w:rsidR="00E33678" w:rsidRPr="00BA1B80">
              <w:rPr>
                <w:lang w:eastAsia="en-GB"/>
              </w:rPr>
              <w:t xml:space="preserve"> to comment</w:t>
            </w:r>
            <w:r w:rsidR="0003512F" w:rsidRPr="00BA1B80">
              <w:rPr>
                <w:lang w:eastAsia="en-GB"/>
              </w:rPr>
              <w:t>s</w:t>
            </w:r>
            <w:r w:rsidR="00E33678" w:rsidRPr="00BA1B80">
              <w:rPr>
                <w:lang w:eastAsia="en-GB"/>
              </w:rPr>
              <w:t xml:space="preserve"> </w:t>
            </w:r>
            <w:r w:rsidR="00674573" w:rsidRPr="00BA1B80">
              <w:rPr>
                <w:lang w:eastAsia="en-GB"/>
              </w:rPr>
              <w:t>1</w:t>
            </w:r>
            <w:r w:rsidR="0003512F" w:rsidRPr="00BA1B80">
              <w:rPr>
                <w:lang w:eastAsia="en-GB"/>
              </w:rPr>
              <w:t>, 3 and 4</w:t>
            </w:r>
            <w:r w:rsidR="00674573" w:rsidRPr="00BA1B80">
              <w:rPr>
                <w:lang w:eastAsia="en-GB"/>
              </w:rPr>
              <w:t>.</w:t>
            </w:r>
          </w:p>
        </w:tc>
      </w:tr>
      <w:tr w:rsidR="00DB7D79" w14:paraId="789EB85C" w14:textId="77777777" w:rsidTr="00780A3F">
        <w:tc>
          <w:tcPr>
            <w:tcW w:w="1323" w:type="dxa"/>
          </w:tcPr>
          <w:p w14:paraId="0E1C174B" w14:textId="77777777" w:rsidR="00DB7D79" w:rsidRPr="00BA1B80" w:rsidRDefault="00DB7D79"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6B64BA5" w14:textId="1406B733" w:rsidR="00DB7D79" w:rsidRPr="00BA1B80" w:rsidRDefault="00DB7D79"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A80EA01" w14:textId="60AEE44F" w:rsidR="00DB7D79" w:rsidRPr="00BA1B80" w:rsidRDefault="00DB7D79" w:rsidP="00BA1B80">
            <w:pPr>
              <w:pStyle w:val="Paragraph"/>
              <w:spacing w:line="240" w:lineRule="auto"/>
              <w:rPr>
                <w:lang w:eastAsia="en-GB"/>
              </w:rPr>
            </w:pPr>
            <w:r w:rsidRPr="00BA1B80">
              <w:rPr>
                <w:rFonts w:cs="Arial"/>
                <w:color w:val="000000"/>
              </w:rPr>
              <w:t>1.1 1 Recommendations</w:t>
            </w:r>
          </w:p>
        </w:tc>
        <w:tc>
          <w:tcPr>
            <w:tcW w:w="5157" w:type="dxa"/>
            <w:tcBorders>
              <w:top w:val="single" w:sz="4" w:space="0" w:color="auto"/>
              <w:left w:val="single" w:sz="4" w:space="0" w:color="auto"/>
              <w:bottom w:val="single" w:sz="4" w:space="0" w:color="auto"/>
              <w:right w:val="nil"/>
            </w:tcBorders>
            <w:shd w:val="clear" w:color="auto" w:fill="auto"/>
          </w:tcPr>
          <w:p w14:paraId="3E9E2C3D" w14:textId="3079A12A" w:rsidR="00DB7D79" w:rsidRPr="00BA1B80" w:rsidRDefault="00DB7D79" w:rsidP="00BA1B80">
            <w:pPr>
              <w:pStyle w:val="Paragraph"/>
              <w:spacing w:line="240" w:lineRule="auto"/>
              <w:rPr>
                <w:lang w:eastAsia="en-GB"/>
              </w:rPr>
            </w:pPr>
            <w:r w:rsidRPr="00BA1B80">
              <w:rPr>
                <w:rFonts w:cs="Arial"/>
                <w:color w:val="000000"/>
              </w:rPr>
              <w:t>Sensible conclusion that reflects current practice for clinicians at time of each wound assessment.</w:t>
            </w:r>
          </w:p>
        </w:tc>
        <w:tc>
          <w:tcPr>
            <w:tcW w:w="3575" w:type="dxa"/>
          </w:tcPr>
          <w:p w14:paraId="5513EE02" w14:textId="7711DC89" w:rsidR="00DB7D79" w:rsidRPr="00BA1B80" w:rsidRDefault="00EB78B3" w:rsidP="00BA1B80">
            <w:pPr>
              <w:pStyle w:val="Paragraph"/>
              <w:spacing w:line="240" w:lineRule="auto"/>
              <w:rPr>
                <w:lang w:eastAsia="en-GB"/>
              </w:rPr>
            </w:pPr>
            <w:r w:rsidRPr="00BA1B80">
              <w:rPr>
                <w:lang w:eastAsia="en-GB"/>
              </w:rPr>
              <w:t xml:space="preserve">Thank you for your comment. </w:t>
            </w:r>
          </w:p>
        </w:tc>
      </w:tr>
      <w:tr w:rsidR="00DB7D79" w14:paraId="1EDAC349" w14:textId="77777777" w:rsidTr="00780A3F">
        <w:tc>
          <w:tcPr>
            <w:tcW w:w="1323" w:type="dxa"/>
          </w:tcPr>
          <w:p w14:paraId="7C13A85D" w14:textId="77777777" w:rsidR="00DB7D79" w:rsidRPr="00BA1B80" w:rsidRDefault="00DB7D79"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192EFD3C" w14:textId="45288267" w:rsidR="00DB7D79" w:rsidRPr="00BA1B80" w:rsidRDefault="00DB7D79"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3AB5AD9B" w14:textId="3E1F8176" w:rsidR="00DB7D79" w:rsidRPr="00BA1B80" w:rsidRDefault="00DB7D79" w:rsidP="00BA1B80">
            <w:pPr>
              <w:pStyle w:val="Paragraph"/>
              <w:spacing w:line="240" w:lineRule="auto"/>
              <w:rPr>
                <w:lang w:eastAsia="en-GB"/>
              </w:rPr>
            </w:pPr>
            <w:r w:rsidRPr="00BA1B80">
              <w:rPr>
                <w:rFonts w:cs="Arial"/>
                <w:color w:val="000000"/>
              </w:rPr>
              <w:t>3.2 Current practice</w:t>
            </w:r>
          </w:p>
        </w:tc>
        <w:tc>
          <w:tcPr>
            <w:tcW w:w="5157" w:type="dxa"/>
            <w:tcBorders>
              <w:top w:val="single" w:sz="4" w:space="0" w:color="auto"/>
              <w:left w:val="single" w:sz="4" w:space="0" w:color="auto"/>
              <w:bottom w:val="single" w:sz="4" w:space="0" w:color="auto"/>
              <w:right w:val="nil"/>
            </w:tcBorders>
            <w:shd w:val="clear" w:color="auto" w:fill="auto"/>
          </w:tcPr>
          <w:p w14:paraId="66D1DFBC" w14:textId="59B64FC0" w:rsidR="00DB7D79" w:rsidRPr="00BA1B80" w:rsidRDefault="00DB7D79" w:rsidP="00BA1B80">
            <w:pPr>
              <w:pStyle w:val="Paragraph"/>
              <w:spacing w:line="240" w:lineRule="auto"/>
              <w:rPr>
                <w:lang w:eastAsia="en-GB"/>
              </w:rPr>
            </w:pPr>
            <w:r w:rsidRPr="00BA1B80">
              <w:rPr>
                <w:rFonts w:cs="Arial"/>
                <w:color w:val="000000"/>
              </w:rPr>
              <w:t>There is no evidence to show antimicrobial resistance associated with silver. This is for a few reasons-</w:t>
            </w:r>
            <w:r w:rsidRPr="00BA1B80">
              <w:rPr>
                <w:rFonts w:cs="Arial"/>
                <w:color w:val="000000"/>
              </w:rPr>
              <w:br/>
            </w:r>
            <w:r w:rsidRPr="00BA1B80">
              <w:rPr>
                <w:rFonts w:cs="Arial"/>
                <w:color w:val="000000"/>
              </w:rPr>
              <w:br/>
              <w:t xml:space="preserve">1. Silver ions have multiple mechanisms through which they interact with bacteria. Silver can disrupt bacterial cell walls, interfere with DNA replication and inhibit enzyme function. This sort of multifaceted approach makes it much harder to bacteria to develop resistance comparted to antibiotics, which typically target only a single pathway. </w:t>
            </w:r>
            <w:r w:rsidRPr="00BA1B80">
              <w:rPr>
                <w:rFonts w:cs="Arial"/>
                <w:color w:val="000000"/>
              </w:rPr>
              <w:br/>
              <w:t xml:space="preserve">2. Bacteria primarily develop resistance </w:t>
            </w:r>
            <w:r w:rsidRPr="00BA1B80">
              <w:rPr>
                <w:rFonts w:cs="Arial"/>
                <w:color w:val="000000"/>
              </w:rPr>
              <w:lastRenderedPageBreak/>
              <w:t>through mutations or through acquiring new resistance genes. Because silver ions target so many different pathways, a bacteria would need to undergo multiple mutations simultaneously which is highly atypical.</w:t>
            </w:r>
            <w:r w:rsidRPr="00BA1B80">
              <w:rPr>
                <w:rFonts w:cs="Arial"/>
                <w:color w:val="000000"/>
              </w:rPr>
              <w:br/>
            </w:r>
            <w:r w:rsidRPr="00BA1B80">
              <w:rPr>
                <w:rFonts w:cs="Arial"/>
                <w:color w:val="000000"/>
              </w:rPr>
              <w:br/>
              <w:t xml:space="preserve">In terms of toxicity and side effects. Reported clinical literature referenced in the LSA has not shown any correlation in treatment time with increased risk for side effects, toxicity, nor delayed wound healing. Percutaneous absorption of silver is exceedingly low. Epidermal keratin and phospholipids of the epidermal barrier function provide effective barriers with exposed </w:t>
            </w:r>
            <w:proofErr w:type="spellStart"/>
            <w:r w:rsidRPr="00BA1B80">
              <w:rPr>
                <w:rFonts w:cs="Arial"/>
                <w:color w:val="000000"/>
              </w:rPr>
              <w:t>sulphdyryl</w:t>
            </w:r>
            <w:proofErr w:type="spellEnd"/>
            <w:r w:rsidRPr="00BA1B80">
              <w:rPr>
                <w:rFonts w:cs="Arial"/>
                <w:color w:val="000000"/>
              </w:rPr>
              <w:t xml:space="preserve"> groups irreversibly binding free Ag+. (Reference: Lansdown A. B. G., Physiological and toxicological changes in the skin resulting from the action and interaction of metal ions, Critical Reviews in Toxicology. (1995) 25, no. 5, 397–462, 2-s2.0-0028787292.)</w:t>
            </w:r>
            <w:r w:rsidRPr="00BA1B80">
              <w:rPr>
                <w:rFonts w:cs="Arial"/>
                <w:color w:val="000000"/>
              </w:rPr>
              <w:br/>
            </w:r>
            <w:r w:rsidRPr="00BA1B80">
              <w:rPr>
                <w:rFonts w:cs="Arial"/>
                <w:color w:val="000000"/>
              </w:rPr>
              <w:br/>
              <w:t xml:space="preserve">Literature has shown no differences of silver blood levels in patients with chronic wounds being treated with silver over 4 weeks vs control. (Reference: Karlsmark T., Agerslev R. H., Bendz S. H., Larsen J. R., Roed-Petersen J., and Andersen K. E., Clinical performance of a new silver dressing, </w:t>
            </w:r>
            <w:proofErr w:type="spellStart"/>
            <w:r w:rsidRPr="00BA1B80">
              <w:rPr>
                <w:rFonts w:cs="Arial"/>
                <w:color w:val="000000"/>
              </w:rPr>
              <w:t>Contreet</w:t>
            </w:r>
            <w:proofErr w:type="spellEnd"/>
            <w:r w:rsidRPr="00BA1B80">
              <w:rPr>
                <w:rFonts w:cs="Arial"/>
                <w:color w:val="000000"/>
              </w:rPr>
              <w:t xml:space="preserve"> Foam, for chronic exuding venous leg ulcers, Journal of </w:t>
            </w:r>
            <w:r w:rsidRPr="00BA1B80">
              <w:rPr>
                <w:rFonts w:cs="Arial"/>
                <w:color w:val="000000"/>
              </w:rPr>
              <w:lastRenderedPageBreak/>
              <w:t>Wound Care. (2003) 12, no. 9, 351–354, 2-s2.0-0642316975.)</w:t>
            </w:r>
          </w:p>
        </w:tc>
        <w:tc>
          <w:tcPr>
            <w:tcW w:w="3575" w:type="dxa"/>
          </w:tcPr>
          <w:p w14:paraId="1C8113A1" w14:textId="0D8787C6" w:rsidR="00DB7D79" w:rsidRPr="00BA1B80" w:rsidRDefault="009022B6" w:rsidP="00BA1B80">
            <w:pPr>
              <w:pStyle w:val="Paragraph"/>
              <w:spacing w:line="240" w:lineRule="auto"/>
              <w:rPr>
                <w:lang w:eastAsia="en-GB"/>
              </w:rPr>
            </w:pPr>
            <w:r w:rsidRPr="00BA1B80">
              <w:rPr>
                <w:lang w:eastAsia="en-GB"/>
              </w:rPr>
              <w:lastRenderedPageBreak/>
              <w:t xml:space="preserve">Thank you for your comment. </w:t>
            </w:r>
            <w:proofErr w:type="spellStart"/>
            <w:r w:rsidR="009C73EB" w:rsidRPr="00BA1B80">
              <w:rPr>
                <w:lang w:eastAsia="en-GB"/>
              </w:rPr>
              <w:t>Antimicrobical</w:t>
            </w:r>
            <w:proofErr w:type="spellEnd"/>
            <w:r w:rsidR="009C73EB" w:rsidRPr="00BA1B80">
              <w:rPr>
                <w:lang w:eastAsia="en-GB"/>
              </w:rPr>
              <w:t xml:space="preserve"> resistance to silver is not mentioned in guidance. If this comment is related to the total prescription time for silver in the EAG’s </w:t>
            </w:r>
            <w:proofErr w:type="gramStart"/>
            <w:r w:rsidR="009C73EB" w:rsidRPr="00BA1B80">
              <w:rPr>
                <w:lang w:eastAsia="en-GB"/>
              </w:rPr>
              <w:t>model</w:t>
            </w:r>
            <w:proofErr w:type="gramEnd"/>
            <w:r w:rsidR="009C73EB" w:rsidRPr="00BA1B80">
              <w:rPr>
                <w:lang w:eastAsia="en-GB"/>
              </w:rPr>
              <w:t xml:space="preserve"> please see response to comment </w:t>
            </w:r>
            <w:r w:rsidR="00C923EF" w:rsidRPr="00BA1B80">
              <w:rPr>
                <w:lang w:eastAsia="en-GB"/>
              </w:rPr>
              <w:t>112.</w:t>
            </w:r>
          </w:p>
        </w:tc>
      </w:tr>
      <w:tr w:rsidR="00DB7D79" w14:paraId="3B700B41" w14:textId="77777777" w:rsidTr="00780A3F">
        <w:tc>
          <w:tcPr>
            <w:tcW w:w="1323" w:type="dxa"/>
          </w:tcPr>
          <w:p w14:paraId="4982790C" w14:textId="77777777" w:rsidR="00DB7D79" w:rsidRPr="00BA1B80" w:rsidRDefault="00DB7D79"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2D6A9DAC" w14:textId="421E6852" w:rsidR="00DB7D79" w:rsidRPr="00BA1B80" w:rsidRDefault="00DB7D79" w:rsidP="00BA1B80">
            <w:pPr>
              <w:pStyle w:val="Paragraph"/>
              <w:spacing w:line="240" w:lineRule="auto"/>
              <w:rPr>
                <w:lang w:eastAsia="en-GB"/>
              </w:rPr>
            </w:pPr>
            <w:r w:rsidRPr="00BA1B80">
              <w:rPr>
                <w:rFonts w:cs="Arial"/>
                <w:color w:val="000000"/>
              </w:rPr>
              <w:t>Consultee 11</w:t>
            </w:r>
            <w:r w:rsidRPr="00BA1B80">
              <w:rPr>
                <w:rFonts w:cs="Arial"/>
                <w:color w:val="000000"/>
              </w:rPr>
              <w:br/>
            </w:r>
            <w:proofErr w:type="spellStart"/>
            <w:r w:rsidRPr="00BA1B80">
              <w:rPr>
                <w:rFonts w:cs="Arial"/>
                <w:color w:val="000000"/>
              </w:rPr>
              <w:t>Convatec</w:t>
            </w:r>
            <w:proofErr w:type="spellEnd"/>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6E2FA0EE" w14:textId="2394D706" w:rsidR="00DB7D79" w:rsidRPr="00BA1B80" w:rsidRDefault="00DB7D79" w:rsidP="00BA1B80">
            <w:pPr>
              <w:pStyle w:val="Paragraph"/>
              <w:spacing w:line="240" w:lineRule="auto"/>
              <w:rPr>
                <w:lang w:eastAsia="en-GB"/>
              </w:rPr>
            </w:pPr>
            <w:r w:rsidRPr="00BA1B80">
              <w:rPr>
                <w:rFonts w:cs="Arial"/>
                <w:color w:val="000000"/>
              </w:rPr>
              <w:t>3.2 Current practice</w:t>
            </w:r>
          </w:p>
        </w:tc>
        <w:tc>
          <w:tcPr>
            <w:tcW w:w="5157" w:type="dxa"/>
            <w:tcBorders>
              <w:top w:val="single" w:sz="4" w:space="0" w:color="auto"/>
              <w:left w:val="single" w:sz="4" w:space="0" w:color="auto"/>
              <w:bottom w:val="single" w:sz="4" w:space="0" w:color="auto"/>
              <w:right w:val="nil"/>
            </w:tcBorders>
            <w:shd w:val="clear" w:color="auto" w:fill="auto"/>
          </w:tcPr>
          <w:p w14:paraId="343DB54F" w14:textId="39F404AA" w:rsidR="00DB7D79" w:rsidRPr="00BA1B80" w:rsidRDefault="00B93437" w:rsidP="00BA1B80">
            <w:pPr>
              <w:pStyle w:val="Paragraph"/>
              <w:spacing w:line="240" w:lineRule="auto"/>
              <w:rPr>
                <w:lang w:eastAsia="en-GB"/>
              </w:rPr>
            </w:pPr>
            <w:r>
              <w:rPr>
                <w:lang w:eastAsia="en-GB"/>
              </w:rPr>
              <w:t xml:space="preserve">See appendix A for comment (comment is longer than 500 words) </w:t>
            </w:r>
          </w:p>
        </w:tc>
        <w:tc>
          <w:tcPr>
            <w:tcW w:w="3575" w:type="dxa"/>
          </w:tcPr>
          <w:p w14:paraId="3E617270" w14:textId="208F1CFB" w:rsidR="00DB7D79" w:rsidRPr="00BA1B80" w:rsidRDefault="00C923EF" w:rsidP="00BA1B80">
            <w:pPr>
              <w:pStyle w:val="Paragraph"/>
              <w:spacing w:line="240" w:lineRule="auto"/>
              <w:rPr>
                <w:lang w:eastAsia="en-GB"/>
              </w:rPr>
            </w:pPr>
            <w:r w:rsidRPr="00BA1B80">
              <w:rPr>
                <w:lang w:eastAsia="en-GB"/>
              </w:rPr>
              <w:t xml:space="preserve">Thank you for your comment. </w:t>
            </w:r>
            <w:proofErr w:type="spellStart"/>
            <w:r w:rsidRPr="00BA1B80">
              <w:rPr>
                <w:lang w:eastAsia="en-GB"/>
              </w:rPr>
              <w:t>Antimicrobical</w:t>
            </w:r>
            <w:proofErr w:type="spellEnd"/>
            <w:r w:rsidRPr="00BA1B80">
              <w:rPr>
                <w:lang w:eastAsia="en-GB"/>
              </w:rPr>
              <w:t xml:space="preserve"> resistance to silver is not mentioned in guidance. If this comment is related to the total prescription time for silver in the EAG’s </w:t>
            </w:r>
            <w:proofErr w:type="gramStart"/>
            <w:r w:rsidRPr="00BA1B80">
              <w:rPr>
                <w:lang w:eastAsia="en-GB"/>
              </w:rPr>
              <w:t>model</w:t>
            </w:r>
            <w:proofErr w:type="gramEnd"/>
            <w:r w:rsidRPr="00BA1B80">
              <w:rPr>
                <w:lang w:eastAsia="en-GB"/>
              </w:rPr>
              <w:t xml:space="preserve"> please see response to comment 112.</w:t>
            </w:r>
          </w:p>
        </w:tc>
      </w:tr>
      <w:tr w:rsidR="00DB7D79" w14:paraId="6DB9EE8B" w14:textId="77777777" w:rsidTr="00780A3F">
        <w:tc>
          <w:tcPr>
            <w:tcW w:w="1323" w:type="dxa"/>
          </w:tcPr>
          <w:p w14:paraId="546C8AEA" w14:textId="77777777" w:rsidR="00DB7D79" w:rsidRPr="00BA1B80" w:rsidRDefault="00DB7D79" w:rsidP="00BA1B80">
            <w:pPr>
              <w:pStyle w:val="Paragraph"/>
              <w:numPr>
                <w:ilvl w:val="0"/>
                <w:numId w:val="27"/>
              </w:numPr>
              <w:spacing w:line="240" w:lineRule="auto"/>
              <w:rPr>
                <w:lang w:eastAsia="en-GB"/>
              </w:rPr>
            </w:pPr>
          </w:p>
        </w:tc>
        <w:tc>
          <w:tcPr>
            <w:tcW w:w="1676" w:type="dxa"/>
            <w:tcBorders>
              <w:top w:val="single" w:sz="4" w:space="0" w:color="auto"/>
              <w:left w:val="nil"/>
              <w:bottom w:val="single" w:sz="4" w:space="0" w:color="auto"/>
              <w:right w:val="single" w:sz="4" w:space="0" w:color="auto"/>
            </w:tcBorders>
            <w:shd w:val="clear" w:color="auto" w:fill="auto"/>
          </w:tcPr>
          <w:p w14:paraId="631A05BA" w14:textId="3432AB5A" w:rsidR="00DB7D79" w:rsidRPr="00BA1B80" w:rsidRDefault="00DB7D79" w:rsidP="00BA1B80">
            <w:pPr>
              <w:pStyle w:val="Paragraph"/>
              <w:spacing w:line="240" w:lineRule="auto"/>
              <w:rPr>
                <w:lang w:eastAsia="en-GB"/>
              </w:rPr>
            </w:pPr>
            <w:r w:rsidRPr="00BA1B80">
              <w:rPr>
                <w:rFonts w:cs="Arial"/>
                <w:color w:val="000000"/>
              </w:rPr>
              <w:t>Consultee 15</w:t>
            </w:r>
            <w:r w:rsidRPr="00BA1B80">
              <w:rPr>
                <w:rFonts w:cs="Arial"/>
                <w:color w:val="000000"/>
              </w:rPr>
              <w:br/>
            </w:r>
            <w:proofErr w:type="spellStart"/>
            <w:r w:rsidRPr="00BA1B80">
              <w:rPr>
                <w:rFonts w:cs="Arial"/>
                <w:color w:val="000000"/>
              </w:rPr>
              <w:t>T.J.Smith</w:t>
            </w:r>
            <w:proofErr w:type="spellEnd"/>
            <w:r w:rsidRPr="00BA1B80">
              <w:rPr>
                <w:rFonts w:cs="Arial"/>
                <w:color w:val="000000"/>
              </w:rPr>
              <w:t xml:space="preserve"> and Nephew Ltd</w:t>
            </w:r>
          </w:p>
        </w:tc>
        <w:tc>
          <w:tcPr>
            <w:tcW w:w="2217" w:type="dxa"/>
            <w:tcBorders>
              <w:top w:val="single" w:sz="4" w:space="0" w:color="auto"/>
              <w:left w:val="single" w:sz="4" w:space="0" w:color="auto"/>
              <w:bottom w:val="single" w:sz="4" w:space="0" w:color="auto"/>
              <w:right w:val="single" w:sz="4" w:space="0" w:color="auto"/>
            </w:tcBorders>
            <w:shd w:val="clear" w:color="auto" w:fill="auto"/>
          </w:tcPr>
          <w:p w14:paraId="785A9EC9" w14:textId="16E475FD" w:rsidR="00DB7D79" w:rsidRPr="00BA1B80" w:rsidRDefault="00DB7D79" w:rsidP="00BA1B80">
            <w:pPr>
              <w:pStyle w:val="Paragraph"/>
              <w:spacing w:line="240" w:lineRule="auto"/>
              <w:rPr>
                <w:lang w:eastAsia="en-GB"/>
              </w:rPr>
            </w:pPr>
            <w:r w:rsidRPr="00BA1B80">
              <w:rPr>
                <w:rFonts w:cs="Arial"/>
                <w:color w:val="000000"/>
              </w:rPr>
              <w:t xml:space="preserve">3 </w:t>
            </w:r>
          </w:p>
        </w:tc>
        <w:tc>
          <w:tcPr>
            <w:tcW w:w="5157" w:type="dxa"/>
            <w:tcBorders>
              <w:top w:val="single" w:sz="4" w:space="0" w:color="auto"/>
              <w:left w:val="single" w:sz="4" w:space="0" w:color="auto"/>
              <w:bottom w:val="single" w:sz="4" w:space="0" w:color="auto"/>
              <w:right w:val="nil"/>
            </w:tcBorders>
            <w:shd w:val="clear" w:color="auto" w:fill="auto"/>
          </w:tcPr>
          <w:p w14:paraId="478A8CA4" w14:textId="558F19AA" w:rsidR="00DB7D79" w:rsidRPr="00BA1B80" w:rsidRDefault="00DB7D79" w:rsidP="00BA1B80">
            <w:pPr>
              <w:pStyle w:val="Paragraph"/>
              <w:spacing w:line="240" w:lineRule="auto"/>
              <w:rPr>
                <w:lang w:eastAsia="en-GB"/>
              </w:rPr>
            </w:pPr>
            <w:r w:rsidRPr="00BA1B80">
              <w:rPr>
                <w:rFonts w:cs="Arial"/>
                <w:color w:val="000000"/>
              </w:rPr>
              <w:t>At no point have the committee or the EAG considered appropriate minimum levels of antimicrobial agent available for action against the microorganisms, this is contradictory to key the principles of antimicrobial stewardship.</w:t>
            </w:r>
          </w:p>
        </w:tc>
        <w:tc>
          <w:tcPr>
            <w:tcW w:w="3575" w:type="dxa"/>
          </w:tcPr>
          <w:p w14:paraId="294240BA" w14:textId="429A53E1" w:rsidR="00DB7D79" w:rsidRPr="00BA1B80" w:rsidRDefault="00C907BD" w:rsidP="00BA1B80">
            <w:pPr>
              <w:pStyle w:val="Paragraph"/>
              <w:spacing w:line="240" w:lineRule="auto"/>
              <w:rPr>
                <w:lang w:eastAsia="en-GB"/>
              </w:rPr>
            </w:pPr>
            <w:r w:rsidRPr="00BA1B80">
              <w:rPr>
                <w:lang w:eastAsia="en-GB"/>
              </w:rPr>
              <w:t>Thank you for your comment. This late-stage assessment assumes appropriate clinical reasoning of healthcare professionals and that clinically appropriate dressings are selected for use.</w:t>
            </w:r>
          </w:p>
        </w:tc>
      </w:tr>
    </w:tbl>
    <w:p w14:paraId="576D3AB9" w14:textId="77777777" w:rsidR="00780A3F" w:rsidRDefault="00780A3F" w:rsidP="00780A3F">
      <w:pPr>
        <w:pStyle w:val="Heading1"/>
        <w:spacing w:line="240" w:lineRule="auto"/>
      </w:pPr>
      <w:r>
        <w:t>Table 27: LSA processes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5"/>
        <w:gridCol w:w="2030"/>
        <w:gridCol w:w="5268"/>
        <w:gridCol w:w="3642"/>
      </w:tblGrid>
      <w:tr w:rsidR="002414F6" w14:paraId="19536A83" w14:textId="77777777" w:rsidTr="1948D9BA">
        <w:tc>
          <w:tcPr>
            <w:tcW w:w="1323" w:type="dxa"/>
            <w:shd w:val="clear" w:color="auto" w:fill="D9D9D9" w:themeFill="background1" w:themeFillShade="D9"/>
          </w:tcPr>
          <w:p w14:paraId="70BA19DF" w14:textId="413ADC6D" w:rsidR="002414F6" w:rsidRPr="001812C3" w:rsidRDefault="002414F6" w:rsidP="001812C3">
            <w:pPr>
              <w:pStyle w:val="Paragraph"/>
              <w:spacing w:line="240" w:lineRule="auto"/>
              <w:rPr>
                <w:lang w:eastAsia="en-GB"/>
              </w:rPr>
            </w:pPr>
            <w:r w:rsidRPr="001812C3">
              <w:rPr>
                <w:b/>
                <w:bCs/>
                <w:lang w:eastAsia="en-GB"/>
              </w:rPr>
              <w:t>Comment no.</w:t>
            </w:r>
          </w:p>
        </w:tc>
        <w:tc>
          <w:tcPr>
            <w:tcW w:w="1685" w:type="dxa"/>
            <w:tcBorders>
              <w:top w:val="single" w:sz="4" w:space="0" w:color="auto"/>
              <w:left w:val="nil"/>
              <w:bottom w:val="single" w:sz="4" w:space="0" w:color="auto"/>
              <w:right w:val="single" w:sz="4" w:space="0" w:color="auto"/>
            </w:tcBorders>
            <w:shd w:val="clear" w:color="auto" w:fill="D9D9D9" w:themeFill="background1" w:themeFillShade="D9"/>
          </w:tcPr>
          <w:p w14:paraId="2E7F68C3" w14:textId="0A270603" w:rsidR="002414F6" w:rsidRPr="001812C3" w:rsidRDefault="002414F6" w:rsidP="001812C3">
            <w:pPr>
              <w:pStyle w:val="Paragraph"/>
              <w:spacing w:line="240" w:lineRule="auto"/>
              <w:rPr>
                <w:rFonts w:cs="Arial"/>
                <w:color w:val="000000"/>
              </w:rPr>
            </w:pPr>
            <w:r w:rsidRPr="001812C3">
              <w:rPr>
                <w:b/>
                <w:bCs/>
                <w:lang w:eastAsia="en-GB"/>
              </w:rPr>
              <w:t>Consultee</w:t>
            </w:r>
          </w:p>
        </w:tc>
        <w:tc>
          <w:tcPr>
            <w:tcW w:w="2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2D847" w14:textId="161E4E59" w:rsidR="002414F6" w:rsidRPr="001812C3" w:rsidRDefault="002414F6" w:rsidP="001812C3">
            <w:pPr>
              <w:pStyle w:val="Paragraph"/>
              <w:spacing w:line="240" w:lineRule="auto"/>
              <w:rPr>
                <w:rFonts w:cs="Arial"/>
                <w:color w:val="000000"/>
              </w:rPr>
            </w:pPr>
            <w:r w:rsidRPr="001812C3">
              <w:rPr>
                <w:b/>
                <w:bCs/>
                <w:lang w:eastAsia="en-GB"/>
              </w:rPr>
              <w:t>Section no.</w:t>
            </w:r>
          </w:p>
        </w:tc>
        <w:tc>
          <w:tcPr>
            <w:tcW w:w="5268" w:type="dxa"/>
            <w:tcBorders>
              <w:top w:val="single" w:sz="4" w:space="0" w:color="auto"/>
              <w:left w:val="single" w:sz="4" w:space="0" w:color="auto"/>
              <w:bottom w:val="single" w:sz="4" w:space="0" w:color="auto"/>
              <w:right w:val="nil"/>
            </w:tcBorders>
            <w:shd w:val="clear" w:color="auto" w:fill="D9D9D9" w:themeFill="background1" w:themeFillShade="D9"/>
          </w:tcPr>
          <w:p w14:paraId="61901B05" w14:textId="23B07B15" w:rsidR="002414F6" w:rsidRPr="001812C3" w:rsidRDefault="002414F6" w:rsidP="001812C3">
            <w:pPr>
              <w:pStyle w:val="Paragraph"/>
              <w:spacing w:line="240" w:lineRule="auto"/>
              <w:rPr>
                <w:rFonts w:cs="Arial"/>
                <w:color w:val="000000"/>
              </w:rPr>
            </w:pPr>
            <w:r w:rsidRPr="001812C3">
              <w:rPr>
                <w:b/>
                <w:bCs/>
                <w:lang w:eastAsia="en-GB"/>
              </w:rPr>
              <w:t>Comment</w:t>
            </w:r>
          </w:p>
        </w:tc>
        <w:tc>
          <w:tcPr>
            <w:tcW w:w="3642" w:type="dxa"/>
            <w:shd w:val="clear" w:color="auto" w:fill="D9D9D9" w:themeFill="background1" w:themeFillShade="D9"/>
          </w:tcPr>
          <w:p w14:paraId="706978FD" w14:textId="446EAACC" w:rsidR="002414F6" w:rsidRPr="001812C3" w:rsidRDefault="002414F6" w:rsidP="001812C3">
            <w:pPr>
              <w:pStyle w:val="Paragraph"/>
              <w:spacing w:line="240" w:lineRule="auto"/>
              <w:rPr>
                <w:lang w:eastAsia="en-GB"/>
              </w:rPr>
            </w:pPr>
            <w:r w:rsidRPr="001812C3">
              <w:rPr>
                <w:b/>
                <w:bCs/>
                <w:lang w:eastAsia="en-GB"/>
              </w:rPr>
              <w:t>Response</w:t>
            </w:r>
          </w:p>
        </w:tc>
      </w:tr>
      <w:tr w:rsidR="0096796B" w14:paraId="0D0EB4A0" w14:textId="77777777" w:rsidTr="1948D9BA">
        <w:tc>
          <w:tcPr>
            <w:tcW w:w="1323" w:type="dxa"/>
          </w:tcPr>
          <w:p w14:paraId="11013592" w14:textId="77777777" w:rsidR="0096796B" w:rsidRPr="001812C3" w:rsidRDefault="0096796B" w:rsidP="001812C3">
            <w:pPr>
              <w:pStyle w:val="Paragraph"/>
              <w:numPr>
                <w:ilvl w:val="0"/>
                <w:numId w:val="27"/>
              </w:numPr>
              <w:spacing w:line="240" w:lineRule="auto"/>
              <w:rPr>
                <w:lang w:eastAsia="en-GB"/>
              </w:rPr>
            </w:pPr>
          </w:p>
        </w:tc>
        <w:tc>
          <w:tcPr>
            <w:tcW w:w="1685" w:type="dxa"/>
            <w:tcBorders>
              <w:top w:val="single" w:sz="4" w:space="0" w:color="auto"/>
              <w:left w:val="nil"/>
              <w:bottom w:val="single" w:sz="4" w:space="0" w:color="auto"/>
              <w:right w:val="single" w:sz="4" w:space="0" w:color="auto"/>
            </w:tcBorders>
            <w:shd w:val="clear" w:color="auto" w:fill="auto"/>
          </w:tcPr>
          <w:p w14:paraId="7670EB3E" w14:textId="77D09C7D" w:rsidR="0096796B" w:rsidRPr="001812C3" w:rsidRDefault="0096796B" w:rsidP="001812C3">
            <w:pPr>
              <w:pStyle w:val="Paragraph"/>
              <w:spacing w:line="240" w:lineRule="auto"/>
              <w:rPr>
                <w:lang w:eastAsia="en-GB"/>
              </w:rPr>
            </w:pPr>
            <w:r w:rsidRPr="001812C3">
              <w:rPr>
                <w:rFonts w:cs="Arial"/>
                <w:color w:val="000000"/>
              </w:rPr>
              <w:t>Consultee 4</w:t>
            </w:r>
            <w:r w:rsidRPr="001812C3">
              <w:rPr>
                <w:rFonts w:cs="Arial"/>
                <w:color w:val="000000"/>
              </w:rPr>
              <w:br/>
              <w:t>Coloplast</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64FD951E" w14:textId="19105B8D" w:rsidR="0096796B" w:rsidRPr="001812C3" w:rsidRDefault="0096796B" w:rsidP="001812C3">
            <w:pPr>
              <w:pStyle w:val="Paragraph"/>
              <w:spacing w:line="240" w:lineRule="auto"/>
              <w:rPr>
                <w:lang w:eastAsia="en-GB"/>
              </w:rPr>
            </w:pPr>
            <w:r w:rsidRPr="001812C3">
              <w:rPr>
                <w:rFonts w:cs="Arial"/>
                <w:color w:val="000000"/>
              </w:rPr>
              <w:t>Not specified</w:t>
            </w:r>
          </w:p>
        </w:tc>
        <w:tc>
          <w:tcPr>
            <w:tcW w:w="5268" w:type="dxa"/>
            <w:tcBorders>
              <w:top w:val="single" w:sz="4" w:space="0" w:color="auto"/>
              <w:left w:val="single" w:sz="4" w:space="0" w:color="auto"/>
              <w:bottom w:val="single" w:sz="4" w:space="0" w:color="auto"/>
              <w:right w:val="nil"/>
            </w:tcBorders>
            <w:shd w:val="clear" w:color="auto" w:fill="auto"/>
          </w:tcPr>
          <w:p w14:paraId="6F4E99CE" w14:textId="2394F8AE" w:rsidR="0096796B" w:rsidRPr="001812C3" w:rsidRDefault="0096796B" w:rsidP="001812C3">
            <w:pPr>
              <w:pStyle w:val="Paragraph"/>
              <w:spacing w:line="240" w:lineRule="auto"/>
              <w:rPr>
                <w:lang w:eastAsia="en-GB"/>
              </w:rPr>
            </w:pPr>
            <w:r w:rsidRPr="001812C3">
              <w:rPr>
                <w:rFonts w:cs="Arial"/>
                <w:color w:val="000000"/>
              </w:rPr>
              <w:t xml:space="preserve">In addition to our comments on the text in the draft guidance, we ask NICE to explain why the recommendations have not been drafted using NICE’s standard approach used for all </w:t>
            </w:r>
            <w:r w:rsidRPr="001812C3">
              <w:rPr>
                <w:rFonts w:cs="Arial"/>
                <w:color w:val="000000"/>
              </w:rPr>
              <w:lastRenderedPageBreak/>
              <w:t xml:space="preserve">medicines and </w:t>
            </w:r>
            <w:proofErr w:type="spellStart"/>
            <w:r w:rsidRPr="001812C3">
              <w:rPr>
                <w:rFonts w:cs="Arial"/>
                <w:color w:val="000000"/>
              </w:rPr>
              <w:t>heathtech</w:t>
            </w:r>
            <w:proofErr w:type="spellEnd"/>
            <w:r w:rsidRPr="001812C3">
              <w:rPr>
                <w:rFonts w:cs="Arial"/>
                <w:color w:val="000000"/>
              </w:rPr>
              <w:t xml:space="preserve"> guidance, as described on this page:</w:t>
            </w:r>
            <w:r w:rsidRPr="001812C3">
              <w:rPr>
                <w:rFonts w:cs="Arial"/>
                <w:color w:val="000000"/>
              </w:rPr>
              <w:br/>
              <w:t>https://www.nice.org.uk/about/what-we-do/our-programmes/nice-guidance/types-of-nice-recommendation</w:t>
            </w:r>
            <w:r w:rsidRPr="001812C3">
              <w:rPr>
                <w:rFonts w:cs="Arial"/>
                <w:color w:val="000000"/>
              </w:rPr>
              <w:br/>
              <w:t xml:space="preserve">This is because, although sections 4.35 and 4.36 of the interim processes and methods for late-stage assessment (LSA) describe what specific considerations and recommendations may be included to address the LSA aims, the evidence considerations for antimicrobial dressings are comparable with topics in other guidance streams. In such cases, products are recommended for use with evidence generation – with a plan </w:t>
            </w:r>
            <w:proofErr w:type="gramStart"/>
            <w:r w:rsidRPr="001812C3">
              <w:rPr>
                <w:rFonts w:cs="Arial"/>
                <w:color w:val="000000"/>
              </w:rPr>
              <w:t>similar to</w:t>
            </w:r>
            <w:proofErr w:type="gramEnd"/>
            <w:r w:rsidRPr="001812C3">
              <w:rPr>
                <w:rFonts w:cs="Arial"/>
                <w:color w:val="000000"/>
              </w:rPr>
              <w:t xml:space="preserve"> that being advised for AMDs - but without recommending the lowest acquisition cost product. In some topics handled as early value assessments, the products evaluated have been available for longer than some of the products in this assessment and are being handled inconsistently, solely because of being included in a late-stage assessment.</w:t>
            </w:r>
          </w:p>
        </w:tc>
        <w:tc>
          <w:tcPr>
            <w:tcW w:w="3642" w:type="dxa"/>
          </w:tcPr>
          <w:p w14:paraId="021DA4CD" w14:textId="77777777" w:rsidR="007B0234" w:rsidRDefault="007B0234" w:rsidP="007B0234">
            <w:pPr>
              <w:pStyle w:val="Paragraph"/>
              <w:spacing w:line="240" w:lineRule="auto"/>
              <w:rPr>
                <w:lang w:eastAsia="en-GB"/>
              </w:rPr>
            </w:pPr>
            <w:r w:rsidRPr="366CE8BA">
              <w:rPr>
                <w:lang w:eastAsia="en-GB"/>
              </w:rPr>
              <w:lastRenderedPageBreak/>
              <w:t xml:space="preserve">Thank you for your comment. The recommendations laid out the ‘types of NICE recommendations page’ relate </w:t>
            </w:r>
            <w:r w:rsidRPr="366CE8BA">
              <w:rPr>
                <w:lang w:eastAsia="en-GB"/>
              </w:rPr>
              <w:lastRenderedPageBreak/>
              <w:t xml:space="preserve">to NICE’s existing guidance products which are made in the context of evaluating technologies for adoption by the NHS. </w:t>
            </w:r>
            <w:proofErr w:type="gramStart"/>
            <w:r w:rsidRPr="366CE8BA">
              <w:rPr>
                <w:lang w:eastAsia="en-GB"/>
              </w:rPr>
              <w:t>Late stage</w:t>
            </w:r>
            <w:proofErr w:type="gramEnd"/>
            <w:r w:rsidRPr="366CE8BA">
              <w:rPr>
                <w:lang w:eastAsia="en-GB"/>
              </w:rPr>
              <w:t xml:space="preserve"> assessment is placed at a different point in the lifecycle and examines classes of products already in widespread or established use in the NHS. This is why the recommendations to date have been drafted in line with the interim process and methods for late-stage assessment (see sections 4.35 and 4.36). This is also the reason that there may be technologies within these classes which have been available for a short period of time (even though the class of technologies is well established). There is an expectation however that these new technologies should have evidence to support their proposed benefits over existing technologies to the NHS to justify higher price variation. </w:t>
            </w:r>
          </w:p>
          <w:p w14:paraId="356F61FB" w14:textId="3766E9A1" w:rsidR="0096796B" w:rsidRPr="001812C3" w:rsidRDefault="0096796B" w:rsidP="001812C3">
            <w:pPr>
              <w:pStyle w:val="Paragraph"/>
              <w:spacing w:line="240" w:lineRule="auto"/>
              <w:rPr>
                <w:lang w:eastAsia="en-GB"/>
              </w:rPr>
            </w:pPr>
          </w:p>
        </w:tc>
      </w:tr>
      <w:tr w:rsidR="0096796B" w14:paraId="0C4B7E38" w14:textId="77777777" w:rsidTr="1948D9BA">
        <w:tc>
          <w:tcPr>
            <w:tcW w:w="1323" w:type="dxa"/>
          </w:tcPr>
          <w:p w14:paraId="08341AD2" w14:textId="77777777" w:rsidR="0096796B" w:rsidRPr="001812C3" w:rsidRDefault="0096796B" w:rsidP="001812C3">
            <w:pPr>
              <w:pStyle w:val="Paragraph"/>
              <w:numPr>
                <w:ilvl w:val="0"/>
                <w:numId w:val="27"/>
              </w:numPr>
              <w:spacing w:line="240" w:lineRule="auto"/>
              <w:rPr>
                <w:lang w:eastAsia="en-GB"/>
              </w:rPr>
            </w:pPr>
          </w:p>
        </w:tc>
        <w:tc>
          <w:tcPr>
            <w:tcW w:w="1685" w:type="dxa"/>
            <w:tcBorders>
              <w:top w:val="single" w:sz="4" w:space="0" w:color="auto"/>
              <w:left w:val="nil"/>
              <w:bottom w:val="single" w:sz="4" w:space="0" w:color="auto"/>
              <w:right w:val="single" w:sz="4" w:space="0" w:color="auto"/>
            </w:tcBorders>
            <w:shd w:val="clear" w:color="auto" w:fill="auto"/>
          </w:tcPr>
          <w:p w14:paraId="51F5A2B6" w14:textId="2514F77D" w:rsidR="0096796B" w:rsidRPr="001812C3" w:rsidRDefault="0096796B" w:rsidP="001812C3">
            <w:pPr>
              <w:pStyle w:val="Paragraph"/>
              <w:spacing w:line="240" w:lineRule="auto"/>
              <w:rPr>
                <w:lang w:eastAsia="en-GB"/>
              </w:rPr>
            </w:pPr>
            <w:r w:rsidRPr="001812C3">
              <w:rPr>
                <w:rFonts w:cs="Arial"/>
                <w:color w:val="000000"/>
              </w:rPr>
              <w:t>Consultee 4</w:t>
            </w:r>
            <w:r w:rsidRPr="001812C3">
              <w:rPr>
                <w:rFonts w:cs="Arial"/>
                <w:color w:val="000000"/>
              </w:rPr>
              <w:br/>
              <w:t>Coloplast</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576FF157" w14:textId="30674CCE" w:rsidR="0096796B" w:rsidRPr="001812C3" w:rsidRDefault="0096796B" w:rsidP="001812C3">
            <w:pPr>
              <w:pStyle w:val="Paragraph"/>
              <w:spacing w:line="240" w:lineRule="auto"/>
              <w:rPr>
                <w:lang w:eastAsia="en-GB"/>
              </w:rPr>
            </w:pPr>
            <w:r w:rsidRPr="001812C3">
              <w:rPr>
                <w:rFonts w:cs="Arial"/>
                <w:color w:val="000000"/>
              </w:rPr>
              <w:t>Not specified</w:t>
            </w:r>
          </w:p>
        </w:tc>
        <w:tc>
          <w:tcPr>
            <w:tcW w:w="5268" w:type="dxa"/>
            <w:tcBorders>
              <w:top w:val="single" w:sz="4" w:space="0" w:color="auto"/>
              <w:left w:val="single" w:sz="4" w:space="0" w:color="auto"/>
              <w:bottom w:val="single" w:sz="4" w:space="0" w:color="auto"/>
              <w:right w:val="nil"/>
            </w:tcBorders>
            <w:shd w:val="clear" w:color="auto" w:fill="auto"/>
          </w:tcPr>
          <w:p w14:paraId="7C8A6C8B" w14:textId="05FA3EE0" w:rsidR="0096796B" w:rsidRPr="001812C3" w:rsidRDefault="0096796B" w:rsidP="001812C3">
            <w:pPr>
              <w:pStyle w:val="Paragraph"/>
              <w:spacing w:line="240" w:lineRule="auto"/>
              <w:rPr>
                <w:lang w:eastAsia="en-GB"/>
              </w:rPr>
            </w:pPr>
            <w:r w:rsidRPr="001812C3">
              <w:rPr>
                <w:rFonts w:cs="Arial"/>
                <w:color w:val="000000"/>
              </w:rPr>
              <w:t xml:space="preserve">We understand that comments on the processes and methods for </w:t>
            </w:r>
            <w:proofErr w:type="gramStart"/>
            <w:r w:rsidRPr="001812C3">
              <w:rPr>
                <w:rFonts w:cs="Arial"/>
                <w:color w:val="000000"/>
              </w:rPr>
              <w:t>late stage</w:t>
            </w:r>
            <w:proofErr w:type="gramEnd"/>
            <w:r w:rsidRPr="001812C3">
              <w:rPr>
                <w:rFonts w:cs="Arial"/>
                <w:color w:val="000000"/>
              </w:rPr>
              <w:t xml:space="preserve"> assessment (LSA) are outside the scope of this consultation on draft guidance on antimicrobial dressings. However, we ask that the committee is made fully aware of stakeholders’ significant and ongoing concerns about these.</w:t>
            </w:r>
            <w:r w:rsidRPr="001812C3">
              <w:rPr>
                <w:rFonts w:cs="Arial"/>
                <w:color w:val="000000"/>
              </w:rPr>
              <w:br/>
              <w:t>We have repeatedly asked for live topics to be paused so that a robust approach can be developed as part of NICE’s lifecycle approach to evaluation, which we support. The concerns include:</w:t>
            </w:r>
            <w:r w:rsidRPr="001812C3">
              <w:rPr>
                <w:rFonts w:cs="Arial"/>
                <w:color w:val="000000"/>
              </w:rPr>
              <w:br/>
              <w:t xml:space="preserve">1) Methods: No methodological research was commissioned or published (such as from the Decision Support Unit), or any pilot work carried out (such as in NICE HTA’s Lab), before the first topic was started, or before the interim process statement was developed. This </w:t>
            </w:r>
            <w:proofErr w:type="gramStart"/>
            <w:r w:rsidRPr="001812C3">
              <w:rPr>
                <w:rFonts w:cs="Arial"/>
                <w:color w:val="000000"/>
              </w:rPr>
              <w:t>is in contrast to</w:t>
            </w:r>
            <w:proofErr w:type="gramEnd"/>
            <w:r w:rsidRPr="001812C3">
              <w:rPr>
                <w:rFonts w:cs="Arial"/>
                <w:color w:val="000000"/>
              </w:rPr>
              <w:t xml:space="preserve"> the approach used routinely for novel medicines, or for other </w:t>
            </w:r>
            <w:proofErr w:type="spellStart"/>
            <w:r w:rsidRPr="001812C3">
              <w:rPr>
                <w:rFonts w:cs="Arial"/>
                <w:color w:val="000000"/>
              </w:rPr>
              <w:t>healthtech</w:t>
            </w:r>
            <w:proofErr w:type="spellEnd"/>
            <w:r w:rsidRPr="001812C3">
              <w:rPr>
                <w:rFonts w:cs="Arial"/>
                <w:color w:val="000000"/>
              </w:rPr>
              <w:t xml:space="preserve"> streams such as early value assessment. In addition, we are not aware of the approaches adopted by NICE being used by any other HTA agency, from which learning could be drawn or shared. NICE’s response to this is that late-stage assessment is a minor extension to its </w:t>
            </w:r>
            <w:proofErr w:type="spellStart"/>
            <w:r w:rsidRPr="001812C3">
              <w:rPr>
                <w:rFonts w:cs="Arial"/>
                <w:color w:val="000000"/>
              </w:rPr>
              <w:t>healthtech</w:t>
            </w:r>
            <w:proofErr w:type="spellEnd"/>
            <w:r w:rsidRPr="001812C3">
              <w:rPr>
                <w:rFonts w:cs="Arial"/>
                <w:color w:val="000000"/>
              </w:rPr>
              <w:t xml:space="preserve"> evaluation programmes, building on 15 years of experience, and that the interim </w:t>
            </w:r>
            <w:r w:rsidRPr="001812C3">
              <w:rPr>
                <w:rFonts w:cs="Arial"/>
                <w:color w:val="000000"/>
              </w:rPr>
              <w:lastRenderedPageBreak/>
              <w:t xml:space="preserve">statement, alongside the main Health Technology Evaluations manual are sufficient and appropriate. We disagree with this, on the basis that all 8 live topics have, so far, resulted in inconclusive assessments and inconsistent application of the methods. Unresolved issues </w:t>
            </w:r>
            <w:proofErr w:type="gramStart"/>
            <w:r w:rsidRPr="001812C3">
              <w:rPr>
                <w:rFonts w:cs="Arial"/>
                <w:color w:val="000000"/>
              </w:rPr>
              <w:t>include:</w:t>
            </w:r>
            <w:proofErr w:type="gramEnd"/>
            <w:r w:rsidRPr="001812C3">
              <w:rPr>
                <w:rFonts w:cs="Arial"/>
                <w:color w:val="000000"/>
              </w:rPr>
              <w:t xml:space="preserve"> whether the feature/component-focused approach is methodologically appropriate for value determination in all product areas chosen; whether the multiple user preference approaches – which vary by topic - are robust and why these are not carried out independently by an External Assessment Group; and how the clinical and economic, and user preference, evidence is integrated in decision-making. </w:t>
            </w:r>
            <w:r w:rsidRPr="001812C3">
              <w:rPr>
                <w:rFonts w:cs="Arial"/>
                <w:color w:val="000000"/>
              </w:rPr>
              <w:br/>
              <w:t xml:space="preserve">2) Process: </w:t>
            </w:r>
            <w:proofErr w:type="gramStart"/>
            <w:r w:rsidRPr="001812C3">
              <w:rPr>
                <w:rFonts w:cs="Arial"/>
                <w:color w:val="000000"/>
              </w:rPr>
              <w:t>All of</w:t>
            </w:r>
            <w:proofErr w:type="gramEnd"/>
            <w:r w:rsidRPr="001812C3">
              <w:rPr>
                <w:rFonts w:cs="Arial"/>
                <w:color w:val="000000"/>
              </w:rPr>
              <w:t xml:space="preserve"> the above has led to project timelines which are chaotic, with multiple changes, leading to disruption for stakeholders and compromising their ability to prepare and respond to engagement or consultation opportunities. Short project timelines have also required External Assessment Groups to carry out rapid overviews, rather than systematic assessments.  NICE’s response to this is that LSA is a pilot, test-and-learn initiative. However, the rush to launch 7 live topics over 6 months during 2024 does not support this; </w:t>
            </w:r>
            <w:r w:rsidRPr="001812C3">
              <w:rPr>
                <w:rFonts w:cs="Arial"/>
                <w:color w:val="000000"/>
              </w:rPr>
              <w:lastRenderedPageBreak/>
              <w:t>there has also been little or no evidence of learning between topics.</w:t>
            </w:r>
          </w:p>
        </w:tc>
        <w:tc>
          <w:tcPr>
            <w:tcW w:w="3642" w:type="dxa"/>
          </w:tcPr>
          <w:p w14:paraId="689EBD67" w14:textId="77777777" w:rsidR="005920E9" w:rsidRDefault="005920E9" w:rsidP="005920E9">
            <w:pPr>
              <w:pStyle w:val="Paragraph"/>
              <w:spacing w:line="240" w:lineRule="auto"/>
              <w:rPr>
                <w:lang w:eastAsia="en-GB"/>
              </w:rPr>
            </w:pPr>
            <w:r w:rsidRPr="366CE8BA">
              <w:rPr>
                <w:lang w:eastAsia="en-GB"/>
              </w:rPr>
              <w:lastRenderedPageBreak/>
              <w:t xml:space="preserve">Thank you for your comment. The committee was aware of your comment as it was included in the consultation comments table that was shared with the committee. Your comment has also been noted and will be used internally as part of our </w:t>
            </w:r>
            <w:proofErr w:type="gramStart"/>
            <w:r w:rsidRPr="366CE8BA">
              <w:rPr>
                <w:lang w:eastAsia="en-GB"/>
              </w:rPr>
              <w:t>after action</w:t>
            </w:r>
            <w:proofErr w:type="gramEnd"/>
            <w:r w:rsidRPr="366CE8BA">
              <w:rPr>
                <w:lang w:eastAsia="en-GB"/>
              </w:rPr>
              <w:t xml:space="preserve"> reviews. </w:t>
            </w:r>
          </w:p>
          <w:p w14:paraId="65731DCF" w14:textId="4FA0D881" w:rsidR="0096796B" w:rsidRPr="001812C3" w:rsidRDefault="0096796B" w:rsidP="001812C3">
            <w:pPr>
              <w:pStyle w:val="Paragraph"/>
              <w:spacing w:line="240" w:lineRule="auto"/>
              <w:rPr>
                <w:lang w:eastAsia="en-GB"/>
              </w:rPr>
            </w:pPr>
          </w:p>
        </w:tc>
      </w:tr>
      <w:tr w:rsidR="0096796B" w14:paraId="78E87EF0" w14:textId="77777777" w:rsidTr="1948D9BA">
        <w:tc>
          <w:tcPr>
            <w:tcW w:w="1323" w:type="dxa"/>
          </w:tcPr>
          <w:p w14:paraId="4735F306" w14:textId="77777777" w:rsidR="0096796B" w:rsidRPr="001812C3" w:rsidRDefault="0096796B" w:rsidP="001812C3">
            <w:pPr>
              <w:pStyle w:val="Paragraph"/>
              <w:numPr>
                <w:ilvl w:val="0"/>
                <w:numId w:val="27"/>
              </w:numPr>
              <w:spacing w:line="240" w:lineRule="auto"/>
              <w:rPr>
                <w:lang w:eastAsia="en-GB"/>
              </w:rPr>
            </w:pPr>
          </w:p>
        </w:tc>
        <w:tc>
          <w:tcPr>
            <w:tcW w:w="1685" w:type="dxa"/>
            <w:tcBorders>
              <w:top w:val="single" w:sz="4" w:space="0" w:color="auto"/>
              <w:left w:val="nil"/>
              <w:bottom w:val="single" w:sz="4" w:space="0" w:color="auto"/>
              <w:right w:val="single" w:sz="4" w:space="0" w:color="auto"/>
            </w:tcBorders>
            <w:shd w:val="clear" w:color="auto" w:fill="auto"/>
          </w:tcPr>
          <w:p w14:paraId="7BB90E5C" w14:textId="6C4AC827" w:rsidR="0096796B" w:rsidRPr="001812C3" w:rsidRDefault="0096796B" w:rsidP="001812C3">
            <w:pPr>
              <w:pStyle w:val="Paragraph"/>
              <w:spacing w:line="240" w:lineRule="auto"/>
              <w:rPr>
                <w:lang w:eastAsia="en-GB"/>
              </w:rPr>
            </w:pPr>
            <w:r w:rsidRPr="001812C3">
              <w:rPr>
                <w:rFonts w:cs="Arial"/>
                <w:color w:val="000000"/>
              </w:rPr>
              <w:t>Consultee 4</w:t>
            </w:r>
            <w:r w:rsidRPr="001812C3">
              <w:rPr>
                <w:rFonts w:cs="Arial"/>
                <w:color w:val="000000"/>
              </w:rPr>
              <w:br/>
              <w:t>Coloplast</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0568CFD1" w14:textId="0BED6387" w:rsidR="0096796B" w:rsidRPr="001812C3" w:rsidRDefault="0096796B" w:rsidP="001812C3">
            <w:pPr>
              <w:pStyle w:val="Paragraph"/>
              <w:spacing w:line="240" w:lineRule="auto"/>
              <w:rPr>
                <w:lang w:eastAsia="en-GB"/>
              </w:rPr>
            </w:pPr>
            <w:r w:rsidRPr="001812C3">
              <w:rPr>
                <w:rFonts w:cs="Arial"/>
                <w:color w:val="000000"/>
              </w:rPr>
              <w:t>3.8 Key evidence is limited</w:t>
            </w:r>
          </w:p>
        </w:tc>
        <w:tc>
          <w:tcPr>
            <w:tcW w:w="5268" w:type="dxa"/>
            <w:tcBorders>
              <w:top w:val="single" w:sz="4" w:space="0" w:color="auto"/>
              <w:left w:val="single" w:sz="4" w:space="0" w:color="auto"/>
              <w:bottom w:val="single" w:sz="4" w:space="0" w:color="auto"/>
              <w:right w:val="nil"/>
            </w:tcBorders>
            <w:shd w:val="clear" w:color="auto" w:fill="auto"/>
          </w:tcPr>
          <w:p w14:paraId="20F94A16" w14:textId="2D0FE020" w:rsidR="0096796B" w:rsidRPr="001812C3" w:rsidRDefault="0096796B" w:rsidP="001812C3">
            <w:pPr>
              <w:pStyle w:val="Paragraph"/>
              <w:spacing w:line="240" w:lineRule="auto"/>
              <w:rPr>
                <w:lang w:eastAsia="en-GB"/>
              </w:rPr>
            </w:pPr>
            <w:r w:rsidRPr="001812C3">
              <w:rPr>
                <w:rFonts w:cs="Arial"/>
                <w:color w:val="000000"/>
              </w:rPr>
              <w:t xml:space="preserve">Not </w:t>
            </w:r>
            <w:proofErr w:type="gramStart"/>
            <w:r w:rsidRPr="001812C3">
              <w:rPr>
                <w:rFonts w:cs="Arial"/>
                <w:color w:val="000000"/>
              </w:rPr>
              <w:t>all of</w:t>
            </w:r>
            <w:proofErr w:type="gramEnd"/>
            <w:r w:rsidRPr="001812C3">
              <w:rPr>
                <w:rFonts w:cs="Arial"/>
                <w:color w:val="000000"/>
              </w:rPr>
              <w:t xml:space="preserve"> the relevant evidence has been considered.</w:t>
            </w:r>
            <w:r w:rsidRPr="001812C3">
              <w:rPr>
                <w:rFonts w:cs="Arial"/>
                <w:color w:val="000000"/>
              </w:rPr>
              <w:br/>
              <w:t xml:space="preserve">The EAG has defined ‘sufficient evidence’ as having identified at least one study fully meeting the decision problem for each agent. This means that no evidence was included for some sub-agents because sufficient evidence that fully met the decision problem had already been included for other sub-agents within that agent grouping. The EAG have also confirmed that ‘following the finalisation of this process, 412 records remained excluded at full text. The research effort to review all 412 records to identify evidence for additional sub-agents would be substantial and was not something that could be prioritised within the time available to complete this pragmatic review. The decision to proceed with this approach was a pragmatic one, to enable a summary of evidence at the sub-agent level to be presented to the committee, using the resources available </w:t>
            </w:r>
            <w:proofErr w:type="gramStart"/>
            <w:r w:rsidRPr="001812C3">
              <w:rPr>
                <w:rFonts w:cs="Arial"/>
                <w:color w:val="000000"/>
              </w:rPr>
              <w:t>in order to</w:t>
            </w:r>
            <w:proofErr w:type="gramEnd"/>
            <w:r w:rsidRPr="001812C3">
              <w:rPr>
                <w:rFonts w:cs="Arial"/>
                <w:color w:val="000000"/>
              </w:rPr>
              <w:t xml:space="preserve"> enable completion of the review’. We understand the rationale for the evidence identification and selection methods set out in sections 4.8 and 4.9 of the interim LSA process and methods statement but do not believe that the ‘time and </w:t>
            </w:r>
            <w:r w:rsidRPr="001812C3">
              <w:rPr>
                <w:rFonts w:cs="Arial"/>
                <w:color w:val="000000"/>
              </w:rPr>
              <w:lastRenderedPageBreak/>
              <w:t>resource available to complete the LSA’ is an appropriate justification for not reviewing this evidence when the evidence included was inconclusive.</w:t>
            </w:r>
          </w:p>
        </w:tc>
        <w:tc>
          <w:tcPr>
            <w:tcW w:w="3642" w:type="dxa"/>
          </w:tcPr>
          <w:p w14:paraId="13147069" w14:textId="77150B2A" w:rsidR="007E0748" w:rsidRPr="001812C3" w:rsidRDefault="63607D96" w:rsidP="001812C3">
            <w:pPr>
              <w:pStyle w:val="Paragraph"/>
              <w:spacing w:line="240" w:lineRule="auto"/>
              <w:rPr>
                <w:lang w:eastAsia="en-GB"/>
              </w:rPr>
            </w:pPr>
            <w:r w:rsidRPr="209F09E9">
              <w:rPr>
                <w:lang w:eastAsia="en-GB"/>
              </w:rPr>
              <w:lastRenderedPageBreak/>
              <w:t xml:space="preserve">Thank you for your comment. </w:t>
            </w:r>
            <w:r w:rsidR="1BC0E67F" w:rsidRPr="209F09E9">
              <w:rPr>
                <w:lang w:eastAsia="en-GB"/>
              </w:rPr>
              <w:t xml:space="preserve">NICE aims to produce timely and useable guidance. </w:t>
            </w:r>
            <w:r w:rsidRPr="209F09E9">
              <w:rPr>
                <w:lang w:eastAsia="en-GB"/>
              </w:rPr>
              <w:t>It is the EAG</w:t>
            </w:r>
            <w:r w:rsidR="4EFE6D53" w:rsidRPr="209F09E9">
              <w:rPr>
                <w:lang w:eastAsia="en-GB"/>
              </w:rPr>
              <w:t>’s</w:t>
            </w:r>
            <w:r w:rsidR="2CA96EAC" w:rsidRPr="209F09E9">
              <w:rPr>
                <w:lang w:eastAsia="en-GB"/>
              </w:rPr>
              <w:t xml:space="preserve"> understanding</w:t>
            </w:r>
            <w:r w:rsidRPr="209F09E9">
              <w:rPr>
                <w:lang w:eastAsia="en-GB"/>
              </w:rPr>
              <w:t xml:space="preserve"> that expending more time and resources </w:t>
            </w:r>
            <w:r w:rsidR="2CA96EAC" w:rsidRPr="209F09E9">
              <w:rPr>
                <w:lang w:eastAsia="en-GB"/>
              </w:rPr>
              <w:t>was</w:t>
            </w:r>
            <w:r w:rsidRPr="209F09E9">
              <w:rPr>
                <w:lang w:eastAsia="en-GB"/>
              </w:rPr>
              <w:t xml:space="preserve"> probably unlikely to have had an impact on the main conclusions of the LSA.</w:t>
            </w:r>
          </w:p>
          <w:p w14:paraId="12292E89" w14:textId="3FE7EF16" w:rsidR="007E0748" w:rsidRPr="001812C3" w:rsidRDefault="00DB2305" w:rsidP="001812C3">
            <w:pPr>
              <w:pStyle w:val="Paragraph"/>
              <w:spacing w:line="240" w:lineRule="auto"/>
              <w:rPr>
                <w:lang w:eastAsia="en-GB"/>
              </w:rPr>
            </w:pPr>
            <w:r w:rsidRPr="001812C3">
              <w:rPr>
                <w:lang w:eastAsia="en-GB"/>
              </w:rPr>
              <w:t xml:space="preserve">This is because </w:t>
            </w:r>
            <w:proofErr w:type="gramStart"/>
            <w:r w:rsidRPr="001812C3">
              <w:rPr>
                <w:lang w:eastAsia="en-GB"/>
              </w:rPr>
              <w:t>i</w:t>
            </w:r>
            <w:r w:rsidR="007E0748" w:rsidRPr="001812C3">
              <w:rPr>
                <w:lang w:eastAsia="en-GB"/>
              </w:rPr>
              <w:t>n order to</w:t>
            </w:r>
            <w:proofErr w:type="gramEnd"/>
            <w:r w:rsidR="007E0748" w:rsidRPr="001812C3">
              <w:rPr>
                <w:lang w:eastAsia="en-GB"/>
              </w:rPr>
              <w:t xml:space="preserve"> </w:t>
            </w:r>
            <w:r w:rsidR="00A84078" w:rsidRPr="001812C3">
              <w:rPr>
                <w:lang w:eastAsia="en-GB"/>
              </w:rPr>
              <w:t>generate</w:t>
            </w:r>
            <w:r w:rsidR="007E0748" w:rsidRPr="001812C3">
              <w:rPr>
                <w:lang w:eastAsia="en-GB"/>
              </w:rPr>
              <w:t xml:space="preserve"> more definitive conclusions, the HE model would have required data from </w:t>
            </w:r>
            <w:r w:rsidR="00817C29">
              <w:rPr>
                <w:lang w:eastAsia="en-GB"/>
              </w:rPr>
              <w:t xml:space="preserve">body of evidence comprising </w:t>
            </w:r>
            <w:r w:rsidR="007E0748" w:rsidRPr="001812C3">
              <w:rPr>
                <w:lang w:eastAsia="en-GB"/>
              </w:rPr>
              <w:t>multiple large, well-designed and comparative studies that:</w:t>
            </w:r>
          </w:p>
          <w:p w14:paraId="50EAEEB2" w14:textId="77777777" w:rsidR="007E0748" w:rsidRPr="001812C3" w:rsidRDefault="007E0748" w:rsidP="001812C3">
            <w:pPr>
              <w:pStyle w:val="Paragraph"/>
              <w:numPr>
                <w:ilvl w:val="0"/>
                <w:numId w:val="32"/>
              </w:numPr>
              <w:spacing w:line="240" w:lineRule="auto"/>
              <w:rPr>
                <w:lang w:eastAsia="en-GB"/>
              </w:rPr>
            </w:pPr>
            <w:r w:rsidRPr="001812C3">
              <w:rPr>
                <w:lang w:eastAsia="en-GB"/>
              </w:rPr>
              <w:t>Compared two or more AMD sub-agents to each other</w:t>
            </w:r>
          </w:p>
          <w:p w14:paraId="5FD413F4" w14:textId="77777777" w:rsidR="007E0748" w:rsidRPr="001812C3" w:rsidRDefault="007E0748" w:rsidP="001812C3">
            <w:pPr>
              <w:pStyle w:val="Paragraph"/>
              <w:numPr>
                <w:ilvl w:val="0"/>
                <w:numId w:val="32"/>
              </w:numPr>
              <w:spacing w:line="240" w:lineRule="auto"/>
              <w:rPr>
                <w:lang w:eastAsia="en-GB"/>
              </w:rPr>
            </w:pPr>
            <w:r w:rsidRPr="001812C3">
              <w:rPr>
                <w:lang w:eastAsia="en-GB"/>
              </w:rPr>
              <w:t>Evaluated patients with infected leg ulcers of specific ulcer types, ideally being treated in the UK</w:t>
            </w:r>
          </w:p>
          <w:p w14:paraId="660E6A0E" w14:textId="77777777" w:rsidR="007E0748" w:rsidRPr="001812C3" w:rsidRDefault="007E0748" w:rsidP="001812C3">
            <w:pPr>
              <w:pStyle w:val="Paragraph"/>
              <w:numPr>
                <w:ilvl w:val="0"/>
                <w:numId w:val="32"/>
              </w:numPr>
              <w:spacing w:line="240" w:lineRule="auto"/>
              <w:rPr>
                <w:lang w:eastAsia="en-GB"/>
              </w:rPr>
            </w:pPr>
            <w:r w:rsidRPr="001812C3">
              <w:rPr>
                <w:lang w:eastAsia="en-GB"/>
              </w:rPr>
              <w:lastRenderedPageBreak/>
              <w:t>Clearly reported key model outcomes (such as time to healing and time to infection resolution), and collected data at similar timepoints and using similar methods</w:t>
            </w:r>
          </w:p>
          <w:p w14:paraId="520782F0" w14:textId="77777777" w:rsidR="007E0748" w:rsidRPr="001812C3" w:rsidRDefault="007E0748" w:rsidP="001812C3">
            <w:pPr>
              <w:pStyle w:val="Paragraph"/>
              <w:numPr>
                <w:ilvl w:val="0"/>
                <w:numId w:val="32"/>
              </w:numPr>
              <w:spacing w:line="240" w:lineRule="auto"/>
              <w:rPr>
                <w:lang w:eastAsia="en-GB"/>
              </w:rPr>
            </w:pPr>
            <w:r w:rsidRPr="001812C3">
              <w:rPr>
                <w:lang w:eastAsia="en-GB"/>
              </w:rPr>
              <w:t>Reported statistical hypothesis testing of results.</w:t>
            </w:r>
          </w:p>
          <w:p w14:paraId="169BFA92" w14:textId="013E2C65" w:rsidR="007E0748" w:rsidRPr="001812C3" w:rsidRDefault="001720A1" w:rsidP="001812C3">
            <w:pPr>
              <w:pStyle w:val="Paragraph"/>
              <w:spacing w:line="240" w:lineRule="auto"/>
              <w:rPr>
                <w:lang w:eastAsia="en-GB"/>
              </w:rPr>
            </w:pPr>
            <w:r w:rsidRPr="001812C3">
              <w:rPr>
                <w:lang w:eastAsia="en-GB"/>
              </w:rPr>
              <w:t xml:space="preserve">The EAG </w:t>
            </w:r>
            <w:r w:rsidR="007E0748" w:rsidRPr="001812C3">
              <w:rPr>
                <w:lang w:eastAsia="en-GB"/>
              </w:rPr>
              <w:t xml:space="preserve">anticipate that </w:t>
            </w:r>
            <w:r w:rsidRPr="001812C3">
              <w:rPr>
                <w:lang w:eastAsia="en-GB"/>
              </w:rPr>
              <w:t xml:space="preserve">a large quantity of </w:t>
            </w:r>
            <w:proofErr w:type="gramStart"/>
            <w:r w:rsidRPr="001812C3">
              <w:rPr>
                <w:lang w:eastAsia="en-GB"/>
              </w:rPr>
              <w:t>high quality</w:t>
            </w:r>
            <w:proofErr w:type="gramEnd"/>
            <w:r w:rsidRPr="001812C3">
              <w:rPr>
                <w:lang w:eastAsia="en-GB"/>
              </w:rPr>
              <w:t xml:space="preserve"> </w:t>
            </w:r>
            <w:r w:rsidR="007E0748" w:rsidRPr="001812C3">
              <w:rPr>
                <w:lang w:eastAsia="en-GB"/>
              </w:rPr>
              <w:t>evidence is unlikely to be found in the 412 studies excluded at full text.</w:t>
            </w:r>
            <w:r w:rsidRPr="001812C3">
              <w:rPr>
                <w:lang w:eastAsia="en-GB"/>
              </w:rPr>
              <w:t xml:space="preserve"> This is especially true when companies </w:t>
            </w:r>
            <w:r w:rsidR="007E702B" w:rsidRPr="001812C3">
              <w:rPr>
                <w:lang w:eastAsia="en-GB"/>
              </w:rPr>
              <w:t>were able to submit references to key studies which they felt were the best evidence</w:t>
            </w:r>
            <w:r w:rsidR="00371B4F" w:rsidRPr="001812C3">
              <w:rPr>
                <w:lang w:eastAsia="en-GB"/>
              </w:rPr>
              <w:t xml:space="preserve"> to support their technology</w:t>
            </w:r>
            <w:r w:rsidR="007E702B" w:rsidRPr="001812C3">
              <w:rPr>
                <w:lang w:eastAsia="en-GB"/>
              </w:rPr>
              <w:t xml:space="preserve">. </w:t>
            </w:r>
          </w:p>
        </w:tc>
      </w:tr>
      <w:tr w:rsidR="0096796B" w14:paraId="7CD0FD7C" w14:textId="77777777" w:rsidTr="1948D9BA">
        <w:tc>
          <w:tcPr>
            <w:tcW w:w="1323" w:type="dxa"/>
          </w:tcPr>
          <w:p w14:paraId="0A5ABD78" w14:textId="77777777" w:rsidR="0096796B" w:rsidRPr="001812C3" w:rsidRDefault="0096796B" w:rsidP="001812C3">
            <w:pPr>
              <w:pStyle w:val="Paragraph"/>
              <w:numPr>
                <w:ilvl w:val="0"/>
                <w:numId w:val="27"/>
              </w:numPr>
              <w:spacing w:line="240" w:lineRule="auto"/>
              <w:rPr>
                <w:lang w:eastAsia="en-GB"/>
              </w:rPr>
            </w:pPr>
          </w:p>
        </w:tc>
        <w:tc>
          <w:tcPr>
            <w:tcW w:w="1685" w:type="dxa"/>
            <w:tcBorders>
              <w:top w:val="single" w:sz="4" w:space="0" w:color="auto"/>
              <w:left w:val="nil"/>
              <w:bottom w:val="single" w:sz="4" w:space="0" w:color="auto"/>
              <w:right w:val="single" w:sz="4" w:space="0" w:color="auto"/>
            </w:tcBorders>
            <w:shd w:val="clear" w:color="auto" w:fill="auto"/>
          </w:tcPr>
          <w:p w14:paraId="562356DF" w14:textId="5515FA4C" w:rsidR="0096796B" w:rsidRPr="001812C3" w:rsidRDefault="0096796B" w:rsidP="001812C3">
            <w:pPr>
              <w:pStyle w:val="Paragraph"/>
              <w:spacing w:line="240" w:lineRule="auto"/>
              <w:rPr>
                <w:lang w:eastAsia="en-GB"/>
              </w:rPr>
            </w:pPr>
            <w:r w:rsidRPr="001812C3">
              <w:rPr>
                <w:rFonts w:cs="Arial"/>
                <w:color w:val="000000"/>
              </w:rPr>
              <w:t>Consultee 4</w:t>
            </w:r>
            <w:r w:rsidRPr="001812C3">
              <w:rPr>
                <w:rFonts w:cs="Arial"/>
                <w:color w:val="000000"/>
              </w:rPr>
              <w:br/>
              <w:t>Coloplast</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24C87E48" w14:textId="47302B2C" w:rsidR="0096796B" w:rsidRPr="001812C3" w:rsidRDefault="0096796B" w:rsidP="001812C3">
            <w:pPr>
              <w:pStyle w:val="Paragraph"/>
              <w:spacing w:line="240" w:lineRule="auto"/>
              <w:rPr>
                <w:lang w:eastAsia="en-GB"/>
              </w:rPr>
            </w:pPr>
            <w:r w:rsidRPr="001812C3">
              <w:rPr>
                <w:rFonts w:cs="Arial"/>
                <w:color w:val="000000"/>
              </w:rPr>
              <w:t>3.8 Additional limitations of the evidence</w:t>
            </w:r>
          </w:p>
        </w:tc>
        <w:tc>
          <w:tcPr>
            <w:tcW w:w="5268" w:type="dxa"/>
            <w:tcBorders>
              <w:top w:val="single" w:sz="4" w:space="0" w:color="auto"/>
              <w:left w:val="single" w:sz="4" w:space="0" w:color="auto"/>
              <w:bottom w:val="single" w:sz="4" w:space="0" w:color="auto"/>
              <w:right w:val="nil"/>
            </w:tcBorders>
            <w:shd w:val="clear" w:color="auto" w:fill="auto"/>
          </w:tcPr>
          <w:p w14:paraId="3AA15EC2" w14:textId="1DF5109A" w:rsidR="0096796B" w:rsidRPr="001812C3" w:rsidRDefault="0096796B" w:rsidP="001812C3">
            <w:pPr>
              <w:pStyle w:val="Paragraph"/>
              <w:spacing w:line="240" w:lineRule="auto"/>
              <w:rPr>
                <w:lang w:eastAsia="en-GB"/>
              </w:rPr>
            </w:pPr>
            <w:r w:rsidRPr="001812C3">
              <w:rPr>
                <w:rFonts w:cs="Arial"/>
                <w:color w:val="000000"/>
              </w:rPr>
              <w:t xml:space="preserve">We have previously queried the rationale for the EAG broadening the study inclusion criteria to consider studies which only partly met the decision problem in terms of eligible populations. Understanding that ‘had the EAG limited evidence to studies addressing NICE’s decision problem, then there would have been </w:t>
            </w:r>
            <w:r w:rsidRPr="001812C3">
              <w:rPr>
                <w:rFonts w:cs="Arial"/>
                <w:color w:val="000000"/>
              </w:rPr>
              <w:lastRenderedPageBreak/>
              <w:t xml:space="preserve">little evidence to present to this LSA’s committee’ indicates that there should have been opportunity to pause and review the scope especially </w:t>
            </w:r>
            <w:proofErr w:type="gramStart"/>
            <w:r w:rsidRPr="001812C3">
              <w:rPr>
                <w:rFonts w:cs="Arial"/>
                <w:color w:val="000000"/>
              </w:rPr>
              <w:t>in light of</w:t>
            </w:r>
            <w:proofErr w:type="gramEnd"/>
            <w:r w:rsidRPr="001812C3">
              <w:rPr>
                <w:rFonts w:cs="Arial"/>
                <w:color w:val="000000"/>
              </w:rPr>
              <w:t xml:space="preserve"> the inconclusive nature of the final evidence presented in the report. As stated, ‘results from the model do not provide enough certainty to allow robust conclusions on the cost-effectiveness of AMDs when used to treat infected leg </w:t>
            </w:r>
            <w:proofErr w:type="gramStart"/>
            <w:r w:rsidRPr="001812C3">
              <w:rPr>
                <w:rFonts w:cs="Arial"/>
                <w:color w:val="000000"/>
              </w:rPr>
              <w:t>ulcers’</w:t>
            </w:r>
            <w:proofErr w:type="gramEnd"/>
            <w:r w:rsidRPr="001812C3">
              <w:rPr>
                <w:rFonts w:cs="Arial"/>
                <w:color w:val="000000"/>
              </w:rPr>
              <w:t>.</w:t>
            </w:r>
          </w:p>
        </w:tc>
        <w:tc>
          <w:tcPr>
            <w:tcW w:w="3642" w:type="dxa"/>
          </w:tcPr>
          <w:p w14:paraId="5BBD00B5" w14:textId="0D9F425D" w:rsidR="0096796B" w:rsidRPr="001812C3" w:rsidRDefault="003A1B87" w:rsidP="001812C3">
            <w:pPr>
              <w:pStyle w:val="Paragraph"/>
              <w:spacing w:line="240" w:lineRule="auto"/>
              <w:rPr>
                <w:lang w:eastAsia="en-GB"/>
              </w:rPr>
            </w:pPr>
            <w:r w:rsidRPr="001812C3">
              <w:rPr>
                <w:lang w:eastAsia="en-GB"/>
              </w:rPr>
              <w:lastRenderedPageBreak/>
              <w:t xml:space="preserve">Thank you for your comment. Please see response to comment </w:t>
            </w:r>
            <w:r w:rsidR="00E2254F" w:rsidRPr="001812C3">
              <w:rPr>
                <w:lang w:eastAsia="en-GB"/>
              </w:rPr>
              <w:t>13</w:t>
            </w:r>
            <w:r w:rsidR="00D712B5" w:rsidRPr="001812C3">
              <w:rPr>
                <w:lang w:eastAsia="en-GB"/>
              </w:rPr>
              <w:t>4</w:t>
            </w:r>
            <w:r w:rsidR="00E2254F" w:rsidRPr="001812C3">
              <w:rPr>
                <w:lang w:eastAsia="en-GB"/>
              </w:rPr>
              <w:t>.</w:t>
            </w:r>
          </w:p>
        </w:tc>
      </w:tr>
      <w:tr w:rsidR="0096796B" w14:paraId="03C3EF11" w14:textId="77777777" w:rsidTr="1948D9BA">
        <w:tc>
          <w:tcPr>
            <w:tcW w:w="1323" w:type="dxa"/>
          </w:tcPr>
          <w:p w14:paraId="7899872A" w14:textId="77777777" w:rsidR="0096796B" w:rsidRPr="001812C3" w:rsidRDefault="0096796B" w:rsidP="001812C3">
            <w:pPr>
              <w:pStyle w:val="Paragraph"/>
              <w:numPr>
                <w:ilvl w:val="0"/>
                <w:numId w:val="27"/>
              </w:numPr>
              <w:spacing w:line="240" w:lineRule="auto"/>
              <w:rPr>
                <w:lang w:eastAsia="en-GB"/>
              </w:rPr>
            </w:pPr>
          </w:p>
        </w:tc>
        <w:tc>
          <w:tcPr>
            <w:tcW w:w="1685" w:type="dxa"/>
            <w:tcBorders>
              <w:top w:val="single" w:sz="4" w:space="0" w:color="auto"/>
              <w:left w:val="nil"/>
              <w:bottom w:val="single" w:sz="4" w:space="0" w:color="auto"/>
              <w:right w:val="single" w:sz="4" w:space="0" w:color="auto"/>
            </w:tcBorders>
            <w:shd w:val="clear" w:color="auto" w:fill="auto"/>
          </w:tcPr>
          <w:p w14:paraId="34E33FAF" w14:textId="5D8AA0B6" w:rsidR="0096796B" w:rsidRPr="001812C3" w:rsidRDefault="0096796B" w:rsidP="001812C3">
            <w:pPr>
              <w:pStyle w:val="Paragraph"/>
              <w:spacing w:line="240" w:lineRule="auto"/>
              <w:rPr>
                <w:lang w:eastAsia="en-GB"/>
              </w:rPr>
            </w:pPr>
            <w:r w:rsidRPr="001812C3">
              <w:rPr>
                <w:rFonts w:cs="Arial"/>
                <w:color w:val="000000"/>
              </w:rPr>
              <w:t>Consultee 5</w:t>
            </w:r>
            <w:r w:rsidRPr="001812C3">
              <w:rPr>
                <w:rFonts w:cs="Arial"/>
                <w:color w:val="000000"/>
              </w:rPr>
              <w:br/>
              <w:t>Urgo Ltd</w:t>
            </w:r>
          </w:p>
        </w:tc>
        <w:tc>
          <w:tcPr>
            <w:tcW w:w="2030" w:type="dxa"/>
            <w:tcBorders>
              <w:top w:val="single" w:sz="4" w:space="0" w:color="auto"/>
              <w:left w:val="single" w:sz="4" w:space="0" w:color="auto"/>
              <w:bottom w:val="single" w:sz="4" w:space="0" w:color="auto"/>
              <w:right w:val="single" w:sz="4" w:space="0" w:color="auto"/>
            </w:tcBorders>
            <w:shd w:val="clear" w:color="auto" w:fill="auto"/>
          </w:tcPr>
          <w:p w14:paraId="0D0EE5EF" w14:textId="2A444BDF" w:rsidR="0096796B" w:rsidRPr="001812C3" w:rsidRDefault="0096796B" w:rsidP="001812C3">
            <w:pPr>
              <w:pStyle w:val="Paragraph"/>
              <w:spacing w:line="240" w:lineRule="auto"/>
              <w:rPr>
                <w:lang w:eastAsia="en-GB"/>
              </w:rPr>
            </w:pPr>
            <w:r w:rsidRPr="001812C3">
              <w:rPr>
                <w:rFonts w:cs="Arial"/>
                <w:color w:val="000000"/>
              </w:rPr>
              <w:t>3.3 Lived experience</w:t>
            </w:r>
          </w:p>
        </w:tc>
        <w:tc>
          <w:tcPr>
            <w:tcW w:w="5268" w:type="dxa"/>
            <w:tcBorders>
              <w:top w:val="single" w:sz="4" w:space="0" w:color="auto"/>
              <w:left w:val="single" w:sz="4" w:space="0" w:color="auto"/>
              <w:bottom w:val="single" w:sz="4" w:space="0" w:color="auto"/>
              <w:right w:val="nil"/>
            </w:tcBorders>
            <w:shd w:val="clear" w:color="auto" w:fill="auto"/>
          </w:tcPr>
          <w:p w14:paraId="0F97AEA2" w14:textId="191F771E" w:rsidR="0096796B" w:rsidRPr="001812C3" w:rsidRDefault="0096796B" w:rsidP="001812C3">
            <w:pPr>
              <w:pStyle w:val="Paragraph"/>
              <w:spacing w:line="240" w:lineRule="auto"/>
              <w:rPr>
                <w:lang w:eastAsia="en-GB"/>
              </w:rPr>
            </w:pPr>
            <w:r w:rsidRPr="001812C3">
              <w:rPr>
                <w:rFonts w:cs="Arial"/>
                <w:color w:val="000000"/>
              </w:rPr>
              <w:t>Patient Survey</w:t>
            </w:r>
            <w:r w:rsidRPr="001812C3">
              <w:rPr>
                <w:rFonts w:cs="Arial"/>
                <w:color w:val="000000"/>
              </w:rPr>
              <w:br/>
              <w:t xml:space="preserve">19 people responded. </w:t>
            </w:r>
            <w:r w:rsidRPr="001812C3">
              <w:rPr>
                <w:rFonts w:cs="Arial"/>
                <w:color w:val="000000"/>
              </w:rPr>
              <w:br/>
              <w:t>This is a very low respondent rate.</w:t>
            </w:r>
            <w:r w:rsidRPr="001812C3">
              <w:rPr>
                <w:rFonts w:cs="Arial"/>
                <w:color w:val="000000"/>
              </w:rPr>
              <w:br/>
              <w:t>How was it advertised?</w:t>
            </w:r>
            <w:r w:rsidRPr="001812C3">
              <w:rPr>
                <w:rFonts w:cs="Arial"/>
                <w:color w:val="000000"/>
              </w:rPr>
              <w:br/>
              <w:t>How was this survey communicated to the public?</w:t>
            </w:r>
            <w:r w:rsidRPr="001812C3">
              <w:rPr>
                <w:rFonts w:cs="Arial"/>
                <w:color w:val="000000"/>
              </w:rPr>
              <w:br/>
              <w:t>Was the survey sent in a variety of methods to ensure equality of opportunity to respond?</w:t>
            </w:r>
            <w:r w:rsidRPr="001812C3">
              <w:rPr>
                <w:rFonts w:cs="Arial"/>
                <w:color w:val="000000"/>
              </w:rPr>
              <w:br/>
              <w:t>How could you enable more participation by engaging with patient groups?</w:t>
            </w:r>
            <w:r w:rsidRPr="001812C3">
              <w:rPr>
                <w:rFonts w:cs="Arial"/>
                <w:color w:val="000000"/>
              </w:rPr>
              <w:br/>
              <w:t>Is the method of survey (online, postal, braille, language) adapted to ensure equitable representation?</w:t>
            </w:r>
          </w:p>
        </w:tc>
        <w:tc>
          <w:tcPr>
            <w:tcW w:w="3642" w:type="dxa"/>
          </w:tcPr>
          <w:p w14:paraId="49134827" w14:textId="1B106828" w:rsidR="00A63388" w:rsidRPr="001812C3" w:rsidRDefault="3B6E9480">
            <w:pPr>
              <w:pStyle w:val="Paragraph"/>
              <w:spacing w:line="240" w:lineRule="auto"/>
              <w:rPr>
                <w:lang w:eastAsia="en-GB"/>
              </w:rPr>
            </w:pPr>
            <w:r w:rsidRPr="1948D9BA">
              <w:rPr>
                <w:lang w:eastAsia="en-GB"/>
              </w:rPr>
              <w:t xml:space="preserve">Thank you for your comment. The patient survey was </w:t>
            </w:r>
            <w:r w:rsidR="391BF4FD" w:rsidRPr="1948D9BA">
              <w:rPr>
                <w:lang w:eastAsia="en-GB"/>
              </w:rPr>
              <w:t xml:space="preserve">organised by </w:t>
            </w:r>
            <w:r w:rsidR="724A0ECE" w:rsidRPr="1948D9BA">
              <w:rPr>
                <w:lang w:eastAsia="en-GB"/>
              </w:rPr>
              <w:t>NICE’s</w:t>
            </w:r>
            <w:r w:rsidR="391BF4FD" w:rsidRPr="1948D9BA">
              <w:rPr>
                <w:lang w:eastAsia="en-GB"/>
              </w:rPr>
              <w:t xml:space="preserve"> </w:t>
            </w:r>
            <w:r w:rsidR="66DF9837" w:rsidRPr="1948D9BA">
              <w:rPr>
                <w:lang w:eastAsia="en-GB"/>
              </w:rPr>
              <w:t xml:space="preserve">people </w:t>
            </w:r>
            <w:r w:rsidR="401DA657" w:rsidRPr="1948D9BA">
              <w:rPr>
                <w:lang w:eastAsia="en-GB"/>
              </w:rPr>
              <w:t xml:space="preserve">and </w:t>
            </w:r>
            <w:proofErr w:type="gramStart"/>
            <w:r w:rsidR="66DF9837" w:rsidRPr="1948D9BA">
              <w:rPr>
                <w:lang w:eastAsia="en-GB"/>
              </w:rPr>
              <w:t>communities</w:t>
            </w:r>
            <w:proofErr w:type="gramEnd"/>
            <w:r w:rsidR="401DA657" w:rsidRPr="1948D9BA">
              <w:rPr>
                <w:lang w:eastAsia="en-GB"/>
              </w:rPr>
              <w:t xml:space="preserve"> team. It was promoted on their social media X</w:t>
            </w:r>
            <w:r w:rsidR="4FA9498A" w:rsidRPr="1948D9BA">
              <w:rPr>
                <w:lang w:eastAsia="en-GB"/>
              </w:rPr>
              <w:t xml:space="preserve"> profile</w:t>
            </w:r>
            <w:r w:rsidR="401DA657" w:rsidRPr="1948D9BA">
              <w:rPr>
                <w:lang w:eastAsia="en-GB"/>
              </w:rPr>
              <w:t>, and by the Lindsay Leg Club Foundation on their X profile</w:t>
            </w:r>
            <w:r w:rsidR="028DDCB2" w:rsidRPr="1948D9BA">
              <w:rPr>
                <w:lang w:eastAsia="en-GB"/>
              </w:rPr>
              <w:t xml:space="preserve"> and their Facebook page.</w:t>
            </w:r>
            <w:r w:rsidR="2D79E354" w:rsidRPr="1948D9BA">
              <w:rPr>
                <w:lang w:eastAsia="en-GB"/>
              </w:rPr>
              <w:t xml:space="preserve"> </w:t>
            </w:r>
            <w:r w:rsidR="5520B6F3" w:rsidRPr="1948D9BA">
              <w:rPr>
                <w:lang w:eastAsia="en-GB"/>
              </w:rPr>
              <w:t xml:space="preserve">The Lindsay Leg Club Foundation is the largest UK patient representative organisation for </w:t>
            </w:r>
            <w:r w:rsidR="719D8657" w:rsidRPr="1948D9BA">
              <w:rPr>
                <w:lang w:eastAsia="en-GB"/>
              </w:rPr>
              <w:t xml:space="preserve">people with lower limb and leg ulcer related conditions. </w:t>
            </w:r>
            <w:r w:rsidR="2D79E354" w:rsidRPr="1948D9BA">
              <w:rPr>
                <w:lang w:eastAsia="en-GB"/>
              </w:rPr>
              <w:t xml:space="preserve">The survey was also shared with </w:t>
            </w:r>
            <w:r w:rsidR="719D8657" w:rsidRPr="1948D9BA">
              <w:rPr>
                <w:lang w:eastAsia="en-GB"/>
              </w:rPr>
              <w:t>specialist committee members</w:t>
            </w:r>
            <w:r w:rsidR="6BEFBB3F" w:rsidRPr="1948D9BA">
              <w:rPr>
                <w:lang w:eastAsia="en-GB"/>
              </w:rPr>
              <w:t xml:space="preserve"> for them to share with their patients</w:t>
            </w:r>
            <w:r w:rsidR="719D8657" w:rsidRPr="1948D9BA">
              <w:rPr>
                <w:lang w:eastAsia="en-GB"/>
              </w:rPr>
              <w:t xml:space="preserve">. </w:t>
            </w:r>
            <w:r w:rsidR="028DDCB2" w:rsidRPr="1948D9BA">
              <w:rPr>
                <w:lang w:eastAsia="en-GB"/>
              </w:rPr>
              <w:t xml:space="preserve">The survey was checked for accessibility. There was no </w:t>
            </w:r>
            <w:r w:rsidR="76B36C3B" w:rsidRPr="1948D9BA">
              <w:rPr>
                <w:lang w:eastAsia="en-GB"/>
              </w:rPr>
              <w:lastRenderedPageBreak/>
              <w:t xml:space="preserve">option for postal or braille versions of the survey. </w:t>
            </w:r>
          </w:p>
        </w:tc>
      </w:tr>
    </w:tbl>
    <w:p w14:paraId="79E6423E" w14:textId="77777777" w:rsidR="00A7780D" w:rsidRDefault="00A7780D" w:rsidP="00A7780D">
      <w:pPr>
        <w:pStyle w:val="Heading1"/>
        <w:spacing w:line="240" w:lineRule="auto"/>
      </w:pPr>
      <w:r>
        <w:lastRenderedPageBreak/>
        <w:t>Table 28: user preference assessment</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4"/>
        <w:gridCol w:w="2124"/>
        <w:gridCol w:w="5189"/>
        <w:gridCol w:w="3628"/>
      </w:tblGrid>
      <w:tr w:rsidR="002414F6" w14:paraId="786B0CF9" w14:textId="77777777" w:rsidTr="209F09E9">
        <w:tc>
          <w:tcPr>
            <w:tcW w:w="1323" w:type="dxa"/>
            <w:shd w:val="clear" w:color="auto" w:fill="D9D9D9" w:themeFill="background1" w:themeFillShade="D9"/>
          </w:tcPr>
          <w:p w14:paraId="7B4EBBF3" w14:textId="673789EB" w:rsidR="002414F6" w:rsidRPr="00EC768F" w:rsidRDefault="002414F6" w:rsidP="00EC768F">
            <w:pPr>
              <w:pStyle w:val="Paragraph"/>
              <w:spacing w:line="240" w:lineRule="auto"/>
              <w:rPr>
                <w:lang w:eastAsia="en-GB"/>
              </w:rPr>
            </w:pPr>
            <w:r w:rsidRPr="00EC768F">
              <w:rPr>
                <w:b/>
                <w:bCs/>
                <w:lang w:eastAsia="en-GB"/>
              </w:rPr>
              <w:t>Comment no.</w:t>
            </w:r>
          </w:p>
        </w:tc>
        <w:tc>
          <w:tcPr>
            <w:tcW w:w="1684" w:type="dxa"/>
            <w:tcBorders>
              <w:top w:val="single" w:sz="4" w:space="0" w:color="auto"/>
              <w:left w:val="nil"/>
              <w:bottom w:val="single" w:sz="4" w:space="0" w:color="auto"/>
              <w:right w:val="single" w:sz="4" w:space="0" w:color="auto"/>
            </w:tcBorders>
            <w:shd w:val="clear" w:color="auto" w:fill="D9D9D9" w:themeFill="background1" w:themeFillShade="D9"/>
          </w:tcPr>
          <w:p w14:paraId="168D46FA" w14:textId="58B2E113" w:rsidR="002414F6" w:rsidRPr="00EC768F" w:rsidRDefault="002414F6" w:rsidP="00EC768F">
            <w:pPr>
              <w:pStyle w:val="Paragraph"/>
              <w:spacing w:line="240" w:lineRule="auto"/>
              <w:rPr>
                <w:rFonts w:cs="Arial"/>
                <w:color w:val="000000"/>
              </w:rPr>
            </w:pPr>
            <w:r w:rsidRPr="00EC768F">
              <w:rPr>
                <w:b/>
                <w:bCs/>
                <w:lang w:eastAsia="en-GB"/>
              </w:rPr>
              <w:t>Consultee</w:t>
            </w:r>
          </w:p>
        </w:tc>
        <w:tc>
          <w:tcPr>
            <w:tcW w:w="21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8954D" w14:textId="61717489" w:rsidR="002414F6" w:rsidRPr="00EC768F" w:rsidRDefault="002414F6" w:rsidP="00EC768F">
            <w:pPr>
              <w:pStyle w:val="Paragraph"/>
              <w:spacing w:line="240" w:lineRule="auto"/>
              <w:rPr>
                <w:rFonts w:cs="Arial"/>
                <w:color w:val="000000"/>
              </w:rPr>
            </w:pPr>
            <w:r w:rsidRPr="00EC768F">
              <w:rPr>
                <w:b/>
                <w:bCs/>
                <w:lang w:eastAsia="en-GB"/>
              </w:rPr>
              <w:t>Section no.</w:t>
            </w:r>
          </w:p>
        </w:tc>
        <w:tc>
          <w:tcPr>
            <w:tcW w:w="5189" w:type="dxa"/>
            <w:tcBorders>
              <w:top w:val="single" w:sz="4" w:space="0" w:color="auto"/>
              <w:left w:val="single" w:sz="4" w:space="0" w:color="auto"/>
              <w:bottom w:val="single" w:sz="4" w:space="0" w:color="auto"/>
              <w:right w:val="nil"/>
            </w:tcBorders>
            <w:shd w:val="clear" w:color="auto" w:fill="D9D9D9" w:themeFill="background1" w:themeFillShade="D9"/>
          </w:tcPr>
          <w:p w14:paraId="29B47275" w14:textId="5890956B" w:rsidR="002414F6" w:rsidRPr="00EC768F" w:rsidRDefault="002414F6" w:rsidP="00EC768F">
            <w:pPr>
              <w:pStyle w:val="Paragraph"/>
              <w:spacing w:line="240" w:lineRule="auto"/>
              <w:rPr>
                <w:rFonts w:cs="Arial"/>
                <w:color w:val="000000"/>
              </w:rPr>
            </w:pPr>
            <w:r w:rsidRPr="00EC768F">
              <w:rPr>
                <w:b/>
                <w:bCs/>
                <w:lang w:eastAsia="en-GB"/>
              </w:rPr>
              <w:t>Comment</w:t>
            </w:r>
          </w:p>
        </w:tc>
        <w:tc>
          <w:tcPr>
            <w:tcW w:w="3628" w:type="dxa"/>
            <w:shd w:val="clear" w:color="auto" w:fill="D9D9D9" w:themeFill="background1" w:themeFillShade="D9"/>
          </w:tcPr>
          <w:p w14:paraId="0A97B0EC" w14:textId="3DC1080E" w:rsidR="002414F6" w:rsidRPr="00EC768F" w:rsidRDefault="002414F6" w:rsidP="00EC768F">
            <w:pPr>
              <w:pStyle w:val="Paragraph"/>
              <w:spacing w:line="240" w:lineRule="auto"/>
              <w:rPr>
                <w:lang w:eastAsia="en-GB"/>
              </w:rPr>
            </w:pPr>
            <w:r w:rsidRPr="00EC768F">
              <w:rPr>
                <w:b/>
                <w:bCs/>
                <w:lang w:eastAsia="en-GB"/>
              </w:rPr>
              <w:t>Response</w:t>
            </w:r>
          </w:p>
        </w:tc>
      </w:tr>
      <w:tr w:rsidR="00B8609B" w14:paraId="1FE5DDD8" w14:textId="77777777" w:rsidTr="209F09E9">
        <w:tc>
          <w:tcPr>
            <w:tcW w:w="1323" w:type="dxa"/>
          </w:tcPr>
          <w:p w14:paraId="0EB70C10"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1F566DB9" w14:textId="2875CAED" w:rsidR="00B8609B" w:rsidRPr="00EC768F" w:rsidRDefault="00B8609B" w:rsidP="00EC768F">
            <w:pPr>
              <w:pStyle w:val="Paragraph"/>
              <w:spacing w:line="240" w:lineRule="auto"/>
              <w:rPr>
                <w:lang w:eastAsia="en-GB"/>
              </w:rPr>
            </w:pPr>
            <w:r w:rsidRPr="00EC768F">
              <w:rPr>
                <w:rFonts w:cs="Arial"/>
                <w:color w:val="000000"/>
              </w:rPr>
              <w:t>Consultee 4</w:t>
            </w:r>
            <w:r w:rsidRPr="00EC768F">
              <w:rPr>
                <w:rFonts w:cs="Arial"/>
                <w:color w:val="000000"/>
              </w:rPr>
              <w:br/>
              <w:t>Coloplast</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1BC169E" w14:textId="49F6B9A4" w:rsidR="00B8609B" w:rsidRPr="00EC768F" w:rsidRDefault="00B8609B" w:rsidP="00EC768F">
            <w:pPr>
              <w:pStyle w:val="Paragraph"/>
              <w:spacing w:line="240" w:lineRule="auto"/>
              <w:rPr>
                <w:lang w:eastAsia="en-GB"/>
              </w:rPr>
            </w:pPr>
            <w:r w:rsidRPr="00EC768F">
              <w:rPr>
                <w:rFonts w:cs="Arial"/>
                <w:color w:val="000000"/>
              </w:rPr>
              <w:t>3.6 Healthcare professional preferences</w:t>
            </w:r>
          </w:p>
        </w:tc>
        <w:tc>
          <w:tcPr>
            <w:tcW w:w="5189" w:type="dxa"/>
            <w:tcBorders>
              <w:top w:val="single" w:sz="4" w:space="0" w:color="auto"/>
              <w:left w:val="single" w:sz="4" w:space="0" w:color="auto"/>
              <w:bottom w:val="single" w:sz="4" w:space="0" w:color="auto"/>
              <w:right w:val="nil"/>
            </w:tcBorders>
            <w:shd w:val="clear" w:color="auto" w:fill="auto"/>
          </w:tcPr>
          <w:p w14:paraId="37BC7F05" w14:textId="193CB6BA" w:rsidR="00B8609B" w:rsidRPr="00EC768F" w:rsidRDefault="00B8609B" w:rsidP="00EC768F">
            <w:pPr>
              <w:pStyle w:val="Paragraph"/>
              <w:spacing w:line="240" w:lineRule="auto"/>
              <w:rPr>
                <w:lang w:eastAsia="en-GB"/>
              </w:rPr>
            </w:pPr>
            <w:r w:rsidRPr="00EC768F">
              <w:rPr>
                <w:rFonts w:cs="Arial"/>
                <w:color w:val="000000"/>
              </w:rPr>
              <w:t xml:space="preserve">Conformability is described as ‘a criteria that is not a specific feature of individual branded dressings or antimicrobial agents but generic and related to general dressing performance’. Without specificity regarding what is meant by conformability in the report i.e. to the body or to the wound bed then this statement is potentially factually inaccurate. As submitted with our RFI, wound bed conformability is a unique feature of the </w:t>
            </w:r>
            <w:proofErr w:type="spellStart"/>
            <w:r w:rsidRPr="00EC768F">
              <w:rPr>
                <w:rFonts w:cs="Arial"/>
                <w:color w:val="000000"/>
              </w:rPr>
              <w:t>Biatain</w:t>
            </w:r>
            <w:proofErr w:type="spellEnd"/>
            <w:r w:rsidRPr="00EC768F">
              <w:rPr>
                <w:rFonts w:cs="Arial"/>
                <w:color w:val="000000"/>
              </w:rPr>
              <w:t xml:space="preserve"> Ag range of foam products. Can NICE please confirm what is meant by conformability. This will also be relevant to define in the context of future evidence generation.</w:t>
            </w:r>
          </w:p>
        </w:tc>
        <w:tc>
          <w:tcPr>
            <w:tcW w:w="3628" w:type="dxa"/>
          </w:tcPr>
          <w:p w14:paraId="5561B191" w14:textId="7DC55232" w:rsidR="00B8609B" w:rsidRPr="00EC768F" w:rsidRDefault="00A33366" w:rsidP="00EC768F">
            <w:pPr>
              <w:pStyle w:val="Paragraph"/>
              <w:spacing w:line="240" w:lineRule="auto"/>
              <w:rPr>
                <w:lang w:eastAsia="en-GB"/>
              </w:rPr>
            </w:pPr>
            <w:r w:rsidRPr="00EC768F">
              <w:rPr>
                <w:lang w:eastAsia="en-GB"/>
              </w:rPr>
              <w:t xml:space="preserve">Thank you for your comment. Conformability is defined in the user preference report as </w:t>
            </w:r>
            <w:r w:rsidR="00373925" w:rsidRPr="00EC768F">
              <w:rPr>
                <w:lang w:eastAsia="en-GB"/>
              </w:rPr>
              <w:t>‘</w:t>
            </w:r>
            <w:r w:rsidR="009A3272" w:rsidRPr="00EC768F">
              <w:rPr>
                <w:lang w:eastAsia="en-GB"/>
              </w:rPr>
              <w:t>How conformable is the dressing material to the anatomical landscape; stays fixed to site after it has been placed there; comfort and conformability whilst wearing’. This has been added to the guidance</w:t>
            </w:r>
            <w:r w:rsidR="00751AC9" w:rsidRPr="00EC768F">
              <w:rPr>
                <w:lang w:eastAsia="en-GB"/>
              </w:rPr>
              <w:t xml:space="preserve"> in section </w:t>
            </w:r>
            <w:r w:rsidR="00A43A02" w:rsidRPr="00EC768F">
              <w:rPr>
                <w:lang w:eastAsia="en-GB"/>
              </w:rPr>
              <w:t>3.5</w:t>
            </w:r>
            <w:r w:rsidR="009A3272" w:rsidRPr="00EC768F">
              <w:rPr>
                <w:lang w:eastAsia="en-GB"/>
              </w:rPr>
              <w:t xml:space="preserve">. </w:t>
            </w:r>
          </w:p>
        </w:tc>
      </w:tr>
      <w:tr w:rsidR="00B8609B" w14:paraId="5B22464F" w14:textId="77777777" w:rsidTr="209F09E9">
        <w:tc>
          <w:tcPr>
            <w:tcW w:w="1323" w:type="dxa"/>
          </w:tcPr>
          <w:p w14:paraId="507C7CF6"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52D2CCDF" w14:textId="493AB17F"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C0A693D" w14:textId="6BB82A41" w:rsidR="00B8609B" w:rsidRPr="00EC768F" w:rsidRDefault="00B8609B" w:rsidP="00EC768F">
            <w:pPr>
              <w:pStyle w:val="Paragraph"/>
              <w:spacing w:line="240" w:lineRule="auto"/>
              <w:rPr>
                <w:lang w:eastAsia="en-GB"/>
              </w:rPr>
            </w:pPr>
            <w:r w:rsidRPr="00EC768F">
              <w:rPr>
                <w:rFonts w:cs="Arial"/>
                <w:color w:val="000000"/>
              </w:rPr>
              <w:t>1.3 Why the committee made these recommendations</w:t>
            </w:r>
          </w:p>
        </w:tc>
        <w:tc>
          <w:tcPr>
            <w:tcW w:w="5189" w:type="dxa"/>
            <w:tcBorders>
              <w:top w:val="single" w:sz="4" w:space="0" w:color="auto"/>
              <w:left w:val="single" w:sz="4" w:space="0" w:color="auto"/>
              <w:bottom w:val="single" w:sz="4" w:space="0" w:color="auto"/>
              <w:right w:val="nil"/>
            </w:tcBorders>
            <w:shd w:val="clear" w:color="auto" w:fill="auto"/>
          </w:tcPr>
          <w:p w14:paraId="36744E62" w14:textId="1339E6A5" w:rsidR="00B8609B" w:rsidRPr="00EC768F" w:rsidRDefault="00B8609B" w:rsidP="00EC768F">
            <w:pPr>
              <w:pStyle w:val="Paragraph"/>
              <w:spacing w:line="240" w:lineRule="auto"/>
              <w:rPr>
                <w:lang w:eastAsia="en-GB"/>
              </w:rPr>
            </w:pPr>
            <w:r w:rsidRPr="00EC768F">
              <w:rPr>
                <w:rFonts w:cs="Arial"/>
                <w:color w:val="000000"/>
              </w:rPr>
              <w:t xml:space="preserve">‘’It is possible that the small sample of healthcare professionals who volunteered to take part in the user preference assessment are not fully representative of the wider population of people who choose which antimicrobial dressings to use for infected leg </w:t>
            </w:r>
            <w:r w:rsidRPr="00EC768F">
              <w:rPr>
                <w:rFonts w:cs="Arial"/>
                <w:color w:val="000000"/>
              </w:rPr>
              <w:lastRenderedPageBreak/>
              <w:t>ulcers’’. User preferences, Limitations, p. 64 - MTAC</w:t>
            </w:r>
            <w:r w:rsidRPr="00EC768F">
              <w:rPr>
                <w:rFonts w:cs="Arial"/>
                <w:color w:val="000000"/>
              </w:rPr>
              <w:br/>
              <w:t xml:space="preserve">With only 15 respondents to the survey, which equates to &lt;0.097% of registered nurses in UK, this sample cannot be considered representative. </w:t>
            </w:r>
            <w:r w:rsidRPr="00EC768F">
              <w:rPr>
                <w:rFonts w:cs="Arial"/>
                <w:color w:val="000000"/>
              </w:rPr>
              <w:br/>
              <w:t>We recommend that NICE include a statement confirming that the sample included is not representative rather than ‘are not fully represented’’.</w:t>
            </w:r>
          </w:p>
        </w:tc>
        <w:tc>
          <w:tcPr>
            <w:tcW w:w="3628" w:type="dxa"/>
          </w:tcPr>
          <w:p w14:paraId="57E37CBA" w14:textId="77777777" w:rsidR="00571334" w:rsidRDefault="3978D51A" w:rsidP="00571334">
            <w:pPr>
              <w:pStyle w:val="Paragraph"/>
              <w:spacing w:line="240" w:lineRule="auto"/>
              <w:rPr>
                <w:lang w:eastAsia="en-GB"/>
              </w:rPr>
            </w:pPr>
            <w:r w:rsidRPr="209F09E9">
              <w:rPr>
                <w:lang w:eastAsia="en-GB"/>
              </w:rPr>
              <w:lastRenderedPageBreak/>
              <w:t xml:space="preserve">Thank you for your comment. </w:t>
            </w:r>
            <w:r w:rsidR="724296E7" w:rsidRPr="209F09E9">
              <w:rPr>
                <w:lang w:eastAsia="en-GB"/>
              </w:rPr>
              <w:t>The user preference report already contains a list of limitations including that the sample may not be representative.</w:t>
            </w:r>
            <w:r w:rsidR="00571334">
              <w:rPr>
                <w:lang w:eastAsia="en-GB"/>
              </w:rPr>
              <w:t xml:space="preserve"> T</w:t>
            </w:r>
            <w:r w:rsidR="00E53413">
              <w:rPr>
                <w:lang w:eastAsia="en-GB"/>
              </w:rPr>
              <w:t xml:space="preserve">he user </w:t>
            </w:r>
            <w:r w:rsidR="00E53413">
              <w:rPr>
                <w:lang w:eastAsia="en-GB"/>
              </w:rPr>
              <w:lastRenderedPageBreak/>
              <w:t xml:space="preserve">preference report was part of the documents included in the </w:t>
            </w:r>
            <w:r w:rsidR="001F2D58">
              <w:rPr>
                <w:lang w:eastAsia="en-GB"/>
              </w:rPr>
              <w:t xml:space="preserve">consultation process. Three </w:t>
            </w:r>
            <w:r w:rsidR="00AB1F86">
              <w:rPr>
                <w:lang w:eastAsia="en-GB"/>
              </w:rPr>
              <w:t>additional healthcare professionals</w:t>
            </w:r>
            <w:r w:rsidR="001F2D58">
              <w:rPr>
                <w:lang w:eastAsia="en-GB"/>
              </w:rPr>
              <w:t xml:space="preserve"> who took part in the public consultation </w:t>
            </w:r>
            <w:r w:rsidR="00BC5D59">
              <w:rPr>
                <w:lang w:eastAsia="en-GB"/>
              </w:rPr>
              <w:t xml:space="preserve">did not </w:t>
            </w:r>
            <w:r w:rsidR="00AB1F86">
              <w:rPr>
                <w:lang w:eastAsia="en-GB"/>
              </w:rPr>
              <w:t>mention any disagreement with the views reported in the user preference assessment.</w:t>
            </w:r>
          </w:p>
          <w:p w14:paraId="26EFDDF2" w14:textId="65466026" w:rsidR="00127072" w:rsidRPr="00EC768F" w:rsidRDefault="008274ED" w:rsidP="00571334">
            <w:pPr>
              <w:pStyle w:val="Paragraph"/>
              <w:spacing w:line="240" w:lineRule="auto"/>
              <w:rPr>
                <w:lang w:eastAsia="en-GB"/>
              </w:rPr>
            </w:pPr>
            <w:r w:rsidRPr="00EC768F">
              <w:rPr>
                <w:lang w:eastAsia="en-GB"/>
              </w:rPr>
              <w:t>The user preference assessment is a formal way to collate valuable expert insight into the technologies being evaluated.</w:t>
            </w:r>
            <w:r>
              <w:rPr>
                <w:lang w:eastAsia="en-GB"/>
              </w:rPr>
              <w:t xml:space="preserve"> </w:t>
            </w:r>
            <w:r w:rsidR="00195038" w:rsidRPr="00EC768F">
              <w:rPr>
                <w:lang w:eastAsia="en-GB"/>
              </w:rPr>
              <w:t>T</w:t>
            </w:r>
            <w:r w:rsidR="00127072" w:rsidRPr="00EC768F">
              <w:rPr>
                <w:lang w:eastAsia="en-GB"/>
              </w:rPr>
              <w:t>he user preference assessment is not intended to supersede the outcome from the clinical and economical evaluation. It is intended to compliment it and provide a transparent insight into the preferences identified by the users involved in the assessment.</w:t>
            </w:r>
            <w:r w:rsidR="00442F47" w:rsidRPr="00EC768F">
              <w:rPr>
                <w:lang w:eastAsia="en-GB"/>
              </w:rPr>
              <w:t xml:space="preserve"> </w:t>
            </w:r>
            <w:r w:rsidR="000B32CA" w:rsidRPr="00EC768F">
              <w:rPr>
                <w:lang w:eastAsia="en-GB"/>
              </w:rPr>
              <w:t xml:space="preserve">Any decisions made by the committee are made by consensus opinion by standing and specialist committee members. NICE routinely utilises expert insight (clinical and people with lived </w:t>
            </w:r>
            <w:r w:rsidR="000B32CA" w:rsidRPr="00EC768F">
              <w:rPr>
                <w:lang w:eastAsia="en-GB"/>
              </w:rPr>
              <w:lastRenderedPageBreak/>
              <w:t xml:space="preserve">experience) as part of its decision-making process. </w:t>
            </w:r>
          </w:p>
        </w:tc>
      </w:tr>
      <w:tr w:rsidR="00B8609B" w14:paraId="05D7DE4B" w14:textId="77777777" w:rsidTr="209F09E9">
        <w:tc>
          <w:tcPr>
            <w:tcW w:w="1323" w:type="dxa"/>
          </w:tcPr>
          <w:p w14:paraId="4CF023C8"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33999CC1" w14:textId="2F51F221"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71F5D93" w14:textId="75C29994" w:rsidR="00B8609B" w:rsidRPr="00EC768F" w:rsidRDefault="00B8609B" w:rsidP="00EC768F">
            <w:pPr>
              <w:pStyle w:val="Paragraph"/>
              <w:spacing w:line="240" w:lineRule="auto"/>
              <w:rPr>
                <w:lang w:eastAsia="en-GB"/>
              </w:rPr>
            </w:pPr>
            <w:r w:rsidRPr="00EC768F">
              <w:rPr>
                <w:rFonts w:cs="Arial"/>
                <w:color w:val="000000"/>
              </w:rPr>
              <w:t>3 3 Committee discussion</w:t>
            </w:r>
          </w:p>
        </w:tc>
        <w:tc>
          <w:tcPr>
            <w:tcW w:w="5189" w:type="dxa"/>
            <w:tcBorders>
              <w:top w:val="single" w:sz="4" w:space="0" w:color="auto"/>
              <w:left w:val="single" w:sz="4" w:space="0" w:color="auto"/>
              <w:bottom w:val="single" w:sz="4" w:space="0" w:color="auto"/>
              <w:right w:val="nil"/>
            </w:tcBorders>
            <w:shd w:val="clear" w:color="auto" w:fill="auto"/>
          </w:tcPr>
          <w:p w14:paraId="7955927C" w14:textId="458AA871" w:rsidR="00B8609B" w:rsidRPr="00EC768F" w:rsidRDefault="00B8609B" w:rsidP="00EC768F">
            <w:pPr>
              <w:pStyle w:val="Paragraph"/>
              <w:spacing w:line="240" w:lineRule="auto"/>
              <w:rPr>
                <w:lang w:eastAsia="en-GB"/>
              </w:rPr>
            </w:pPr>
            <w:r w:rsidRPr="00EC768F">
              <w:rPr>
                <w:rFonts w:cs="Arial"/>
                <w:color w:val="000000"/>
              </w:rPr>
              <w:t>User preference (healthcare professionals). 15 users took part in the user preference exercise.</w:t>
            </w:r>
            <w:r w:rsidRPr="00EC768F">
              <w:rPr>
                <w:rFonts w:cs="Arial"/>
                <w:color w:val="000000"/>
              </w:rPr>
              <w:br/>
              <w:t>GID-HTE10041 LSA AMD User preference report</w:t>
            </w:r>
            <w:r w:rsidRPr="00EC768F">
              <w:rPr>
                <w:rFonts w:cs="Arial"/>
                <w:color w:val="000000"/>
              </w:rPr>
              <w:br/>
              <w:t xml:space="preserve">With circa 15,500 registered nurses (4310 district nurses, NHS Workforce Statistics Nov 2023, Primary care Workforce England December 2024), the respondent survey rate of 15 is extremely low. With the respondents only representing 0.097% of both registered district nurses and primary care nurses, the views expressed within the user assessment report cannot be considered representative.  </w:t>
            </w:r>
            <w:r w:rsidRPr="00EC768F">
              <w:rPr>
                <w:rFonts w:cs="Arial"/>
                <w:color w:val="000000"/>
              </w:rPr>
              <w:br/>
            </w:r>
            <w:r w:rsidRPr="00EC768F">
              <w:rPr>
                <w:rFonts w:cs="Arial"/>
                <w:color w:val="000000"/>
              </w:rPr>
              <w:br/>
              <w:t xml:space="preserve">With a survey response rate of 0.097%, why have the views and opinions of this exceptionally low sample size, been carried forward, as this been included in forming the user assessment preference report?  </w:t>
            </w:r>
            <w:r w:rsidRPr="00EC768F">
              <w:rPr>
                <w:rFonts w:cs="Arial"/>
                <w:color w:val="000000"/>
              </w:rPr>
              <w:br/>
            </w:r>
            <w:r w:rsidRPr="00EC768F">
              <w:rPr>
                <w:rFonts w:cs="Arial"/>
                <w:color w:val="000000"/>
              </w:rPr>
              <w:br/>
              <w:t>How was this survey communicated to healthcare professionals?</w:t>
            </w:r>
            <w:r w:rsidRPr="00EC768F">
              <w:rPr>
                <w:rFonts w:cs="Arial"/>
                <w:color w:val="000000"/>
              </w:rPr>
              <w:br/>
            </w:r>
            <w:r w:rsidRPr="00EC768F">
              <w:rPr>
                <w:rFonts w:cs="Arial"/>
                <w:color w:val="000000"/>
              </w:rPr>
              <w:br/>
              <w:t>In what format was the survey published to healthcare professionals?</w:t>
            </w:r>
            <w:r w:rsidRPr="00EC768F">
              <w:rPr>
                <w:rFonts w:cs="Arial"/>
                <w:color w:val="000000"/>
              </w:rPr>
              <w:br/>
              <w:t xml:space="preserve">  </w:t>
            </w:r>
            <w:r w:rsidRPr="00EC768F">
              <w:rPr>
                <w:rFonts w:cs="Arial"/>
                <w:color w:val="000000"/>
              </w:rPr>
              <w:br/>
            </w:r>
            <w:r w:rsidRPr="00EC768F">
              <w:rPr>
                <w:rFonts w:cs="Arial"/>
                <w:color w:val="000000"/>
              </w:rPr>
              <w:lastRenderedPageBreak/>
              <w:t>How to enable more participation by engaging with clinical groups?</w:t>
            </w:r>
          </w:p>
        </w:tc>
        <w:tc>
          <w:tcPr>
            <w:tcW w:w="3628" w:type="dxa"/>
          </w:tcPr>
          <w:p w14:paraId="62E1A731" w14:textId="1EA13806" w:rsidR="00DC5CE1" w:rsidRPr="00EC768F" w:rsidRDefault="00DC5CE1" w:rsidP="00EC768F">
            <w:pPr>
              <w:pStyle w:val="Paragraph"/>
              <w:spacing w:line="240" w:lineRule="auto"/>
              <w:rPr>
                <w:lang w:eastAsia="en-GB"/>
              </w:rPr>
            </w:pPr>
            <w:r w:rsidRPr="00EC768F">
              <w:rPr>
                <w:lang w:eastAsia="en-GB"/>
              </w:rPr>
              <w:lastRenderedPageBreak/>
              <w:t>Thank you for your comment. For the first part please see response to comment 203.</w:t>
            </w:r>
            <w:r w:rsidR="00AF5438" w:rsidRPr="00EC768F">
              <w:rPr>
                <w:lang w:eastAsia="en-GB"/>
              </w:rPr>
              <w:t xml:space="preserve"> In respect to the methodology t</w:t>
            </w:r>
            <w:r w:rsidR="0079799F" w:rsidRPr="00EC768F">
              <w:rPr>
                <w:lang w:eastAsia="en-GB"/>
              </w:rPr>
              <w:t xml:space="preserve">he user preference assessment was not a survey. </w:t>
            </w:r>
            <w:r w:rsidR="00BB01C3" w:rsidRPr="00EC768F">
              <w:rPr>
                <w:lang w:eastAsia="en-GB"/>
              </w:rPr>
              <w:t xml:space="preserve">It was a qualitative exercise involving workshops </w:t>
            </w:r>
            <w:r w:rsidR="00814FB7" w:rsidRPr="00EC768F">
              <w:rPr>
                <w:lang w:eastAsia="en-GB"/>
              </w:rPr>
              <w:t xml:space="preserve">and email tasks. Full methodology of the user preference assessment can be found in the user preference assessment report. </w:t>
            </w:r>
          </w:p>
        </w:tc>
      </w:tr>
      <w:tr w:rsidR="00B8609B" w14:paraId="062C3789" w14:textId="77777777" w:rsidTr="209F09E9">
        <w:tc>
          <w:tcPr>
            <w:tcW w:w="1323" w:type="dxa"/>
          </w:tcPr>
          <w:p w14:paraId="45778E68"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169EF73D" w14:textId="736CE39E"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B7F8F43" w14:textId="33652C2B" w:rsidR="00B8609B" w:rsidRPr="00EC768F" w:rsidRDefault="00B8609B" w:rsidP="00EC768F">
            <w:pPr>
              <w:pStyle w:val="Paragraph"/>
              <w:spacing w:line="240" w:lineRule="auto"/>
              <w:rPr>
                <w:lang w:eastAsia="en-GB"/>
              </w:rPr>
            </w:pPr>
            <w:r w:rsidRPr="00EC768F">
              <w:rPr>
                <w:rFonts w:cs="Arial"/>
                <w:color w:val="000000"/>
              </w:rPr>
              <w:t>3.3 Healthcare professional preferences</w:t>
            </w:r>
          </w:p>
        </w:tc>
        <w:tc>
          <w:tcPr>
            <w:tcW w:w="5189" w:type="dxa"/>
            <w:tcBorders>
              <w:top w:val="single" w:sz="4" w:space="0" w:color="auto"/>
              <w:left w:val="single" w:sz="4" w:space="0" w:color="auto"/>
              <w:bottom w:val="single" w:sz="4" w:space="0" w:color="auto"/>
              <w:right w:val="nil"/>
            </w:tcBorders>
            <w:shd w:val="clear" w:color="auto" w:fill="auto"/>
          </w:tcPr>
          <w:p w14:paraId="17A7EEB6" w14:textId="4B5C4C8E" w:rsidR="00B8609B" w:rsidRPr="00EC768F" w:rsidRDefault="00B8609B" w:rsidP="00EC768F">
            <w:pPr>
              <w:pStyle w:val="Paragraph"/>
              <w:spacing w:line="240" w:lineRule="auto"/>
              <w:rPr>
                <w:lang w:eastAsia="en-GB"/>
              </w:rPr>
            </w:pPr>
            <w:r w:rsidRPr="00EC768F">
              <w:rPr>
                <w:rFonts w:cs="Arial"/>
                <w:color w:val="000000"/>
              </w:rPr>
              <w:t>We recommend including a statement referencing that the user preference assessment included the views of less than 0.097% of registered nurses.</w:t>
            </w:r>
            <w:r w:rsidRPr="00EC768F">
              <w:rPr>
                <w:rFonts w:cs="Arial"/>
                <w:color w:val="000000"/>
              </w:rPr>
              <w:br/>
              <w:t xml:space="preserve"> </w:t>
            </w:r>
            <w:r w:rsidRPr="00EC768F">
              <w:rPr>
                <w:rFonts w:cs="Arial"/>
                <w:color w:val="000000"/>
              </w:rPr>
              <w:br/>
              <w:t xml:space="preserve">With circa 15,500 registered nurses (4310 district nurses, NHS Workforce Statistics Nov 2023, Primary care Workforce England December 2024), 15 healthcare professional preferences </w:t>
            </w:r>
            <w:proofErr w:type="gramStart"/>
            <w:r w:rsidRPr="00EC768F">
              <w:rPr>
                <w:rFonts w:cs="Arial"/>
                <w:color w:val="000000"/>
              </w:rPr>
              <w:t>represents</w:t>
            </w:r>
            <w:proofErr w:type="gramEnd"/>
            <w:r w:rsidRPr="00EC768F">
              <w:rPr>
                <w:rFonts w:cs="Arial"/>
                <w:color w:val="000000"/>
              </w:rPr>
              <w:t xml:space="preserve"> only 0.097% of both registered district nurses and primary care nurses.</w:t>
            </w:r>
          </w:p>
        </w:tc>
        <w:tc>
          <w:tcPr>
            <w:tcW w:w="3628" w:type="dxa"/>
          </w:tcPr>
          <w:p w14:paraId="15F1628B" w14:textId="2EDF88A9" w:rsidR="00B8609B" w:rsidRPr="00EC768F" w:rsidRDefault="00B866AA" w:rsidP="00EC768F">
            <w:pPr>
              <w:pStyle w:val="Paragraph"/>
              <w:spacing w:line="240" w:lineRule="auto"/>
              <w:rPr>
                <w:lang w:eastAsia="en-GB"/>
              </w:rPr>
            </w:pPr>
            <w:r w:rsidRPr="00EC768F">
              <w:rPr>
                <w:lang w:eastAsia="en-GB"/>
              </w:rPr>
              <w:t xml:space="preserve">Thank you for your comment. </w:t>
            </w:r>
            <w:r w:rsidR="00C4088C" w:rsidRPr="00EC768F">
              <w:rPr>
                <w:lang w:eastAsia="en-GB"/>
              </w:rPr>
              <w:t xml:space="preserve">Please see response to comment </w:t>
            </w:r>
            <w:r w:rsidR="00CC0202" w:rsidRPr="00EC768F">
              <w:rPr>
                <w:lang w:eastAsia="en-GB"/>
              </w:rPr>
              <w:t>203.</w:t>
            </w:r>
          </w:p>
          <w:p w14:paraId="00C5628D" w14:textId="77777777" w:rsidR="00450E15" w:rsidRPr="00EC768F" w:rsidRDefault="00450E15" w:rsidP="00EC768F">
            <w:pPr>
              <w:pStyle w:val="Paragraph"/>
              <w:spacing w:line="240" w:lineRule="auto"/>
              <w:rPr>
                <w:lang w:eastAsia="en-GB"/>
              </w:rPr>
            </w:pPr>
          </w:p>
          <w:p w14:paraId="207D68DA" w14:textId="77086A59" w:rsidR="00450E15" w:rsidRPr="00EC768F" w:rsidRDefault="00450E15" w:rsidP="00EC768F">
            <w:pPr>
              <w:pStyle w:val="Paragraph"/>
              <w:spacing w:line="240" w:lineRule="auto"/>
              <w:rPr>
                <w:lang w:eastAsia="en-GB"/>
              </w:rPr>
            </w:pPr>
          </w:p>
        </w:tc>
      </w:tr>
      <w:tr w:rsidR="00B8609B" w14:paraId="7A2771CB" w14:textId="77777777" w:rsidTr="209F09E9">
        <w:tc>
          <w:tcPr>
            <w:tcW w:w="1323" w:type="dxa"/>
          </w:tcPr>
          <w:p w14:paraId="695B290E"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6942F751" w14:textId="2EF1C2BF"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4916DA95" w14:textId="0BC8E717" w:rsidR="00B8609B" w:rsidRPr="00EC768F" w:rsidRDefault="00B8609B" w:rsidP="00EC768F">
            <w:pPr>
              <w:pStyle w:val="Paragraph"/>
              <w:spacing w:line="240" w:lineRule="auto"/>
              <w:rPr>
                <w:lang w:eastAsia="en-GB"/>
              </w:rPr>
            </w:pPr>
            <w:r w:rsidRPr="00EC768F">
              <w:rPr>
                <w:rFonts w:cs="Arial"/>
                <w:color w:val="000000"/>
              </w:rPr>
              <w:t>3.4 Healthcare professional preferences</w:t>
            </w:r>
          </w:p>
        </w:tc>
        <w:tc>
          <w:tcPr>
            <w:tcW w:w="5189" w:type="dxa"/>
            <w:tcBorders>
              <w:top w:val="single" w:sz="4" w:space="0" w:color="auto"/>
              <w:left w:val="single" w:sz="4" w:space="0" w:color="auto"/>
              <w:bottom w:val="single" w:sz="4" w:space="0" w:color="auto"/>
              <w:right w:val="nil"/>
            </w:tcBorders>
            <w:shd w:val="clear" w:color="auto" w:fill="auto"/>
          </w:tcPr>
          <w:p w14:paraId="0CCC5F26" w14:textId="35561EB2" w:rsidR="00B8609B" w:rsidRPr="00EC768F" w:rsidRDefault="00B8609B" w:rsidP="00EC768F">
            <w:pPr>
              <w:pStyle w:val="Paragraph"/>
              <w:spacing w:line="240" w:lineRule="auto"/>
              <w:rPr>
                <w:lang w:eastAsia="en-GB"/>
              </w:rPr>
            </w:pPr>
            <w:r w:rsidRPr="00EC768F">
              <w:rPr>
                <w:rFonts w:cs="Arial"/>
                <w:color w:val="000000"/>
              </w:rPr>
              <w:t>‘’use of this study would require additional assumptions, for example, that resource use in Northwest of England is representative of the English and Welsh population’’ (assessment report p.169)</w:t>
            </w:r>
            <w:r w:rsidRPr="00EC768F">
              <w:rPr>
                <w:rFonts w:cs="Arial"/>
                <w:color w:val="000000"/>
              </w:rPr>
              <w:br/>
              <w:t>If assumptions on the above were not used as they may not be representative of the wider population, why have the views and opinions of this exceptionally low sample size, been carried forward, as these opinions have been included in forming the user assessment preference report?</w:t>
            </w:r>
            <w:r w:rsidRPr="00EC768F">
              <w:rPr>
                <w:rFonts w:cs="Arial"/>
                <w:color w:val="000000"/>
              </w:rPr>
              <w:br/>
              <w:t xml:space="preserve">Why have the opinions of 15 study participants been assumed to be representative of the </w:t>
            </w:r>
            <w:r w:rsidRPr="00EC768F">
              <w:rPr>
                <w:rFonts w:cs="Arial"/>
                <w:color w:val="000000"/>
              </w:rPr>
              <w:lastRenderedPageBreak/>
              <w:t xml:space="preserve">views of the wider clinical population (user assessment preference)? </w:t>
            </w:r>
            <w:r w:rsidRPr="00EC768F">
              <w:rPr>
                <w:rFonts w:cs="Arial"/>
                <w:color w:val="000000"/>
              </w:rPr>
              <w:br/>
              <w:t xml:space="preserve">In addition, the specialist committee members, do not include any representation from Wales or the Southwest of England.  </w:t>
            </w:r>
            <w:r w:rsidRPr="00EC768F">
              <w:rPr>
                <w:rFonts w:cs="Arial"/>
                <w:color w:val="000000"/>
              </w:rPr>
              <w:br/>
              <w:t>How are their views considered to represent the clinical population?</w:t>
            </w:r>
          </w:p>
        </w:tc>
        <w:tc>
          <w:tcPr>
            <w:tcW w:w="3628" w:type="dxa"/>
          </w:tcPr>
          <w:p w14:paraId="176AE031" w14:textId="6A2211DF" w:rsidR="00B8609B" w:rsidRPr="00EC768F" w:rsidRDefault="00426A52" w:rsidP="00EC768F">
            <w:pPr>
              <w:pStyle w:val="Paragraph"/>
              <w:spacing w:line="240" w:lineRule="auto"/>
              <w:rPr>
                <w:lang w:eastAsia="en-GB"/>
              </w:rPr>
            </w:pPr>
            <w:r w:rsidRPr="00EC768F">
              <w:rPr>
                <w:lang w:eastAsia="en-GB"/>
              </w:rPr>
              <w:lastRenderedPageBreak/>
              <w:t xml:space="preserve">Thank you for your comment. Please see response to comment 179. </w:t>
            </w:r>
          </w:p>
        </w:tc>
      </w:tr>
      <w:tr w:rsidR="00B8609B" w14:paraId="4B6756FC" w14:textId="77777777" w:rsidTr="209F09E9">
        <w:tc>
          <w:tcPr>
            <w:tcW w:w="1323" w:type="dxa"/>
          </w:tcPr>
          <w:p w14:paraId="56456936"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3FE22F2F" w14:textId="43E45520"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338ED7F" w14:textId="29A28AE3" w:rsidR="00B8609B" w:rsidRPr="00EC768F" w:rsidRDefault="00B8609B" w:rsidP="00EC768F">
            <w:pPr>
              <w:pStyle w:val="Paragraph"/>
              <w:spacing w:line="240" w:lineRule="auto"/>
              <w:rPr>
                <w:lang w:eastAsia="en-GB"/>
              </w:rPr>
            </w:pPr>
            <w:r w:rsidRPr="00EC768F">
              <w:rPr>
                <w:rFonts w:cs="Arial"/>
                <w:color w:val="000000"/>
              </w:rPr>
              <w:t>3.4 Healthcare professional preferences</w:t>
            </w:r>
          </w:p>
        </w:tc>
        <w:tc>
          <w:tcPr>
            <w:tcW w:w="5189" w:type="dxa"/>
            <w:tcBorders>
              <w:top w:val="single" w:sz="4" w:space="0" w:color="auto"/>
              <w:left w:val="single" w:sz="4" w:space="0" w:color="auto"/>
              <w:bottom w:val="single" w:sz="4" w:space="0" w:color="auto"/>
              <w:right w:val="nil"/>
            </w:tcBorders>
            <w:shd w:val="clear" w:color="auto" w:fill="auto"/>
          </w:tcPr>
          <w:p w14:paraId="19FC0FA9" w14:textId="5BB6ED45" w:rsidR="00B8609B" w:rsidRPr="00EC768F" w:rsidRDefault="00B8609B" w:rsidP="00EC768F">
            <w:pPr>
              <w:pStyle w:val="Paragraph"/>
              <w:spacing w:line="240" w:lineRule="auto"/>
              <w:rPr>
                <w:lang w:eastAsia="en-GB"/>
              </w:rPr>
            </w:pPr>
            <w:r w:rsidRPr="00EC768F">
              <w:rPr>
                <w:rFonts w:cs="Arial"/>
                <w:color w:val="000000"/>
              </w:rPr>
              <w:t>User preference (healthcare professionals). 15 users took part in the user preference exercise.</w:t>
            </w:r>
            <w:r w:rsidRPr="00EC768F">
              <w:rPr>
                <w:rFonts w:cs="Arial"/>
                <w:color w:val="000000"/>
              </w:rPr>
              <w:br/>
              <w:t xml:space="preserve">With circa 15,500 registered nurses (4310 district nurses, NHS Workforce Statistics Nov 2023, Primary care Workforce England December 2024), the respondent survey rate of 15 is extremely low. With the respondents only representing 0.097% of both registered district nurses and primary care nurses, the views expressed within the user assessment report cannot be considered representative.  </w:t>
            </w:r>
            <w:r w:rsidRPr="00EC768F">
              <w:rPr>
                <w:rFonts w:cs="Arial"/>
                <w:color w:val="000000"/>
              </w:rPr>
              <w:br/>
              <w:t xml:space="preserve">With a survey response rate of 0.097%, why have the views and opinions of this exceptionally low sample size, been carried forward, and been included in forming the user assessment preference report?  </w:t>
            </w:r>
            <w:r w:rsidRPr="00EC768F">
              <w:rPr>
                <w:rFonts w:cs="Arial"/>
                <w:color w:val="000000"/>
              </w:rPr>
              <w:br/>
              <w:t>How was this survey communicated to healthcare professionals?</w:t>
            </w:r>
            <w:r w:rsidRPr="00EC768F">
              <w:rPr>
                <w:rFonts w:cs="Arial"/>
                <w:color w:val="000000"/>
              </w:rPr>
              <w:br/>
              <w:t xml:space="preserve">In what format was the survey published to healthcare professionals?  </w:t>
            </w:r>
            <w:r w:rsidRPr="00EC768F">
              <w:rPr>
                <w:rFonts w:cs="Arial"/>
                <w:color w:val="000000"/>
              </w:rPr>
              <w:br/>
            </w:r>
            <w:r w:rsidRPr="00EC768F">
              <w:rPr>
                <w:rFonts w:cs="Arial"/>
                <w:color w:val="000000"/>
              </w:rPr>
              <w:lastRenderedPageBreak/>
              <w:t>How to enable more participation by engaging with clinical groups?</w:t>
            </w:r>
          </w:p>
        </w:tc>
        <w:tc>
          <w:tcPr>
            <w:tcW w:w="3628" w:type="dxa"/>
          </w:tcPr>
          <w:p w14:paraId="75F176CC" w14:textId="16F7BE06" w:rsidR="00B8609B" w:rsidRPr="00EC768F" w:rsidRDefault="00BF0EAD" w:rsidP="00EC768F">
            <w:pPr>
              <w:pStyle w:val="Paragraph"/>
              <w:spacing w:line="240" w:lineRule="auto"/>
              <w:rPr>
                <w:lang w:eastAsia="en-GB"/>
              </w:rPr>
            </w:pPr>
            <w:r w:rsidRPr="00EC768F">
              <w:rPr>
                <w:lang w:eastAsia="en-GB"/>
              </w:rPr>
              <w:lastRenderedPageBreak/>
              <w:t>Thank you for your comment please see response to comment 204</w:t>
            </w:r>
            <w:r w:rsidR="00BF1B72" w:rsidRPr="00EC768F">
              <w:rPr>
                <w:lang w:eastAsia="en-GB"/>
              </w:rPr>
              <w:t>.</w:t>
            </w:r>
          </w:p>
        </w:tc>
      </w:tr>
      <w:tr w:rsidR="00B8609B" w14:paraId="74BE8EC1" w14:textId="77777777" w:rsidTr="209F09E9">
        <w:tc>
          <w:tcPr>
            <w:tcW w:w="1323" w:type="dxa"/>
          </w:tcPr>
          <w:p w14:paraId="5680EA85" w14:textId="77777777" w:rsidR="00B8609B" w:rsidRPr="00EC768F" w:rsidRDefault="00B8609B"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2AB1DC84" w14:textId="13B962DC" w:rsidR="00B8609B" w:rsidRPr="00EC768F" w:rsidRDefault="00B8609B" w:rsidP="00EC768F">
            <w:pPr>
              <w:pStyle w:val="Paragraph"/>
              <w:spacing w:line="240" w:lineRule="auto"/>
              <w:rPr>
                <w:lang w:eastAsia="en-GB"/>
              </w:rPr>
            </w:pPr>
            <w:r w:rsidRPr="00EC768F">
              <w:rPr>
                <w:rFonts w:cs="Arial"/>
                <w:color w:val="000000"/>
              </w:rPr>
              <w:t>Consultee 5</w:t>
            </w:r>
            <w:r w:rsidRPr="00EC768F">
              <w:rPr>
                <w:rFonts w:cs="Arial"/>
                <w:color w:val="000000"/>
              </w:rPr>
              <w:br/>
              <w:t>Urgo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4657286" w14:textId="4A124FE3" w:rsidR="00B8609B" w:rsidRPr="00EC768F" w:rsidRDefault="00B8609B" w:rsidP="00EC768F">
            <w:pPr>
              <w:pStyle w:val="Paragraph"/>
              <w:spacing w:line="240" w:lineRule="auto"/>
              <w:rPr>
                <w:lang w:eastAsia="en-GB"/>
              </w:rPr>
            </w:pPr>
            <w:r w:rsidRPr="00EC768F">
              <w:rPr>
                <w:rFonts w:cs="Arial"/>
                <w:color w:val="000000"/>
              </w:rPr>
              <w:t>3.4 Healthcare professional preferences</w:t>
            </w:r>
          </w:p>
        </w:tc>
        <w:tc>
          <w:tcPr>
            <w:tcW w:w="5189" w:type="dxa"/>
            <w:tcBorders>
              <w:top w:val="single" w:sz="4" w:space="0" w:color="auto"/>
              <w:left w:val="single" w:sz="4" w:space="0" w:color="auto"/>
              <w:bottom w:val="single" w:sz="4" w:space="0" w:color="auto"/>
              <w:right w:val="nil"/>
            </w:tcBorders>
            <w:shd w:val="clear" w:color="auto" w:fill="auto"/>
          </w:tcPr>
          <w:p w14:paraId="42E7257E" w14:textId="3B8F999F" w:rsidR="00B8609B" w:rsidRPr="00EC768F" w:rsidRDefault="00B8609B" w:rsidP="00EC768F">
            <w:pPr>
              <w:pStyle w:val="Paragraph"/>
              <w:spacing w:line="240" w:lineRule="auto"/>
              <w:rPr>
                <w:lang w:eastAsia="en-GB"/>
              </w:rPr>
            </w:pPr>
            <w:r w:rsidRPr="00EC768F">
              <w:rPr>
                <w:rFonts w:cs="Arial"/>
                <w:color w:val="000000"/>
              </w:rPr>
              <w:t xml:space="preserve">With circa 15,500 registered nurses (4310 district nurses, NHS Workforce Statistics Nov 2023, Primary care Workforce England December 2024), the respondent survey rate of 15 is extremely low. With the respondents only representing 0.097% of both registered district nurses and primary care nurses, the views expressed within the user assessment report cannot be considered representative.  </w:t>
            </w:r>
            <w:r w:rsidRPr="00EC768F">
              <w:rPr>
                <w:rFonts w:cs="Arial"/>
                <w:color w:val="000000"/>
              </w:rPr>
              <w:br/>
              <w:t>With a survey response rate of 0.097%, why have the views and opinions of this exceptionally low sample size, been carried forward and been included in forming the user assessment preference report?</w:t>
            </w:r>
          </w:p>
        </w:tc>
        <w:tc>
          <w:tcPr>
            <w:tcW w:w="3628" w:type="dxa"/>
          </w:tcPr>
          <w:p w14:paraId="3896300F" w14:textId="39419E75" w:rsidR="00B8609B" w:rsidRPr="00EC768F" w:rsidRDefault="008A2905" w:rsidP="00EC768F">
            <w:pPr>
              <w:pStyle w:val="Paragraph"/>
              <w:spacing w:line="240" w:lineRule="auto"/>
              <w:rPr>
                <w:lang w:eastAsia="en-GB"/>
              </w:rPr>
            </w:pPr>
            <w:r w:rsidRPr="00EC768F">
              <w:rPr>
                <w:lang w:eastAsia="en-GB"/>
              </w:rPr>
              <w:t xml:space="preserve">Thank you for your comment. Please see response to comment </w:t>
            </w:r>
            <w:r w:rsidR="00FC7660" w:rsidRPr="00EC768F">
              <w:rPr>
                <w:lang w:eastAsia="en-GB"/>
              </w:rPr>
              <w:t>204</w:t>
            </w:r>
            <w:r w:rsidR="00BF1B72" w:rsidRPr="00EC768F">
              <w:rPr>
                <w:lang w:eastAsia="en-GB"/>
              </w:rPr>
              <w:t>.</w:t>
            </w:r>
          </w:p>
        </w:tc>
      </w:tr>
      <w:tr w:rsidR="00705378" w14:paraId="1AD144FC" w14:textId="77777777" w:rsidTr="209F09E9">
        <w:tc>
          <w:tcPr>
            <w:tcW w:w="1323" w:type="dxa"/>
          </w:tcPr>
          <w:p w14:paraId="7C1B20D5"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37C78703" w14:textId="781991CF"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C934CD6" w14:textId="07FBA585"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39F7AA46" w14:textId="5C098168" w:rsidR="00705378" w:rsidRPr="00EC768F" w:rsidRDefault="00705378" w:rsidP="00EC768F">
            <w:pPr>
              <w:pStyle w:val="Paragraph"/>
              <w:spacing w:line="240" w:lineRule="auto"/>
              <w:rPr>
                <w:rFonts w:cs="Arial"/>
                <w:color w:val="000000"/>
              </w:rPr>
            </w:pPr>
            <w:r w:rsidRPr="00EC768F">
              <w:rPr>
                <w:rFonts w:cs="Arial"/>
                <w:color w:val="000000"/>
              </w:rPr>
              <w:t>The covert and overt signs and symptoms of an infection as per IWII guidance are listed but not applied to the clinical assessment in the EAG.</w:t>
            </w:r>
          </w:p>
        </w:tc>
        <w:tc>
          <w:tcPr>
            <w:tcW w:w="3628" w:type="dxa"/>
          </w:tcPr>
          <w:p w14:paraId="70C6D65A" w14:textId="37DA9466" w:rsidR="00DE6E01" w:rsidRPr="00EC768F" w:rsidRDefault="00A8196E" w:rsidP="00EC768F">
            <w:pPr>
              <w:pStyle w:val="Paragraph"/>
              <w:spacing w:line="240" w:lineRule="auto"/>
              <w:rPr>
                <w:lang w:eastAsia="en-GB"/>
              </w:rPr>
            </w:pPr>
            <w:r w:rsidRPr="00EC768F">
              <w:rPr>
                <w:lang w:eastAsia="en-GB"/>
              </w:rPr>
              <w:t>T</w:t>
            </w:r>
            <w:r w:rsidR="00DE6E01" w:rsidRPr="00EC768F">
              <w:rPr>
                <w:lang w:eastAsia="en-GB"/>
              </w:rPr>
              <w:t xml:space="preserve">hank you for your comment. The user preference assessment reports what is important to users when selecting one dressing over another. </w:t>
            </w:r>
          </w:p>
          <w:p w14:paraId="6D4C1512" w14:textId="770F5812" w:rsidR="00DE6E01" w:rsidRPr="00EC768F" w:rsidRDefault="00DE6E01" w:rsidP="00EC768F">
            <w:pPr>
              <w:pStyle w:val="Paragraph"/>
              <w:spacing w:line="240" w:lineRule="auto"/>
              <w:rPr>
                <w:lang w:eastAsia="en-GB"/>
              </w:rPr>
            </w:pPr>
            <w:r w:rsidRPr="00EC768F">
              <w:rPr>
                <w:lang w:eastAsia="en-GB"/>
              </w:rPr>
              <w:t xml:space="preserve">The </w:t>
            </w:r>
            <w:r w:rsidR="00A8196E" w:rsidRPr="00EC768F">
              <w:rPr>
                <w:lang w:eastAsia="en-GB"/>
              </w:rPr>
              <w:t xml:space="preserve">EAG’s </w:t>
            </w:r>
            <w:r w:rsidRPr="00EC768F">
              <w:rPr>
                <w:lang w:eastAsia="en-GB"/>
              </w:rPr>
              <w:t xml:space="preserve">model was designed to evaluate the performance of dressings over the whole treatment pathway and did not just focus on the </w:t>
            </w:r>
            <w:r w:rsidRPr="00EC768F">
              <w:rPr>
                <w:lang w:eastAsia="en-GB"/>
              </w:rPr>
              <w:lastRenderedPageBreak/>
              <w:t xml:space="preserve">decision to select a dressing. The </w:t>
            </w:r>
            <w:r w:rsidR="007B6768" w:rsidRPr="00EC768F">
              <w:rPr>
                <w:lang w:eastAsia="en-GB"/>
              </w:rPr>
              <w:t xml:space="preserve">EAG’s </w:t>
            </w:r>
            <w:r w:rsidRPr="00EC768F">
              <w:rPr>
                <w:lang w:eastAsia="en-GB"/>
              </w:rPr>
              <w:t>model was designed with SCM input via the scoping process and beyond</w:t>
            </w:r>
            <w:r w:rsidR="007B6768" w:rsidRPr="00EC768F">
              <w:rPr>
                <w:lang w:eastAsia="en-GB"/>
              </w:rPr>
              <w:t>.</w:t>
            </w:r>
          </w:p>
        </w:tc>
      </w:tr>
      <w:tr w:rsidR="00705378" w14:paraId="19B90653" w14:textId="77777777" w:rsidTr="209F09E9">
        <w:tc>
          <w:tcPr>
            <w:tcW w:w="1323" w:type="dxa"/>
          </w:tcPr>
          <w:p w14:paraId="21D93D30"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260D1C74" w14:textId="73B6656B"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0094297" w14:textId="375DB6A1"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5E4C7A63" w14:textId="2134029A" w:rsidR="00705378" w:rsidRPr="00EC768F" w:rsidRDefault="00705378" w:rsidP="00EC768F">
            <w:pPr>
              <w:pStyle w:val="Paragraph"/>
              <w:spacing w:line="240" w:lineRule="auto"/>
              <w:rPr>
                <w:rFonts w:cs="Arial"/>
                <w:color w:val="000000"/>
              </w:rPr>
            </w:pPr>
            <w:r w:rsidRPr="00EC768F">
              <w:rPr>
                <w:rFonts w:cs="Arial"/>
                <w:color w:val="000000"/>
              </w:rPr>
              <w:t>The IWII document also states the role for AMDs in prevention of infection in high-risk patients/ scenarios – this should therefore be part of the scope and use</w:t>
            </w:r>
          </w:p>
        </w:tc>
        <w:tc>
          <w:tcPr>
            <w:tcW w:w="3628" w:type="dxa"/>
          </w:tcPr>
          <w:p w14:paraId="37001882" w14:textId="71ED9BEE" w:rsidR="007B6768" w:rsidRPr="00EC768F" w:rsidRDefault="007B6768" w:rsidP="00EC768F">
            <w:pPr>
              <w:pStyle w:val="Paragraph"/>
              <w:spacing w:line="240" w:lineRule="auto"/>
              <w:rPr>
                <w:lang w:eastAsia="en-GB"/>
              </w:rPr>
            </w:pPr>
            <w:r w:rsidRPr="00EC768F">
              <w:rPr>
                <w:lang w:eastAsia="en-GB"/>
              </w:rPr>
              <w:t>Thank you for your comment. Please see response to comment 168.</w:t>
            </w:r>
          </w:p>
        </w:tc>
      </w:tr>
      <w:tr w:rsidR="00705378" w14:paraId="12E22DA1" w14:textId="77777777" w:rsidTr="209F09E9">
        <w:tc>
          <w:tcPr>
            <w:tcW w:w="1323" w:type="dxa"/>
          </w:tcPr>
          <w:p w14:paraId="769964C9"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75BC6B20" w14:textId="635485B1"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866B16B" w14:textId="3C99B689"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76B14D61" w14:textId="6FFC7A70" w:rsidR="00705378" w:rsidRPr="00EC768F" w:rsidRDefault="00705378" w:rsidP="00EC768F">
            <w:pPr>
              <w:pStyle w:val="Paragraph"/>
              <w:spacing w:line="240" w:lineRule="auto"/>
              <w:rPr>
                <w:rFonts w:cs="Arial"/>
                <w:color w:val="000000"/>
              </w:rPr>
            </w:pPr>
            <w:r w:rsidRPr="00EC768F">
              <w:rPr>
                <w:rFonts w:cs="Arial"/>
                <w:color w:val="000000"/>
              </w:rPr>
              <w:t>Contradictory statement: Document states “A topical antimicrobial dressing can be used to reduce the level of bacteria at the wound surface” with in in alignment with most AMD intended use, however this measure was not assessed within the EAG.</w:t>
            </w:r>
          </w:p>
        </w:tc>
        <w:tc>
          <w:tcPr>
            <w:tcW w:w="3628" w:type="dxa"/>
          </w:tcPr>
          <w:p w14:paraId="0AF27794" w14:textId="1A70CB04" w:rsidR="004B2CD2" w:rsidRPr="00EC768F" w:rsidRDefault="004B2CD2" w:rsidP="00EC768F">
            <w:pPr>
              <w:pStyle w:val="Paragraph"/>
              <w:spacing w:line="240" w:lineRule="auto"/>
              <w:rPr>
                <w:lang w:eastAsia="en-GB"/>
              </w:rPr>
            </w:pPr>
            <w:r w:rsidRPr="00EC768F">
              <w:rPr>
                <w:lang w:eastAsia="en-GB"/>
              </w:rPr>
              <w:t xml:space="preserve">Thank you for your comment. Please see response to </w:t>
            </w:r>
            <w:r w:rsidR="00BF1C15" w:rsidRPr="00EC768F">
              <w:rPr>
                <w:lang w:eastAsia="en-GB"/>
              </w:rPr>
              <w:t>comment 174.</w:t>
            </w:r>
          </w:p>
        </w:tc>
      </w:tr>
      <w:tr w:rsidR="00705378" w14:paraId="59DE4E48" w14:textId="77777777" w:rsidTr="209F09E9">
        <w:tc>
          <w:tcPr>
            <w:tcW w:w="1323" w:type="dxa"/>
          </w:tcPr>
          <w:p w14:paraId="09FD2A32"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50487630" w14:textId="43F1FE44"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6EAE7DB" w14:textId="35B45FFA"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7CCD7CEB" w14:textId="63D2DB86" w:rsidR="00705378" w:rsidRPr="00EC768F" w:rsidRDefault="00705378" w:rsidP="00EC768F">
            <w:pPr>
              <w:pStyle w:val="Paragraph"/>
              <w:spacing w:line="240" w:lineRule="auto"/>
              <w:rPr>
                <w:rFonts w:cs="Arial"/>
                <w:color w:val="000000"/>
              </w:rPr>
            </w:pPr>
            <w:r w:rsidRPr="00EC768F">
              <w:rPr>
                <w:rFonts w:cs="Arial"/>
                <w:color w:val="000000"/>
              </w:rPr>
              <w:t xml:space="preserve">Criteria development: Users were asked to identify key factors that are important when choosing a topical antimicrobial dressing for an infected leg ulcer – this is very subjective and variable with a wide range of understanding as to what, when and why AMDs should be used.  In </w:t>
            </w:r>
            <w:proofErr w:type="gramStart"/>
            <w:r w:rsidRPr="00EC768F">
              <w:rPr>
                <w:rFonts w:cs="Arial"/>
                <w:color w:val="000000"/>
              </w:rPr>
              <w:t>addition</w:t>
            </w:r>
            <w:proofErr w:type="gramEnd"/>
            <w:r w:rsidRPr="00EC768F">
              <w:rPr>
                <w:rFonts w:cs="Arial"/>
                <w:color w:val="000000"/>
              </w:rPr>
              <w:t xml:space="preserve"> this </w:t>
            </w:r>
            <w:proofErr w:type="gramStart"/>
            <w:r w:rsidRPr="00EC768F">
              <w:rPr>
                <w:rFonts w:cs="Arial"/>
                <w:color w:val="000000"/>
              </w:rPr>
              <w:t>users</w:t>
            </w:r>
            <w:proofErr w:type="gramEnd"/>
            <w:r w:rsidRPr="00EC768F">
              <w:rPr>
                <w:rFonts w:cs="Arial"/>
                <w:color w:val="000000"/>
              </w:rPr>
              <w:t xml:space="preserve"> group did not include any expertise from a microbiological perspective.  </w:t>
            </w:r>
          </w:p>
        </w:tc>
        <w:tc>
          <w:tcPr>
            <w:tcW w:w="3628" w:type="dxa"/>
          </w:tcPr>
          <w:p w14:paraId="0CA2B381" w14:textId="77777777" w:rsidR="00705378" w:rsidRPr="00EC768F" w:rsidRDefault="009D029A" w:rsidP="00EC768F">
            <w:pPr>
              <w:pStyle w:val="Paragraph"/>
              <w:spacing w:line="240" w:lineRule="auto"/>
              <w:rPr>
                <w:lang w:eastAsia="en-GB"/>
              </w:rPr>
            </w:pPr>
            <w:r w:rsidRPr="00EC768F">
              <w:rPr>
                <w:lang w:eastAsia="en-GB"/>
              </w:rPr>
              <w:t xml:space="preserve">Thank you for your comment. </w:t>
            </w:r>
          </w:p>
          <w:p w14:paraId="2C7FD49E" w14:textId="77777777" w:rsidR="009D029A" w:rsidRPr="00EC768F" w:rsidRDefault="009D029A" w:rsidP="00EC768F">
            <w:pPr>
              <w:pStyle w:val="Paragraph"/>
              <w:spacing w:line="240" w:lineRule="auto"/>
              <w:rPr>
                <w:lang w:eastAsia="en-GB"/>
              </w:rPr>
            </w:pPr>
            <w:r w:rsidRPr="00EC768F">
              <w:rPr>
                <w:lang w:eastAsia="en-GB"/>
              </w:rPr>
              <w:t xml:space="preserve">The user preference assessment report explains that the </w:t>
            </w:r>
            <w:r w:rsidR="005C2B5F" w:rsidRPr="00EC768F">
              <w:rPr>
                <w:lang w:eastAsia="en-GB"/>
              </w:rPr>
              <w:t xml:space="preserve">users were asked to decide what criteria are important to them when selecting an antimicrobial dressing after clinical reasoning has taken place. </w:t>
            </w:r>
            <w:r w:rsidR="00923C85" w:rsidRPr="00EC768F">
              <w:rPr>
                <w:lang w:eastAsia="en-GB"/>
              </w:rPr>
              <w:t xml:space="preserve">All users who took part had experience in the prescription of </w:t>
            </w:r>
            <w:r w:rsidR="00E05268" w:rsidRPr="00EC768F">
              <w:rPr>
                <w:lang w:eastAsia="en-GB"/>
              </w:rPr>
              <w:t xml:space="preserve">antimicrobial </w:t>
            </w:r>
            <w:r w:rsidR="00E05268" w:rsidRPr="00EC768F">
              <w:rPr>
                <w:lang w:eastAsia="en-GB"/>
              </w:rPr>
              <w:lastRenderedPageBreak/>
              <w:t>dressings for infected leg ulcers.</w:t>
            </w:r>
          </w:p>
          <w:p w14:paraId="723E44B2" w14:textId="317D6B0A" w:rsidR="00E05268" w:rsidRPr="00EC768F" w:rsidRDefault="00E05268" w:rsidP="00EC768F">
            <w:pPr>
              <w:pStyle w:val="Paragraph"/>
              <w:spacing w:line="240" w:lineRule="auto"/>
              <w:rPr>
                <w:lang w:eastAsia="en-GB"/>
              </w:rPr>
            </w:pPr>
            <w:r w:rsidRPr="00EC768F">
              <w:rPr>
                <w:lang w:eastAsia="en-GB"/>
              </w:rPr>
              <w:t>Mi</w:t>
            </w:r>
            <w:r w:rsidR="00B031D0" w:rsidRPr="00EC768F">
              <w:rPr>
                <w:lang w:eastAsia="en-GB"/>
              </w:rPr>
              <w:t>c</w:t>
            </w:r>
            <w:r w:rsidR="008E21FF" w:rsidRPr="00EC768F">
              <w:rPr>
                <w:lang w:eastAsia="en-GB"/>
              </w:rPr>
              <w:t>r</w:t>
            </w:r>
            <w:r w:rsidR="00B031D0" w:rsidRPr="00EC768F">
              <w:rPr>
                <w:lang w:eastAsia="en-GB"/>
              </w:rPr>
              <w:t xml:space="preserve">obiologists were not included in the user preference assessment </w:t>
            </w:r>
            <w:r w:rsidR="00FF5254" w:rsidRPr="00EC768F">
              <w:rPr>
                <w:lang w:eastAsia="en-GB"/>
              </w:rPr>
              <w:t xml:space="preserve">because they are not involved in the prescription of antimicrobial dressings. </w:t>
            </w:r>
            <w:r w:rsidR="00881556" w:rsidRPr="00EC768F">
              <w:rPr>
                <w:lang w:eastAsia="en-GB"/>
              </w:rPr>
              <w:t>See section 3.1 of the user preference assessment report</w:t>
            </w:r>
            <w:r w:rsidR="006D318E" w:rsidRPr="00EC768F">
              <w:rPr>
                <w:lang w:eastAsia="en-GB"/>
              </w:rPr>
              <w:t xml:space="preserve"> for further details</w:t>
            </w:r>
            <w:r w:rsidR="00881556" w:rsidRPr="00EC768F">
              <w:rPr>
                <w:lang w:eastAsia="en-GB"/>
              </w:rPr>
              <w:t>.</w:t>
            </w:r>
          </w:p>
        </w:tc>
      </w:tr>
      <w:tr w:rsidR="00705378" w14:paraId="23EDAE80" w14:textId="77777777" w:rsidTr="209F09E9">
        <w:tc>
          <w:tcPr>
            <w:tcW w:w="1323" w:type="dxa"/>
          </w:tcPr>
          <w:p w14:paraId="68E0FA86"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19F7DCFE" w14:textId="2B3C9E7D"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4E5CED8" w14:textId="4F98F016"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0F3D14C1" w14:textId="393F4B31" w:rsidR="00705378" w:rsidRPr="00EC768F" w:rsidRDefault="00705378" w:rsidP="00EC768F">
            <w:pPr>
              <w:pStyle w:val="Paragraph"/>
              <w:spacing w:line="240" w:lineRule="auto"/>
              <w:rPr>
                <w:rFonts w:cs="Arial"/>
                <w:color w:val="000000"/>
              </w:rPr>
            </w:pPr>
            <w:r w:rsidRPr="00EC768F">
              <w:rPr>
                <w:rFonts w:cs="Arial"/>
                <w:color w:val="000000"/>
              </w:rPr>
              <w:t>One user noted that silver could be killing good bacteria as well as bad – this is inaccurate statement as all antiseptics kill good bacteria as well as bad ones – they kill across a broad spectrum of bacterial and fungal pathogens McDonnell (1999)</w:t>
            </w:r>
          </w:p>
        </w:tc>
        <w:tc>
          <w:tcPr>
            <w:tcW w:w="3628" w:type="dxa"/>
          </w:tcPr>
          <w:p w14:paraId="3551F340" w14:textId="6C693998" w:rsidR="006C0C4C" w:rsidRPr="00EC768F" w:rsidRDefault="006C0C4C" w:rsidP="00EC768F">
            <w:pPr>
              <w:pStyle w:val="Paragraph"/>
              <w:spacing w:line="240" w:lineRule="auto"/>
              <w:rPr>
                <w:lang w:eastAsia="en-GB"/>
              </w:rPr>
            </w:pPr>
            <w:r w:rsidRPr="00EC768F">
              <w:rPr>
                <w:lang w:eastAsia="en-GB"/>
              </w:rPr>
              <w:t xml:space="preserve">Thank you for your comment. </w:t>
            </w:r>
            <w:r w:rsidR="00672CA9" w:rsidRPr="00EC768F">
              <w:rPr>
                <w:lang w:eastAsia="en-GB"/>
              </w:rPr>
              <w:t>The purpose of the user preference assessment is to present what the users said and felt during the assessment, and not to validate or invalidate these views. However, the view</w:t>
            </w:r>
            <w:r w:rsidR="00521057" w:rsidRPr="00EC768F">
              <w:rPr>
                <w:lang w:eastAsia="en-GB"/>
              </w:rPr>
              <w:t xml:space="preserve"> of silver killing good bacteria as well as bad </w:t>
            </w:r>
            <w:r w:rsidR="00796639" w:rsidRPr="00EC768F">
              <w:rPr>
                <w:lang w:eastAsia="en-GB"/>
              </w:rPr>
              <w:t xml:space="preserve">was not referenced in the </w:t>
            </w:r>
            <w:r w:rsidR="001506AD" w:rsidRPr="00EC768F">
              <w:rPr>
                <w:lang w:eastAsia="en-GB"/>
              </w:rPr>
              <w:t xml:space="preserve">guidance. </w:t>
            </w:r>
            <w:r w:rsidR="000845B1" w:rsidRPr="00EC768F">
              <w:rPr>
                <w:lang w:eastAsia="en-GB"/>
              </w:rPr>
              <w:t xml:space="preserve"> </w:t>
            </w:r>
          </w:p>
        </w:tc>
      </w:tr>
      <w:tr w:rsidR="00705378" w14:paraId="447BEEED" w14:textId="77777777" w:rsidTr="209F09E9">
        <w:tc>
          <w:tcPr>
            <w:tcW w:w="1323" w:type="dxa"/>
          </w:tcPr>
          <w:p w14:paraId="704C2C94"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35571FEE" w14:textId="4C34706A"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A70B22B" w14:textId="12C975A4"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00700B1E" w14:textId="55B2D3F7" w:rsidR="00705378" w:rsidRPr="00EC768F" w:rsidRDefault="00705378" w:rsidP="00EC768F">
            <w:pPr>
              <w:pStyle w:val="Paragraph"/>
              <w:spacing w:line="240" w:lineRule="auto"/>
              <w:rPr>
                <w:rFonts w:cs="Arial"/>
                <w:color w:val="000000"/>
              </w:rPr>
            </w:pPr>
            <w:r w:rsidRPr="00EC768F">
              <w:rPr>
                <w:rFonts w:cs="Arial"/>
                <w:color w:val="000000"/>
              </w:rPr>
              <w:t>Contradictory statement: Users agreed that there should be regular reviewing of efficacy at least every 2 weeks – this was not applied in the EAG where it was wrongly assumed that silver dressings should be used for a maximum of 2-4 weeks</w:t>
            </w:r>
          </w:p>
        </w:tc>
        <w:tc>
          <w:tcPr>
            <w:tcW w:w="3628" w:type="dxa"/>
          </w:tcPr>
          <w:p w14:paraId="65673C29" w14:textId="3C8F6C0A" w:rsidR="00705378" w:rsidRPr="00EC768F" w:rsidRDefault="00915EBE" w:rsidP="00EC768F">
            <w:pPr>
              <w:pStyle w:val="Paragraph"/>
              <w:spacing w:line="240" w:lineRule="auto"/>
              <w:rPr>
                <w:lang w:eastAsia="en-GB"/>
              </w:rPr>
            </w:pPr>
            <w:r w:rsidRPr="00EC768F">
              <w:rPr>
                <w:lang w:eastAsia="en-GB"/>
              </w:rPr>
              <w:t xml:space="preserve">Thank you for your comment. Please see response to comment </w:t>
            </w:r>
            <w:r w:rsidR="00777893" w:rsidRPr="00EC768F">
              <w:rPr>
                <w:lang w:eastAsia="en-GB"/>
              </w:rPr>
              <w:t>112.</w:t>
            </w:r>
          </w:p>
        </w:tc>
      </w:tr>
      <w:tr w:rsidR="00705378" w14:paraId="1195FBC4" w14:textId="77777777" w:rsidTr="209F09E9">
        <w:tc>
          <w:tcPr>
            <w:tcW w:w="1323" w:type="dxa"/>
          </w:tcPr>
          <w:p w14:paraId="6189CCF7"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7E891BE2" w14:textId="487A9E32"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CFFAC7A" w14:textId="2313BA7C"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2788BC6F" w14:textId="46E5E41D" w:rsidR="00705378" w:rsidRPr="00EC768F" w:rsidRDefault="00705378" w:rsidP="00EC768F">
            <w:pPr>
              <w:pStyle w:val="Paragraph"/>
              <w:spacing w:line="240" w:lineRule="auto"/>
              <w:rPr>
                <w:rFonts w:cs="Arial"/>
                <w:color w:val="000000"/>
              </w:rPr>
            </w:pPr>
            <w:r w:rsidRPr="00EC768F">
              <w:rPr>
                <w:rFonts w:cs="Arial"/>
                <w:color w:val="000000"/>
              </w:rPr>
              <w:t>Table 2:  Not all wound presentation criteria identified here were applied to the EAG consistently – specifically wound swab/ biopsy, malodour, type of wound exudate,</w:t>
            </w:r>
          </w:p>
        </w:tc>
        <w:tc>
          <w:tcPr>
            <w:tcW w:w="3628" w:type="dxa"/>
          </w:tcPr>
          <w:p w14:paraId="43B1A865" w14:textId="0AF7F343" w:rsidR="00705378" w:rsidRPr="00EC768F" w:rsidRDefault="007826CF" w:rsidP="00EC768F">
            <w:pPr>
              <w:pStyle w:val="Paragraph"/>
              <w:spacing w:line="240" w:lineRule="auto"/>
              <w:rPr>
                <w:lang w:eastAsia="en-GB"/>
              </w:rPr>
            </w:pPr>
            <w:r w:rsidRPr="00EC768F">
              <w:rPr>
                <w:lang w:eastAsia="en-GB"/>
              </w:rPr>
              <w:t xml:space="preserve">Thank you for your comment. Please see response to comment </w:t>
            </w:r>
            <w:r w:rsidR="00317B5D" w:rsidRPr="00EC768F">
              <w:rPr>
                <w:lang w:eastAsia="en-GB"/>
              </w:rPr>
              <w:t xml:space="preserve">209. However, the EAG’s protocol did plan to conduct subgroup analysis by wound presentation. </w:t>
            </w:r>
            <w:proofErr w:type="gramStart"/>
            <w:r w:rsidR="00317B5D" w:rsidRPr="00EC768F">
              <w:rPr>
                <w:lang w:eastAsia="en-GB"/>
              </w:rPr>
              <w:t>Unfortunately</w:t>
            </w:r>
            <w:proofErr w:type="gramEnd"/>
            <w:r w:rsidR="00317B5D" w:rsidRPr="00EC768F">
              <w:rPr>
                <w:lang w:eastAsia="en-GB"/>
              </w:rPr>
              <w:t xml:space="preserve"> there was not enough robust data to inform this. </w:t>
            </w:r>
          </w:p>
        </w:tc>
      </w:tr>
      <w:tr w:rsidR="00705378" w14:paraId="27AD34A9" w14:textId="77777777" w:rsidTr="209F09E9">
        <w:tc>
          <w:tcPr>
            <w:tcW w:w="1323" w:type="dxa"/>
          </w:tcPr>
          <w:p w14:paraId="4159E732" w14:textId="77777777" w:rsidR="00705378" w:rsidRPr="00EC768F" w:rsidRDefault="00705378" w:rsidP="00EC768F">
            <w:pPr>
              <w:pStyle w:val="Paragraph"/>
              <w:numPr>
                <w:ilvl w:val="0"/>
                <w:numId w:val="27"/>
              </w:numPr>
              <w:spacing w:line="240" w:lineRule="auto"/>
              <w:rPr>
                <w:lang w:eastAsia="en-GB"/>
              </w:rPr>
            </w:pPr>
          </w:p>
        </w:tc>
        <w:tc>
          <w:tcPr>
            <w:tcW w:w="1684" w:type="dxa"/>
            <w:tcBorders>
              <w:top w:val="single" w:sz="4" w:space="0" w:color="auto"/>
              <w:left w:val="nil"/>
              <w:bottom w:val="single" w:sz="4" w:space="0" w:color="auto"/>
              <w:right w:val="single" w:sz="4" w:space="0" w:color="auto"/>
            </w:tcBorders>
            <w:shd w:val="clear" w:color="auto" w:fill="auto"/>
          </w:tcPr>
          <w:p w14:paraId="31075057" w14:textId="7C6D07CB" w:rsidR="00705378" w:rsidRPr="00EC768F" w:rsidRDefault="00705378" w:rsidP="00EC768F">
            <w:pPr>
              <w:pStyle w:val="Paragraph"/>
              <w:spacing w:line="240" w:lineRule="auto"/>
              <w:rPr>
                <w:rFonts w:cs="Arial"/>
                <w:color w:val="000000"/>
              </w:rPr>
            </w:pPr>
            <w:r w:rsidRPr="00EC768F">
              <w:rPr>
                <w:rFonts w:cs="Arial"/>
                <w:color w:val="000000"/>
              </w:rPr>
              <w:t>Consultee 15</w:t>
            </w:r>
            <w:r w:rsidRPr="00EC768F">
              <w:rPr>
                <w:rFonts w:cs="Arial"/>
                <w:color w:val="000000"/>
              </w:rPr>
              <w:br/>
            </w:r>
            <w:proofErr w:type="spellStart"/>
            <w:r w:rsidRPr="00EC768F">
              <w:rPr>
                <w:rFonts w:cs="Arial"/>
                <w:color w:val="000000"/>
              </w:rPr>
              <w:t>T.J.Smith</w:t>
            </w:r>
            <w:proofErr w:type="spellEnd"/>
            <w:r w:rsidRPr="00EC768F">
              <w:rPr>
                <w:rFonts w:cs="Arial"/>
                <w:color w:val="000000"/>
              </w:rPr>
              <w:t xml:space="preserve"> and Nephew Ltd</w:t>
            </w: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0A1F805" w14:textId="7DD10016" w:rsidR="00705378" w:rsidRPr="00EC768F" w:rsidRDefault="00705378" w:rsidP="00EC768F">
            <w:pPr>
              <w:pStyle w:val="Paragraph"/>
              <w:spacing w:line="240" w:lineRule="auto"/>
              <w:rPr>
                <w:rFonts w:cs="Arial"/>
                <w:color w:val="000000"/>
              </w:rPr>
            </w:pPr>
            <w:r w:rsidRPr="00EC768F">
              <w:rPr>
                <w:rFonts w:cs="Arial"/>
                <w:color w:val="000000"/>
              </w:rPr>
              <w:t>User preference report</w:t>
            </w:r>
          </w:p>
        </w:tc>
        <w:tc>
          <w:tcPr>
            <w:tcW w:w="5189" w:type="dxa"/>
            <w:tcBorders>
              <w:top w:val="single" w:sz="4" w:space="0" w:color="auto"/>
              <w:left w:val="single" w:sz="4" w:space="0" w:color="auto"/>
              <w:bottom w:val="single" w:sz="4" w:space="0" w:color="auto"/>
              <w:right w:val="nil"/>
            </w:tcBorders>
            <w:shd w:val="clear" w:color="auto" w:fill="auto"/>
          </w:tcPr>
          <w:p w14:paraId="60B48632" w14:textId="55FD4A3F" w:rsidR="00705378" w:rsidRPr="00EC768F" w:rsidRDefault="00705378" w:rsidP="00EC768F">
            <w:pPr>
              <w:pStyle w:val="Paragraph"/>
              <w:spacing w:line="240" w:lineRule="auto"/>
              <w:rPr>
                <w:rFonts w:cs="Arial"/>
                <w:color w:val="000000"/>
              </w:rPr>
            </w:pPr>
            <w:r w:rsidRPr="00EC768F">
              <w:rPr>
                <w:rFonts w:cs="Arial"/>
                <w:color w:val="000000"/>
              </w:rPr>
              <w:t>1 user commented that it would be unusual to leave a dressing on for as long as 7 days - This risk-based behaviour was not applied in the EAG when assessing dressing changes</w:t>
            </w:r>
          </w:p>
        </w:tc>
        <w:tc>
          <w:tcPr>
            <w:tcW w:w="3628" w:type="dxa"/>
          </w:tcPr>
          <w:p w14:paraId="088D16B8" w14:textId="4F5706BD" w:rsidR="00705378" w:rsidRPr="00EC768F" w:rsidRDefault="00176FDD" w:rsidP="00EC768F">
            <w:pPr>
              <w:pStyle w:val="Paragraph"/>
              <w:spacing w:line="240" w:lineRule="auto"/>
              <w:rPr>
                <w:lang w:eastAsia="en-GB"/>
              </w:rPr>
            </w:pPr>
            <w:r w:rsidRPr="00EC768F">
              <w:rPr>
                <w:lang w:eastAsia="en-GB"/>
              </w:rPr>
              <w:t>Thank you for your comment. Please see response to comment 209.</w:t>
            </w:r>
          </w:p>
        </w:tc>
      </w:tr>
    </w:tbl>
    <w:p w14:paraId="7B23931E" w14:textId="77777777" w:rsidR="00FC4364" w:rsidRDefault="00FC4364" w:rsidP="00FC4364">
      <w:pPr>
        <w:pStyle w:val="Heading1"/>
        <w:spacing w:line="240" w:lineRule="auto"/>
      </w:pPr>
      <w:r>
        <w:t>Table 29: description of the technology</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689"/>
        <w:gridCol w:w="2038"/>
        <w:gridCol w:w="5243"/>
        <w:gridCol w:w="3655"/>
      </w:tblGrid>
      <w:tr w:rsidR="002414F6" w14:paraId="5CA3ABAA" w14:textId="77777777" w:rsidTr="1948D9BA">
        <w:tc>
          <w:tcPr>
            <w:tcW w:w="1199" w:type="dxa"/>
            <w:shd w:val="clear" w:color="auto" w:fill="D9D9D9" w:themeFill="background1" w:themeFillShade="D9"/>
          </w:tcPr>
          <w:p w14:paraId="61BEA038" w14:textId="73B785AB" w:rsidR="002414F6" w:rsidRPr="00EC768F" w:rsidRDefault="002414F6" w:rsidP="00EC768F">
            <w:pPr>
              <w:pStyle w:val="Paragraph"/>
              <w:spacing w:line="240" w:lineRule="auto"/>
              <w:rPr>
                <w:lang w:eastAsia="en-GB"/>
              </w:rPr>
            </w:pPr>
            <w:r w:rsidRPr="00EC768F">
              <w:rPr>
                <w:b/>
                <w:bCs/>
                <w:lang w:eastAsia="en-GB"/>
              </w:rPr>
              <w:t>Comment no.</w:t>
            </w:r>
          </w:p>
        </w:tc>
        <w:tc>
          <w:tcPr>
            <w:tcW w:w="1695" w:type="dxa"/>
            <w:tcBorders>
              <w:top w:val="single" w:sz="4" w:space="0" w:color="auto"/>
              <w:left w:val="nil"/>
              <w:bottom w:val="single" w:sz="4" w:space="0" w:color="auto"/>
              <w:right w:val="single" w:sz="4" w:space="0" w:color="auto"/>
            </w:tcBorders>
            <w:shd w:val="clear" w:color="auto" w:fill="D9D9D9" w:themeFill="background1" w:themeFillShade="D9"/>
          </w:tcPr>
          <w:p w14:paraId="69157136" w14:textId="628FF166" w:rsidR="002414F6" w:rsidRPr="00EC768F" w:rsidRDefault="002414F6" w:rsidP="00EC768F">
            <w:pPr>
              <w:pStyle w:val="Paragraph"/>
              <w:spacing w:line="240" w:lineRule="auto"/>
              <w:rPr>
                <w:rFonts w:cs="Arial"/>
                <w:color w:val="000000"/>
              </w:rPr>
            </w:pPr>
            <w:r w:rsidRPr="00EC768F">
              <w:rPr>
                <w:b/>
                <w:bCs/>
                <w:lang w:eastAsia="en-GB"/>
              </w:rPr>
              <w:t>Consultee</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521E5" w14:textId="472CAEB2" w:rsidR="002414F6" w:rsidRPr="00EC768F" w:rsidRDefault="002414F6" w:rsidP="00EC768F">
            <w:pPr>
              <w:pStyle w:val="Paragraph"/>
              <w:spacing w:line="240" w:lineRule="auto"/>
              <w:rPr>
                <w:rFonts w:cs="Arial"/>
                <w:color w:val="000000"/>
              </w:rPr>
            </w:pPr>
            <w:r w:rsidRPr="00EC768F">
              <w:rPr>
                <w:b/>
                <w:bCs/>
                <w:lang w:eastAsia="en-GB"/>
              </w:rPr>
              <w:t>Section no.</w:t>
            </w:r>
          </w:p>
        </w:tc>
        <w:tc>
          <w:tcPr>
            <w:tcW w:w="5310" w:type="dxa"/>
            <w:tcBorders>
              <w:top w:val="single" w:sz="4" w:space="0" w:color="auto"/>
              <w:left w:val="single" w:sz="4" w:space="0" w:color="auto"/>
              <w:bottom w:val="single" w:sz="4" w:space="0" w:color="auto"/>
              <w:right w:val="nil"/>
            </w:tcBorders>
            <w:shd w:val="clear" w:color="auto" w:fill="D9D9D9" w:themeFill="background1" w:themeFillShade="D9"/>
          </w:tcPr>
          <w:p w14:paraId="38124301" w14:textId="1836B7EF" w:rsidR="002414F6" w:rsidRPr="00EC768F" w:rsidRDefault="002414F6" w:rsidP="00EC768F">
            <w:pPr>
              <w:pStyle w:val="Paragraph"/>
              <w:spacing w:line="240" w:lineRule="auto"/>
              <w:rPr>
                <w:rFonts w:cs="Arial"/>
                <w:color w:val="000000"/>
              </w:rPr>
            </w:pPr>
            <w:r w:rsidRPr="00EC768F">
              <w:rPr>
                <w:b/>
                <w:bCs/>
                <w:lang w:eastAsia="en-GB"/>
              </w:rPr>
              <w:t>Comment</w:t>
            </w:r>
          </w:p>
        </w:tc>
        <w:tc>
          <w:tcPr>
            <w:tcW w:w="3693" w:type="dxa"/>
            <w:shd w:val="clear" w:color="auto" w:fill="D9D9D9" w:themeFill="background1" w:themeFillShade="D9"/>
          </w:tcPr>
          <w:p w14:paraId="2FA15E19" w14:textId="063B1A6E" w:rsidR="002414F6" w:rsidRPr="00EC768F" w:rsidRDefault="002414F6" w:rsidP="00EC768F">
            <w:pPr>
              <w:pStyle w:val="Paragraph"/>
              <w:spacing w:line="240" w:lineRule="auto"/>
              <w:rPr>
                <w:lang w:eastAsia="en-GB"/>
              </w:rPr>
            </w:pPr>
            <w:r w:rsidRPr="00EC768F">
              <w:rPr>
                <w:b/>
                <w:bCs/>
                <w:lang w:eastAsia="en-GB"/>
              </w:rPr>
              <w:t>Response</w:t>
            </w:r>
          </w:p>
        </w:tc>
      </w:tr>
      <w:tr w:rsidR="008E70C4" w14:paraId="298506E6" w14:textId="77777777" w:rsidTr="1948D9BA">
        <w:tc>
          <w:tcPr>
            <w:tcW w:w="1199" w:type="dxa"/>
          </w:tcPr>
          <w:p w14:paraId="4D77841D" w14:textId="77777777" w:rsidR="008E70C4" w:rsidRPr="00EC768F" w:rsidRDefault="008E70C4" w:rsidP="00EC768F">
            <w:pPr>
              <w:pStyle w:val="Paragraph"/>
              <w:numPr>
                <w:ilvl w:val="0"/>
                <w:numId w:val="27"/>
              </w:numPr>
              <w:spacing w:line="240" w:lineRule="auto"/>
              <w:rPr>
                <w:lang w:eastAsia="en-GB"/>
              </w:rPr>
            </w:pPr>
          </w:p>
        </w:tc>
        <w:tc>
          <w:tcPr>
            <w:tcW w:w="1695" w:type="dxa"/>
            <w:tcBorders>
              <w:top w:val="single" w:sz="4" w:space="0" w:color="auto"/>
              <w:left w:val="nil"/>
              <w:bottom w:val="single" w:sz="4" w:space="0" w:color="auto"/>
              <w:right w:val="single" w:sz="4" w:space="0" w:color="auto"/>
            </w:tcBorders>
            <w:shd w:val="clear" w:color="auto" w:fill="auto"/>
          </w:tcPr>
          <w:p w14:paraId="7D142C11" w14:textId="467D9BB9" w:rsidR="008E70C4" w:rsidRPr="00EC768F" w:rsidRDefault="008E70C4" w:rsidP="00EC768F">
            <w:pPr>
              <w:pStyle w:val="Paragraph"/>
              <w:spacing w:line="240" w:lineRule="auto"/>
              <w:rPr>
                <w:lang w:eastAsia="en-GB"/>
              </w:rPr>
            </w:pPr>
            <w:r w:rsidRPr="00EC768F">
              <w:rPr>
                <w:rFonts w:cs="Arial"/>
                <w:color w:val="000000"/>
              </w:rPr>
              <w:t>Consultee 3</w:t>
            </w:r>
            <w:r w:rsidRPr="00EC768F">
              <w:rPr>
                <w:rFonts w:cs="Arial"/>
                <w:color w:val="000000"/>
              </w:rPr>
              <w:br/>
              <w:t>Individual</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09EB78B9" w14:textId="5BCBE7D0" w:rsidR="008E70C4" w:rsidRPr="00EC768F" w:rsidRDefault="008E70C4" w:rsidP="00EC768F">
            <w:pPr>
              <w:pStyle w:val="Paragraph"/>
              <w:spacing w:line="240" w:lineRule="auto"/>
              <w:rPr>
                <w:lang w:eastAsia="en-GB"/>
              </w:rPr>
            </w:pPr>
            <w:r w:rsidRPr="00EC768F">
              <w:rPr>
                <w:rFonts w:cs="Arial"/>
                <w:color w:val="000000"/>
              </w:rPr>
              <w:t>2.1 2 The technology</w:t>
            </w:r>
          </w:p>
        </w:tc>
        <w:tc>
          <w:tcPr>
            <w:tcW w:w="5310" w:type="dxa"/>
            <w:tcBorders>
              <w:top w:val="single" w:sz="4" w:space="0" w:color="auto"/>
              <w:left w:val="single" w:sz="4" w:space="0" w:color="auto"/>
              <w:bottom w:val="single" w:sz="4" w:space="0" w:color="auto"/>
              <w:right w:val="nil"/>
            </w:tcBorders>
            <w:shd w:val="clear" w:color="auto" w:fill="auto"/>
          </w:tcPr>
          <w:p w14:paraId="2982FE17" w14:textId="38890E13" w:rsidR="008E70C4" w:rsidRPr="00EC768F" w:rsidRDefault="008E70C4" w:rsidP="00EC768F">
            <w:pPr>
              <w:pStyle w:val="Paragraph"/>
              <w:spacing w:line="240" w:lineRule="auto"/>
              <w:rPr>
                <w:lang w:eastAsia="en-GB"/>
              </w:rPr>
            </w:pPr>
            <w:r w:rsidRPr="00EC768F">
              <w:rPr>
                <w:rFonts w:cs="Arial"/>
                <w:color w:val="000000"/>
              </w:rPr>
              <w:t xml:space="preserve">AMDs are not cleared, from a regulatory perspective, to treat infection.  They manage local bioburden/ infection </w:t>
            </w:r>
            <w:proofErr w:type="gramStart"/>
            <w:r w:rsidRPr="00EC768F">
              <w:rPr>
                <w:rFonts w:cs="Arial"/>
                <w:color w:val="000000"/>
              </w:rPr>
              <w:t>in order to</w:t>
            </w:r>
            <w:proofErr w:type="gramEnd"/>
            <w:r w:rsidRPr="00EC768F">
              <w:rPr>
                <w:rFonts w:cs="Arial"/>
                <w:color w:val="000000"/>
              </w:rPr>
              <w:t xml:space="preserve"> prevent progression to systemic infection. Dose/ level of available antimicrobial agent should be a consideration but has not been assessed in a similar way to other antimicrobials (i.e. MIC levels for Antibiotics). Using low levels of any antimicrobial, below an effective dose, can </w:t>
            </w:r>
            <w:r w:rsidRPr="00EC768F">
              <w:rPr>
                <w:rFonts w:cs="Arial"/>
                <w:color w:val="000000"/>
              </w:rPr>
              <w:lastRenderedPageBreak/>
              <w:t>lead to the development of antimicrobial resistance.</w:t>
            </w:r>
          </w:p>
        </w:tc>
        <w:tc>
          <w:tcPr>
            <w:tcW w:w="3693" w:type="dxa"/>
          </w:tcPr>
          <w:p w14:paraId="215A8AA1" w14:textId="7E770FA1" w:rsidR="00DC59A6" w:rsidRPr="00EC768F" w:rsidRDefault="0A979E1B">
            <w:pPr>
              <w:pStyle w:val="Paragraph"/>
              <w:spacing w:line="240" w:lineRule="auto"/>
              <w:rPr>
                <w:lang w:eastAsia="en-GB"/>
              </w:rPr>
            </w:pPr>
            <w:r w:rsidRPr="1948D9BA">
              <w:rPr>
                <w:lang w:eastAsia="en-GB"/>
              </w:rPr>
              <w:lastRenderedPageBreak/>
              <w:t xml:space="preserve">Thank you for your comment. </w:t>
            </w:r>
            <w:r w:rsidR="5CF069BF" w:rsidRPr="1948D9BA">
              <w:rPr>
                <w:lang w:eastAsia="en-GB"/>
              </w:rPr>
              <w:t xml:space="preserve">The role of AMDs has been clarified in the technology description section. </w:t>
            </w:r>
            <w:r w:rsidR="5EB64CD6" w:rsidRPr="1948D9BA">
              <w:rPr>
                <w:lang w:eastAsia="en-GB"/>
              </w:rPr>
              <w:t>The</w:t>
            </w:r>
            <w:r w:rsidR="5CF069BF" w:rsidRPr="1948D9BA">
              <w:rPr>
                <w:lang w:eastAsia="en-GB"/>
              </w:rPr>
              <w:t xml:space="preserve"> clinical experts informed us that antimicrobial dressings are one of the options they use to treat a locally infected leg ulcer. </w:t>
            </w:r>
            <w:r w:rsidR="727DB34C" w:rsidRPr="1948D9BA">
              <w:rPr>
                <w:lang w:eastAsia="en-GB"/>
              </w:rPr>
              <w:t xml:space="preserve">This guidance does not </w:t>
            </w:r>
            <w:r w:rsidR="288BDEAE" w:rsidRPr="1948D9BA">
              <w:rPr>
                <w:lang w:eastAsia="en-GB"/>
              </w:rPr>
              <w:t xml:space="preserve">remove </w:t>
            </w:r>
            <w:r w:rsidR="288BDEAE" w:rsidRPr="1948D9BA">
              <w:rPr>
                <w:lang w:eastAsia="en-GB"/>
              </w:rPr>
              <w:lastRenderedPageBreak/>
              <w:t>clinical reasoning from the healthcare professional and assumes that any antimicrobial dressing is used appropriately.</w:t>
            </w:r>
          </w:p>
        </w:tc>
      </w:tr>
      <w:tr w:rsidR="008E70C4" w14:paraId="0A98B07B" w14:textId="77777777" w:rsidTr="1948D9BA">
        <w:tc>
          <w:tcPr>
            <w:tcW w:w="1199" w:type="dxa"/>
          </w:tcPr>
          <w:p w14:paraId="6F66792C" w14:textId="77777777" w:rsidR="008E70C4" w:rsidRPr="00EC768F" w:rsidRDefault="008E70C4" w:rsidP="00EC768F">
            <w:pPr>
              <w:pStyle w:val="Paragraph"/>
              <w:numPr>
                <w:ilvl w:val="0"/>
                <w:numId w:val="27"/>
              </w:numPr>
              <w:spacing w:line="240" w:lineRule="auto"/>
              <w:rPr>
                <w:lang w:eastAsia="en-GB"/>
              </w:rPr>
            </w:pPr>
          </w:p>
        </w:tc>
        <w:tc>
          <w:tcPr>
            <w:tcW w:w="1695" w:type="dxa"/>
            <w:tcBorders>
              <w:top w:val="single" w:sz="4" w:space="0" w:color="auto"/>
              <w:left w:val="nil"/>
              <w:bottom w:val="single" w:sz="4" w:space="0" w:color="auto"/>
              <w:right w:val="single" w:sz="4" w:space="0" w:color="auto"/>
            </w:tcBorders>
            <w:shd w:val="clear" w:color="auto" w:fill="auto"/>
          </w:tcPr>
          <w:p w14:paraId="49438219" w14:textId="7CEDBDE0" w:rsidR="008E70C4" w:rsidRPr="00EC768F" w:rsidRDefault="008E70C4" w:rsidP="00EC768F">
            <w:pPr>
              <w:pStyle w:val="Paragraph"/>
              <w:spacing w:line="240" w:lineRule="auto"/>
              <w:rPr>
                <w:lang w:eastAsia="en-GB"/>
              </w:rPr>
            </w:pPr>
            <w:r w:rsidRPr="00EC768F">
              <w:rPr>
                <w:rFonts w:cs="Arial"/>
                <w:color w:val="000000"/>
              </w:rPr>
              <w:t>Consultee 4</w:t>
            </w:r>
            <w:r w:rsidRPr="00EC768F">
              <w:rPr>
                <w:rFonts w:cs="Arial"/>
                <w:color w:val="000000"/>
              </w:rPr>
              <w:br/>
              <w:t>Coloplast</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3DE2CF53" w14:textId="479A2573" w:rsidR="008E70C4" w:rsidRPr="00EC768F" w:rsidRDefault="008E70C4" w:rsidP="00EC768F">
            <w:pPr>
              <w:pStyle w:val="Paragraph"/>
              <w:spacing w:line="240" w:lineRule="auto"/>
              <w:rPr>
                <w:lang w:eastAsia="en-GB"/>
              </w:rPr>
            </w:pPr>
            <w:r w:rsidRPr="00EC768F">
              <w:rPr>
                <w:rFonts w:cs="Arial"/>
                <w:color w:val="000000"/>
              </w:rPr>
              <w:t>2.1 2 The technology</w:t>
            </w:r>
          </w:p>
        </w:tc>
        <w:tc>
          <w:tcPr>
            <w:tcW w:w="5310" w:type="dxa"/>
            <w:tcBorders>
              <w:top w:val="single" w:sz="4" w:space="0" w:color="auto"/>
              <w:left w:val="single" w:sz="4" w:space="0" w:color="auto"/>
              <w:bottom w:val="single" w:sz="4" w:space="0" w:color="auto"/>
              <w:right w:val="nil"/>
            </w:tcBorders>
            <w:shd w:val="clear" w:color="auto" w:fill="auto"/>
          </w:tcPr>
          <w:p w14:paraId="41387F9D" w14:textId="7F9B75FB" w:rsidR="008E70C4" w:rsidRPr="00EC768F" w:rsidRDefault="008E70C4" w:rsidP="00EC768F">
            <w:pPr>
              <w:pStyle w:val="Paragraph"/>
              <w:spacing w:line="240" w:lineRule="auto"/>
              <w:rPr>
                <w:lang w:eastAsia="en-GB"/>
              </w:rPr>
            </w:pPr>
            <w:r w:rsidRPr="00EC768F">
              <w:rPr>
                <w:rFonts w:cs="Arial"/>
                <w:color w:val="000000"/>
              </w:rPr>
              <w:t>Products which sequester bacteria are also in scope within this LSA. It is therefore factually inaccurate to state that ‘topical antimicrobial dressings are dressings that contain an antimicrobial agent which they deliver directly to the wound or wound bed’. This is not the case with bacterial sequestering products and their mode of action should be clearly indicated.</w:t>
            </w:r>
          </w:p>
        </w:tc>
        <w:tc>
          <w:tcPr>
            <w:tcW w:w="3693" w:type="dxa"/>
          </w:tcPr>
          <w:p w14:paraId="2F84896C" w14:textId="3A1948DB" w:rsidR="008E70C4" w:rsidRPr="00EC768F" w:rsidRDefault="004A1E4E" w:rsidP="00EC768F">
            <w:pPr>
              <w:pStyle w:val="Paragraph"/>
              <w:spacing w:line="240" w:lineRule="auto"/>
              <w:rPr>
                <w:lang w:eastAsia="en-GB"/>
              </w:rPr>
            </w:pPr>
            <w:r w:rsidRPr="00EC768F">
              <w:rPr>
                <w:lang w:eastAsia="en-GB"/>
              </w:rPr>
              <w:t xml:space="preserve">Thank you for your comment. This has been clarified in the </w:t>
            </w:r>
            <w:r w:rsidR="000F3600" w:rsidRPr="00EC768F">
              <w:rPr>
                <w:lang w:eastAsia="en-GB"/>
              </w:rPr>
              <w:t xml:space="preserve">guidance document. </w:t>
            </w:r>
          </w:p>
        </w:tc>
      </w:tr>
      <w:tr w:rsidR="008E70C4" w14:paraId="154F84FC" w14:textId="77777777" w:rsidTr="1948D9BA">
        <w:tc>
          <w:tcPr>
            <w:tcW w:w="1199" w:type="dxa"/>
          </w:tcPr>
          <w:p w14:paraId="1EB713A9" w14:textId="77777777" w:rsidR="008E70C4" w:rsidRPr="00EC768F" w:rsidRDefault="008E70C4" w:rsidP="00EC768F">
            <w:pPr>
              <w:pStyle w:val="Paragraph"/>
              <w:numPr>
                <w:ilvl w:val="0"/>
                <w:numId w:val="27"/>
              </w:numPr>
              <w:spacing w:line="240" w:lineRule="auto"/>
              <w:rPr>
                <w:lang w:eastAsia="en-GB"/>
              </w:rPr>
            </w:pPr>
          </w:p>
        </w:tc>
        <w:tc>
          <w:tcPr>
            <w:tcW w:w="1695" w:type="dxa"/>
            <w:tcBorders>
              <w:top w:val="single" w:sz="4" w:space="0" w:color="auto"/>
              <w:left w:val="nil"/>
              <w:bottom w:val="single" w:sz="4" w:space="0" w:color="auto"/>
              <w:right w:val="single" w:sz="4" w:space="0" w:color="auto"/>
            </w:tcBorders>
            <w:shd w:val="clear" w:color="auto" w:fill="auto"/>
          </w:tcPr>
          <w:p w14:paraId="7079FDFA" w14:textId="0A0A09C9" w:rsidR="008E70C4" w:rsidRPr="00EC768F" w:rsidRDefault="008E70C4" w:rsidP="00EC768F">
            <w:pPr>
              <w:pStyle w:val="Paragraph"/>
              <w:spacing w:line="240" w:lineRule="auto"/>
              <w:rPr>
                <w:lang w:eastAsia="en-GB"/>
              </w:rPr>
            </w:pPr>
            <w:r w:rsidRPr="00EC768F">
              <w:rPr>
                <w:rFonts w:cs="Arial"/>
                <w:color w:val="000000"/>
              </w:rPr>
              <w:t>Consultee 4</w:t>
            </w:r>
            <w:r w:rsidRPr="00EC768F">
              <w:rPr>
                <w:rFonts w:cs="Arial"/>
                <w:color w:val="000000"/>
              </w:rPr>
              <w:br/>
              <w:t>Coloplast</w:t>
            </w:r>
          </w:p>
        </w:tc>
        <w:tc>
          <w:tcPr>
            <w:tcW w:w="2051" w:type="dxa"/>
            <w:tcBorders>
              <w:top w:val="single" w:sz="4" w:space="0" w:color="auto"/>
              <w:left w:val="single" w:sz="4" w:space="0" w:color="auto"/>
              <w:bottom w:val="single" w:sz="4" w:space="0" w:color="auto"/>
              <w:right w:val="single" w:sz="4" w:space="0" w:color="auto"/>
            </w:tcBorders>
            <w:shd w:val="clear" w:color="auto" w:fill="auto"/>
          </w:tcPr>
          <w:p w14:paraId="131159E2" w14:textId="3E261134" w:rsidR="008E70C4" w:rsidRPr="00EC768F" w:rsidRDefault="008E70C4" w:rsidP="00EC768F">
            <w:pPr>
              <w:pStyle w:val="Paragraph"/>
              <w:spacing w:line="240" w:lineRule="auto"/>
              <w:rPr>
                <w:lang w:eastAsia="en-GB"/>
              </w:rPr>
            </w:pPr>
            <w:r w:rsidRPr="00EC768F">
              <w:rPr>
                <w:rFonts w:cs="Arial"/>
                <w:color w:val="000000"/>
              </w:rPr>
              <w:t>2.1 2 The technology</w:t>
            </w:r>
          </w:p>
        </w:tc>
        <w:tc>
          <w:tcPr>
            <w:tcW w:w="5310" w:type="dxa"/>
            <w:tcBorders>
              <w:top w:val="single" w:sz="4" w:space="0" w:color="auto"/>
              <w:left w:val="single" w:sz="4" w:space="0" w:color="auto"/>
              <w:bottom w:val="single" w:sz="4" w:space="0" w:color="auto"/>
              <w:right w:val="nil"/>
            </w:tcBorders>
            <w:shd w:val="clear" w:color="auto" w:fill="auto"/>
          </w:tcPr>
          <w:p w14:paraId="1BB1E289" w14:textId="556EBFAC" w:rsidR="008E70C4" w:rsidRPr="00EC768F" w:rsidRDefault="008E70C4" w:rsidP="00EC768F">
            <w:pPr>
              <w:pStyle w:val="Paragraph"/>
              <w:spacing w:line="240" w:lineRule="auto"/>
              <w:rPr>
                <w:lang w:eastAsia="en-GB"/>
              </w:rPr>
            </w:pPr>
            <w:r w:rsidRPr="00EC768F">
              <w:rPr>
                <w:rFonts w:cs="Arial"/>
                <w:color w:val="000000"/>
              </w:rPr>
              <w:t xml:space="preserve">Factual errors – Types of dressings and their uses. Please note: </w:t>
            </w:r>
            <w:r w:rsidRPr="00EC768F">
              <w:rPr>
                <w:rFonts w:cs="Arial"/>
                <w:color w:val="000000"/>
              </w:rPr>
              <w:br/>
              <w:t>- Foams are generally indicated for low-highly exuding wounds. Foams can be used on exuding wounds to act as an absorbent while maintaining a moist environment. Foams can also be used on superficial and partial thickness wounds.</w:t>
            </w:r>
            <w:r w:rsidRPr="00EC768F">
              <w:rPr>
                <w:rFonts w:cs="Arial"/>
                <w:color w:val="000000"/>
              </w:rPr>
              <w:br/>
              <w:t xml:space="preserve">- Alginates and gelling </w:t>
            </w:r>
            <w:proofErr w:type="spellStart"/>
            <w:r w:rsidRPr="00EC768F">
              <w:rPr>
                <w:rFonts w:cs="Arial"/>
                <w:color w:val="000000"/>
              </w:rPr>
              <w:t>fibers</w:t>
            </w:r>
            <w:proofErr w:type="spellEnd"/>
            <w:r w:rsidRPr="00EC768F">
              <w:rPr>
                <w:rFonts w:cs="Arial"/>
                <w:color w:val="000000"/>
              </w:rPr>
              <w:t xml:space="preserve"> will also aid autolytic debridement and are often used for this treatment objective. </w:t>
            </w:r>
            <w:r w:rsidRPr="00EC768F">
              <w:rPr>
                <w:rFonts w:cs="Arial"/>
                <w:color w:val="000000"/>
              </w:rPr>
              <w:br/>
              <w:t>This information can be found within manufacturer’s instructions for use.</w:t>
            </w:r>
          </w:p>
        </w:tc>
        <w:tc>
          <w:tcPr>
            <w:tcW w:w="3693" w:type="dxa"/>
          </w:tcPr>
          <w:p w14:paraId="124C546D" w14:textId="365D8C79" w:rsidR="00360A9D" w:rsidRPr="00EC768F" w:rsidRDefault="002358E8" w:rsidP="00EC768F">
            <w:pPr>
              <w:pStyle w:val="Paragraph"/>
              <w:spacing w:line="240" w:lineRule="auto"/>
              <w:rPr>
                <w:lang w:eastAsia="en-GB"/>
              </w:rPr>
            </w:pPr>
            <w:r w:rsidRPr="00EC768F">
              <w:rPr>
                <w:lang w:eastAsia="en-GB"/>
              </w:rPr>
              <w:t>Thank you for your comment. In line with the BNF</w:t>
            </w:r>
            <w:r w:rsidR="0037432B" w:rsidRPr="00EC768F">
              <w:rPr>
                <w:lang w:eastAsia="en-GB"/>
              </w:rPr>
              <w:t xml:space="preserve">, the description of foams </w:t>
            </w:r>
            <w:r w:rsidR="00360A9D" w:rsidRPr="00EC768F">
              <w:rPr>
                <w:lang w:eastAsia="en-GB"/>
              </w:rPr>
              <w:t>is now</w:t>
            </w:r>
            <w:r w:rsidR="00A561A4" w:rsidRPr="00EC768F">
              <w:rPr>
                <w:lang w:eastAsia="en-GB"/>
              </w:rPr>
              <w:t xml:space="preserve"> classified as</w:t>
            </w:r>
            <w:r w:rsidR="00360A9D" w:rsidRPr="00EC768F">
              <w:rPr>
                <w:lang w:eastAsia="en-GB"/>
              </w:rPr>
              <w:t xml:space="preserve"> ‘low</w:t>
            </w:r>
            <w:r w:rsidR="00EE45A1" w:rsidRPr="00EC768F">
              <w:rPr>
                <w:lang w:eastAsia="en-GB"/>
              </w:rPr>
              <w:t xml:space="preserve"> to </w:t>
            </w:r>
            <w:r w:rsidR="00360A9D" w:rsidRPr="00EC768F">
              <w:rPr>
                <w:lang w:eastAsia="en-GB"/>
              </w:rPr>
              <w:t>high</w:t>
            </w:r>
            <w:r w:rsidR="00A561A4" w:rsidRPr="00EC768F">
              <w:rPr>
                <w:lang w:eastAsia="en-GB"/>
              </w:rPr>
              <w:t xml:space="preserve"> exuding </w:t>
            </w:r>
            <w:proofErr w:type="gramStart"/>
            <w:r w:rsidR="00A561A4" w:rsidRPr="00EC768F">
              <w:rPr>
                <w:lang w:eastAsia="en-GB"/>
              </w:rPr>
              <w:t>wounds</w:t>
            </w:r>
            <w:r w:rsidR="00360A9D" w:rsidRPr="00EC768F">
              <w:rPr>
                <w:lang w:eastAsia="en-GB"/>
              </w:rPr>
              <w:t>’</w:t>
            </w:r>
            <w:proofErr w:type="gramEnd"/>
            <w:r w:rsidR="00360A9D" w:rsidRPr="00EC768F">
              <w:rPr>
                <w:lang w:eastAsia="en-GB"/>
              </w:rPr>
              <w:t>.</w:t>
            </w:r>
            <w:r w:rsidR="00EE45A1" w:rsidRPr="00EC768F">
              <w:rPr>
                <w:lang w:eastAsia="en-GB"/>
              </w:rPr>
              <w:t xml:space="preserve"> </w:t>
            </w:r>
            <w:r w:rsidR="00960E56" w:rsidRPr="00EC768F">
              <w:rPr>
                <w:lang w:eastAsia="en-GB"/>
              </w:rPr>
              <w:t xml:space="preserve">Alginates and gelling fibres have also been added to the </w:t>
            </w:r>
            <w:r w:rsidR="00F07DC0" w:rsidRPr="00EC768F">
              <w:rPr>
                <w:lang w:eastAsia="en-GB"/>
              </w:rPr>
              <w:t xml:space="preserve">row for autolytic </w:t>
            </w:r>
            <w:r w:rsidR="00E84BC2" w:rsidRPr="00EC768F">
              <w:rPr>
                <w:lang w:eastAsia="en-GB"/>
              </w:rPr>
              <w:t xml:space="preserve">debridement. </w:t>
            </w:r>
          </w:p>
        </w:tc>
      </w:tr>
    </w:tbl>
    <w:p w14:paraId="65A2CC4D" w14:textId="31849E29" w:rsidR="009E3ECD" w:rsidRDefault="009E3ECD" w:rsidP="00EB53E2">
      <w:pPr>
        <w:rPr>
          <w:rFonts w:ascii="Arial" w:hAnsi="Arial"/>
        </w:rPr>
      </w:pPr>
      <w:r>
        <w:br w:type="page"/>
      </w:r>
    </w:p>
    <w:p w14:paraId="5A8440B1" w14:textId="77777777" w:rsidR="008C25D7" w:rsidRDefault="008C25D7" w:rsidP="008C25D7">
      <w:pPr>
        <w:pStyle w:val="Heading1"/>
        <w:spacing w:line="240" w:lineRule="auto"/>
      </w:pPr>
      <w:r>
        <w:lastRenderedPageBreak/>
        <w:t>Appendix A: comments longer than 500 words</w:t>
      </w:r>
    </w:p>
    <w:p w14:paraId="1EB2B0C7" w14:textId="77777777" w:rsidR="008C25D7" w:rsidRPr="008C25D7" w:rsidRDefault="008C25D7" w:rsidP="008C25D7">
      <w:pPr>
        <w:pStyle w:val="Paragraph"/>
        <w:spacing w:line="240" w:lineRule="auto"/>
        <w:rPr>
          <w:rFonts w:cs="Arial"/>
          <w:u w:val="single"/>
          <w:lang w:eastAsia="en-GB"/>
        </w:rPr>
      </w:pPr>
      <w:r w:rsidRPr="008C25D7">
        <w:rPr>
          <w:rFonts w:cs="Arial"/>
          <w:u w:val="single"/>
          <w:lang w:eastAsia="en-GB"/>
        </w:rPr>
        <w:t xml:space="preserve">Comment 157, Consultee 11 </w:t>
      </w:r>
      <w:proofErr w:type="spellStart"/>
      <w:r w:rsidRPr="008C25D7">
        <w:rPr>
          <w:rFonts w:cs="Arial"/>
          <w:u w:val="single"/>
          <w:lang w:eastAsia="en-GB"/>
        </w:rPr>
        <w:t>Convatec</w:t>
      </w:r>
      <w:proofErr w:type="spellEnd"/>
      <w:r w:rsidRPr="008C25D7">
        <w:rPr>
          <w:rFonts w:cs="Arial"/>
          <w:u w:val="single"/>
          <w:lang w:eastAsia="en-GB"/>
        </w:rPr>
        <w:t>, factual accuracy query of external assessment report</w:t>
      </w:r>
    </w:p>
    <w:p w14:paraId="48347A0A" w14:textId="77777777" w:rsidR="008C25D7" w:rsidRDefault="008C25D7" w:rsidP="008C25D7">
      <w:pPr>
        <w:pStyle w:val="Paragraph"/>
        <w:spacing w:line="240" w:lineRule="auto"/>
        <w:rPr>
          <w:rFonts w:cs="Arial"/>
          <w:color w:val="000000"/>
        </w:rPr>
      </w:pPr>
      <w:r w:rsidRPr="008C25D7">
        <w:rPr>
          <w:rFonts w:cs="Arial"/>
          <w:color w:val="000000"/>
        </w:rPr>
        <w:t xml:space="preserve">The assessment report contains a critical error in table 7-4 which affects the cost-effectiveness of silver agents. Without evidence, the EAG authors have repeated a popular myth that silver dressings can only be used for 2-4 weeks before they must be discontinued. There is no evidence to support this </w:t>
      </w:r>
      <w:proofErr w:type="gramStart"/>
      <w:r w:rsidRPr="008C25D7">
        <w:rPr>
          <w:rFonts w:cs="Arial"/>
          <w:color w:val="000000"/>
        </w:rPr>
        <w:t>claim</w:t>
      </w:r>
      <w:proofErr w:type="gramEnd"/>
      <w:r w:rsidRPr="008C25D7">
        <w:rPr>
          <w:rFonts w:cs="Arial"/>
          <w:color w:val="000000"/>
        </w:rPr>
        <w:t xml:space="preserve"> and it MUST be corrected. This unsubstantiated assumption was challenged as a factual inaccuracy on a previous version of the report (comment 36 on the "factual accuracy comments" document). Despite this, the EAG authors "</w:t>
      </w:r>
      <w:proofErr w:type="gramStart"/>
      <w:r w:rsidRPr="008C25D7">
        <w:rPr>
          <w:rFonts w:cs="Arial"/>
          <w:color w:val="000000"/>
        </w:rPr>
        <w:t>doubled-down</w:t>
      </w:r>
      <w:proofErr w:type="gramEnd"/>
      <w:r w:rsidRPr="008C25D7">
        <w:rPr>
          <w:rFonts w:cs="Arial"/>
          <w:color w:val="000000"/>
        </w:rPr>
        <w:t xml:space="preserve">" on their justification: they cite several pieces of grey literature, highlighting that their initial cited document is "published by NHS Pharmacists" and claiming that "over usage of silver dressings can cause bacterial resistance, toxicity, side effects and potentially delay wound healing.” This is an argument from authority. It is a logical fallacy and has no place in a document that aspires to be scientific or </w:t>
      </w:r>
      <w:proofErr w:type="gramStart"/>
      <w:r w:rsidRPr="008C25D7">
        <w:rPr>
          <w:rFonts w:cs="Arial"/>
          <w:color w:val="000000"/>
        </w:rPr>
        <w:t>evidence-based</w:t>
      </w:r>
      <w:proofErr w:type="gramEnd"/>
      <w:r w:rsidRPr="008C25D7">
        <w:rPr>
          <w:rFonts w:cs="Arial"/>
          <w:color w:val="000000"/>
        </w:rPr>
        <w:t>. None of the EAG's cited documents contain evidence that over usage of silvers can lead to adverse events. In turn, none of these documents even cite any evidence that over usage of silvers can lead to adverse events. Contrary to the EAG's unsubstantiated claim that silver should be discontinued after 4 weeks, the EAG report itself cites several pieces of primary evidence that prove silver dressings have some of the lowest reported TRAEs (treatment-related adverse events) of all AMD agents:</w:t>
      </w:r>
      <w:r w:rsidRPr="008C25D7">
        <w:rPr>
          <w:rFonts w:cs="Arial"/>
          <w:color w:val="000000"/>
        </w:rPr>
        <w:br/>
        <w:t>- Table 5.29 shows both ionic silver complex and metallic/elemental silver showed no difference in TRAEs vs non-antimicrobial dressings</w:t>
      </w:r>
      <w:r w:rsidRPr="008C25D7">
        <w:rPr>
          <w:rFonts w:cs="Arial"/>
          <w:color w:val="000000"/>
        </w:rPr>
        <w:br/>
        <w:t>- Table 7.6 gives a discontinuation rate of 0% for silver dressings at 12 weeks (3x the maximum length claimed by the EAG)</w:t>
      </w:r>
      <w:r w:rsidRPr="008C25D7">
        <w:rPr>
          <w:rFonts w:cs="Arial"/>
          <w:color w:val="000000"/>
        </w:rPr>
        <w:br/>
      </w:r>
      <w:r w:rsidRPr="008C25D7">
        <w:rPr>
          <w:rFonts w:cs="Arial"/>
          <w:color w:val="000000"/>
        </w:rPr>
        <w:br/>
        <w:t>The EAG's claim in table 7-4 that silver must be discontinued after 4 weeks is unsubstantiated, misleading and contradicted by the available evidence. This false assumption will lend the credibility of NICE to canonise an erroneous myth that silvers can only be used for 2-4 weeks. It also negatively affects the cost-effectiveness analysis for silver dressings (section 7.3.5 states that "the prescription time was shown in the scenario analysis be a key driver of cost-effectiveness (Section 7.3.4). The model showed that a longer prescription time allowed for a prolonged treatment effect of the AMD. Therefore, the cohort was able to progress to the healed health state faster.") The EAG must correct this error in the primary analysis (correction only in the additional scenario analyses is not sufficient to undo the potential damage from this unsubstantiated claim).</w:t>
      </w:r>
    </w:p>
    <w:p w14:paraId="0432A498" w14:textId="77777777" w:rsidR="002A17DC" w:rsidRPr="008C25D7" w:rsidRDefault="002A17DC" w:rsidP="008C25D7">
      <w:pPr>
        <w:pStyle w:val="Paragraph"/>
        <w:spacing w:line="240" w:lineRule="auto"/>
        <w:rPr>
          <w:rFonts w:cs="Arial"/>
          <w:lang w:eastAsia="en-GB"/>
        </w:rPr>
      </w:pPr>
    </w:p>
    <w:p w14:paraId="203AB0DE" w14:textId="77777777" w:rsidR="008C25D7" w:rsidRPr="008C25D7" w:rsidRDefault="008C25D7" w:rsidP="008C25D7">
      <w:pPr>
        <w:pStyle w:val="Paragraph"/>
        <w:spacing w:line="240" w:lineRule="auto"/>
        <w:rPr>
          <w:rFonts w:cs="Arial"/>
          <w:u w:val="single"/>
          <w:lang w:eastAsia="en-GB"/>
        </w:rPr>
      </w:pPr>
      <w:r w:rsidRPr="008C25D7">
        <w:rPr>
          <w:rFonts w:cs="Arial"/>
          <w:u w:val="single"/>
          <w:lang w:eastAsia="en-GB"/>
        </w:rPr>
        <w:lastRenderedPageBreak/>
        <w:t xml:space="preserve">Comment 158, Consultee 11 </w:t>
      </w:r>
      <w:proofErr w:type="spellStart"/>
      <w:r w:rsidRPr="008C25D7">
        <w:rPr>
          <w:rFonts w:cs="Arial"/>
          <w:u w:val="single"/>
          <w:lang w:eastAsia="en-GB"/>
        </w:rPr>
        <w:t>Convatec</w:t>
      </w:r>
      <w:proofErr w:type="spellEnd"/>
      <w:r w:rsidRPr="008C25D7">
        <w:rPr>
          <w:rFonts w:cs="Arial"/>
          <w:u w:val="single"/>
          <w:lang w:eastAsia="en-GB"/>
        </w:rPr>
        <w:t>, section current practice</w:t>
      </w:r>
    </w:p>
    <w:p w14:paraId="06A00952" w14:textId="77777777" w:rsidR="008C25D7" w:rsidRPr="008C25D7" w:rsidRDefault="008C25D7" w:rsidP="008C25D7">
      <w:pPr>
        <w:pStyle w:val="Paragraph"/>
        <w:spacing w:line="240" w:lineRule="auto"/>
        <w:rPr>
          <w:rFonts w:cs="Arial"/>
          <w:lang w:eastAsia="en-GB"/>
        </w:rPr>
      </w:pPr>
      <w:r w:rsidRPr="008C25D7">
        <w:rPr>
          <w:rFonts w:cs="Arial"/>
          <w:color w:val="000000"/>
        </w:rPr>
        <w:t>““over usage of silver dressings can cause bacterial resistance, toxicity, side effects and potentially delay wound healing”:</w:t>
      </w:r>
      <w:r w:rsidRPr="008C25D7">
        <w:rPr>
          <w:rFonts w:cs="Arial"/>
          <w:color w:val="000000"/>
        </w:rPr>
        <w:br/>
      </w:r>
      <w:r w:rsidRPr="008C25D7">
        <w:rPr>
          <w:rFonts w:cs="Arial"/>
          <w:color w:val="000000"/>
        </w:rPr>
        <w:br/>
        <w:t xml:space="preserve">These stated hypothetical consequences of silver-containing dressing use depend on the design of the dressing.  Below are some relevant notes I’ve shared last year in response to internal queries around these.  I don’t recommend sharing verbatim, but anything useful or not covered already could be considered. </w:t>
      </w:r>
      <w:r w:rsidRPr="008C25D7">
        <w:rPr>
          <w:rFonts w:cs="Arial"/>
          <w:color w:val="000000"/>
        </w:rPr>
        <w:br/>
      </w:r>
      <w:r w:rsidRPr="008C25D7">
        <w:rPr>
          <w:rFonts w:cs="Arial"/>
          <w:color w:val="000000"/>
        </w:rPr>
        <w:br/>
        <w:t>Silver release within the dressing</w:t>
      </w:r>
      <w:r w:rsidRPr="008C25D7">
        <w:rPr>
          <w:rFonts w:cs="Arial"/>
          <w:color w:val="000000"/>
        </w:rPr>
        <w:br/>
        <w:t xml:space="preserve">All </w:t>
      </w:r>
      <w:proofErr w:type="spellStart"/>
      <w:r w:rsidRPr="008C25D7">
        <w:rPr>
          <w:rFonts w:cs="Arial"/>
          <w:color w:val="000000"/>
        </w:rPr>
        <w:t>Convatec’s</w:t>
      </w:r>
      <w:proofErr w:type="spellEnd"/>
      <w:r w:rsidRPr="008C25D7">
        <w:rPr>
          <w:rFonts w:cs="Arial"/>
          <w:color w:val="000000"/>
        </w:rPr>
        <w:t xml:space="preserve"> silver-containing </w:t>
      </w:r>
      <w:proofErr w:type="spellStart"/>
      <w:r w:rsidRPr="008C25D7">
        <w:rPr>
          <w:rFonts w:cs="Arial"/>
          <w:color w:val="000000"/>
        </w:rPr>
        <w:t>Aquacel</w:t>
      </w:r>
      <w:proofErr w:type="spellEnd"/>
      <w:r w:rsidRPr="008C25D7">
        <w:rPr>
          <w:rFonts w:cs="Arial"/>
          <w:color w:val="000000"/>
        </w:rPr>
        <w:t xml:space="preserve"> dressings have been designed to generate ionic silver within the dressing (Parsons et al, 2005).  Below is some detail on the chemistry of our silver-containing dressings: </w:t>
      </w:r>
      <w:r w:rsidRPr="008C25D7">
        <w:rPr>
          <w:rFonts w:cs="Arial"/>
          <w:color w:val="000000"/>
        </w:rPr>
        <w:br/>
        <w:t xml:space="preserve">• The antimicrobial form of silver (ionic silver: Ag+) is inherently selective for bacterial cells, since positively charged Ag+ ions have affinity for negatively charged peptidoglycan in bacterial cell walls, which is absent from mammalian cells (Romero-Urbina et al, 2015). While some wound dressings appear to be designed to release silver (solid particles or ions) into the wound, </w:t>
      </w:r>
      <w:proofErr w:type="spellStart"/>
      <w:r w:rsidRPr="008C25D7">
        <w:rPr>
          <w:rFonts w:cs="Arial"/>
          <w:color w:val="000000"/>
        </w:rPr>
        <w:t>Convatec’s</w:t>
      </w:r>
      <w:proofErr w:type="spellEnd"/>
      <w:r w:rsidRPr="008C25D7">
        <w:rPr>
          <w:rFonts w:cs="Arial"/>
          <w:color w:val="000000"/>
        </w:rPr>
        <w:t xml:space="preserve"> silver-containing </w:t>
      </w:r>
      <w:proofErr w:type="spellStart"/>
      <w:r w:rsidRPr="008C25D7">
        <w:rPr>
          <w:rFonts w:cs="Arial"/>
          <w:color w:val="000000"/>
        </w:rPr>
        <w:t>Aquacel</w:t>
      </w:r>
      <w:proofErr w:type="spellEnd"/>
      <w:r w:rsidRPr="008C25D7">
        <w:rPr>
          <w:rFonts w:cs="Arial"/>
          <w:color w:val="000000"/>
        </w:rPr>
        <w:t xml:space="preserve"> dressings are designed so that some of the silver ions bound to the sodium carboxymethylcellulose (CMC) dressing material are displaced by H2O molecules as the dressing absorbs fluid. Silver ions are released into the gelled dressing, and while some of these silver ions will be attracted back to the negatively charged CMC, some will remain in the aqueous system to provide antimicrobial action against microorganisms within the gelled dressing and at the surface of the gelled dressing. </w:t>
      </w:r>
      <w:r w:rsidRPr="008C25D7">
        <w:rPr>
          <w:rFonts w:cs="Arial"/>
          <w:color w:val="000000"/>
        </w:rPr>
        <w:br/>
        <w:t xml:space="preserve">• The amount of free, active ionic silver within </w:t>
      </w:r>
      <w:proofErr w:type="spellStart"/>
      <w:r w:rsidRPr="008C25D7">
        <w:rPr>
          <w:rFonts w:cs="Arial"/>
          <w:color w:val="000000"/>
        </w:rPr>
        <w:t>Aquacel</w:t>
      </w:r>
      <w:proofErr w:type="spellEnd"/>
      <w:r w:rsidRPr="008C25D7">
        <w:rPr>
          <w:rFonts w:cs="Arial"/>
          <w:color w:val="000000"/>
        </w:rPr>
        <w:t xml:space="preserve"> Ag+ gelled dressing is governed by the known laws of silver chemistry in aqueous and biological systems. In biological environments such as wounds, silver chemistry dictates that no more than approximately 1 part-per-million (ppm) of ionic silver can exist before excess silver ions react with chloride ions (Cl-) to form silver chloride (AgCl). This renders the silver inactive. Dressings that contain higher concentrations of silver do not result in the generation of more active ionic silver (since only approximately 1 ppm ionic silver can exist before precipitating as AgCl). </w:t>
      </w:r>
      <w:proofErr w:type="spellStart"/>
      <w:r w:rsidRPr="008C25D7">
        <w:rPr>
          <w:rFonts w:cs="Arial"/>
          <w:color w:val="000000"/>
        </w:rPr>
        <w:t>Convatec</w:t>
      </w:r>
      <w:proofErr w:type="spellEnd"/>
      <w:r w:rsidRPr="008C25D7">
        <w:rPr>
          <w:rFonts w:cs="Arial"/>
          <w:color w:val="000000"/>
        </w:rPr>
        <w:t xml:space="preserve"> has long understood the complexities of silver </w:t>
      </w:r>
      <w:proofErr w:type="gramStart"/>
      <w:r w:rsidRPr="008C25D7">
        <w:rPr>
          <w:rFonts w:cs="Arial"/>
          <w:color w:val="000000"/>
        </w:rPr>
        <w:t>chemistry, and</w:t>
      </w:r>
      <w:proofErr w:type="gramEnd"/>
      <w:r w:rsidRPr="008C25D7">
        <w:rPr>
          <w:rFonts w:cs="Arial"/>
          <w:color w:val="000000"/>
        </w:rPr>
        <w:t xml:space="preserve"> have ensured that there is sufficient silver in </w:t>
      </w:r>
      <w:proofErr w:type="spellStart"/>
      <w:r w:rsidRPr="008C25D7">
        <w:rPr>
          <w:rFonts w:cs="Arial"/>
          <w:color w:val="000000"/>
        </w:rPr>
        <w:t>Aquacel</w:t>
      </w:r>
      <w:proofErr w:type="spellEnd"/>
      <w:r w:rsidRPr="008C25D7">
        <w:rPr>
          <w:rFonts w:cs="Arial"/>
          <w:color w:val="000000"/>
        </w:rPr>
        <w:t xml:space="preserve"> silver-containing dressings to generate and maintain 1 ppm ionic silver within the gelled dressing, over the maximum wear time of the dressing (7 days for chronic wound indications, 14 days for burn wound indications). </w:t>
      </w:r>
      <w:r w:rsidRPr="008C25D7">
        <w:rPr>
          <w:rFonts w:cs="Arial"/>
          <w:color w:val="000000"/>
        </w:rPr>
        <w:br/>
        <w:t xml:space="preserve">• The amount of silver in </w:t>
      </w:r>
      <w:proofErr w:type="spellStart"/>
      <w:r w:rsidRPr="008C25D7">
        <w:rPr>
          <w:rFonts w:cs="Arial"/>
          <w:color w:val="000000"/>
        </w:rPr>
        <w:t>Aquacel</w:t>
      </w:r>
      <w:proofErr w:type="spellEnd"/>
      <w:r w:rsidRPr="008C25D7">
        <w:rPr>
          <w:rFonts w:cs="Arial"/>
          <w:color w:val="000000"/>
        </w:rPr>
        <w:t xml:space="preserve"> Ag+ dressings is also sufficient to account for silver losses due to reactions with microorganisms. This is whereby microbial cells take up silver ions, the silver ions react with cellular components to form insoluble silver compounds, ultimately causing microbial cell death while consuming silver ions in the process. The turnover of silver ions within the gelled </w:t>
      </w:r>
      <w:r w:rsidRPr="008C25D7">
        <w:rPr>
          <w:rFonts w:cs="Arial"/>
          <w:color w:val="000000"/>
        </w:rPr>
        <w:lastRenderedPageBreak/>
        <w:t xml:space="preserve">dressing is such that more silver ions are released to account for those consumed by microbicidal reactions, maintaining the chemical equilibrium. </w:t>
      </w:r>
      <w:r w:rsidRPr="008C25D7">
        <w:rPr>
          <w:rFonts w:cs="Arial"/>
          <w:color w:val="000000"/>
        </w:rPr>
        <w:br/>
      </w:r>
      <w:r w:rsidRPr="008C25D7">
        <w:rPr>
          <w:rFonts w:cs="Arial"/>
          <w:color w:val="000000"/>
        </w:rPr>
        <w:br/>
        <w:t>On the risk of silver deposition in the wound bed</w:t>
      </w:r>
      <w:r w:rsidRPr="008C25D7">
        <w:rPr>
          <w:rFonts w:cs="Arial"/>
          <w:color w:val="000000"/>
        </w:rPr>
        <w:br/>
        <w:t xml:space="preserve">• In wound environments, free silver ions (Ag+) are generated within the gelled silver-containing </w:t>
      </w:r>
      <w:proofErr w:type="spellStart"/>
      <w:r w:rsidRPr="008C25D7">
        <w:rPr>
          <w:rFonts w:cs="Arial"/>
          <w:color w:val="000000"/>
        </w:rPr>
        <w:t>Aquacel</w:t>
      </w:r>
      <w:proofErr w:type="spellEnd"/>
      <w:r w:rsidRPr="008C25D7">
        <w:rPr>
          <w:rFonts w:cs="Arial"/>
          <w:color w:val="000000"/>
        </w:rPr>
        <w:t xml:space="preserve"> dressing as H2O molecules displace Ag+ ions from the silver sodium CMC structure.  Silver ions are also available at the dressing-wound interface.  These free silver ions do not exist for long before they interact with:</w:t>
      </w:r>
      <w:r w:rsidRPr="008C25D7">
        <w:rPr>
          <w:rFonts w:cs="Arial"/>
          <w:color w:val="000000"/>
        </w:rPr>
        <w:br/>
        <w:t>• Microbial cells – the cells take up silver ions, the silver ions react with cellular components to form insoluble silver compounds, ultimately causing cell death while consuming silver ions in the process; or</w:t>
      </w:r>
      <w:r w:rsidRPr="008C25D7">
        <w:rPr>
          <w:rFonts w:cs="Arial"/>
          <w:color w:val="000000"/>
        </w:rPr>
        <w:br/>
        <w:t>• Proteins in wound fluids – silver ions have a strong affinity for proteins (</w:t>
      </w:r>
      <w:proofErr w:type="spellStart"/>
      <w:r w:rsidRPr="008C25D7">
        <w:rPr>
          <w:rFonts w:cs="Arial"/>
          <w:color w:val="000000"/>
        </w:rPr>
        <w:t>Hostynek</w:t>
      </w:r>
      <w:proofErr w:type="spellEnd"/>
      <w:r w:rsidRPr="008C25D7">
        <w:rPr>
          <w:rFonts w:cs="Arial"/>
          <w:color w:val="000000"/>
        </w:rPr>
        <w:t xml:space="preserve"> et al, 1993), so silver ions bind to proteins and the silver becomes inactivated; or</w:t>
      </w:r>
      <w:r w:rsidRPr="008C25D7">
        <w:rPr>
          <w:rFonts w:cs="Arial"/>
          <w:color w:val="000000"/>
        </w:rPr>
        <w:br/>
        <w:t>• Negatively charged ions – wound tissue and fluids contain lots of negatively charged ions that can bind to ionic silver to inactive it, such as chloride (Cl-), to form inactive silver chloride (AgCl); or</w:t>
      </w:r>
      <w:r w:rsidRPr="008C25D7">
        <w:rPr>
          <w:rFonts w:cs="Arial"/>
          <w:color w:val="000000"/>
        </w:rPr>
        <w:br/>
        <w:t xml:space="preserve">• Carboxymethylcellulose – in gelled </w:t>
      </w:r>
      <w:proofErr w:type="spellStart"/>
      <w:r w:rsidRPr="008C25D7">
        <w:rPr>
          <w:rFonts w:cs="Arial"/>
          <w:color w:val="000000"/>
        </w:rPr>
        <w:t>Aquacel</w:t>
      </w:r>
      <w:proofErr w:type="spellEnd"/>
      <w:r w:rsidRPr="008C25D7">
        <w:rPr>
          <w:rFonts w:cs="Arial"/>
          <w:color w:val="000000"/>
        </w:rPr>
        <w:t xml:space="preserve"> dressings, as silver ions are released from the dressing upon hydration with water molecules, some silver ions will be attracted back to the negatively charged carboxymethylcellulose.</w:t>
      </w:r>
      <w:r w:rsidRPr="008C25D7">
        <w:rPr>
          <w:rFonts w:cs="Arial"/>
          <w:color w:val="000000"/>
        </w:rPr>
        <w:br/>
      </w:r>
      <w:r w:rsidRPr="008C25D7">
        <w:rPr>
          <w:rFonts w:cs="Arial"/>
          <w:color w:val="000000"/>
        </w:rPr>
        <w:br/>
        <w:t xml:space="preserve">On safety of silver  </w:t>
      </w:r>
      <w:r w:rsidRPr="008C25D7">
        <w:rPr>
          <w:rFonts w:cs="Arial"/>
          <w:color w:val="000000"/>
        </w:rPr>
        <w:br/>
        <w:t xml:space="preserve">We have a wealth of indirect evidence that the dressing is biocompatible and safe.  Firstly, we have laboratory toxicity test data for </w:t>
      </w:r>
      <w:proofErr w:type="spellStart"/>
      <w:r w:rsidRPr="008C25D7">
        <w:rPr>
          <w:rFonts w:cs="Arial"/>
          <w:color w:val="000000"/>
        </w:rPr>
        <w:t>Aquacel</w:t>
      </w:r>
      <w:proofErr w:type="spellEnd"/>
      <w:r w:rsidRPr="008C25D7">
        <w:rPr>
          <w:rFonts w:cs="Arial"/>
          <w:color w:val="000000"/>
        </w:rPr>
        <w:t xml:space="preserve"> Ag+ dressings: </w:t>
      </w:r>
      <w:r w:rsidRPr="008C25D7">
        <w:rPr>
          <w:rFonts w:cs="Arial"/>
          <w:color w:val="000000"/>
        </w:rPr>
        <w:br/>
        <w:t xml:space="preserve">Test Toxicity standard Laboratory Result / Conclusion </w:t>
      </w:r>
      <w:r w:rsidRPr="008C25D7">
        <w:rPr>
          <w:rFonts w:cs="Arial"/>
          <w:color w:val="000000"/>
        </w:rPr>
        <w:br/>
        <w:t xml:space="preserve">Local lymph node assay in the mouse ISO 10993-10, Biological Evaluation of Medical Devices – Part 10: Tests for Irritation and Skin Sensitisation, Section 7.2 Harlan Laboratories Ltd, ref: 41101716 A polar extract of the test item was a non-sensitiser under the conditions of the test (Stimulation Index 0.77 – negative). </w:t>
      </w:r>
      <w:r w:rsidRPr="008C25D7">
        <w:rPr>
          <w:rFonts w:cs="Arial"/>
          <w:color w:val="000000"/>
        </w:rPr>
        <w:br/>
        <w:t>A non-polar extract of the test item was a non-sensitiser under the conditions of the test (Stimulation Index 1.62 – negative).</w:t>
      </w:r>
      <w:r w:rsidRPr="008C25D7">
        <w:rPr>
          <w:rFonts w:cs="Arial"/>
          <w:color w:val="000000"/>
        </w:rPr>
        <w:br/>
        <w:t>Repeat application skin irritation test in the rabbit ISO 10993-10, Biological Evaluation of Medical Devices – Part 10: Tests for Irritation and Sensitisation, Section 6.3 Harlan Laboratories Ltd, ref: 41101717 The test item produced a cumulative irritation index of 0 and a negligible irritation response.</w:t>
      </w:r>
      <w:r w:rsidRPr="008C25D7">
        <w:rPr>
          <w:rFonts w:cs="Arial"/>
          <w:color w:val="000000"/>
        </w:rPr>
        <w:br/>
        <w:t>Test for systemic toxicity in the mouse ISO 10993-11, Biological Evaluation of Medical Devices – Part 11: Tests for Systemic Toxicity, Section 5, Acute Systemic Toxicity Harlan Laboratories Ltd, ref: 41101718 0.9% sodium chloride solution test item extract – Pass.</w:t>
      </w:r>
      <w:r w:rsidRPr="008C25D7">
        <w:rPr>
          <w:rFonts w:cs="Arial"/>
          <w:color w:val="000000"/>
        </w:rPr>
        <w:br/>
      </w:r>
      <w:r w:rsidRPr="008C25D7">
        <w:rPr>
          <w:rFonts w:cs="Arial"/>
          <w:color w:val="000000"/>
        </w:rPr>
        <w:lastRenderedPageBreak/>
        <w:t>Cottonseed oil test item extract – Pass.</w:t>
      </w:r>
      <w:r w:rsidRPr="008C25D7">
        <w:rPr>
          <w:rFonts w:cs="Arial"/>
          <w:color w:val="000000"/>
        </w:rPr>
        <w:br/>
        <w:t>Reverse mutation assay (Ames test)</w:t>
      </w:r>
      <w:r w:rsidRPr="008C25D7">
        <w:rPr>
          <w:rFonts w:cs="Arial"/>
          <w:color w:val="000000"/>
        </w:rPr>
        <w:br/>
        <w:t>Test method was designed to be compatible with the OECD Guidelines for Testing Chemicals, Protocol No. 471, ISO 10993.3 (BS EN 30993-3) Biological Evaluation of Medical Devices, Method B13/14 of Commission Regulation (EC) number 440/2008 of 30 May 2008 and the USA, EPA (TSCA) OPPTS harmonised guidelines Harlan Laboratories Ltd, ref: 41101715 An extract of the test product was considered to be non-mutagenic under the conditions of the test.</w:t>
      </w:r>
      <w:r w:rsidRPr="008C25D7">
        <w:rPr>
          <w:rFonts w:cs="Arial"/>
          <w:color w:val="000000"/>
        </w:rPr>
        <w:br/>
        <w:t>Blood compatibility – Haemolysis test</w:t>
      </w:r>
      <w:r w:rsidRPr="008C25D7">
        <w:rPr>
          <w:rFonts w:cs="Arial"/>
          <w:color w:val="000000"/>
        </w:rPr>
        <w:br/>
        <w:t xml:space="preserve">BS-EN ISO 10993-4: Biological Evaluation of Medical Devices Part 4: Selection of Tests for interactions with Blood and ISO 10993-12(E)): Biological Evaluation of Medical Devices Part 12. Sample preparation and reference materials Harlan Laboratories Ltd, ref: 41102683. The extract of the test item was considered to be </w:t>
      </w:r>
      <w:proofErr w:type="spellStart"/>
      <w:r w:rsidRPr="008C25D7">
        <w:rPr>
          <w:rFonts w:cs="Arial"/>
          <w:color w:val="000000"/>
        </w:rPr>
        <w:t>nonhaemolytic</w:t>
      </w:r>
      <w:proofErr w:type="spellEnd"/>
      <w:r w:rsidRPr="008C25D7">
        <w:rPr>
          <w:rFonts w:cs="Arial"/>
          <w:color w:val="000000"/>
        </w:rPr>
        <w:br/>
        <w:t>under the conditions of the test.</w:t>
      </w:r>
      <w:r w:rsidRPr="008C25D7">
        <w:rPr>
          <w:rFonts w:cs="Arial"/>
          <w:color w:val="000000"/>
        </w:rPr>
        <w:br/>
      </w:r>
      <w:r w:rsidRPr="008C25D7">
        <w:rPr>
          <w:rFonts w:cs="Arial"/>
          <w:color w:val="000000"/>
        </w:rPr>
        <w:br/>
        <w:t xml:space="preserve">We have in vivo data for </w:t>
      </w:r>
      <w:proofErr w:type="spellStart"/>
      <w:r w:rsidRPr="008C25D7">
        <w:rPr>
          <w:rFonts w:cs="Arial"/>
          <w:color w:val="000000"/>
        </w:rPr>
        <w:t>Aquacel</w:t>
      </w:r>
      <w:proofErr w:type="spellEnd"/>
      <w:r w:rsidRPr="008C25D7">
        <w:rPr>
          <w:rFonts w:cs="Arial"/>
          <w:color w:val="000000"/>
        </w:rPr>
        <w:t xml:space="preserve"> Ag+ Extra: </w:t>
      </w:r>
      <w:r w:rsidRPr="008C25D7">
        <w:rPr>
          <w:rFonts w:cs="Arial"/>
          <w:color w:val="000000"/>
        </w:rPr>
        <w:br/>
        <w:t xml:space="preserve">• The effect of </w:t>
      </w:r>
      <w:proofErr w:type="spellStart"/>
      <w:r w:rsidRPr="008C25D7">
        <w:rPr>
          <w:rFonts w:cs="Arial"/>
          <w:color w:val="000000"/>
        </w:rPr>
        <w:t>Aquacel</w:t>
      </w:r>
      <w:proofErr w:type="spellEnd"/>
      <w:r w:rsidRPr="008C25D7">
        <w:rPr>
          <w:rFonts w:cs="Arial"/>
          <w:color w:val="000000"/>
        </w:rPr>
        <w:t xml:space="preserve"> Ag+ Extra dressing on wound healing (without microbial challenge) was evaluated using an in vivo porcine model in which 96 wounds on 2 pigs were treated for 8 days with either </w:t>
      </w:r>
      <w:proofErr w:type="spellStart"/>
      <w:r w:rsidRPr="008C25D7">
        <w:rPr>
          <w:rFonts w:cs="Arial"/>
          <w:color w:val="000000"/>
        </w:rPr>
        <w:t>Aquacel</w:t>
      </w:r>
      <w:proofErr w:type="spellEnd"/>
      <w:r w:rsidRPr="008C25D7">
        <w:rPr>
          <w:rFonts w:cs="Arial"/>
          <w:color w:val="000000"/>
        </w:rPr>
        <w:t xml:space="preserve"> Ag+ Extra dressing, </w:t>
      </w:r>
      <w:proofErr w:type="spellStart"/>
      <w:r w:rsidRPr="008C25D7">
        <w:rPr>
          <w:rFonts w:cs="Arial"/>
          <w:color w:val="000000"/>
        </w:rPr>
        <w:t>Aquacel</w:t>
      </w:r>
      <w:proofErr w:type="spellEnd"/>
      <w:r w:rsidRPr="008C25D7">
        <w:rPr>
          <w:rFonts w:cs="Arial"/>
          <w:color w:val="000000"/>
        </w:rPr>
        <w:t xml:space="preserve"> Ag Extra dressing (previous version of silver-containing </w:t>
      </w:r>
      <w:proofErr w:type="spellStart"/>
      <w:r w:rsidRPr="008C25D7">
        <w:rPr>
          <w:rFonts w:cs="Arial"/>
          <w:color w:val="000000"/>
        </w:rPr>
        <w:t>Aquacel</w:t>
      </w:r>
      <w:proofErr w:type="spellEnd"/>
      <w:r w:rsidRPr="008C25D7">
        <w:rPr>
          <w:rFonts w:cs="Arial"/>
          <w:color w:val="000000"/>
        </w:rPr>
        <w:t xml:space="preserve"> dressing without antibiofilm excipients), or a polyurethane (PU) film dressing (Davis et al, 2018; </w:t>
      </w:r>
      <w:proofErr w:type="spellStart"/>
      <w:r w:rsidRPr="008C25D7">
        <w:rPr>
          <w:rFonts w:cs="Arial"/>
          <w:color w:val="000000"/>
        </w:rPr>
        <w:t>Convatec</w:t>
      </w:r>
      <w:proofErr w:type="spellEnd"/>
      <w:r w:rsidRPr="008C25D7">
        <w:rPr>
          <w:rFonts w:cs="Arial"/>
          <w:color w:val="000000"/>
        </w:rPr>
        <w:t xml:space="preserve"> data on file). Wound biopsies were taken on days 2, 4, 6 and 8 after wounding and evaluated using light microscopy. No statistically significant differences were observed in the rate of re-epithelialization, white blood cell infiltration, angiogenesis, or granulation tissue formation following management of wounds with </w:t>
      </w:r>
      <w:proofErr w:type="spellStart"/>
      <w:r w:rsidRPr="008C25D7">
        <w:rPr>
          <w:rFonts w:cs="Arial"/>
          <w:color w:val="000000"/>
        </w:rPr>
        <w:t>Aquacel</w:t>
      </w:r>
      <w:proofErr w:type="spellEnd"/>
      <w:r w:rsidRPr="008C25D7">
        <w:rPr>
          <w:rFonts w:cs="Arial"/>
          <w:color w:val="000000"/>
        </w:rPr>
        <w:t xml:space="preserve"> Ag+ Extra dressing compared to the silver-containing </w:t>
      </w:r>
      <w:proofErr w:type="spellStart"/>
      <w:r w:rsidRPr="008C25D7">
        <w:rPr>
          <w:rFonts w:cs="Arial"/>
          <w:color w:val="000000"/>
        </w:rPr>
        <w:t>Aquacel</w:t>
      </w:r>
      <w:proofErr w:type="spellEnd"/>
      <w:r w:rsidRPr="008C25D7">
        <w:rPr>
          <w:rFonts w:cs="Arial"/>
          <w:color w:val="000000"/>
        </w:rPr>
        <w:t xml:space="preserve"> and PU dressings. Overall, epithelial thickness was similar between groups. There were no signs of tissue necrosis, fibrosis or fatty infiltration in any treatment group. The authors concluded that no notable adverse effects on wound healing processes were observed following treatment </w:t>
      </w:r>
      <w:proofErr w:type="spellStart"/>
      <w:r w:rsidRPr="008C25D7">
        <w:rPr>
          <w:rFonts w:cs="Arial"/>
          <w:color w:val="000000"/>
        </w:rPr>
        <w:t>Aquacel</w:t>
      </w:r>
      <w:proofErr w:type="spellEnd"/>
      <w:r w:rsidRPr="008C25D7">
        <w:rPr>
          <w:rFonts w:cs="Arial"/>
          <w:color w:val="000000"/>
        </w:rPr>
        <w:t xml:space="preserve"> Ag+ Extra dressing. </w:t>
      </w:r>
      <w:r w:rsidRPr="008C25D7">
        <w:rPr>
          <w:rFonts w:cs="Arial"/>
          <w:color w:val="000000"/>
        </w:rPr>
        <w:br/>
      </w:r>
      <w:r w:rsidRPr="008C25D7">
        <w:rPr>
          <w:rFonts w:cs="Arial"/>
          <w:color w:val="000000"/>
        </w:rPr>
        <w:br/>
        <w:t xml:space="preserve">We have clinical data for </w:t>
      </w:r>
      <w:proofErr w:type="spellStart"/>
      <w:r w:rsidRPr="008C25D7">
        <w:rPr>
          <w:rFonts w:cs="Arial"/>
          <w:color w:val="000000"/>
        </w:rPr>
        <w:t>Aquacel</w:t>
      </w:r>
      <w:proofErr w:type="spellEnd"/>
      <w:r w:rsidRPr="008C25D7">
        <w:rPr>
          <w:rFonts w:cs="Arial"/>
          <w:color w:val="000000"/>
        </w:rPr>
        <w:t xml:space="preserve"> Ag+ Extra: </w:t>
      </w:r>
      <w:r w:rsidRPr="008C25D7">
        <w:rPr>
          <w:rFonts w:cs="Arial"/>
          <w:color w:val="000000"/>
        </w:rPr>
        <w:br/>
        <w:t xml:space="preserve">• An open, controlled, non-comparative, multi-centre clinical study was conducted in the UK and Poland in 42 patients with chronic VLUs (a subset of 10 were diagnosed as infected) to evaluate the safety of </w:t>
      </w:r>
      <w:proofErr w:type="spellStart"/>
      <w:r w:rsidRPr="008C25D7">
        <w:rPr>
          <w:rFonts w:cs="Arial"/>
          <w:color w:val="000000"/>
        </w:rPr>
        <w:t>Aquacel</w:t>
      </w:r>
      <w:proofErr w:type="spellEnd"/>
      <w:r w:rsidRPr="008C25D7">
        <w:rPr>
          <w:rFonts w:cs="Arial"/>
          <w:color w:val="000000"/>
        </w:rPr>
        <w:t xml:space="preserve"> Ag+ dressing for 4 weeks (Harding et al 2016). Following treatment for four weeks, </w:t>
      </w:r>
      <w:proofErr w:type="spellStart"/>
      <w:r w:rsidRPr="008C25D7">
        <w:rPr>
          <w:rFonts w:cs="Arial"/>
          <w:color w:val="000000"/>
        </w:rPr>
        <w:t>Aquacel</w:t>
      </w:r>
      <w:proofErr w:type="spellEnd"/>
      <w:r w:rsidRPr="008C25D7">
        <w:rPr>
          <w:rFonts w:cs="Arial"/>
          <w:color w:val="000000"/>
        </w:rPr>
        <w:t xml:space="preserve"> Ag+ dressing was well-tolerated and had an acceptable safety profile. The </w:t>
      </w:r>
      <w:proofErr w:type="gramStart"/>
      <w:r w:rsidRPr="008C25D7">
        <w:rPr>
          <w:rFonts w:cs="Arial"/>
          <w:color w:val="000000"/>
        </w:rPr>
        <w:t>most commonly reported</w:t>
      </w:r>
      <w:proofErr w:type="gramEnd"/>
      <w:r w:rsidRPr="008C25D7">
        <w:rPr>
          <w:rFonts w:cs="Arial"/>
          <w:color w:val="000000"/>
        </w:rPr>
        <w:t xml:space="preserve"> AEs were pain, wound decomposition, venous ulcer pain and bloodied discharge which are all consistent with the patient population. Based on the existing laboratory toxicology biocompatibility test data, the independent expert toxicological assessment of silver and </w:t>
      </w:r>
      <w:proofErr w:type="spellStart"/>
      <w:r w:rsidRPr="008C25D7">
        <w:rPr>
          <w:rFonts w:cs="Arial"/>
          <w:color w:val="000000"/>
        </w:rPr>
        <w:t>Aquacel</w:t>
      </w:r>
      <w:proofErr w:type="spellEnd"/>
      <w:r w:rsidRPr="008C25D7">
        <w:rPr>
          <w:rFonts w:cs="Arial"/>
          <w:color w:val="000000"/>
        </w:rPr>
        <w:t xml:space="preserve"> Ag+ Extra toxicity, the results of in vivo testing of </w:t>
      </w:r>
      <w:proofErr w:type="spellStart"/>
      <w:r w:rsidRPr="008C25D7">
        <w:rPr>
          <w:rFonts w:cs="Arial"/>
          <w:color w:val="000000"/>
        </w:rPr>
        <w:t>Aquacel</w:t>
      </w:r>
      <w:proofErr w:type="spellEnd"/>
      <w:r w:rsidRPr="008C25D7">
        <w:rPr>
          <w:rFonts w:cs="Arial"/>
          <w:color w:val="000000"/>
        </w:rPr>
        <w:t xml:space="preserve"> Ag+ Extra, and the results of clinical </w:t>
      </w:r>
      <w:r w:rsidRPr="008C25D7">
        <w:rPr>
          <w:rFonts w:cs="Arial"/>
          <w:color w:val="000000"/>
        </w:rPr>
        <w:lastRenderedPageBreak/>
        <w:t xml:space="preserve">safety testing of </w:t>
      </w:r>
      <w:proofErr w:type="spellStart"/>
      <w:r w:rsidRPr="008C25D7">
        <w:rPr>
          <w:rFonts w:cs="Arial"/>
          <w:color w:val="000000"/>
        </w:rPr>
        <w:t>Aquacel</w:t>
      </w:r>
      <w:proofErr w:type="spellEnd"/>
      <w:r w:rsidRPr="008C25D7">
        <w:rPr>
          <w:rFonts w:cs="Arial"/>
          <w:color w:val="000000"/>
        </w:rPr>
        <w:t xml:space="preserve">® Ag+ dressing, the biocompatibility of </w:t>
      </w:r>
      <w:proofErr w:type="spellStart"/>
      <w:r w:rsidRPr="008C25D7">
        <w:rPr>
          <w:rFonts w:cs="Arial"/>
          <w:color w:val="000000"/>
        </w:rPr>
        <w:t>Aquacel</w:t>
      </w:r>
      <w:proofErr w:type="spellEnd"/>
      <w:r w:rsidRPr="008C25D7">
        <w:rPr>
          <w:rFonts w:cs="Arial"/>
          <w:color w:val="000000"/>
        </w:rPr>
        <w:t xml:space="preserve"> Ag+ Extra and </w:t>
      </w:r>
      <w:proofErr w:type="spellStart"/>
      <w:r w:rsidRPr="008C25D7">
        <w:rPr>
          <w:rFonts w:cs="Arial"/>
          <w:color w:val="000000"/>
        </w:rPr>
        <w:t>Aquacel</w:t>
      </w:r>
      <w:proofErr w:type="spellEnd"/>
      <w:r w:rsidRPr="008C25D7">
        <w:rPr>
          <w:rFonts w:cs="Arial"/>
          <w:color w:val="000000"/>
        </w:rPr>
        <w:t xml:space="preserve"> Ag+ WSF </w:t>
      </w:r>
      <w:proofErr w:type="gramStart"/>
      <w:r w:rsidRPr="008C25D7">
        <w:rPr>
          <w:rFonts w:cs="Arial"/>
          <w:color w:val="000000"/>
        </w:rPr>
        <w:t>was considered to be</w:t>
      </w:r>
      <w:proofErr w:type="gramEnd"/>
      <w:r w:rsidRPr="008C25D7">
        <w:rPr>
          <w:rFonts w:cs="Arial"/>
          <w:color w:val="000000"/>
        </w:rPr>
        <w:t xml:space="preserve"> satisfactory for their intended use.  </w:t>
      </w:r>
      <w:proofErr w:type="gramStart"/>
      <w:r w:rsidRPr="008C25D7">
        <w:rPr>
          <w:rFonts w:cs="Arial"/>
          <w:color w:val="000000"/>
        </w:rPr>
        <w:t>Plus</w:t>
      </w:r>
      <w:proofErr w:type="gramEnd"/>
      <w:r w:rsidRPr="008C25D7">
        <w:rPr>
          <w:rFonts w:cs="Arial"/>
          <w:color w:val="000000"/>
        </w:rPr>
        <w:t xml:space="preserve"> RCT summary</w:t>
      </w:r>
      <w:r w:rsidRPr="008C25D7">
        <w:rPr>
          <w:rFonts w:cs="Arial"/>
          <w:color w:val="000000"/>
        </w:rPr>
        <w:br/>
      </w:r>
      <w:r w:rsidRPr="008C25D7">
        <w:rPr>
          <w:rFonts w:cs="Arial"/>
          <w:color w:val="000000"/>
        </w:rPr>
        <w:br/>
        <w:t>An expert review of the available toxicological information on silver-containing wound dressings was commissioned from an independent toxicology testing laboratory, Harlan Laboratories Ltd, UK (</w:t>
      </w:r>
      <w:proofErr w:type="spellStart"/>
      <w:r w:rsidRPr="008C25D7">
        <w:rPr>
          <w:rFonts w:cs="Arial"/>
          <w:color w:val="000000"/>
        </w:rPr>
        <w:t>Aquacel</w:t>
      </w:r>
      <w:proofErr w:type="spellEnd"/>
      <w:r w:rsidRPr="008C25D7">
        <w:rPr>
          <w:rFonts w:cs="Arial"/>
          <w:color w:val="000000"/>
        </w:rPr>
        <w:t xml:space="preserve"> Ag + Extra and WSF_DHF 842_DHF 981_CER). The report concluded:</w:t>
      </w:r>
      <w:r w:rsidRPr="008C25D7">
        <w:rPr>
          <w:rFonts w:cs="Arial"/>
          <w:color w:val="000000"/>
        </w:rPr>
        <w:br/>
        <w:t xml:space="preserve">• “Silver-containing wound dressings can exhibit cytotoxicity in vitro. In general, the toxicity observed in vitro is greater than that observed for wound dressings that do not contain silver or its compounds. The component responsible for </w:t>
      </w:r>
      <w:proofErr w:type="gramStart"/>
      <w:r w:rsidRPr="008C25D7">
        <w:rPr>
          <w:rFonts w:cs="Arial"/>
          <w:color w:val="000000"/>
        </w:rPr>
        <w:t>the majority of</w:t>
      </w:r>
      <w:proofErr w:type="gramEnd"/>
      <w:r w:rsidRPr="008C25D7">
        <w:rPr>
          <w:rFonts w:cs="Arial"/>
          <w:color w:val="000000"/>
        </w:rPr>
        <w:t xml:space="preserve"> effects seen in vitro is the silver component, which is the active component, particularly via its antimicrobial activity. The degree of effect is considered dependent upon the bioavailability of silver ions. In contrast, very little toxicity, irritation or sensitisation is observed from the in vivo studies of wound dressings both with and without silver, using an extract of the wound dressing, or samples of the wound dressings themselves. </w:t>
      </w:r>
      <w:r w:rsidRPr="008C25D7">
        <w:rPr>
          <w:rFonts w:cs="Arial"/>
          <w:color w:val="000000"/>
        </w:rPr>
        <w:br/>
        <w:t xml:space="preserve">• No signs of toxicity, irritation or sensitisation were observed from the in vivo studies conducted on the AQUACEL® Ag+ Extra dressing. </w:t>
      </w:r>
      <w:r w:rsidRPr="008C25D7">
        <w:rPr>
          <w:rFonts w:cs="Arial"/>
          <w:color w:val="000000"/>
        </w:rPr>
        <w:br/>
        <w:t xml:space="preserve">• There is evidence to suggest that silver ions are unlikely to cause adverse acute toxic effects, skin irritation or skin sensitisation and that any potential local injury, </w:t>
      </w:r>
      <w:proofErr w:type="gramStart"/>
      <w:r w:rsidRPr="008C25D7">
        <w:rPr>
          <w:rFonts w:cs="Arial"/>
          <w:color w:val="000000"/>
        </w:rPr>
        <w:t>as a result of</w:t>
      </w:r>
      <w:proofErr w:type="gramEnd"/>
      <w:r w:rsidRPr="008C25D7">
        <w:rPr>
          <w:rFonts w:cs="Arial"/>
          <w:color w:val="000000"/>
        </w:rPr>
        <w:t xml:space="preserve"> cytotoxicity, will not result in a significant effect in vivo. </w:t>
      </w:r>
      <w:r w:rsidRPr="008C25D7">
        <w:rPr>
          <w:rFonts w:cs="Arial"/>
          <w:color w:val="000000"/>
        </w:rPr>
        <w:br/>
        <w:t>• The components of the AQUACEL® Ag+ Extra and AQUACEL® Ag+ Ribbon (WSF) dressings are considered not to present an adverse risk to human health when used at the levels intended and via the route of exposure intended.”</w:t>
      </w:r>
      <w:r w:rsidRPr="008C25D7">
        <w:rPr>
          <w:rFonts w:cs="Arial"/>
          <w:color w:val="000000"/>
        </w:rPr>
        <w:br/>
      </w:r>
      <w:r w:rsidRPr="008C25D7">
        <w:rPr>
          <w:rFonts w:cs="Arial"/>
          <w:color w:val="000000"/>
        </w:rPr>
        <w:br/>
        <w:t>On the biological fate of ionic silver</w:t>
      </w:r>
      <w:r w:rsidRPr="008C25D7">
        <w:rPr>
          <w:rFonts w:cs="Arial"/>
          <w:color w:val="000000"/>
        </w:rPr>
        <w:br/>
        <w:t>• Even with the carefully designed silver-generating system like detailed above (Parsons et al, 2005), there will ultimately be some silver ions that interact with host cell tissue. To examine the risks associated with this scenario, Walker &amp; Parsons (2014) published a comprehensive literature review on the systemic fate of ionic silver. They concluded that there would appear to be few toxic effects of silver known and these are mostly associated with high dose/acute cases. The only long-term consequence of chronic exposure is argyria, a permanent discolouration of the skin caused by the deposition of inert silver sulphide/selenide salts in the deep dermis.</w:t>
      </w:r>
      <w:r w:rsidRPr="008C25D7">
        <w:rPr>
          <w:rFonts w:cs="Arial"/>
          <w:color w:val="000000"/>
        </w:rPr>
        <w:br/>
        <w:t>• Wound tissue and wounds fluids contain not only plentiful negatively charged ions that can bind to ionic silver to inactive it, they also contain high levels of proteins, which ionic silver can bind to and become inactivated. Silver is well known to have a strong affinity for proteins (</w:t>
      </w:r>
      <w:proofErr w:type="spellStart"/>
      <w:r w:rsidRPr="008C25D7">
        <w:rPr>
          <w:rFonts w:cs="Arial"/>
          <w:color w:val="000000"/>
        </w:rPr>
        <w:t>Hostynek</w:t>
      </w:r>
      <w:proofErr w:type="spellEnd"/>
      <w:r w:rsidRPr="008C25D7">
        <w:rPr>
          <w:rFonts w:cs="Arial"/>
          <w:color w:val="000000"/>
        </w:rPr>
        <w:t xml:space="preserve"> et al, 1993). Any silver ions beyond the local wound area will be excreted by the various mechanisms that have evolved in humans, such as tissue turnover (e.g., epidermis), and detoxification in the liver and kidneys where silver is </w:t>
      </w:r>
      <w:r w:rsidRPr="008C25D7">
        <w:rPr>
          <w:rFonts w:cs="Arial"/>
          <w:color w:val="000000"/>
        </w:rPr>
        <w:lastRenderedPageBreak/>
        <w:t xml:space="preserve">ultimately excreted in faeces and urine (Walker &amp; Parsons, 2014). </w:t>
      </w:r>
      <w:r w:rsidRPr="008C25D7">
        <w:rPr>
          <w:rFonts w:cs="Arial"/>
          <w:color w:val="000000"/>
        </w:rPr>
        <w:br/>
        <w:t xml:space="preserve">• The low levels of silver in </w:t>
      </w:r>
      <w:proofErr w:type="spellStart"/>
      <w:r w:rsidRPr="008C25D7">
        <w:rPr>
          <w:rFonts w:cs="Arial"/>
          <w:color w:val="000000"/>
        </w:rPr>
        <w:t>Aquacel</w:t>
      </w:r>
      <w:proofErr w:type="spellEnd"/>
      <w:r w:rsidRPr="008C25D7">
        <w:rPr>
          <w:rFonts w:cs="Arial"/>
          <w:color w:val="000000"/>
        </w:rPr>
        <w:t xml:space="preserve"> Ag+ Extra dressings, the controlled rate at which ionic silver is made available in the gelled dressing, and high likelihood of reactions with negatively charged ions and proteins in wound environment, mean that the risk of systemic toxicity is low. (Note: the silver content of </w:t>
      </w:r>
      <w:proofErr w:type="spellStart"/>
      <w:r w:rsidRPr="008C25D7">
        <w:rPr>
          <w:rFonts w:cs="Arial"/>
          <w:color w:val="000000"/>
        </w:rPr>
        <w:t>Aquacel</w:t>
      </w:r>
      <w:proofErr w:type="spellEnd"/>
      <w:r w:rsidRPr="008C25D7">
        <w:rPr>
          <w:rFonts w:cs="Arial"/>
          <w:color w:val="000000"/>
        </w:rPr>
        <w:t xml:space="preserve"> Ag+ Extra dressings is relatively low at 1.2% (w/w) compared to some other silver dressings, e.g., nanocrystalline silver-containing dressings at 7.8% (w/w) silver content). </w:t>
      </w:r>
      <w:r w:rsidRPr="008C25D7">
        <w:rPr>
          <w:rFonts w:cs="Arial"/>
          <w:color w:val="000000"/>
        </w:rPr>
        <w:br/>
      </w:r>
      <w:r w:rsidRPr="008C25D7">
        <w:rPr>
          <w:rFonts w:cs="Arial"/>
          <w:color w:val="000000"/>
        </w:rPr>
        <w:br/>
        <w:t>References</w:t>
      </w:r>
      <w:r w:rsidRPr="008C25D7">
        <w:rPr>
          <w:rFonts w:cs="Arial"/>
          <w:color w:val="000000"/>
        </w:rPr>
        <w:br/>
        <w:t xml:space="preserve">v Davis SC, SC, Li J, Gil J, Valdes J, Solis M, Higa A, Bowler P. The wound-healing effects of a next-generation anti-biofilm silver </w:t>
      </w:r>
      <w:proofErr w:type="spellStart"/>
      <w:r w:rsidRPr="008C25D7">
        <w:rPr>
          <w:rFonts w:cs="Arial"/>
          <w:color w:val="000000"/>
        </w:rPr>
        <w:t>Hydrofiber</w:t>
      </w:r>
      <w:proofErr w:type="spellEnd"/>
      <w:r w:rsidRPr="008C25D7">
        <w:rPr>
          <w:rFonts w:cs="Arial"/>
          <w:color w:val="000000"/>
        </w:rPr>
        <w:t xml:space="preserve"> wound dressing on deep partial-thickness wounds using a porcine model. Int Wound J 2018; 15: 834-839.</w:t>
      </w:r>
      <w:r w:rsidRPr="008C25D7">
        <w:rPr>
          <w:rFonts w:cs="Arial"/>
          <w:color w:val="000000"/>
        </w:rPr>
        <w:br/>
        <w:t xml:space="preserve">v Harding KG, Szczepkowski M, </w:t>
      </w:r>
      <w:proofErr w:type="spellStart"/>
      <w:r w:rsidRPr="008C25D7">
        <w:rPr>
          <w:rFonts w:cs="Arial"/>
          <w:color w:val="000000"/>
        </w:rPr>
        <w:t>Mikosiński</w:t>
      </w:r>
      <w:proofErr w:type="spellEnd"/>
      <w:r w:rsidRPr="008C25D7">
        <w:rPr>
          <w:rFonts w:cs="Arial"/>
          <w:color w:val="000000"/>
        </w:rPr>
        <w:t xml:space="preserve"> J, Twardowska-</w:t>
      </w:r>
      <w:proofErr w:type="spellStart"/>
      <w:r w:rsidRPr="008C25D7">
        <w:rPr>
          <w:rFonts w:cs="Arial"/>
          <w:color w:val="000000"/>
        </w:rPr>
        <w:t>Saucha</w:t>
      </w:r>
      <w:proofErr w:type="spellEnd"/>
      <w:r w:rsidRPr="008C25D7">
        <w:rPr>
          <w:rFonts w:cs="Arial"/>
          <w:color w:val="000000"/>
        </w:rPr>
        <w:t xml:space="preserve"> K, Blair S, Ivins NM, </w:t>
      </w:r>
      <w:proofErr w:type="spellStart"/>
      <w:r w:rsidRPr="008C25D7">
        <w:rPr>
          <w:rFonts w:cs="Arial"/>
          <w:color w:val="000000"/>
        </w:rPr>
        <w:t>Saucha</w:t>
      </w:r>
      <w:proofErr w:type="spellEnd"/>
      <w:r w:rsidRPr="008C25D7">
        <w:rPr>
          <w:rFonts w:cs="Arial"/>
          <w:color w:val="000000"/>
        </w:rPr>
        <w:t xml:space="preserve"> W, Cains J, Peters K, Parsons D, Bowler P. Safety and performance evaluation of a next-generation antimicrobial dressing in patients with chronic venous leg ulcers. Int Wound J 2016; 13: 442-448.</w:t>
      </w:r>
      <w:r w:rsidRPr="008C25D7">
        <w:rPr>
          <w:rFonts w:cs="Arial"/>
          <w:color w:val="000000"/>
        </w:rPr>
        <w:br/>
        <w:t xml:space="preserve">v </w:t>
      </w:r>
      <w:proofErr w:type="spellStart"/>
      <w:r w:rsidRPr="008C25D7">
        <w:rPr>
          <w:rFonts w:cs="Arial"/>
          <w:color w:val="000000"/>
        </w:rPr>
        <w:t>Hostynek</w:t>
      </w:r>
      <w:proofErr w:type="spellEnd"/>
      <w:r w:rsidRPr="008C25D7">
        <w:rPr>
          <w:rFonts w:cs="Arial"/>
          <w:color w:val="000000"/>
        </w:rPr>
        <w:t xml:space="preserve"> JJ, Hinz RS, Lorence CR, Price M, Guy RH. Metals and the skin. Critic Rev </w:t>
      </w:r>
      <w:proofErr w:type="spellStart"/>
      <w:r w:rsidRPr="008C25D7">
        <w:rPr>
          <w:rFonts w:cs="Arial"/>
          <w:color w:val="000000"/>
        </w:rPr>
        <w:t>Toxicol</w:t>
      </w:r>
      <w:proofErr w:type="spellEnd"/>
      <w:r w:rsidRPr="008C25D7">
        <w:rPr>
          <w:rFonts w:cs="Arial"/>
          <w:color w:val="000000"/>
        </w:rPr>
        <w:t xml:space="preserve"> 1993; 23: 171-235.</w:t>
      </w:r>
      <w:r w:rsidRPr="008C25D7">
        <w:rPr>
          <w:rFonts w:cs="Arial"/>
          <w:color w:val="000000"/>
        </w:rPr>
        <w:br/>
        <w:t>v Parsons D, Bowler PG, Myles V, Jones SA. Silver antimicrobial dressings in wound management: A comparison of antibacterial, physical and chemical characteristics. WOUNDS 2005; 17: 222-232.</w:t>
      </w:r>
      <w:r w:rsidRPr="008C25D7">
        <w:rPr>
          <w:rFonts w:cs="Arial"/>
          <w:color w:val="000000"/>
        </w:rPr>
        <w:br/>
        <w:t xml:space="preserve">v Romero-Urbina D, Lara H, Velázquez-Salazar J, et al. Ultrastructural changes in methicillin-resistant Staphylococcus aureus induced by positively charged silver nanoparticles. Beilstein J Nanotech 2015; 6: 2396-2405. </w:t>
      </w:r>
      <w:r w:rsidRPr="008C25D7">
        <w:rPr>
          <w:rFonts w:cs="Arial"/>
          <w:color w:val="000000"/>
        </w:rPr>
        <w:br/>
        <w:t>v Walker M, Parsons D. The biological fate of silver ions following the use of silver</w:t>
      </w:r>
      <w:r w:rsidRPr="008C25D7">
        <w:rPr>
          <w:rFonts w:ascii="Cambria Math" w:hAnsi="Cambria Math" w:cs="Cambria Math"/>
          <w:color w:val="000000"/>
        </w:rPr>
        <w:t>‐</w:t>
      </w:r>
      <w:r w:rsidRPr="008C25D7">
        <w:rPr>
          <w:rFonts w:cs="Arial"/>
          <w:color w:val="000000"/>
        </w:rPr>
        <w:t>containing wound care products – a review. Int Wound J 2014; 11: 496-504.</w:t>
      </w:r>
    </w:p>
    <w:p w14:paraId="44924C01" w14:textId="77777777" w:rsidR="008C25D7" w:rsidRPr="008C25D7" w:rsidRDefault="008C25D7" w:rsidP="008C25D7">
      <w:pPr>
        <w:pStyle w:val="Paragraph"/>
        <w:spacing w:line="240" w:lineRule="auto"/>
        <w:rPr>
          <w:rFonts w:cs="Arial"/>
          <w:lang w:eastAsia="en-GB"/>
        </w:rPr>
      </w:pPr>
    </w:p>
    <w:p w14:paraId="3B7AAB90" w14:textId="77777777" w:rsidR="008C25D7" w:rsidRPr="008C25D7" w:rsidRDefault="008C25D7" w:rsidP="008C25D7">
      <w:pPr>
        <w:pStyle w:val="Paragraph"/>
        <w:spacing w:line="240" w:lineRule="auto"/>
        <w:rPr>
          <w:rFonts w:cs="Arial"/>
          <w:u w:val="single"/>
          <w:lang w:eastAsia="en-GB"/>
        </w:rPr>
      </w:pPr>
      <w:r w:rsidRPr="008C25D7">
        <w:rPr>
          <w:rFonts w:cs="Arial"/>
          <w:u w:val="single"/>
          <w:lang w:eastAsia="en-GB"/>
        </w:rPr>
        <w:t xml:space="preserve">Comment 195, </w:t>
      </w:r>
      <w:r w:rsidRPr="008C25D7">
        <w:rPr>
          <w:rFonts w:cs="Arial"/>
          <w:color w:val="000000"/>
          <w:u w:val="single"/>
        </w:rPr>
        <w:t xml:space="preserve">Consultee 11 </w:t>
      </w:r>
      <w:proofErr w:type="spellStart"/>
      <w:r w:rsidRPr="008C25D7">
        <w:rPr>
          <w:rFonts w:cs="Arial"/>
          <w:color w:val="000000"/>
          <w:u w:val="single"/>
        </w:rPr>
        <w:t>Convatec</w:t>
      </w:r>
      <w:proofErr w:type="spellEnd"/>
      <w:r w:rsidRPr="008C25D7">
        <w:rPr>
          <w:rFonts w:cs="Arial"/>
          <w:color w:val="000000"/>
          <w:u w:val="single"/>
        </w:rPr>
        <w:t>, section: current practice</w:t>
      </w:r>
    </w:p>
    <w:p w14:paraId="6C148E0C" w14:textId="77777777" w:rsidR="008C25D7" w:rsidRPr="008C25D7" w:rsidRDefault="008C25D7" w:rsidP="008C25D7">
      <w:pPr>
        <w:pStyle w:val="Paragraph"/>
        <w:spacing w:line="240" w:lineRule="auto"/>
        <w:rPr>
          <w:rFonts w:cs="Arial"/>
          <w:lang w:eastAsia="en-GB"/>
        </w:rPr>
      </w:pPr>
      <w:r w:rsidRPr="008C25D7">
        <w:rPr>
          <w:rFonts w:cs="Arial"/>
          <w:color w:val="000000"/>
        </w:rPr>
        <w:t>The Clinical Relevance of Silver Resistance in Wound Care – 2024 Expert Opinion</w:t>
      </w:r>
      <w:r w:rsidRPr="008C25D7">
        <w:rPr>
          <w:rFonts w:cs="Arial"/>
          <w:color w:val="000000"/>
        </w:rPr>
        <w:br/>
      </w:r>
      <w:r w:rsidRPr="008C25D7">
        <w:rPr>
          <w:rFonts w:cs="Arial"/>
          <w:color w:val="000000"/>
        </w:rPr>
        <w:br/>
        <w:t>Introduction</w:t>
      </w:r>
      <w:r w:rsidRPr="008C25D7">
        <w:rPr>
          <w:rFonts w:cs="Arial"/>
          <w:color w:val="000000"/>
        </w:rPr>
        <w:br/>
        <w:t xml:space="preserve">Ionic silver exhibits antimicrobial activity against a broad range of microorganisms. Consequently, silver has been introduced into a wide range of commercially available healthcare products, including wound dressings. However, concerns associated with the subsequent emergence of silver resistance have been, and continue to be, raised by scientists and healthcare professionals </w:t>
      </w:r>
      <w:r w:rsidRPr="008C25D7">
        <w:rPr>
          <w:rFonts w:cs="Arial"/>
          <w:color w:val="000000"/>
        </w:rPr>
        <w:lastRenderedPageBreak/>
        <w:t xml:space="preserve">involved in wound care. Despite these recent discussions, only limited and sporadic evidence has been presented to ascertain the prevalence of silver resistance, and even fewer studies have been undertaken to document the clinical manifestations of this </w:t>
      </w:r>
      <w:proofErr w:type="gramStart"/>
      <w:r w:rsidRPr="008C25D7">
        <w:rPr>
          <w:rFonts w:cs="Arial"/>
          <w:color w:val="000000"/>
        </w:rPr>
        <w:t>resistance in actuality</w:t>
      </w:r>
      <w:proofErr w:type="gramEnd"/>
      <w:r w:rsidRPr="008C25D7">
        <w:rPr>
          <w:rFonts w:cs="Arial"/>
          <w:color w:val="000000"/>
        </w:rPr>
        <w:t xml:space="preserve">. </w:t>
      </w:r>
      <w:r w:rsidRPr="008C25D7">
        <w:rPr>
          <w:rFonts w:cs="Arial"/>
          <w:color w:val="000000"/>
        </w:rPr>
        <w:br/>
      </w:r>
      <w:r w:rsidRPr="008C25D7">
        <w:rPr>
          <w:rFonts w:cs="Arial"/>
          <w:color w:val="000000"/>
        </w:rPr>
        <w:br/>
        <w:t>Silver resistance genes</w:t>
      </w:r>
      <w:r w:rsidRPr="008C25D7">
        <w:rPr>
          <w:rFonts w:cs="Arial"/>
          <w:color w:val="000000"/>
        </w:rPr>
        <w:br/>
        <w:t>Silver resistance genes (</w:t>
      </w:r>
      <w:proofErr w:type="spellStart"/>
      <w:r w:rsidRPr="008C25D7">
        <w:rPr>
          <w:rFonts w:cs="Arial"/>
          <w:color w:val="000000"/>
        </w:rPr>
        <w:t>sil</w:t>
      </w:r>
      <w:proofErr w:type="spellEnd"/>
      <w:r w:rsidRPr="008C25D7">
        <w:rPr>
          <w:rFonts w:cs="Arial"/>
          <w:color w:val="000000"/>
        </w:rPr>
        <w:t xml:space="preserve">) exist in bacteria, predominantly in Gram-negative bacteria, more specifically in select enteric (gut) bacteria, including a small percentage of Escherichia coli, but most specifically in Enterobacter cloacae and Klebsiella pneumoniae (Finley et al, 2015; Randall et al, 2015). A Swedish study showed the presence of </w:t>
      </w:r>
      <w:proofErr w:type="spellStart"/>
      <w:r w:rsidRPr="008C25D7">
        <w:rPr>
          <w:rFonts w:cs="Arial"/>
          <w:color w:val="000000"/>
        </w:rPr>
        <w:t>sil</w:t>
      </w:r>
      <w:proofErr w:type="spellEnd"/>
      <w:r w:rsidRPr="008C25D7">
        <w:rPr>
          <w:rFonts w:cs="Arial"/>
          <w:color w:val="000000"/>
        </w:rPr>
        <w:t xml:space="preserve"> genes to be confined exclusively to enteric bacteria (i.e., Enterobacteriaceae) (</w:t>
      </w:r>
      <w:proofErr w:type="spellStart"/>
      <w:r w:rsidRPr="008C25D7">
        <w:rPr>
          <w:rFonts w:cs="Arial"/>
          <w:color w:val="000000"/>
        </w:rPr>
        <w:t>Sütterlin</w:t>
      </w:r>
      <w:proofErr w:type="spellEnd"/>
      <w:r w:rsidRPr="008C25D7">
        <w:rPr>
          <w:rFonts w:cs="Arial"/>
          <w:color w:val="000000"/>
        </w:rPr>
        <w:t xml:space="preserve"> et al, 2017). Sil genes have not been identified in recognised wound pathogens such as Pseudomonas aeruginosa (Percival et al, 2008; </w:t>
      </w:r>
      <w:proofErr w:type="spellStart"/>
      <w:r w:rsidRPr="008C25D7">
        <w:rPr>
          <w:rFonts w:cs="Arial"/>
          <w:color w:val="000000"/>
        </w:rPr>
        <w:t>Sütterlin</w:t>
      </w:r>
      <w:proofErr w:type="spellEnd"/>
      <w:r w:rsidRPr="008C25D7">
        <w:rPr>
          <w:rFonts w:cs="Arial"/>
          <w:color w:val="000000"/>
        </w:rPr>
        <w:t xml:space="preserve"> et al, 2017), and 876 strains of Staphylococcus aureus exposed to silver with continuous passaging over 42 days showed no reduction in silver susceptibility (Randall et al, 2015).</w:t>
      </w:r>
      <w:r w:rsidRPr="008C25D7">
        <w:rPr>
          <w:rFonts w:cs="Arial"/>
          <w:color w:val="000000"/>
        </w:rPr>
        <w:br/>
      </w:r>
      <w:r w:rsidRPr="008C25D7">
        <w:rPr>
          <w:rFonts w:cs="Arial"/>
          <w:color w:val="000000"/>
        </w:rPr>
        <w:br/>
        <w:t xml:space="preserve">The E. cloacae and K. pneumoniae isolates containing </w:t>
      </w:r>
      <w:proofErr w:type="spellStart"/>
      <w:r w:rsidRPr="008C25D7">
        <w:rPr>
          <w:rFonts w:cs="Arial"/>
          <w:color w:val="000000"/>
        </w:rPr>
        <w:t>sil</w:t>
      </w:r>
      <w:proofErr w:type="spellEnd"/>
      <w:r w:rsidRPr="008C25D7">
        <w:rPr>
          <w:rFonts w:cs="Arial"/>
          <w:color w:val="000000"/>
        </w:rPr>
        <w:t xml:space="preserve"> genes from Norton &amp; Finlay (2021), were shown to contain the resistant genes on extrachromosomal DNA plasmids, which were identified by the group previously (Finlay et al, 2015). Plasmids work in the presence of selective pressure (in this case silver ions), although if silver ions are not present, the bacteria lose the plasmids over generations of replication. Therefore, the bacteria were cultured with silver ions prior to testing to ensure the </w:t>
      </w:r>
      <w:proofErr w:type="spellStart"/>
      <w:r w:rsidRPr="008C25D7">
        <w:rPr>
          <w:rFonts w:cs="Arial"/>
          <w:color w:val="000000"/>
        </w:rPr>
        <w:t>sil</w:t>
      </w:r>
      <w:proofErr w:type="spellEnd"/>
      <w:r w:rsidRPr="008C25D7">
        <w:rPr>
          <w:rFonts w:cs="Arial"/>
          <w:color w:val="000000"/>
        </w:rPr>
        <w:t xml:space="preserve"> plasmid was active, providing an additional challenge to all the silver-containing dressings tested. If these strains were present in a wound, constant contact of bacteria with silver ions would be unlikely, thus </w:t>
      </w:r>
      <w:proofErr w:type="spellStart"/>
      <w:r w:rsidRPr="008C25D7">
        <w:rPr>
          <w:rFonts w:cs="Arial"/>
          <w:color w:val="000000"/>
        </w:rPr>
        <w:t>sil</w:t>
      </w:r>
      <w:proofErr w:type="spellEnd"/>
      <w:r w:rsidRPr="008C25D7">
        <w:rPr>
          <w:rFonts w:cs="Arial"/>
          <w:color w:val="000000"/>
        </w:rPr>
        <w:t xml:space="preserve"> plasmid expression at all times is improbable.</w:t>
      </w:r>
      <w:r w:rsidRPr="008C25D7">
        <w:rPr>
          <w:rFonts w:cs="Arial"/>
          <w:color w:val="000000"/>
        </w:rPr>
        <w:br/>
      </w:r>
      <w:r w:rsidRPr="008C25D7">
        <w:rPr>
          <w:rFonts w:cs="Arial"/>
          <w:color w:val="000000"/>
        </w:rPr>
        <w:br/>
        <w:t xml:space="preserve">When expression of </w:t>
      </w:r>
      <w:proofErr w:type="spellStart"/>
      <w:r w:rsidRPr="008C25D7">
        <w:rPr>
          <w:rFonts w:cs="Arial"/>
          <w:color w:val="000000"/>
        </w:rPr>
        <w:t>sil</w:t>
      </w:r>
      <w:proofErr w:type="spellEnd"/>
      <w:r w:rsidRPr="008C25D7">
        <w:rPr>
          <w:rFonts w:cs="Arial"/>
          <w:color w:val="000000"/>
        </w:rPr>
        <w:t xml:space="preserve"> genes occurs, the result is a reduction in the number of silver ions (Ag+) entering the bacterial cell, whilst the activity of efflux pumps results in increased depletion of silver ions from within the cell. However, some of the silver ions that will have entered a bacterial cell will still cause cell death (via coagulation of proteins and DNA, etc.). This may be reflected in Norton &amp; Finley’s (2021) observation of reduced counts, but not complete elimination, of </w:t>
      </w:r>
      <w:proofErr w:type="spellStart"/>
      <w:r w:rsidRPr="008C25D7">
        <w:rPr>
          <w:rFonts w:cs="Arial"/>
          <w:color w:val="000000"/>
        </w:rPr>
        <w:t>sil</w:t>
      </w:r>
      <w:proofErr w:type="spellEnd"/>
      <w:r w:rsidRPr="008C25D7">
        <w:rPr>
          <w:rFonts w:cs="Arial"/>
          <w:color w:val="000000"/>
        </w:rPr>
        <w:t>+ E. cloacae and K. pneumoniae in the presence of some silver-containing dressings over 72 hours.</w:t>
      </w:r>
      <w:r w:rsidRPr="008C25D7">
        <w:rPr>
          <w:rFonts w:cs="Arial"/>
          <w:color w:val="000000"/>
        </w:rPr>
        <w:br/>
      </w:r>
      <w:r w:rsidRPr="008C25D7">
        <w:rPr>
          <w:rFonts w:cs="Arial"/>
          <w:color w:val="000000"/>
        </w:rPr>
        <w:br/>
        <w:t>Silver-resistant bacteria in acute infections and chronic infections in wounds</w:t>
      </w:r>
      <w:r w:rsidRPr="008C25D7">
        <w:rPr>
          <w:rFonts w:cs="Arial"/>
          <w:color w:val="000000"/>
        </w:rPr>
        <w:br/>
      </w:r>
      <w:r w:rsidRPr="008C25D7">
        <w:rPr>
          <w:rFonts w:cs="Arial"/>
          <w:color w:val="000000"/>
        </w:rPr>
        <w:br/>
        <w:t xml:space="preserve">The prevalence of E. cloacae and K. pneumoniae in wounds is very low (Wolcott et al, 2016; Dietrich et al, 2022; Bennett et al, 2023). In a molecular analysis of the chronic wound microflora in 2,963 subjects, neither E. cloacae nor K. pneumoniae were specifically detected (Wolcott et al, 2016). E. cloacae wound infection is rare and has occasionally been associated with acute </w:t>
      </w:r>
      <w:r w:rsidRPr="008C25D7">
        <w:rPr>
          <w:rFonts w:cs="Arial"/>
          <w:color w:val="000000"/>
        </w:rPr>
        <w:lastRenderedPageBreak/>
        <w:t>infections following battlefield trauma (Bennett et al, 2023) and surgery (Dietrich et al, 2022).</w:t>
      </w:r>
      <w:r w:rsidRPr="008C25D7">
        <w:rPr>
          <w:rFonts w:cs="Arial"/>
          <w:color w:val="000000"/>
        </w:rPr>
        <w:br/>
      </w:r>
      <w:r w:rsidRPr="008C25D7">
        <w:rPr>
          <w:rFonts w:cs="Arial"/>
          <w:color w:val="000000"/>
        </w:rPr>
        <w:br/>
        <w:t>In acute infections in wounds (i.e., infections involving invasive planktonic bacteria and overt signs of inflammation), systemic antibiotics are the first line of therapy. Silver-containing dressings are not used to treat a spreading acute infection in a wound (Hurlow &amp; Bowler, 2022). In a 1976 study, E. cloacae sepsis was observed in 15 burn patients (Gayle et al, 1978). All isolates were resistant to silver sulfadiazine in laboratory tube dilution tests. Despite all patients being switched to mafenide acetate topical treatment (to which all E. cloacae strains were susceptible), this did not improve patient survival (Gayle et al, 1978). Traumatic soft tissue infections involving single-species E. cloacae are rare, and the mechanism of virulence of this pathogen not yet elucidated (Dietrich et al, 2022). In a study of traumatic hand injuries over a 9-year period, only 6 monomicrobial E. cloacae infections were observed (Dietrich et al, 2022). Therefore, whilst occasional acute (planktonic) infections in wounds have been directly linked to E. cloacae, such infections would invariably be treated with systemic antibiotics. Serious acute infections in wounds are not commonly treated with topical, silver-containing dressings alone. Consequently, of the impact of silver resistance in acute infections in wounds is overestimated.</w:t>
      </w:r>
      <w:r w:rsidRPr="008C25D7">
        <w:rPr>
          <w:rFonts w:cs="Arial"/>
          <w:color w:val="000000"/>
        </w:rPr>
        <w:br/>
      </w:r>
      <w:r w:rsidRPr="008C25D7">
        <w:rPr>
          <w:rFonts w:cs="Arial"/>
          <w:color w:val="000000"/>
        </w:rPr>
        <w:br/>
        <w:t>In chronic infections in wounds (i.e., infections involving sessile biofilm microorganisms and covert, persistent, and tissue-destructive inflammation), the presence of E. cloacae and/or K. pneumoniae in chronic (hard-to-heal) wounds is uncommon (Wolcott et al, 2016). The presence of such organisms would likely constitute a minority component of a complex polymicrobial biofilm community. Biofilm itself tolerates silver (and other antiseptics</w:t>
      </w:r>
      <w:proofErr w:type="gramStart"/>
      <w:r w:rsidRPr="008C25D7">
        <w:rPr>
          <w:rFonts w:cs="Arial"/>
          <w:color w:val="000000"/>
        </w:rPr>
        <w:t>),protecting</w:t>
      </w:r>
      <w:proofErr w:type="gramEnd"/>
      <w:r w:rsidRPr="008C25D7">
        <w:rPr>
          <w:rFonts w:cs="Arial"/>
          <w:color w:val="000000"/>
        </w:rPr>
        <w:t xml:space="preserve"> embedded bacteria via the expression of extracellular polymeric substance (EPS). Finley et al (2015) observed silver deposition in the EPS (i.e., in structural and metabolic components of biofilm) of E. cloacae and K. pneumoniae, suggesting that the EPS prevented the activity of ionic silver against these bacteria, rather than their genetic resistance traits. </w:t>
      </w:r>
      <w:r w:rsidRPr="008C25D7">
        <w:rPr>
          <w:rFonts w:cs="Arial"/>
          <w:color w:val="000000"/>
        </w:rPr>
        <w:br/>
      </w:r>
      <w:r w:rsidRPr="008C25D7">
        <w:rPr>
          <w:rFonts w:cs="Arial"/>
          <w:color w:val="000000"/>
        </w:rPr>
        <w:br/>
        <w:t xml:space="preserve">In chronic infections in wounds, we acknowledge that the primary causative agent is biofilm. However, in this clinical scenario, the biofilm itself is the primary cause of chronic infection rather than specific microorganisms within the biofilm. Consequently, management of chronic (biofilm) infections in hard-to-heal wounds requires reduction and removal of biofilm, as well as prevention of re-formation of biofilm with regular Wound Hygiene (Murphy et al, 2020; Hurlow &amp; Bowler, 2022; </w:t>
      </w:r>
      <w:proofErr w:type="spellStart"/>
      <w:r w:rsidRPr="008C25D7">
        <w:rPr>
          <w:rFonts w:cs="Arial"/>
          <w:color w:val="000000"/>
        </w:rPr>
        <w:t>Torkington</w:t>
      </w:r>
      <w:proofErr w:type="spellEnd"/>
      <w:r w:rsidRPr="008C25D7">
        <w:rPr>
          <w:rFonts w:cs="Arial"/>
          <w:color w:val="000000"/>
        </w:rPr>
        <w:t xml:space="preserve">-Stokes et al, 2024). Wound Hygiene comprises four biofilm control steps: </w:t>
      </w:r>
      <w:r w:rsidRPr="008C25D7">
        <w:rPr>
          <w:rFonts w:cs="Arial"/>
          <w:color w:val="000000"/>
        </w:rPr>
        <w:br/>
        <w:t>• Step 1 – Cleanse: Antimicrobial/surfactant cleansers help to disperse biofilm and kill associated microorganisms (Murphy et al, 2020).</w:t>
      </w:r>
      <w:r w:rsidRPr="008C25D7">
        <w:rPr>
          <w:rFonts w:cs="Arial"/>
          <w:color w:val="000000"/>
        </w:rPr>
        <w:br/>
        <w:t>• Step 2 – Debride: Debridement physically disrupts and removes biofilm (Murphy et al, 2020).</w:t>
      </w:r>
      <w:r w:rsidRPr="008C25D7">
        <w:rPr>
          <w:rFonts w:cs="Arial"/>
          <w:color w:val="000000"/>
        </w:rPr>
        <w:br/>
      </w:r>
      <w:r w:rsidRPr="008C25D7">
        <w:rPr>
          <w:rFonts w:cs="Arial"/>
          <w:color w:val="000000"/>
        </w:rPr>
        <w:lastRenderedPageBreak/>
        <w:t xml:space="preserve">• Step 3 – Refashion: Refashioning physically removes biofilm (Murphy et al, 2020). </w:t>
      </w:r>
      <w:r w:rsidRPr="008C25D7">
        <w:rPr>
          <w:rFonts w:cs="Arial"/>
          <w:color w:val="000000"/>
        </w:rPr>
        <w:br/>
        <w:t xml:space="preserve">• Step 4 – Dress: Antimicrobial dressings prevent biofilm re-formation (Bowler &amp; Parsons, 2016; Murphy et al, 2020). Antibiofilm dressings can also facilitate the breakdown of biofilm structure and kill previously protected microorganisms (Bowler &amp; Parsons, 2016; Parsons et al, 2016; Suleman et al, 2020; Meredith et al, 2023; Meredith et al, 2024). </w:t>
      </w:r>
      <w:r w:rsidRPr="008C25D7">
        <w:rPr>
          <w:rFonts w:cs="Arial"/>
          <w:color w:val="000000"/>
        </w:rPr>
        <w:br/>
      </w:r>
      <w:r w:rsidRPr="008C25D7">
        <w:rPr>
          <w:rFonts w:cs="Arial"/>
          <w:color w:val="000000"/>
        </w:rPr>
        <w:br/>
        <w:t xml:space="preserve">Hypothetically, a polymicrobial biofilm of </w:t>
      </w:r>
      <w:proofErr w:type="spellStart"/>
      <w:r w:rsidRPr="008C25D7">
        <w:rPr>
          <w:rFonts w:cs="Arial"/>
          <w:color w:val="000000"/>
        </w:rPr>
        <w:t>of</w:t>
      </w:r>
      <w:proofErr w:type="spellEnd"/>
      <w:r w:rsidRPr="008C25D7">
        <w:rPr>
          <w:rFonts w:cs="Arial"/>
          <w:color w:val="000000"/>
        </w:rPr>
        <w:t xml:space="preserve"> </w:t>
      </w:r>
      <w:proofErr w:type="spellStart"/>
      <w:r w:rsidRPr="008C25D7">
        <w:rPr>
          <w:rFonts w:cs="Arial"/>
          <w:color w:val="000000"/>
        </w:rPr>
        <w:t>sil</w:t>
      </w:r>
      <w:proofErr w:type="spellEnd"/>
      <w:r w:rsidRPr="008C25D7">
        <w:rPr>
          <w:rFonts w:cs="Arial"/>
          <w:color w:val="000000"/>
        </w:rPr>
        <w:t xml:space="preserve">+ E. cloacae or K. pneumoniae existing in a hard-to-heal wound will be effectively managed by good Wound Hygiene practices. Following the four-step procedure will facilitate the removal of any </w:t>
      </w:r>
      <w:proofErr w:type="spellStart"/>
      <w:r w:rsidRPr="008C25D7">
        <w:rPr>
          <w:rFonts w:cs="Arial"/>
          <w:color w:val="000000"/>
        </w:rPr>
        <w:t>sil</w:t>
      </w:r>
      <w:proofErr w:type="spellEnd"/>
      <w:r w:rsidRPr="008C25D7">
        <w:rPr>
          <w:rFonts w:cs="Arial"/>
          <w:color w:val="000000"/>
        </w:rPr>
        <w:t xml:space="preserve">+ bacteria. Any remaining microorganisms would not be considered primary pathogens that present an acute infection risk. Furthermore, the risk of recognised pathogens such as S. aureus and P. aeruginosa accumulating </w:t>
      </w:r>
      <w:proofErr w:type="spellStart"/>
      <w:r w:rsidRPr="008C25D7">
        <w:rPr>
          <w:rFonts w:cs="Arial"/>
          <w:color w:val="000000"/>
        </w:rPr>
        <w:t>sil</w:t>
      </w:r>
      <w:proofErr w:type="spellEnd"/>
      <w:r w:rsidRPr="008C25D7">
        <w:rPr>
          <w:rFonts w:cs="Arial"/>
          <w:color w:val="000000"/>
        </w:rPr>
        <w:t xml:space="preserve"> genes via horizontal gene transfer is highly unlikely. Indeed, this has not been observed to date (Randall et al, 2015).</w:t>
      </w:r>
      <w:r w:rsidRPr="008C25D7">
        <w:rPr>
          <w:rFonts w:cs="Arial"/>
          <w:color w:val="000000"/>
        </w:rPr>
        <w:br/>
      </w:r>
      <w:r w:rsidRPr="008C25D7">
        <w:rPr>
          <w:rFonts w:cs="Arial"/>
          <w:color w:val="000000"/>
        </w:rPr>
        <w:br/>
        <w:t>Taking above considerations into account, the current clinical concerns regarding silver resistance and effectiveness of ionic silver in hard-to-heal wounds, while worthy of discussion, are largely extrapolations of laboratory observations to clinical scenarios.</w:t>
      </w:r>
      <w:r w:rsidRPr="008C25D7">
        <w:rPr>
          <w:rFonts w:cs="Arial"/>
          <w:color w:val="000000"/>
        </w:rPr>
        <w:br/>
      </w:r>
      <w:r w:rsidRPr="008C25D7">
        <w:rPr>
          <w:rFonts w:cs="Arial"/>
          <w:color w:val="000000"/>
        </w:rPr>
        <w:br/>
        <w:t>Conclusions</w:t>
      </w:r>
      <w:r w:rsidRPr="008C25D7">
        <w:rPr>
          <w:rFonts w:cs="Arial"/>
          <w:color w:val="000000"/>
        </w:rPr>
        <w:br/>
      </w:r>
      <w:r w:rsidRPr="008C25D7">
        <w:rPr>
          <w:rFonts w:cs="Arial"/>
          <w:color w:val="000000"/>
        </w:rPr>
        <w:br/>
        <w:t xml:space="preserve">Genetic resistance to silver exists in the form of </w:t>
      </w:r>
      <w:proofErr w:type="spellStart"/>
      <w:r w:rsidRPr="008C25D7">
        <w:rPr>
          <w:rFonts w:cs="Arial"/>
          <w:color w:val="000000"/>
        </w:rPr>
        <w:t>sil</w:t>
      </w:r>
      <w:proofErr w:type="spellEnd"/>
      <w:r w:rsidRPr="008C25D7">
        <w:rPr>
          <w:rFonts w:cs="Arial"/>
          <w:color w:val="000000"/>
        </w:rPr>
        <w:t xml:space="preserve"> genes. These </w:t>
      </w:r>
      <w:proofErr w:type="spellStart"/>
      <w:r w:rsidRPr="008C25D7">
        <w:rPr>
          <w:rFonts w:cs="Arial"/>
          <w:color w:val="000000"/>
        </w:rPr>
        <w:t>sil</w:t>
      </w:r>
      <w:proofErr w:type="spellEnd"/>
      <w:r w:rsidRPr="008C25D7">
        <w:rPr>
          <w:rFonts w:cs="Arial"/>
          <w:color w:val="000000"/>
        </w:rPr>
        <w:t xml:space="preserve"> genes appear to be restricted to Gram-negative bacteria, more specifically to E. cloacae and K. pneumoniae. E. cloacae </w:t>
      </w:r>
      <w:proofErr w:type="gramStart"/>
      <w:r w:rsidRPr="008C25D7">
        <w:rPr>
          <w:rFonts w:cs="Arial"/>
          <w:color w:val="000000"/>
        </w:rPr>
        <w:t>has</w:t>
      </w:r>
      <w:proofErr w:type="gramEnd"/>
      <w:r w:rsidRPr="008C25D7">
        <w:rPr>
          <w:rFonts w:cs="Arial"/>
          <w:color w:val="000000"/>
        </w:rPr>
        <w:t xml:space="preserve"> been identified as the causative agent in occasional acute infections in traumatic wounds, e.g., hand trauma. </w:t>
      </w:r>
      <w:r w:rsidRPr="008C25D7">
        <w:rPr>
          <w:rFonts w:cs="Arial"/>
          <w:color w:val="000000"/>
        </w:rPr>
        <w:br/>
      </w:r>
      <w:r w:rsidRPr="008C25D7">
        <w:rPr>
          <w:rFonts w:cs="Arial"/>
          <w:color w:val="000000"/>
        </w:rPr>
        <w:br/>
        <w:t xml:space="preserve">Acute infections in wounds will invariably be treated with systemic antibiotics, and are unlikely to be treated with only topical, silver-containing dressings. Consequently, the clinical implications associated with bacterial resistance to silver in acute infections in wounds are of low cause for concern. </w:t>
      </w:r>
      <w:r w:rsidRPr="008C25D7">
        <w:rPr>
          <w:rFonts w:cs="Arial"/>
          <w:color w:val="000000"/>
        </w:rPr>
        <w:br/>
      </w:r>
      <w:r w:rsidRPr="008C25D7">
        <w:rPr>
          <w:rFonts w:cs="Arial"/>
          <w:color w:val="000000"/>
        </w:rPr>
        <w:br/>
        <w:t>Chronic infections in hard-to-heal wounds are caused by polymicrobial biofilm. E. cloacae and K. pneumoniae are rare in hard-to-heal wounds, and where they do exist, good standard of care using Wound Hygiene facilitates biofilm disruption and removal, rather than targeting specific bacteria within the biofilm. Consequently, the clinical implications associated with bacterial resistance to silver in chronic infections in wounds are of low cause for concern.</w:t>
      </w:r>
      <w:r w:rsidRPr="008C25D7">
        <w:rPr>
          <w:rFonts w:cs="Arial"/>
          <w:color w:val="000000"/>
        </w:rPr>
        <w:br/>
      </w:r>
      <w:r w:rsidRPr="008C25D7">
        <w:rPr>
          <w:rFonts w:cs="Arial"/>
          <w:color w:val="000000"/>
        </w:rPr>
        <w:br/>
        <w:t xml:space="preserve">Ultimately, the benefits of using effective silver-containing dressings appropriately in locally infected or at-risk wounds far outweighs </w:t>
      </w:r>
      <w:r w:rsidRPr="008C25D7">
        <w:rPr>
          <w:rFonts w:cs="Arial"/>
          <w:color w:val="000000"/>
        </w:rPr>
        <w:lastRenderedPageBreak/>
        <w:t xml:space="preserve">the low risk of silver resistance impacting wound healing. This </w:t>
      </w:r>
      <w:proofErr w:type="gramStart"/>
      <w:r w:rsidRPr="008C25D7">
        <w:rPr>
          <w:rFonts w:cs="Arial"/>
          <w:color w:val="000000"/>
        </w:rPr>
        <w:t>is in agreement</w:t>
      </w:r>
      <w:proofErr w:type="gramEnd"/>
      <w:r w:rsidRPr="008C25D7">
        <w:rPr>
          <w:rFonts w:cs="Arial"/>
          <w:color w:val="000000"/>
        </w:rPr>
        <w:t xml:space="preserve"> with </w:t>
      </w:r>
      <w:proofErr w:type="spellStart"/>
      <w:r w:rsidRPr="008C25D7">
        <w:rPr>
          <w:rFonts w:cs="Arial"/>
          <w:color w:val="000000"/>
        </w:rPr>
        <w:t>Dissemond</w:t>
      </w:r>
      <w:proofErr w:type="spellEnd"/>
      <w:r w:rsidRPr="008C25D7">
        <w:rPr>
          <w:rFonts w:cs="Arial"/>
          <w:color w:val="000000"/>
        </w:rPr>
        <w:t xml:space="preserve"> and colleagues who recently concluded that their “systematic review found no evidence for silver-resistance with clinical relevance” (</w:t>
      </w:r>
      <w:proofErr w:type="spellStart"/>
      <w:r w:rsidRPr="008C25D7">
        <w:rPr>
          <w:rFonts w:cs="Arial"/>
          <w:color w:val="000000"/>
        </w:rPr>
        <w:t>Dissemond</w:t>
      </w:r>
      <w:proofErr w:type="spellEnd"/>
      <w:r w:rsidRPr="008C25D7">
        <w:rPr>
          <w:rFonts w:cs="Arial"/>
          <w:color w:val="000000"/>
        </w:rPr>
        <w:t xml:space="preserve"> et al, 2020). </w:t>
      </w:r>
      <w:r w:rsidRPr="008C25D7">
        <w:rPr>
          <w:rFonts w:cs="Arial"/>
          <w:color w:val="000000"/>
        </w:rPr>
        <w:br/>
      </w:r>
      <w:r w:rsidRPr="008C25D7">
        <w:rPr>
          <w:rFonts w:cs="Arial"/>
          <w:color w:val="000000"/>
        </w:rPr>
        <w:br/>
        <w:t>References</w:t>
      </w:r>
      <w:r w:rsidRPr="008C25D7">
        <w:rPr>
          <w:rFonts w:cs="Arial"/>
          <w:color w:val="000000"/>
        </w:rPr>
        <w:br/>
        <w:t xml:space="preserve">v Bennett W, Mende K, Campbell WR, Beckius M, Stewart L, Shaikh F, Rahman A, Tribble DR, Yabes JM. Enterobacter cloacae infection characteristics and outcomes in battlefield trauma patients. </w:t>
      </w:r>
      <w:proofErr w:type="spellStart"/>
      <w:r w:rsidRPr="008C25D7">
        <w:rPr>
          <w:rFonts w:cs="Arial"/>
          <w:color w:val="000000"/>
        </w:rPr>
        <w:t>PLoS</w:t>
      </w:r>
      <w:proofErr w:type="spellEnd"/>
      <w:r w:rsidRPr="008C25D7">
        <w:rPr>
          <w:rFonts w:cs="Arial"/>
          <w:color w:val="000000"/>
        </w:rPr>
        <w:t xml:space="preserve"> ONE 2023; 18: 1-15. </w:t>
      </w:r>
      <w:r w:rsidRPr="008C25D7">
        <w:rPr>
          <w:rFonts w:cs="Arial"/>
          <w:color w:val="000000"/>
        </w:rPr>
        <w:br/>
        <w:t>v Bowler PG, Welsby S, Towers V, Booth R, Hogarth A, Rowlands V, Joseph A, Jones SA. Multidrug-resistant organisms, wounds and topical antimicrobial protection. Int Wound J 2012; 9: 387-396.</w:t>
      </w:r>
      <w:r w:rsidRPr="008C25D7">
        <w:rPr>
          <w:rFonts w:cs="Arial"/>
          <w:color w:val="000000"/>
        </w:rPr>
        <w:br/>
        <w:t xml:space="preserve">v Bowler PG, Parsons D. Combatting wound biofilm and recalcitrance with a novel anti-biofilm </w:t>
      </w:r>
      <w:proofErr w:type="spellStart"/>
      <w:r w:rsidRPr="008C25D7">
        <w:rPr>
          <w:rFonts w:cs="Arial"/>
          <w:color w:val="000000"/>
        </w:rPr>
        <w:t>Hydrofiber</w:t>
      </w:r>
      <w:proofErr w:type="spellEnd"/>
      <w:r w:rsidRPr="008C25D7">
        <w:rPr>
          <w:rFonts w:cs="Arial"/>
          <w:color w:val="000000"/>
        </w:rPr>
        <w:t xml:space="preserve"> wound dressing. Wound Medicine 2016; 14: 6-11.</w:t>
      </w:r>
      <w:r w:rsidRPr="008C25D7">
        <w:rPr>
          <w:rFonts w:cs="Arial"/>
          <w:color w:val="000000"/>
        </w:rPr>
        <w:br/>
        <w:t xml:space="preserve">v Dietrich L, Fuest L, Vögelin E. Monomicrobial Enterobacter cloacae infections in extensive hand injuries - a case series. Clin </w:t>
      </w:r>
      <w:proofErr w:type="spellStart"/>
      <w:r w:rsidRPr="008C25D7">
        <w:rPr>
          <w:rFonts w:cs="Arial"/>
          <w:color w:val="000000"/>
        </w:rPr>
        <w:t>Surg</w:t>
      </w:r>
      <w:proofErr w:type="spellEnd"/>
      <w:r w:rsidRPr="008C25D7">
        <w:rPr>
          <w:rFonts w:cs="Arial"/>
          <w:color w:val="000000"/>
        </w:rPr>
        <w:t xml:space="preserve"> 2022; 7: 3465.</w:t>
      </w:r>
      <w:r w:rsidRPr="008C25D7">
        <w:rPr>
          <w:rFonts w:cs="Arial"/>
          <w:color w:val="000000"/>
        </w:rPr>
        <w:br/>
        <w:t xml:space="preserve">v </w:t>
      </w:r>
      <w:proofErr w:type="spellStart"/>
      <w:r w:rsidRPr="008C25D7">
        <w:rPr>
          <w:rFonts w:cs="Arial"/>
          <w:color w:val="000000"/>
        </w:rPr>
        <w:t>Dissemond</w:t>
      </w:r>
      <w:proofErr w:type="spellEnd"/>
      <w:r w:rsidRPr="008C25D7">
        <w:rPr>
          <w:rFonts w:cs="Arial"/>
          <w:color w:val="000000"/>
        </w:rPr>
        <w:t xml:space="preserve"> J, Steinmann J, </w:t>
      </w:r>
      <w:proofErr w:type="spellStart"/>
      <w:r w:rsidRPr="008C25D7">
        <w:rPr>
          <w:rFonts w:cs="Arial"/>
          <w:color w:val="000000"/>
        </w:rPr>
        <w:t>Münter</w:t>
      </w:r>
      <w:proofErr w:type="spellEnd"/>
      <w:r w:rsidRPr="008C25D7">
        <w:rPr>
          <w:rFonts w:cs="Arial"/>
          <w:color w:val="000000"/>
        </w:rPr>
        <w:t xml:space="preserve"> KC, Brill H, </w:t>
      </w:r>
      <w:proofErr w:type="spellStart"/>
      <w:r w:rsidRPr="008C25D7">
        <w:rPr>
          <w:rFonts w:cs="Arial"/>
          <w:color w:val="000000"/>
        </w:rPr>
        <w:t>Böttrich</w:t>
      </w:r>
      <w:proofErr w:type="spellEnd"/>
      <w:r w:rsidRPr="008C25D7">
        <w:rPr>
          <w:rFonts w:cs="Arial"/>
          <w:color w:val="000000"/>
        </w:rPr>
        <w:t xml:space="preserve"> JG, Braunwarth H, </w:t>
      </w:r>
      <w:proofErr w:type="spellStart"/>
      <w:r w:rsidRPr="008C25D7">
        <w:rPr>
          <w:rFonts w:cs="Arial"/>
          <w:color w:val="000000"/>
        </w:rPr>
        <w:t>Schümmelfeder</w:t>
      </w:r>
      <w:proofErr w:type="spellEnd"/>
      <w:r w:rsidRPr="008C25D7">
        <w:rPr>
          <w:rFonts w:cs="Arial"/>
          <w:color w:val="000000"/>
        </w:rPr>
        <w:t xml:space="preserve"> F, Wilken P. Risk and clinical impact of bacterial resistance/susceptibility to silver-based wound dressings: a systematic review. J Wound Care 2020; 29: 221-234.</w:t>
      </w:r>
      <w:r w:rsidRPr="008C25D7">
        <w:rPr>
          <w:rFonts w:cs="Arial"/>
          <w:color w:val="000000"/>
        </w:rPr>
        <w:br/>
        <w:t xml:space="preserve">v Finley PJ, Norton R, Austin C, Mitchell A, Zank S, Durham P. Unprecedented silver resistance in clinically isolated Enterobacteriaceae: major implications for burn and wound management. </w:t>
      </w:r>
      <w:proofErr w:type="spellStart"/>
      <w:r w:rsidRPr="008C25D7">
        <w:rPr>
          <w:rFonts w:cs="Arial"/>
          <w:color w:val="000000"/>
        </w:rPr>
        <w:t>Antimicrob</w:t>
      </w:r>
      <w:proofErr w:type="spellEnd"/>
      <w:r w:rsidRPr="008C25D7">
        <w:rPr>
          <w:rFonts w:cs="Arial"/>
          <w:color w:val="000000"/>
        </w:rPr>
        <w:t xml:space="preserve"> Agents </w:t>
      </w:r>
      <w:proofErr w:type="spellStart"/>
      <w:r w:rsidRPr="008C25D7">
        <w:rPr>
          <w:rFonts w:cs="Arial"/>
          <w:color w:val="000000"/>
        </w:rPr>
        <w:t>Chemother</w:t>
      </w:r>
      <w:proofErr w:type="spellEnd"/>
      <w:r w:rsidRPr="008C25D7">
        <w:rPr>
          <w:rFonts w:cs="Arial"/>
          <w:color w:val="000000"/>
        </w:rPr>
        <w:t xml:space="preserve"> 2015; 59: 4734-4741. </w:t>
      </w:r>
      <w:r w:rsidRPr="008C25D7">
        <w:rPr>
          <w:rFonts w:cs="Arial"/>
          <w:color w:val="000000"/>
        </w:rPr>
        <w:br/>
        <w:t xml:space="preserve">v Gayle WE, Mayhall CG, Lamb VA, Apollo E, Haynes BW Jr. Resistant Enterobacter cloacae in a burn </w:t>
      </w:r>
      <w:proofErr w:type="spellStart"/>
      <w:r w:rsidRPr="008C25D7">
        <w:rPr>
          <w:rFonts w:cs="Arial"/>
          <w:color w:val="000000"/>
        </w:rPr>
        <w:t>center</w:t>
      </w:r>
      <w:proofErr w:type="spellEnd"/>
      <w:r w:rsidRPr="008C25D7">
        <w:rPr>
          <w:rFonts w:cs="Arial"/>
          <w:color w:val="000000"/>
        </w:rPr>
        <w:t xml:space="preserve">: the ineffectiveness of silver sulfadiazine. J Trauma 1978; 18: 317-323. </w:t>
      </w:r>
      <w:r w:rsidRPr="008C25D7">
        <w:rPr>
          <w:rFonts w:cs="Arial"/>
          <w:color w:val="000000"/>
        </w:rPr>
        <w:br/>
        <w:t xml:space="preserve">v Hurlow J, Bowler PG. Acute and chronic wound infections: microbiological, immunological, clinical and therapeutic distinctions. J Wound Care 2022; 31: 436-445. </w:t>
      </w:r>
      <w:r w:rsidRPr="008C25D7">
        <w:rPr>
          <w:rFonts w:cs="Arial"/>
          <w:color w:val="000000"/>
        </w:rPr>
        <w:br/>
        <w:t>v Meredith K, Coleborn T, Metcalf DG. Assessment of silver-containing gelling fibre dressings against antibiotic-resistant pathogens using an in vitro biofilm model. Infect Drug Resist 2023; 16: 7015-7019.</w:t>
      </w:r>
      <w:r w:rsidRPr="008C25D7">
        <w:rPr>
          <w:rFonts w:cs="Arial"/>
          <w:color w:val="000000"/>
        </w:rPr>
        <w:br/>
        <w:t xml:space="preserve">v Meredith K, Coleborn T, Metcalf DG. Assessment of the antibiofilm performance of silver-containing wound dressings: a dual-species biofilm model. </w:t>
      </w:r>
      <w:proofErr w:type="spellStart"/>
      <w:r w:rsidRPr="008C25D7">
        <w:rPr>
          <w:rFonts w:cs="Arial"/>
          <w:color w:val="000000"/>
        </w:rPr>
        <w:t>Cureus</w:t>
      </w:r>
      <w:proofErr w:type="spellEnd"/>
      <w:r w:rsidRPr="008C25D7">
        <w:rPr>
          <w:rFonts w:cs="Arial"/>
          <w:color w:val="000000"/>
        </w:rPr>
        <w:t xml:space="preserve"> 2024; 16: e70086.</w:t>
      </w:r>
      <w:r w:rsidRPr="008C25D7">
        <w:rPr>
          <w:rFonts w:cs="Arial"/>
          <w:color w:val="000000"/>
        </w:rPr>
        <w:br/>
        <w:t xml:space="preserve">v Murphy C, Atkin L, Swanson T, Tachi M, Tan YK, de </w:t>
      </w:r>
      <w:proofErr w:type="spellStart"/>
      <w:r w:rsidRPr="008C25D7">
        <w:rPr>
          <w:rFonts w:cs="Arial"/>
          <w:color w:val="000000"/>
        </w:rPr>
        <w:t>Ceniga</w:t>
      </w:r>
      <w:proofErr w:type="spellEnd"/>
      <w:r w:rsidRPr="008C25D7">
        <w:rPr>
          <w:rFonts w:cs="Arial"/>
          <w:color w:val="000000"/>
        </w:rPr>
        <w:t xml:space="preserve"> MV, Weir D, Wolcott R, </w:t>
      </w:r>
      <w:proofErr w:type="spellStart"/>
      <w:r w:rsidRPr="008C25D7">
        <w:rPr>
          <w:rFonts w:cs="Arial"/>
          <w:color w:val="000000"/>
        </w:rPr>
        <w:t>Ĉernohorská</w:t>
      </w:r>
      <w:proofErr w:type="spellEnd"/>
      <w:r w:rsidRPr="008C25D7">
        <w:rPr>
          <w:rFonts w:cs="Arial"/>
          <w:color w:val="000000"/>
        </w:rPr>
        <w:t xml:space="preserve"> J, </w:t>
      </w:r>
      <w:proofErr w:type="spellStart"/>
      <w:r w:rsidRPr="008C25D7">
        <w:rPr>
          <w:rFonts w:cs="Arial"/>
          <w:color w:val="000000"/>
        </w:rPr>
        <w:t>Ciprandi</w:t>
      </w:r>
      <w:proofErr w:type="spellEnd"/>
      <w:r w:rsidRPr="008C25D7">
        <w:rPr>
          <w:rFonts w:cs="Arial"/>
          <w:color w:val="000000"/>
        </w:rPr>
        <w:t xml:space="preserve"> G, </w:t>
      </w:r>
      <w:proofErr w:type="spellStart"/>
      <w:r w:rsidRPr="008C25D7">
        <w:rPr>
          <w:rFonts w:cs="Arial"/>
          <w:color w:val="000000"/>
        </w:rPr>
        <w:t>Dissemond</w:t>
      </w:r>
      <w:proofErr w:type="spellEnd"/>
      <w:r w:rsidRPr="008C25D7">
        <w:rPr>
          <w:rFonts w:cs="Arial"/>
          <w:color w:val="000000"/>
        </w:rPr>
        <w:t xml:space="preserve"> J, James GA, Hurlow J, Lázaro </w:t>
      </w:r>
      <w:proofErr w:type="spellStart"/>
      <w:r w:rsidRPr="008C25D7">
        <w:rPr>
          <w:rFonts w:cs="Arial"/>
          <w:color w:val="000000"/>
        </w:rPr>
        <w:t>MartÍnez</w:t>
      </w:r>
      <w:proofErr w:type="spellEnd"/>
      <w:r w:rsidRPr="008C25D7">
        <w:rPr>
          <w:rFonts w:cs="Arial"/>
          <w:color w:val="000000"/>
        </w:rPr>
        <w:t xml:space="preserve"> JL, </w:t>
      </w:r>
      <w:proofErr w:type="spellStart"/>
      <w:r w:rsidRPr="008C25D7">
        <w:rPr>
          <w:rFonts w:cs="Arial"/>
          <w:color w:val="000000"/>
        </w:rPr>
        <w:t>Mrozikiewicz</w:t>
      </w:r>
      <w:proofErr w:type="spellEnd"/>
      <w:r w:rsidRPr="008C25D7">
        <w:rPr>
          <w:rFonts w:cs="Arial"/>
          <w:color w:val="000000"/>
        </w:rPr>
        <w:t xml:space="preserve">-Rakowska B, Wilson P. Defying hard-to-heal wounds with an early antibiofilm intervention strategy: wound hygiene. J Wound Care 2020; 29(Sup3b): S1-S26. </w:t>
      </w:r>
      <w:r w:rsidRPr="008C25D7">
        <w:rPr>
          <w:rFonts w:cs="Arial"/>
          <w:color w:val="000000"/>
        </w:rPr>
        <w:br/>
        <w:t xml:space="preserve">v Norton R, Finley PJ. Clinically isolated bacteria resistance to silver-based wound dressings. J Wound Care 2021; 30: 238. </w:t>
      </w:r>
      <w:r w:rsidRPr="008C25D7">
        <w:rPr>
          <w:rFonts w:cs="Arial"/>
          <w:color w:val="000000"/>
        </w:rPr>
        <w:br/>
        <w:t xml:space="preserve">v Parsons D, Meredith K, Rowlands VJ, Short D, Metcalf DG, Bowler PG. Enhanced performance and mode of action of a novel antibiofilm </w:t>
      </w:r>
      <w:proofErr w:type="spellStart"/>
      <w:r w:rsidRPr="008C25D7">
        <w:rPr>
          <w:rFonts w:cs="Arial"/>
          <w:color w:val="000000"/>
        </w:rPr>
        <w:t>Hydrofiber</w:t>
      </w:r>
      <w:proofErr w:type="spellEnd"/>
      <w:r w:rsidRPr="008C25D7">
        <w:rPr>
          <w:rFonts w:cs="Arial"/>
          <w:color w:val="000000"/>
        </w:rPr>
        <w:t xml:space="preserve"> wound dressing. BioMed Res Int 2016; 7616471.</w:t>
      </w:r>
      <w:r w:rsidRPr="008C25D7">
        <w:rPr>
          <w:rFonts w:cs="Arial"/>
          <w:color w:val="000000"/>
        </w:rPr>
        <w:br/>
      </w:r>
      <w:r w:rsidRPr="008C25D7">
        <w:rPr>
          <w:rFonts w:cs="Arial"/>
          <w:color w:val="000000"/>
        </w:rPr>
        <w:lastRenderedPageBreak/>
        <w:t xml:space="preserve">v Percival SL, Bowler PG, Russell D. Bacterial resistance to silver in wound care. J Hosp Infect 2005; 60: 1-7. </w:t>
      </w:r>
      <w:r w:rsidRPr="008C25D7">
        <w:rPr>
          <w:rFonts w:cs="Arial"/>
          <w:color w:val="000000"/>
        </w:rPr>
        <w:br/>
        <w:t xml:space="preserve">v Percival SL, Woods E, </w:t>
      </w:r>
      <w:proofErr w:type="spellStart"/>
      <w:r w:rsidRPr="008C25D7">
        <w:rPr>
          <w:rFonts w:cs="Arial"/>
          <w:color w:val="000000"/>
        </w:rPr>
        <w:t>Nutekpor</w:t>
      </w:r>
      <w:proofErr w:type="spellEnd"/>
      <w:r w:rsidRPr="008C25D7">
        <w:rPr>
          <w:rFonts w:cs="Arial"/>
          <w:color w:val="000000"/>
        </w:rPr>
        <w:t xml:space="preserve"> M, Bowler P, Radford A, Cochrane C. Prevalence of silver resistance in bacteria isolated from diabetic foot ulcers and efficacy of silver-containing wound dressings. Ostomy Wound Manage 2008; 54: 30-40.</w:t>
      </w:r>
      <w:r w:rsidRPr="008C25D7">
        <w:rPr>
          <w:rFonts w:cs="Arial"/>
          <w:color w:val="000000"/>
        </w:rPr>
        <w:br/>
        <w:t xml:space="preserve">v Randall CP, Gupta A, Jackson N, Busse D, O'Neill AJ. Silver resistance in Gram-negative bacteria: a dissection of endogenous and exogenous mechanisms. J </w:t>
      </w:r>
      <w:proofErr w:type="spellStart"/>
      <w:r w:rsidRPr="008C25D7">
        <w:rPr>
          <w:rFonts w:cs="Arial"/>
          <w:color w:val="000000"/>
        </w:rPr>
        <w:t>Antimicrob</w:t>
      </w:r>
      <w:proofErr w:type="spellEnd"/>
      <w:r w:rsidRPr="008C25D7">
        <w:rPr>
          <w:rFonts w:cs="Arial"/>
          <w:color w:val="000000"/>
        </w:rPr>
        <w:t xml:space="preserve"> </w:t>
      </w:r>
      <w:proofErr w:type="spellStart"/>
      <w:r w:rsidRPr="008C25D7">
        <w:rPr>
          <w:rFonts w:cs="Arial"/>
          <w:color w:val="000000"/>
        </w:rPr>
        <w:t>Chemother</w:t>
      </w:r>
      <w:proofErr w:type="spellEnd"/>
      <w:r w:rsidRPr="008C25D7">
        <w:rPr>
          <w:rFonts w:cs="Arial"/>
          <w:color w:val="000000"/>
        </w:rPr>
        <w:t xml:space="preserve"> 2015; 70: 1037-1046.</w:t>
      </w:r>
      <w:r w:rsidRPr="008C25D7">
        <w:rPr>
          <w:rFonts w:cs="Arial"/>
          <w:color w:val="000000"/>
        </w:rPr>
        <w:br/>
        <w:t>v Suleman L, Purcell L, Thomas H, Westgate S. Use of internally validated in vitro biofilm models to assess antibiofilm performance of silver-containing gelling fibre dressings. J Wound Care 2020; 29: 154-161.</w:t>
      </w:r>
      <w:r w:rsidRPr="008C25D7">
        <w:rPr>
          <w:rFonts w:cs="Arial"/>
          <w:color w:val="000000"/>
        </w:rPr>
        <w:br/>
        <w:t xml:space="preserve">v </w:t>
      </w:r>
      <w:proofErr w:type="spellStart"/>
      <w:r w:rsidRPr="008C25D7">
        <w:rPr>
          <w:rFonts w:cs="Arial"/>
          <w:color w:val="000000"/>
        </w:rPr>
        <w:t>Sütterlin</w:t>
      </w:r>
      <w:proofErr w:type="spellEnd"/>
      <w:r w:rsidRPr="008C25D7">
        <w:rPr>
          <w:rFonts w:cs="Arial"/>
          <w:color w:val="000000"/>
        </w:rPr>
        <w:t xml:space="preserve"> S, Dahlö M, </w:t>
      </w:r>
      <w:proofErr w:type="spellStart"/>
      <w:r w:rsidRPr="008C25D7">
        <w:rPr>
          <w:rFonts w:cs="Arial"/>
          <w:color w:val="000000"/>
        </w:rPr>
        <w:t>Tellgren</w:t>
      </w:r>
      <w:proofErr w:type="spellEnd"/>
      <w:r w:rsidRPr="008C25D7">
        <w:rPr>
          <w:rFonts w:cs="Arial"/>
          <w:color w:val="000000"/>
        </w:rPr>
        <w:t xml:space="preserve">-Roth C, Schaal W, Melhus Å. High frequency of silver resistance genes in invasive isolates of Enterobacter and Klebsiella species. J Hosp Inf 2017; 96: 256-261. </w:t>
      </w:r>
      <w:r w:rsidRPr="008C25D7">
        <w:rPr>
          <w:rFonts w:cs="Arial"/>
          <w:color w:val="000000"/>
        </w:rPr>
        <w:br/>
        <w:t xml:space="preserve">v </w:t>
      </w:r>
      <w:proofErr w:type="spellStart"/>
      <w:r w:rsidRPr="008C25D7">
        <w:rPr>
          <w:rFonts w:cs="Arial"/>
          <w:color w:val="000000"/>
        </w:rPr>
        <w:t>Torkington</w:t>
      </w:r>
      <w:proofErr w:type="spellEnd"/>
      <w:r w:rsidRPr="008C25D7">
        <w:rPr>
          <w:rFonts w:cs="Arial"/>
          <w:color w:val="000000"/>
        </w:rPr>
        <w:t xml:space="preserve">-Stokes R, Moran K, Martinez DS, </w:t>
      </w:r>
      <w:proofErr w:type="spellStart"/>
      <w:r w:rsidRPr="008C25D7">
        <w:rPr>
          <w:rFonts w:cs="Arial"/>
          <w:color w:val="000000"/>
        </w:rPr>
        <w:t>Granara</w:t>
      </w:r>
      <w:proofErr w:type="spellEnd"/>
      <w:r w:rsidRPr="008C25D7">
        <w:rPr>
          <w:rFonts w:cs="Arial"/>
          <w:color w:val="000000"/>
        </w:rPr>
        <w:t xml:space="preserve"> DC, Metcalf DG. Improving outcomes for patients with hard-to-heal wounds following adoption of the Wound Hygiene Protocol: real-world evidence. J Wound Care 2024; 33: 304-310.</w:t>
      </w:r>
      <w:r w:rsidRPr="008C25D7">
        <w:rPr>
          <w:rFonts w:cs="Arial"/>
          <w:color w:val="000000"/>
        </w:rPr>
        <w:br/>
        <w:t>v Wolcott RD, Hanson JD, Rees EJ, Koenig LD, Phillips CD, Wolcott RA, Cox SB, White JS. Analysis of the chronic wound microbiota of 2,963 patients by 16S rDNA pyrosequencing. Wound Rep Regen 2016; 24: 163-174.</w:t>
      </w:r>
    </w:p>
    <w:p w14:paraId="51841F46" w14:textId="77777777" w:rsidR="000D4DE7" w:rsidRPr="000D4DE7" w:rsidRDefault="000D4DE7" w:rsidP="000D4DE7">
      <w:pPr>
        <w:pStyle w:val="Paragraph"/>
      </w:pPr>
    </w:p>
    <w:p w14:paraId="73566DA5" w14:textId="77777777" w:rsidR="009E3ECD" w:rsidRDefault="009E3ECD" w:rsidP="00EB53E2">
      <w:pPr>
        <w:pStyle w:val="Paragraph"/>
        <w:spacing w:line="240" w:lineRule="auto"/>
        <w:rPr>
          <w:lang w:eastAsia="en-GB"/>
        </w:rPr>
      </w:pPr>
    </w:p>
    <w:p w14:paraId="478CCBA8" w14:textId="77777777" w:rsidR="000D4DE7" w:rsidRPr="00BF5004" w:rsidRDefault="000D4DE7" w:rsidP="00EB53E2">
      <w:pPr>
        <w:pStyle w:val="Paragraph"/>
        <w:spacing w:line="240" w:lineRule="auto"/>
        <w:rPr>
          <w:lang w:eastAsia="en-GB"/>
        </w:rPr>
      </w:pPr>
    </w:p>
    <w:sectPr w:rsidR="000D4DE7" w:rsidRPr="00BF5004" w:rsidSect="00BF5004">
      <w:footerReference w:type="default" r:id="rId16"/>
      <w:headerReference w:type="first" r:id="rId17"/>
      <w:footerReference w:type="first" r:id="rId18"/>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4EC5" w14:textId="77777777" w:rsidR="006D0C0F" w:rsidRDefault="006D0C0F" w:rsidP="00446BEE">
      <w:r>
        <w:separator/>
      </w:r>
    </w:p>
  </w:endnote>
  <w:endnote w:type="continuationSeparator" w:id="0">
    <w:p w14:paraId="0B80F9D8" w14:textId="77777777" w:rsidR="006D0C0F" w:rsidRDefault="006D0C0F" w:rsidP="00446BEE">
      <w:r>
        <w:continuationSeparator/>
      </w:r>
    </w:p>
  </w:endnote>
  <w:endnote w:type="continuationNotice" w:id="1">
    <w:p w14:paraId="31516D8C" w14:textId="77777777" w:rsidR="006D0C0F" w:rsidRDefault="006D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42C8" w14:textId="0A88C9D2" w:rsidR="00446BEE" w:rsidRDefault="000F5E71" w:rsidP="00446BEE">
    <w:pPr>
      <w:pStyle w:val="Footer"/>
    </w:pPr>
    <w:r>
      <w:t>GID-HTE10041 -</w:t>
    </w:r>
    <w:r w:rsidRPr="00AE5C71">
      <w:t xml:space="preserve"> Comments received during public consultation of draft guidance and NICE’s responses</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p w14:paraId="783ABBB5" w14:textId="77777777" w:rsidR="00446BEE" w:rsidRDefault="00446BEE">
    <w:pPr>
      <w:pStyle w:val="Footer"/>
    </w:pPr>
  </w:p>
  <w:p w14:paraId="004012C8"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4690871C" w14:textId="6772FC3C" w:rsidR="008E7826" w:rsidRDefault="00AE5C71" w:rsidP="008E7826">
            <w:pPr>
              <w:pStyle w:val="Footer"/>
            </w:pPr>
            <w:r>
              <w:t>GID-HTE10041 -</w:t>
            </w:r>
            <w:r w:rsidRPr="00AE5C71">
              <w:t xml:space="preserve"> Comments received during public consultation of draft guidance and NICE’s responses</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8E7826">
              <w:fldChar w:fldCharType="begin"/>
            </w:r>
            <w:r w:rsidR="008E7826">
              <w:instrText xml:space="preserve"> NUMPAGES  </w:instrText>
            </w:r>
            <w:r w:rsidR="008E7826">
              <w:fldChar w:fldCharType="separate"/>
            </w:r>
            <w:r w:rsidR="008E7826" w:rsidRPr="008E7826">
              <w:rPr>
                <w:noProof/>
              </w:rPr>
              <w:t>2</w:t>
            </w:r>
            <w:r w:rsidR="008E7826">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E405" w14:textId="77777777" w:rsidR="006D0C0F" w:rsidRDefault="006D0C0F" w:rsidP="00446BEE">
      <w:r>
        <w:separator/>
      </w:r>
    </w:p>
  </w:footnote>
  <w:footnote w:type="continuationSeparator" w:id="0">
    <w:p w14:paraId="4CBD83FD" w14:textId="77777777" w:rsidR="006D0C0F" w:rsidRDefault="006D0C0F" w:rsidP="00446BEE">
      <w:r>
        <w:continuationSeparator/>
      </w:r>
    </w:p>
  </w:footnote>
  <w:footnote w:type="continuationNotice" w:id="1">
    <w:p w14:paraId="6E2BE815" w14:textId="77777777" w:rsidR="006D0C0F" w:rsidRDefault="006D0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0467" w14:textId="77777777" w:rsidR="008F6FB7" w:rsidRDefault="008F6FB7">
    <w:pPr>
      <w:pStyle w:val="Header"/>
    </w:pPr>
    <w:r>
      <w:rPr>
        <w:noProof/>
      </w:rPr>
      <w:drawing>
        <wp:anchor distT="0" distB="0" distL="114300" distR="114300" simplePos="0" relativeHeight="251658240" behindDoc="0" locked="0" layoutInCell="1" allowOverlap="1" wp14:anchorId="3E397CBD" wp14:editId="3E733414">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C6B7C"/>
    <w:multiLevelType w:val="hybridMultilevel"/>
    <w:tmpl w:val="711C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C5BE8"/>
    <w:multiLevelType w:val="hybridMultilevel"/>
    <w:tmpl w:val="3C166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2451D1"/>
    <w:multiLevelType w:val="hybridMultilevel"/>
    <w:tmpl w:val="608440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6E3EE4"/>
    <w:multiLevelType w:val="hybridMultilevel"/>
    <w:tmpl w:val="047E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5E6AE2"/>
    <w:multiLevelType w:val="hybridMultilevel"/>
    <w:tmpl w:val="CD32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6C4C27"/>
    <w:multiLevelType w:val="multilevel"/>
    <w:tmpl w:val="8D9C1C4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CF2853"/>
    <w:multiLevelType w:val="hybridMultilevel"/>
    <w:tmpl w:val="4E78A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DD2604"/>
    <w:multiLevelType w:val="hybridMultilevel"/>
    <w:tmpl w:val="60844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D06D2E"/>
    <w:multiLevelType w:val="hybridMultilevel"/>
    <w:tmpl w:val="B6963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645E05"/>
    <w:multiLevelType w:val="hybridMultilevel"/>
    <w:tmpl w:val="7F123E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8"/>
  </w:num>
  <w:num w:numId="2" w16cid:durableId="1271931310">
    <w:abstractNumId w:val="23"/>
  </w:num>
  <w:num w:numId="3" w16cid:durableId="987441700">
    <w:abstractNumId w:val="23"/>
    <w:lvlOverride w:ilvl="0">
      <w:startOverride w:val="1"/>
    </w:lvlOverride>
  </w:num>
  <w:num w:numId="4" w16cid:durableId="1499422565">
    <w:abstractNumId w:val="23"/>
    <w:lvlOverride w:ilvl="0">
      <w:startOverride w:val="1"/>
    </w:lvlOverride>
  </w:num>
  <w:num w:numId="5" w16cid:durableId="2069916214">
    <w:abstractNumId w:val="23"/>
    <w:lvlOverride w:ilvl="0">
      <w:startOverride w:val="1"/>
    </w:lvlOverride>
  </w:num>
  <w:num w:numId="6" w16cid:durableId="1714303981">
    <w:abstractNumId w:val="23"/>
    <w:lvlOverride w:ilvl="0">
      <w:startOverride w:val="1"/>
    </w:lvlOverride>
  </w:num>
  <w:num w:numId="7" w16cid:durableId="1383334273">
    <w:abstractNumId w:val="23"/>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4"/>
  </w:num>
  <w:num w:numId="19" w16cid:durableId="1373924523">
    <w:abstractNumId w:val="14"/>
    <w:lvlOverride w:ilvl="0">
      <w:startOverride w:val="1"/>
    </w:lvlOverride>
  </w:num>
  <w:num w:numId="20" w16cid:durableId="399716702">
    <w:abstractNumId w:val="18"/>
  </w:num>
  <w:num w:numId="21" w16cid:durableId="1595244151">
    <w:abstractNumId w:val="23"/>
  </w:num>
  <w:num w:numId="22" w16cid:durableId="368646558">
    <w:abstractNumId w:val="14"/>
  </w:num>
  <w:num w:numId="23" w16cid:durableId="534393170">
    <w:abstractNumId w:val="22"/>
  </w:num>
  <w:num w:numId="24" w16cid:durableId="609512517">
    <w:abstractNumId w:val="24"/>
  </w:num>
  <w:num w:numId="25" w16cid:durableId="1889023686">
    <w:abstractNumId w:val="11"/>
  </w:num>
  <w:num w:numId="26" w16cid:durableId="680350607">
    <w:abstractNumId w:val="20"/>
  </w:num>
  <w:num w:numId="27" w16cid:durableId="1402942876">
    <w:abstractNumId w:val="19"/>
  </w:num>
  <w:num w:numId="28" w16cid:durableId="3898409">
    <w:abstractNumId w:val="10"/>
  </w:num>
  <w:num w:numId="29" w16cid:durableId="63459307">
    <w:abstractNumId w:val="21"/>
  </w:num>
  <w:num w:numId="30" w16cid:durableId="467166820">
    <w:abstractNumId w:val="17"/>
  </w:num>
  <w:num w:numId="31" w16cid:durableId="1950771478">
    <w:abstractNumId w:val="15"/>
  </w:num>
  <w:num w:numId="32" w16cid:durableId="25911502">
    <w:abstractNumId w:val="13"/>
  </w:num>
  <w:num w:numId="33" w16cid:durableId="1234075475">
    <w:abstractNumId w:val="16"/>
  </w:num>
  <w:num w:numId="34" w16cid:durableId="3513479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004"/>
    <w:rsid w:val="000053F8"/>
    <w:rsid w:val="000114C6"/>
    <w:rsid w:val="000115A8"/>
    <w:rsid w:val="00011FD4"/>
    <w:rsid w:val="000170E1"/>
    <w:rsid w:val="000231E1"/>
    <w:rsid w:val="0002362C"/>
    <w:rsid w:val="00024D0A"/>
    <w:rsid w:val="00031643"/>
    <w:rsid w:val="00034F14"/>
    <w:rsid w:val="0003512F"/>
    <w:rsid w:val="000357B4"/>
    <w:rsid w:val="00036226"/>
    <w:rsid w:val="0003667E"/>
    <w:rsid w:val="00042510"/>
    <w:rsid w:val="000435BA"/>
    <w:rsid w:val="00051641"/>
    <w:rsid w:val="000564B8"/>
    <w:rsid w:val="000572D0"/>
    <w:rsid w:val="00060AED"/>
    <w:rsid w:val="00061ADE"/>
    <w:rsid w:val="00066320"/>
    <w:rsid w:val="00070065"/>
    <w:rsid w:val="0007123C"/>
    <w:rsid w:val="00071D6E"/>
    <w:rsid w:val="000723FC"/>
    <w:rsid w:val="00072CB2"/>
    <w:rsid w:val="00074ECA"/>
    <w:rsid w:val="00076BE5"/>
    <w:rsid w:val="00081B06"/>
    <w:rsid w:val="000845B1"/>
    <w:rsid w:val="000863D0"/>
    <w:rsid w:val="00087B27"/>
    <w:rsid w:val="00087C75"/>
    <w:rsid w:val="00093CE2"/>
    <w:rsid w:val="000962C0"/>
    <w:rsid w:val="0009664A"/>
    <w:rsid w:val="00096B5C"/>
    <w:rsid w:val="000A1273"/>
    <w:rsid w:val="000A3234"/>
    <w:rsid w:val="000A3C8D"/>
    <w:rsid w:val="000A4FEE"/>
    <w:rsid w:val="000A5D6B"/>
    <w:rsid w:val="000A7B4E"/>
    <w:rsid w:val="000B0D4B"/>
    <w:rsid w:val="000B0D63"/>
    <w:rsid w:val="000B20BD"/>
    <w:rsid w:val="000B2746"/>
    <w:rsid w:val="000B31AD"/>
    <w:rsid w:val="000B32CA"/>
    <w:rsid w:val="000B3E06"/>
    <w:rsid w:val="000B4773"/>
    <w:rsid w:val="000B4F14"/>
    <w:rsid w:val="000B5939"/>
    <w:rsid w:val="000C1EE3"/>
    <w:rsid w:val="000C439E"/>
    <w:rsid w:val="000C480F"/>
    <w:rsid w:val="000C65DB"/>
    <w:rsid w:val="000C666B"/>
    <w:rsid w:val="000C7090"/>
    <w:rsid w:val="000D300C"/>
    <w:rsid w:val="000D30F2"/>
    <w:rsid w:val="000D4869"/>
    <w:rsid w:val="000D4DE7"/>
    <w:rsid w:val="000D6EE8"/>
    <w:rsid w:val="000E3764"/>
    <w:rsid w:val="000E7602"/>
    <w:rsid w:val="000F1638"/>
    <w:rsid w:val="000F184B"/>
    <w:rsid w:val="000F3600"/>
    <w:rsid w:val="000F503C"/>
    <w:rsid w:val="000F5E71"/>
    <w:rsid w:val="001007CF"/>
    <w:rsid w:val="00101F72"/>
    <w:rsid w:val="001032E0"/>
    <w:rsid w:val="00104400"/>
    <w:rsid w:val="001045C1"/>
    <w:rsid w:val="00104826"/>
    <w:rsid w:val="00107A51"/>
    <w:rsid w:val="00111060"/>
    <w:rsid w:val="001134E7"/>
    <w:rsid w:val="00114820"/>
    <w:rsid w:val="00114A42"/>
    <w:rsid w:val="0012078B"/>
    <w:rsid w:val="00120F67"/>
    <w:rsid w:val="00122159"/>
    <w:rsid w:val="00123EAF"/>
    <w:rsid w:val="00124203"/>
    <w:rsid w:val="00127072"/>
    <w:rsid w:val="00127F32"/>
    <w:rsid w:val="0013177F"/>
    <w:rsid w:val="001336FF"/>
    <w:rsid w:val="00133EA9"/>
    <w:rsid w:val="0013511B"/>
    <w:rsid w:val="00136206"/>
    <w:rsid w:val="00137193"/>
    <w:rsid w:val="00140789"/>
    <w:rsid w:val="00141FD1"/>
    <w:rsid w:val="00144F57"/>
    <w:rsid w:val="00146BD9"/>
    <w:rsid w:val="00146DCB"/>
    <w:rsid w:val="00147A07"/>
    <w:rsid w:val="001506AD"/>
    <w:rsid w:val="001553E3"/>
    <w:rsid w:val="00155EB1"/>
    <w:rsid w:val="001573E5"/>
    <w:rsid w:val="00157474"/>
    <w:rsid w:val="00157BBE"/>
    <w:rsid w:val="00157BF0"/>
    <w:rsid w:val="00160271"/>
    <w:rsid w:val="001650AD"/>
    <w:rsid w:val="00165995"/>
    <w:rsid w:val="0017169E"/>
    <w:rsid w:val="00171FBE"/>
    <w:rsid w:val="001720A1"/>
    <w:rsid w:val="00172685"/>
    <w:rsid w:val="00173A49"/>
    <w:rsid w:val="001758AA"/>
    <w:rsid w:val="00176FDD"/>
    <w:rsid w:val="00177903"/>
    <w:rsid w:val="00177FD9"/>
    <w:rsid w:val="001812C3"/>
    <w:rsid w:val="001814CF"/>
    <w:rsid w:val="00185757"/>
    <w:rsid w:val="00194063"/>
    <w:rsid w:val="00195038"/>
    <w:rsid w:val="001A0529"/>
    <w:rsid w:val="001A35C5"/>
    <w:rsid w:val="001A3707"/>
    <w:rsid w:val="001A3B9F"/>
    <w:rsid w:val="001A6635"/>
    <w:rsid w:val="001A7147"/>
    <w:rsid w:val="001B0EE9"/>
    <w:rsid w:val="001B2964"/>
    <w:rsid w:val="001B526D"/>
    <w:rsid w:val="001B65B3"/>
    <w:rsid w:val="001C389F"/>
    <w:rsid w:val="001C5E88"/>
    <w:rsid w:val="001C6116"/>
    <w:rsid w:val="001D320E"/>
    <w:rsid w:val="001D3BA9"/>
    <w:rsid w:val="001D4233"/>
    <w:rsid w:val="001D4518"/>
    <w:rsid w:val="001D66A7"/>
    <w:rsid w:val="001D78B7"/>
    <w:rsid w:val="001E0C3F"/>
    <w:rsid w:val="001E3A24"/>
    <w:rsid w:val="001E3D08"/>
    <w:rsid w:val="001E60D6"/>
    <w:rsid w:val="001F2432"/>
    <w:rsid w:val="001F2D58"/>
    <w:rsid w:val="001F333F"/>
    <w:rsid w:val="001F5DC0"/>
    <w:rsid w:val="001F6FFB"/>
    <w:rsid w:val="00202A4C"/>
    <w:rsid w:val="00204AB6"/>
    <w:rsid w:val="00205151"/>
    <w:rsid w:val="002070B8"/>
    <w:rsid w:val="00211171"/>
    <w:rsid w:val="002124D5"/>
    <w:rsid w:val="00212ED7"/>
    <w:rsid w:val="00213078"/>
    <w:rsid w:val="002133C6"/>
    <w:rsid w:val="00216A12"/>
    <w:rsid w:val="00221833"/>
    <w:rsid w:val="00224768"/>
    <w:rsid w:val="00224896"/>
    <w:rsid w:val="0022545B"/>
    <w:rsid w:val="00226CD8"/>
    <w:rsid w:val="00226D34"/>
    <w:rsid w:val="002326B2"/>
    <w:rsid w:val="002334BA"/>
    <w:rsid w:val="00234670"/>
    <w:rsid w:val="00234832"/>
    <w:rsid w:val="002358E8"/>
    <w:rsid w:val="00235E75"/>
    <w:rsid w:val="0024024A"/>
    <w:rsid w:val="00240745"/>
    <w:rsid w:val="002408EA"/>
    <w:rsid w:val="00240E5F"/>
    <w:rsid w:val="002414F6"/>
    <w:rsid w:val="00241DF9"/>
    <w:rsid w:val="00242B96"/>
    <w:rsid w:val="00242E94"/>
    <w:rsid w:val="00244534"/>
    <w:rsid w:val="002448AA"/>
    <w:rsid w:val="00244A3F"/>
    <w:rsid w:val="00246E71"/>
    <w:rsid w:val="0025032A"/>
    <w:rsid w:val="002545BD"/>
    <w:rsid w:val="00255DB1"/>
    <w:rsid w:val="0025603E"/>
    <w:rsid w:val="00263E82"/>
    <w:rsid w:val="0027098A"/>
    <w:rsid w:val="00271578"/>
    <w:rsid w:val="00272023"/>
    <w:rsid w:val="00272163"/>
    <w:rsid w:val="002731C2"/>
    <w:rsid w:val="002739C1"/>
    <w:rsid w:val="00277B2B"/>
    <w:rsid w:val="002819D7"/>
    <w:rsid w:val="00282176"/>
    <w:rsid w:val="00283E82"/>
    <w:rsid w:val="002910CF"/>
    <w:rsid w:val="00292A91"/>
    <w:rsid w:val="00294A3A"/>
    <w:rsid w:val="002977E9"/>
    <w:rsid w:val="002A17DC"/>
    <w:rsid w:val="002A32BF"/>
    <w:rsid w:val="002A6BBB"/>
    <w:rsid w:val="002AD272"/>
    <w:rsid w:val="002B149C"/>
    <w:rsid w:val="002B1ED9"/>
    <w:rsid w:val="002B3F40"/>
    <w:rsid w:val="002B5278"/>
    <w:rsid w:val="002B5DBF"/>
    <w:rsid w:val="002C1A7E"/>
    <w:rsid w:val="002C3612"/>
    <w:rsid w:val="002C4E32"/>
    <w:rsid w:val="002C70F6"/>
    <w:rsid w:val="002D145E"/>
    <w:rsid w:val="002D3376"/>
    <w:rsid w:val="002D3E1D"/>
    <w:rsid w:val="002D6AC9"/>
    <w:rsid w:val="002E1F55"/>
    <w:rsid w:val="002E3F1D"/>
    <w:rsid w:val="002E4A9B"/>
    <w:rsid w:val="002F139C"/>
    <w:rsid w:val="002F39C1"/>
    <w:rsid w:val="002F41E1"/>
    <w:rsid w:val="002F4F7A"/>
    <w:rsid w:val="002F61FA"/>
    <w:rsid w:val="002F7D3E"/>
    <w:rsid w:val="00307C80"/>
    <w:rsid w:val="00310A15"/>
    <w:rsid w:val="00311ED0"/>
    <w:rsid w:val="003124E4"/>
    <w:rsid w:val="003159B7"/>
    <w:rsid w:val="003166DE"/>
    <w:rsid w:val="003179C3"/>
    <w:rsid w:val="00317A7C"/>
    <w:rsid w:val="00317B5D"/>
    <w:rsid w:val="00320143"/>
    <w:rsid w:val="0032240E"/>
    <w:rsid w:val="00322AAB"/>
    <w:rsid w:val="00322DD7"/>
    <w:rsid w:val="00324392"/>
    <w:rsid w:val="00324B93"/>
    <w:rsid w:val="003303B5"/>
    <w:rsid w:val="00330BE5"/>
    <w:rsid w:val="003313F0"/>
    <w:rsid w:val="0033234F"/>
    <w:rsid w:val="003326DE"/>
    <w:rsid w:val="0033332F"/>
    <w:rsid w:val="0033359E"/>
    <w:rsid w:val="00334076"/>
    <w:rsid w:val="00334868"/>
    <w:rsid w:val="00334E66"/>
    <w:rsid w:val="00337DCF"/>
    <w:rsid w:val="00342563"/>
    <w:rsid w:val="00346211"/>
    <w:rsid w:val="003463F2"/>
    <w:rsid w:val="00350750"/>
    <w:rsid w:val="00350DBA"/>
    <w:rsid w:val="00352CE8"/>
    <w:rsid w:val="00352E44"/>
    <w:rsid w:val="003533FF"/>
    <w:rsid w:val="0035779C"/>
    <w:rsid w:val="00360606"/>
    <w:rsid w:val="00360692"/>
    <w:rsid w:val="00360A9D"/>
    <w:rsid w:val="003636E6"/>
    <w:rsid w:val="003648C5"/>
    <w:rsid w:val="003679A5"/>
    <w:rsid w:val="00370391"/>
    <w:rsid w:val="00371B4F"/>
    <w:rsid w:val="003722FA"/>
    <w:rsid w:val="00373925"/>
    <w:rsid w:val="0037432B"/>
    <w:rsid w:val="0037460E"/>
    <w:rsid w:val="003748F5"/>
    <w:rsid w:val="0037524D"/>
    <w:rsid w:val="00375ABB"/>
    <w:rsid w:val="00376221"/>
    <w:rsid w:val="00382049"/>
    <w:rsid w:val="00382341"/>
    <w:rsid w:val="00386BEF"/>
    <w:rsid w:val="003871C8"/>
    <w:rsid w:val="0039372B"/>
    <w:rsid w:val="00393A53"/>
    <w:rsid w:val="003944C9"/>
    <w:rsid w:val="00397848"/>
    <w:rsid w:val="003A07BA"/>
    <w:rsid w:val="003A1B87"/>
    <w:rsid w:val="003A1D3B"/>
    <w:rsid w:val="003A21A9"/>
    <w:rsid w:val="003A3947"/>
    <w:rsid w:val="003A6D73"/>
    <w:rsid w:val="003A73DB"/>
    <w:rsid w:val="003A7772"/>
    <w:rsid w:val="003B0525"/>
    <w:rsid w:val="003B17C0"/>
    <w:rsid w:val="003B2E11"/>
    <w:rsid w:val="003B3C65"/>
    <w:rsid w:val="003B4035"/>
    <w:rsid w:val="003C45C6"/>
    <w:rsid w:val="003C7AAF"/>
    <w:rsid w:val="003D5A8B"/>
    <w:rsid w:val="003D7565"/>
    <w:rsid w:val="003E018E"/>
    <w:rsid w:val="003E0EEA"/>
    <w:rsid w:val="003E2A49"/>
    <w:rsid w:val="003E2C48"/>
    <w:rsid w:val="003E521E"/>
    <w:rsid w:val="003F0A04"/>
    <w:rsid w:val="003F1C1C"/>
    <w:rsid w:val="003F3A99"/>
    <w:rsid w:val="003F3AFC"/>
    <w:rsid w:val="003F425B"/>
    <w:rsid w:val="003F45EF"/>
    <w:rsid w:val="003F4BC4"/>
    <w:rsid w:val="003F67F1"/>
    <w:rsid w:val="003F6AB4"/>
    <w:rsid w:val="003F6B25"/>
    <w:rsid w:val="004022BA"/>
    <w:rsid w:val="004035FD"/>
    <w:rsid w:val="00405DB1"/>
    <w:rsid w:val="0040681C"/>
    <w:rsid w:val="004075B6"/>
    <w:rsid w:val="00407BCD"/>
    <w:rsid w:val="00407C07"/>
    <w:rsid w:val="004101D1"/>
    <w:rsid w:val="00411E4D"/>
    <w:rsid w:val="00412819"/>
    <w:rsid w:val="00413691"/>
    <w:rsid w:val="00414E0B"/>
    <w:rsid w:val="00414FD8"/>
    <w:rsid w:val="00415920"/>
    <w:rsid w:val="0041709B"/>
    <w:rsid w:val="00417D6D"/>
    <w:rsid w:val="00420952"/>
    <w:rsid w:val="00420C3F"/>
    <w:rsid w:val="004234AB"/>
    <w:rsid w:val="00423EFB"/>
    <w:rsid w:val="00426584"/>
    <w:rsid w:val="00426A52"/>
    <w:rsid w:val="00431D99"/>
    <w:rsid w:val="00432A26"/>
    <w:rsid w:val="00432E35"/>
    <w:rsid w:val="00435CA7"/>
    <w:rsid w:val="0044025A"/>
    <w:rsid w:val="00440E1C"/>
    <w:rsid w:val="00441595"/>
    <w:rsid w:val="00442F47"/>
    <w:rsid w:val="00444928"/>
    <w:rsid w:val="00445380"/>
    <w:rsid w:val="00446BEE"/>
    <w:rsid w:val="00450E15"/>
    <w:rsid w:val="004511E1"/>
    <w:rsid w:val="004533A7"/>
    <w:rsid w:val="00457C1D"/>
    <w:rsid w:val="00460B8A"/>
    <w:rsid w:val="004618AB"/>
    <w:rsid w:val="00461ABC"/>
    <w:rsid w:val="00464DFF"/>
    <w:rsid w:val="00471C98"/>
    <w:rsid w:val="00472A3B"/>
    <w:rsid w:val="004752ED"/>
    <w:rsid w:val="004769AF"/>
    <w:rsid w:val="00481939"/>
    <w:rsid w:val="00484BB6"/>
    <w:rsid w:val="0048518B"/>
    <w:rsid w:val="00485CFF"/>
    <w:rsid w:val="004863B1"/>
    <w:rsid w:val="004905A2"/>
    <w:rsid w:val="00492B38"/>
    <w:rsid w:val="00494310"/>
    <w:rsid w:val="00494418"/>
    <w:rsid w:val="00495168"/>
    <w:rsid w:val="00496F32"/>
    <w:rsid w:val="004A1590"/>
    <w:rsid w:val="004A1E4E"/>
    <w:rsid w:val="004A25CF"/>
    <w:rsid w:val="004A30AC"/>
    <w:rsid w:val="004A3788"/>
    <w:rsid w:val="004A4A1B"/>
    <w:rsid w:val="004A7009"/>
    <w:rsid w:val="004B128F"/>
    <w:rsid w:val="004B2CD2"/>
    <w:rsid w:val="004B46CE"/>
    <w:rsid w:val="004B52AE"/>
    <w:rsid w:val="004B5F6A"/>
    <w:rsid w:val="004B6109"/>
    <w:rsid w:val="004B6B01"/>
    <w:rsid w:val="004C29AB"/>
    <w:rsid w:val="004C29F1"/>
    <w:rsid w:val="004C2B15"/>
    <w:rsid w:val="004C49DD"/>
    <w:rsid w:val="004C5C4C"/>
    <w:rsid w:val="004C7029"/>
    <w:rsid w:val="004D192B"/>
    <w:rsid w:val="004D3772"/>
    <w:rsid w:val="004D3D5E"/>
    <w:rsid w:val="004D5656"/>
    <w:rsid w:val="004E0A71"/>
    <w:rsid w:val="004E10CF"/>
    <w:rsid w:val="004E11A8"/>
    <w:rsid w:val="004E125E"/>
    <w:rsid w:val="004E3847"/>
    <w:rsid w:val="004E4D13"/>
    <w:rsid w:val="004F16B6"/>
    <w:rsid w:val="004F2635"/>
    <w:rsid w:val="004F37E0"/>
    <w:rsid w:val="004F4750"/>
    <w:rsid w:val="004F6ACE"/>
    <w:rsid w:val="004F7959"/>
    <w:rsid w:val="004F7F2D"/>
    <w:rsid w:val="005025A1"/>
    <w:rsid w:val="00502971"/>
    <w:rsid w:val="00502FFF"/>
    <w:rsid w:val="00503AFD"/>
    <w:rsid w:val="00504F53"/>
    <w:rsid w:val="005061DB"/>
    <w:rsid w:val="005068D8"/>
    <w:rsid w:val="00510712"/>
    <w:rsid w:val="005113BC"/>
    <w:rsid w:val="005126D4"/>
    <w:rsid w:val="00515150"/>
    <w:rsid w:val="00521057"/>
    <w:rsid w:val="0052236D"/>
    <w:rsid w:val="00522B10"/>
    <w:rsid w:val="00522EE7"/>
    <w:rsid w:val="00524E84"/>
    <w:rsid w:val="0052556F"/>
    <w:rsid w:val="0052759D"/>
    <w:rsid w:val="0053493C"/>
    <w:rsid w:val="00534B5C"/>
    <w:rsid w:val="00544791"/>
    <w:rsid w:val="0055034D"/>
    <w:rsid w:val="005551BA"/>
    <w:rsid w:val="0055626A"/>
    <w:rsid w:val="00556751"/>
    <w:rsid w:val="0055692D"/>
    <w:rsid w:val="0055754A"/>
    <w:rsid w:val="00561023"/>
    <w:rsid w:val="005641F7"/>
    <w:rsid w:val="005678F5"/>
    <w:rsid w:val="00571334"/>
    <w:rsid w:val="00574B96"/>
    <w:rsid w:val="00575A8F"/>
    <w:rsid w:val="00576491"/>
    <w:rsid w:val="005772F3"/>
    <w:rsid w:val="005808E9"/>
    <w:rsid w:val="00581058"/>
    <w:rsid w:val="00582E92"/>
    <w:rsid w:val="00584A70"/>
    <w:rsid w:val="005868FD"/>
    <w:rsid w:val="0058719D"/>
    <w:rsid w:val="005920E9"/>
    <w:rsid w:val="00592248"/>
    <w:rsid w:val="00594C3A"/>
    <w:rsid w:val="005A02D5"/>
    <w:rsid w:val="005A2DC5"/>
    <w:rsid w:val="005A670C"/>
    <w:rsid w:val="005A7A6E"/>
    <w:rsid w:val="005B0A38"/>
    <w:rsid w:val="005B174C"/>
    <w:rsid w:val="005B2341"/>
    <w:rsid w:val="005B5A3C"/>
    <w:rsid w:val="005B5B38"/>
    <w:rsid w:val="005B6D54"/>
    <w:rsid w:val="005C10A5"/>
    <w:rsid w:val="005C2B5F"/>
    <w:rsid w:val="005C2F4F"/>
    <w:rsid w:val="005C500E"/>
    <w:rsid w:val="005C5256"/>
    <w:rsid w:val="005C6826"/>
    <w:rsid w:val="005C6C62"/>
    <w:rsid w:val="005C79AF"/>
    <w:rsid w:val="005D103F"/>
    <w:rsid w:val="005D124C"/>
    <w:rsid w:val="005D3EDB"/>
    <w:rsid w:val="005D52D0"/>
    <w:rsid w:val="005E10A5"/>
    <w:rsid w:val="005E1E28"/>
    <w:rsid w:val="005E3D10"/>
    <w:rsid w:val="005E4162"/>
    <w:rsid w:val="005E5A52"/>
    <w:rsid w:val="005E5D7A"/>
    <w:rsid w:val="005E5E23"/>
    <w:rsid w:val="005E617E"/>
    <w:rsid w:val="005F039C"/>
    <w:rsid w:val="005F0400"/>
    <w:rsid w:val="005F15B8"/>
    <w:rsid w:val="005F3AB0"/>
    <w:rsid w:val="005F424D"/>
    <w:rsid w:val="005F4254"/>
    <w:rsid w:val="005F64FC"/>
    <w:rsid w:val="005F7789"/>
    <w:rsid w:val="0060075C"/>
    <w:rsid w:val="00603997"/>
    <w:rsid w:val="00604DAC"/>
    <w:rsid w:val="00605B7F"/>
    <w:rsid w:val="00605CED"/>
    <w:rsid w:val="006060C6"/>
    <w:rsid w:val="006062B8"/>
    <w:rsid w:val="0060676C"/>
    <w:rsid w:val="00607A0A"/>
    <w:rsid w:val="00612D55"/>
    <w:rsid w:val="0061396D"/>
    <w:rsid w:val="00613C1F"/>
    <w:rsid w:val="00617D88"/>
    <w:rsid w:val="00620A37"/>
    <w:rsid w:val="006211C7"/>
    <w:rsid w:val="00621F21"/>
    <w:rsid w:val="0062224B"/>
    <w:rsid w:val="00622714"/>
    <w:rsid w:val="00622935"/>
    <w:rsid w:val="00624140"/>
    <w:rsid w:val="00624C9B"/>
    <w:rsid w:val="00626705"/>
    <w:rsid w:val="00626DD5"/>
    <w:rsid w:val="00627286"/>
    <w:rsid w:val="00630A41"/>
    <w:rsid w:val="00631886"/>
    <w:rsid w:val="00632B27"/>
    <w:rsid w:val="00632BDB"/>
    <w:rsid w:val="00634ACD"/>
    <w:rsid w:val="006522F2"/>
    <w:rsid w:val="0066038A"/>
    <w:rsid w:val="0066278B"/>
    <w:rsid w:val="00662C62"/>
    <w:rsid w:val="0066599F"/>
    <w:rsid w:val="00666BF1"/>
    <w:rsid w:val="00667621"/>
    <w:rsid w:val="006701D4"/>
    <w:rsid w:val="006709A9"/>
    <w:rsid w:val="0067149C"/>
    <w:rsid w:val="00672CA9"/>
    <w:rsid w:val="006731E0"/>
    <w:rsid w:val="006733C4"/>
    <w:rsid w:val="00674573"/>
    <w:rsid w:val="00674A90"/>
    <w:rsid w:val="0067627D"/>
    <w:rsid w:val="00676E02"/>
    <w:rsid w:val="006802A7"/>
    <w:rsid w:val="00682635"/>
    <w:rsid w:val="00682824"/>
    <w:rsid w:val="006921E1"/>
    <w:rsid w:val="00696C0A"/>
    <w:rsid w:val="006A284F"/>
    <w:rsid w:val="006A28FB"/>
    <w:rsid w:val="006A34B3"/>
    <w:rsid w:val="006A3726"/>
    <w:rsid w:val="006A4E8E"/>
    <w:rsid w:val="006A59F8"/>
    <w:rsid w:val="006A722E"/>
    <w:rsid w:val="006A731E"/>
    <w:rsid w:val="006B0E60"/>
    <w:rsid w:val="006B4718"/>
    <w:rsid w:val="006B56B5"/>
    <w:rsid w:val="006B752F"/>
    <w:rsid w:val="006B7EE8"/>
    <w:rsid w:val="006C00DD"/>
    <w:rsid w:val="006C01D8"/>
    <w:rsid w:val="006C0C4C"/>
    <w:rsid w:val="006C0EEB"/>
    <w:rsid w:val="006C1695"/>
    <w:rsid w:val="006C264F"/>
    <w:rsid w:val="006C2F4A"/>
    <w:rsid w:val="006C4450"/>
    <w:rsid w:val="006C65A7"/>
    <w:rsid w:val="006D0C0F"/>
    <w:rsid w:val="006D1626"/>
    <w:rsid w:val="006D2948"/>
    <w:rsid w:val="006D318E"/>
    <w:rsid w:val="006E0E81"/>
    <w:rsid w:val="006E3519"/>
    <w:rsid w:val="006E375A"/>
    <w:rsid w:val="006E4440"/>
    <w:rsid w:val="006E44A0"/>
    <w:rsid w:val="006E5944"/>
    <w:rsid w:val="006E6AC2"/>
    <w:rsid w:val="006F3935"/>
    <w:rsid w:val="006F547A"/>
    <w:rsid w:val="006F56DC"/>
    <w:rsid w:val="006F6EE3"/>
    <w:rsid w:val="006F7F07"/>
    <w:rsid w:val="00701341"/>
    <w:rsid w:val="00705378"/>
    <w:rsid w:val="0071162E"/>
    <w:rsid w:val="00713F50"/>
    <w:rsid w:val="00716FA3"/>
    <w:rsid w:val="0072523B"/>
    <w:rsid w:val="0072678B"/>
    <w:rsid w:val="0073143F"/>
    <w:rsid w:val="007331B1"/>
    <w:rsid w:val="00734776"/>
    <w:rsid w:val="00736348"/>
    <w:rsid w:val="007431C6"/>
    <w:rsid w:val="0074483C"/>
    <w:rsid w:val="0074702E"/>
    <w:rsid w:val="00751AC9"/>
    <w:rsid w:val="0075263D"/>
    <w:rsid w:val="00753DE5"/>
    <w:rsid w:val="007540D6"/>
    <w:rsid w:val="00754136"/>
    <w:rsid w:val="00756323"/>
    <w:rsid w:val="00761183"/>
    <w:rsid w:val="0076272F"/>
    <w:rsid w:val="007628FD"/>
    <w:rsid w:val="00762F76"/>
    <w:rsid w:val="00771E16"/>
    <w:rsid w:val="0077376B"/>
    <w:rsid w:val="00773980"/>
    <w:rsid w:val="0077565A"/>
    <w:rsid w:val="00775A3E"/>
    <w:rsid w:val="00776DFA"/>
    <w:rsid w:val="00777393"/>
    <w:rsid w:val="00777893"/>
    <w:rsid w:val="00780A3F"/>
    <w:rsid w:val="00781C41"/>
    <w:rsid w:val="00782486"/>
    <w:rsid w:val="007826CF"/>
    <w:rsid w:val="00782751"/>
    <w:rsid w:val="00782DF1"/>
    <w:rsid w:val="007838F0"/>
    <w:rsid w:val="00784693"/>
    <w:rsid w:val="00786A9B"/>
    <w:rsid w:val="00787DCA"/>
    <w:rsid w:val="0079320A"/>
    <w:rsid w:val="00796639"/>
    <w:rsid w:val="0079799F"/>
    <w:rsid w:val="007A5910"/>
    <w:rsid w:val="007A750A"/>
    <w:rsid w:val="007B0234"/>
    <w:rsid w:val="007B02B9"/>
    <w:rsid w:val="007B352B"/>
    <w:rsid w:val="007B40D4"/>
    <w:rsid w:val="007B496F"/>
    <w:rsid w:val="007B5A7C"/>
    <w:rsid w:val="007B661D"/>
    <w:rsid w:val="007B6768"/>
    <w:rsid w:val="007B7E80"/>
    <w:rsid w:val="007C28F9"/>
    <w:rsid w:val="007C32AC"/>
    <w:rsid w:val="007C3F9E"/>
    <w:rsid w:val="007C54D4"/>
    <w:rsid w:val="007D24C8"/>
    <w:rsid w:val="007D3C66"/>
    <w:rsid w:val="007E0748"/>
    <w:rsid w:val="007E2A82"/>
    <w:rsid w:val="007E6238"/>
    <w:rsid w:val="007E702B"/>
    <w:rsid w:val="007F0E55"/>
    <w:rsid w:val="007F22D4"/>
    <w:rsid w:val="007F2DD6"/>
    <w:rsid w:val="0080298F"/>
    <w:rsid w:val="00803E92"/>
    <w:rsid w:val="008040E5"/>
    <w:rsid w:val="00805008"/>
    <w:rsid w:val="00805153"/>
    <w:rsid w:val="00805DCD"/>
    <w:rsid w:val="0080757D"/>
    <w:rsid w:val="00814FB7"/>
    <w:rsid w:val="00817C29"/>
    <w:rsid w:val="00821948"/>
    <w:rsid w:val="00821CF7"/>
    <w:rsid w:val="008231FC"/>
    <w:rsid w:val="0082346F"/>
    <w:rsid w:val="008234EA"/>
    <w:rsid w:val="008249D2"/>
    <w:rsid w:val="00825745"/>
    <w:rsid w:val="008274ED"/>
    <w:rsid w:val="00832950"/>
    <w:rsid w:val="00832CC3"/>
    <w:rsid w:val="00833D8A"/>
    <w:rsid w:val="00836AB9"/>
    <w:rsid w:val="008404D2"/>
    <w:rsid w:val="00841C23"/>
    <w:rsid w:val="00842FA7"/>
    <w:rsid w:val="0084414B"/>
    <w:rsid w:val="00845D9F"/>
    <w:rsid w:val="00850524"/>
    <w:rsid w:val="00850570"/>
    <w:rsid w:val="0085204E"/>
    <w:rsid w:val="00856A1F"/>
    <w:rsid w:val="00856F6A"/>
    <w:rsid w:val="00860355"/>
    <w:rsid w:val="00861B92"/>
    <w:rsid w:val="0086231C"/>
    <w:rsid w:val="00863D60"/>
    <w:rsid w:val="008654D8"/>
    <w:rsid w:val="00871D44"/>
    <w:rsid w:val="00873078"/>
    <w:rsid w:val="00876707"/>
    <w:rsid w:val="0087713C"/>
    <w:rsid w:val="008814FB"/>
    <w:rsid w:val="00881556"/>
    <w:rsid w:val="0088392A"/>
    <w:rsid w:val="00886D22"/>
    <w:rsid w:val="00886EF1"/>
    <w:rsid w:val="00894438"/>
    <w:rsid w:val="008A2905"/>
    <w:rsid w:val="008A41BF"/>
    <w:rsid w:val="008A4A69"/>
    <w:rsid w:val="008B509A"/>
    <w:rsid w:val="008B7090"/>
    <w:rsid w:val="008C25D7"/>
    <w:rsid w:val="008C323C"/>
    <w:rsid w:val="008C366D"/>
    <w:rsid w:val="008C3C7B"/>
    <w:rsid w:val="008C62D9"/>
    <w:rsid w:val="008C6C2F"/>
    <w:rsid w:val="008C7E82"/>
    <w:rsid w:val="008C7FE8"/>
    <w:rsid w:val="008D0C5E"/>
    <w:rsid w:val="008D1983"/>
    <w:rsid w:val="008D3B1F"/>
    <w:rsid w:val="008D44D8"/>
    <w:rsid w:val="008D5B73"/>
    <w:rsid w:val="008E1E0E"/>
    <w:rsid w:val="008E21FF"/>
    <w:rsid w:val="008E3BF6"/>
    <w:rsid w:val="008E70C4"/>
    <w:rsid w:val="008E7249"/>
    <w:rsid w:val="008E7826"/>
    <w:rsid w:val="008F1B20"/>
    <w:rsid w:val="008F5E30"/>
    <w:rsid w:val="008F6E14"/>
    <w:rsid w:val="008F6FB7"/>
    <w:rsid w:val="009022B6"/>
    <w:rsid w:val="00902DED"/>
    <w:rsid w:val="009049C6"/>
    <w:rsid w:val="009055FC"/>
    <w:rsid w:val="00905A67"/>
    <w:rsid w:val="009128A1"/>
    <w:rsid w:val="00912907"/>
    <w:rsid w:val="00914D7F"/>
    <w:rsid w:val="00915C60"/>
    <w:rsid w:val="00915EBE"/>
    <w:rsid w:val="0092190F"/>
    <w:rsid w:val="00921E3B"/>
    <w:rsid w:val="0092241A"/>
    <w:rsid w:val="00923C85"/>
    <w:rsid w:val="00925CF9"/>
    <w:rsid w:val="009270E4"/>
    <w:rsid w:val="00931209"/>
    <w:rsid w:val="009315C4"/>
    <w:rsid w:val="009355FB"/>
    <w:rsid w:val="00940837"/>
    <w:rsid w:val="0094189E"/>
    <w:rsid w:val="00941D3A"/>
    <w:rsid w:val="00944327"/>
    <w:rsid w:val="0094565C"/>
    <w:rsid w:val="009507F0"/>
    <w:rsid w:val="009519CE"/>
    <w:rsid w:val="00952D1C"/>
    <w:rsid w:val="00953CA8"/>
    <w:rsid w:val="00953D97"/>
    <w:rsid w:val="00957877"/>
    <w:rsid w:val="00960748"/>
    <w:rsid w:val="00960E56"/>
    <w:rsid w:val="00965BF4"/>
    <w:rsid w:val="00966D89"/>
    <w:rsid w:val="00966F1B"/>
    <w:rsid w:val="0096796B"/>
    <w:rsid w:val="0097305A"/>
    <w:rsid w:val="00974991"/>
    <w:rsid w:val="00974F84"/>
    <w:rsid w:val="00980D94"/>
    <w:rsid w:val="009818AB"/>
    <w:rsid w:val="00982F8B"/>
    <w:rsid w:val="00983D73"/>
    <w:rsid w:val="009841EC"/>
    <w:rsid w:val="00986263"/>
    <w:rsid w:val="0099031A"/>
    <w:rsid w:val="00997816"/>
    <w:rsid w:val="009A0351"/>
    <w:rsid w:val="009A3272"/>
    <w:rsid w:val="009A358B"/>
    <w:rsid w:val="009A4F31"/>
    <w:rsid w:val="009A571E"/>
    <w:rsid w:val="009A7FDE"/>
    <w:rsid w:val="009B2EB0"/>
    <w:rsid w:val="009B54DC"/>
    <w:rsid w:val="009C49C7"/>
    <w:rsid w:val="009C528E"/>
    <w:rsid w:val="009C71C2"/>
    <w:rsid w:val="009C73EB"/>
    <w:rsid w:val="009D029A"/>
    <w:rsid w:val="009D24F5"/>
    <w:rsid w:val="009D337C"/>
    <w:rsid w:val="009D5F51"/>
    <w:rsid w:val="009D7604"/>
    <w:rsid w:val="009E02D9"/>
    <w:rsid w:val="009E110D"/>
    <w:rsid w:val="009E17EF"/>
    <w:rsid w:val="009E20BD"/>
    <w:rsid w:val="009E3ECD"/>
    <w:rsid w:val="009E6389"/>
    <w:rsid w:val="009E64F3"/>
    <w:rsid w:val="009E680B"/>
    <w:rsid w:val="009F3217"/>
    <w:rsid w:val="009F3576"/>
    <w:rsid w:val="009F4AEE"/>
    <w:rsid w:val="009F5B41"/>
    <w:rsid w:val="00A00D7E"/>
    <w:rsid w:val="00A01BF7"/>
    <w:rsid w:val="00A0397D"/>
    <w:rsid w:val="00A05CB7"/>
    <w:rsid w:val="00A07482"/>
    <w:rsid w:val="00A07A3F"/>
    <w:rsid w:val="00A07AE3"/>
    <w:rsid w:val="00A10563"/>
    <w:rsid w:val="00A11956"/>
    <w:rsid w:val="00A119BF"/>
    <w:rsid w:val="00A1257B"/>
    <w:rsid w:val="00A1325C"/>
    <w:rsid w:val="00A14DDC"/>
    <w:rsid w:val="00A15942"/>
    <w:rsid w:val="00A15A1F"/>
    <w:rsid w:val="00A2079E"/>
    <w:rsid w:val="00A2121B"/>
    <w:rsid w:val="00A22581"/>
    <w:rsid w:val="00A22CB4"/>
    <w:rsid w:val="00A26CD5"/>
    <w:rsid w:val="00A3325A"/>
    <w:rsid w:val="00A33366"/>
    <w:rsid w:val="00A333E7"/>
    <w:rsid w:val="00A3432B"/>
    <w:rsid w:val="00A34412"/>
    <w:rsid w:val="00A43013"/>
    <w:rsid w:val="00A43A02"/>
    <w:rsid w:val="00A449C2"/>
    <w:rsid w:val="00A531F6"/>
    <w:rsid w:val="00A5333D"/>
    <w:rsid w:val="00A54E52"/>
    <w:rsid w:val="00A561A4"/>
    <w:rsid w:val="00A62674"/>
    <w:rsid w:val="00A63388"/>
    <w:rsid w:val="00A63395"/>
    <w:rsid w:val="00A633D2"/>
    <w:rsid w:val="00A64B82"/>
    <w:rsid w:val="00A701A2"/>
    <w:rsid w:val="00A70ED7"/>
    <w:rsid w:val="00A718AD"/>
    <w:rsid w:val="00A774C9"/>
    <w:rsid w:val="00A7780D"/>
    <w:rsid w:val="00A800F0"/>
    <w:rsid w:val="00A8130F"/>
    <w:rsid w:val="00A8196E"/>
    <w:rsid w:val="00A83DA4"/>
    <w:rsid w:val="00A84078"/>
    <w:rsid w:val="00A859B7"/>
    <w:rsid w:val="00A909D3"/>
    <w:rsid w:val="00A914C6"/>
    <w:rsid w:val="00A938D8"/>
    <w:rsid w:val="00A94E89"/>
    <w:rsid w:val="00A95A2B"/>
    <w:rsid w:val="00A96421"/>
    <w:rsid w:val="00A96CB5"/>
    <w:rsid w:val="00AA14B5"/>
    <w:rsid w:val="00AB0D9A"/>
    <w:rsid w:val="00AB1F86"/>
    <w:rsid w:val="00AB228F"/>
    <w:rsid w:val="00AB31BA"/>
    <w:rsid w:val="00AB4243"/>
    <w:rsid w:val="00AB5790"/>
    <w:rsid w:val="00AB7170"/>
    <w:rsid w:val="00AC11AB"/>
    <w:rsid w:val="00AC232C"/>
    <w:rsid w:val="00AC23F3"/>
    <w:rsid w:val="00AC4A10"/>
    <w:rsid w:val="00AC73BD"/>
    <w:rsid w:val="00AD018E"/>
    <w:rsid w:val="00AD19E6"/>
    <w:rsid w:val="00AD36FF"/>
    <w:rsid w:val="00AD5602"/>
    <w:rsid w:val="00AD7D68"/>
    <w:rsid w:val="00AE1496"/>
    <w:rsid w:val="00AE177F"/>
    <w:rsid w:val="00AE43DF"/>
    <w:rsid w:val="00AE5C71"/>
    <w:rsid w:val="00AF0769"/>
    <w:rsid w:val="00AF108A"/>
    <w:rsid w:val="00AF205D"/>
    <w:rsid w:val="00AF3C60"/>
    <w:rsid w:val="00AF5438"/>
    <w:rsid w:val="00AF6238"/>
    <w:rsid w:val="00B007D0"/>
    <w:rsid w:val="00B012FA"/>
    <w:rsid w:val="00B02E55"/>
    <w:rsid w:val="00B031D0"/>
    <w:rsid w:val="00B036C1"/>
    <w:rsid w:val="00B06767"/>
    <w:rsid w:val="00B06797"/>
    <w:rsid w:val="00B11682"/>
    <w:rsid w:val="00B11C68"/>
    <w:rsid w:val="00B1793C"/>
    <w:rsid w:val="00B217B7"/>
    <w:rsid w:val="00B245D8"/>
    <w:rsid w:val="00B24C84"/>
    <w:rsid w:val="00B267E2"/>
    <w:rsid w:val="00B277F2"/>
    <w:rsid w:val="00B27C16"/>
    <w:rsid w:val="00B331DC"/>
    <w:rsid w:val="00B35AEE"/>
    <w:rsid w:val="00B40060"/>
    <w:rsid w:val="00B406D3"/>
    <w:rsid w:val="00B4264B"/>
    <w:rsid w:val="00B44C56"/>
    <w:rsid w:val="00B46CC6"/>
    <w:rsid w:val="00B5057A"/>
    <w:rsid w:val="00B51B1A"/>
    <w:rsid w:val="00B51DB0"/>
    <w:rsid w:val="00B52F0B"/>
    <w:rsid w:val="00B5431F"/>
    <w:rsid w:val="00B55D35"/>
    <w:rsid w:val="00B56BEB"/>
    <w:rsid w:val="00B57C76"/>
    <w:rsid w:val="00B62A62"/>
    <w:rsid w:val="00B648EA"/>
    <w:rsid w:val="00B6495C"/>
    <w:rsid w:val="00B65A11"/>
    <w:rsid w:val="00B6664B"/>
    <w:rsid w:val="00B7031D"/>
    <w:rsid w:val="00B729C7"/>
    <w:rsid w:val="00B72A43"/>
    <w:rsid w:val="00B72DBA"/>
    <w:rsid w:val="00B74A0C"/>
    <w:rsid w:val="00B8609B"/>
    <w:rsid w:val="00B866AA"/>
    <w:rsid w:val="00B90496"/>
    <w:rsid w:val="00B91119"/>
    <w:rsid w:val="00B9280A"/>
    <w:rsid w:val="00B93437"/>
    <w:rsid w:val="00B96719"/>
    <w:rsid w:val="00B9747F"/>
    <w:rsid w:val="00B974F1"/>
    <w:rsid w:val="00B97D77"/>
    <w:rsid w:val="00BA0810"/>
    <w:rsid w:val="00BA1B80"/>
    <w:rsid w:val="00BA2147"/>
    <w:rsid w:val="00BA2264"/>
    <w:rsid w:val="00BA2743"/>
    <w:rsid w:val="00BA643A"/>
    <w:rsid w:val="00BA763B"/>
    <w:rsid w:val="00BB01C3"/>
    <w:rsid w:val="00BB1EFA"/>
    <w:rsid w:val="00BB44BA"/>
    <w:rsid w:val="00BB53AA"/>
    <w:rsid w:val="00BC0317"/>
    <w:rsid w:val="00BC0EA6"/>
    <w:rsid w:val="00BC184B"/>
    <w:rsid w:val="00BC5D59"/>
    <w:rsid w:val="00BD1152"/>
    <w:rsid w:val="00BD6EBC"/>
    <w:rsid w:val="00BD722F"/>
    <w:rsid w:val="00BE1543"/>
    <w:rsid w:val="00BE1BCC"/>
    <w:rsid w:val="00BE3F5B"/>
    <w:rsid w:val="00BE5725"/>
    <w:rsid w:val="00BE7946"/>
    <w:rsid w:val="00BF05EE"/>
    <w:rsid w:val="00BF0E99"/>
    <w:rsid w:val="00BF0EAD"/>
    <w:rsid w:val="00BF12F6"/>
    <w:rsid w:val="00BF1B72"/>
    <w:rsid w:val="00BF1C15"/>
    <w:rsid w:val="00BF40E4"/>
    <w:rsid w:val="00BF5004"/>
    <w:rsid w:val="00BF5B6B"/>
    <w:rsid w:val="00BF70AC"/>
    <w:rsid w:val="00BF7220"/>
    <w:rsid w:val="00BF7FE0"/>
    <w:rsid w:val="00C05C1D"/>
    <w:rsid w:val="00C114C7"/>
    <w:rsid w:val="00C1326A"/>
    <w:rsid w:val="00C15559"/>
    <w:rsid w:val="00C1559F"/>
    <w:rsid w:val="00C16B20"/>
    <w:rsid w:val="00C239EA"/>
    <w:rsid w:val="00C3281D"/>
    <w:rsid w:val="00C33122"/>
    <w:rsid w:val="00C33895"/>
    <w:rsid w:val="00C36044"/>
    <w:rsid w:val="00C371CF"/>
    <w:rsid w:val="00C40070"/>
    <w:rsid w:val="00C4088C"/>
    <w:rsid w:val="00C41FC7"/>
    <w:rsid w:val="00C448AF"/>
    <w:rsid w:val="00C47501"/>
    <w:rsid w:val="00C5281B"/>
    <w:rsid w:val="00C54069"/>
    <w:rsid w:val="00C54552"/>
    <w:rsid w:val="00C56CFF"/>
    <w:rsid w:val="00C57A92"/>
    <w:rsid w:val="00C633B2"/>
    <w:rsid w:val="00C6596C"/>
    <w:rsid w:val="00C66361"/>
    <w:rsid w:val="00C66EB3"/>
    <w:rsid w:val="00C7578F"/>
    <w:rsid w:val="00C76DD7"/>
    <w:rsid w:val="00C77C66"/>
    <w:rsid w:val="00C81ED6"/>
    <w:rsid w:val="00C837BB"/>
    <w:rsid w:val="00C8381F"/>
    <w:rsid w:val="00C84BC7"/>
    <w:rsid w:val="00C84E17"/>
    <w:rsid w:val="00C85682"/>
    <w:rsid w:val="00C907BD"/>
    <w:rsid w:val="00C923D4"/>
    <w:rsid w:val="00C923EF"/>
    <w:rsid w:val="00C92A05"/>
    <w:rsid w:val="00C94D09"/>
    <w:rsid w:val="00C96411"/>
    <w:rsid w:val="00C97F27"/>
    <w:rsid w:val="00CA4DDB"/>
    <w:rsid w:val="00CB2369"/>
    <w:rsid w:val="00CB27BC"/>
    <w:rsid w:val="00CB27E6"/>
    <w:rsid w:val="00CB4E42"/>
    <w:rsid w:val="00CB79EE"/>
    <w:rsid w:val="00CB7A31"/>
    <w:rsid w:val="00CC0202"/>
    <w:rsid w:val="00CC1272"/>
    <w:rsid w:val="00CC66BE"/>
    <w:rsid w:val="00CC78DB"/>
    <w:rsid w:val="00CD172C"/>
    <w:rsid w:val="00CD19F7"/>
    <w:rsid w:val="00CD1B20"/>
    <w:rsid w:val="00CD447E"/>
    <w:rsid w:val="00CD6522"/>
    <w:rsid w:val="00CE0F2C"/>
    <w:rsid w:val="00CE1179"/>
    <w:rsid w:val="00CE4A88"/>
    <w:rsid w:val="00CE6385"/>
    <w:rsid w:val="00CF01B0"/>
    <w:rsid w:val="00CF0493"/>
    <w:rsid w:val="00CF0C23"/>
    <w:rsid w:val="00CF1548"/>
    <w:rsid w:val="00CF2E5C"/>
    <w:rsid w:val="00CF2E81"/>
    <w:rsid w:val="00CF2F85"/>
    <w:rsid w:val="00CF58B7"/>
    <w:rsid w:val="00CF5907"/>
    <w:rsid w:val="00CF5B1F"/>
    <w:rsid w:val="00CF5F79"/>
    <w:rsid w:val="00CF7715"/>
    <w:rsid w:val="00D002A3"/>
    <w:rsid w:val="00D00481"/>
    <w:rsid w:val="00D00676"/>
    <w:rsid w:val="00D00871"/>
    <w:rsid w:val="00D02A8F"/>
    <w:rsid w:val="00D036D2"/>
    <w:rsid w:val="00D04873"/>
    <w:rsid w:val="00D07179"/>
    <w:rsid w:val="00D0733D"/>
    <w:rsid w:val="00D106AA"/>
    <w:rsid w:val="00D11F75"/>
    <w:rsid w:val="00D15C1D"/>
    <w:rsid w:val="00D1699D"/>
    <w:rsid w:val="00D16F59"/>
    <w:rsid w:val="00D227DB"/>
    <w:rsid w:val="00D2520E"/>
    <w:rsid w:val="00D25681"/>
    <w:rsid w:val="00D27305"/>
    <w:rsid w:val="00D27B43"/>
    <w:rsid w:val="00D317B5"/>
    <w:rsid w:val="00D351C1"/>
    <w:rsid w:val="00D35D1A"/>
    <w:rsid w:val="00D35EFB"/>
    <w:rsid w:val="00D35F12"/>
    <w:rsid w:val="00D40581"/>
    <w:rsid w:val="00D447FB"/>
    <w:rsid w:val="00D47D55"/>
    <w:rsid w:val="00D501B7"/>
    <w:rsid w:val="00D504B3"/>
    <w:rsid w:val="00D504F3"/>
    <w:rsid w:val="00D51A3C"/>
    <w:rsid w:val="00D520F5"/>
    <w:rsid w:val="00D54481"/>
    <w:rsid w:val="00D54B50"/>
    <w:rsid w:val="00D62DCD"/>
    <w:rsid w:val="00D64EC2"/>
    <w:rsid w:val="00D7007C"/>
    <w:rsid w:val="00D712B5"/>
    <w:rsid w:val="00D75D44"/>
    <w:rsid w:val="00D818F5"/>
    <w:rsid w:val="00D82189"/>
    <w:rsid w:val="00D82544"/>
    <w:rsid w:val="00D8458E"/>
    <w:rsid w:val="00D85180"/>
    <w:rsid w:val="00D86BF0"/>
    <w:rsid w:val="00D9096F"/>
    <w:rsid w:val="00D90D97"/>
    <w:rsid w:val="00D90F84"/>
    <w:rsid w:val="00D94ED8"/>
    <w:rsid w:val="00D96082"/>
    <w:rsid w:val="00DA0CC0"/>
    <w:rsid w:val="00DA1CA9"/>
    <w:rsid w:val="00DA33F3"/>
    <w:rsid w:val="00DA3AE2"/>
    <w:rsid w:val="00DA3DD8"/>
    <w:rsid w:val="00DA45E8"/>
    <w:rsid w:val="00DA6CC4"/>
    <w:rsid w:val="00DB1A19"/>
    <w:rsid w:val="00DB2305"/>
    <w:rsid w:val="00DB37AA"/>
    <w:rsid w:val="00DB4A30"/>
    <w:rsid w:val="00DB7D79"/>
    <w:rsid w:val="00DC0783"/>
    <w:rsid w:val="00DC59A6"/>
    <w:rsid w:val="00DC5CE1"/>
    <w:rsid w:val="00DC70E4"/>
    <w:rsid w:val="00DD0619"/>
    <w:rsid w:val="00DD1268"/>
    <w:rsid w:val="00DD2226"/>
    <w:rsid w:val="00DD2FB8"/>
    <w:rsid w:val="00DE126B"/>
    <w:rsid w:val="00DE1D3E"/>
    <w:rsid w:val="00DE28A0"/>
    <w:rsid w:val="00DE30BA"/>
    <w:rsid w:val="00DE6DAC"/>
    <w:rsid w:val="00DE6E01"/>
    <w:rsid w:val="00DF5165"/>
    <w:rsid w:val="00E000E2"/>
    <w:rsid w:val="00E016BF"/>
    <w:rsid w:val="00E01DBD"/>
    <w:rsid w:val="00E02985"/>
    <w:rsid w:val="00E0366E"/>
    <w:rsid w:val="00E03D25"/>
    <w:rsid w:val="00E049C8"/>
    <w:rsid w:val="00E05268"/>
    <w:rsid w:val="00E0674E"/>
    <w:rsid w:val="00E06C0F"/>
    <w:rsid w:val="00E10D20"/>
    <w:rsid w:val="00E1256C"/>
    <w:rsid w:val="00E142DA"/>
    <w:rsid w:val="00E15A0D"/>
    <w:rsid w:val="00E2177F"/>
    <w:rsid w:val="00E21FCF"/>
    <w:rsid w:val="00E22189"/>
    <w:rsid w:val="00E2254F"/>
    <w:rsid w:val="00E2343A"/>
    <w:rsid w:val="00E33678"/>
    <w:rsid w:val="00E35F8E"/>
    <w:rsid w:val="00E431FC"/>
    <w:rsid w:val="00E43B8B"/>
    <w:rsid w:val="00E51079"/>
    <w:rsid w:val="00E51920"/>
    <w:rsid w:val="00E52A8A"/>
    <w:rsid w:val="00E53413"/>
    <w:rsid w:val="00E5361E"/>
    <w:rsid w:val="00E53630"/>
    <w:rsid w:val="00E54D3D"/>
    <w:rsid w:val="00E55494"/>
    <w:rsid w:val="00E559CD"/>
    <w:rsid w:val="00E63D5F"/>
    <w:rsid w:val="00E63FD9"/>
    <w:rsid w:val="00E64120"/>
    <w:rsid w:val="00E660A1"/>
    <w:rsid w:val="00E72AE9"/>
    <w:rsid w:val="00E734B8"/>
    <w:rsid w:val="00E75BC2"/>
    <w:rsid w:val="00E7620A"/>
    <w:rsid w:val="00E82767"/>
    <w:rsid w:val="00E830EC"/>
    <w:rsid w:val="00E84BC2"/>
    <w:rsid w:val="00E851C4"/>
    <w:rsid w:val="00E85E5E"/>
    <w:rsid w:val="00E86077"/>
    <w:rsid w:val="00E8663A"/>
    <w:rsid w:val="00E86F32"/>
    <w:rsid w:val="00E90962"/>
    <w:rsid w:val="00E90D92"/>
    <w:rsid w:val="00E921C3"/>
    <w:rsid w:val="00EA155E"/>
    <w:rsid w:val="00EA15E3"/>
    <w:rsid w:val="00EA3A29"/>
    <w:rsid w:val="00EA3C11"/>
    <w:rsid w:val="00EA4FB8"/>
    <w:rsid w:val="00EA5326"/>
    <w:rsid w:val="00EA648C"/>
    <w:rsid w:val="00EA75E5"/>
    <w:rsid w:val="00EB096F"/>
    <w:rsid w:val="00EB2E42"/>
    <w:rsid w:val="00EB53E2"/>
    <w:rsid w:val="00EB74D4"/>
    <w:rsid w:val="00EB78B3"/>
    <w:rsid w:val="00EC1987"/>
    <w:rsid w:val="00EC1CA3"/>
    <w:rsid w:val="00EC465A"/>
    <w:rsid w:val="00EC54AD"/>
    <w:rsid w:val="00EC5D14"/>
    <w:rsid w:val="00EC768F"/>
    <w:rsid w:val="00EC7EBA"/>
    <w:rsid w:val="00ED579E"/>
    <w:rsid w:val="00ED6F4D"/>
    <w:rsid w:val="00ED72C8"/>
    <w:rsid w:val="00EE2E3B"/>
    <w:rsid w:val="00EE44B5"/>
    <w:rsid w:val="00EE45A1"/>
    <w:rsid w:val="00EE4EFB"/>
    <w:rsid w:val="00EE5F34"/>
    <w:rsid w:val="00EE6E47"/>
    <w:rsid w:val="00EF1DD7"/>
    <w:rsid w:val="00EF234E"/>
    <w:rsid w:val="00EF2D82"/>
    <w:rsid w:val="00EF3CD4"/>
    <w:rsid w:val="00EF438E"/>
    <w:rsid w:val="00EF61B8"/>
    <w:rsid w:val="00EF6ED5"/>
    <w:rsid w:val="00F00492"/>
    <w:rsid w:val="00F035DA"/>
    <w:rsid w:val="00F04460"/>
    <w:rsid w:val="00F055F1"/>
    <w:rsid w:val="00F06BB6"/>
    <w:rsid w:val="00F07DC0"/>
    <w:rsid w:val="00F2181E"/>
    <w:rsid w:val="00F22EEE"/>
    <w:rsid w:val="00F35E47"/>
    <w:rsid w:val="00F3702A"/>
    <w:rsid w:val="00F40E86"/>
    <w:rsid w:val="00F417F0"/>
    <w:rsid w:val="00F45360"/>
    <w:rsid w:val="00F45760"/>
    <w:rsid w:val="00F45AA9"/>
    <w:rsid w:val="00F45FDD"/>
    <w:rsid w:val="00F50C65"/>
    <w:rsid w:val="00F53311"/>
    <w:rsid w:val="00F534A1"/>
    <w:rsid w:val="00F54F66"/>
    <w:rsid w:val="00F561AD"/>
    <w:rsid w:val="00F56D6E"/>
    <w:rsid w:val="00F57C0D"/>
    <w:rsid w:val="00F60ABF"/>
    <w:rsid w:val="00F610AF"/>
    <w:rsid w:val="00F62F62"/>
    <w:rsid w:val="00F70DBA"/>
    <w:rsid w:val="00F72074"/>
    <w:rsid w:val="00F72EFA"/>
    <w:rsid w:val="00F7436E"/>
    <w:rsid w:val="00F810F2"/>
    <w:rsid w:val="00F81D29"/>
    <w:rsid w:val="00F83D22"/>
    <w:rsid w:val="00F844A8"/>
    <w:rsid w:val="00F84AD1"/>
    <w:rsid w:val="00F9015B"/>
    <w:rsid w:val="00F91997"/>
    <w:rsid w:val="00F93552"/>
    <w:rsid w:val="00F96063"/>
    <w:rsid w:val="00F97976"/>
    <w:rsid w:val="00FA07AD"/>
    <w:rsid w:val="00FA2C5A"/>
    <w:rsid w:val="00FA4680"/>
    <w:rsid w:val="00FA7CA3"/>
    <w:rsid w:val="00FA7FFC"/>
    <w:rsid w:val="00FB00C1"/>
    <w:rsid w:val="00FB10FE"/>
    <w:rsid w:val="00FB2C6F"/>
    <w:rsid w:val="00FB4488"/>
    <w:rsid w:val="00FB451A"/>
    <w:rsid w:val="00FB555E"/>
    <w:rsid w:val="00FB7DDD"/>
    <w:rsid w:val="00FC080C"/>
    <w:rsid w:val="00FC2BD5"/>
    <w:rsid w:val="00FC2D11"/>
    <w:rsid w:val="00FC4364"/>
    <w:rsid w:val="00FC4F03"/>
    <w:rsid w:val="00FC6230"/>
    <w:rsid w:val="00FC7660"/>
    <w:rsid w:val="00FD16B0"/>
    <w:rsid w:val="00FD4399"/>
    <w:rsid w:val="00FD6C93"/>
    <w:rsid w:val="00FD7BDF"/>
    <w:rsid w:val="00FE1D92"/>
    <w:rsid w:val="00FF0598"/>
    <w:rsid w:val="00FF1DD8"/>
    <w:rsid w:val="00FF3510"/>
    <w:rsid w:val="00FF5254"/>
    <w:rsid w:val="00FF5989"/>
    <w:rsid w:val="00FF5B16"/>
    <w:rsid w:val="00FF61E7"/>
    <w:rsid w:val="00FF7814"/>
    <w:rsid w:val="028DDCB2"/>
    <w:rsid w:val="0A979E1B"/>
    <w:rsid w:val="0FD6851C"/>
    <w:rsid w:val="104F9095"/>
    <w:rsid w:val="132BF41E"/>
    <w:rsid w:val="1948D9BA"/>
    <w:rsid w:val="1BC0E67F"/>
    <w:rsid w:val="209F09E9"/>
    <w:rsid w:val="2160FD1D"/>
    <w:rsid w:val="22746653"/>
    <w:rsid w:val="261F962E"/>
    <w:rsid w:val="2818BD47"/>
    <w:rsid w:val="288BDEAE"/>
    <w:rsid w:val="2ABEC987"/>
    <w:rsid w:val="2C59487B"/>
    <w:rsid w:val="2CA96EAC"/>
    <w:rsid w:val="2D79E354"/>
    <w:rsid w:val="3053E676"/>
    <w:rsid w:val="32FBDEBF"/>
    <w:rsid w:val="337BD296"/>
    <w:rsid w:val="35EF9426"/>
    <w:rsid w:val="37E264CB"/>
    <w:rsid w:val="388A8D81"/>
    <w:rsid w:val="389D1D3B"/>
    <w:rsid w:val="391BF4FD"/>
    <w:rsid w:val="39596A58"/>
    <w:rsid w:val="3978D51A"/>
    <w:rsid w:val="3AD1D735"/>
    <w:rsid w:val="3AF89F68"/>
    <w:rsid w:val="3B4A8DFD"/>
    <w:rsid w:val="3B6E9480"/>
    <w:rsid w:val="3FFD11AB"/>
    <w:rsid w:val="401DA657"/>
    <w:rsid w:val="4232075C"/>
    <w:rsid w:val="466F3914"/>
    <w:rsid w:val="46C441F0"/>
    <w:rsid w:val="4857752E"/>
    <w:rsid w:val="487AF309"/>
    <w:rsid w:val="49BD2542"/>
    <w:rsid w:val="49CF5F79"/>
    <w:rsid w:val="4B491730"/>
    <w:rsid w:val="4C2DAF70"/>
    <w:rsid w:val="4EFE6D53"/>
    <w:rsid w:val="4FA9498A"/>
    <w:rsid w:val="5520B6F3"/>
    <w:rsid w:val="5632377C"/>
    <w:rsid w:val="5BD5FB4F"/>
    <w:rsid w:val="5C1BD357"/>
    <w:rsid w:val="5CF069BF"/>
    <w:rsid w:val="5D393B01"/>
    <w:rsid w:val="5E42FB41"/>
    <w:rsid w:val="5EB64CD6"/>
    <w:rsid w:val="5F16D796"/>
    <w:rsid w:val="619BB341"/>
    <w:rsid w:val="63607D96"/>
    <w:rsid w:val="66DF9837"/>
    <w:rsid w:val="6777DA48"/>
    <w:rsid w:val="6BEFBB3F"/>
    <w:rsid w:val="6E77EBDE"/>
    <w:rsid w:val="711D2169"/>
    <w:rsid w:val="719D8657"/>
    <w:rsid w:val="724296E7"/>
    <w:rsid w:val="724A0ECE"/>
    <w:rsid w:val="727DB34C"/>
    <w:rsid w:val="733F7F59"/>
    <w:rsid w:val="76B36C3B"/>
    <w:rsid w:val="791E1317"/>
    <w:rsid w:val="7B4D235F"/>
    <w:rsid w:val="7DB63FB0"/>
    <w:rsid w:val="7FC25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801D4"/>
  <w15:chartTrackingRefBased/>
  <w15:docId w15:val="{0FAF7F4D-D7BC-46CA-A7DA-1826BC1A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BF5004"/>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BF50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BF50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BF50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BF50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BF5004"/>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BF5004"/>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F5004"/>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F5004"/>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F5004"/>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BF50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BF50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BF500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BF5004"/>
    <w:rPr>
      <w:i/>
      <w:iCs/>
      <w:color w:val="404040" w:themeColor="text1" w:themeTint="BF"/>
      <w:sz w:val="24"/>
      <w:szCs w:val="24"/>
    </w:rPr>
  </w:style>
  <w:style w:type="paragraph" w:styleId="ListParagraph">
    <w:name w:val="List Paragraph"/>
    <w:basedOn w:val="Normal"/>
    <w:uiPriority w:val="34"/>
    <w:semiHidden/>
    <w:qFormat/>
    <w:rsid w:val="00BF5004"/>
    <w:pPr>
      <w:ind w:left="720"/>
      <w:contextualSpacing/>
    </w:pPr>
  </w:style>
  <w:style w:type="character" w:styleId="IntenseEmphasis">
    <w:name w:val="Intense Emphasis"/>
    <w:basedOn w:val="DefaultParagraphFont"/>
    <w:uiPriority w:val="21"/>
    <w:semiHidden/>
    <w:qFormat/>
    <w:rsid w:val="00BF5004"/>
    <w:rPr>
      <w:i/>
      <w:iCs/>
      <w:color w:val="195F70" w:themeColor="accent1" w:themeShade="BF"/>
    </w:rPr>
  </w:style>
  <w:style w:type="paragraph" w:styleId="IntenseQuote">
    <w:name w:val="Intense Quote"/>
    <w:basedOn w:val="Normal"/>
    <w:next w:val="Normal"/>
    <w:link w:val="IntenseQuoteChar"/>
    <w:uiPriority w:val="30"/>
    <w:semiHidden/>
    <w:qFormat/>
    <w:rsid w:val="00BF5004"/>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BF5004"/>
    <w:rPr>
      <w:i/>
      <w:iCs/>
      <w:color w:val="195F70" w:themeColor="accent1" w:themeShade="BF"/>
      <w:sz w:val="24"/>
      <w:szCs w:val="24"/>
    </w:rPr>
  </w:style>
  <w:style w:type="character" w:styleId="IntenseReference">
    <w:name w:val="Intense Reference"/>
    <w:basedOn w:val="DefaultParagraphFont"/>
    <w:uiPriority w:val="32"/>
    <w:semiHidden/>
    <w:qFormat/>
    <w:rsid w:val="00BF5004"/>
    <w:rPr>
      <w:b/>
      <w:bCs/>
      <w:smallCaps/>
      <w:color w:val="195F70" w:themeColor="accent1" w:themeShade="BF"/>
      <w:spacing w:val="5"/>
    </w:rPr>
  </w:style>
  <w:style w:type="character" w:styleId="UnresolvedMention">
    <w:name w:val="Unresolved Mention"/>
    <w:basedOn w:val="DefaultParagraphFont"/>
    <w:uiPriority w:val="99"/>
    <w:semiHidden/>
    <w:unhideWhenUsed/>
    <w:rsid w:val="00FD16B0"/>
    <w:rPr>
      <w:color w:val="605E5C"/>
      <w:shd w:val="clear" w:color="auto" w:fill="E1DFDD"/>
    </w:rPr>
  </w:style>
  <w:style w:type="paragraph" w:styleId="Revision">
    <w:name w:val="Revision"/>
    <w:hidden/>
    <w:uiPriority w:val="99"/>
    <w:semiHidden/>
    <w:rsid w:val="00825745"/>
    <w:rPr>
      <w:sz w:val="24"/>
      <w:szCs w:val="24"/>
    </w:rPr>
  </w:style>
  <w:style w:type="character" w:styleId="Mention">
    <w:name w:val="Mention"/>
    <w:basedOn w:val="DefaultParagraphFont"/>
    <w:uiPriority w:val="99"/>
    <w:unhideWhenUsed/>
    <w:rsid w:val="000F18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3510">
      <w:bodyDiv w:val="1"/>
      <w:marLeft w:val="0"/>
      <w:marRight w:val="0"/>
      <w:marTop w:val="0"/>
      <w:marBottom w:val="0"/>
      <w:divBdr>
        <w:top w:val="none" w:sz="0" w:space="0" w:color="auto"/>
        <w:left w:val="none" w:sz="0" w:space="0" w:color="auto"/>
        <w:bottom w:val="none" w:sz="0" w:space="0" w:color="auto"/>
        <w:right w:val="none" w:sz="0" w:space="0" w:color="auto"/>
      </w:divBdr>
    </w:div>
    <w:div w:id="331958961">
      <w:bodyDiv w:val="1"/>
      <w:marLeft w:val="0"/>
      <w:marRight w:val="0"/>
      <w:marTop w:val="0"/>
      <w:marBottom w:val="0"/>
      <w:divBdr>
        <w:top w:val="none" w:sz="0" w:space="0" w:color="auto"/>
        <w:left w:val="none" w:sz="0" w:space="0" w:color="auto"/>
        <w:bottom w:val="none" w:sz="0" w:space="0" w:color="auto"/>
        <w:right w:val="none" w:sz="0" w:space="0" w:color="auto"/>
      </w:divBdr>
    </w:div>
    <w:div w:id="480584941">
      <w:bodyDiv w:val="1"/>
      <w:marLeft w:val="0"/>
      <w:marRight w:val="0"/>
      <w:marTop w:val="0"/>
      <w:marBottom w:val="0"/>
      <w:divBdr>
        <w:top w:val="none" w:sz="0" w:space="0" w:color="auto"/>
        <w:left w:val="none" w:sz="0" w:space="0" w:color="auto"/>
        <w:bottom w:val="none" w:sz="0" w:space="0" w:color="auto"/>
        <w:right w:val="none" w:sz="0" w:space="0" w:color="auto"/>
      </w:divBdr>
    </w:div>
    <w:div w:id="1854495217">
      <w:bodyDiv w:val="1"/>
      <w:marLeft w:val="0"/>
      <w:marRight w:val="0"/>
      <w:marTop w:val="0"/>
      <w:marBottom w:val="0"/>
      <w:divBdr>
        <w:top w:val="none" w:sz="0" w:space="0" w:color="auto"/>
        <w:left w:val="none" w:sz="0" w:space="0" w:color="auto"/>
        <w:bottom w:val="none" w:sz="0" w:space="0" w:color="auto"/>
        <w:right w:val="none" w:sz="0" w:space="0" w:color="auto"/>
      </w:divBdr>
    </w:div>
    <w:div w:id="21057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gid-hte10041/documents/final-scop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gid-hte10041/documents/final-scop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nicaltrials.gov/study/NCT01036438?term=NCT01036438&amp;rank=1" TargetMode="External"/><Relationship Id="rId5" Type="http://schemas.openxmlformats.org/officeDocument/2006/relationships/numbering" Target="numbering.xml"/><Relationship Id="rId15" Type="http://schemas.openxmlformats.org/officeDocument/2006/relationships/hyperlink" Target="https://woundinfection-institute.com/wp-content/uploads/IWII-CD-2022-web-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indevelopment/gid-pmg10004/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BD5C83FFC24C44A61FB291CE91067F" ma:contentTypeVersion="16" ma:contentTypeDescription="Create a new document." ma:contentTypeScope="" ma:versionID="8acb8d49c746db78577d4ed2fb00c564">
  <xsd:schema xmlns:xsd="http://www.w3.org/2001/XMLSchema" xmlns:xs="http://www.w3.org/2001/XMLSchema" xmlns:p="http://schemas.microsoft.com/office/2006/metadata/properties" xmlns:ns2="2024da4e-11a2-4563-898f-1702474d2e41" xmlns:ns3="28deb633-f993-4b62-a79b-691b90b28aad" xmlns:ns4="0eb656aa-4e79-4e95-9076-bc119a23e0cc" targetNamespace="http://schemas.microsoft.com/office/2006/metadata/properties" ma:root="true" ma:fieldsID="ecc34190303b26f082a633d81ab9d0ee" ns2:_="" ns3:_="" ns4:_="">
    <xsd:import namespace="2024da4e-11a2-4563-898f-1702474d2e41"/>
    <xsd:import namespace="28deb633-f993-4b62-a79b-691b90b28aad"/>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Comment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da4e-11a2-4563-898f-1702474d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Comments" ma:index="19" nillable="true" ma:displayName="Comments " ma:description="Capture important actions" ma:format="Dropdown" ma:internalName="Comments">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deb633-f993-4b62-a79b-691b90b28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70ef74-f744-4b2d-9a52-a0939562cb27}" ma:internalName="TaxCatchAll" ma:showField="CatchAllData" ma:web="28deb633-f993-4b62-a79b-691b90b28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2024da4e-11a2-4563-898f-1702474d2e41" xsi:nil="true"/>
    <lcf76f155ced4ddcb4097134ff3c332f xmlns="2024da4e-11a2-4563-898f-1702474d2e41">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2.xml><?xml version="1.0" encoding="utf-8"?>
<ds:datastoreItem xmlns:ds="http://schemas.openxmlformats.org/officeDocument/2006/customXml" ds:itemID="{5CE796E3-5105-4A53-8F1F-0258CB4B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da4e-11a2-4563-898f-1702474d2e41"/>
    <ds:schemaRef ds:uri="28deb633-f993-4b62-a79b-691b90b28aad"/>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75E36-B2EB-4A0B-9EED-0538028ED663}">
  <ds:schemaRefs>
    <ds:schemaRef ds:uri="http://schemas.microsoft.com/sharepoint/v3/contenttype/forms"/>
  </ds:schemaRefs>
</ds:datastoreItem>
</file>

<file path=customXml/itemProps4.xml><?xml version="1.0" encoding="utf-8"?>
<ds:datastoreItem xmlns:ds="http://schemas.openxmlformats.org/officeDocument/2006/customXml" ds:itemID="{6BEF0647-BADB-4D46-B9DD-1F37668BB35C}">
  <ds:schemaRefs>
    <ds:schemaRef ds:uri="http://schemas.microsoft.com/office/2006/metadata/properties"/>
    <ds:schemaRef ds:uri="http://schemas.microsoft.com/office/infopath/2007/PartnerControls"/>
    <ds:schemaRef ds:uri="2024da4e-11a2-4563-898f-1702474d2e41"/>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141</Pages>
  <Words>30521</Words>
  <Characters>173973</Characters>
  <Application>Microsoft Office Word</Application>
  <DocSecurity>0</DocSecurity>
  <Lines>1449</Lines>
  <Paragraphs>408</Paragraphs>
  <ScaleCrop>false</ScaleCrop>
  <Company/>
  <LinksUpToDate>false</LinksUpToDate>
  <CharactersWithSpaces>204086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Jones</dc:creator>
  <cp:keywords/>
  <dc:description/>
  <cp:lastModifiedBy>Evan Campbell</cp:lastModifiedBy>
  <cp:revision>57</cp:revision>
  <dcterms:created xsi:type="dcterms:W3CDTF">2025-04-11T10:06:00Z</dcterms:created>
  <dcterms:modified xsi:type="dcterms:W3CDTF">2025-04-22T10:40:00Z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2024-11-27T16:08:09Z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17a93f6a-436d-43db-8f54-715c6775a202</vt:lpwstr>
  </property>
  <property fmtid="{D5CDD505-2E9C-101B-9397-08002B2CF9AE}" pid="8" name="MSIP_Label_c69d85d5-6d9e-4305-a294-1f636ec0f2d6_ContentBits">
    <vt:lpwstr>0</vt:lpwstr>
  </property>
  <property fmtid="{D5CDD505-2E9C-101B-9397-08002B2CF9AE}" pid="9" name="ContentTypeId">
    <vt:lpwstr>0x0101008ABD5C83FFC24C44A61FB291CE91067F</vt:lpwstr>
  </property>
  <property fmtid="{D5CDD505-2E9C-101B-9397-08002B2CF9AE}" pid="10" name="MediaServiceImageTags">
    <vt:lpwstr/>
  </property>
</Properties>
</file>