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2E45E" w14:textId="5F8BCDE4" w:rsidR="00604AFB" w:rsidRPr="00960D49" w:rsidDel="00703BCC" w:rsidRDefault="003B58B0" w:rsidP="00E12AEA">
      <w:pPr>
        <w:pStyle w:val="Title"/>
      </w:pPr>
      <w:r w:rsidRPr="003B58B0">
        <w:t>One-piece closed bags for colostomies: late-stage assessment</w:t>
      </w:r>
    </w:p>
    <w:p w14:paraId="0959FD08" w14:textId="24C104D4" w:rsidR="00E83833" w:rsidRPr="00DF4B62" w:rsidRDefault="00445DE0" w:rsidP="00567C99">
      <w:pPr>
        <w:pStyle w:val="Guidanceissuedate"/>
      </w:pPr>
      <w:r>
        <w:t>10 July</w:t>
      </w:r>
      <w:r w:rsidR="00DF4B62">
        <w:t xml:space="preserve"> 2025</w:t>
      </w:r>
    </w:p>
    <w:p w14:paraId="71F38A1C" w14:textId="398A4A87" w:rsidR="00B83E3E" w:rsidRDefault="00B83E3E" w:rsidP="00BE61F6">
      <w:pPr>
        <w:pStyle w:val="Heading1"/>
      </w:pPr>
      <w:r>
        <w:t>Resource impact summary report</w:t>
      </w:r>
    </w:p>
    <w:p w14:paraId="2F30B84B" w14:textId="79FA7617" w:rsidR="00E27A94" w:rsidRDefault="00B83E3E" w:rsidP="00BE61F6">
      <w:pPr>
        <w:pStyle w:val="Heading2"/>
      </w:pPr>
      <w:r w:rsidRPr="00B83E3E">
        <w:t>Recommendation</w:t>
      </w:r>
      <w:r>
        <w:t>s</w:t>
      </w:r>
    </w:p>
    <w:p w14:paraId="44EF4C9E" w14:textId="77777777" w:rsidR="000A4C43" w:rsidRPr="00F4325E" w:rsidRDefault="000A4C43" w:rsidP="00E77DEB">
      <w:pPr>
        <w:pStyle w:val="NICEnormal"/>
      </w:pPr>
      <w:r w:rsidRPr="000A4C43">
        <w:t>NICE has recommended that:</w:t>
      </w:r>
    </w:p>
    <w:p w14:paraId="61751790" w14:textId="6985EB74" w:rsidR="000A4C43" w:rsidRPr="000A4C43" w:rsidRDefault="000A4C43" w:rsidP="00E12AEA">
      <w:pPr>
        <w:pStyle w:val="Bulletleft1"/>
      </w:pPr>
      <w:r w:rsidRPr="000A4C43">
        <w:t>There is not enough evidence to determine whether price variation is justified between different one-piece closed bags for adults with a colostomy.</w:t>
      </w:r>
    </w:p>
    <w:p w14:paraId="6415EBD7" w14:textId="11668071" w:rsidR="000A4C43" w:rsidRPr="000A4C43" w:rsidRDefault="000A4C43" w:rsidP="00E12AEA">
      <w:pPr>
        <w:pStyle w:val="Bulletleft1"/>
      </w:pPr>
      <w:r w:rsidRPr="000A4C43">
        <w:t xml:space="preserve">Stoma care services should have access to </w:t>
      </w:r>
      <w:r w:rsidR="00F4325E">
        <w:t>a broad</w:t>
      </w:r>
      <w:r w:rsidRPr="000A4C43">
        <w:t xml:space="preserve"> range of one-piece closed bags available for prescription in the NHS, so that adults with a colostomy can have the most appropriate bag for them.</w:t>
      </w:r>
    </w:p>
    <w:p w14:paraId="1DC30A12" w14:textId="245A3603" w:rsidR="000A4C43" w:rsidRDefault="000A4C43" w:rsidP="000A4C43">
      <w:pPr>
        <w:pStyle w:val="Bulletleft1"/>
      </w:pPr>
      <w:r w:rsidRPr="000A4C43">
        <w:t xml:space="preserve">A healthcare professional and the person with a colostomy should decide together which one-piece closed bag to use. Decisions should </w:t>
      </w:r>
      <w:proofErr w:type="gramStart"/>
      <w:r w:rsidRPr="000A4C43">
        <w:t>take into account</w:t>
      </w:r>
      <w:proofErr w:type="gramEnd"/>
      <w:r w:rsidRPr="000A4C43">
        <w:t xml:space="preserve"> clinical appropriateness and the person with a colostomy’s needs and preferences (including preventing leakage, seepage and peristomal skin complications), which may change over time.</w:t>
      </w:r>
    </w:p>
    <w:p w14:paraId="02B8C829" w14:textId="01769A0D" w:rsidR="004B6AA2" w:rsidRPr="00B83E3E" w:rsidRDefault="000A4C43" w:rsidP="00E12AEA">
      <w:pPr>
        <w:pStyle w:val="Bulletleft1"/>
      </w:pPr>
      <w:r w:rsidRPr="000A4C43">
        <w:t>If more than 1 one-piece closed bag is clinically appropriate and meets the needs and preferences of the person with a colostomy, use the least expensive option.</w:t>
      </w:r>
    </w:p>
    <w:p w14:paraId="1E950166" w14:textId="29FC92F6" w:rsidR="00110869" w:rsidRDefault="00DE0BB6" w:rsidP="00BE61F6">
      <w:pPr>
        <w:pStyle w:val="Heading2"/>
      </w:pPr>
      <w:r>
        <w:t>Eligible p</w:t>
      </w:r>
      <w:r w:rsidR="000A75AF">
        <w:t>opulation</w:t>
      </w:r>
    </w:p>
    <w:p w14:paraId="084E3173" w14:textId="5153DF71" w:rsidR="00590F55" w:rsidRDefault="00590F55" w:rsidP="00590F55">
      <w:pPr>
        <w:pStyle w:val="NICEnormal"/>
      </w:pPr>
      <w:r>
        <w:t xml:space="preserve">It is estimated that there are between 176,000 and 205,000 people in the UK, equivalent to between 148,700 and 173,200 people in England, living with any type of stoma. It is also estimated that between 13,500 </w:t>
      </w:r>
      <w:r w:rsidR="00492177">
        <w:t>and</w:t>
      </w:r>
      <w:r>
        <w:t xml:space="preserve"> 21,000 people have stoma surgery each year (</w:t>
      </w:r>
      <w:hyperlink r:id="rId8" w:history="1">
        <w:r w:rsidRPr="00806098">
          <w:rPr>
            <w:rStyle w:val="Hyperlink"/>
          </w:rPr>
          <w:t>Osborne</w:t>
        </w:r>
        <w:r w:rsidR="00F4325E">
          <w:rPr>
            <w:rStyle w:val="Hyperlink"/>
          </w:rPr>
          <w:t xml:space="preserve"> et al.</w:t>
        </w:r>
        <w:r w:rsidRPr="00806098">
          <w:rPr>
            <w:rStyle w:val="Hyperlink"/>
          </w:rPr>
          <w:t xml:space="preserve"> 2022</w:t>
        </w:r>
      </w:hyperlink>
      <w:r>
        <w:t>).</w:t>
      </w:r>
    </w:p>
    <w:p w14:paraId="34EF0CE6" w14:textId="09898BDB" w:rsidR="00852B0A" w:rsidRPr="00B83E3E" w:rsidRDefault="00590F55" w:rsidP="00590F55">
      <w:pPr>
        <w:pStyle w:val="NICEnormal"/>
      </w:pPr>
      <w:r>
        <w:t xml:space="preserve">One-piece closed bags are typically used by people with a colostomy, but they can also be used by people with an ileostomy. The exact number of people </w:t>
      </w:r>
      <w:r w:rsidR="00F4325E">
        <w:t xml:space="preserve">who </w:t>
      </w:r>
      <w:r>
        <w:t>use one</w:t>
      </w:r>
      <w:r w:rsidR="00F4325E">
        <w:t>-</w:t>
      </w:r>
      <w:r>
        <w:t>piece closed bags is unknown.</w:t>
      </w:r>
    </w:p>
    <w:p w14:paraId="03A5650A" w14:textId="7CC703A8" w:rsidR="004E0844" w:rsidRDefault="00DC4D38" w:rsidP="00BB7345">
      <w:pPr>
        <w:pStyle w:val="Heading2"/>
      </w:pPr>
      <w:r w:rsidRPr="00506E84">
        <w:lastRenderedPageBreak/>
        <w:t>T</w:t>
      </w:r>
      <w:r w:rsidR="00BC368E" w:rsidRPr="00506E84">
        <w:t>reatment options</w:t>
      </w:r>
    </w:p>
    <w:p w14:paraId="2CDB6AE6" w14:textId="44684B90" w:rsidR="00FA0C8C" w:rsidRDefault="00D701F7" w:rsidP="00E12AEA">
      <w:pPr>
        <w:pStyle w:val="NICEnormal"/>
      </w:pPr>
      <w:r w:rsidRPr="00D701F7">
        <w:t xml:space="preserve">After surgery, people with a colostomy get their bags and other stoma supplies </w:t>
      </w:r>
      <w:r w:rsidR="00F4325E">
        <w:t>through</w:t>
      </w:r>
      <w:r w:rsidR="00F4325E" w:rsidRPr="00D701F7">
        <w:t xml:space="preserve"> </w:t>
      </w:r>
      <w:r w:rsidRPr="00D701F7">
        <w:t>prescription from local dispensing appliance contractors (DACs) or community pharmacies. The choice of one-piece closed bag should be based on clinical appropriateness and the needs and preferences of the person with a colostomy.</w:t>
      </w:r>
    </w:p>
    <w:p w14:paraId="6F280360" w14:textId="4F0ED61E" w:rsidR="004C32B0" w:rsidRDefault="004C32B0" w:rsidP="004C32B0">
      <w:pPr>
        <w:pStyle w:val="NICEnormal"/>
      </w:pPr>
      <w:r>
        <w:t>Over 80% of hospitals in England have a formal sponsorship agreement (awarded by an NHS tender process) with stoma appliance suppliers or manufacturers. These agreements may include funding for clinical nurse specialists in stoma care, training, IT equipment and administration support. In the East of England it was reported that, for 12 out of 13 hospitals with formal sponsorship agreements, the sponsor was the market leader in product use (</w:t>
      </w:r>
      <w:r w:rsidR="00F4325E">
        <w:t xml:space="preserve">see the </w:t>
      </w:r>
      <w:hyperlink r:id="rId9" w:history="1">
        <w:proofErr w:type="spellStart"/>
        <w:r w:rsidRPr="00C36DEE">
          <w:rPr>
            <w:rStyle w:val="Hyperlink"/>
          </w:rPr>
          <w:t>StoMap</w:t>
        </w:r>
        <w:proofErr w:type="spellEnd"/>
        <w:r w:rsidRPr="00C36DEE">
          <w:rPr>
            <w:rStyle w:val="Hyperlink"/>
          </w:rPr>
          <w:t xml:space="preserve"> Programme Baseline Report 2019</w:t>
        </w:r>
      </w:hyperlink>
      <w:r>
        <w:t>).</w:t>
      </w:r>
    </w:p>
    <w:p w14:paraId="62661DFC" w14:textId="75BC23EC" w:rsidR="004C32B0" w:rsidRPr="00956A9A" w:rsidRDefault="004C32B0" w:rsidP="00E12AEA">
      <w:pPr>
        <w:pStyle w:val="NICEnormal"/>
      </w:pPr>
      <w:hyperlink r:id="rId10" w:history="1">
        <w:r w:rsidRPr="002B464E">
          <w:rPr>
            <w:rStyle w:val="Hyperlink"/>
          </w:rPr>
          <w:t xml:space="preserve">NHS England’s commissioned report </w:t>
        </w:r>
        <w:r w:rsidRPr="00F4325E">
          <w:rPr>
            <w:rStyle w:val="Hyperlink"/>
          </w:rPr>
          <w:t>Delivering Excellence in Stoma Care (2020</w:t>
        </w:r>
      </w:hyperlink>
      <w:r w:rsidR="00F4325E">
        <w:t xml:space="preserve">; PDF only) </w:t>
      </w:r>
      <w:r>
        <w:t xml:space="preserve">highlights that clinical nurse specialists in stoma care operate independently of the sponsoring company </w:t>
      </w:r>
      <w:r w:rsidRPr="00467D16">
        <w:t>and may recommend competitor products. But it also notes that they may receive training on sponsored products and be most familiar with bags from the sponsoring company</w:t>
      </w:r>
      <w:r>
        <w:t>. This can result in users being given sponsored products on discharge and continuing to use these products in the community, potentially impacting user choice.</w:t>
      </w:r>
    </w:p>
    <w:p w14:paraId="63292882" w14:textId="51BAB530" w:rsidR="004C1EA9" w:rsidRPr="00AE5363" w:rsidRDefault="004C1EA9" w:rsidP="00BE61F6">
      <w:pPr>
        <w:pStyle w:val="Heading2"/>
      </w:pPr>
      <w:r w:rsidRPr="00AE5363">
        <w:t>Financial r</w:t>
      </w:r>
      <w:r w:rsidR="00360877" w:rsidRPr="00AE5363">
        <w:t xml:space="preserve">esource </w:t>
      </w:r>
      <w:r w:rsidRPr="00AE5363">
        <w:t>impact</w:t>
      </w:r>
      <w:r w:rsidR="00295089" w:rsidRPr="00AE5363">
        <w:t xml:space="preserve"> (cash items)</w:t>
      </w:r>
    </w:p>
    <w:p w14:paraId="0AD0A8C7" w14:textId="4DBB02CE" w:rsidR="008C2E59" w:rsidRDefault="008C2E59" w:rsidP="008C2E59">
      <w:pPr>
        <w:pStyle w:val="NICEnormal"/>
      </w:pPr>
      <w:r>
        <w:t>The price</w:t>
      </w:r>
      <w:r w:rsidR="00577303">
        <w:t>s</w:t>
      </w:r>
      <w:r>
        <w:t xml:space="preserve"> of one-piece closed bags prescribed in primary care are based on the </w:t>
      </w:r>
      <w:hyperlink r:id="rId11" w:history="1">
        <w:r w:rsidRPr="00DE4D51">
          <w:rPr>
            <w:rStyle w:val="Hyperlink"/>
          </w:rPr>
          <w:t>NHS Drug Tariff Part</w:t>
        </w:r>
        <w:r w:rsidR="002B464E">
          <w:rPr>
            <w:rStyle w:val="Hyperlink"/>
          </w:rPr>
          <w:t> </w:t>
        </w:r>
        <w:r w:rsidRPr="00DE4D51">
          <w:rPr>
            <w:rStyle w:val="Hyperlink"/>
          </w:rPr>
          <w:t>IX</w:t>
        </w:r>
      </w:hyperlink>
      <w:r>
        <w:t>. Prices vary across different suppliers and ranges of bags.</w:t>
      </w:r>
    </w:p>
    <w:p w14:paraId="49AB2105" w14:textId="0CAFF3A5" w:rsidR="009F4145" w:rsidRDefault="008C2E59" w:rsidP="008C2E59">
      <w:pPr>
        <w:pStyle w:val="NICEnormal"/>
      </w:pPr>
      <w:r>
        <w:t xml:space="preserve">Using the least expensive bag if more than 1 bag is clinically appropriate and meets </w:t>
      </w:r>
      <w:r w:rsidR="002B464E">
        <w:t xml:space="preserve">the </w:t>
      </w:r>
      <w:r>
        <w:t xml:space="preserve">needs </w:t>
      </w:r>
      <w:r w:rsidR="002B464E">
        <w:t xml:space="preserve">and preferences </w:t>
      </w:r>
      <w:r>
        <w:t xml:space="preserve">of the user may lead to cost savings. </w:t>
      </w:r>
      <w:r w:rsidR="002B464E">
        <w:t xml:space="preserve">But </w:t>
      </w:r>
      <w:r>
        <w:t>potential savings are uncertain and would depend on local prescribing practice.</w:t>
      </w:r>
    </w:p>
    <w:p w14:paraId="01E79CFC" w14:textId="30BDAF8B" w:rsidR="008C2E59" w:rsidRDefault="008C2E59" w:rsidP="008C2E59">
      <w:pPr>
        <w:pStyle w:val="NICEnormal"/>
      </w:pPr>
      <w:r>
        <w:t xml:space="preserve">Prescribing practice can be based on </w:t>
      </w:r>
      <w:proofErr w:type="gramStart"/>
      <w:r>
        <w:t>a number of</w:t>
      </w:r>
      <w:proofErr w:type="gramEnd"/>
      <w:r>
        <w:t xml:space="preserve"> factors including clinical appropriateness, a person's needs and preference</w:t>
      </w:r>
      <w:r w:rsidR="002B464E">
        <w:t>s</w:t>
      </w:r>
      <w:r>
        <w:t xml:space="preserve"> (which can change over time)</w:t>
      </w:r>
      <w:r w:rsidR="002B464E">
        <w:t xml:space="preserve">, </w:t>
      </w:r>
      <w:r>
        <w:t xml:space="preserve">volumes prescribed and company sponsorship influence, where agreements are in place. Savings would also be dependent on clinical practice to minimise complications and </w:t>
      </w:r>
      <w:r w:rsidR="002B464E">
        <w:t xml:space="preserve">the </w:t>
      </w:r>
      <w:r>
        <w:t>number of supporting products needed.</w:t>
      </w:r>
    </w:p>
    <w:p w14:paraId="5484201F" w14:textId="77777777" w:rsidR="00CF0DA3" w:rsidRDefault="00CF0DA3" w:rsidP="00BE61F6">
      <w:pPr>
        <w:pStyle w:val="Heading2"/>
      </w:pPr>
      <w:r>
        <w:lastRenderedPageBreak/>
        <w:t xml:space="preserve">Key </w:t>
      </w:r>
      <w:r w:rsidRPr="00F4565A">
        <w:t>information</w:t>
      </w:r>
    </w:p>
    <w:p w14:paraId="6DB37C8F" w14:textId="3159E2BB" w:rsidR="00BC1AFE" w:rsidRPr="00BC1AFE" w:rsidRDefault="00BC1AFE" w:rsidP="00F4565A">
      <w:pPr>
        <w:pStyle w:val="Caption"/>
      </w:pPr>
      <w:r>
        <w:t xml:space="preserve">Table </w:t>
      </w:r>
      <w:r w:rsidR="00514BD1">
        <w:t>1</w:t>
      </w:r>
      <w:r w:rsidR="00CF05A5">
        <w:t xml:space="preserve"> </w:t>
      </w:r>
      <w:r>
        <w:t>Key information</w:t>
      </w:r>
    </w:p>
    <w:tbl>
      <w:tblPr>
        <w:tblStyle w:val="TableGridLight"/>
        <w:tblW w:w="8781" w:type="dxa"/>
        <w:tblLook w:val="04A0" w:firstRow="1" w:lastRow="0" w:firstColumn="1" w:lastColumn="0" w:noHBand="0" w:noVBand="1"/>
        <w:tblCaption w:val="Table 1 Key information"/>
        <w:tblDescription w:val="This table shows key information about the resource impact for the technology, including time from publication to routine commissioning funding, programme budgeting category, commissioners, providers, and pathway position."/>
      </w:tblPr>
      <w:tblGrid>
        <w:gridCol w:w="3256"/>
        <w:gridCol w:w="5525"/>
      </w:tblGrid>
      <w:tr w:rsidR="00E12AEA" w14:paraId="2B78DED5" w14:textId="77777777" w:rsidTr="00104CBD">
        <w:tc>
          <w:tcPr>
            <w:tcW w:w="3256" w:type="dxa"/>
          </w:tcPr>
          <w:p w14:paraId="03C5D0E6" w14:textId="77777777" w:rsidR="00E12AEA" w:rsidRDefault="00E12AEA" w:rsidP="0066611A">
            <w:pPr>
              <w:pStyle w:val="Tableheading"/>
            </w:pPr>
            <w:r>
              <w:t>Speciality area</w:t>
            </w:r>
          </w:p>
        </w:tc>
        <w:tc>
          <w:tcPr>
            <w:tcW w:w="5525" w:type="dxa"/>
          </w:tcPr>
          <w:p w14:paraId="56EBB483" w14:textId="77777777" w:rsidR="00E12AEA" w:rsidRPr="00477F03" w:rsidRDefault="00E12AEA" w:rsidP="0066611A">
            <w:pPr>
              <w:pStyle w:val="Tabletext"/>
            </w:pPr>
            <w:r>
              <w:t>Gastroenterology</w:t>
            </w:r>
          </w:p>
        </w:tc>
      </w:tr>
      <w:tr w:rsidR="00E12AEA" w14:paraId="535F0720" w14:textId="77777777" w:rsidTr="00104CBD">
        <w:tc>
          <w:tcPr>
            <w:tcW w:w="3256" w:type="dxa"/>
          </w:tcPr>
          <w:p w14:paraId="570951AB" w14:textId="77777777" w:rsidR="00E12AEA" w:rsidRDefault="00E12AEA" w:rsidP="0066611A">
            <w:pPr>
              <w:pStyle w:val="Tableheading"/>
            </w:pPr>
            <w:r>
              <w:t>Disease area</w:t>
            </w:r>
          </w:p>
        </w:tc>
        <w:tc>
          <w:tcPr>
            <w:tcW w:w="5525" w:type="dxa"/>
          </w:tcPr>
          <w:p w14:paraId="1B8EE11E" w14:textId="77777777" w:rsidR="00E12AEA" w:rsidRPr="00477F03" w:rsidRDefault="00E12AEA" w:rsidP="0066611A">
            <w:pPr>
              <w:pStyle w:val="Tabletext"/>
            </w:pPr>
            <w:r>
              <w:t>Colostomy</w:t>
            </w:r>
          </w:p>
        </w:tc>
      </w:tr>
      <w:tr w:rsidR="00E12AEA" w14:paraId="03AA38E8" w14:textId="77777777" w:rsidTr="00104CBD">
        <w:tc>
          <w:tcPr>
            <w:tcW w:w="3256" w:type="dxa"/>
          </w:tcPr>
          <w:p w14:paraId="7FA13E8C" w14:textId="77777777" w:rsidR="00E12AEA" w:rsidRDefault="00E12AEA" w:rsidP="0066611A">
            <w:pPr>
              <w:pStyle w:val="Tableheading"/>
            </w:pPr>
            <w:r>
              <w:t>Programme budgeting category</w:t>
            </w:r>
          </w:p>
        </w:tc>
        <w:tc>
          <w:tcPr>
            <w:tcW w:w="5525" w:type="dxa"/>
          </w:tcPr>
          <w:p w14:paraId="67E97E96" w14:textId="77777777" w:rsidR="00E12AEA" w:rsidRPr="00477F03" w:rsidRDefault="00E12AEA" w:rsidP="0066611A">
            <w:pPr>
              <w:pStyle w:val="Tabletext"/>
            </w:pPr>
            <w:r>
              <w:t>PBC 13B – Lower GI</w:t>
            </w:r>
          </w:p>
        </w:tc>
      </w:tr>
      <w:tr w:rsidR="00E12AEA" w14:paraId="3EC0F9FD" w14:textId="77777777" w:rsidTr="00104CBD">
        <w:trPr>
          <w:trHeight w:val="400"/>
        </w:trPr>
        <w:tc>
          <w:tcPr>
            <w:tcW w:w="3256" w:type="dxa"/>
          </w:tcPr>
          <w:p w14:paraId="3455CBC9" w14:textId="77777777" w:rsidR="00E12AEA" w:rsidRDefault="00E12AEA" w:rsidP="0066611A">
            <w:pPr>
              <w:pStyle w:val="Tableheading"/>
            </w:pPr>
            <w:r>
              <w:t>Pathway position</w:t>
            </w:r>
          </w:p>
        </w:tc>
        <w:tc>
          <w:tcPr>
            <w:tcW w:w="5525" w:type="dxa"/>
          </w:tcPr>
          <w:p w14:paraId="5A77BE00" w14:textId="77777777" w:rsidR="00E12AEA" w:rsidRDefault="00E12AEA" w:rsidP="0066611A">
            <w:pPr>
              <w:pStyle w:val="Tabletext"/>
            </w:pPr>
            <w:r>
              <w:t>Primary and community care</w:t>
            </w:r>
          </w:p>
        </w:tc>
      </w:tr>
      <w:tr w:rsidR="00E12AEA" w14:paraId="500FE990" w14:textId="77777777" w:rsidTr="00104CBD">
        <w:tc>
          <w:tcPr>
            <w:tcW w:w="3256" w:type="dxa"/>
          </w:tcPr>
          <w:p w14:paraId="0C433FA5" w14:textId="77777777" w:rsidR="00E12AEA" w:rsidRDefault="00E12AEA" w:rsidP="0066611A">
            <w:pPr>
              <w:pStyle w:val="Tableheading"/>
            </w:pPr>
            <w:r>
              <w:t>Commissioner(s)</w:t>
            </w:r>
          </w:p>
        </w:tc>
        <w:tc>
          <w:tcPr>
            <w:tcW w:w="5525" w:type="dxa"/>
          </w:tcPr>
          <w:p w14:paraId="0AED6387" w14:textId="77777777" w:rsidR="00E12AEA" w:rsidRPr="00477F03" w:rsidRDefault="00E12AEA" w:rsidP="0066611A">
            <w:pPr>
              <w:pStyle w:val="Tabletext"/>
            </w:pPr>
            <w:r>
              <w:t>Integrated care boards</w:t>
            </w:r>
          </w:p>
        </w:tc>
      </w:tr>
      <w:tr w:rsidR="00E12AEA" w14:paraId="6C848A25" w14:textId="77777777" w:rsidTr="00104CBD">
        <w:tc>
          <w:tcPr>
            <w:tcW w:w="3256" w:type="dxa"/>
          </w:tcPr>
          <w:p w14:paraId="0D802A02" w14:textId="77777777" w:rsidR="00E12AEA" w:rsidRDefault="00E12AEA" w:rsidP="0066611A">
            <w:pPr>
              <w:pStyle w:val="Tableheading"/>
            </w:pPr>
            <w:r>
              <w:t>Provider(s)</w:t>
            </w:r>
          </w:p>
        </w:tc>
        <w:tc>
          <w:tcPr>
            <w:tcW w:w="5525" w:type="dxa"/>
          </w:tcPr>
          <w:p w14:paraId="08D84966" w14:textId="78042F33" w:rsidR="00E12AEA" w:rsidRPr="00477F03" w:rsidRDefault="00E12AEA" w:rsidP="0066611A">
            <w:pPr>
              <w:pStyle w:val="Tabletext"/>
            </w:pPr>
            <w:r>
              <w:t>D</w:t>
            </w:r>
            <w:r w:rsidRPr="00E35BAD">
              <w:t>ispensing appliance contractors (DACs</w:t>
            </w:r>
            <w:r>
              <w:t>), c</w:t>
            </w:r>
            <w:r w:rsidRPr="00E35BAD">
              <w:t>ommunity pharmacies</w:t>
            </w:r>
            <w:r>
              <w:t xml:space="preserve"> and other community care settings</w:t>
            </w:r>
          </w:p>
        </w:tc>
      </w:tr>
    </w:tbl>
    <w:p w14:paraId="21E650FB" w14:textId="77777777" w:rsidR="00021BD1" w:rsidRPr="00E009D4" w:rsidRDefault="00021BD1" w:rsidP="00E009D4">
      <w:pPr>
        <w:pStyle w:val="NICEnormal"/>
      </w:pPr>
    </w:p>
    <w:p w14:paraId="36271E0D" w14:textId="4D197A31" w:rsidR="003F2C10" w:rsidRDefault="003F2C10" w:rsidP="00E12AEA">
      <w:pPr>
        <w:pStyle w:val="Heading2"/>
      </w:pPr>
      <w:r>
        <w:t xml:space="preserve">About this resource impact summary </w:t>
      </w:r>
      <w:r w:rsidRPr="006C4C02">
        <w:t>report</w:t>
      </w:r>
    </w:p>
    <w:p w14:paraId="21B5DE7A" w14:textId="04772154" w:rsidR="00D31943" w:rsidRPr="00D67639" w:rsidRDefault="000C5119" w:rsidP="00D31943">
      <w:pPr>
        <w:pStyle w:val="NICEnormal"/>
      </w:pPr>
      <w:r w:rsidRPr="000C5119">
        <w:t xml:space="preserve">This resource impact summary report accompanies the </w:t>
      </w:r>
      <w:hyperlink r:id="rId12" w:history="1">
        <w:r w:rsidR="002B464E" w:rsidRPr="002B464E">
          <w:rPr>
            <w:rStyle w:val="Hyperlink"/>
          </w:rPr>
          <w:t xml:space="preserve">NICE late-stage assessment guidance on </w:t>
        </w:r>
        <w:r w:rsidR="002B464E">
          <w:rPr>
            <w:rStyle w:val="Hyperlink"/>
          </w:rPr>
          <w:t>o</w:t>
        </w:r>
        <w:r w:rsidR="002B464E" w:rsidRPr="002B464E">
          <w:rPr>
            <w:rStyle w:val="Hyperlink"/>
          </w:rPr>
          <w:t>ne-piece closed bags for colostomies</w:t>
        </w:r>
      </w:hyperlink>
      <w:r w:rsidRPr="000C5119">
        <w:t xml:space="preserve"> and should be read with it.</w:t>
      </w:r>
    </w:p>
    <w:p w14:paraId="10633297" w14:textId="489883BA" w:rsidR="009D3DDC" w:rsidRDefault="00D31943" w:rsidP="009D3DDC">
      <w:pPr>
        <w:pStyle w:val="NICEnormal"/>
        <w:rPr>
          <w:lang w:eastAsia="en-GB"/>
        </w:rPr>
      </w:pPr>
      <w:r>
        <w:t>ISBN:</w:t>
      </w:r>
      <w:r w:rsidR="002B464E">
        <w:t xml:space="preserve"> </w:t>
      </w:r>
      <w:r w:rsidR="009D3DDC">
        <w:t>978-1-4731-7730-7</w:t>
      </w:r>
    </w:p>
    <w:p w14:paraId="15B8A29B" w14:textId="5A2B0BDC" w:rsidR="003F2C10" w:rsidRPr="00B83E3E" w:rsidRDefault="003F2C10" w:rsidP="00BE61F6">
      <w:pPr>
        <w:pStyle w:val="NICEnormal"/>
      </w:pPr>
    </w:p>
    <w:sectPr w:rsidR="003F2C10" w:rsidRPr="00B83E3E" w:rsidSect="00124C81">
      <w:pgSz w:w="11907" w:h="16840" w:code="9"/>
      <w:pgMar w:top="1247" w:right="1440" w:bottom="1247"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E7107" w14:textId="77777777" w:rsidR="000C3D4D" w:rsidRDefault="000C3D4D">
      <w:r>
        <w:separator/>
      </w:r>
    </w:p>
  </w:endnote>
  <w:endnote w:type="continuationSeparator" w:id="0">
    <w:p w14:paraId="6DAE10EB" w14:textId="77777777" w:rsidR="000C3D4D" w:rsidRDefault="000C3D4D">
      <w:r>
        <w:continuationSeparator/>
      </w:r>
    </w:p>
  </w:endnote>
  <w:endnote w:type="continuationNotice" w:id="1">
    <w:p w14:paraId="335CA360" w14:textId="77777777" w:rsidR="000C3D4D" w:rsidRDefault="000C3D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C47E6" w14:textId="77777777" w:rsidR="000C3D4D" w:rsidRDefault="000C3D4D">
      <w:r>
        <w:separator/>
      </w:r>
    </w:p>
  </w:footnote>
  <w:footnote w:type="continuationSeparator" w:id="0">
    <w:p w14:paraId="5DE6F4FC" w14:textId="77777777" w:rsidR="000C3D4D" w:rsidRDefault="000C3D4D">
      <w:r>
        <w:continuationSeparator/>
      </w:r>
    </w:p>
  </w:footnote>
  <w:footnote w:type="continuationNotice" w:id="1">
    <w:p w14:paraId="48B93F77" w14:textId="77777777" w:rsidR="000C3D4D" w:rsidRDefault="000C3D4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0FAC"/>
    <w:multiLevelType w:val="multilevel"/>
    <w:tmpl w:val="81701BD6"/>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9CC3584"/>
    <w:multiLevelType w:val="multilevel"/>
    <w:tmpl w:val="CB04EB76"/>
    <w:lvl w:ilvl="0">
      <w:start w:val="1"/>
      <w:numFmt w:val="decimal"/>
      <w:pStyle w:val="Numberedheading1"/>
      <w:lvlText w:val="%1"/>
      <w:lvlJc w:val="left"/>
      <w:pPr>
        <w:tabs>
          <w:tab w:val="num" w:pos="1134"/>
        </w:tabs>
        <w:ind w:left="1134" w:hanging="1134"/>
      </w:pPr>
      <w:rPr>
        <w:rFonts w:hint="default"/>
      </w:rPr>
    </w:lvl>
    <w:lvl w:ilvl="1">
      <w:start w:val="1"/>
      <w:numFmt w:val="decimal"/>
      <w:pStyle w:val="Numberedlevel2text"/>
      <w:lvlText w:val="%1.%2"/>
      <w:lvlJc w:val="left"/>
      <w:pPr>
        <w:tabs>
          <w:tab w:val="num" w:pos="1134"/>
        </w:tabs>
        <w:ind w:left="1134" w:hanging="1134"/>
      </w:pPr>
      <w:rPr>
        <w:rFonts w:hint="default"/>
        <w:b w:val="0"/>
        <w:bCs w:val="0"/>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9"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41B7135"/>
    <w:multiLevelType w:val="multilevel"/>
    <w:tmpl w:val="65E8D622"/>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4" w15:restartNumberingAfterBreak="0">
    <w:nsid w:val="4ABD783C"/>
    <w:multiLevelType w:val="hybridMultilevel"/>
    <w:tmpl w:val="23A0264C"/>
    <w:lvl w:ilvl="0" w:tplc="DE0CF6EA">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2"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3" w15:restartNumberingAfterBreak="0">
    <w:nsid w:val="765F6245"/>
    <w:multiLevelType w:val="hybridMultilevel"/>
    <w:tmpl w:val="8226756E"/>
    <w:lvl w:ilvl="0" w:tplc="EE7C94EE">
      <w:start w:val="1"/>
      <w:numFmt w:val="bullet"/>
      <w:pStyle w:val="Introtextbullet"/>
      <w:lvlText w:val=""/>
      <w:lvlJc w:val="left"/>
      <w:pPr>
        <w:tabs>
          <w:tab w:val="num" w:pos="567"/>
        </w:tabs>
        <w:ind w:left="567" w:hanging="567"/>
      </w:pPr>
      <w:rPr>
        <w:rFonts w:ascii="Symbol" w:hAnsi="Symbo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90969815">
    <w:abstractNumId w:val="10"/>
  </w:num>
  <w:num w:numId="2" w16cid:durableId="1655449331">
    <w:abstractNumId w:val="9"/>
  </w:num>
  <w:num w:numId="3" w16cid:durableId="40792883">
    <w:abstractNumId w:val="11"/>
  </w:num>
  <w:num w:numId="4" w16cid:durableId="2073262943">
    <w:abstractNumId w:val="3"/>
  </w:num>
  <w:num w:numId="5" w16cid:durableId="662666740">
    <w:abstractNumId w:val="20"/>
  </w:num>
  <w:num w:numId="6" w16cid:durableId="151720947">
    <w:abstractNumId w:val="7"/>
  </w:num>
  <w:num w:numId="7" w16cid:durableId="285281621">
    <w:abstractNumId w:val="14"/>
  </w:num>
  <w:num w:numId="8" w16cid:durableId="15889322">
    <w:abstractNumId w:val="17"/>
  </w:num>
  <w:num w:numId="9" w16cid:durableId="808934306">
    <w:abstractNumId w:val="5"/>
  </w:num>
  <w:num w:numId="10" w16cid:durableId="1565094532">
    <w:abstractNumId w:val="23"/>
  </w:num>
  <w:num w:numId="11" w16cid:durableId="1625817351">
    <w:abstractNumId w:val="0"/>
  </w:num>
  <w:num w:numId="12" w16cid:durableId="509023690">
    <w:abstractNumId w:val="6"/>
  </w:num>
  <w:num w:numId="13" w16cid:durableId="556162501">
    <w:abstractNumId w:val="12"/>
  </w:num>
  <w:num w:numId="14" w16cid:durableId="379595816">
    <w:abstractNumId w:val="13"/>
  </w:num>
  <w:num w:numId="15" w16cid:durableId="769813313">
    <w:abstractNumId w:val="2"/>
  </w:num>
  <w:num w:numId="16" w16cid:durableId="1620258461">
    <w:abstractNumId w:val="4"/>
  </w:num>
  <w:num w:numId="17" w16cid:durableId="2138913578">
    <w:abstractNumId w:val="1"/>
  </w:num>
  <w:num w:numId="18" w16cid:durableId="195629308">
    <w:abstractNumId w:val="22"/>
  </w:num>
  <w:num w:numId="19" w16cid:durableId="367490794">
    <w:abstractNumId w:val="8"/>
  </w:num>
  <w:num w:numId="20" w16cid:durableId="950480661">
    <w:abstractNumId w:val="19"/>
  </w:num>
  <w:num w:numId="21" w16cid:durableId="1832064918">
    <w:abstractNumId w:val="18"/>
  </w:num>
  <w:num w:numId="22" w16cid:durableId="46801806">
    <w:abstractNumId w:val="15"/>
  </w:num>
  <w:num w:numId="23" w16cid:durableId="641424431">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hdrShapeDefaults>
    <o:shapedefaults v:ext="edit" spidmax="2050" style="mso-position-vertical-relative:line"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DE4"/>
    <w:rsid w:val="000006D3"/>
    <w:rsid w:val="000038F4"/>
    <w:rsid w:val="0000592A"/>
    <w:rsid w:val="0000602F"/>
    <w:rsid w:val="00007597"/>
    <w:rsid w:val="000119FB"/>
    <w:rsid w:val="00011B05"/>
    <w:rsid w:val="00012846"/>
    <w:rsid w:val="00016583"/>
    <w:rsid w:val="00017C45"/>
    <w:rsid w:val="00020097"/>
    <w:rsid w:val="00020B0C"/>
    <w:rsid w:val="00021190"/>
    <w:rsid w:val="000218E2"/>
    <w:rsid w:val="00021BD1"/>
    <w:rsid w:val="000226D6"/>
    <w:rsid w:val="00025B6A"/>
    <w:rsid w:val="00025CAF"/>
    <w:rsid w:val="00027989"/>
    <w:rsid w:val="00030B8D"/>
    <w:rsid w:val="00031B40"/>
    <w:rsid w:val="00031E15"/>
    <w:rsid w:val="000324F5"/>
    <w:rsid w:val="000339FD"/>
    <w:rsid w:val="00036557"/>
    <w:rsid w:val="00036819"/>
    <w:rsid w:val="00042676"/>
    <w:rsid w:val="0004442F"/>
    <w:rsid w:val="0004459B"/>
    <w:rsid w:val="0004487A"/>
    <w:rsid w:val="00046B02"/>
    <w:rsid w:val="0005001C"/>
    <w:rsid w:val="00050AD5"/>
    <w:rsid w:val="000517D4"/>
    <w:rsid w:val="000526E0"/>
    <w:rsid w:val="00053C96"/>
    <w:rsid w:val="00055792"/>
    <w:rsid w:val="00056B40"/>
    <w:rsid w:val="0005724F"/>
    <w:rsid w:val="000611F2"/>
    <w:rsid w:val="00062F3B"/>
    <w:rsid w:val="00063763"/>
    <w:rsid w:val="00066D52"/>
    <w:rsid w:val="00066DA4"/>
    <w:rsid w:val="00070225"/>
    <w:rsid w:val="00071879"/>
    <w:rsid w:val="000720A6"/>
    <w:rsid w:val="00076F8D"/>
    <w:rsid w:val="000829EA"/>
    <w:rsid w:val="00085B39"/>
    <w:rsid w:val="00085DDF"/>
    <w:rsid w:val="0008656C"/>
    <w:rsid w:val="0008679D"/>
    <w:rsid w:val="000873EF"/>
    <w:rsid w:val="00087611"/>
    <w:rsid w:val="00087F2B"/>
    <w:rsid w:val="00093308"/>
    <w:rsid w:val="000959DB"/>
    <w:rsid w:val="00097342"/>
    <w:rsid w:val="000A09D9"/>
    <w:rsid w:val="000A3BD6"/>
    <w:rsid w:val="000A4C43"/>
    <w:rsid w:val="000A4C63"/>
    <w:rsid w:val="000A6446"/>
    <w:rsid w:val="000A66E0"/>
    <w:rsid w:val="000A74F2"/>
    <w:rsid w:val="000A75AF"/>
    <w:rsid w:val="000B0537"/>
    <w:rsid w:val="000B0A6F"/>
    <w:rsid w:val="000B3733"/>
    <w:rsid w:val="000B3913"/>
    <w:rsid w:val="000B412E"/>
    <w:rsid w:val="000B5B02"/>
    <w:rsid w:val="000B7488"/>
    <w:rsid w:val="000B773E"/>
    <w:rsid w:val="000B7BBD"/>
    <w:rsid w:val="000B7DF5"/>
    <w:rsid w:val="000B7FFB"/>
    <w:rsid w:val="000C011A"/>
    <w:rsid w:val="000C1491"/>
    <w:rsid w:val="000C2814"/>
    <w:rsid w:val="000C3D4D"/>
    <w:rsid w:val="000C423B"/>
    <w:rsid w:val="000C5119"/>
    <w:rsid w:val="000C64F7"/>
    <w:rsid w:val="000C7627"/>
    <w:rsid w:val="000D0ED6"/>
    <w:rsid w:val="000D17B3"/>
    <w:rsid w:val="000D189B"/>
    <w:rsid w:val="000D52A3"/>
    <w:rsid w:val="000D65EB"/>
    <w:rsid w:val="000D6C3D"/>
    <w:rsid w:val="000E2B39"/>
    <w:rsid w:val="000E2D69"/>
    <w:rsid w:val="000E443E"/>
    <w:rsid w:val="000E4C23"/>
    <w:rsid w:val="000E7A96"/>
    <w:rsid w:val="000F24C6"/>
    <w:rsid w:val="000F4025"/>
    <w:rsid w:val="000F52AB"/>
    <w:rsid w:val="000F6AC5"/>
    <w:rsid w:val="000F76FA"/>
    <w:rsid w:val="000F7891"/>
    <w:rsid w:val="00100031"/>
    <w:rsid w:val="001000F8"/>
    <w:rsid w:val="001007D0"/>
    <w:rsid w:val="00100A54"/>
    <w:rsid w:val="00100CC7"/>
    <w:rsid w:val="0010128E"/>
    <w:rsid w:val="001015C0"/>
    <w:rsid w:val="001017BE"/>
    <w:rsid w:val="00101F34"/>
    <w:rsid w:val="0010305B"/>
    <w:rsid w:val="001037CE"/>
    <w:rsid w:val="00104502"/>
    <w:rsid w:val="00104CBD"/>
    <w:rsid w:val="00105544"/>
    <w:rsid w:val="00105C3D"/>
    <w:rsid w:val="001062CA"/>
    <w:rsid w:val="00107599"/>
    <w:rsid w:val="00107A53"/>
    <w:rsid w:val="00110869"/>
    <w:rsid w:val="001139F4"/>
    <w:rsid w:val="00115005"/>
    <w:rsid w:val="00115ACD"/>
    <w:rsid w:val="0011617D"/>
    <w:rsid w:val="00116A9D"/>
    <w:rsid w:val="00117403"/>
    <w:rsid w:val="001200B1"/>
    <w:rsid w:val="0012019C"/>
    <w:rsid w:val="00120250"/>
    <w:rsid w:val="00120D5D"/>
    <w:rsid w:val="00122370"/>
    <w:rsid w:val="00124C81"/>
    <w:rsid w:val="00125917"/>
    <w:rsid w:val="00126F64"/>
    <w:rsid w:val="00127C0B"/>
    <w:rsid w:val="001301CB"/>
    <w:rsid w:val="0013241B"/>
    <w:rsid w:val="00135159"/>
    <w:rsid w:val="00136892"/>
    <w:rsid w:val="00137921"/>
    <w:rsid w:val="00140F1A"/>
    <w:rsid w:val="00141F70"/>
    <w:rsid w:val="001428D0"/>
    <w:rsid w:val="001449F4"/>
    <w:rsid w:val="00145575"/>
    <w:rsid w:val="00146DFF"/>
    <w:rsid w:val="00147E19"/>
    <w:rsid w:val="00150BC7"/>
    <w:rsid w:val="00155E58"/>
    <w:rsid w:val="00157669"/>
    <w:rsid w:val="00160728"/>
    <w:rsid w:val="001608F8"/>
    <w:rsid w:val="00161AA0"/>
    <w:rsid w:val="0016524A"/>
    <w:rsid w:val="00174644"/>
    <w:rsid w:val="00174703"/>
    <w:rsid w:val="00175FEE"/>
    <w:rsid w:val="00177A5B"/>
    <w:rsid w:val="001809AF"/>
    <w:rsid w:val="00181BFA"/>
    <w:rsid w:val="00183220"/>
    <w:rsid w:val="00184BBB"/>
    <w:rsid w:val="00192B6D"/>
    <w:rsid w:val="001949EB"/>
    <w:rsid w:val="001956FC"/>
    <w:rsid w:val="00195B3E"/>
    <w:rsid w:val="001969DE"/>
    <w:rsid w:val="00196AFB"/>
    <w:rsid w:val="00197030"/>
    <w:rsid w:val="00197F35"/>
    <w:rsid w:val="001A163F"/>
    <w:rsid w:val="001A1B30"/>
    <w:rsid w:val="001A29F4"/>
    <w:rsid w:val="001A3FEB"/>
    <w:rsid w:val="001A4152"/>
    <w:rsid w:val="001A479D"/>
    <w:rsid w:val="001A56DF"/>
    <w:rsid w:val="001A59F4"/>
    <w:rsid w:val="001B0672"/>
    <w:rsid w:val="001B2A52"/>
    <w:rsid w:val="001B2AF7"/>
    <w:rsid w:val="001B304B"/>
    <w:rsid w:val="001B3AA5"/>
    <w:rsid w:val="001B3F9B"/>
    <w:rsid w:val="001B41C5"/>
    <w:rsid w:val="001B55BB"/>
    <w:rsid w:val="001B6914"/>
    <w:rsid w:val="001B6FE7"/>
    <w:rsid w:val="001B733E"/>
    <w:rsid w:val="001C3761"/>
    <w:rsid w:val="001C3FEE"/>
    <w:rsid w:val="001C4597"/>
    <w:rsid w:val="001C59B1"/>
    <w:rsid w:val="001C5B84"/>
    <w:rsid w:val="001C71B7"/>
    <w:rsid w:val="001C73A8"/>
    <w:rsid w:val="001D027E"/>
    <w:rsid w:val="001D3FE2"/>
    <w:rsid w:val="001D447A"/>
    <w:rsid w:val="001D4FC8"/>
    <w:rsid w:val="001D6561"/>
    <w:rsid w:val="001E19D2"/>
    <w:rsid w:val="001E21EC"/>
    <w:rsid w:val="001E3FB6"/>
    <w:rsid w:val="001E46B0"/>
    <w:rsid w:val="001E49F3"/>
    <w:rsid w:val="001E69DA"/>
    <w:rsid w:val="001E6C52"/>
    <w:rsid w:val="001E7AA8"/>
    <w:rsid w:val="001F1074"/>
    <w:rsid w:val="001F4CF1"/>
    <w:rsid w:val="001F4D79"/>
    <w:rsid w:val="002015BA"/>
    <w:rsid w:val="00203154"/>
    <w:rsid w:val="0020664A"/>
    <w:rsid w:val="002066EC"/>
    <w:rsid w:val="002108D8"/>
    <w:rsid w:val="0021133F"/>
    <w:rsid w:val="0021227E"/>
    <w:rsid w:val="00213724"/>
    <w:rsid w:val="0021477D"/>
    <w:rsid w:val="00215E5D"/>
    <w:rsid w:val="00216348"/>
    <w:rsid w:val="00216814"/>
    <w:rsid w:val="0022108D"/>
    <w:rsid w:val="00221534"/>
    <w:rsid w:val="00223B9C"/>
    <w:rsid w:val="00223F03"/>
    <w:rsid w:val="00230026"/>
    <w:rsid w:val="00230EE8"/>
    <w:rsid w:val="00231F29"/>
    <w:rsid w:val="002327CB"/>
    <w:rsid w:val="002336ED"/>
    <w:rsid w:val="00234D65"/>
    <w:rsid w:val="00235CAB"/>
    <w:rsid w:val="002364E6"/>
    <w:rsid w:val="00240FC2"/>
    <w:rsid w:val="002410C8"/>
    <w:rsid w:val="0024301C"/>
    <w:rsid w:val="0024326C"/>
    <w:rsid w:val="00244CB5"/>
    <w:rsid w:val="0024532E"/>
    <w:rsid w:val="00246108"/>
    <w:rsid w:val="00246C09"/>
    <w:rsid w:val="002548EB"/>
    <w:rsid w:val="002549EF"/>
    <w:rsid w:val="00254BEF"/>
    <w:rsid w:val="0025534E"/>
    <w:rsid w:val="00256222"/>
    <w:rsid w:val="00256E43"/>
    <w:rsid w:val="00257B8A"/>
    <w:rsid w:val="002606FE"/>
    <w:rsid w:val="00260DDD"/>
    <w:rsid w:val="002610DD"/>
    <w:rsid w:val="00262479"/>
    <w:rsid w:val="002626C4"/>
    <w:rsid w:val="00265F19"/>
    <w:rsid w:val="002665CB"/>
    <w:rsid w:val="00266CC7"/>
    <w:rsid w:val="00271563"/>
    <w:rsid w:val="00272078"/>
    <w:rsid w:val="00272D38"/>
    <w:rsid w:val="002738E2"/>
    <w:rsid w:val="00273FBD"/>
    <w:rsid w:val="00274B1E"/>
    <w:rsid w:val="00275215"/>
    <w:rsid w:val="0027646B"/>
    <w:rsid w:val="00277963"/>
    <w:rsid w:val="002838A9"/>
    <w:rsid w:val="00283BFB"/>
    <w:rsid w:val="00284D4D"/>
    <w:rsid w:val="0028699D"/>
    <w:rsid w:val="002901F4"/>
    <w:rsid w:val="00290B1A"/>
    <w:rsid w:val="00291801"/>
    <w:rsid w:val="00295089"/>
    <w:rsid w:val="002971A5"/>
    <w:rsid w:val="002A0E98"/>
    <w:rsid w:val="002A3DA2"/>
    <w:rsid w:val="002A4504"/>
    <w:rsid w:val="002A4CD8"/>
    <w:rsid w:val="002A6175"/>
    <w:rsid w:val="002B2171"/>
    <w:rsid w:val="002B464E"/>
    <w:rsid w:val="002B69AD"/>
    <w:rsid w:val="002C1AF8"/>
    <w:rsid w:val="002C2143"/>
    <w:rsid w:val="002C3809"/>
    <w:rsid w:val="002D090C"/>
    <w:rsid w:val="002D2EBA"/>
    <w:rsid w:val="002D2F69"/>
    <w:rsid w:val="002D3A52"/>
    <w:rsid w:val="002D4681"/>
    <w:rsid w:val="002D57C1"/>
    <w:rsid w:val="002E1C8A"/>
    <w:rsid w:val="002E222C"/>
    <w:rsid w:val="002E3FF5"/>
    <w:rsid w:val="002E5267"/>
    <w:rsid w:val="002E6124"/>
    <w:rsid w:val="002E624D"/>
    <w:rsid w:val="002E63A2"/>
    <w:rsid w:val="002E64F7"/>
    <w:rsid w:val="002E7B36"/>
    <w:rsid w:val="002F12F7"/>
    <w:rsid w:val="002F171B"/>
    <w:rsid w:val="002F21AE"/>
    <w:rsid w:val="002F279A"/>
    <w:rsid w:val="002F312B"/>
    <w:rsid w:val="002F5DAC"/>
    <w:rsid w:val="002F6F59"/>
    <w:rsid w:val="002F7B7E"/>
    <w:rsid w:val="002F7E82"/>
    <w:rsid w:val="003000DB"/>
    <w:rsid w:val="0030096B"/>
    <w:rsid w:val="00300D31"/>
    <w:rsid w:val="00302CCE"/>
    <w:rsid w:val="003052D3"/>
    <w:rsid w:val="0030539B"/>
    <w:rsid w:val="003057AC"/>
    <w:rsid w:val="00305EB6"/>
    <w:rsid w:val="00306004"/>
    <w:rsid w:val="00306677"/>
    <w:rsid w:val="00306D0C"/>
    <w:rsid w:val="00307C1C"/>
    <w:rsid w:val="00316644"/>
    <w:rsid w:val="0031664C"/>
    <w:rsid w:val="00321431"/>
    <w:rsid w:val="00322FA6"/>
    <w:rsid w:val="00323456"/>
    <w:rsid w:val="00325C23"/>
    <w:rsid w:val="00327BE1"/>
    <w:rsid w:val="003300CA"/>
    <w:rsid w:val="00332760"/>
    <w:rsid w:val="003330E6"/>
    <w:rsid w:val="003333BE"/>
    <w:rsid w:val="00333FD7"/>
    <w:rsid w:val="00334812"/>
    <w:rsid w:val="00335375"/>
    <w:rsid w:val="0033613B"/>
    <w:rsid w:val="003401AD"/>
    <w:rsid w:val="00340887"/>
    <w:rsid w:val="003410B9"/>
    <w:rsid w:val="003420EA"/>
    <w:rsid w:val="0034338C"/>
    <w:rsid w:val="003443C5"/>
    <w:rsid w:val="0034476B"/>
    <w:rsid w:val="003512E8"/>
    <w:rsid w:val="00352A3D"/>
    <w:rsid w:val="00352ED1"/>
    <w:rsid w:val="003534B2"/>
    <w:rsid w:val="00353669"/>
    <w:rsid w:val="00354EA8"/>
    <w:rsid w:val="00356517"/>
    <w:rsid w:val="003565A6"/>
    <w:rsid w:val="00360877"/>
    <w:rsid w:val="00362C37"/>
    <w:rsid w:val="003652E1"/>
    <w:rsid w:val="00365C91"/>
    <w:rsid w:val="00366220"/>
    <w:rsid w:val="003665B9"/>
    <w:rsid w:val="003703E9"/>
    <w:rsid w:val="00370DF9"/>
    <w:rsid w:val="00372321"/>
    <w:rsid w:val="003730B4"/>
    <w:rsid w:val="00374B2B"/>
    <w:rsid w:val="003768D3"/>
    <w:rsid w:val="00376F27"/>
    <w:rsid w:val="00381860"/>
    <w:rsid w:val="00381A1B"/>
    <w:rsid w:val="00382B31"/>
    <w:rsid w:val="00383BA6"/>
    <w:rsid w:val="00383F93"/>
    <w:rsid w:val="00383F94"/>
    <w:rsid w:val="003842E5"/>
    <w:rsid w:val="00385D04"/>
    <w:rsid w:val="00387C51"/>
    <w:rsid w:val="00387D3B"/>
    <w:rsid w:val="003909FF"/>
    <w:rsid w:val="00390FF8"/>
    <w:rsid w:val="003923BB"/>
    <w:rsid w:val="003943AF"/>
    <w:rsid w:val="00395C38"/>
    <w:rsid w:val="0039624C"/>
    <w:rsid w:val="00396540"/>
    <w:rsid w:val="00396AFB"/>
    <w:rsid w:val="003A0F9C"/>
    <w:rsid w:val="003A267E"/>
    <w:rsid w:val="003A3974"/>
    <w:rsid w:val="003A3D65"/>
    <w:rsid w:val="003A4327"/>
    <w:rsid w:val="003A46D6"/>
    <w:rsid w:val="003A7696"/>
    <w:rsid w:val="003B0BFE"/>
    <w:rsid w:val="003B2E89"/>
    <w:rsid w:val="003B3425"/>
    <w:rsid w:val="003B3AE1"/>
    <w:rsid w:val="003B58B0"/>
    <w:rsid w:val="003B5C28"/>
    <w:rsid w:val="003C148B"/>
    <w:rsid w:val="003C22D1"/>
    <w:rsid w:val="003C3013"/>
    <w:rsid w:val="003C36AC"/>
    <w:rsid w:val="003C3705"/>
    <w:rsid w:val="003C4376"/>
    <w:rsid w:val="003C44E0"/>
    <w:rsid w:val="003C4D5F"/>
    <w:rsid w:val="003C548F"/>
    <w:rsid w:val="003C556C"/>
    <w:rsid w:val="003C69E7"/>
    <w:rsid w:val="003C6B39"/>
    <w:rsid w:val="003D035D"/>
    <w:rsid w:val="003D0E20"/>
    <w:rsid w:val="003D2D52"/>
    <w:rsid w:val="003D540A"/>
    <w:rsid w:val="003D6AB0"/>
    <w:rsid w:val="003D7757"/>
    <w:rsid w:val="003E018C"/>
    <w:rsid w:val="003E33CC"/>
    <w:rsid w:val="003E3F20"/>
    <w:rsid w:val="003E4F11"/>
    <w:rsid w:val="003E6519"/>
    <w:rsid w:val="003E66BE"/>
    <w:rsid w:val="003F2C10"/>
    <w:rsid w:val="003F684F"/>
    <w:rsid w:val="003F6E0E"/>
    <w:rsid w:val="003F77BD"/>
    <w:rsid w:val="003F7C1F"/>
    <w:rsid w:val="00400D29"/>
    <w:rsid w:val="004017B0"/>
    <w:rsid w:val="004038E5"/>
    <w:rsid w:val="00404412"/>
    <w:rsid w:val="004054A5"/>
    <w:rsid w:val="00406C15"/>
    <w:rsid w:val="0040752D"/>
    <w:rsid w:val="0040786D"/>
    <w:rsid w:val="00411B9A"/>
    <w:rsid w:val="00412925"/>
    <w:rsid w:val="00415B65"/>
    <w:rsid w:val="00415E0C"/>
    <w:rsid w:val="00417163"/>
    <w:rsid w:val="0042056B"/>
    <w:rsid w:val="00420A16"/>
    <w:rsid w:val="00420B68"/>
    <w:rsid w:val="00420B81"/>
    <w:rsid w:val="00420DE4"/>
    <w:rsid w:val="00421CAE"/>
    <w:rsid w:val="00424E84"/>
    <w:rsid w:val="00424F1D"/>
    <w:rsid w:val="00425629"/>
    <w:rsid w:val="00427406"/>
    <w:rsid w:val="0042758D"/>
    <w:rsid w:val="0043147A"/>
    <w:rsid w:val="00432BA6"/>
    <w:rsid w:val="00432BF4"/>
    <w:rsid w:val="004330F9"/>
    <w:rsid w:val="00434AE5"/>
    <w:rsid w:val="004355F1"/>
    <w:rsid w:val="00436229"/>
    <w:rsid w:val="00436638"/>
    <w:rsid w:val="00437CF7"/>
    <w:rsid w:val="004402BF"/>
    <w:rsid w:val="0044037E"/>
    <w:rsid w:val="00440470"/>
    <w:rsid w:val="00440A8C"/>
    <w:rsid w:val="00443F8C"/>
    <w:rsid w:val="00445DE0"/>
    <w:rsid w:val="00447F4C"/>
    <w:rsid w:val="0045017F"/>
    <w:rsid w:val="00453F87"/>
    <w:rsid w:val="00454FD4"/>
    <w:rsid w:val="00456CBC"/>
    <w:rsid w:val="004606A0"/>
    <w:rsid w:val="004617A6"/>
    <w:rsid w:val="00461C5D"/>
    <w:rsid w:val="00461DCB"/>
    <w:rsid w:val="00461E73"/>
    <w:rsid w:val="00463F29"/>
    <w:rsid w:val="0046446F"/>
    <w:rsid w:val="00464D59"/>
    <w:rsid w:val="00465E8C"/>
    <w:rsid w:val="0046661F"/>
    <w:rsid w:val="00467214"/>
    <w:rsid w:val="00467D16"/>
    <w:rsid w:val="0047117E"/>
    <w:rsid w:val="0047295D"/>
    <w:rsid w:val="0047345A"/>
    <w:rsid w:val="00474949"/>
    <w:rsid w:val="00475542"/>
    <w:rsid w:val="00477F03"/>
    <w:rsid w:val="00481750"/>
    <w:rsid w:val="00481AA8"/>
    <w:rsid w:val="004820E9"/>
    <w:rsid w:val="0048249A"/>
    <w:rsid w:val="0048264A"/>
    <w:rsid w:val="0048361F"/>
    <w:rsid w:val="004875E9"/>
    <w:rsid w:val="00492177"/>
    <w:rsid w:val="004923C3"/>
    <w:rsid w:val="00492EF0"/>
    <w:rsid w:val="00493895"/>
    <w:rsid w:val="00496A51"/>
    <w:rsid w:val="004A0092"/>
    <w:rsid w:val="004A0839"/>
    <w:rsid w:val="004A40D0"/>
    <w:rsid w:val="004A55E9"/>
    <w:rsid w:val="004A5A45"/>
    <w:rsid w:val="004A6107"/>
    <w:rsid w:val="004B03D5"/>
    <w:rsid w:val="004B09A8"/>
    <w:rsid w:val="004B1B91"/>
    <w:rsid w:val="004B3175"/>
    <w:rsid w:val="004B394E"/>
    <w:rsid w:val="004B4EA7"/>
    <w:rsid w:val="004B514C"/>
    <w:rsid w:val="004B5C4C"/>
    <w:rsid w:val="004B6AA2"/>
    <w:rsid w:val="004B7596"/>
    <w:rsid w:val="004B7E1F"/>
    <w:rsid w:val="004C014F"/>
    <w:rsid w:val="004C16C7"/>
    <w:rsid w:val="004C1EA9"/>
    <w:rsid w:val="004C214D"/>
    <w:rsid w:val="004C2595"/>
    <w:rsid w:val="004C32B0"/>
    <w:rsid w:val="004C3AF4"/>
    <w:rsid w:val="004C3EE1"/>
    <w:rsid w:val="004C5848"/>
    <w:rsid w:val="004D069F"/>
    <w:rsid w:val="004D6F61"/>
    <w:rsid w:val="004E07C8"/>
    <w:rsid w:val="004E0844"/>
    <w:rsid w:val="004E1C1D"/>
    <w:rsid w:val="004E3192"/>
    <w:rsid w:val="004E3709"/>
    <w:rsid w:val="004E404C"/>
    <w:rsid w:val="004E4137"/>
    <w:rsid w:val="004E45A9"/>
    <w:rsid w:val="004E68F1"/>
    <w:rsid w:val="004F1962"/>
    <w:rsid w:val="004F76A6"/>
    <w:rsid w:val="0050051D"/>
    <w:rsid w:val="00500F92"/>
    <w:rsid w:val="00502ED1"/>
    <w:rsid w:val="0050379C"/>
    <w:rsid w:val="00503C74"/>
    <w:rsid w:val="005042F6"/>
    <w:rsid w:val="0050592C"/>
    <w:rsid w:val="00506E84"/>
    <w:rsid w:val="00507215"/>
    <w:rsid w:val="00507E19"/>
    <w:rsid w:val="005100AC"/>
    <w:rsid w:val="005104F8"/>
    <w:rsid w:val="0051185F"/>
    <w:rsid w:val="005119E5"/>
    <w:rsid w:val="005125DE"/>
    <w:rsid w:val="00514BD1"/>
    <w:rsid w:val="00515062"/>
    <w:rsid w:val="00515C5F"/>
    <w:rsid w:val="00520CD0"/>
    <w:rsid w:val="00521940"/>
    <w:rsid w:val="00522FB3"/>
    <w:rsid w:val="00523306"/>
    <w:rsid w:val="00524FCC"/>
    <w:rsid w:val="00525521"/>
    <w:rsid w:val="00525F85"/>
    <w:rsid w:val="0052606B"/>
    <w:rsid w:val="005263DC"/>
    <w:rsid w:val="005268DB"/>
    <w:rsid w:val="00526C07"/>
    <w:rsid w:val="00527E41"/>
    <w:rsid w:val="00530396"/>
    <w:rsid w:val="00530748"/>
    <w:rsid w:val="00530D37"/>
    <w:rsid w:val="00530E29"/>
    <w:rsid w:val="00531C2F"/>
    <w:rsid w:val="0053387C"/>
    <w:rsid w:val="005410BF"/>
    <w:rsid w:val="0054168C"/>
    <w:rsid w:val="00544458"/>
    <w:rsid w:val="00546343"/>
    <w:rsid w:val="00546F59"/>
    <w:rsid w:val="00550C1D"/>
    <w:rsid w:val="00550F31"/>
    <w:rsid w:val="005542C2"/>
    <w:rsid w:val="00554840"/>
    <w:rsid w:val="00554D36"/>
    <w:rsid w:val="00556C98"/>
    <w:rsid w:val="0055743A"/>
    <w:rsid w:val="00561346"/>
    <w:rsid w:val="00561E27"/>
    <w:rsid w:val="005633F9"/>
    <w:rsid w:val="00563559"/>
    <w:rsid w:val="00564601"/>
    <w:rsid w:val="00564A10"/>
    <w:rsid w:val="00564A94"/>
    <w:rsid w:val="00564D95"/>
    <w:rsid w:val="00566366"/>
    <w:rsid w:val="00567C99"/>
    <w:rsid w:val="00570A06"/>
    <w:rsid w:val="005713E5"/>
    <w:rsid w:val="00572029"/>
    <w:rsid w:val="00573243"/>
    <w:rsid w:val="0057413A"/>
    <w:rsid w:val="00575014"/>
    <w:rsid w:val="005750AF"/>
    <w:rsid w:val="00575D0C"/>
    <w:rsid w:val="00575E20"/>
    <w:rsid w:val="00575EB1"/>
    <w:rsid w:val="00576465"/>
    <w:rsid w:val="00577303"/>
    <w:rsid w:val="00577A6D"/>
    <w:rsid w:val="00580419"/>
    <w:rsid w:val="00580575"/>
    <w:rsid w:val="0058136D"/>
    <w:rsid w:val="005838C6"/>
    <w:rsid w:val="00584AD8"/>
    <w:rsid w:val="00585735"/>
    <w:rsid w:val="0058612E"/>
    <w:rsid w:val="0058757C"/>
    <w:rsid w:val="005879A8"/>
    <w:rsid w:val="00587B21"/>
    <w:rsid w:val="00590E07"/>
    <w:rsid w:val="00590F55"/>
    <w:rsid w:val="0059102B"/>
    <w:rsid w:val="00592A0B"/>
    <w:rsid w:val="0059308E"/>
    <w:rsid w:val="005A017A"/>
    <w:rsid w:val="005A0FF4"/>
    <w:rsid w:val="005A1494"/>
    <w:rsid w:val="005A4C7D"/>
    <w:rsid w:val="005A4D3B"/>
    <w:rsid w:val="005B0269"/>
    <w:rsid w:val="005B06D5"/>
    <w:rsid w:val="005B12C7"/>
    <w:rsid w:val="005B5AE1"/>
    <w:rsid w:val="005B6690"/>
    <w:rsid w:val="005B6C2E"/>
    <w:rsid w:val="005B7EBF"/>
    <w:rsid w:val="005C051F"/>
    <w:rsid w:val="005C41C5"/>
    <w:rsid w:val="005C4C3E"/>
    <w:rsid w:val="005C52AF"/>
    <w:rsid w:val="005C54C1"/>
    <w:rsid w:val="005C762E"/>
    <w:rsid w:val="005C7B1F"/>
    <w:rsid w:val="005D0483"/>
    <w:rsid w:val="005D098C"/>
    <w:rsid w:val="005D45C5"/>
    <w:rsid w:val="005D5B9E"/>
    <w:rsid w:val="005D5F7D"/>
    <w:rsid w:val="005D771B"/>
    <w:rsid w:val="005E2E5E"/>
    <w:rsid w:val="005E30F3"/>
    <w:rsid w:val="005E352D"/>
    <w:rsid w:val="005E3CC8"/>
    <w:rsid w:val="005E52EE"/>
    <w:rsid w:val="005E5958"/>
    <w:rsid w:val="005E6FCA"/>
    <w:rsid w:val="005E7315"/>
    <w:rsid w:val="005E76D6"/>
    <w:rsid w:val="005F1221"/>
    <w:rsid w:val="005F5EC0"/>
    <w:rsid w:val="005F60AE"/>
    <w:rsid w:val="006004DA"/>
    <w:rsid w:val="00602A43"/>
    <w:rsid w:val="00603712"/>
    <w:rsid w:val="006039CC"/>
    <w:rsid w:val="00603CE3"/>
    <w:rsid w:val="006045D6"/>
    <w:rsid w:val="00604AFB"/>
    <w:rsid w:val="0060536A"/>
    <w:rsid w:val="00605F33"/>
    <w:rsid w:val="0060662A"/>
    <w:rsid w:val="00607C3F"/>
    <w:rsid w:val="00612789"/>
    <w:rsid w:val="00614267"/>
    <w:rsid w:val="00614AF4"/>
    <w:rsid w:val="00614BDA"/>
    <w:rsid w:val="00616924"/>
    <w:rsid w:val="00616BB1"/>
    <w:rsid w:val="00620A79"/>
    <w:rsid w:val="006225D3"/>
    <w:rsid w:val="0062266D"/>
    <w:rsid w:val="0062339C"/>
    <w:rsid w:val="00624868"/>
    <w:rsid w:val="00626EBE"/>
    <w:rsid w:val="006331B4"/>
    <w:rsid w:val="00633719"/>
    <w:rsid w:val="006343F3"/>
    <w:rsid w:val="00640825"/>
    <w:rsid w:val="00641075"/>
    <w:rsid w:val="006410A4"/>
    <w:rsid w:val="0064169C"/>
    <w:rsid w:val="006428D2"/>
    <w:rsid w:val="00642906"/>
    <w:rsid w:val="00644BC6"/>
    <w:rsid w:val="00644ECF"/>
    <w:rsid w:val="006457EF"/>
    <w:rsid w:val="006467E6"/>
    <w:rsid w:val="00647F2A"/>
    <w:rsid w:val="0065011A"/>
    <w:rsid w:val="0065029A"/>
    <w:rsid w:val="00652D01"/>
    <w:rsid w:val="00652D96"/>
    <w:rsid w:val="006547A1"/>
    <w:rsid w:val="00655B2A"/>
    <w:rsid w:val="00655C94"/>
    <w:rsid w:val="00656E85"/>
    <w:rsid w:val="0065777D"/>
    <w:rsid w:val="0066327D"/>
    <w:rsid w:val="006660CB"/>
    <w:rsid w:val="00666860"/>
    <w:rsid w:val="00666E6E"/>
    <w:rsid w:val="006677CC"/>
    <w:rsid w:val="006678A4"/>
    <w:rsid w:val="00667AE5"/>
    <w:rsid w:val="00672C9A"/>
    <w:rsid w:val="0067306F"/>
    <w:rsid w:val="00674850"/>
    <w:rsid w:val="006757DF"/>
    <w:rsid w:val="00677100"/>
    <w:rsid w:val="006810F2"/>
    <w:rsid w:val="00681565"/>
    <w:rsid w:val="00682B75"/>
    <w:rsid w:val="00682DEA"/>
    <w:rsid w:val="00683ED3"/>
    <w:rsid w:val="00684FE8"/>
    <w:rsid w:val="00686EFD"/>
    <w:rsid w:val="00687927"/>
    <w:rsid w:val="006901C1"/>
    <w:rsid w:val="00690234"/>
    <w:rsid w:val="0069128A"/>
    <w:rsid w:val="00692EA7"/>
    <w:rsid w:val="00693E83"/>
    <w:rsid w:val="006940D8"/>
    <w:rsid w:val="00694D11"/>
    <w:rsid w:val="006956C0"/>
    <w:rsid w:val="0069613E"/>
    <w:rsid w:val="00696681"/>
    <w:rsid w:val="00696CD4"/>
    <w:rsid w:val="0069770B"/>
    <w:rsid w:val="00697865"/>
    <w:rsid w:val="006A318D"/>
    <w:rsid w:val="006A3DCC"/>
    <w:rsid w:val="006A5C8A"/>
    <w:rsid w:val="006A635E"/>
    <w:rsid w:val="006A721F"/>
    <w:rsid w:val="006A7DA9"/>
    <w:rsid w:val="006B0594"/>
    <w:rsid w:val="006B0665"/>
    <w:rsid w:val="006B4CA3"/>
    <w:rsid w:val="006B52D2"/>
    <w:rsid w:val="006C043A"/>
    <w:rsid w:val="006C12F2"/>
    <w:rsid w:val="006C17C5"/>
    <w:rsid w:val="006C38E8"/>
    <w:rsid w:val="006C4301"/>
    <w:rsid w:val="006C6403"/>
    <w:rsid w:val="006C649D"/>
    <w:rsid w:val="006C6D11"/>
    <w:rsid w:val="006C77BF"/>
    <w:rsid w:val="006C7978"/>
    <w:rsid w:val="006D1ADD"/>
    <w:rsid w:val="006D3F7C"/>
    <w:rsid w:val="006D3FA9"/>
    <w:rsid w:val="006D4650"/>
    <w:rsid w:val="006D4FE4"/>
    <w:rsid w:val="006D521C"/>
    <w:rsid w:val="006D55ED"/>
    <w:rsid w:val="006D6C55"/>
    <w:rsid w:val="006D73F1"/>
    <w:rsid w:val="006D7AD7"/>
    <w:rsid w:val="006D7CAC"/>
    <w:rsid w:val="006E060B"/>
    <w:rsid w:val="006E0F01"/>
    <w:rsid w:val="006E10E2"/>
    <w:rsid w:val="006E26CC"/>
    <w:rsid w:val="006E474B"/>
    <w:rsid w:val="006E5A28"/>
    <w:rsid w:val="006E673E"/>
    <w:rsid w:val="006E7486"/>
    <w:rsid w:val="006E756B"/>
    <w:rsid w:val="006E758D"/>
    <w:rsid w:val="006F2FF3"/>
    <w:rsid w:val="006F5408"/>
    <w:rsid w:val="0070031C"/>
    <w:rsid w:val="00700C0B"/>
    <w:rsid w:val="007032E3"/>
    <w:rsid w:val="00703BCC"/>
    <w:rsid w:val="00704581"/>
    <w:rsid w:val="00710140"/>
    <w:rsid w:val="007109FE"/>
    <w:rsid w:val="00711FD0"/>
    <w:rsid w:val="007137D6"/>
    <w:rsid w:val="0071443E"/>
    <w:rsid w:val="00715052"/>
    <w:rsid w:val="00720B9F"/>
    <w:rsid w:val="00722D55"/>
    <w:rsid w:val="0072385F"/>
    <w:rsid w:val="007248B6"/>
    <w:rsid w:val="007268F0"/>
    <w:rsid w:val="00731524"/>
    <w:rsid w:val="00731AD2"/>
    <w:rsid w:val="00732519"/>
    <w:rsid w:val="00732B75"/>
    <w:rsid w:val="00732E6F"/>
    <w:rsid w:val="0073346F"/>
    <w:rsid w:val="00735704"/>
    <w:rsid w:val="00736AA2"/>
    <w:rsid w:val="00736B7B"/>
    <w:rsid w:val="0074248F"/>
    <w:rsid w:val="00744CBB"/>
    <w:rsid w:val="0074520A"/>
    <w:rsid w:val="00746DD5"/>
    <w:rsid w:val="00750054"/>
    <w:rsid w:val="00751A0A"/>
    <w:rsid w:val="0075321A"/>
    <w:rsid w:val="00760941"/>
    <w:rsid w:val="00761733"/>
    <w:rsid w:val="0076263C"/>
    <w:rsid w:val="00763A46"/>
    <w:rsid w:val="00767A89"/>
    <w:rsid w:val="0077091E"/>
    <w:rsid w:val="00770D99"/>
    <w:rsid w:val="00771975"/>
    <w:rsid w:val="00771F03"/>
    <w:rsid w:val="0077326D"/>
    <w:rsid w:val="00775FFC"/>
    <w:rsid w:val="0077771F"/>
    <w:rsid w:val="00780293"/>
    <w:rsid w:val="00782FB2"/>
    <w:rsid w:val="00783AB9"/>
    <w:rsid w:val="00786452"/>
    <w:rsid w:val="0078666B"/>
    <w:rsid w:val="00787664"/>
    <w:rsid w:val="00787C2B"/>
    <w:rsid w:val="0079012E"/>
    <w:rsid w:val="00790DA0"/>
    <w:rsid w:val="007921F8"/>
    <w:rsid w:val="0079684B"/>
    <w:rsid w:val="00796A7A"/>
    <w:rsid w:val="00797DDA"/>
    <w:rsid w:val="007A2416"/>
    <w:rsid w:val="007A2BA5"/>
    <w:rsid w:val="007A4347"/>
    <w:rsid w:val="007A4EEE"/>
    <w:rsid w:val="007A5ECA"/>
    <w:rsid w:val="007A6B5F"/>
    <w:rsid w:val="007A6F81"/>
    <w:rsid w:val="007B0A64"/>
    <w:rsid w:val="007B0E7F"/>
    <w:rsid w:val="007B393D"/>
    <w:rsid w:val="007B49A7"/>
    <w:rsid w:val="007B6DB1"/>
    <w:rsid w:val="007B7F7D"/>
    <w:rsid w:val="007C1889"/>
    <w:rsid w:val="007C3129"/>
    <w:rsid w:val="007C491E"/>
    <w:rsid w:val="007C5142"/>
    <w:rsid w:val="007C669C"/>
    <w:rsid w:val="007C6C0C"/>
    <w:rsid w:val="007C6E88"/>
    <w:rsid w:val="007C7E17"/>
    <w:rsid w:val="007D058F"/>
    <w:rsid w:val="007D2191"/>
    <w:rsid w:val="007D4F57"/>
    <w:rsid w:val="007D51CC"/>
    <w:rsid w:val="007D5CF7"/>
    <w:rsid w:val="007D5E33"/>
    <w:rsid w:val="007D61C8"/>
    <w:rsid w:val="007D7F27"/>
    <w:rsid w:val="007E20C1"/>
    <w:rsid w:val="007E260C"/>
    <w:rsid w:val="007E36DC"/>
    <w:rsid w:val="007E64D0"/>
    <w:rsid w:val="007E6A86"/>
    <w:rsid w:val="007E6A88"/>
    <w:rsid w:val="007E6AA5"/>
    <w:rsid w:val="007E6C02"/>
    <w:rsid w:val="007E7315"/>
    <w:rsid w:val="007E7DDD"/>
    <w:rsid w:val="007F2A85"/>
    <w:rsid w:val="007F40C8"/>
    <w:rsid w:val="007F4DE1"/>
    <w:rsid w:val="007F72C4"/>
    <w:rsid w:val="0080048D"/>
    <w:rsid w:val="008005AC"/>
    <w:rsid w:val="008018AC"/>
    <w:rsid w:val="00802238"/>
    <w:rsid w:val="00802C5C"/>
    <w:rsid w:val="00802F61"/>
    <w:rsid w:val="008048F9"/>
    <w:rsid w:val="00806098"/>
    <w:rsid w:val="008068B3"/>
    <w:rsid w:val="0081093D"/>
    <w:rsid w:val="00812238"/>
    <w:rsid w:val="00813323"/>
    <w:rsid w:val="008168CA"/>
    <w:rsid w:val="00816DAF"/>
    <w:rsid w:val="00817C4A"/>
    <w:rsid w:val="00817DB2"/>
    <w:rsid w:val="00820DCC"/>
    <w:rsid w:val="0082200D"/>
    <w:rsid w:val="00823A32"/>
    <w:rsid w:val="0082732E"/>
    <w:rsid w:val="008273D2"/>
    <w:rsid w:val="008275A6"/>
    <w:rsid w:val="00827930"/>
    <w:rsid w:val="00827F21"/>
    <w:rsid w:val="00830043"/>
    <w:rsid w:val="0083373A"/>
    <w:rsid w:val="00834FCA"/>
    <w:rsid w:val="00836D64"/>
    <w:rsid w:val="00836F67"/>
    <w:rsid w:val="008375AF"/>
    <w:rsid w:val="008404AF"/>
    <w:rsid w:val="00841E75"/>
    <w:rsid w:val="008431D4"/>
    <w:rsid w:val="008442BB"/>
    <w:rsid w:val="0084494B"/>
    <w:rsid w:val="008475B9"/>
    <w:rsid w:val="008501C5"/>
    <w:rsid w:val="008505C3"/>
    <w:rsid w:val="00850FCB"/>
    <w:rsid w:val="00851D79"/>
    <w:rsid w:val="00852218"/>
    <w:rsid w:val="00852B0A"/>
    <w:rsid w:val="00853424"/>
    <w:rsid w:val="00854CF8"/>
    <w:rsid w:val="00856932"/>
    <w:rsid w:val="00856991"/>
    <w:rsid w:val="00857C12"/>
    <w:rsid w:val="00860724"/>
    <w:rsid w:val="0086406E"/>
    <w:rsid w:val="0086472B"/>
    <w:rsid w:val="00865686"/>
    <w:rsid w:val="00865E1A"/>
    <w:rsid w:val="00865F3A"/>
    <w:rsid w:val="00866528"/>
    <w:rsid w:val="00867548"/>
    <w:rsid w:val="008675A3"/>
    <w:rsid w:val="00870928"/>
    <w:rsid w:val="00870A18"/>
    <w:rsid w:val="00870A58"/>
    <w:rsid w:val="00872F28"/>
    <w:rsid w:val="0087342C"/>
    <w:rsid w:val="00873CD3"/>
    <w:rsid w:val="00874A98"/>
    <w:rsid w:val="00874C3B"/>
    <w:rsid w:val="00874DF4"/>
    <w:rsid w:val="008763ED"/>
    <w:rsid w:val="008769BB"/>
    <w:rsid w:val="00876DEC"/>
    <w:rsid w:val="00877774"/>
    <w:rsid w:val="00882EDD"/>
    <w:rsid w:val="00883CD0"/>
    <w:rsid w:val="00885726"/>
    <w:rsid w:val="0088692C"/>
    <w:rsid w:val="008876A5"/>
    <w:rsid w:val="00887806"/>
    <w:rsid w:val="00890F2B"/>
    <w:rsid w:val="00892DA9"/>
    <w:rsid w:val="00894FE5"/>
    <w:rsid w:val="00897087"/>
    <w:rsid w:val="008A0296"/>
    <w:rsid w:val="008A0C52"/>
    <w:rsid w:val="008A1E14"/>
    <w:rsid w:val="008A30BE"/>
    <w:rsid w:val="008A3316"/>
    <w:rsid w:val="008A33C3"/>
    <w:rsid w:val="008A3FB8"/>
    <w:rsid w:val="008A59AF"/>
    <w:rsid w:val="008A6727"/>
    <w:rsid w:val="008B0146"/>
    <w:rsid w:val="008B2B1E"/>
    <w:rsid w:val="008B354D"/>
    <w:rsid w:val="008B3CB0"/>
    <w:rsid w:val="008B3E3D"/>
    <w:rsid w:val="008B6E5E"/>
    <w:rsid w:val="008B6FE2"/>
    <w:rsid w:val="008B7FE7"/>
    <w:rsid w:val="008C201D"/>
    <w:rsid w:val="008C2203"/>
    <w:rsid w:val="008C2E59"/>
    <w:rsid w:val="008C33EE"/>
    <w:rsid w:val="008C3409"/>
    <w:rsid w:val="008C38A9"/>
    <w:rsid w:val="008C3EDB"/>
    <w:rsid w:val="008C4B0E"/>
    <w:rsid w:val="008C515C"/>
    <w:rsid w:val="008C5BA2"/>
    <w:rsid w:val="008C72F7"/>
    <w:rsid w:val="008C794E"/>
    <w:rsid w:val="008C7ABA"/>
    <w:rsid w:val="008D13C2"/>
    <w:rsid w:val="008D26C3"/>
    <w:rsid w:val="008D4AD8"/>
    <w:rsid w:val="008D54D1"/>
    <w:rsid w:val="008D5931"/>
    <w:rsid w:val="008D66B1"/>
    <w:rsid w:val="008D7010"/>
    <w:rsid w:val="008E063D"/>
    <w:rsid w:val="008E6494"/>
    <w:rsid w:val="008E6A30"/>
    <w:rsid w:val="008E7585"/>
    <w:rsid w:val="008F03D4"/>
    <w:rsid w:val="008F0B0A"/>
    <w:rsid w:val="008F12F1"/>
    <w:rsid w:val="008F2964"/>
    <w:rsid w:val="008F2A41"/>
    <w:rsid w:val="008F2E4F"/>
    <w:rsid w:val="008F5072"/>
    <w:rsid w:val="008F718D"/>
    <w:rsid w:val="008F7275"/>
    <w:rsid w:val="00901264"/>
    <w:rsid w:val="00901E23"/>
    <w:rsid w:val="00903DEB"/>
    <w:rsid w:val="009051E9"/>
    <w:rsid w:val="00906201"/>
    <w:rsid w:val="00906852"/>
    <w:rsid w:val="0090692A"/>
    <w:rsid w:val="00911EDC"/>
    <w:rsid w:val="00912F6F"/>
    <w:rsid w:val="00913BB8"/>
    <w:rsid w:val="0091438E"/>
    <w:rsid w:val="00915E84"/>
    <w:rsid w:val="00922C5C"/>
    <w:rsid w:val="0092657D"/>
    <w:rsid w:val="009267CA"/>
    <w:rsid w:val="00930B13"/>
    <w:rsid w:val="00931457"/>
    <w:rsid w:val="00933899"/>
    <w:rsid w:val="00935D8E"/>
    <w:rsid w:val="009362B0"/>
    <w:rsid w:val="00936CEE"/>
    <w:rsid w:val="00937D2D"/>
    <w:rsid w:val="00941AE1"/>
    <w:rsid w:val="009427F1"/>
    <w:rsid w:val="00942987"/>
    <w:rsid w:val="009429A4"/>
    <w:rsid w:val="0094366C"/>
    <w:rsid w:val="0094429A"/>
    <w:rsid w:val="00945999"/>
    <w:rsid w:val="0094626E"/>
    <w:rsid w:val="00946E11"/>
    <w:rsid w:val="0095182A"/>
    <w:rsid w:val="0095293B"/>
    <w:rsid w:val="00953ADF"/>
    <w:rsid w:val="00954ADA"/>
    <w:rsid w:val="0095598D"/>
    <w:rsid w:val="0095762B"/>
    <w:rsid w:val="00960AFC"/>
    <w:rsid w:val="00960D49"/>
    <w:rsid w:val="00961A8F"/>
    <w:rsid w:val="0096216C"/>
    <w:rsid w:val="009631D9"/>
    <w:rsid w:val="00965183"/>
    <w:rsid w:val="009673CE"/>
    <w:rsid w:val="00971E5A"/>
    <w:rsid w:val="009766B9"/>
    <w:rsid w:val="009776E8"/>
    <w:rsid w:val="00977FD7"/>
    <w:rsid w:val="0098075C"/>
    <w:rsid w:val="00980C93"/>
    <w:rsid w:val="00981BAD"/>
    <w:rsid w:val="00982B83"/>
    <w:rsid w:val="00984FE8"/>
    <w:rsid w:val="009863FD"/>
    <w:rsid w:val="00986DA3"/>
    <w:rsid w:val="0099008F"/>
    <w:rsid w:val="009914E7"/>
    <w:rsid w:val="009920E1"/>
    <w:rsid w:val="009931F3"/>
    <w:rsid w:val="00994AE5"/>
    <w:rsid w:val="00996EF0"/>
    <w:rsid w:val="009A29EB"/>
    <w:rsid w:val="009A4D8D"/>
    <w:rsid w:val="009A5704"/>
    <w:rsid w:val="009A5F0C"/>
    <w:rsid w:val="009A6800"/>
    <w:rsid w:val="009B053B"/>
    <w:rsid w:val="009B078B"/>
    <w:rsid w:val="009B0BCF"/>
    <w:rsid w:val="009B1DAF"/>
    <w:rsid w:val="009B2A63"/>
    <w:rsid w:val="009B34C4"/>
    <w:rsid w:val="009B3E26"/>
    <w:rsid w:val="009B5CC9"/>
    <w:rsid w:val="009B621A"/>
    <w:rsid w:val="009B6519"/>
    <w:rsid w:val="009B726A"/>
    <w:rsid w:val="009B7B59"/>
    <w:rsid w:val="009C06D2"/>
    <w:rsid w:val="009C0A56"/>
    <w:rsid w:val="009C0F54"/>
    <w:rsid w:val="009C1B03"/>
    <w:rsid w:val="009C215B"/>
    <w:rsid w:val="009C45D9"/>
    <w:rsid w:val="009C6466"/>
    <w:rsid w:val="009C6D74"/>
    <w:rsid w:val="009C6F32"/>
    <w:rsid w:val="009D1514"/>
    <w:rsid w:val="009D23C1"/>
    <w:rsid w:val="009D2A3F"/>
    <w:rsid w:val="009D3DDC"/>
    <w:rsid w:val="009D7814"/>
    <w:rsid w:val="009D7976"/>
    <w:rsid w:val="009E167F"/>
    <w:rsid w:val="009E322D"/>
    <w:rsid w:val="009E35C2"/>
    <w:rsid w:val="009E40F6"/>
    <w:rsid w:val="009E4C74"/>
    <w:rsid w:val="009F01BB"/>
    <w:rsid w:val="009F081F"/>
    <w:rsid w:val="009F1192"/>
    <w:rsid w:val="009F2F4C"/>
    <w:rsid w:val="009F35AE"/>
    <w:rsid w:val="009F3BC2"/>
    <w:rsid w:val="009F3C9A"/>
    <w:rsid w:val="009F4145"/>
    <w:rsid w:val="00A0076B"/>
    <w:rsid w:val="00A013DB"/>
    <w:rsid w:val="00A02D88"/>
    <w:rsid w:val="00A063FC"/>
    <w:rsid w:val="00A06657"/>
    <w:rsid w:val="00A11D99"/>
    <w:rsid w:val="00A121E5"/>
    <w:rsid w:val="00A1294A"/>
    <w:rsid w:val="00A12B22"/>
    <w:rsid w:val="00A168D6"/>
    <w:rsid w:val="00A16973"/>
    <w:rsid w:val="00A1760E"/>
    <w:rsid w:val="00A17E9F"/>
    <w:rsid w:val="00A20E30"/>
    <w:rsid w:val="00A2156B"/>
    <w:rsid w:val="00A215F4"/>
    <w:rsid w:val="00A21C96"/>
    <w:rsid w:val="00A23986"/>
    <w:rsid w:val="00A2576D"/>
    <w:rsid w:val="00A266BC"/>
    <w:rsid w:val="00A27500"/>
    <w:rsid w:val="00A27DC4"/>
    <w:rsid w:val="00A33C63"/>
    <w:rsid w:val="00A35B66"/>
    <w:rsid w:val="00A37590"/>
    <w:rsid w:val="00A40703"/>
    <w:rsid w:val="00A42014"/>
    <w:rsid w:val="00A42189"/>
    <w:rsid w:val="00A42BDC"/>
    <w:rsid w:val="00A43073"/>
    <w:rsid w:val="00A43675"/>
    <w:rsid w:val="00A464C9"/>
    <w:rsid w:val="00A46DB8"/>
    <w:rsid w:val="00A470C8"/>
    <w:rsid w:val="00A47D94"/>
    <w:rsid w:val="00A533B0"/>
    <w:rsid w:val="00A5477F"/>
    <w:rsid w:val="00A56F8B"/>
    <w:rsid w:val="00A63191"/>
    <w:rsid w:val="00A644BF"/>
    <w:rsid w:val="00A64DB0"/>
    <w:rsid w:val="00A738CB"/>
    <w:rsid w:val="00A73C92"/>
    <w:rsid w:val="00A73DAD"/>
    <w:rsid w:val="00A748B2"/>
    <w:rsid w:val="00A7546C"/>
    <w:rsid w:val="00A8033C"/>
    <w:rsid w:val="00A82323"/>
    <w:rsid w:val="00A82380"/>
    <w:rsid w:val="00A827EC"/>
    <w:rsid w:val="00A837E2"/>
    <w:rsid w:val="00A83ABA"/>
    <w:rsid w:val="00A86D3D"/>
    <w:rsid w:val="00A902D0"/>
    <w:rsid w:val="00A9077B"/>
    <w:rsid w:val="00A91F29"/>
    <w:rsid w:val="00A92E67"/>
    <w:rsid w:val="00A942BA"/>
    <w:rsid w:val="00AA00D1"/>
    <w:rsid w:val="00AA31DF"/>
    <w:rsid w:val="00AA3D42"/>
    <w:rsid w:val="00AA421F"/>
    <w:rsid w:val="00AA4A4F"/>
    <w:rsid w:val="00AA5E37"/>
    <w:rsid w:val="00AA626D"/>
    <w:rsid w:val="00AA7D3B"/>
    <w:rsid w:val="00AB164F"/>
    <w:rsid w:val="00AB1B8A"/>
    <w:rsid w:val="00AB2244"/>
    <w:rsid w:val="00AB2948"/>
    <w:rsid w:val="00AB39FA"/>
    <w:rsid w:val="00AB536C"/>
    <w:rsid w:val="00AB7EA3"/>
    <w:rsid w:val="00AC4FCA"/>
    <w:rsid w:val="00AC5C23"/>
    <w:rsid w:val="00AD0114"/>
    <w:rsid w:val="00AD10DD"/>
    <w:rsid w:val="00AD13EC"/>
    <w:rsid w:val="00AD234A"/>
    <w:rsid w:val="00AD6933"/>
    <w:rsid w:val="00AD6B7B"/>
    <w:rsid w:val="00AE223C"/>
    <w:rsid w:val="00AE3233"/>
    <w:rsid w:val="00AE38A1"/>
    <w:rsid w:val="00AE52FC"/>
    <w:rsid w:val="00AE5363"/>
    <w:rsid w:val="00AE6078"/>
    <w:rsid w:val="00AE6345"/>
    <w:rsid w:val="00AF033F"/>
    <w:rsid w:val="00AF0CA5"/>
    <w:rsid w:val="00AF3DB5"/>
    <w:rsid w:val="00AF6101"/>
    <w:rsid w:val="00AF62FA"/>
    <w:rsid w:val="00AF67FE"/>
    <w:rsid w:val="00AF7D94"/>
    <w:rsid w:val="00B00782"/>
    <w:rsid w:val="00B00B15"/>
    <w:rsid w:val="00B04404"/>
    <w:rsid w:val="00B0454E"/>
    <w:rsid w:val="00B073CE"/>
    <w:rsid w:val="00B10AC4"/>
    <w:rsid w:val="00B11F72"/>
    <w:rsid w:val="00B11F78"/>
    <w:rsid w:val="00B12B41"/>
    <w:rsid w:val="00B1320B"/>
    <w:rsid w:val="00B14B9B"/>
    <w:rsid w:val="00B1641F"/>
    <w:rsid w:val="00B164A8"/>
    <w:rsid w:val="00B21AC8"/>
    <w:rsid w:val="00B21BEA"/>
    <w:rsid w:val="00B22A27"/>
    <w:rsid w:val="00B22BA0"/>
    <w:rsid w:val="00B232AF"/>
    <w:rsid w:val="00B26C3D"/>
    <w:rsid w:val="00B272F8"/>
    <w:rsid w:val="00B2734C"/>
    <w:rsid w:val="00B312CD"/>
    <w:rsid w:val="00B37035"/>
    <w:rsid w:val="00B37A20"/>
    <w:rsid w:val="00B40295"/>
    <w:rsid w:val="00B40303"/>
    <w:rsid w:val="00B409AF"/>
    <w:rsid w:val="00B40B4B"/>
    <w:rsid w:val="00B41581"/>
    <w:rsid w:val="00B4195F"/>
    <w:rsid w:val="00B4257C"/>
    <w:rsid w:val="00B43324"/>
    <w:rsid w:val="00B43BBF"/>
    <w:rsid w:val="00B4427E"/>
    <w:rsid w:val="00B45E0F"/>
    <w:rsid w:val="00B5074A"/>
    <w:rsid w:val="00B50B2B"/>
    <w:rsid w:val="00B50CCE"/>
    <w:rsid w:val="00B5296F"/>
    <w:rsid w:val="00B540A2"/>
    <w:rsid w:val="00B54644"/>
    <w:rsid w:val="00B550F6"/>
    <w:rsid w:val="00B57825"/>
    <w:rsid w:val="00B60114"/>
    <w:rsid w:val="00B60808"/>
    <w:rsid w:val="00B64B0F"/>
    <w:rsid w:val="00B66641"/>
    <w:rsid w:val="00B66809"/>
    <w:rsid w:val="00B66AF1"/>
    <w:rsid w:val="00B67E19"/>
    <w:rsid w:val="00B67EB3"/>
    <w:rsid w:val="00B71044"/>
    <w:rsid w:val="00B71366"/>
    <w:rsid w:val="00B72852"/>
    <w:rsid w:val="00B729D6"/>
    <w:rsid w:val="00B7409B"/>
    <w:rsid w:val="00B74440"/>
    <w:rsid w:val="00B74937"/>
    <w:rsid w:val="00B765CF"/>
    <w:rsid w:val="00B7691A"/>
    <w:rsid w:val="00B76ED4"/>
    <w:rsid w:val="00B7709E"/>
    <w:rsid w:val="00B802FE"/>
    <w:rsid w:val="00B805E1"/>
    <w:rsid w:val="00B813DD"/>
    <w:rsid w:val="00B83E3E"/>
    <w:rsid w:val="00B85552"/>
    <w:rsid w:val="00B856D9"/>
    <w:rsid w:val="00B862B5"/>
    <w:rsid w:val="00B87D10"/>
    <w:rsid w:val="00B92316"/>
    <w:rsid w:val="00B92676"/>
    <w:rsid w:val="00B93A86"/>
    <w:rsid w:val="00B93B4C"/>
    <w:rsid w:val="00B95988"/>
    <w:rsid w:val="00B97186"/>
    <w:rsid w:val="00BA2BE8"/>
    <w:rsid w:val="00BA2E96"/>
    <w:rsid w:val="00BA3152"/>
    <w:rsid w:val="00BA38E8"/>
    <w:rsid w:val="00BA3B64"/>
    <w:rsid w:val="00BA468A"/>
    <w:rsid w:val="00BA4F19"/>
    <w:rsid w:val="00BA5150"/>
    <w:rsid w:val="00BA669A"/>
    <w:rsid w:val="00BA6FB8"/>
    <w:rsid w:val="00BA7C77"/>
    <w:rsid w:val="00BB047B"/>
    <w:rsid w:val="00BB150D"/>
    <w:rsid w:val="00BB6398"/>
    <w:rsid w:val="00BB7345"/>
    <w:rsid w:val="00BB7552"/>
    <w:rsid w:val="00BB7EF1"/>
    <w:rsid w:val="00BC0602"/>
    <w:rsid w:val="00BC1AFE"/>
    <w:rsid w:val="00BC2EEC"/>
    <w:rsid w:val="00BC368E"/>
    <w:rsid w:val="00BC4A2A"/>
    <w:rsid w:val="00BC52F2"/>
    <w:rsid w:val="00BC54EA"/>
    <w:rsid w:val="00BC6771"/>
    <w:rsid w:val="00BC6C31"/>
    <w:rsid w:val="00BD0372"/>
    <w:rsid w:val="00BD0656"/>
    <w:rsid w:val="00BD3BC6"/>
    <w:rsid w:val="00BD4720"/>
    <w:rsid w:val="00BD4FC5"/>
    <w:rsid w:val="00BD568E"/>
    <w:rsid w:val="00BD6978"/>
    <w:rsid w:val="00BD70DF"/>
    <w:rsid w:val="00BD7667"/>
    <w:rsid w:val="00BE33BE"/>
    <w:rsid w:val="00BE33C3"/>
    <w:rsid w:val="00BE516F"/>
    <w:rsid w:val="00BE5E2F"/>
    <w:rsid w:val="00BE61F6"/>
    <w:rsid w:val="00BE7271"/>
    <w:rsid w:val="00BF04A9"/>
    <w:rsid w:val="00BF17CF"/>
    <w:rsid w:val="00BF1994"/>
    <w:rsid w:val="00BF4014"/>
    <w:rsid w:val="00BF6541"/>
    <w:rsid w:val="00C00063"/>
    <w:rsid w:val="00C00216"/>
    <w:rsid w:val="00C01490"/>
    <w:rsid w:val="00C03B8D"/>
    <w:rsid w:val="00C0405B"/>
    <w:rsid w:val="00C10A29"/>
    <w:rsid w:val="00C11814"/>
    <w:rsid w:val="00C1282A"/>
    <w:rsid w:val="00C129BF"/>
    <w:rsid w:val="00C139CA"/>
    <w:rsid w:val="00C14D57"/>
    <w:rsid w:val="00C20A83"/>
    <w:rsid w:val="00C22285"/>
    <w:rsid w:val="00C22A58"/>
    <w:rsid w:val="00C23A15"/>
    <w:rsid w:val="00C24051"/>
    <w:rsid w:val="00C252C8"/>
    <w:rsid w:val="00C2773E"/>
    <w:rsid w:val="00C27E90"/>
    <w:rsid w:val="00C3145C"/>
    <w:rsid w:val="00C3210D"/>
    <w:rsid w:val="00C322A5"/>
    <w:rsid w:val="00C330E2"/>
    <w:rsid w:val="00C35C6D"/>
    <w:rsid w:val="00C36DEE"/>
    <w:rsid w:val="00C40789"/>
    <w:rsid w:val="00C4364C"/>
    <w:rsid w:val="00C4408B"/>
    <w:rsid w:val="00C47C48"/>
    <w:rsid w:val="00C51429"/>
    <w:rsid w:val="00C541B2"/>
    <w:rsid w:val="00C6119F"/>
    <w:rsid w:val="00C61887"/>
    <w:rsid w:val="00C62416"/>
    <w:rsid w:val="00C624E8"/>
    <w:rsid w:val="00C6261A"/>
    <w:rsid w:val="00C62F22"/>
    <w:rsid w:val="00C645B6"/>
    <w:rsid w:val="00C650E6"/>
    <w:rsid w:val="00C65B98"/>
    <w:rsid w:val="00C66455"/>
    <w:rsid w:val="00C66DFD"/>
    <w:rsid w:val="00C66F7A"/>
    <w:rsid w:val="00C671EC"/>
    <w:rsid w:val="00C672BD"/>
    <w:rsid w:val="00C67676"/>
    <w:rsid w:val="00C677B3"/>
    <w:rsid w:val="00C71CEC"/>
    <w:rsid w:val="00C74818"/>
    <w:rsid w:val="00C74E50"/>
    <w:rsid w:val="00C773A4"/>
    <w:rsid w:val="00C804FC"/>
    <w:rsid w:val="00C81624"/>
    <w:rsid w:val="00C8235C"/>
    <w:rsid w:val="00C8439E"/>
    <w:rsid w:val="00C84F2D"/>
    <w:rsid w:val="00C856E1"/>
    <w:rsid w:val="00C863E4"/>
    <w:rsid w:val="00C86CCD"/>
    <w:rsid w:val="00C87318"/>
    <w:rsid w:val="00C875E7"/>
    <w:rsid w:val="00C9287D"/>
    <w:rsid w:val="00C92DC9"/>
    <w:rsid w:val="00C9351A"/>
    <w:rsid w:val="00C94455"/>
    <w:rsid w:val="00C94791"/>
    <w:rsid w:val="00CA0449"/>
    <w:rsid w:val="00CA1125"/>
    <w:rsid w:val="00CA1C1B"/>
    <w:rsid w:val="00CA1D21"/>
    <w:rsid w:val="00CA6E52"/>
    <w:rsid w:val="00CA6EF3"/>
    <w:rsid w:val="00CB0C40"/>
    <w:rsid w:val="00CB1978"/>
    <w:rsid w:val="00CB2ECF"/>
    <w:rsid w:val="00CB5EDE"/>
    <w:rsid w:val="00CB67D5"/>
    <w:rsid w:val="00CB6D5A"/>
    <w:rsid w:val="00CC12A7"/>
    <w:rsid w:val="00CC1A4C"/>
    <w:rsid w:val="00CC2DAC"/>
    <w:rsid w:val="00CC6153"/>
    <w:rsid w:val="00CC731A"/>
    <w:rsid w:val="00CC73C5"/>
    <w:rsid w:val="00CC7C90"/>
    <w:rsid w:val="00CC7D1D"/>
    <w:rsid w:val="00CD1DF9"/>
    <w:rsid w:val="00CD3497"/>
    <w:rsid w:val="00CD3F75"/>
    <w:rsid w:val="00CD4535"/>
    <w:rsid w:val="00CD7303"/>
    <w:rsid w:val="00CE12CA"/>
    <w:rsid w:val="00CE17DC"/>
    <w:rsid w:val="00CE2401"/>
    <w:rsid w:val="00CE371F"/>
    <w:rsid w:val="00CE57D0"/>
    <w:rsid w:val="00CF0434"/>
    <w:rsid w:val="00CF05A5"/>
    <w:rsid w:val="00CF0DA3"/>
    <w:rsid w:val="00CF2ED1"/>
    <w:rsid w:val="00CF30B7"/>
    <w:rsid w:val="00CF4138"/>
    <w:rsid w:val="00CF4830"/>
    <w:rsid w:val="00CF4A41"/>
    <w:rsid w:val="00CF5452"/>
    <w:rsid w:val="00CF585A"/>
    <w:rsid w:val="00CF5D71"/>
    <w:rsid w:val="00CF6217"/>
    <w:rsid w:val="00CF6D66"/>
    <w:rsid w:val="00CF70C0"/>
    <w:rsid w:val="00CF731E"/>
    <w:rsid w:val="00D0064A"/>
    <w:rsid w:val="00D00AAC"/>
    <w:rsid w:val="00D012E7"/>
    <w:rsid w:val="00D02000"/>
    <w:rsid w:val="00D04075"/>
    <w:rsid w:val="00D04272"/>
    <w:rsid w:val="00D07991"/>
    <w:rsid w:val="00D10077"/>
    <w:rsid w:val="00D1102A"/>
    <w:rsid w:val="00D126AA"/>
    <w:rsid w:val="00D13FE7"/>
    <w:rsid w:val="00D17A9E"/>
    <w:rsid w:val="00D17AE1"/>
    <w:rsid w:val="00D23DBD"/>
    <w:rsid w:val="00D246E3"/>
    <w:rsid w:val="00D30811"/>
    <w:rsid w:val="00D31363"/>
    <w:rsid w:val="00D31943"/>
    <w:rsid w:val="00D31E0A"/>
    <w:rsid w:val="00D34639"/>
    <w:rsid w:val="00D34845"/>
    <w:rsid w:val="00D349B8"/>
    <w:rsid w:val="00D34A3A"/>
    <w:rsid w:val="00D34AD5"/>
    <w:rsid w:val="00D351FF"/>
    <w:rsid w:val="00D35312"/>
    <w:rsid w:val="00D35A37"/>
    <w:rsid w:val="00D3612A"/>
    <w:rsid w:val="00D36CE6"/>
    <w:rsid w:val="00D37703"/>
    <w:rsid w:val="00D37874"/>
    <w:rsid w:val="00D37F25"/>
    <w:rsid w:val="00D41865"/>
    <w:rsid w:val="00D41D54"/>
    <w:rsid w:val="00D459D6"/>
    <w:rsid w:val="00D46E0A"/>
    <w:rsid w:val="00D4739F"/>
    <w:rsid w:val="00D51BD9"/>
    <w:rsid w:val="00D53518"/>
    <w:rsid w:val="00D5435B"/>
    <w:rsid w:val="00D643E0"/>
    <w:rsid w:val="00D66B10"/>
    <w:rsid w:val="00D67639"/>
    <w:rsid w:val="00D701F7"/>
    <w:rsid w:val="00D70BA5"/>
    <w:rsid w:val="00D70ECC"/>
    <w:rsid w:val="00D71B04"/>
    <w:rsid w:val="00D71E10"/>
    <w:rsid w:val="00D722D0"/>
    <w:rsid w:val="00D732A7"/>
    <w:rsid w:val="00D743FC"/>
    <w:rsid w:val="00D75641"/>
    <w:rsid w:val="00D761DC"/>
    <w:rsid w:val="00D762F9"/>
    <w:rsid w:val="00D7695F"/>
    <w:rsid w:val="00D77807"/>
    <w:rsid w:val="00D80B24"/>
    <w:rsid w:val="00D81643"/>
    <w:rsid w:val="00D8237F"/>
    <w:rsid w:val="00D82AE2"/>
    <w:rsid w:val="00D82B7D"/>
    <w:rsid w:val="00D847D3"/>
    <w:rsid w:val="00D85268"/>
    <w:rsid w:val="00D866A6"/>
    <w:rsid w:val="00D90BE9"/>
    <w:rsid w:val="00D90E90"/>
    <w:rsid w:val="00D91285"/>
    <w:rsid w:val="00D9148D"/>
    <w:rsid w:val="00D92033"/>
    <w:rsid w:val="00D92177"/>
    <w:rsid w:val="00D93FB2"/>
    <w:rsid w:val="00D96AA3"/>
    <w:rsid w:val="00D971B6"/>
    <w:rsid w:val="00D97312"/>
    <w:rsid w:val="00D97BB9"/>
    <w:rsid w:val="00DA013A"/>
    <w:rsid w:val="00DA0D5B"/>
    <w:rsid w:val="00DA5E1E"/>
    <w:rsid w:val="00DB046D"/>
    <w:rsid w:val="00DB0677"/>
    <w:rsid w:val="00DB2239"/>
    <w:rsid w:val="00DB2FE0"/>
    <w:rsid w:val="00DB331D"/>
    <w:rsid w:val="00DB38DB"/>
    <w:rsid w:val="00DB3942"/>
    <w:rsid w:val="00DB4F38"/>
    <w:rsid w:val="00DB5211"/>
    <w:rsid w:val="00DB5FF3"/>
    <w:rsid w:val="00DC4D38"/>
    <w:rsid w:val="00DD0CA1"/>
    <w:rsid w:val="00DD1EC4"/>
    <w:rsid w:val="00DD3BF6"/>
    <w:rsid w:val="00DD52EC"/>
    <w:rsid w:val="00DD6CA2"/>
    <w:rsid w:val="00DD7813"/>
    <w:rsid w:val="00DD7831"/>
    <w:rsid w:val="00DD7D52"/>
    <w:rsid w:val="00DE0BB6"/>
    <w:rsid w:val="00DE0DC5"/>
    <w:rsid w:val="00DE0E29"/>
    <w:rsid w:val="00DE1177"/>
    <w:rsid w:val="00DE14E7"/>
    <w:rsid w:val="00DE16CD"/>
    <w:rsid w:val="00DE1CB9"/>
    <w:rsid w:val="00DE1E5D"/>
    <w:rsid w:val="00DE2ED5"/>
    <w:rsid w:val="00DE40F5"/>
    <w:rsid w:val="00DE4D51"/>
    <w:rsid w:val="00DE62BB"/>
    <w:rsid w:val="00DE62F0"/>
    <w:rsid w:val="00DE643F"/>
    <w:rsid w:val="00DE69E7"/>
    <w:rsid w:val="00DE6CF6"/>
    <w:rsid w:val="00DF4B62"/>
    <w:rsid w:val="00DF6DB8"/>
    <w:rsid w:val="00E00325"/>
    <w:rsid w:val="00E009D4"/>
    <w:rsid w:val="00E036ED"/>
    <w:rsid w:val="00E05912"/>
    <w:rsid w:val="00E0748A"/>
    <w:rsid w:val="00E121DD"/>
    <w:rsid w:val="00E12AEA"/>
    <w:rsid w:val="00E12FE4"/>
    <w:rsid w:val="00E14B1B"/>
    <w:rsid w:val="00E15572"/>
    <w:rsid w:val="00E15847"/>
    <w:rsid w:val="00E15EFF"/>
    <w:rsid w:val="00E17EB2"/>
    <w:rsid w:val="00E22F1B"/>
    <w:rsid w:val="00E22F7A"/>
    <w:rsid w:val="00E23258"/>
    <w:rsid w:val="00E25DBD"/>
    <w:rsid w:val="00E27A94"/>
    <w:rsid w:val="00E27D9A"/>
    <w:rsid w:val="00E30A8B"/>
    <w:rsid w:val="00E35B7C"/>
    <w:rsid w:val="00E369BB"/>
    <w:rsid w:val="00E409B4"/>
    <w:rsid w:val="00E410A4"/>
    <w:rsid w:val="00E41F5C"/>
    <w:rsid w:val="00E42D56"/>
    <w:rsid w:val="00E4622C"/>
    <w:rsid w:val="00E47072"/>
    <w:rsid w:val="00E474FD"/>
    <w:rsid w:val="00E504BC"/>
    <w:rsid w:val="00E50942"/>
    <w:rsid w:val="00E51FFB"/>
    <w:rsid w:val="00E52A0E"/>
    <w:rsid w:val="00E52F55"/>
    <w:rsid w:val="00E55FD1"/>
    <w:rsid w:val="00E57666"/>
    <w:rsid w:val="00E601F5"/>
    <w:rsid w:val="00E6025C"/>
    <w:rsid w:val="00E6026B"/>
    <w:rsid w:val="00E604D5"/>
    <w:rsid w:val="00E607BA"/>
    <w:rsid w:val="00E60AD0"/>
    <w:rsid w:val="00E61D74"/>
    <w:rsid w:val="00E63036"/>
    <w:rsid w:val="00E641E7"/>
    <w:rsid w:val="00E66BA0"/>
    <w:rsid w:val="00E702D4"/>
    <w:rsid w:val="00E70520"/>
    <w:rsid w:val="00E71147"/>
    <w:rsid w:val="00E71488"/>
    <w:rsid w:val="00E72B37"/>
    <w:rsid w:val="00E75235"/>
    <w:rsid w:val="00E772EF"/>
    <w:rsid w:val="00E77DEB"/>
    <w:rsid w:val="00E82BB0"/>
    <w:rsid w:val="00E83833"/>
    <w:rsid w:val="00E840B5"/>
    <w:rsid w:val="00E84BAA"/>
    <w:rsid w:val="00E85951"/>
    <w:rsid w:val="00E874DA"/>
    <w:rsid w:val="00E87527"/>
    <w:rsid w:val="00E925EA"/>
    <w:rsid w:val="00E928CE"/>
    <w:rsid w:val="00E94C7A"/>
    <w:rsid w:val="00E96BA5"/>
    <w:rsid w:val="00E96F36"/>
    <w:rsid w:val="00EA1E01"/>
    <w:rsid w:val="00EA70D8"/>
    <w:rsid w:val="00EB1101"/>
    <w:rsid w:val="00EB1674"/>
    <w:rsid w:val="00EB28CA"/>
    <w:rsid w:val="00EB579E"/>
    <w:rsid w:val="00EB5BF3"/>
    <w:rsid w:val="00EB688F"/>
    <w:rsid w:val="00EB6CAE"/>
    <w:rsid w:val="00EC4169"/>
    <w:rsid w:val="00EC50B9"/>
    <w:rsid w:val="00EC649D"/>
    <w:rsid w:val="00EC695D"/>
    <w:rsid w:val="00EC6FF9"/>
    <w:rsid w:val="00ED18EE"/>
    <w:rsid w:val="00ED29E2"/>
    <w:rsid w:val="00ED34C8"/>
    <w:rsid w:val="00ED4210"/>
    <w:rsid w:val="00ED5440"/>
    <w:rsid w:val="00ED560C"/>
    <w:rsid w:val="00ED6676"/>
    <w:rsid w:val="00ED73F6"/>
    <w:rsid w:val="00ED74B4"/>
    <w:rsid w:val="00EE0578"/>
    <w:rsid w:val="00EE0617"/>
    <w:rsid w:val="00EE0E9A"/>
    <w:rsid w:val="00EE1307"/>
    <w:rsid w:val="00EE20A0"/>
    <w:rsid w:val="00EE2E73"/>
    <w:rsid w:val="00EE547D"/>
    <w:rsid w:val="00EF04AF"/>
    <w:rsid w:val="00EF04C1"/>
    <w:rsid w:val="00EF12A4"/>
    <w:rsid w:val="00EF1918"/>
    <w:rsid w:val="00EF1E9D"/>
    <w:rsid w:val="00EF4204"/>
    <w:rsid w:val="00EF4A3D"/>
    <w:rsid w:val="00EF4E68"/>
    <w:rsid w:val="00EF55D0"/>
    <w:rsid w:val="00EF5DFB"/>
    <w:rsid w:val="00EF631B"/>
    <w:rsid w:val="00EF6F79"/>
    <w:rsid w:val="00F00469"/>
    <w:rsid w:val="00F005AE"/>
    <w:rsid w:val="00F04192"/>
    <w:rsid w:val="00F063B6"/>
    <w:rsid w:val="00F1292B"/>
    <w:rsid w:val="00F12EE7"/>
    <w:rsid w:val="00F13CE1"/>
    <w:rsid w:val="00F13E15"/>
    <w:rsid w:val="00F140F5"/>
    <w:rsid w:val="00F15A66"/>
    <w:rsid w:val="00F17336"/>
    <w:rsid w:val="00F20155"/>
    <w:rsid w:val="00F21260"/>
    <w:rsid w:val="00F21484"/>
    <w:rsid w:val="00F214EB"/>
    <w:rsid w:val="00F21817"/>
    <w:rsid w:val="00F22452"/>
    <w:rsid w:val="00F244C7"/>
    <w:rsid w:val="00F2510D"/>
    <w:rsid w:val="00F25E2C"/>
    <w:rsid w:val="00F2684C"/>
    <w:rsid w:val="00F268BA"/>
    <w:rsid w:val="00F26A9F"/>
    <w:rsid w:val="00F272C4"/>
    <w:rsid w:val="00F308F4"/>
    <w:rsid w:val="00F3242C"/>
    <w:rsid w:val="00F33611"/>
    <w:rsid w:val="00F35CA1"/>
    <w:rsid w:val="00F36C85"/>
    <w:rsid w:val="00F37153"/>
    <w:rsid w:val="00F409D5"/>
    <w:rsid w:val="00F40C75"/>
    <w:rsid w:val="00F422F9"/>
    <w:rsid w:val="00F427F3"/>
    <w:rsid w:val="00F428CA"/>
    <w:rsid w:val="00F42CC8"/>
    <w:rsid w:val="00F4325E"/>
    <w:rsid w:val="00F43EE3"/>
    <w:rsid w:val="00F4565A"/>
    <w:rsid w:val="00F45DD1"/>
    <w:rsid w:val="00F46382"/>
    <w:rsid w:val="00F526E3"/>
    <w:rsid w:val="00F53F73"/>
    <w:rsid w:val="00F5472C"/>
    <w:rsid w:val="00F54D2F"/>
    <w:rsid w:val="00F54D3F"/>
    <w:rsid w:val="00F55103"/>
    <w:rsid w:val="00F55C48"/>
    <w:rsid w:val="00F55F0C"/>
    <w:rsid w:val="00F57A15"/>
    <w:rsid w:val="00F60648"/>
    <w:rsid w:val="00F60CDC"/>
    <w:rsid w:val="00F625F6"/>
    <w:rsid w:val="00F6279F"/>
    <w:rsid w:val="00F633AA"/>
    <w:rsid w:val="00F65616"/>
    <w:rsid w:val="00F7257E"/>
    <w:rsid w:val="00F75C43"/>
    <w:rsid w:val="00F76BEA"/>
    <w:rsid w:val="00F77D9E"/>
    <w:rsid w:val="00F80C66"/>
    <w:rsid w:val="00F817C8"/>
    <w:rsid w:val="00F81FFB"/>
    <w:rsid w:val="00F855B5"/>
    <w:rsid w:val="00F86AF2"/>
    <w:rsid w:val="00F93CBB"/>
    <w:rsid w:val="00F94060"/>
    <w:rsid w:val="00F941C2"/>
    <w:rsid w:val="00F95B3F"/>
    <w:rsid w:val="00F96E30"/>
    <w:rsid w:val="00F97C84"/>
    <w:rsid w:val="00FA0C8C"/>
    <w:rsid w:val="00FA57B3"/>
    <w:rsid w:val="00FA747F"/>
    <w:rsid w:val="00FA7FA9"/>
    <w:rsid w:val="00FB15E1"/>
    <w:rsid w:val="00FB27B0"/>
    <w:rsid w:val="00FB5D7B"/>
    <w:rsid w:val="00FB6F5F"/>
    <w:rsid w:val="00FB78FE"/>
    <w:rsid w:val="00FC0AEC"/>
    <w:rsid w:val="00FC2AD8"/>
    <w:rsid w:val="00FC326F"/>
    <w:rsid w:val="00FC35E1"/>
    <w:rsid w:val="00FC3E0F"/>
    <w:rsid w:val="00FC7B03"/>
    <w:rsid w:val="00FC7C0E"/>
    <w:rsid w:val="00FD0202"/>
    <w:rsid w:val="00FD0B20"/>
    <w:rsid w:val="00FD4D9F"/>
    <w:rsid w:val="00FD507D"/>
    <w:rsid w:val="00FD576F"/>
    <w:rsid w:val="00FD579B"/>
    <w:rsid w:val="00FD6F1D"/>
    <w:rsid w:val="00FE3486"/>
    <w:rsid w:val="00FE540B"/>
    <w:rsid w:val="00FE5F03"/>
    <w:rsid w:val="00FE612E"/>
    <w:rsid w:val="00FE6581"/>
    <w:rsid w:val="00FF1317"/>
    <w:rsid w:val="00FF5831"/>
    <w:rsid w:val="00FF5BA9"/>
    <w:rsid w:val="00FF68B2"/>
    <w:rsid w:val="022F9085"/>
    <w:rsid w:val="1C7087B0"/>
    <w:rsid w:val="1EEEF7E5"/>
    <w:rsid w:val="37B145D1"/>
    <w:rsid w:val="3C2719B5"/>
    <w:rsid w:val="3CDDAB5C"/>
    <w:rsid w:val="4197BC8A"/>
    <w:rsid w:val="47D7BE75"/>
    <w:rsid w:val="6165F262"/>
    <w:rsid w:val="69A795B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white" stroke="f">
      <v:fill color="white" on="f"/>
      <v:stroke on="f"/>
    </o:shapedefaults>
    <o:shapelayout v:ext="edit">
      <o:idmap v:ext="edit" data="2"/>
    </o:shapelayout>
  </w:shapeDefaults>
  <w:decimalSymbol w:val="."/>
  <w:listSeparator w:val=","/>
  <w14:docId w14:val="06EE21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2" w:uiPriority="39"/>
    <w:lsdException w:name="toc 4" w:locked="1"/>
    <w:lsdException w:name="toc 5" w:locked="1"/>
    <w:lsdException w:name="toc 6" w:locked="1"/>
    <w:lsdException w:name="toc 7" w:locked="1"/>
    <w:lsdException w:name="toc 8" w:locked="1"/>
    <w:lsdException w:name="toc 9" w:locked="1"/>
    <w:lsdException w:name="Normal Indent" w:locked="1"/>
    <w:lsdException w:name="annotation text" w:qFormat="1"/>
    <w:lsdException w:name="index heading" w:locked="1"/>
    <w:lsdException w:name="caption" w:semiHidden="1" w:unhideWhenUsed="1" w:qFormat="1"/>
    <w:lsdException w:name="table of figures" w:locked="1"/>
    <w:lsdException w:name="envelope address" w:locked="1"/>
    <w:lsdException w:name="envelope return" w:locked="1"/>
    <w:lsdException w:name="footnote reference" w:locked="1"/>
    <w:lsdException w:name="annotation reference" w:qFormat="1"/>
    <w:lsdException w:name="lin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Strong" w:locked="1" w:uiPriority="22" w:qFormat="1"/>
    <w:lsdException w:name="Emphasis" w:locked="1" w:qFormat="1"/>
    <w:lsdException w:name="Document Map" w:locked="1"/>
    <w:lsdException w:name="Plain Text" w:locked="1"/>
    <w:lsdException w:name="E-mail Signature"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semiHidden="1" w:unhideWhenUsed="1"/>
    <w:lsdException w:name="Normal Table"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4D9F"/>
    <w:rPr>
      <w:sz w:val="24"/>
      <w:szCs w:val="24"/>
      <w:lang w:eastAsia="en-US"/>
    </w:rPr>
  </w:style>
  <w:style w:type="paragraph" w:styleId="Heading1">
    <w:name w:val="heading 1"/>
    <w:basedOn w:val="Normal"/>
    <w:next w:val="NICEnormal"/>
    <w:link w:val="Heading1Char"/>
    <w:qFormat/>
    <w:rsid w:val="008D54D1"/>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8D54D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8D54D1"/>
    <w:pPr>
      <w:spacing w:before="120" w:after="60" w:line="360" w:lineRule="auto"/>
      <w:outlineLvl w:val="2"/>
    </w:pPr>
    <w:rPr>
      <w:rFonts w:ascii="Arial" w:hAnsi="Arial" w:cs="Arial"/>
      <w:b/>
      <w:bCs/>
      <w:sz w:val="26"/>
      <w:szCs w:val="26"/>
    </w:rPr>
  </w:style>
  <w:style w:type="paragraph" w:styleId="Heading4">
    <w:name w:val="heading 4"/>
    <w:basedOn w:val="Normal"/>
    <w:next w:val="NICEnormal"/>
    <w:qFormat/>
    <w:rsid w:val="008D54D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8D54D1"/>
    <w:pPr>
      <w:spacing w:after="240" w:line="360" w:lineRule="auto"/>
    </w:pPr>
    <w:rPr>
      <w:rFonts w:ascii="Arial" w:hAnsi="Arial"/>
      <w:sz w:val="24"/>
      <w:szCs w:val="24"/>
      <w:lang w:eastAsia="en-US"/>
    </w:rPr>
  </w:style>
  <w:style w:type="paragraph" w:customStyle="1" w:styleId="Unnumberedboldheading">
    <w:name w:val="Unnumbered bold heading"/>
    <w:next w:val="NICEnormal"/>
    <w:rsid w:val="005C762E"/>
    <w:pPr>
      <w:keepNext/>
      <w:widowControl w:val="0"/>
      <w:spacing w:after="120"/>
    </w:pPr>
    <w:rPr>
      <w:rFonts w:ascii="Arial" w:hAnsi="Arial"/>
      <w:b/>
      <w:sz w:val="24"/>
      <w:szCs w:val="24"/>
      <w:lang w:val="en-US" w:eastAsia="en-US"/>
    </w:rPr>
  </w:style>
  <w:style w:type="paragraph" w:customStyle="1" w:styleId="Unnumbereditalicheading">
    <w:name w:val="Unnumbered italic heading"/>
    <w:next w:val="NICEnormal"/>
    <w:locked/>
    <w:rsid w:val="005C762E"/>
    <w:pPr>
      <w:keepNext/>
      <w:widowControl w:val="0"/>
      <w:spacing w:after="120"/>
    </w:pPr>
    <w:rPr>
      <w:rFonts w:ascii="Arial" w:hAnsi="Arial"/>
      <w:i/>
      <w:sz w:val="24"/>
      <w:szCs w:val="24"/>
      <w:lang w:val="en-US" w:eastAsia="en-US"/>
    </w:rPr>
  </w:style>
  <w:style w:type="paragraph" w:customStyle="1" w:styleId="NICEnormalsinglespacing">
    <w:name w:val="NICE normal single spacing"/>
    <w:basedOn w:val="NICEnormal"/>
    <w:rsid w:val="008D54D1"/>
    <w:pPr>
      <w:spacing w:line="240" w:lineRule="auto"/>
    </w:pPr>
  </w:style>
  <w:style w:type="paragraph" w:styleId="Title">
    <w:name w:val="Title"/>
    <w:basedOn w:val="Normal"/>
    <w:next w:val="NICEnormal"/>
    <w:qFormat/>
    <w:rsid w:val="00BB047B"/>
    <w:pPr>
      <w:keepNext/>
      <w:spacing w:before="240" w:after="240"/>
      <w:jc w:val="center"/>
      <w:outlineLvl w:val="0"/>
    </w:pPr>
    <w:rPr>
      <w:rFonts w:ascii="Arial" w:hAnsi="Arial" w:cs="Arial"/>
      <w:b/>
      <w:bCs/>
      <w:kern w:val="28"/>
      <w:sz w:val="40"/>
      <w:szCs w:val="32"/>
    </w:rPr>
  </w:style>
  <w:style w:type="paragraph" w:customStyle="1" w:styleId="Title16pt">
    <w:name w:val="Title 16 pt"/>
    <w:basedOn w:val="Title"/>
    <w:rsid w:val="005C762E"/>
    <w:rPr>
      <w:sz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qFormat/>
    <w:rsid w:val="008D54D1"/>
    <w:pPr>
      <w:numPr>
        <w:numId w:val="19"/>
      </w:numPr>
    </w:pPr>
    <w:rPr>
      <w:szCs w:val="24"/>
    </w:rPr>
  </w:style>
  <w:style w:type="paragraph" w:customStyle="1" w:styleId="Numberedheading2">
    <w:name w:val="Numbered heading 2"/>
    <w:basedOn w:val="Heading2"/>
    <w:next w:val="NICEnormal"/>
    <w:link w:val="Numberedheading2Char"/>
    <w:rsid w:val="008D54D1"/>
  </w:style>
  <w:style w:type="paragraph" w:customStyle="1" w:styleId="Numberedheading3">
    <w:name w:val="Numbered heading 3"/>
    <w:basedOn w:val="Heading3"/>
    <w:next w:val="NICEnormal"/>
    <w:rsid w:val="00C51429"/>
  </w:style>
  <w:style w:type="paragraph" w:customStyle="1" w:styleId="Numberedlevel4text">
    <w:name w:val="Numbered level 4 text"/>
    <w:basedOn w:val="NICEnormal"/>
    <w:next w:val="NICEnormal"/>
    <w:rsid w:val="0092657D"/>
  </w:style>
  <w:style w:type="paragraph" w:customStyle="1" w:styleId="Numberedlevel3text">
    <w:name w:val="Numbered level 3 text"/>
    <w:basedOn w:val="Numberedheading3"/>
    <w:rsid w:val="0092657D"/>
    <w:pPr>
      <w:spacing w:before="0" w:after="240"/>
    </w:pPr>
    <w:rPr>
      <w:b w:val="0"/>
      <w:sz w:val="24"/>
    </w:rPr>
  </w:style>
  <w:style w:type="paragraph" w:customStyle="1" w:styleId="Bulletindent2">
    <w:name w:val="Bullet indent 2"/>
    <w:basedOn w:val="NICEnormal"/>
    <w:rsid w:val="008D54D1"/>
    <w:pPr>
      <w:numPr>
        <w:ilvl w:val="1"/>
        <w:numId w:val="13"/>
      </w:numPr>
      <w:spacing w:after="0"/>
    </w:pPr>
  </w:style>
  <w:style w:type="paragraph" w:customStyle="1" w:styleId="Title16ptleft">
    <w:name w:val="Title 16 pt left"/>
    <w:basedOn w:val="Title16pt"/>
    <w:locked/>
    <w:rsid w:val="00D37F25"/>
    <w:pPr>
      <w:jc w:val="left"/>
    </w:pPr>
  </w:style>
  <w:style w:type="paragraph" w:customStyle="1" w:styleId="Bulletleft1">
    <w:name w:val="Bullet left 1"/>
    <w:basedOn w:val="NICEnormal"/>
    <w:qFormat/>
    <w:rsid w:val="008D54D1"/>
    <w:pPr>
      <w:numPr>
        <w:numId w:val="15"/>
      </w:numPr>
      <w:spacing w:after="0"/>
    </w:pPr>
  </w:style>
  <w:style w:type="paragraph" w:customStyle="1" w:styleId="Bulletleft2">
    <w:name w:val="Bullet left 2"/>
    <w:basedOn w:val="NICEnormal"/>
    <w:rsid w:val="008D54D1"/>
    <w:pPr>
      <w:numPr>
        <w:ilvl w:val="1"/>
        <w:numId w:val="17"/>
      </w:numPr>
      <w:spacing w:after="0"/>
    </w:pPr>
  </w:style>
  <w:style w:type="paragraph" w:customStyle="1" w:styleId="Bulletleft3">
    <w:name w:val="Bullet left 3"/>
    <w:basedOn w:val="NICEnormal"/>
    <w:rsid w:val="008D54D1"/>
    <w:pPr>
      <w:numPr>
        <w:ilvl w:val="2"/>
        <w:numId w:val="18"/>
      </w:numPr>
      <w:spacing w:after="0"/>
    </w:pPr>
  </w:style>
  <w:style w:type="paragraph" w:customStyle="1" w:styleId="Bulletindent1">
    <w:name w:val="Bullet indent 1"/>
    <w:basedOn w:val="NICEnormal"/>
    <w:link w:val="Bulletindent1Char"/>
    <w:rsid w:val="008D54D1"/>
    <w:pPr>
      <w:numPr>
        <w:numId w:val="11"/>
      </w:numPr>
      <w:spacing w:after="0"/>
    </w:pPr>
  </w:style>
  <w:style w:type="character" w:customStyle="1" w:styleId="Heading1Char">
    <w:name w:val="Heading 1 Char"/>
    <w:link w:val="Heading1"/>
    <w:rsid w:val="008D54D1"/>
    <w:rPr>
      <w:rFonts w:ascii="Arial" w:hAnsi="Arial" w:cs="Arial"/>
      <w:b/>
      <w:bCs/>
      <w:kern w:val="32"/>
      <w:sz w:val="32"/>
      <w:szCs w:val="32"/>
      <w:lang w:eastAsia="en-US"/>
    </w:rPr>
  </w:style>
  <w:style w:type="character" w:customStyle="1" w:styleId="Numberedheading1CharChar">
    <w:name w:val="Numbered heading 1 Char Char"/>
    <w:link w:val="Numberedheading1"/>
    <w:rsid w:val="008D54D1"/>
    <w:rPr>
      <w:rFonts w:ascii="Arial" w:hAnsi="Arial" w:cs="Arial"/>
      <w:b/>
      <w:bCs/>
      <w:kern w:val="32"/>
      <w:sz w:val="32"/>
      <w:szCs w:val="24"/>
      <w:lang w:eastAsia="en-US"/>
    </w:rPr>
  </w:style>
  <w:style w:type="paragraph" w:customStyle="1" w:styleId="Bulletindent3">
    <w:name w:val="Bullet indent 3"/>
    <w:basedOn w:val="NICEnormal"/>
    <w:rsid w:val="008D54D1"/>
    <w:pPr>
      <w:numPr>
        <w:ilvl w:val="2"/>
        <w:numId w:val="14"/>
      </w:numPr>
      <w:spacing w:after="0"/>
    </w:pPr>
  </w:style>
  <w:style w:type="paragraph" w:customStyle="1" w:styleId="Numberedlevel2text">
    <w:name w:val="Numbered level 2 text"/>
    <w:basedOn w:val="Normal"/>
    <w:link w:val="Numberedlevel2textChar"/>
    <w:qFormat/>
    <w:rsid w:val="008D54D1"/>
    <w:pPr>
      <w:numPr>
        <w:ilvl w:val="1"/>
        <w:numId w:val="19"/>
      </w:numPr>
      <w:spacing w:after="240" w:line="360" w:lineRule="auto"/>
    </w:pPr>
    <w:rPr>
      <w:rFonts w:ascii="Arial" w:hAnsi="Arial"/>
      <w:bCs/>
      <w:iCs/>
      <w:szCs w:val="28"/>
      <w:lang w:val="x-none"/>
    </w:rPr>
  </w:style>
  <w:style w:type="paragraph" w:customStyle="1" w:styleId="Bulletleft1last">
    <w:name w:val="Bullet left 1 last"/>
    <w:basedOn w:val="NICEnormal"/>
    <w:link w:val="Bulletleft1lastChar"/>
    <w:rsid w:val="008D54D1"/>
    <w:pPr>
      <w:numPr>
        <w:numId w:val="16"/>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rsid w:val="008D54D1"/>
    <w:pPr>
      <w:tabs>
        <w:tab w:val="center" w:pos="4153"/>
        <w:tab w:val="right" w:pos="8306"/>
      </w:tabs>
    </w:pPr>
  </w:style>
  <w:style w:type="paragraph" w:styleId="Footer">
    <w:name w:val="footer"/>
    <w:basedOn w:val="NICEnormalsinglespacing"/>
    <w:rsid w:val="008D54D1"/>
    <w:pPr>
      <w:tabs>
        <w:tab w:val="center" w:pos="4153"/>
        <w:tab w:val="right" w:pos="8306"/>
      </w:tabs>
    </w:pPr>
  </w:style>
  <w:style w:type="character" w:styleId="PageNumber">
    <w:name w:val="page number"/>
    <w:rsid w:val="008D54D1"/>
    <w:rPr>
      <w:rFonts w:ascii="Arial" w:hAnsi="Arial"/>
      <w:sz w:val="24"/>
    </w:rPr>
  </w:style>
  <w:style w:type="paragraph" w:customStyle="1" w:styleId="Bulletindent1last">
    <w:name w:val="Bullet indent 1 last"/>
    <w:basedOn w:val="NICEnormal"/>
    <w:next w:val="NICEnormal"/>
    <w:rsid w:val="008D54D1"/>
    <w:pPr>
      <w:numPr>
        <w:numId w:val="12"/>
      </w:numPr>
    </w:pPr>
  </w:style>
  <w:style w:type="paragraph" w:customStyle="1" w:styleId="NICEnormalindented">
    <w:name w:val="NICE normal indented"/>
    <w:basedOn w:val="NICEnormal"/>
    <w:rsid w:val="008D54D1"/>
    <w:pPr>
      <w:tabs>
        <w:tab w:val="left" w:pos="1134"/>
      </w:tabs>
      <w:ind w:left="1134"/>
    </w:pPr>
  </w:style>
  <w:style w:type="paragraph" w:customStyle="1" w:styleId="Tabletitle">
    <w:name w:val="Table title"/>
    <w:basedOn w:val="NICEnormal"/>
    <w:next w:val="NICEnormal"/>
    <w:rsid w:val="00BD0372"/>
    <w:pPr>
      <w:keepNext/>
      <w:spacing w:after="60" w:line="240" w:lineRule="auto"/>
    </w:pPr>
    <w:rPr>
      <w:b/>
    </w:rPr>
  </w:style>
  <w:style w:type="paragraph" w:customStyle="1" w:styleId="Tabletext">
    <w:name w:val="Table text"/>
    <w:basedOn w:val="NICEnormalsinglespacing"/>
    <w:rsid w:val="008D54D1"/>
    <w:pPr>
      <w:keepNext/>
      <w:spacing w:after="60"/>
    </w:pPr>
    <w:rPr>
      <w:sz w:val="22"/>
    </w:rPr>
  </w:style>
  <w:style w:type="paragraph" w:customStyle="1" w:styleId="TabletextIPoverviewevidence">
    <w:name w:val="Table text IP overview evidence"/>
    <w:basedOn w:val="Tabletext"/>
    <w:locked/>
    <w:rsid w:val="00BD0372"/>
    <w:rPr>
      <w:sz w:val="18"/>
    </w:rPr>
  </w:style>
  <w:style w:type="paragraph" w:customStyle="1" w:styleId="Introtextbullet">
    <w:name w:val="Intro text bullet"/>
    <w:basedOn w:val="Introtext"/>
    <w:locked/>
    <w:rsid w:val="00E0748A"/>
    <w:pPr>
      <w:numPr>
        <w:numId w:val="10"/>
      </w:numPr>
    </w:pPr>
  </w:style>
  <w:style w:type="paragraph" w:customStyle="1" w:styleId="Section2paragraphs">
    <w:name w:val="Section 2 paragraphs"/>
    <w:basedOn w:val="NICEnormal"/>
    <w:locked/>
    <w:rsid w:val="00161AA0"/>
    <w:pPr>
      <w:numPr>
        <w:numId w:val="1"/>
      </w:numPr>
    </w:pPr>
  </w:style>
  <w:style w:type="paragraph" w:customStyle="1" w:styleId="Section3paragraphs">
    <w:name w:val="Section 3 paragraphs"/>
    <w:basedOn w:val="NICEnormal"/>
    <w:locked/>
    <w:rsid w:val="00D37703"/>
    <w:pPr>
      <w:numPr>
        <w:numId w:val="2"/>
      </w:numPr>
    </w:pPr>
  </w:style>
  <w:style w:type="paragraph" w:customStyle="1" w:styleId="Section411paragraphs">
    <w:name w:val="Section 4.1.1 paragraphs"/>
    <w:basedOn w:val="NICEnormal"/>
    <w:locked/>
    <w:rsid w:val="00D37703"/>
    <w:pPr>
      <w:numPr>
        <w:numId w:val="3"/>
      </w:numPr>
    </w:pPr>
  </w:style>
  <w:style w:type="character" w:customStyle="1" w:styleId="Heading2Char">
    <w:name w:val="Heading 2 Char"/>
    <w:link w:val="Heading2"/>
    <w:rsid w:val="008D54D1"/>
    <w:rPr>
      <w:rFonts w:ascii="Arial" w:hAnsi="Arial" w:cs="Arial"/>
      <w:b/>
      <w:bCs/>
      <w:sz w:val="28"/>
      <w:szCs w:val="28"/>
      <w:lang w:eastAsia="en-US"/>
    </w:rPr>
  </w:style>
  <w:style w:type="character" w:customStyle="1" w:styleId="Numberedheading2Char">
    <w:name w:val="Numbered heading 2 Char"/>
    <w:basedOn w:val="Heading2Char"/>
    <w:link w:val="Numberedheading2"/>
    <w:rsid w:val="008D54D1"/>
    <w:rPr>
      <w:rFonts w:ascii="Arial" w:hAnsi="Arial" w:cs="Arial"/>
      <w:b/>
      <w:bCs/>
      <w:sz w:val="28"/>
      <w:szCs w:val="28"/>
      <w:lang w:eastAsia="en-US"/>
    </w:rPr>
  </w:style>
  <w:style w:type="paragraph" w:customStyle="1" w:styleId="Section412paragraphs">
    <w:name w:val="Section 4.1.2 paragraphs"/>
    <w:basedOn w:val="NICEnormal"/>
    <w:locked/>
    <w:rsid w:val="008D54D1"/>
    <w:pPr>
      <w:numPr>
        <w:numId w:val="22"/>
      </w:numPr>
    </w:pPr>
  </w:style>
  <w:style w:type="paragraph" w:customStyle="1" w:styleId="Section42paragraphs">
    <w:name w:val="Section 4.2 paragraphs"/>
    <w:basedOn w:val="NICEnormal"/>
    <w:locked/>
    <w:rsid w:val="00D37703"/>
    <w:pPr>
      <w:numPr>
        <w:numId w:val="4"/>
      </w:numPr>
    </w:pPr>
  </w:style>
  <w:style w:type="paragraph" w:customStyle="1" w:styleId="Section43paragraphs">
    <w:name w:val="Section 4.3 paragraphs"/>
    <w:basedOn w:val="NICEnormal"/>
    <w:locked/>
    <w:rsid w:val="00AB39FA"/>
    <w:pPr>
      <w:numPr>
        <w:numId w:val="5"/>
      </w:numPr>
    </w:pPr>
  </w:style>
  <w:style w:type="paragraph" w:customStyle="1" w:styleId="Appendixlevel1">
    <w:name w:val="Appendix level 1"/>
    <w:basedOn w:val="NICEnormal"/>
    <w:autoRedefine/>
    <w:locked/>
    <w:rsid w:val="004B514C"/>
    <w:pPr>
      <w:numPr>
        <w:numId w:val="6"/>
      </w:numPr>
      <w:spacing w:before="240"/>
    </w:pPr>
  </w:style>
  <w:style w:type="paragraph" w:customStyle="1" w:styleId="Appendixlevel2">
    <w:name w:val="Appendix level 2"/>
    <w:basedOn w:val="NICEnormal"/>
    <w:locked/>
    <w:rsid w:val="00612789"/>
    <w:pPr>
      <w:numPr>
        <w:numId w:val="7"/>
      </w:numPr>
      <w:spacing w:before="240"/>
    </w:pPr>
  </w:style>
  <w:style w:type="paragraph" w:customStyle="1" w:styleId="Appendixbullet">
    <w:name w:val="Appendix bullet"/>
    <w:basedOn w:val="NICEnormal"/>
    <w:locked/>
    <w:rsid w:val="004B514C"/>
    <w:pPr>
      <w:numPr>
        <w:numId w:val="8"/>
      </w:numPr>
      <w:spacing w:after="0" w:line="240" w:lineRule="auto"/>
    </w:pPr>
  </w:style>
  <w:style w:type="paragraph" w:customStyle="1" w:styleId="Appendixreferences">
    <w:name w:val="Appendix references"/>
    <w:basedOn w:val="NICEnormal"/>
    <w:locked/>
    <w:rsid w:val="00E0748A"/>
    <w:pPr>
      <w:tabs>
        <w:tab w:val="left" w:pos="567"/>
      </w:tabs>
      <w:spacing w:after="120"/>
      <w:ind w:left="567"/>
    </w:pPr>
  </w:style>
  <w:style w:type="paragraph" w:customStyle="1" w:styleId="References">
    <w:name w:val="References"/>
    <w:basedOn w:val="NICEnormalsinglespacing"/>
    <w:locked/>
    <w:rsid w:val="00A06657"/>
    <w:pPr>
      <w:numPr>
        <w:numId w:val="9"/>
      </w:numPr>
      <w:spacing w:after="120"/>
    </w:pPr>
  </w:style>
  <w:style w:type="paragraph" w:customStyle="1" w:styleId="Appendixindent">
    <w:name w:val="Appendix indent"/>
    <w:basedOn w:val="NICEnormal"/>
    <w:locked/>
    <w:rsid w:val="003A3974"/>
    <w:pPr>
      <w:ind w:left="567"/>
    </w:pPr>
  </w:style>
  <w:style w:type="table" w:styleId="TableGrid">
    <w:name w:val="Table Grid"/>
    <w:basedOn w:val="TableNormal"/>
    <w:locked/>
    <w:rsid w:val="008D54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D54D1"/>
    <w:rPr>
      <w:color w:val="0000FF"/>
      <w:u w:val="single"/>
    </w:rPr>
  </w:style>
  <w:style w:type="paragraph" w:styleId="TOC1">
    <w:name w:val="toc 1"/>
    <w:basedOn w:val="Normal"/>
    <w:next w:val="Normal"/>
    <w:autoRedefine/>
    <w:rsid w:val="008D54D1"/>
    <w:pPr>
      <w:spacing w:after="100"/>
    </w:pPr>
  </w:style>
  <w:style w:type="paragraph" w:styleId="TOC2">
    <w:name w:val="toc 2"/>
    <w:basedOn w:val="Normal"/>
    <w:next w:val="Normal"/>
    <w:autoRedefine/>
    <w:uiPriority w:val="39"/>
    <w:rsid w:val="00820DCC"/>
    <w:pPr>
      <w:spacing w:line="360" w:lineRule="auto"/>
      <w:ind w:left="567"/>
    </w:pPr>
    <w:rPr>
      <w:rFonts w:ascii="Arial" w:hAnsi="Arial"/>
      <w:i/>
    </w:rPr>
  </w:style>
  <w:style w:type="character" w:styleId="CommentReference">
    <w:name w:val="annotation reference"/>
    <w:qFormat/>
    <w:locked/>
    <w:rsid w:val="008D54D1"/>
    <w:rPr>
      <w:sz w:val="16"/>
      <w:szCs w:val="16"/>
    </w:rPr>
  </w:style>
  <w:style w:type="paragraph" w:styleId="CommentText">
    <w:name w:val="annotation text"/>
    <w:basedOn w:val="Normal"/>
    <w:link w:val="CommentTextChar"/>
    <w:qFormat/>
    <w:rsid w:val="008D54D1"/>
    <w:rPr>
      <w:sz w:val="20"/>
      <w:szCs w:val="20"/>
      <w:lang w:val="x-none"/>
    </w:rPr>
  </w:style>
  <w:style w:type="paragraph" w:styleId="CommentSubject">
    <w:name w:val="annotation subject"/>
    <w:basedOn w:val="CommentText"/>
    <w:next w:val="CommentText"/>
    <w:semiHidden/>
    <w:locked/>
    <w:rsid w:val="008D54D1"/>
    <w:rPr>
      <w:b/>
      <w:bCs/>
    </w:rPr>
  </w:style>
  <w:style w:type="paragraph" w:styleId="BalloonText">
    <w:name w:val="Balloon Text"/>
    <w:basedOn w:val="Normal"/>
    <w:semiHidden/>
    <w:rsid w:val="00DA5E1E"/>
    <w:rPr>
      <w:rFonts w:ascii="Tahoma" w:hAnsi="Tahoma" w:cs="Tahoma"/>
      <w:sz w:val="16"/>
      <w:szCs w:val="16"/>
    </w:rPr>
  </w:style>
  <w:style w:type="paragraph" w:customStyle="1" w:styleId="Frontpagetitle">
    <w:name w:val="Front page title"/>
    <w:basedOn w:val="NICEnormalsinglespacing"/>
    <w:rsid w:val="00EF04C1"/>
    <w:pPr>
      <w:jc w:val="center"/>
    </w:pPr>
    <w:rPr>
      <w:rFonts w:cs="Arial"/>
      <w:sz w:val="48"/>
      <w:szCs w:val="48"/>
    </w:rPr>
  </w:style>
  <w:style w:type="paragraph" w:customStyle="1" w:styleId="Frontpagedate">
    <w:name w:val="Front page date"/>
    <w:basedOn w:val="NICEnormalsinglespacing"/>
    <w:rsid w:val="00EF04C1"/>
    <w:rPr>
      <w:rFonts w:cs="Arial"/>
      <w:sz w:val="32"/>
      <w:szCs w:val="32"/>
    </w:rPr>
  </w:style>
  <w:style w:type="paragraph" w:customStyle="1" w:styleId="Frontpageguidelinenumber">
    <w:name w:val="Front page guideline number"/>
    <w:basedOn w:val="NICEnormalsinglespacing"/>
    <w:rsid w:val="00EF04C1"/>
    <w:rPr>
      <w:rFonts w:cs="Arial"/>
      <w:color w:val="FFFFFF"/>
      <w:sz w:val="32"/>
      <w:szCs w:val="32"/>
    </w:rPr>
  </w:style>
  <w:style w:type="paragraph" w:customStyle="1" w:styleId="NICEnormal10">
    <w:name w:val="NICE normal 10"/>
    <w:basedOn w:val="NICEnormal"/>
    <w:rsid w:val="0000592A"/>
    <w:pPr>
      <w:spacing w:line="240" w:lineRule="auto"/>
    </w:pPr>
    <w:rPr>
      <w:sz w:val="20"/>
    </w:rPr>
  </w:style>
  <w:style w:type="character" w:customStyle="1" w:styleId="NICEnormalChar">
    <w:name w:val="NICE normal Char"/>
    <w:link w:val="NICEnormal"/>
    <w:rsid w:val="008D54D1"/>
    <w:rPr>
      <w:rFonts w:ascii="Arial" w:hAnsi="Arial"/>
      <w:sz w:val="24"/>
      <w:szCs w:val="24"/>
      <w:lang w:eastAsia="en-US"/>
    </w:rPr>
  </w:style>
  <w:style w:type="paragraph" w:styleId="FootnoteText">
    <w:name w:val="footnote text"/>
    <w:basedOn w:val="Normal"/>
    <w:link w:val="FootnoteTextChar"/>
    <w:rsid w:val="008D54D1"/>
    <w:rPr>
      <w:sz w:val="20"/>
      <w:szCs w:val="20"/>
    </w:rPr>
  </w:style>
  <w:style w:type="character" w:customStyle="1" w:styleId="FootnoteTextChar">
    <w:name w:val="Footnote Text Char"/>
    <w:link w:val="FootnoteText"/>
    <w:rsid w:val="008D54D1"/>
    <w:rPr>
      <w:lang w:eastAsia="en-US"/>
    </w:rPr>
  </w:style>
  <w:style w:type="character" w:styleId="FootnoteReference">
    <w:name w:val="footnote reference"/>
    <w:locked/>
    <w:rsid w:val="008D54D1"/>
    <w:rPr>
      <w:vertAlign w:val="superscript"/>
    </w:rPr>
  </w:style>
  <w:style w:type="paragraph" w:styleId="NoSpacing">
    <w:name w:val="No Spacing"/>
    <w:link w:val="NoSpacingChar"/>
    <w:uiPriority w:val="1"/>
    <w:qFormat/>
    <w:rsid w:val="006757DF"/>
    <w:rPr>
      <w:rFonts w:ascii="Calibri" w:eastAsia="MS Mincho" w:hAnsi="Calibri"/>
      <w:sz w:val="22"/>
      <w:szCs w:val="22"/>
      <w:lang w:val="en-US" w:eastAsia="ja-JP"/>
    </w:rPr>
  </w:style>
  <w:style w:type="character" w:customStyle="1" w:styleId="NoSpacingChar">
    <w:name w:val="No Spacing Char"/>
    <w:link w:val="NoSpacing"/>
    <w:uiPriority w:val="1"/>
    <w:rsid w:val="006757DF"/>
    <w:rPr>
      <w:rFonts w:ascii="Calibri" w:eastAsia="MS Mincho" w:hAnsi="Calibri"/>
      <w:sz w:val="22"/>
      <w:szCs w:val="22"/>
      <w:lang w:val="en-US" w:eastAsia="ja-JP" w:bidi="ar-SA"/>
    </w:rPr>
  </w:style>
  <w:style w:type="paragraph" w:styleId="Revision">
    <w:name w:val="Revision"/>
    <w:hidden/>
    <w:uiPriority w:val="99"/>
    <w:semiHidden/>
    <w:rsid w:val="008769BB"/>
    <w:rPr>
      <w:sz w:val="24"/>
      <w:szCs w:val="24"/>
      <w:lang w:eastAsia="en-US"/>
    </w:rPr>
  </w:style>
  <w:style w:type="character" w:styleId="FollowedHyperlink">
    <w:name w:val="FollowedHyperlink"/>
    <w:rsid w:val="008D54D1"/>
    <w:rPr>
      <w:color w:val="800080"/>
      <w:u w:val="single"/>
    </w:rPr>
  </w:style>
  <w:style w:type="character" w:customStyle="1" w:styleId="CommentTextChar">
    <w:name w:val="Comment Text Char"/>
    <w:link w:val="CommentText"/>
    <w:qFormat/>
    <w:rsid w:val="008D54D1"/>
    <w:rPr>
      <w:lang w:val="x-none" w:eastAsia="en-US"/>
    </w:rPr>
  </w:style>
  <w:style w:type="paragraph" w:styleId="NormalWeb">
    <w:name w:val="Normal (Web)"/>
    <w:basedOn w:val="Normal"/>
    <w:uiPriority w:val="99"/>
    <w:unhideWhenUsed/>
    <w:locked/>
    <w:rsid w:val="00751A0A"/>
    <w:pPr>
      <w:spacing w:before="100" w:beforeAutospacing="1" w:after="100" w:afterAutospacing="1"/>
    </w:pPr>
    <w:rPr>
      <w:lang w:eastAsia="en-GB"/>
    </w:rPr>
  </w:style>
  <w:style w:type="character" w:styleId="Strong">
    <w:name w:val="Strong"/>
    <w:uiPriority w:val="22"/>
    <w:qFormat/>
    <w:locked/>
    <w:rsid w:val="00751A0A"/>
    <w:rPr>
      <w:b/>
      <w:bCs/>
    </w:rPr>
  </w:style>
  <w:style w:type="character" w:customStyle="1" w:styleId="apple-converted-space">
    <w:name w:val="apple-converted-space"/>
    <w:rsid w:val="00751A0A"/>
  </w:style>
  <w:style w:type="character" w:styleId="UnresolvedMention">
    <w:name w:val="Unresolved Mention"/>
    <w:basedOn w:val="DefaultParagraphFont"/>
    <w:uiPriority w:val="99"/>
    <w:semiHidden/>
    <w:unhideWhenUsed/>
    <w:rsid w:val="00731524"/>
    <w:rPr>
      <w:color w:val="605E5C"/>
      <w:shd w:val="clear" w:color="auto" w:fill="E1DFDD"/>
    </w:rPr>
  </w:style>
  <w:style w:type="table" w:styleId="TableGridLight">
    <w:name w:val="Grid Table Light"/>
    <w:basedOn w:val="TableNormal"/>
    <w:uiPriority w:val="40"/>
    <w:rsid w:val="0011086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ulletindent1Char">
    <w:name w:val="Bullet indent 1 Char"/>
    <w:link w:val="Bulletindent1"/>
    <w:rsid w:val="008D54D1"/>
    <w:rPr>
      <w:rFonts w:ascii="Arial" w:hAnsi="Arial"/>
      <w:sz w:val="24"/>
      <w:szCs w:val="24"/>
      <w:lang w:eastAsia="en-US"/>
    </w:rPr>
  </w:style>
  <w:style w:type="character" w:customStyle="1" w:styleId="Bulletleft1lastChar">
    <w:name w:val="Bullet left 1 last Char"/>
    <w:link w:val="Bulletleft1last"/>
    <w:rsid w:val="008D54D1"/>
    <w:rPr>
      <w:rFonts w:ascii="Arial" w:hAnsi="Arial" w:cs="Arial"/>
      <w:sz w:val="24"/>
      <w:szCs w:val="24"/>
      <w:lang w:eastAsia="en-US"/>
    </w:rPr>
  </w:style>
  <w:style w:type="paragraph" w:customStyle="1" w:styleId="Bullets">
    <w:name w:val="Bullets"/>
    <w:basedOn w:val="Normal"/>
    <w:uiPriority w:val="5"/>
    <w:qFormat/>
    <w:rsid w:val="008D54D1"/>
    <w:pPr>
      <w:spacing w:after="120" w:line="276" w:lineRule="auto"/>
      <w:ind w:left="1134" w:hanging="454"/>
    </w:pPr>
    <w:rPr>
      <w:rFonts w:ascii="Arial" w:hAnsi="Arial"/>
      <w:lang w:eastAsia="en-GB"/>
    </w:rPr>
  </w:style>
  <w:style w:type="paragraph" w:styleId="Caption">
    <w:name w:val="caption"/>
    <w:basedOn w:val="NICEnormal"/>
    <w:next w:val="NICEnormal"/>
    <w:unhideWhenUsed/>
    <w:qFormat/>
    <w:rsid w:val="008D54D1"/>
    <w:pPr>
      <w:keepNext/>
      <w:spacing w:after="200"/>
    </w:pPr>
    <w:rPr>
      <w:b/>
      <w:bCs/>
      <w:iCs/>
      <w:szCs w:val="18"/>
    </w:rPr>
  </w:style>
  <w:style w:type="paragraph" w:customStyle="1" w:styleId="Documentissuedate">
    <w:name w:val="Document issue date"/>
    <w:basedOn w:val="NICEnormal"/>
    <w:qFormat/>
    <w:rsid w:val="008D54D1"/>
    <w:rPr>
      <w:lang w:val="en-US"/>
    </w:rPr>
  </w:style>
  <w:style w:type="paragraph" w:customStyle="1" w:styleId="Guidanceissuedate">
    <w:name w:val="Guidance issue date"/>
    <w:basedOn w:val="NICEnormal"/>
    <w:qFormat/>
    <w:rsid w:val="008D54D1"/>
    <w:rPr>
      <w:lang w:val="en-US"/>
    </w:rPr>
  </w:style>
  <w:style w:type="character" w:customStyle="1" w:styleId="Heading3Char">
    <w:name w:val="Heading 3 Char"/>
    <w:basedOn w:val="DefaultParagraphFont"/>
    <w:link w:val="Heading3"/>
    <w:rsid w:val="008D54D1"/>
    <w:rPr>
      <w:rFonts w:ascii="Arial" w:hAnsi="Arial" w:cs="Arial"/>
      <w:b/>
      <w:bCs/>
      <w:sz w:val="26"/>
      <w:szCs w:val="26"/>
      <w:lang w:eastAsia="en-US"/>
    </w:rPr>
  </w:style>
  <w:style w:type="paragraph" w:styleId="ListParagraph">
    <w:name w:val="List Paragraph"/>
    <w:basedOn w:val="Normal"/>
    <w:uiPriority w:val="34"/>
    <w:qFormat/>
    <w:rsid w:val="008D54D1"/>
    <w:pPr>
      <w:ind w:left="720"/>
      <w:contextualSpacing/>
    </w:pPr>
    <w:rPr>
      <w:lang w:eastAsia="en-GB"/>
    </w:rPr>
  </w:style>
  <w:style w:type="character" w:customStyle="1" w:styleId="Numberedlevel2textChar">
    <w:name w:val="Numbered level 2 text Char"/>
    <w:link w:val="Numberedlevel2text"/>
    <w:rsid w:val="008D54D1"/>
    <w:rPr>
      <w:rFonts w:ascii="Arial" w:hAnsi="Arial"/>
      <w:bCs/>
      <w:iCs/>
      <w:sz w:val="24"/>
      <w:szCs w:val="28"/>
      <w:lang w:val="x-none" w:eastAsia="en-US"/>
    </w:rPr>
  </w:style>
  <w:style w:type="table" w:customStyle="1" w:styleId="PanelDefault">
    <w:name w:val="Panel (Default)"/>
    <w:basedOn w:val="TableNormal"/>
    <w:uiPriority w:val="99"/>
    <w:rsid w:val="008D54D1"/>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8D54D1"/>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table" w:customStyle="1" w:styleId="PanelPrimary">
    <w:name w:val="Panel (Primary)"/>
    <w:basedOn w:val="TableNormal"/>
    <w:uiPriority w:val="99"/>
    <w:rsid w:val="008D54D1"/>
    <w:pPr>
      <w:spacing w:after="240"/>
    </w:pPr>
    <w:tblPr>
      <w:tblBorders>
        <w:top w:val="single" w:sz="24" w:space="0" w:color="A2BDC1"/>
        <w:left w:val="single" w:sz="24" w:space="0" w:color="A2BDC1"/>
        <w:bottom w:val="single" w:sz="24" w:space="0" w:color="A2BDC1"/>
        <w:right w:val="single" w:sz="24" w:space="0" w:color="A2BDC1"/>
      </w:tblBorders>
    </w:tblPr>
  </w:style>
  <w:style w:type="paragraph" w:customStyle="1" w:styleId="Panelbullet1">
    <w:name w:val="Panel bullet 1"/>
    <w:basedOn w:val="ListParagraph"/>
    <w:qFormat/>
    <w:rsid w:val="008D54D1"/>
    <w:pPr>
      <w:numPr>
        <w:numId w:val="20"/>
      </w:numPr>
      <w:tabs>
        <w:tab w:val="num" w:pos="360"/>
        <w:tab w:val="num" w:pos="1134"/>
      </w:tabs>
    </w:pPr>
    <w:rPr>
      <w:rFonts w:ascii="Arial" w:hAnsi="Arial"/>
      <w:lang w:eastAsia="en-US"/>
    </w:rPr>
  </w:style>
  <w:style w:type="paragraph" w:customStyle="1" w:styleId="Panelhyperlink">
    <w:name w:val="Panel hyperlink"/>
    <w:basedOn w:val="NICEnormal"/>
    <w:next w:val="NICEnormal"/>
    <w:qFormat/>
    <w:rsid w:val="008D54D1"/>
    <w:rPr>
      <w:color w:val="FFFFFF" w:themeColor="background1"/>
      <w:u w:val="single"/>
    </w:rPr>
  </w:style>
  <w:style w:type="paragraph" w:customStyle="1" w:styleId="Paragraphnonumbers">
    <w:name w:val="Paragraph no numbers"/>
    <w:basedOn w:val="Normal"/>
    <w:uiPriority w:val="99"/>
    <w:qFormat/>
    <w:rsid w:val="008D54D1"/>
    <w:pPr>
      <w:spacing w:after="240" w:line="276" w:lineRule="auto"/>
    </w:pPr>
    <w:rPr>
      <w:rFonts w:ascii="Arial" w:hAnsi="Arial"/>
      <w:lang w:eastAsia="en-GB"/>
    </w:rPr>
  </w:style>
  <w:style w:type="paragraph" w:customStyle="1" w:styleId="ParagraphNumbered">
    <w:name w:val="Paragraph Numbered"/>
    <w:basedOn w:val="Normal"/>
    <w:uiPriority w:val="4"/>
    <w:qFormat/>
    <w:rsid w:val="008D54D1"/>
    <w:pPr>
      <w:numPr>
        <w:numId w:val="21"/>
      </w:numPr>
      <w:tabs>
        <w:tab w:val="num" w:pos="360"/>
        <w:tab w:val="left" w:pos="426"/>
      </w:tabs>
      <w:spacing w:after="240" w:line="360" w:lineRule="auto"/>
    </w:pPr>
    <w:rPr>
      <w:rFonts w:ascii="Arial" w:hAnsi="Arial"/>
    </w:rPr>
  </w:style>
  <w:style w:type="character" w:styleId="PlaceholderText">
    <w:name w:val="Placeholder Text"/>
    <w:basedOn w:val="DefaultParagraphFont"/>
    <w:uiPriority w:val="99"/>
    <w:semiHidden/>
    <w:rsid w:val="008D54D1"/>
    <w:rPr>
      <w:color w:val="808080"/>
    </w:rPr>
  </w:style>
  <w:style w:type="paragraph" w:styleId="Quote">
    <w:name w:val="Quote"/>
    <w:basedOn w:val="NICEnormal"/>
    <w:next w:val="NICEnormal"/>
    <w:link w:val="QuoteChar"/>
    <w:uiPriority w:val="29"/>
    <w:qFormat/>
    <w:rsid w:val="008D54D1"/>
    <w:pPr>
      <w:spacing w:before="200" w:after="160"/>
      <w:ind w:left="864" w:right="864"/>
      <w:jc w:val="center"/>
    </w:pPr>
    <w:rPr>
      <w:iCs/>
    </w:rPr>
  </w:style>
  <w:style w:type="character" w:customStyle="1" w:styleId="QuoteChar">
    <w:name w:val="Quote Char"/>
    <w:basedOn w:val="DefaultParagraphFont"/>
    <w:link w:val="Quote"/>
    <w:uiPriority w:val="29"/>
    <w:rsid w:val="008D54D1"/>
    <w:rPr>
      <w:rFonts w:ascii="Arial" w:hAnsi="Arial"/>
      <w:iCs/>
      <w:sz w:val="24"/>
      <w:szCs w:val="24"/>
      <w:lang w:eastAsia="en-US"/>
    </w:rPr>
  </w:style>
  <w:style w:type="paragraph" w:customStyle="1" w:styleId="Tablebullet">
    <w:name w:val="Table bullet"/>
    <w:basedOn w:val="Tabletext"/>
    <w:qFormat/>
    <w:rsid w:val="008D54D1"/>
    <w:pPr>
      <w:numPr>
        <w:numId w:val="23"/>
      </w:numPr>
    </w:pPr>
  </w:style>
  <w:style w:type="paragraph" w:customStyle="1" w:styleId="Tableheading">
    <w:name w:val="Table heading"/>
    <w:basedOn w:val="Tabletext"/>
    <w:qFormat/>
    <w:rsid w:val="008D54D1"/>
    <w:rPr>
      <w:b/>
    </w:rPr>
  </w:style>
  <w:style w:type="paragraph" w:customStyle="1" w:styleId="Title1">
    <w:name w:val="Title 1"/>
    <w:basedOn w:val="Normal"/>
    <w:qFormat/>
    <w:rsid w:val="008D54D1"/>
    <w:pPr>
      <w:keepNext/>
      <w:spacing w:before="240" w:after="240"/>
      <w:jc w:val="center"/>
      <w:outlineLvl w:val="0"/>
    </w:pPr>
    <w:rPr>
      <w:rFonts w:ascii="Arial" w:hAnsi="Arial" w:cs="Arial"/>
      <w:b/>
      <w:bCs/>
      <w:kern w:val="28"/>
      <w:sz w:val="40"/>
      <w:szCs w:val="32"/>
    </w:rPr>
  </w:style>
  <w:style w:type="paragraph" w:customStyle="1" w:styleId="Title2">
    <w:name w:val="Title 2"/>
    <w:basedOn w:val="Normal"/>
    <w:rsid w:val="008D54D1"/>
    <w:pPr>
      <w:keepNext/>
      <w:spacing w:before="240" w:after="240"/>
      <w:jc w:val="center"/>
      <w:outlineLvl w:val="0"/>
    </w:pPr>
    <w:rPr>
      <w:rFonts w:ascii="Arial" w:hAnsi="Arial"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356010">
      <w:bodyDiv w:val="1"/>
      <w:marLeft w:val="0"/>
      <w:marRight w:val="0"/>
      <w:marTop w:val="0"/>
      <w:marBottom w:val="0"/>
      <w:divBdr>
        <w:top w:val="none" w:sz="0" w:space="0" w:color="auto"/>
        <w:left w:val="none" w:sz="0" w:space="0" w:color="auto"/>
        <w:bottom w:val="none" w:sz="0" w:space="0" w:color="auto"/>
        <w:right w:val="none" w:sz="0" w:space="0" w:color="auto"/>
      </w:divBdr>
    </w:div>
    <w:div w:id="634990701">
      <w:bodyDiv w:val="1"/>
      <w:marLeft w:val="0"/>
      <w:marRight w:val="0"/>
      <w:marTop w:val="0"/>
      <w:marBottom w:val="0"/>
      <w:divBdr>
        <w:top w:val="none" w:sz="0" w:space="0" w:color="auto"/>
        <w:left w:val="none" w:sz="0" w:space="0" w:color="auto"/>
        <w:bottom w:val="none" w:sz="0" w:space="0" w:color="auto"/>
        <w:right w:val="none" w:sz="0" w:space="0" w:color="auto"/>
      </w:divBdr>
    </w:div>
    <w:div w:id="790055502">
      <w:bodyDiv w:val="1"/>
      <w:marLeft w:val="0"/>
      <w:marRight w:val="0"/>
      <w:marTop w:val="0"/>
      <w:marBottom w:val="0"/>
      <w:divBdr>
        <w:top w:val="none" w:sz="0" w:space="0" w:color="auto"/>
        <w:left w:val="none" w:sz="0" w:space="0" w:color="auto"/>
        <w:bottom w:val="none" w:sz="0" w:space="0" w:color="auto"/>
        <w:right w:val="none" w:sz="0" w:space="0" w:color="auto"/>
      </w:divBdr>
    </w:div>
    <w:div w:id="104911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ritishjournalofnursing.com/content/peristomal-skin-complications/prevalence-of-leakage-and-its-negative-impact-on-quality-of-life-in-people-living-with-a-stoma-in-the-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ce.org.uk/guidance/htg754/docum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hsbsa.nhs.uk/pharmacies-gp-practices-and-appliance-contractors/drug-tariff/drug-tariff-part-ix" TargetMode="External"/><Relationship Id="rId5" Type="http://schemas.openxmlformats.org/officeDocument/2006/relationships/webSettings" Target="webSettings.xml"/><Relationship Id="rId10" Type="http://schemas.openxmlformats.org/officeDocument/2006/relationships/hyperlink" Target="https://medsopt.midlandsandlancashirecsu.nhs.uk/media/4znhhlwz/aga_8653_nw-qipp-stoma-interactive-pdf_v8final.pdf" TargetMode="External"/><Relationship Id="rId4" Type="http://schemas.openxmlformats.org/officeDocument/2006/relationships/settings" Target="settings.xml"/><Relationship Id="rId9" Type="http://schemas.openxmlformats.org/officeDocument/2006/relationships/hyperlink" Target="https://www.eoecph.nhs.uk/buyers/clinical-services/stomap-programme-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78C3B-4C8C-4789-9730-D00735B78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631</Words>
  <Characters>3563</Characters>
  <Application>Microsoft Office Word</Application>
  <DocSecurity>0</DocSecurity>
  <Lines>77</Lines>
  <Paragraphs>37</Paragraphs>
  <ScaleCrop>false</ScaleCrop>
  <HeadingPairs>
    <vt:vector size="2" baseType="variant">
      <vt:variant>
        <vt:lpstr>Title</vt:lpstr>
      </vt:variant>
      <vt:variant>
        <vt:i4>1</vt:i4>
      </vt:variant>
    </vt:vector>
  </HeadingPairs>
  <TitlesOfParts>
    <vt:vector size="1" baseType="lpstr">
      <vt:lpstr>HTE29 One-piece closed bags for colostomies: late-stage assessment: resource impact summary report 10/07/2025</vt:lpstr>
    </vt:vector>
  </TitlesOfParts>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HTG754 One-piece closed bags for colostomies: late-stage assessment: resource impact summary report</dc:title>
  <dc:subject/>
  <dc:creator/>
  <cp:keywords/>
  <cp:lastModifiedBy/>
  <cp:revision>1</cp:revision>
  <dcterms:created xsi:type="dcterms:W3CDTF">2025-07-08T16:12:00Z</dcterms:created>
  <dcterms:modified xsi:type="dcterms:W3CDTF">2025-12-17T14:12:00Z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2025-07-08T16:15:39Z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55d16df7-733a-445f-bffa-d778855383ee</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